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color w:val="000000" w:themeColor="text1"/>
          <w:sz w:val="20"/>
          <w:szCs w:val="20"/>
          <w:lang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-1000125</wp:posOffset>
            </wp:positionH>
            <wp:positionV relativeFrom="paragraph">
              <wp:posOffset>-704850</wp:posOffset>
            </wp:positionV>
            <wp:extent cx="7369810" cy="10423525"/>
            <wp:effectExtent l="0" t="0" r="2540"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7369810" cy="10423525"/>
                    </a:xfrm>
                    <a:prstGeom prst="rect">
                      <a:avLst/>
                    </a:prstGeom>
                    <a:noFill/>
                    <a:ln>
                      <a:noFill/>
                    </a:ln>
                  </pic:spPr>
                </pic:pic>
              </a:graphicData>
            </a:graphic>
          </wp:anchor>
        </w:drawing>
      </w: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spacing w:before="2"/>
        <w:rPr>
          <w:rFonts w:ascii="宋体" w:hAnsi="宋体" w:eastAsia="宋体" w:cs="宋体"/>
          <w:color w:val="000000" w:themeColor="text1"/>
          <w:sz w:val="11"/>
          <w:szCs w:val="11"/>
          <w:lang w:eastAsia="zh-CN"/>
          <w14:textFill>
            <w14:solidFill>
              <w14:schemeClr w14:val="tx1"/>
            </w14:solidFill>
          </w14:textFill>
        </w:rPr>
      </w:pPr>
    </w:p>
    <w:p>
      <w:pPr>
        <w:tabs>
          <w:tab w:val="left" w:pos="804"/>
        </w:tabs>
        <w:spacing w:before="1"/>
        <w:jc w:val="center"/>
        <w:rPr>
          <w:rFonts w:ascii="宋体" w:hAnsi="宋体" w:eastAsia="宋体" w:cs="宋体"/>
          <w:b/>
          <w:bCs/>
          <w:color w:val="000000" w:themeColor="text1"/>
          <w:w w:val="95"/>
          <w:sz w:val="28"/>
          <w:szCs w:val="28"/>
          <w:lang w:eastAsia="zh-CN"/>
          <w14:textFill>
            <w14:solidFill>
              <w14:schemeClr w14:val="tx1"/>
            </w14:solidFill>
          </w14:textFill>
        </w:rPr>
        <w:sectPr>
          <w:headerReference r:id="rId3" w:type="default"/>
          <w:footerReference r:id="rId4" w:type="default"/>
          <w:pgSz w:w="11910" w:h="16840"/>
          <w:pgMar w:top="1240" w:right="1680" w:bottom="1520" w:left="1680" w:header="968" w:footer="1338" w:gutter="0"/>
          <w:pgNumType w:start="1"/>
          <w:cols w:space="720" w:num="1"/>
        </w:sectPr>
      </w:pPr>
    </w:p>
    <w:p>
      <w:pPr>
        <w:pStyle w:val="2"/>
        <w:ind w:left="440" w:firstLine="440"/>
        <w:rPr>
          <w:lang w:eastAsia="zh-CN"/>
        </w:rPr>
      </w:pPr>
    </w:p>
    <w:p>
      <w:pPr>
        <w:tabs>
          <w:tab w:val="left" w:pos="804"/>
        </w:tabs>
        <w:spacing w:before="1"/>
        <w:jc w:val="center"/>
        <w:rPr>
          <w:rFonts w:ascii="黑体" w:hAnsi="黑体" w:eastAsia="黑体" w:cs="黑体"/>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w w:val="95"/>
          <w:sz w:val="28"/>
          <w:szCs w:val="28"/>
          <w:lang w:eastAsia="zh-CN"/>
          <w14:textFill>
            <w14:solidFill>
              <w14:schemeClr w14:val="tx1"/>
            </w14:solidFill>
          </w14:textFill>
        </w:rPr>
        <w:t xml:space="preserve">目 </w:t>
      </w:r>
      <w:r>
        <w:rPr>
          <w:rFonts w:hint="eastAsia" w:ascii="宋体" w:hAnsi="宋体" w:eastAsia="宋体" w:cs="宋体"/>
          <w:b/>
          <w:bCs/>
          <w:color w:val="000000" w:themeColor="text1"/>
          <w:sz w:val="28"/>
          <w:szCs w:val="28"/>
          <w:lang w:eastAsia="zh-CN"/>
          <w14:textFill>
            <w14:solidFill>
              <w14:schemeClr w14:val="tx1"/>
            </w14:solidFill>
          </w14:textFill>
        </w:rPr>
        <w:t>录</w:t>
      </w:r>
    </w:p>
    <w:p>
      <w:pPr>
        <w:rPr>
          <w:rFonts w:ascii="宋体" w:hAnsi="宋体" w:eastAsia="宋体" w:cs="宋体"/>
          <w:sz w:val="24"/>
          <w:szCs w:val="24"/>
          <w:lang w:eastAsia="zh-CN"/>
        </w:rPr>
      </w:pPr>
    </w:p>
    <w:p>
      <w:pPr>
        <w:rPr>
          <w:rFonts w:ascii="宋体" w:hAnsi="宋体" w:eastAsia="宋体" w:cs="宋体"/>
          <w:sz w:val="24"/>
          <w:szCs w:val="24"/>
          <w:lang w:eastAsia="zh-CN"/>
        </w:rPr>
      </w:pPr>
      <w:r>
        <w:fldChar w:fldCharType="begin"/>
      </w:r>
      <w:r>
        <w:instrText xml:space="preserve"> HYPERLINK \l "_bookmark1" </w:instrText>
      </w:r>
      <w:r>
        <w:fldChar w:fldCharType="separate"/>
      </w:r>
      <w:r>
        <w:rPr>
          <w:rFonts w:hint="eastAsia" w:ascii="宋体" w:hAnsi="宋体" w:eastAsia="宋体" w:cs="宋体"/>
          <w:sz w:val="24"/>
          <w:szCs w:val="24"/>
          <w:lang w:eastAsia="zh-CN"/>
        </w:rPr>
        <w:t>第一章 招标公告 ......................................................2</w:t>
      </w:r>
      <w:r>
        <w:rPr>
          <w:rFonts w:hint="eastAsia" w:ascii="宋体" w:hAnsi="宋体" w:eastAsia="宋体" w:cs="宋体"/>
          <w:sz w:val="24"/>
          <w:szCs w:val="24"/>
          <w:lang w:eastAsia="zh-CN"/>
        </w:rPr>
        <w:fldChar w:fldCharType="end"/>
      </w:r>
    </w:p>
    <w:p>
      <w:pPr>
        <w:rPr>
          <w:rFonts w:ascii="宋体" w:hAnsi="宋体" w:eastAsia="宋体" w:cs="宋体"/>
          <w:sz w:val="24"/>
          <w:szCs w:val="24"/>
          <w:lang w:eastAsia="zh-CN"/>
        </w:rPr>
      </w:pPr>
    </w:p>
    <w:p>
      <w:pPr>
        <w:rPr>
          <w:rFonts w:ascii="宋体" w:hAnsi="宋体" w:eastAsia="宋体" w:cs="宋体"/>
          <w:sz w:val="24"/>
          <w:szCs w:val="24"/>
          <w:lang w:eastAsia="zh-CN"/>
        </w:rPr>
      </w:pPr>
      <w:r>
        <w:fldChar w:fldCharType="begin"/>
      </w:r>
      <w:r>
        <w:instrText xml:space="preserve"> HYPERLINK \l "_bookmark2" </w:instrText>
      </w:r>
      <w:r>
        <w:fldChar w:fldCharType="separate"/>
      </w:r>
      <w:r>
        <w:rPr>
          <w:rFonts w:hint="eastAsia" w:ascii="宋体" w:hAnsi="宋体" w:eastAsia="宋体" w:cs="宋体"/>
          <w:sz w:val="24"/>
          <w:szCs w:val="24"/>
          <w:lang w:eastAsia="zh-CN"/>
        </w:rPr>
        <w:t>第二章 投标人须知 ....................................................</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fldChar w:fldCharType="end"/>
      </w:r>
    </w:p>
    <w:p>
      <w:pPr>
        <w:rPr>
          <w:rFonts w:ascii="宋体" w:hAnsi="宋体" w:eastAsia="宋体" w:cs="宋体"/>
          <w:sz w:val="24"/>
          <w:szCs w:val="24"/>
          <w:lang w:eastAsia="zh-CN"/>
        </w:rPr>
      </w:pPr>
    </w:p>
    <w:p>
      <w:pPr>
        <w:rPr>
          <w:rFonts w:ascii="宋体" w:hAnsi="宋体" w:eastAsia="宋体" w:cs="宋体"/>
          <w:sz w:val="24"/>
          <w:szCs w:val="24"/>
          <w:lang w:eastAsia="zh-CN"/>
        </w:rPr>
      </w:pPr>
      <w:r>
        <w:fldChar w:fldCharType="begin"/>
      </w:r>
      <w:r>
        <w:instrText xml:space="preserve"> HYPERLINK \l "_bookmark3" </w:instrText>
      </w:r>
      <w:r>
        <w:fldChar w:fldCharType="separate"/>
      </w:r>
      <w:r>
        <w:rPr>
          <w:rFonts w:hint="eastAsia" w:ascii="宋体" w:hAnsi="宋体" w:eastAsia="宋体" w:cs="宋体"/>
          <w:sz w:val="24"/>
          <w:szCs w:val="24"/>
          <w:lang w:eastAsia="zh-CN"/>
        </w:rPr>
        <w:t>第三章 评标办法 .....................................................4</w:t>
      </w:r>
      <w:r>
        <w:rPr>
          <w:rFonts w:hint="eastAsia" w:ascii="宋体" w:hAnsi="宋体" w:eastAsia="宋体" w:cs="宋体"/>
          <w:sz w:val="24"/>
          <w:szCs w:val="24"/>
          <w:lang w:eastAsia="zh-CN"/>
        </w:rPr>
        <w:fldChar w:fldCharType="end"/>
      </w:r>
      <w:r>
        <w:rPr>
          <w:rFonts w:hint="eastAsia" w:ascii="宋体" w:hAnsi="宋体" w:eastAsia="宋体" w:cs="宋体"/>
          <w:sz w:val="24"/>
          <w:szCs w:val="24"/>
          <w:lang w:val="en-US" w:eastAsia="zh-CN"/>
        </w:rPr>
        <w:t>8</w:t>
      </w:r>
    </w:p>
    <w:p>
      <w:pPr>
        <w:rPr>
          <w:rFonts w:ascii="宋体" w:hAnsi="宋体" w:eastAsia="宋体" w:cs="宋体"/>
          <w:sz w:val="24"/>
          <w:szCs w:val="24"/>
          <w:lang w:eastAsia="zh-CN"/>
        </w:rPr>
      </w:pPr>
    </w:p>
    <w:p>
      <w:pPr>
        <w:rPr>
          <w:rFonts w:ascii="宋体" w:hAnsi="宋体" w:eastAsia="宋体" w:cs="宋体"/>
          <w:sz w:val="24"/>
          <w:szCs w:val="24"/>
          <w:lang w:eastAsia="zh-CN"/>
        </w:rPr>
      </w:pPr>
      <w:r>
        <w:fldChar w:fldCharType="begin"/>
      </w:r>
      <w:r>
        <w:instrText xml:space="preserve"> HYPERLINK \l "_bookmark4" </w:instrText>
      </w:r>
      <w:r>
        <w:fldChar w:fldCharType="separate"/>
      </w:r>
      <w:r>
        <w:rPr>
          <w:rFonts w:hint="eastAsia" w:ascii="宋体" w:hAnsi="宋体" w:eastAsia="宋体" w:cs="宋体"/>
          <w:sz w:val="24"/>
          <w:szCs w:val="24"/>
          <w:lang w:eastAsia="zh-CN"/>
        </w:rPr>
        <w:t>第四章 合同条款及格式 ...............................................6</w:t>
      </w:r>
      <w:r>
        <w:rPr>
          <w:rFonts w:hint="eastAsia" w:ascii="宋体" w:hAnsi="宋体" w:eastAsia="宋体" w:cs="宋体"/>
          <w:sz w:val="24"/>
          <w:szCs w:val="24"/>
          <w:lang w:eastAsia="zh-CN"/>
        </w:rPr>
        <w:fldChar w:fldCharType="end"/>
      </w:r>
      <w:r>
        <w:rPr>
          <w:rFonts w:hint="eastAsia" w:ascii="宋体" w:hAnsi="宋体" w:eastAsia="宋体" w:cs="宋体"/>
          <w:sz w:val="24"/>
          <w:szCs w:val="24"/>
          <w:lang w:val="en-US" w:eastAsia="zh-CN"/>
        </w:rPr>
        <w:t>1</w:t>
      </w:r>
    </w:p>
    <w:p>
      <w:pPr>
        <w:rPr>
          <w:rFonts w:ascii="宋体" w:hAnsi="宋体" w:eastAsia="宋体" w:cs="宋体"/>
          <w:sz w:val="24"/>
          <w:szCs w:val="24"/>
          <w:lang w:eastAsia="zh-CN"/>
        </w:rPr>
      </w:pPr>
    </w:p>
    <w:p>
      <w:pPr>
        <w:rPr>
          <w:rFonts w:ascii="宋体" w:hAnsi="宋体" w:eastAsia="宋体" w:cs="宋体"/>
          <w:sz w:val="24"/>
          <w:szCs w:val="24"/>
          <w:lang w:eastAsia="zh-CN"/>
        </w:rPr>
      </w:pPr>
      <w:r>
        <w:fldChar w:fldCharType="begin"/>
      </w:r>
      <w:r>
        <w:instrText xml:space="preserve"> HYPERLINK \l "_bookmark6" </w:instrText>
      </w:r>
      <w:r>
        <w:fldChar w:fldCharType="separate"/>
      </w:r>
      <w:r>
        <w:rPr>
          <w:rFonts w:hint="eastAsia" w:ascii="宋体" w:hAnsi="宋体" w:eastAsia="宋体" w:cs="宋体"/>
          <w:sz w:val="24"/>
          <w:szCs w:val="24"/>
          <w:lang w:eastAsia="zh-CN"/>
        </w:rPr>
        <w:t>第五章 发包人要求 .</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.................................................11</w:t>
      </w:r>
      <w:r>
        <w:rPr>
          <w:rFonts w:hint="eastAsia" w:ascii="宋体" w:hAnsi="宋体" w:eastAsia="宋体" w:cs="宋体"/>
          <w:sz w:val="24"/>
          <w:szCs w:val="24"/>
          <w:lang w:val="en-US" w:eastAsia="zh-CN"/>
        </w:rPr>
        <w:t>2</w:t>
      </w:r>
    </w:p>
    <w:p>
      <w:pPr>
        <w:rPr>
          <w:rFonts w:ascii="宋体" w:hAnsi="宋体" w:eastAsia="宋体" w:cs="宋体"/>
          <w:sz w:val="24"/>
          <w:szCs w:val="24"/>
          <w:lang w:eastAsia="zh-CN"/>
        </w:rPr>
      </w:pPr>
    </w:p>
    <w:p>
      <w:pPr>
        <w:rPr>
          <w:rFonts w:ascii="宋体" w:hAnsi="宋体" w:eastAsia="宋体" w:cs="宋体"/>
          <w:b/>
          <w:bCs/>
          <w:szCs w:val="28"/>
          <w:lang w:eastAsia="zh-CN"/>
        </w:rPr>
      </w:pPr>
      <w:r>
        <w:fldChar w:fldCharType="begin"/>
      </w:r>
      <w:r>
        <w:instrText xml:space="preserve"> HYPERLINK \l "_bookmark8" </w:instrText>
      </w:r>
      <w:r>
        <w:fldChar w:fldCharType="separate"/>
      </w:r>
      <w:r>
        <w:rPr>
          <w:rFonts w:hint="eastAsia" w:ascii="宋体" w:hAnsi="宋体" w:eastAsia="宋体" w:cs="宋体"/>
          <w:sz w:val="24"/>
          <w:szCs w:val="24"/>
          <w:lang w:eastAsia="zh-CN"/>
        </w:rPr>
        <w:t>第六章 投标文件格式 ................................................1</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1</w:t>
      </w:r>
      <w:r>
        <w:rPr>
          <w:rFonts w:hint="eastAsia" w:ascii="宋体" w:hAnsi="宋体" w:eastAsia="宋体" w:cs="宋体"/>
          <w:sz w:val="24"/>
          <w:szCs w:val="24"/>
          <w:lang w:val="en-US" w:eastAsia="zh-CN"/>
        </w:rPr>
        <w:t>3</w:t>
      </w:r>
    </w:p>
    <w:p>
      <w:pPr>
        <w:tabs>
          <w:tab w:val="right" w:leader="dot" w:pos="9062"/>
        </w:tabs>
        <w:spacing w:before="92" w:line="219" w:lineRule="auto"/>
        <w:rPr>
          <w:rFonts w:ascii="宋体" w:hAnsi="宋体" w:eastAsia="宋体" w:cs="宋体"/>
          <w:b/>
          <w:bCs/>
          <w:sz w:val="28"/>
          <w:szCs w:val="28"/>
          <w:lang w:eastAsia="zh-CN"/>
        </w:rPr>
      </w:pPr>
    </w:p>
    <w:p>
      <w:pPr>
        <w:pStyle w:val="2"/>
        <w:ind w:left="440" w:firstLine="562"/>
        <w:rPr>
          <w:rFonts w:eastAsia="宋体" w:cs="宋体"/>
          <w:b/>
          <w:bCs/>
          <w:sz w:val="28"/>
          <w:szCs w:val="28"/>
          <w:lang w:eastAsia="zh-CN"/>
        </w:rPr>
      </w:pPr>
    </w:p>
    <w:p>
      <w:pPr>
        <w:pStyle w:val="3"/>
        <w:rPr>
          <w:rFonts w:cs="宋体"/>
          <w:b/>
          <w:bCs/>
          <w:sz w:val="28"/>
          <w:szCs w:val="28"/>
          <w:lang w:eastAsia="zh-CN"/>
        </w:rPr>
      </w:pPr>
    </w:p>
    <w:p>
      <w:pPr>
        <w:pStyle w:val="6"/>
        <w:ind w:left="2200"/>
        <w:rPr>
          <w:rFonts w:ascii="宋体" w:hAnsi="宋体" w:eastAsia="宋体" w:cs="宋体"/>
          <w:b/>
          <w:bCs/>
          <w:sz w:val="28"/>
          <w:szCs w:val="28"/>
          <w:lang w:eastAsia="zh-CN"/>
        </w:rPr>
      </w:pPr>
    </w:p>
    <w:p>
      <w:pPr>
        <w:rPr>
          <w:lang w:eastAsia="zh-CN"/>
        </w:rPr>
        <w:sectPr>
          <w:footerReference r:id="rId5" w:type="default"/>
          <w:pgSz w:w="11910" w:h="16840"/>
          <w:pgMar w:top="1240" w:right="1680" w:bottom="1520" w:left="1680" w:header="968" w:footer="1338" w:gutter="0"/>
          <w:pgNumType w:start="1"/>
          <w:cols w:space="720" w:num="1"/>
        </w:sect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rPr>
          <w:rFonts w:cs="Calibri"/>
          <w:color w:val="000000" w:themeColor="text1"/>
          <w:sz w:val="36"/>
          <w:szCs w:val="36"/>
          <w:lang w:eastAsia="zh-CN"/>
          <w14:textFill>
            <w14:solidFill>
              <w14:schemeClr w14:val="tx1"/>
            </w14:solidFill>
          </w14:textFill>
        </w:rPr>
      </w:pPr>
    </w:p>
    <w:p>
      <w:pPr>
        <w:spacing w:before="4"/>
        <w:rPr>
          <w:rFonts w:cs="Calibri"/>
          <w:color w:val="000000" w:themeColor="text1"/>
          <w:sz w:val="51"/>
          <w:szCs w:val="51"/>
          <w:lang w:eastAsia="zh-CN"/>
          <w14:textFill>
            <w14:solidFill>
              <w14:schemeClr w14:val="tx1"/>
            </w14:solidFill>
          </w14:textFill>
        </w:rPr>
      </w:pPr>
    </w:p>
    <w:p>
      <w:pPr>
        <w:pStyle w:val="8"/>
        <w:tabs>
          <w:tab w:val="left" w:pos="3279"/>
        </w:tabs>
        <w:ind w:left="1847" w:right="106" w:hanging="1841" w:hangingChars="536"/>
        <w:jc w:val="center"/>
        <w:rPr>
          <w:b w:val="0"/>
          <w:bCs w:val="0"/>
          <w:color w:val="000000" w:themeColor="text1"/>
          <w:lang w:eastAsia="zh-CN"/>
          <w14:textFill>
            <w14:solidFill>
              <w14:schemeClr w14:val="tx1"/>
            </w14:solidFill>
          </w14:textFill>
        </w:rPr>
      </w:pPr>
      <w:bookmarkStart w:id="0" w:name="_TOC_250005"/>
      <w:r>
        <w:rPr>
          <w:color w:val="000000" w:themeColor="text1"/>
          <w:w w:val="95"/>
          <w:lang w:eastAsia="zh-CN"/>
          <w14:textFill>
            <w14:solidFill>
              <w14:schemeClr w14:val="tx1"/>
            </w14:solidFill>
          </w14:textFill>
        </w:rPr>
        <w:t>第一章</w:t>
      </w:r>
      <w:r>
        <w:rPr>
          <w:color w:val="000000" w:themeColor="text1"/>
          <w:w w:val="95"/>
          <w:lang w:eastAsia="zh-CN"/>
          <w14:textFill>
            <w14:solidFill>
              <w14:schemeClr w14:val="tx1"/>
            </w14:solidFill>
          </w14:textFill>
        </w:rPr>
        <w:tab/>
      </w:r>
      <w:r>
        <w:rPr>
          <w:color w:val="000000" w:themeColor="text1"/>
          <w:lang w:eastAsia="zh-CN"/>
          <w14:textFill>
            <w14:solidFill>
              <w14:schemeClr w14:val="tx1"/>
            </w14:solidFill>
          </w14:textFill>
        </w:rPr>
        <w:t>招标公告</w:t>
      </w:r>
      <w:bookmarkEnd w:id="0"/>
    </w:p>
    <w:p>
      <w:pPr>
        <w:rPr>
          <w:color w:val="000000" w:themeColor="text1"/>
          <w:lang w:eastAsia="zh-CN"/>
          <w14:textFill>
            <w14:solidFill>
              <w14:schemeClr w14:val="tx1"/>
            </w14:solidFill>
          </w14:textFill>
        </w:rPr>
        <w:sectPr>
          <w:footerReference r:id="rId6" w:type="default"/>
          <w:pgSz w:w="11910" w:h="16840"/>
          <w:pgMar w:top="1240" w:right="1680" w:bottom="1520" w:left="1680" w:header="968" w:footer="1338" w:gutter="0"/>
          <w:cols w:space="720" w:num="1"/>
        </w:sectPr>
      </w:pPr>
    </w:p>
    <w:p>
      <w:pPr>
        <w:spacing w:line="360" w:lineRule="auto"/>
        <w:ind w:firstLine="560" w:firstLineChars="200"/>
        <w:jc w:val="center"/>
        <w:rPr>
          <w:rFonts w:ascii="宋体" w:hAnsi="宋体" w:cs="宋体"/>
          <w:b/>
          <w:bCs/>
          <w:kern w:val="2"/>
          <w:sz w:val="28"/>
          <w:szCs w:val="28"/>
          <w:lang w:eastAsia="zh-CN"/>
        </w:rPr>
      </w:pPr>
      <w:r>
        <w:rPr>
          <w:rFonts w:hint="eastAsia" w:ascii="宋体" w:hAnsi="宋体" w:cs="宋体"/>
          <w:b/>
          <w:bCs/>
          <w:kern w:val="2"/>
          <w:sz w:val="28"/>
          <w:szCs w:val="28"/>
          <w:lang w:eastAsia="zh-CN"/>
        </w:rPr>
        <w:t>阳西县儒洞镇边海村进村大桥工程勘察设计</w:t>
      </w:r>
    </w:p>
    <w:p>
      <w:pPr>
        <w:spacing w:line="360" w:lineRule="auto"/>
        <w:ind w:firstLine="560" w:firstLineChars="200"/>
        <w:jc w:val="center"/>
        <w:rPr>
          <w:rFonts w:ascii="宋体" w:hAnsi="宋体" w:cs="宋体"/>
          <w:b/>
          <w:bCs/>
          <w:kern w:val="2"/>
          <w:sz w:val="28"/>
          <w:szCs w:val="28"/>
          <w:lang w:eastAsia="zh-CN"/>
        </w:rPr>
      </w:pPr>
      <w:r>
        <w:rPr>
          <w:rFonts w:ascii="宋体" w:hAnsi="宋体" w:cs="宋体"/>
          <w:b/>
          <w:bCs/>
          <w:kern w:val="2"/>
          <w:sz w:val="28"/>
          <w:szCs w:val="28"/>
          <w:lang w:eastAsia="zh-CN"/>
        </w:rPr>
        <w:t>招标公告</w:t>
      </w:r>
    </w:p>
    <w:p>
      <w:pPr>
        <w:spacing w:line="360" w:lineRule="auto"/>
        <w:ind w:firstLine="480" w:firstLineChars="200"/>
        <w:jc w:val="both"/>
        <w:rPr>
          <w:rFonts w:ascii="宋体" w:hAnsi="宋体" w:cs="宋体"/>
          <w:b/>
          <w:bCs/>
          <w:kern w:val="2"/>
          <w:sz w:val="24"/>
          <w:szCs w:val="24"/>
          <w:lang w:eastAsia="zh-CN"/>
        </w:rPr>
      </w:pPr>
      <w:r>
        <w:rPr>
          <w:rFonts w:ascii="宋体" w:hAnsi="宋体" w:cs="宋体"/>
          <w:b/>
          <w:bCs/>
          <w:kern w:val="2"/>
          <w:sz w:val="24"/>
          <w:szCs w:val="24"/>
          <w:lang w:eastAsia="zh-CN"/>
        </w:rPr>
        <w:t>1.招标条件</w:t>
      </w:r>
    </w:p>
    <w:p>
      <w:pPr>
        <w:spacing w:before="160" w:line="374" w:lineRule="auto"/>
        <w:ind w:right="80" w:firstLine="504" w:firstLineChars="200"/>
        <w:rPr>
          <w:rFonts w:ascii="宋体" w:hAnsi="宋体" w:cs="宋体"/>
          <w:sz w:val="23"/>
          <w:szCs w:val="23"/>
          <w:lang w:eastAsia="zh-CN"/>
        </w:rPr>
      </w:pPr>
      <w:r>
        <w:rPr>
          <w:rFonts w:ascii="宋体" w:hAnsi="宋体" w:cs="宋体"/>
          <w:spacing w:val="11"/>
          <w:sz w:val="23"/>
          <w:szCs w:val="23"/>
          <w:lang w:eastAsia="zh-CN"/>
        </w:rPr>
        <w:t>本招标项目</w:t>
      </w:r>
      <w:r>
        <w:rPr>
          <w:rFonts w:hint="eastAsia" w:ascii="宋体" w:hAnsi="宋体" w:cs="宋体"/>
          <w:spacing w:val="11"/>
          <w:sz w:val="23"/>
          <w:szCs w:val="23"/>
          <w:u w:val="single"/>
          <w:lang w:eastAsia="zh-CN"/>
        </w:rPr>
        <w:t>阳西县儒洞镇边海村进村大桥工程</w:t>
      </w:r>
      <w:r>
        <w:rPr>
          <w:rFonts w:ascii="宋体" w:hAnsi="宋体" w:cs="宋体"/>
          <w:spacing w:val="11"/>
          <w:sz w:val="23"/>
          <w:szCs w:val="23"/>
          <w:lang w:eastAsia="zh-CN"/>
        </w:rPr>
        <w:t>已由</w:t>
      </w:r>
      <w:r>
        <w:rPr>
          <w:rFonts w:hint="eastAsia" w:ascii="宋体" w:hAnsi="宋体" w:cs="宋体"/>
          <w:spacing w:val="11"/>
          <w:sz w:val="23"/>
          <w:szCs w:val="23"/>
          <w:u w:val="single"/>
          <w:lang w:eastAsia="zh-CN"/>
        </w:rPr>
        <w:t>阳西县发展和改革局</w:t>
      </w:r>
      <w:r>
        <w:rPr>
          <w:rFonts w:ascii="宋体" w:hAnsi="宋体" w:cs="宋体"/>
          <w:spacing w:val="2"/>
          <w:sz w:val="23"/>
          <w:szCs w:val="23"/>
          <w:lang w:eastAsia="zh-CN"/>
        </w:rPr>
        <w:t>以</w:t>
      </w:r>
      <w:r>
        <w:rPr>
          <w:rFonts w:hint="eastAsia" w:ascii="宋体" w:hAnsi="宋体" w:cs="宋体"/>
          <w:spacing w:val="2"/>
          <w:sz w:val="23"/>
          <w:szCs w:val="23"/>
          <w:u w:val="single"/>
          <w:lang w:eastAsia="zh-CN"/>
        </w:rPr>
        <w:t>西发改产交[2022]7号</w:t>
      </w:r>
      <w:r>
        <w:rPr>
          <w:rFonts w:ascii="宋体" w:hAnsi="宋体" w:cs="宋体"/>
          <w:spacing w:val="16"/>
          <w:sz w:val="23"/>
          <w:szCs w:val="23"/>
          <w:lang w:eastAsia="zh-CN"/>
        </w:rPr>
        <w:t>批准</w:t>
      </w:r>
      <w:r>
        <w:rPr>
          <w:rFonts w:ascii="宋体" w:hAnsi="宋体" w:cs="宋体"/>
          <w:spacing w:val="11"/>
          <w:sz w:val="23"/>
          <w:szCs w:val="23"/>
          <w:lang w:eastAsia="zh-CN"/>
        </w:rPr>
        <w:t>建</w:t>
      </w:r>
      <w:r>
        <w:rPr>
          <w:rFonts w:ascii="宋体" w:hAnsi="宋体" w:cs="宋体"/>
          <w:spacing w:val="8"/>
          <w:sz w:val="23"/>
          <w:szCs w:val="23"/>
          <w:lang w:eastAsia="zh-CN"/>
        </w:rPr>
        <w:t>设，项目业主为</w:t>
      </w:r>
      <w:r>
        <w:rPr>
          <w:rFonts w:hint="eastAsia" w:ascii="宋体" w:hAnsi="宋体" w:cs="宋体"/>
          <w:spacing w:val="8"/>
          <w:sz w:val="23"/>
          <w:szCs w:val="23"/>
          <w:u w:val="single"/>
          <w:lang w:eastAsia="zh-CN"/>
        </w:rPr>
        <w:t>阳西县交通运输局地方公路管理站</w:t>
      </w:r>
      <w:r>
        <w:rPr>
          <w:rFonts w:ascii="宋体" w:hAnsi="宋体" w:cs="宋体"/>
          <w:spacing w:val="8"/>
          <w:sz w:val="23"/>
          <w:szCs w:val="23"/>
          <w:lang w:eastAsia="zh-CN"/>
        </w:rPr>
        <w:t>，建设资金来自</w:t>
      </w:r>
      <w:r>
        <w:rPr>
          <w:rFonts w:hint="eastAsia" w:ascii="宋体" w:hAnsi="宋体" w:cs="宋体"/>
          <w:spacing w:val="8"/>
          <w:sz w:val="23"/>
          <w:szCs w:val="23"/>
          <w:u w:val="single"/>
          <w:lang w:eastAsia="zh-CN"/>
        </w:rPr>
        <w:t>县乡村振兴建设项目资金中统筹解决</w:t>
      </w:r>
      <w:r>
        <w:rPr>
          <w:rFonts w:ascii="宋体" w:hAnsi="宋体" w:cs="宋体"/>
          <w:spacing w:val="8"/>
          <w:sz w:val="23"/>
          <w:szCs w:val="23"/>
          <w:lang w:eastAsia="zh-CN"/>
        </w:rPr>
        <w:t>，招标人</w:t>
      </w:r>
      <w:r>
        <w:rPr>
          <w:rFonts w:ascii="宋体" w:hAnsi="宋体" w:cs="宋体"/>
          <w:spacing w:val="16"/>
          <w:sz w:val="23"/>
          <w:szCs w:val="23"/>
          <w:lang w:eastAsia="zh-CN"/>
        </w:rPr>
        <w:t>为</w:t>
      </w:r>
      <w:r>
        <w:rPr>
          <w:rFonts w:hint="eastAsia" w:ascii="宋体" w:hAnsi="宋体" w:cs="宋体"/>
          <w:spacing w:val="16"/>
          <w:sz w:val="23"/>
          <w:szCs w:val="23"/>
          <w:u w:val="single"/>
          <w:lang w:eastAsia="zh-CN"/>
        </w:rPr>
        <w:t>阳西县交通运输局地方公路管理站</w:t>
      </w:r>
      <w:r>
        <w:rPr>
          <w:rFonts w:ascii="宋体" w:hAnsi="宋体" w:cs="宋体"/>
          <w:spacing w:val="8"/>
          <w:sz w:val="23"/>
          <w:szCs w:val="23"/>
          <w:lang w:eastAsia="zh-CN"/>
        </w:rPr>
        <w:t>，项目已具备招标条件，现对该项目的</w:t>
      </w:r>
      <w:r>
        <w:rPr>
          <w:rFonts w:hint="eastAsia" w:ascii="宋体" w:hAnsi="宋体" w:cs="宋体"/>
          <w:spacing w:val="8"/>
          <w:sz w:val="23"/>
          <w:szCs w:val="23"/>
          <w:u w:val="single"/>
          <w:lang w:eastAsia="zh-CN"/>
        </w:rPr>
        <w:t xml:space="preserve"> 勘察设计 </w:t>
      </w:r>
      <w:r>
        <w:rPr>
          <w:rFonts w:ascii="宋体" w:hAnsi="宋体" w:cs="宋体"/>
          <w:spacing w:val="8"/>
          <w:sz w:val="23"/>
          <w:szCs w:val="23"/>
          <w:lang w:eastAsia="zh-CN"/>
        </w:rPr>
        <w:t>进行公开招标</w:t>
      </w:r>
      <w:r>
        <w:rPr>
          <w:rFonts w:ascii="宋体" w:hAnsi="宋体" w:cs="宋体"/>
          <w:spacing w:val="5"/>
          <w:sz w:val="23"/>
          <w:szCs w:val="23"/>
          <w:lang w:eastAsia="zh-CN"/>
        </w:rPr>
        <w:t>。</w:t>
      </w:r>
    </w:p>
    <w:p>
      <w:pPr>
        <w:spacing w:line="360" w:lineRule="auto"/>
        <w:ind w:firstLine="480" w:firstLineChars="200"/>
        <w:jc w:val="both"/>
        <w:rPr>
          <w:rFonts w:ascii="宋体" w:hAnsi="宋体" w:cs="宋体"/>
          <w:b/>
          <w:bCs/>
          <w:kern w:val="2"/>
          <w:sz w:val="24"/>
          <w:szCs w:val="24"/>
          <w:lang w:eastAsia="zh-CN"/>
        </w:rPr>
      </w:pPr>
      <w:r>
        <w:rPr>
          <w:rFonts w:ascii="宋体" w:hAnsi="宋体" w:cs="宋体"/>
          <w:b/>
          <w:bCs/>
          <w:kern w:val="2"/>
          <w:sz w:val="24"/>
          <w:szCs w:val="24"/>
          <w:lang w:eastAsia="zh-CN"/>
        </w:rPr>
        <w:t>2.项目概况及招标范围</w:t>
      </w:r>
    </w:p>
    <w:p>
      <w:pPr>
        <w:spacing w:before="158" w:line="227" w:lineRule="auto"/>
        <w:ind w:left="483"/>
        <w:rPr>
          <w:rFonts w:ascii="宋体" w:hAnsi="宋体" w:cs="宋体"/>
          <w:sz w:val="23"/>
          <w:szCs w:val="23"/>
          <w:lang w:eastAsia="zh-CN"/>
        </w:rPr>
      </w:pPr>
      <w:r>
        <w:rPr>
          <w:rFonts w:ascii="宋体" w:hAnsi="宋体" w:cs="宋体"/>
          <w:spacing w:val="7"/>
          <w:sz w:val="23"/>
          <w:szCs w:val="23"/>
          <w:lang w:eastAsia="zh-CN"/>
        </w:rPr>
        <w:t>2</w:t>
      </w:r>
      <w:r>
        <w:rPr>
          <w:rFonts w:ascii="宋体" w:hAnsi="宋体" w:cs="宋体"/>
          <w:spacing w:val="5"/>
          <w:sz w:val="23"/>
          <w:szCs w:val="23"/>
          <w:lang w:eastAsia="zh-CN"/>
        </w:rPr>
        <w:t>.1 项目概况：</w:t>
      </w:r>
    </w:p>
    <w:p>
      <w:pPr>
        <w:spacing w:before="181" w:line="375" w:lineRule="auto"/>
        <w:ind w:firstLine="492" w:firstLineChars="200"/>
        <w:rPr>
          <w:rFonts w:ascii="宋体" w:hAnsi="宋体" w:cs="宋体"/>
          <w:spacing w:val="8"/>
          <w:sz w:val="23"/>
          <w:szCs w:val="23"/>
          <w:lang w:eastAsia="zh-CN"/>
        </w:rPr>
      </w:pPr>
      <w:r>
        <w:rPr>
          <w:rFonts w:hint="eastAsia" w:ascii="宋体" w:hAnsi="宋体" w:cs="宋体"/>
          <w:spacing w:val="8"/>
          <w:sz w:val="23"/>
          <w:szCs w:val="23"/>
          <w:lang w:eastAsia="zh-CN"/>
        </w:rPr>
        <w:t>新建桥梁长度225m（含桥台耳长度），采用双向两车道三级公路标准，设计速度为30km/h，路基宽度8.5m；南岸路改扩建全长215m，采用双向两车道四级公路标准，设计速度为20km/h，路基宽8.5m。</w:t>
      </w:r>
    </w:p>
    <w:p>
      <w:pPr>
        <w:spacing w:before="181" w:line="375" w:lineRule="auto"/>
        <w:ind w:firstLine="479"/>
        <w:rPr>
          <w:rFonts w:ascii="宋体" w:hAnsi="宋体" w:cs="宋体"/>
          <w:spacing w:val="8"/>
          <w:sz w:val="23"/>
          <w:szCs w:val="23"/>
          <w:lang w:eastAsia="zh-CN"/>
        </w:rPr>
      </w:pPr>
      <w:r>
        <w:rPr>
          <w:rFonts w:ascii="宋体" w:hAnsi="宋体" w:cs="宋体"/>
          <w:spacing w:val="7"/>
          <w:sz w:val="23"/>
          <w:szCs w:val="23"/>
          <w:lang w:eastAsia="zh-CN"/>
        </w:rPr>
        <w:t>2</w:t>
      </w:r>
      <w:r>
        <w:rPr>
          <w:rFonts w:ascii="宋体" w:hAnsi="宋体" w:cs="宋体"/>
          <w:spacing w:val="5"/>
          <w:sz w:val="23"/>
          <w:szCs w:val="23"/>
          <w:lang w:eastAsia="zh-CN"/>
        </w:rPr>
        <w:t>.2 招</w:t>
      </w:r>
      <w:r>
        <w:rPr>
          <w:rFonts w:hint="eastAsia" w:ascii="宋体" w:hAnsi="宋体" w:cs="宋体"/>
          <w:spacing w:val="8"/>
          <w:sz w:val="23"/>
          <w:szCs w:val="23"/>
          <w:lang w:eastAsia="zh-CN"/>
        </w:rPr>
        <w:t>标范围包括但不限于：工程测量、地质钻探、初步设计、施工图设计、预算编制、施工现场跟踪服务等。</w:t>
      </w:r>
    </w:p>
    <w:p>
      <w:pPr>
        <w:spacing w:line="227" w:lineRule="auto"/>
        <w:ind w:left="483"/>
        <w:rPr>
          <w:rFonts w:ascii="宋体" w:hAnsi="宋体" w:cs="宋体"/>
          <w:sz w:val="23"/>
          <w:szCs w:val="23"/>
          <w:lang w:eastAsia="zh-CN"/>
        </w:rPr>
      </w:pPr>
      <w:r>
        <w:rPr>
          <w:rFonts w:ascii="宋体" w:hAnsi="宋体" w:cs="宋体"/>
          <w:spacing w:val="7"/>
          <w:sz w:val="23"/>
          <w:szCs w:val="23"/>
          <w:lang w:eastAsia="zh-CN"/>
        </w:rPr>
        <w:t>2</w:t>
      </w:r>
      <w:r>
        <w:rPr>
          <w:rFonts w:ascii="宋体" w:hAnsi="宋体" w:cs="宋体"/>
          <w:spacing w:val="6"/>
          <w:sz w:val="23"/>
          <w:szCs w:val="23"/>
          <w:lang w:eastAsia="zh-CN"/>
        </w:rPr>
        <w:t>.3 勘察设计周期：</w:t>
      </w:r>
    </w:p>
    <w:p>
      <w:pPr>
        <w:spacing w:before="184" w:line="227" w:lineRule="auto"/>
        <w:ind w:left="481"/>
        <w:rPr>
          <w:rFonts w:ascii="宋体" w:hAnsi="宋体" w:cs="宋体"/>
          <w:sz w:val="23"/>
          <w:szCs w:val="23"/>
          <w:lang w:eastAsia="zh-CN"/>
        </w:rPr>
      </w:pPr>
      <w:r>
        <w:rPr>
          <w:rFonts w:ascii="宋体" w:hAnsi="宋体" w:cs="宋体"/>
          <w:spacing w:val="9"/>
          <w:sz w:val="23"/>
          <w:szCs w:val="23"/>
          <w:lang w:eastAsia="zh-CN"/>
        </w:rPr>
        <w:t>本</w:t>
      </w:r>
      <w:r>
        <w:rPr>
          <w:rFonts w:ascii="宋体" w:hAnsi="宋体" w:cs="宋体"/>
          <w:spacing w:val="5"/>
          <w:sz w:val="23"/>
          <w:szCs w:val="23"/>
          <w:lang w:eastAsia="zh-CN"/>
        </w:rPr>
        <w:t>工程勘察设计工期为</w:t>
      </w:r>
      <w:r>
        <w:rPr>
          <w:rFonts w:hint="eastAsia" w:ascii="宋体" w:hAnsi="宋体" w:eastAsia="宋体" w:cs="宋体"/>
          <w:spacing w:val="5"/>
          <w:sz w:val="23"/>
          <w:szCs w:val="23"/>
          <w:lang w:eastAsia="zh-CN"/>
        </w:rPr>
        <w:t>100</w:t>
      </w:r>
      <w:r>
        <w:rPr>
          <w:rFonts w:ascii="宋体" w:hAnsi="宋体" w:cs="宋体"/>
          <w:spacing w:val="5"/>
          <w:sz w:val="23"/>
          <w:szCs w:val="23"/>
          <w:lang w:eastAsia="zh-CN"/>
        </w:rPr>
        <w:t>天，具体如下：</w:t>
      </w:r>
    </w:p>
    <w:p>
      <w:pPr>
        <w:spacing w:before="183" w:line="375" w:lineRule="auto"/>
        <w:ind w:left="2" w:right="80" w:firstLine="489"/>
        <w:rPr>
          <w:rFonts w:ascii="宋体" w:hAnsi="宋体" w:cs="宋体"/>
          <w:sz w:val="23"/>
          <w:szCs w:val="23"/>
          <w:lang w:eastAsia="zh-CN"/>
        </w:rPr>
      </w:pPr>
      <w:r>
        <w:rPr>
          <w:rFonts w:ascii="宋体" w:hAnsi="宋体" w:cs="宋体"/>
          <w:spacing w:val="14"/>
          <w:sz w:val="23"/>
          <w:szCs w:val="23"/>
          <w:lang w:eastAsia="zh-CN"/>
        </w:rPr>
        <w:t>(</w:t>
      </w:r>
      <w:r>
        <w:rPr>
          <w:rFonts w:ascii="宋体" w:hAnsi="宋体" w:cs="宋体"/>
          <w:spacing w:val="11"/>
          <w:sz w:val="23"/>
          <w:szCs w:val="23"/>
          <w:lang w:eastAsia="zh-CN"/>
        </w:rPr>
        <w:t>1</w:t>
      </w:r>
      <w:r>
        <w:rPr>
          <w:rFonts w:ascii="宋体" w:hAnsi="宋体" w:cs="宋体"/>
          <w:spacing w:val="7"/>
          <w:sz w:val="23"/>
          <w:szCs w:val="23"/>
          <w:lang w:eastAsia="zh-CN"/>
        </w:rPr>
        <w:t>) 合同签订之日起</w:t>
      </w:r>
      <w:r>
        <w:rPr>
          <w:rFonts w:hint="eastAsia" w:ascii="宋体" w:hAnsi="宋体" w:eastAsia="宋体" w:cs="宋体"/>
          <w:spacing w:val="7"/>
          <w:sz w:val="23"/>
          <w:szCs w:val="23"/>
          <w:lang w:eastAsia="zh-CN"/>
        </w:rPr>
        <w:t>25</w:t>
      </w:r>
      <w:r>
        <w:rPr>
          <w:rFonts w:ascii="宋体" w:hAnsi="宋体" w:cs="宋体"/>
          <w:spacing w:val="7"/>
          <w:sz w:val="23"/>
          <w:szCs w:val="23"/>
          <w:lang w:eastAsia="zh-CN"/>
        </w:rPr>
        <w:t>天内，提交勘察成果文件及初步设计</w:t>
      </w:r>
      <w:r>
        <w:rPr>
          <w:rFonts w:ascii="宋体" w:hAnsi="宋体" w:cs="宋体"/>
          <w:spacing w:val="8"/>
          <w:sz w:val="23"/>
          <w:szCs w:val="23"/>
          <w:lang w:eastAsia="zh-CN"/>
        </w:rPr>
        <w:t>文</w:t>
      </w:r>
      <w:r>
        <w:rPr>
          <w:rFonts w:ascii="宋体" w:hAnsi="宋体" w:cs="宋体"/>
          <w:spacing w:val="6"/>
          <w:sz w:val="23"/>
          <w:szCs w:val="23"/>
          <w:lang w:eastAsia="zh-CN"/>
        </w:rPr>
        <w:t>件送审稿；</w:t>
      </w:r>
    </w:p>
    <w:p>
      <w:pPr>
        <w:spacing w:before="2" w:line="383" w:lineRule="auto"/>
        <w:ind w:left="2" w:right="80" w:firstLine="489"/>
        <w:rPr>
          <w:rFonts w:ascii="宋体" w:hAnsi="宋体" w:cs="宋体"/>
          <w:spacing w:val="7"/>
          <w:sz w:val="23"/>
          <w:szCs w:val="23"/>
          <w:lang w:eastAsia="zh-CN"/>
        </w:rPr>
      </w:pPr>
      <w:r>
        <w:rPr>
          <w:rFonts w:ascii="宋体" w:hAnsi="宋体" w:cs="宋体"/>
          <w:spacing w:val="14"/>
          <w:sz w:val="23"/>
          <w:szCs w:val="23"/>
          <w:lang w:eastAsia="zh-CN"/>
        </w:rPr>
        <w:t>(</w:t>
      </w:r>
      <w:r>
        <w:rPr>
          <w:rFonts w:ascii="宋体" w:hAnsi="宋体" w:cs="宋体"/>
          <w:spacing w:val="11"/>
          <w:sz w:val="23"/>
          <w:szCs w:val="23"/>
          <w:lang w:eastAsia="zh-CN"/>
        </w:rPr>
        <w:t>2</w:t>
      </w:r>
      <w:r>
        <w:rPr>
          <w:rFonts w:ascii="宋体" w:hAnsi="宋体" w:cs="宋体"/>
          <w:spacing w:val="7"/>
          <w:sz w:val="23"/>
          <w:szCs w:val="23"/>
          <w:lang w:eastAsia="zh-CN"/>
        </w:rPr>
        <w:t>) 初步设计通过评审之日起</w:t>
      </w:r>
      <w:r>
        <w:rPr>
          <w:rFonts w:hint="eastAsia" w:ascii="宋体" w:hAnsi="宋体" w:eastAsia="宋体" w:cs="宋体"/>
          <w:spacing w:val="7"/>
          <w:sz w:val="23"/>
          <w:szCs w:val="23"/>
          <w:lang w:eastAsia="zh-CN"/>
        </w:rPr>
        <w:t>25</w:t>
      </w:r>
      <w:r>
        <w:rPr>
          <w:rFonts w:ascii="宋体" w:hAnsi="宋体" w:cs="宋体"/>
          <w:spacing w:val="7"/>
          <w:sz w:val="23"/>
          <w:szCs w:val="23"/>
          <w:lang w:eastAsia="zh-CN"/>
        </w:rPr>
        <w:t>天内，提交初步设计报批稿</w:t>
      </w:r>
      <w:r>
        <w:rPr>
          <w:rFonts w:hint="eastAsia" w:ascii="宋体" w:hAnsi="宋体" w:cs="宋体"/>
          <w:spacing w:val="7"/>
          <w:sz w:val="23"/>
          <w:szCs w:val="23"/>
          <w:lang w:eastAsia="zh-CN"/>
        </w:rPr>
        <w:t>；</w:t>
      </w:r>
    </w:p>
    <w:p>
      <w:pPr>
        <w:spacing w:before="2" w:line="383" w:lineRule="auto"/>
        <w:ind w:left="2" w:right="80" w:firstLine="489"/>
        <w:rPr>
          <w:rFonts w:ascii="宋体" w:hAnsi="宋体" w:cs="宋体"/>
          <w:spacing w:val="7"/>
          <w:sz w:val="23"/>
          <w:szCs w:val="23"/>
          <w:lang w:eastAsia="zh-CN"/>
        </w:rPr>
      </w:pPr>
      <w:r>
        <w:rPr>
          <w:rFonts w:ascii="宋体" w:hAnsi="宋体" w:cs="宋体"/>
          <w:spacing w:val="14"/>
          <w:sz w:val="23"/>
          <w:szCs w:val="23"/>
          <w:lang w:eastAsia="zh-CN"/>
        </w:rPr>
        <w:t>(</w:t>
      </w:r>
      <w:r>
        <w:rPr>
          <w:rFonts w:hint="eastAsia" w:ascii="宋体" w:hAnsi="宋体" w:cs="宋体"/>
          <w:spacing w:val="14"/>
          <w:sz w:val="23"/>
          <w:szCs w:val="23"/>
          <w:lang w:eastAsia="zh-CN"/>
        </w:rPr>
        <w:t>3</w:t>
      </w:r>
      <w:r>
        <w:rPr>
          <w:rFonts w:ascii="宋体" w:hAnsi="宋体" w:cs="宋体"/>
          <w:spacing w:val="7"/>
          <w:sz w:val="23"/>
          <w:szCs w:val="23"/>
          <w:lang w:eastAsia="zh-CN"/>
        </w:rPr>
        <w:t>)自收到初步设计确认文件后</w:t>
      </w:r>
      <w:r>
        <w:rPr>
          <w:rFonts w:hint="eastAsia" w:ascii="宋体" w:hAnsi="宋体" w:eastAsia="宋体" w:cs="宋体"/>
          <w:spacing w:val="7"/>
          <w:sz w:val="23"/>
          <w:szCs w:val="23"/>
          <w:lang w:eastAsia="zh-CN"/>
        </w:rPr>
        <w:t>25</w:t>
      </w:r>
      <w:r>
        <w:rPr>
          <w:rFonts w:ascii="宋体" w:hAnsi="宋体" w:cs="宋体"/>
          <w:spacing w:val="7"/>
          <w:sz w:val="23"/>
          <w:szCs w:val="23"/>
          <w:lang w:eastAsia="zh-CN"/>
        </w:rPr>
        <w:t>天内，提交施工图设计文件送审稿</w:t>
      </w:r>
      <w:r>
        <w:rPr>
          <w:rFonts w:hint="eastAsia" w:ascii="宋体" w:hAnsi="宋体" w:cs="宋体"/>
          <w:spacing w:val="7"/>
          <w:sz w:val="23"/>
          <w:szCs w:val="23"/>
          <w:lang w:eastAsia="zh-CN"/>
        </w:rPr>
        <w:t>；</w:t>
      </w:r>
    </w:p>
    <w:p>
      <w:pPr>
        <w:spacing w:before="2" w:line="383" w:lineRule="auto"/>
        <w:ind w:left="2" w:right="80" w:firstLine="489"/>
        <w:rPr>
          <w:rFonts w:ascii="宋体" w:hAnsi="宋体" w:cs="宋体"/>
          <w:spacing w:val="7"/>
          <w:sz w:val="23"/>
          <w:szCs w:val="23"/>
          <w:lang w:eastAsia="zh-CN"/>
        </w:rPr>
      </w:pPr>
      <w:r>
        <w:rPr>
          <w:rFonts w:ascii="宋体" w:hAnsi="宋体" w:cs="宋体"/>
          <w:spacing w:val="14"/>
          <w:sz w:val="23"/>
          <w:szCs w:val="23"/>
          <w:lang w:eastAsia="zh-CN"/>
        </w:rPr>
        <w:t>(</w:t>
      </w:r>
      <w:r>
        <w:rPr>
          <w:rFonts w:hint="eastAsia" w:ascii="宋体" w:hAnsi="宋体" w:cs="宋体"/>
          <w:spacing w:val="14"/>
          <w:sz w:val="23"/>
          <w:szCs w:val="23"/>
          <w:lang w:eastAsia="zh-CN"/>
        </w:rPr>
        <w:t>4</w:t>
      </w:r>
      <w:r>
        <w:rPr>
          <w:rFonts w:ascii="宋体" w:hAnsi="宋体" w:cs="宋体"/>
          <w:spacing w:val="7"/>
          <w:sz w:val="23"/>
          <w:szCs w:val="23"/>
          <w:lang w:eastAsia="zh-CN"/>
        </w:rPr>
        <w:t>) 施工图设计通过评审之日起</w:t>
      </w:r>
      <w:r>
        <w:rPr>
          <w:rFonts w:hint="eastAsia" w:ascii="宋体" w:hAnsi="宋体" w:eastAsia="宋体" w:cs="宋体"/>
          <w:spacing w:val="7"/>
          <w:sz w:val="23"/>
          <w:szCs w:val="23"/>
          <w:lang w:eastAsia="zh-CN"/>
        </w:rPr>
        <w:t>25</w:t>
      </w:r>
      <w:r>
        <w:rPr>
          <w:rFonts w:ascii="宋体" w:hAnsi="宋体" w:cs="宋体"/>
          <w:spacing w:val="7"/>
          <w:sz w:val="23"/>
          <w:szCs w:val="23"/>
          <w:lang w:eastAsia="zh-CN"/>
        </w:rPr>
        <w:t>天内，提交施工图设计报批稿</w:t>
      </w:r>
      <w:r>
        <w:rPr>
          <w:rFonts w:hint="eastAsia" w:ascii="宋体" w:hAnsi="宋体" w:cs="宋体"/>
          <w:spacing w:val="7"/>
          <w:sz w:val="23"/>
          <w:szCs w:val="23"/>
          <w:lang w:eastAsia="zh-CN"/>
        </w:rPr>
        <w:t>。</w:t>
      </w:r>
    </w:p>
    <w:p>
      <w:pPr>
        <w:spacing w:line="360" w:lineRule="auto"/>
        <w:ind w:firstLine="480" w:firstLineChars="200"/>
        <w:jc w:val="both"/>
        <w:rPr>
          <w:rFonts w:ascii="宋体" w:hAnsi="宋体" w:cs="宋体"/>
          <w:b/>
          <w:bCs/>
          <w:kern w:val="2"/>
          <w:sz w:val="24"/>
          <w:szCs w:val="24"/>
          <w:lang w:eastAsia="zh-CN"/>
        </w:rPr>
      </w:pPr>
      <w:r>
        <w:rPr>
          <w:rFonts w:ascii="宋体" w:hAnsi="宋体" w:cs="宋体"/>
          <w:b/>
          <w:bCs/>
          <w:kern w:val="2"/>
          <w:sz w:val="24"/>
          <w:szCs w:val="24"/>
          <w:lang w:eastAsia="zh-CN"/>
        </w:rPr>
        <w:t>3.投标人资格要求</w:t>
      </w:r>
    </w:p>
    <w:p>
      <w:pPr>
        <w:spacing w:before="156" w:line="375" w:lineRule="auto"/>
        <w:ind w:right="80" w:firstLine="492" w:firstLineChars="200"/>
        <w:rPr>
          <w:rFonts w:ascii="宋体" w:hAnsi="宋体" w:cs="宋体"/>
          <w:sz w:val="23"/>
          <w:szCs w:val="23"/>
          <w:lang w:eastAsia="zh-CN"/>
        </w:rPr>
      </w:pPr>
      <w:r>
        <w:rPr>
          <w:rFonts w:ascii="宋体" w:hAnsi="宋体" w:cs="宋体"/>
          <w:spacing w:val="8"/>
          <w:sz w:val="23"/>
          <w:szCs w:val="23"/>
          <w:lang w:eastAsia="zh-CN"/>
        </w:rPr>
        <w:t>3.1 资质要求：本次招标要求投标人同时具备承接本项目所需的以下资质，并在</w:t>
      </w:r>
      <w:r>
        <w:rPr>
          <w:rFonts w:ascii="宋体" w:hAnsi="宋体" w:cs="宋体"/>
          <w:spacing w:val="1"/>
          <w:sz w:val="23"/>
          <w:szCs w:val="23"/>
          <w:lang w:eastAsia="zh-CN"/>
        </w:rPr>
        <w:t>人</w:t>
      </w:r>
      <w:r>
        <w:rPr>
          <w:rFonts w:ascii="宋体" w:hAnsi="宋体" w:cs="宋体"/>
          <w:spacing w:val="9"/>
          <w:sz w:val="23"/>
          <w:szCs w:val="23"/>
          <w:lang w:eastAsia="zh-CN"/>
        </w:rPr>
        <w:t>员、相应设备等方面具有相应的勘察设计能力</w:t>
      </w:r>
      <w:r>
        <w:rPr>
          <w:rFonts w:ascii="宋体" w:hAnsi="宋体" w:cs="宋体"/>
          <w:spacing w:val="5"/>
          <w:sz w:val="23"/>
          <w:szCs w:val="23"/>
          <w:lang w:eastAsia="zh-CN"/>
        </w:rPr>
        <w:t>：</w:t>
      </w:r>
    </w:p>
    <w:p>
      <w:pPr>
        <w:spacing w:before="1" w:line="374" w:lineRule="auto"/>
        <w:ind w:left="4" w:right="80" w:firstLine="480"/>
        <w:rPr>
          <w:rFonts w:ascii="宋体" w:hAnsi="宋体" w:cs="宋体"/>
          <w:spacing w:val="8"/>
          <w:sz w:val="23"/>
          <w:szCs w:val="23"/>
          <w:lang w:eastAsia="zh-CN"/>
        </w:rPr>
      </w:pPr>
      <w:r>
        <w:rPr>
          <w:rFonts w:hint="eastAsia" w:ascii="宋体" w:hAnsi="宋体" w:cs="宋体"/>
          <w:spacing w:val="16"/>
          <w:sz w:val="23"/>
          <w:szCs w:val="23"/>
          <w:lang w:eastAsia="zh-CN"/>
        </w:rPr>
        <w:t>（1）</w:t>
      </w:r>
      <w:r>
        <w:rPr>
          <w:rFonts w:ascii="宋体" w:hAnsi="宋体" w:cs="宋体"/>
          <w:spacing w:val="16"/>
          <w:sz w:val="23"/>
          <w:szCs w:val="23"/>
          <w:lang w:eastAsia="zh-CN"/>
        </w:rPr>
        <w:t>工</w:t>
      </w:r>
      <w:r>
        <w:rPr>
          <w:rFonts w:ascii="宋体" w:hAnsi="宋体" w:cs="宋体"/>
          <w:spacing w:val="11"/>
          <w:sz w:val="23"/>
          <w:szCs w:val="23"/>
          <w:lang w:eastAsia="zh-CN"/>
        </w:rPr>
        <w:t>程</w:t>
      </w:r>
      <w:r>
        <w:rPr>
          <w:rFonts w:ascii="宋体" w:hAnsi="宋体" w:cs="宋体"/>
          <w:spacing w:val="8"/>
          <w:sz w:val="23"/>
          <w:szCs w:val="23"/>
          <w:lang w:eastAsia="zh-CN"/>
        </w:rPr>
        <w:t>勘察资质：具备住房和城乡建设部颁发的工程勘察综合类甲级资质；或</w:t>
      </w:r>
      <w:r>
        <w:rPr>
          <w:rFonts w:hint="eastAsia" w:ascii="宋体" w:hAnsi="宋体" w:cs="宋体"/>
          <w:spacing w:val="8"/>
          <w:sz w:val="23"/>
          <w:szCs w:val="23"/>
          <w:lang w:eastAsia="zh-CN"/>
        </w:rPr>
        <w:t>同时具备工程勘察专业类岩土工程勘察甲级和工程测量丙级（或以上）资质</w:t>
      </w:r>
      <w:r>
        <w:rPr>
          <w:rFonts w:ascii="宋体" w:hAnsi="宋体" w:cs="宋体"/>
          <w:spacing w:val="8"/>
          <w:sz w:val="23"/>
          <w:szCs w:val="23"/>
          <w:lang w:eastAsia="zh-CN"/>
        </w:rPr>
        <w:t>；</w:t>
      </w:r>
    </w:p>
    <w:p>
      <w:pPr>
        <w:spacing w:before="1" w:line="374" w:lineRule="auto"/>
        <w:ind w:left="4" w:right="80" w:firstLine="480"/>
        <w:rPr>
          <w:rFonts w:ascii="宋体" w:hAnsi="宋体" w:cs="宋体"/>
          <w:spacing w:val="11"/>
          <w:sz w:val="23"/>
          <w:szCs w:val="23"/>
          <w:lang w:eastAsia="zh-CN"/>
        </w:rPr>
      </w:pPr>
      <w:r>
        <w:rPr>
          <w:rFonts w:hint="eastAsia" w:ascii="宋体" w:hAnsi="宋体" w:cs="宋体"/>
          <w:spacing w:val="16"/>
          <w:sz w:val="23"/>
          <w:szCs w:val="23"/>
          <w:lang w:eastAsia="zh-CN"/>
        </w:rPr>
        <w:t>（2）</w:t>
      </w:r>
      <w:r>
        <w:rPr>
          <w:rFonts w:ascii="宋体" w:hAnsi="宋体" w:cs="宋体"/>
          <w:spacing w:val="16"/>
          <w:sz w:val="23"/>
          <w:szCs w:val="23"/>
          <w:lang w:eastAsia="zh-CN"/>
        </w:rPr>
        <w:t>工</w:t>
      </w:r>
      <w:r>
        <w:rPr>
          <w:rFonts w:ascii="宋体" w:hAnsi="宋体" w:cs="宋体"/>
          <w:spacing w:val="11"/>
          <w:sz w:val="23"/>
          <w:szCs w:val="23"/>
          <w:lang w:eastAsia="zh-CN"/>
        </w:rPr>
        <w:t>程</w:t>
      </w:r>
      <w:r>
        <w:rPr>
          <w:rFonts w:ascii="宋体" w:hAnsi="宋体" w:cs="宋体"/>
          <w:spacing w:val="8"/>
          <w:sz w:val="23"/>
          <w:szCs w:val="23"/>
          <w:lang w:eastAsia="zh-CN"/>
        </w:rPr>
        <w:t>设计资质：具备住房和城乡建设部颁发的</w:t>
      </w:r>
      <w:r>
        <w:rPr>
          <w:rFonts w:hint="eastAsia" w:ascii="宋体" w:hAnsi="宋体" w:cs="宋体"/>
          <w:spacing w:val="8"/>
          <w:sz w:val="23"/>
          <w:szCs w:val="23"/>
          <w:lang w:eastAsia="zh-CN"/>
        </w:rPr>
        <w:t>工程设计综合甲级资质，或工程设计公路行业丙级（或以</w:t>
      </w:r>
      <w:r>
        <w:rPr>
          <w:rFonts w:hint="eastAsia" w:ascii="宋体" w:hAnsi="宋体" w:cs="宋体"/>
          <w:spacing w:val="11"/>
          <w:sz w:val="23"/>
          <w:szCs w:val="23"/>
          <w:lang w:eastAsia="zh-CN"/>
        </w:rPr>
        <w:t>上）资质；或工程设计公路专业丙级（或以上）资质。</w:t>
      </w:r>
    </w:p>
    <w:p>
      <w:pPr>
        <w:spacing w:before="5" w:line="360" w:lineRule="auto"/>
        <w:ind w:firstLine="468" w:firstLineChars="200"/>
        <w:rPr>
          <w:rFonts w:hint="eastAsia" w:ascii="宋体" w:hAnsi="宋体" w:cs="宋体"/>
          <w:spacing w:val="8"/>
          <w:sz w:val="23"/>
          <w:szCs w:val="23"/>
          <w:lang w:eastAsia="zh-CN"/>
        </w:rPr>
      </w:pPr>
      <w:r>
        <w:rPr>
          <w:rFonts w:ascii="宋体" w:hAnsi="宋体" w:cs="宋体"/>
          <w:spacing w:val="2"/>
          <w:sz w:val="23"/>
          <w:szCs w:val="23"/>
          <w:lang w:eastAsia="zh-CN"/>
        </w:rPr>
        <w:t>3.2 业绩要求</w:t>
      </w:r>
      <w:r>
        <w:rPr>
          <w:rFonts w:hint="eastAsia" w:ascii="宋体" w:hAnsi="宋体" w:cs="宋体"/>
          <w:spacing w:val="8"/>
          <w:sz w:val="23"/>
          <w:szCs w:val="23"/>
          <w:lang w:eastAsia="zh-CN"/>
        </w:rPr>
        <w:t>：近5年内完成过1座公路桥梁（大桥或以上等级）的勘察设计工作业绩。</w:t>
      </w:r>
    </w:p>
    <w:p>
      <w:pPr>
        <w:spacing w:before="5" w:line="374" w:lineRule="auto"/>
        <w:ind w:firstLine="492" w:firstLineChars="200"/>
        <w:rPr>
          <w:rFonts w:ascii="宋体" w:hAnsi="宋体" w:cs="宋体"/>
          <w:sz w:val="23"/>
          <w:szCs w:val="23"/>
          <w:lang w:eastAsia="zh-CN"/>
        </w:rPr>
      </w:pPr>
      <w:r>
        <w:rPr>
          <w:rFonts w:ascii="宋体" w:hAnsi="宋体" w:cs="宋体"/>
          <w:spacing w:val="8"/>
          <w:sz w:val="23"/>
          <w:szCs w:val="23"/>
          <w:lang w:eastAsia="zh-CN"/>
        </w:rPr>
        <w:t>3.3 人员配备要求：投标人拟担任本工程项目负责人的要求为：具备</w:t>
      </w:r>
      <w:r>
        <w:rPr>
          <w:rFonts w:hint="eastAsia" w:ascii="宋体" w:hAnsi="宋体" w:cs="宋体"/>
          <w:spacing w:val="8"/>
          <w:sz w:val="23"/>
          <w:szCs w:val="23"/>
          <w:lang w:val="zh-CN" w:eastAsia="zh-CN"/>
        </w:rPr>
        <w:t>路桥相关专</w:t>
      </w:r>
      <w:r>
        <w:rPr>
          <w:rFonts w:hint="eastAsia" w:ascii="宋体" w:hAnsi="宋体" w:cs="宋体"/>
          <w:spacing w:val="8"/>
          <w:sz w:val="23"/>
          <w:szCs w:val="23"/>
          <w:highlight w:val="none"/>
          <w:lang w:val="zh-CN" w:eastAsia="zh-CN"/>
        </w:rPr>
        <w:t>业高级工程师职</w:t>
      </w:r>
      <w:r>
        <w:rPr>
          <w:rFonts w:hint="eastAsia" w:ascii="宋体" w:hAnsi="宋体" w:cs="宋体"/>
          <w:spacing w:val="8"/>
          <w:sz w:val="23"/>
          <w:szCs w:val="23"/>
          <w:lang w:val="zh-CN" w:eastAsia="zh-CN"/>
        </w:rPr>
        <w:t>称</w:t>
      </w:r>
      <w:r>
        <w:rPr>
          <w:rFonts w:ascii="宋体" w:hAnsi="宋体" w:cs="宋体"/>
          <w:spacing w:val="8"/>
          <w:sz w:val="23"/>
          <w:szCs w:val="23"/>
          <w:lang w:eastAsia="zh-CN"/>
        </w:rPr>
        <w:t>，且为投标人在职人员。其他人员要求具体见招标文件</w:t>
      </w:r>
      <w:r>
        <w:rPr>
          <w:rFonts w:ascii="宋体" w:hAnsi="宋体" w:cs="宋体"/>
          <w:spacing w:val="6"/>
          <w:sz w:val="23"/>
          <w:szCs w:val="23"/>
          <w:lang w:eastAsia="zh-CN"/>
        </w:rPr>
        <w:t>第</w:t>
      </w:r>
      <w:r>
        <w:rPr>
          <w:rFonts w:ascii="宋体" w:hAnsi="宋体" w:cs="宋体"/>
          <w:spacing w:val="4"/>
          <w:sz w:val="23"/>
          <w:szCs w:val="23"/>
          <w:lang w:eastAsia="zh-CN"/>
        </w:rPr>
        <w:t>二章投标人须知附件 5。【注：应附身份证、毕业证、职称证、执业资格证</w:t>
      </w:r>
      <w:r>
        <w:rPr>
          <w:rFonts w:ascii="宋体" w:hAnsi="宋体" w:cs="宋体"/>
          <w:spacing w:val="4"/>
          <w:sz w:val="23"/>
          <w:szCs w:val="23"/>
          <w:highlight w:val="none"/>
          <w:lang w:eastAsia="zh-CN"/>
        </w:rPr>
        <w:t>书（如有）、</w:t>
      </w:r>
      <w:r>
        <w:rPr>
          <w:rFonts w:ascii="宋体" w:hAnsi="宋体" w:cs="宋体"/>
          <w:spacing w:val="12"/>
          <w:sz w:val="23"/>
          <w:szCs w:val="23"/>
          <w:highlight w:val="none"/>
          <w:lang w:eastAsia="zh-CN"/>
        </w:rPr>
        <w:t>递</w:t>
      </w:r>
      <w:r>
        <w:rPr>
          <w:rFonts w:ascii="宋体" w:hAnsi="宋体" w:cs="宋体"/>
          <w:spacing w:val="8"/>
          <w:sz w:val="23"/>
          <w:szCs w:val="23"/>
          <w:highlight w:val="none"/>
          <w:lang w:eastAsia="zh-CN"/>
        </w:rPr>
        <w:t>交投标文件之日前不少于3个月的社保证明(社保证明需能反映参保人</w:t>
      </w:r>
      <w:r>
        <w:rPr>
          <w:rFonts w:ascii="宋体" w:hAnsi="宋体" w:cs="宋体"/>
          <w:spacing w:val="8"/>
          <w:sz w:val="23"/>
          <w:szCs w:val="23"/>
          <w:lang w:eastAsia="zh-CN"/>
        </w:rPr>
        <w:t>在该投标单位</w:t>
      </w:r>
      <w:r>
        <w:rPr>
          <w:rFonts w:ascii="宋体" w:hAnsi="宋体" w:cs="宋体"/>
          <w:spacing w:val="20"/>
          <w:sz w:val="23"/>
          <w:szCs w:val="23"/>
          <w:lang w:eastAsia="zh-CN"/>
        </w:rPr>
        <w:t>缴</w:t>
      </w:r>
      <w:r>
        <w:rPr>
          <w:rFonts w:ascii="宋体" w:hAnsi="宋体" w:cs="宋体"/>
          <w:spacing w:val="10"/>
          <w:sz w:val="23"/>
          <w:szCs w:val="23"/>
          <w:lang w:eastAsia="zh-CN"/>
        </w:rPr>
        <w:t>纳社保，并加盖社保机构缴费证明专用章)复印件。】</w:t>
      </w:r>
    </w:p>
    <w:p>
      <w:pPr>
        <w:spacing w:before="1" w:line="227" w:lineRule="auto"/>
        <w:ind w:left="486"/>
        <w:rPr>
          <w:rFonts w:ascii="宋体" w:hAnsi="宋体" w:cs="宋体"/>
          <w:sz w:val="23"/>
          <w:szCs w:val="23"/>
          <w:lang w:eastAsia="zh-CN"/>
        </w:rPr>
      </w:pPr>
      <w:r>
        <w:rPr>
          <w:rFonts w:ascii="宋体" w:hAnsi="宋体" w:cs="宋体"/>
          <w:spacing w:val="8"/>
          <w:sz w:val="23"/>
          <w:szCs w:val="23"/>
          <w:lang w:eastAsia="zh-CN"/>
        </w:rPr>
        <w:t>3.4 联合体要求：本次招标</w:t>
      </w:r>
      <w:r>
        <w:rPr>
          <w:rFonts w:ascii="宋体" w:hAnsi="宋体" w:cs="宋体"/>
          <w:spacing w:val="8"/>
          <w:sz w:val="23"/>
          <w:szCs w:val="23"/>
          <w:u w:val="single"/>
          <w:lang w:eastAsia="zh-CN"/>
        </w:rPr>
        <w:t>不接受</w:t>
      </w:r>
      <w:r>
        <w:rPr>
          <w:rFonts w:ascii="宋体" w:hAnsi="宋体" w:cs="宋体"/>
          <w:spacing w:val="8"/>
          <w:sz w:val="23"/>
          <w:szCs w:val="23"/>
          <w:lang w:eastAsia="zh-CN"/>
        </w:rPr>
        <w:t>联合体</w:t>
      </w:r>
      <w:r>
        <w:rPr>
          <w:rFonts w:ascii="宋体" w:hAnsi="宋体" w:cs="宋体"/>
          <w:spacing w:val="5"/>
          <w:sz w:val="23"/>
          <w:szCs w:val="23"/>
          <w:lang w:eastAsia="zh-CN"/>
        </w:rPr>
        <w:t>。</w:t>
      </w:r>
    </w:p>
    <w:p>
      <w:pPr>
        <w:spacing w:before="182" w:line="225" w:lineRule="auto"/>
        <w:ind w:left="486"/>
        <w:rPr>
          <w:rFonts w:ascii="宋体" w:hAnsi="宋体" w:cs="宋体"/>
          <w:sz w:val="23"/>
          <w:szCs w:val="23"/>
          <w:highlight w:val="none"/>
          <w:lang w:eastAsia="zh-CN"/>
        </w:rPr>
      </w:pPr>
      <w:r>
        <w:rPr>
          <w:rFonts w:ascii="宋体" w:hAnsi="宋体" w:cs="宋体"/>
          <w:spacing w:val="-2"/>
          <w:sz w:val="23"/>
          <w:szCs w:val="23"/>
          <w:lang w:eastAsia="zh-CN"/>
        </w:rPr>
        <w:t>3.5 其他</w:t>
      </w:r>
      <w:r>
        <w:rPr>
          <w:rFonts w:ascii="宋体" w:hAnsi="宋体" w:cs="宋体"/>
          <w:spacing w:val="-1"/>
          <w:sz w:val="23"/>
          <w:szCs w:val="23"/>
          <w:lang w:eastAsia="zh-CN"/>
        </w:rPr>
        <w:t>要求：</w:t>
      </w:r>
    </w:p>
    <w:p>
      <w:pPr>
        <w:spacing w:before="188" w:line="225" w:lineRule="auto"/>
        <w:ind w:left="486"/>
        <w:rPr>
          <w:rFonts w:ascii="宋体" w:hAnsi="宋体" w:cs="宋体"/>
          <w:sz w:val="23"/>
          <w:szCs w:val="23"/>
          <w:highlight w:val="none"/>
          <w:lang w:eastAsia="zh-CN"/>
        </w:rPr>
      </w:pPr>
      <w:r>
        <w:rPr>
          <w:rFonts w:ascii="宋体" w:hAnsi="宋体" w:cs="宋体"/>
          <w:spacing w:val="12"/>
          <w:sz w:val="23"/>
          <w:szCs w:val="23"/>
          <w:highlight w:val="none"/>
          <w:lang w:eastAsia="zh-CN"/>
        </w:rPr>
        <w:t>3.</w:t>
      </w:r>
      <w:r>
        <w:rPr>
          <w:rFonts w:ascii="宋体" w:hAnsi="宋体" w:cs="宋体"/>
          <w:spacing w:val="7"/>
          <w:sz w:val="23"/>
          <w:szCs w:val="23"/>
          <w:highlight w:val="none"/>
          <w:lang w:eastAsia="zh-CN"/>
        </w:rPr>
        <w:t>5</w:t>
      </w:r>
      <w:r>
        <w:rPr>
          <w:rFonts w:ascii="宋体" w:hAnsi="宋体" w:cs="宋体"/>
          <w:spacing w:val="6"/>
          <w:sz w:val="23"/>
          <w:szCs w:val="23"/>
          <w:highlight w:val="none"/>
          <w:lang w:eastAsia="zh-CN"/>
        </w:rPr>
        <w:t>.1 投标人具有独立法人资格，持有合法有效的法人营业执照；</w:t>
      </w:r>
    </w:p>
    <w:p>
      <w:pPr>
        <w:spacing w:before="187" w:line="375" w:lineRule="auto"/>
        <w:ind w:right="21" w:firstLine="492" w:firstLineChars="200"/>
        <w:rPr>
          <w:rFonts w:ascii="宋体" w:hAnsi="宋体" w:cs="宋体"/>
          <w:spacing w:val="6"/>
          <w:sz w:val="23"/>
          <w:szCs w:val="23"/>
          <w:highlight w:val="none"/>
          <w:lang w:eastAsia="zh-CN"/>
        </w:rPr>
      </w:pPr>
      <w:r>
        <w:rPr>
          <w:rFonts w:ascii="宋体" w:hAnsi="宋体" w:cs="宋体"/>
          <w:spacing w:val="8"/>
          <w:sz w:val="23"/>
          <w:szCs w:val="23"/>
          <w:highlight w:val="none"/>
          <w:lang w:eastAsia="zh-CN"/>
        </w:rPr>
        <w:t>3.</w:t>
      </w:r>
      <w:r>
        <w:rPr>
          <w:rFonts w:ascii="宋体" w:hAnsi="宋体" w:cs="宋体"/>
          <w:spacing w:val="6"/>
          <w:sz w:val="23"/>
          <w:szCs w:val="23"/>
          <w:highlight w:val="none"/>
          <w:lang w:eastAsia="zh-CN"/>
        </w:rPr>
        <w:t>5</w:t>
      </w:r>
      <w:r>
        <w:rPr>
          <w:rFonts w:ascii="宋体" w:hAnsi="宋体" w:cs="宋体"/>
          <w:spacing w:val="4"/>
          <w:sz w:val="23"/>
          <w:szCs w:val="23"/>
          <w:highlight w:val="none"/>
          <w:lang w:eastAsia="zh-CN"/>
        </w:rPr>
        <w:t>.2</w:t>
      </w:r>
      <w:r>
        <w:rPr>
          <w:rFonts w:ascii="宋体" w:hAnsi="宋体" w:cs="宋体"/>
          <w:spacing w:val="6"/>
          <w:sz w:val="23"/>
          <w:szCs w:val="23"/>
          <w:highlight w:val="none"/>
          <w:lang w:eastAsia="zh-CN"/>
        </w:rPr>
        <w:t xml:space="preserve"> 本项目的勘察设计咨询中标单位及与其存在利害关系的单位均不得参加本项目的勘察设计投标</w:t>
      </w:r>
      <w:r>
        <w:rPr>
          <w:rFonts w:hint="eastAsia" w:ascii="宋体" w:hAnsi="宋体" w:cs="宋体"/>
          <w:spacing w:val="6"/>
          <w:sz w:val="23"/>
          <w:szCs w:val="23"/>
          <w:highlight w:val="none"/>
          <w:lang w:eastAsia="zh-CN"/>
        </w:rPr>
        <w:t>；</w:t>
      </w:r>
    </w:p>
    <w:p>
      <w:pPr>
        <w:spacing w:before="183" w:line="225" w:lineRule="auto"/>
        <w:ind w:left="486"/>
        <w:rPr>
          <w:rFonts w:ascii="宋体" w:hAnsi="宋体" w:cs="宋体"/>
          <w:sz w:val="23"/>
          <w:szCs w:val="23"/>
          <w:highlight w:val="none"/>
          <w:lang w:eastAsia="zh-CN"/>
        </w:rPr>
      </w:pPr>
      <w:r>
        <w:rPr>
          <w:rFonts w:ascii="宋体" w:hAnsi="宋体" w:cs="宋体"/>
          <w:spacing w:val="12"/>
          <w:sz w:val="23"/>
          <w:szCs w:val="23"/>
          <w:highlight w:val="none"/>
          <w:lang w:eastAsia="zh-CN"/>
        </w:rPr>
        <w:t>3</w:t>
      </w:r>
      <w:r>
        <w:rPr>
          <w:rFonts w:ascii="宋体" w:hAnsi="宋体" w:cs="宋体"/>
          <w:spacing w:val="9"/>
          <w:sz w:val="23"/>
          <w:szCs w:val="23"/>
          <w:highlight w:val="none"/>
          <w:lang w:eastAsia="zh-CN"/>
        </w:rPr>
        <w:t>.</w:t>
      </w:r>
      <w:r>
        <w:rPr>
          <w:rFonts w:ascii="宋体" w:hAnsi="宋体" w:cs="宋体"/>
          <w:spacing w:val="6"/>
          <w:sz w:val="23"/>
          <w:szCs w:val="23"/>
          <w:highlight w:val="none"/>
          <w:lang w:eastAsia="zh-CN"/>
        </w:rPr>
        <w:t>5.</w:t>
      </w:r>
      <w:r>
        <w:rPr>
          <w:rFonts w:hint="eastAsia" w:ascii="宋体" w:hAnsi="宋体" w:cs="宋体"/>
          <w:spacing w:val="6"/>
          <w:sz w:val="23"/>
          <w:szCs w:val="23"/>
          <w:highlight w:val="none"/>
          <w:lang w:eastAsia="zh-CN"/>
        </w:rPr>
        <w:t>3</w:t>
      </w:r>
      <w:r>
        <w:rPr>
          <w:rFonts w:ascii="宋体" w:hAnsi="宋体" w:cs="宋体"/>
          <w:spacing w:val="6"/>
          <w:sz w:val="23"/>
          <w:szCs w:val="23"/>
          <w:highlight w:val="none"/>
          <w:lang w:eastAsia="zh-CN"/>
        </w:rPr>
        <w:t xml:space="preserve"> 投标人具有广州公共资源交易中心有效的企业信息登记；</w:t>
      </w:r>
    </w:p>
    <w:p>
      <w:pPr>
        <w:spacing w:before="190" w:line="374" w:lineRule="auto"/>
        <w:ind w:left="2" w:right="77" w:firstLine="483"/>
        <w:rPr>
          <w:rFonts w:ascii="宋体" w:hAnsi="宋体" w:cs="宋体"/>
          <w:spacing w:val="2"/>
          <w:sz w:val="23"/>
          <w:szCs w:val="23"/>
          <w:highlight w:val="none"/>
          <w:lang w:eastAsia="zh-CN"/>
        </w:rPr>
      </w:pPr>
      <w:r>
        <w:rPr>
          <w:rFonts w:ascii="宋体" w:hAnsi="宋体" w:cs="宋体"/>
          <w:spacing w:val="2"/>
          <w:sz w:val="23"/>
          <w:szCs w:val="23"/>
          <w:highlight w:val="none"/>
          <w:lang w:eastAsia="zh-CN"/>
        </w:rPr>
        <w:t>3.5.</w:t>
      </w:r>
      <w:r>
        <w:rPr>
          <w:rFonts w:hint="eastAsia" w:ascii="宋体" w:hAnsi="宋体" w:cs="宋体"/>
          <w:spacing w:val="2"/>
          <w:sz w:val="23"/>
          <w:szCs w:val="23"/>
          <w:highlight w:val="none"/>
          <w:lang w:eastAsia="zh-CN"/>
        </w:rPr>
        <w:t>4</w:t>
      </w:r>
      <w:r>
        <w:rPr>
          <w:rFonts w:ascii="宋体" w:hAnsi="宋体" w:cs="宋体"/>
          <w:spacing w:val="2"/>
          <w:sz w:val="23"/>
          <w:szCs w:val="23"/>
          <w:highlight w:val="none"/>
          <w:lang w:eastAsia="zh-CN"/>
        </w:rPr>
        <w:t xml:space="preserve"> 投标人不得存在以下情形：(1) </w:t>
      </w:r>
      <w:r>
        <w:rPr>
          <w:rFonts w:ascii="宋体" w:hAnsi="宋体" w:cs="宋体"/>
          <w:spacing w:val="1"/>
          <w:sz w:val="23"/>
          <w:szCs w:val="23"/>
          <w:highlight w:val="none"/>
          <w:lang w:eastAsia="zh-CN"/>
        </w:rPr>
        <w:t>与招标人存在利害关系可能影响招标公正性</w:t>
      </w:r>
      <w:r>
        <w:rPr>
          <w:rFonts w:ascii="宋体" w:hAnsi="宋体" w:cs="宋体"/>
          <w:spacing w:val="8"/>
          <w:sz w:val="23"/>
          <w:szCs w:val="23"/>
          <w:highlight w:val="none"/>
          <w:lang w:eastAsia="zh-CN"/>
        </w:rPr>
        <w:t>的法人、其他组织或个人；(2)单位负责人为同一人或者存在控股、管理关系的不</w:t>
      </w:r>
      <w:r>
        <w:rPr>
          <w:rFonts w:ascii="宋体" w:hAnsi="宋体" w:cs="宋体"/>
          <w:spacing w:val="3"/>
          <w:sz w:val="23"/>
          <w:szCs w:val="23"/>
          <w:highlight w:val="none"/>
          <w:lang w:eastAsia="zh-CN"/>
        </w:rPr>
        <w:t>同</w:t>
      </w:r>
      <w:r>
        <w:rPr>
          <w:rFonts w:hint="eastAsia" w:ascii="宋体" w:hAnsi="宋体" w:cs="宋体"/>
          <w:spacing w:val="3"/>
          <w:sz w:val="23"/>
          <w:szCs w:val="23"/>
          <w:highlight w:val="none"/>
          <w:lang w:eastAsia="zh-CN"/>
        </w:rPr>
        <w:t>单位</w:t>
      </w:r>
      <w:r>
        <w:rPr>
          <w:rFonts w:ascii="宋体" w:hAnsi="宋体" w:cs="宋体"/>
          <w:spacing w:val="2"/>
          <w:sz w:val="23"/>
          <w:szCs w:val="23"/>
          <w:highlight w:val="none"/>
          <w:lang w:eastAsia="zh-CN"/>
        </w:rPr>
        <w:t xml:space="preserve">，参加本次招标项目投标； </w:t>
      </w:r>
    </w:p>
    <w:p>
      <w:pPr>
        <w:spacing w:before="190" w:line="360" w:lineRule="auto"/>
        <w:ind w:right="77" w:firstLine="468" w:firstLineChars="200"/>
        <w:rPr>
          <w:rFonts w:ascii="宋体" w:hAnsi="宋体" w:cs="宋体"/>
          <w:spacing w:val="2"/>
          <w:sz w:val="23"/>
          <w:szCs w:val="23"/>
          <w:highlight w:val="none"/>
        </w:rPr>
      </w:pPr>
      <w:r>
        <w:rPr>
          <w:rFonts w:hint="eastAsia" w:ascii="宋体" w:hAnsi="宋体" w:cs="宋体"/>
          <w:spacing w:val="2"/>
          <w:sz w:val="23"/>
          <w:szCs w:val="23"/>
          <w:highlight w:val="none"/>
        </w:rPr>
        <w:t xml:space="preserve">3.5.5 </w:t>
      </w:r>
      <w:r>
        <w:rPr>
          <w:highlight w:val="none"/>
        </w:rPr>
        <w:fldChar w:fldCharType="begin"/>
      </w:r>
      <w:r>
        <w:rPr>
          <w:highlight w:val="none"/>
        </w:rPr>
        <w:instrText xml:space="preserve"> HYPERLINK "http://www.creditchina.gov.cn/" \h </w:instrText>
      </w:r>
      <w:r>
        <w:rPr>
          <w:highlight w:val="none"/>
        </w:rPr>
        <w:fldChar w:fldCharType="separate"/>
      </w:r>
      <w:r>
        <w:rPr>
          <w:rFonts w:ascii="宋体" w:hAnsi="宋体" w:cs="宋体"/>
          <w:spacing w:val="2"/>
          <w:sz w:val="23"/>
          <w:szCs w:val="23"/>
          <w:highlight w:val="none"/>
        </w:rPr>
        <w:t>在“信用中国”网站（http://www.creditchina.gov.cn/）中被列入失</w:t>
      </w:r>
      <w:r>
        <w:rPr>
          <w:rFonts w:ascii="宋体" w:hAnsi="宋体" w:cs="宋体"/>
          <w:spacing w:val="2"/>
          <w:sz w:val="23"/>
          <w:szCs w:val="23"/>
          <w:highlight w:val="none"/>
        </w:rPr>
        <w:fldChar w:fldCharType="end"/>
      </w:r>
      <w:r>
        <w:rPr>
          <w:highlight w:val="none"/>
        </w:rPr>
        <w:fldChar w:fldCharType="begin"/>
      </w:r>
      <w:r>
        <w:rPr>
          <w:highlight w:val="none"/>
        </w:rPr>
        <w:instrText xml:space="preserve"> HYPERLINK "http://www.gsxt.gov.cn/" \h </w:instrText>
      </w:r>
      <w:r>
        <w:rPr>
          <w:highlight w:val="none"/>
        </w:rPr>
        <w:fldChar w:fldCharType="separate"/>
      </w:r>
      <w:r>
        <w:rPr>
          <w:rFonts w:ascii="宋体" w:hAnsi="宋体" w:cs="宋体"/>
          <w:spacing w:val="2"/>
          <w:sz w:val="23"/>
          <w:szCs w:val="23"/>
          <w:highlight w:val="none"/>
        </w:rPr>
        <w:t>信被执行人名单的投标人，在国家企业信用信息公示系统（www.gsxt.gov.cn）</w:t>
      </w:r>
      <w:r>
        <w:rPr>
          <w:rFonts w:ascii="宋体" w:hAnsi="宋体" w:cs="宋体"/>
          <w:spacing w:val="2"/>
          <w:sz w:val="23"/>
          <w:szCs w:val="23"/>
          <w:highlight w:val="none"/>
        </w:rPr>
        <w:fldChar w:fldCharType="end"/>
      </w:r>
      <w:r>
        <w:rPr>
          <w:rFonts w:ascii="宋体" w:hAnsi="宋体" w:cs="宋体"/>
          <w:spacing w:val="2"/>
          <w:sz w:val="23"/>
          <w:szCs w:val="23"/>
          <w:highlight w:val="none"/>
        </w:rPr>
        <w:t>中被列入严重违法失信企业名单的投标人，均不得参加投标</w:t>
      </w:r>
      <w:r>
        <w:rPr>
          <w:rFonts w:hint="eastAsia" w:ascii="宋体" w:hAnsi="宋体" w:cs="宋体"/>
          <w:spacing w:val="2"/>
          <w:sz w:val="23"/>
          <w:szCs w:val="23"/>
          <w:highlight w:val="none"/>
        </w:rPr>
        <w:t>。</w:t>
      </w:r>
    </w:p>
    <w:p>
      <w:pPr>
        <w:spacing w:before="1" w:line="360" w:lineRule="auto"/>
        <w:ind w:left="486"/>
        <w:rPr>
          <w:rFonts w:ascii="宋体" w:hAnsi="宋体" w:cs="宋体"/>
          <w:sz w:val="23"/>
          <w:szCs w:val="23"/>
          <w:highlight w:val="none"/>
          <w:lang w:eastAsia="zh-CN"/>
        </w:rPr>
      </w:pPr>
      <w:r>
        <w:rPr>
          <w:rFonts w:ascii="宋体" w:hAnsi="宋体" w:cs="宋体"/>
          <w:spacing w:val="10"/>
          <w:sz w:val="23"/>
          <w:szCs w:val="23"/>
          <w:highlight w:val="none"/>
          <w:lang w:eastAsia="zh-CN"/>
        </w:rPr>
        <w:t>3.6</w:t>
      </w:r>
      <w:r>
        <w:rPr>
          <w:rFonts w:ascii="宋体" w:hAnsi="宋体" w:cs="宋体"/>
          <w:spacing w:val="5"/>
          <w:sz w:val="23"/>
          <w:szCs w:val="23"/>
          <w:highlight w:val="none"/>
          <w:lang w:eastAsia="zh-CN"/>
        </w:rPr>
        <w:t xml:space="preserve"> 资格审查方式：本次招标采取资格后审方式。</w:t>
      </w:r>
    </w:p>
    <w:p>
      <w:pPr>
        <w:spacing w:line="360" w:lineRule="auto"/>
        <w:ind w:firstLine="480" w:firstLineChars="200"/>
        <w:jc w:val="both"/>
        <w:rPr>
          <w:rFonts w:ascii="宋体" w:hAnsi="宋体" w:cs="宋体"/>
          <w:b/>
          <w:bCs/>
          <w:kern w:val="2"/>
          <w:sz w:val="24"/>
          <w:szCs w:val="24"/>
          <w:highlight w:val="none"/>
          <w:lang w:eastAsia="zh-CN"/>
        </w:rPr>
      </w:pPr>
      <w:r>
        <w:rPr>
          <w:rFonts w:ascii="宋体" w:hAnsi="宋体" w:cs="宋体"/>
          <w:b/>
          <w:bCs/>
          <w:kern w:val="2"/>
          <w:sz w:val="24"/>
          <w:szCs w:val="24"/>
          <w:highlight w:val="none"/>
          <w:lang w:eastAsia="zh-CN"/>
        </w:rPr>
        <w:t>4．投标登记和招标文件的获取</w:t>
      </w:r>
    </w:p>
    <w:p>
      <w:pPr>
        <w:spacing w:before="190" w:line="360" w:lineRule="auto"/>
        <w:ind w:left="2" w:right="77" w:firstLine="483"/>
        <w:rPr>
          <w:rFonts w:ascii="宋体" w:hAnsi="宋体" w:cs="宋体"/>
          <w:spacing w:val="2"/>
          <w:sz w:val="23"/>
          <w:szCs w:val="23"/>
          <w:highlight w:val="none"/>
          <w:lang w:eastAsia="zh-CN"/>
        </w:rPr>
      </w:pPr>
      <w:r>
        <w:rPr>
          <w:rFonts w:ascii="宋体" w:hAnsi="宋体" w:cs="宋体"/>
          <w:spacing w:val="2"/>
          <w:sz w:val="23"/>
          <w:szCs w:val="23"/>
          <w:highlight w:val="none"/>
          <w:lang w:eastAsia="zh-CN"/>
        </w:rPr>
        <w:t xml:space="preserve">(1) </w:t>
      </w:r>
      <w:r>
        <w:rPr>
          <w:rFonts w:hint="eastAsia" w:ascii="宋体" w:hAnsi="宋体" w:cs="宋体"/>
          <w:spacing w:val="2"/>
          <w:sz w:val="23"/>
          <w:szCs w:val="23"/>
          <w:highlight w:val="none"/>
          <w:lang w:eastAsia="zh-CN"/>
        </w:rPr>
        <w:t>登记</w:t>
      </w:r>
      <w:r>
        <w:rPr>
          <w:rFonts w:ascii="宋体" w:hAnsi="宋体" w:cs="宋体"/>
          <w:spacing w:val="2"/>
          <w:sz w:val="23"/>
          <w:szCs w:val="23"/>
          <w:highlight w:val="none"/>
          <w:lang w:eastAsia="zh-CN"/>
        </w:rPr>
        <w:t>获取招标文件的时间：202</w:t>
      </w:r>
      <w:r>
        <w:rPr>
          <w:rFonts w:hint="eastAsia" w:ascii="宋体" w:hAnsi="宋体" w:cs="宋体"/>
          <w:spacing w:val="2"/>
          <w:sz w:val="23"/>
          <w:szCs w:val="23"/>
          <w:highlight w:val="none"/>
          <w:lang w:eastAsia="zh-CN"/>
        </w:rPr>
        <w:t>3</w:t>
      </w:r>
      <w:r>
        <w:rPr>
          <w:rFonts w:ascii="宋体" w:hAnsi="宋体" w:cs="宋体"/>
          <w:spacing w:val="2"/>
          <w:sz w:val="23"/>
          <w:szCs w:val="23"/>
          <w:highlight w:val="none"/>
          <w:lang w:eastAsia="zh-CN"/>
        </w:rPr>
        <w:t>年</w:t>
      </w:r>
      <w:r>
        <w:rPr>
          <w:rFonts w:hint="eastAsia" w:ascii="宋体" w:hAnsi="宋体" w:cs="宋体"/>
          <w:spacing w:val="2"/>
          <w:sz w:val="23"/>
          <w:szCs w:val="23"/>
          <w:highlight w:val="none"/>
          <w:lang w:val="en-US" w:eastAsia="zh-CN"/>
        </w:rPr>
        <w:t>6</w:t>
      </w:r>
      <w:r>
        <w:rPr>
          <w:rFonts w:ascii="宋体" w:hAnsi="宋体" w:cs="宋体"/>
          <w:spacing w:val="2"/>
          <w:sz w:val="23"/>
          <w:szCs w:val="23"/>
          <w:highlight w:val="none"/>
          <w:lang w:eastAsia="zh-CN"/>
        </w:rPr>
        <w:t>月</w:t>
      </w:r>
      <w:r>
        <w:rPr>
          <w:rFonts w:hint="eastAsia" w:ascii="宋体" w:hAnsi="宋体" w:cs="宋体"/>
          <w:spacing w:val="2"/>
          <w:sz w:val="23"/>
          <w:szCs w:val="23"/>
          <w:highlight w:val="none"/>
          <w:lang w:val="en-US" w:eastAsia="zh-CN"/>
        </w:rPr>
        <w:t>7</w:t>
      </w:r>
      <w:r>
        <w:rPr>
          <w:rFonts w:ascii="宋体" w:hAnsi="宋体" w:cs="宋体"/>
          <w:spacing w:val="2"/>
          <w:sz w:val="23"/>
          <w:szCs w:val="23"/>
          <w:highlight w:val="none"/>
          <w:lang w:eastAsia="zh-CN"/>
        </w:rPr>
        <w:t>日至 202</w:t>
      </w:r>
      <w:r>
        <w:rPr>
          <w:rFonts w:hint="eastAsia" w:ascii="宋体" w:hAnsi="宋体" w:cs="宋体"/>
          <w:spacing w:val="2"/>
          <w:sz w:val="23"/>
          <w:szCs w:val="23"/>
          <w:highlight w:val="none"/>
          <w:lang w:eastAsia="zh-CN"/>
        </w:rPr>
        <w:t>3</w:t>
      </w:r>
      <w:r>
        <w:rPr>
          <w:rFonts w:ascii="宋体" w:hAnsi="宋体" w:cs="宋体"/>
          <w:spacing w:val="2"/>
          <w:sz w:val="23"/>
          <w:szCs w:val="23"/>
          <w:highlight w:val="none"/>
          <w:lang w:eastAsia="zh-CN"/>
        </w:rPr>
        <w:t>年</w:t>
      </w:r>
      <w:r>
        <w:rPr>
          <w:rFonts w:hint="eastAsia" w:ascii="宋体" w:hAnsi="宋体" w:cs="宋体"/>
          <w:spacing w:val="2"/>
          <w:sz w:val="23"/>
          <w:szCs w:val="23"/>
          <w:highlight w:val="none"/>
          <w:lang w:val="en-US" w:eastAsia="zh-CN"/>
        </w:rPr>
        <w:t>6</w:t>
      </w:r>
      <w:r>
        <w:rPr>
          <w:rFonts w:ascii="宋体" w:hAnsi="宋体" w:cs="宋体"/>
          <w:spacing w:val="2"/>
          <w:sz w:val="23"/>
          <w:szCs w:val="23"/>
          <w:highlight w:val="none"/>
          <w:lang w:eastAsia="zh-CN"/>
        </w:rPr>
        <w:t>月</w:t>
      </w:r>
      <w:r>
        <w:rPr>
          <w:rFonts w:hint="eastAsia" w:ascii="宋体" w:hAnsi="宋体" w:cs="宋体"/>
          <w:spacing w:val="2"/>
          <w:sz w:val="23"/>
          <w:szCs w:val="23"/>
          <w:highlight w:val="none"/>
          <w:lang w:val="en-US" w:eastAsia="zh-CN"/>
        </w:rPr>
        <w:t>14</w:t>
      </w:r>
      <w:r>
        <w:rPr>
          <w:rFonts w:ascii="宋体" w:hAnsi="宋体" w:cs="宋体"/>
          <w:spacing w:val="2"/>
          <w:sz w:val="23"/>
          <w:szCs w:val="23"/>
          <w:highlight w:val="none"/>
          <w:lang w:eastAsia="zh-CN"/>
        </w:rPr>
        <w:t xml:space="preserve">日 </w:t>
      </w:r>
      <w:r>
        <w:rPr>
          <w:rFonts w:ascii="宋体" w:hAnsi="宋体" w:cs="宋体"/>
          <w:spacing w:val="2"/>
          <w:sz w:val="23"/>
          <w:szCs w:val="23"/>
          <w:highlight w:val="none"/>
          <w:lang w:eastAsia="zh-CN"/>
        </w:rPr>
        <w:t>(北京时间，具体时间以广州公共资源交易中心网站的为准)。</w:t>
      </w:r>
    </w:p>
    <w:p>
      <w:pPr>
        <w:spacing w:before="186" w:line="360" w:lineRule="auto"/>
        <w:ind w:right="121" w:firstLine="494"/>
        <w:rPr>
          <w:rFonts w:ascii="宋体" w:hAnsi="宋体" w:cs="宋体"/>
          <w:sz w:val="23"/>
          <w:szCs w:val="23"/>
          <w:highlight w:val="none"/>
          <w:lang w:eastAsia="zh-CN"/>
        </w:rPr>
      </w:pPr>
      <w:r>
        <w:rPr>
          <w:rFonts w:ascii="宋体" w:hAnsi="宋体" w:cs="宋体"/>
          <w:spacing w:val="-21"/>
          <w:sz w:val="23"/>
          <w:szCs w:val="23"/>
          <w:highlight w:val="none"/>
          <w:lang w:eastAsia="zh-CN"/>
        </w:rPr>
        <w:t>( 2 ) 获 取 方 式 ：投 标 人 须 登 录 广 州公 共 资 源 交 易 中 心 网 站 (网 址 ：</w:t>
      </w:r>
      <w:r>
        <w:rPr>
          <w:highlight w:val="none"/>
        </w:rPr>
        <w:fldChar w:fldCharType="begin"/>
      </w:r>
      <w:r>
        <w:rPr>
          <w:highlight w:val="none"/>
        </w:rPr>
        <w:instrText xml:space="preserve"> HYPERLINK "http://www.gzggzy.cn/" </w:instrText>
      </w:r>
      <w:r>
        <w:rPr>
          <w:highlight w:val="none"/>
        </w:rPr>
        <w:fldChar w:fldCharType="separate"/>
      </w:r>
      <w:r>
        <w:rPr>
          <w:rFonts w:ascii="宋体" w:hAnsi="宋体" w:cs="宋体"/>
          <w:sz w:val="23"/>
          <w:szCs w:val="23"/>
          <w:highlight w:val="none"/>
          <w:lang w:eastAsia="zh-CN"/>
        </w:rPr>
        <w:t>http</w:t>
      </w:r>
      <w:r>
        <w:rPr>
          <w:rFonts w:ascii="宋体" w:hAnsi="宋体" w:cs="宋体"/>
          <w:spacing w:val="11"/>
          <w:sz w:val="23"/>
          <w:szCs w:val="23"/>
          <w:highlight w:val="none"/>
          <w:lang w:eastAsia="zh-CN"/>
        </w:rPr>
        <w:t>://</w:t>
      </w:r>
      <w:r>
        <w:rPr>
          <w:rFonts w:ascii="宋体" w:hAnsi="宋体" w:cs="宋体"/>
          <w:sz w:val="23"/>
          <w:szCs w:val="23"/>
          <w:highlight w:val="none"/>
          <w:lang w:eastAsia="zh-CN"/>
        </w:rPr>
        <w:t>www</w:t>
      </w:r>
      <w:r>
        <w:rPr>
          <w:rFonts w:ascii="宋体" w:hAnsi="宋体" w:cs="宋体"/>
          <w:spacing w:val="11"/>
          <w:sz w:val="23"/>
          <w:szCs w:val="23"/>
          <w:highlight w:val="none"/>
          <w:lang w:eastAsia="zh-CN"/>
        </w:rPr>
        <w:t>.</w:t>
      </w:r>
      <w:r>
        <w:rPr>
          <w:rFonts w:ascii="宋体" w:hAnsi="宋体" w:cs="宋体"/>
          <w:sz w:val="23"/>
          <w:szCs w:val="23"/>
          <w:highlight w:val="none"/>
          <w:lang w:eastAsia="zh-CN"/>
        </w:rPr>
        <w:t>gzggzy</w:t>
      </w:r>
      <w:r>
        <w:rPr>
          <w:rFonts w:ascii="宋体" w:hAnsi="宋体" w:cs="宋体"/>
          <w:spacing w:val="11"/>
          <w:sz w:val="23"/>
          <w:szCs w:val="23"/>
          <w:highlight w:val="none"/>
          <w:lang w:eastAsia="zh-CN"/>
        </w:rPr>
        <w:t>.</w:t>
      </w:r>
      <w:r>
        <w:rPr>
          <w:rFonts w:ascii="宋体" w:hAnsi="宋体" w:cs="宋体"/>
          <w:sz w:val="23"/>
          <w:szCs w:val="23"/>
          <w:highlight w:val="none"/>
          <w:lang w:eastAsia="zh-CN"/>
        </w:rPr>
        <w:t>cn</w:t>
      </w:r>
      <w:r>
        <w:rPr>
          <w:rFonts w:ascii="宋体" w:hAnsi="宋体" w:cs="宋体"/>
          <w:spacing w:val="11"/>
          <w:sz w:val="23"/>
          <w:szCs w:val="23"/>
          <w:highlight w:val="none"/>
          <w:lang w:eastAsia="zh-CN"/>
        </w:rPr>
        <w:t>/</w:t>
      </w:r>
      <w:r>
        <w:rPr>
          <w:rFonts w:ascii="宋体" w:hAnsi="宋体" w:cs="宋体"/>
          <w:spacing w:val="11"/>
          <w:sz w:val="23"/>
          <w:szCs w:val="23"/>
          <w:highlight w:val="none"/>
          <w:lang w:eastAsia="zh-CN"/>
        </w:rPr>
        <w:fldChar w:fldCharType="end"/>
      </w:r>
      <w:r>
        <w:rPr>
          <w:rFonts w:ascii="宋体" w:hAnsi="宋体" w:cs="宋体"/>
          <w:spacing w:val="11"/>
          <w:sz w:val="23"/>
          <w:szCs w:val="23"/>
          <w:highlight w:val="none"/>
          <w:lang w:eastAsia="zh-CN"/>
        </w:rPr>
        <w:t>)下载招标文件及相关资料</w:t>
      </w:r>
      <w:r>
        <w:rPr>
          <w:rFonts w:ascii="宋体" w:hAnsi="宋体" w:cs="宋体"/>
          <w:spacing w:val="9"/>
          <w:sz w:val="23"/>
          <w:szCs w:val="23"/>
          <w:highlight w:val="none"/>
          <w:lang w:eastAsia="zh-CN"/>
        </w:rPr>
        <w:t>。</w:t>
      </w:r>
    </w:p>
    <w:p>
      <w:pPr>
        <w:spacing w:before="4" w:line="360" w:lineRule="auto"/>
        <w:ind w:left="2" w:right="61" w:firstLine="491"/>
        <w:rPr>
          <w:rFonts w:ascii="宋体" w:hAnsi="宋体" w:cs="宋体"/>
          <w:sz w:val="23"/>
          <w:szCs w:val="23"/>
          <w:highlight w:val="none"/>
          <w:lang w:eastAsia="zh-CN"/>
        </w:rPr>
      </w:pPr>
      <w:r>
        <w:rPr>
          <w:rFonts w:ascii="宋体" w:hAnsi="宋体" w:cs="宋体"/>
          <w:spacing w:val="17"/>
          <w:sz w:val="23"/>
          <w:szCs w:val="23"/>
          <w:highlight w:val="none"/>
          <w:lang w:eastAsia="zh-CN"/>
        </w:rPr>
        <w:t>(</w:t>
      </w:r>
      <w:r>
        <w:rPr>
          <w:rFonts w:ascii="宋体" w:hAnsi="宋体" w:cs="宋体"/>
          <w:spacing w:val="12"/>
          <w:sz w:val="23"/>
          <w:szCs w:val="23"/>
          <w:highlight w:val="none"/>
          <w:lang w:eastAsia="zh-CN"/>
        </w:rPr>
        <w:t>3)本项目设立投标登记环节，采取广州公共资源交易中心网上投标登记方式进</w:t>
      </w:r>
      <w:r>
        <w:rPr>
          <w:rFonts w:ascii="宋体" w:hAnsi="宋体" w:cs="宋体"/>
          <w:spacing w:val="16"/>
          <w:sz w:val="23"/>
          <w:szCs w:val="23"/>
          <w:highlight w:val="none"/>
          <w:lang w:eastAsia="zh-CN"/>
        </w:rPr>
        <w:t>行</w:t>
      </w:r>
      <w:r>
        <w:rPr>
          <w:rFonts w:ascii="宋体" w:hAnsi="宋体" w:cs="宋体"/>
          <w:spacing w:val="10"/>
          <w:sz w:val="23"/>
          <w:szCs w:val="23"/>
          <w:highlight w:val="none"/>
          <w:lang w:eastAsia="zh-CN"/>
        </w:rPr>
        <w:t>投</w:t>
      </w:r>
      <w:r>
        <w:rPr>
          <w:rFonts w:ascii="宋体" w:hAnsi="宋体" w:cs="宋体"/>
          <w:spacing w:val="8"/>
          <w:sz w:val="23"/>
          <w:szCs w:val="23"/>
          <w:highlight w:val="none"/>
          <w:lang w:eastAsia="zh-CN"/>
        </w:rPr>
        <w:t>标登记，不接受现场登记(具体登记时间以广州公共资源交易中心网站的为准，参</w:t>
      </w:r>
      <w:r>
        <w:rPr>
          <w:rFonts w:ascii="宋体" w:hAnsi="宋体" w:cs="宋体"/>
          <w:spacing w:val="16"/>
          <w:sz w:val="23"/>
          <w:szCs w:val="23"/>
          <w:highlight w:val="none"/>
          <w:lang w:eastAsia="zh-CN"/>
        </w:rPr>
        <w:t>加投</w:t>
      </w:r>
      <w:r>
        <w:rPr>
          <w:rFonts w:ascii="宋体" w:hAnsi="宋体" w:cs="宋体"/>
          <w:spacing w:val="10"/>
          <w:sz w:val="23"/>
          <w:szCs w:val="23"/>
          <w:highlight w:val="none"/>
          <w:lang w:eastAsia="zh-CN"/>
        </w:rPr>
        <w:t>标</w:t>
      </w:r>
      <w:r>
        <w:rPr>
          <w:rFonts w:ascii="宋体" w:hAnsi="宋体" w:cs="宋体"/>
          <w:spacing w:val="8"/>
          <w:sz w:val="23"/>
          <w:szCs w:val="23"/>
          <w:highlight w:val="none"/>
          <w:lang w:eastAsia="zh-CN"/>
        </w:rPr>
        <w:t>登记之前，投标人应查询本企业在广州公共资源交易中心的信息登记的状态，确</w:t>
      </w:r>
      <w:r>
        <w:rPr>
          <w:rFonts w:ascii="宋体" w:hAnsi="宋体" w:cs="宋体"/>
          <w:spacing w:val="16"/>
          <w:sz w:val="23"/>
          <w:szCs w:val="23"/>
          <w:highlight w:val="none"/>
          <w:lang w:eastAsia="zh-CN"/>
        </w:rPr>
        <w:t>保一</w:t>
      </w:r>
      <w:r>
        <w:rPr>
          <w:rFonts w:ascii="宋体" w:hAnsi="宋体" w:cs="宋体"/>
          <w:spacing w:val="10"/>
          <w:sz w:val="23"/>
          <w:szCs w:val="23"/>
          <w:highlight w:val="none"/>
          <w:lang w:eastAsia="zh-CN"/>
        </w:rPr>
        <w:t>切</w:t>
      </w:r>
      <w:r>
        <w:rPr>
          <w:rFonts w:ascii="宋体" w:hAnsi="宋体" w:cs="宋体"/>
          <w:spacing w:val="8"/>
          <w:sz w:val="23"/>
          <w:szCs w:val="23"/>
          <w:highlight w:val="none"/>
          <w:lang w:eastAsia="zh-CN"/>
        </w:rPr>
        <w:t>信息都是真实的、在有效期内的，以免出现信息不能被使用。上述情况有可能导</w:t>
      </w:r>
      <w:r>
        <w:rPr>
          <w:rFonts w:ascii="宋体" w:hAnsi="宋体" w:cs="宋体"/>
          <w:sz w:val="23"/>
          <w:szCs w:val="23"/>
          <w:highlight w:val="none"/>
          <w:lang w:eastAsia="zh-CN"/>
        </w:rPr>
        <w:t xml:space="preserve"> </w:t>
      </w:r>
      <w:r>
        <w:rPr>
          <w:rFonts w:ascii="宋体" w:hAnsi="宋体" w:cs="宋体"/>
          <w:spacing w:val="16"/>
          <w:sz w:val="23"/>
          <w:szCs w:val="23"/>
          <w:highlight w:val="none"/>
          <w:lang w:eastAsia="zh-CN"/>
        </w:rPr>
        <w:t>致投</w:t>
      </w:r>
      <w:r>
        <w:rPr>
          <w:rFonts w:ascii="宋体" w:hAnsi="宋体" w:cs="宋体"/>
          <w:spacing w:val="10"/>
          <w:sz w:val="23"/>
          <w:szCs w:val="23"/>
          <w:highlight w:val="none"/>
          <w:lang w:eastAsia="zh-CN"/>
        </w:rPr>
        <w:t>标</w:t>
      </w:r>
      <w:r>
        <w:rPr>
          <w:rFonts w:ascii="宋体" w:hAnsi="宋体" w:cs="宋体"/>
          <w:spacing w:val="8"/>
          <w:sz w:val="23"/>
          <w:szCs w:val="23"/>
          <w:highlight w:val="none"/>
          <w:lang w:eastAsia="zh-CN"/>
        </w:rPr>
        <w:t>信息无法录入广州公共资源交易中心信息系统。如出现上述情况，投标人失去投</w:t>
      </w:r>
      <w:r>
        <w:rPr>
          <w:rFonts w:ascii="宋体" w:hAnsi="宋体" w:cs="宋体"/>
          <w:spacing w:val="16"/>
          <w:sz w:val="23"/>
          <w:szCs w:val="23"/>
          <w:highlight w:val="none"/>
          <w:lang w:eastAsia="zh-CN"/>
        </w:rPr>
        <w:t>标机</w:t>
      </w:r>
      <w:r>
        <w:rPr>
          <w:rFonts w:ascii="宋体" w:hAnsi="宋体" w:cs="宋体"/>
          <w:spacing w:val="10"/>
          <w:sz w:val="23"/>
          <w:szCs w:val="23"/>
          <w:highlight w:val="none"/>
          <w:lang w:eastAsia="zh-CN"/>
        </w:rPr>
        <w:t>会</w:t>
      </w:r>
      <w:r>
        <w:rPr>
          <w:rFonts w:ascii="宋体" w:hAnsi="宋体" w:cs="宋体"/>
          <w:spacing w:val="8"/>
          <w:sz w:val="23"/>
          <w:szCs w:val="23"/>
          <w:highlight w:val="none"/>
          <w:lang w:eastAsia="zh-CN"/>
        </w:rPr>
        <w:t>的，因此可能所引起的一切后果由投标人自行承担。操作流程详见广州公共资源</w:t>
      </w:r>
      <w:r>
        <w:rPr>
          <w:rFonts w:ascii="宋体" w:hAnsi="宋体" w:cs="宋体"/>
          <w:spacing w:val="11"/>
          <w:sz w:val="23"/>
          <w:szCs w:val="23"/>
          <w:highlight w:val="none"/>
          <w:lang w:eastAsia="zh-CN"/>
        </w:rPr>
        <w:t>交易中心网站发布的最新版操作指引。</w:t>
      </w:r>
      <w:r>
        <w:rPr>
          <w:rFonts w:ascii="宋体" w:hAnsi="宋体" w:cs="宋体"/>
          <w:spacing w:val="8"/>
          <w:sz w:val="23"/>
          <w:szCs w:val="23"/>
          <w:highlight w:val="none"/>
          <w:lang w:eastAsia="zh-CN"/>
        </w:rPr>
        <w:t>)</w:t>
      </w:r>
    </w:p>
    <w:p>
      <w:pPr>
        <w:spacing w:before="2" w:line="375" w:lineRule="auto"/>
        <w:ind w:left="1" w:right="61" w:firstLine="492"/>
        <w:rPr>
          <w:rFonts w:ascii="宋体" w:hAnsi="宋体" w:cs="宋体"/>
          <w:sz w:val="23"/>
          <w:szCs w:val="23"/>
          <w:highlight w:val="none"/>
          <w:lang w:eastAsia="zh-CN"/>
        </w:rPr>
      </w:pPr>
      <w:r>
        <w:rPr>
          <w:rFonts w:ascii="宋体" w:hAnsi="宋体" w:cs="宋体"/>
          <w:spacing w:val="16"/>
          <w:sz w:val="23"/>
          <w:szCs w:val="23"/>
          <w:highlight w:val="none"/>
          <w:lang w:eastAsia="zh-CN"/>
        </w:rPr>
        <w:t>(</w:t>
      </w:r>
      <w:r>
        <w:rPr>
          <w:rFonts w:ascii="宋体" w:hAnsi="宋体" w:cs="宋体"/>
          <w:spacing w:val="14"/>
          <w:sz w:val="23"/>
          <w:szCs w:val="23"/>
          <w:highlight w:val="none"/>
          <w:lang w:eastAsia="zh-CN"/>
        </w:rPr>
        <w:t>4)投标人还应在广州公共资源交易中心办理企业信息登记，未办理企业信息登</w:t>
      </w:r>
      <w:r>
        <w:rPr>
          <w:rFonts w:ascii="宋体" w:hAnsi="宋体" w:cs="宋体"/>
          <w:spacing w:val="13"/>
          <w:sz w:val="23"/>
          <w:szCs w:val="23"/>
          <w:highlight w:val="none"/>
          <w:lang w:eastAsia="zh-CN"/>
        </w:rPr>
        <w:t>记</w:t>
      </w:r>
      <w:r>
        <w:rPr>
          <w:rFonts w:ascii="宋体" w:hAnsi="宋体" w:cs="宋体"/>
          <w:spacing w:val="8"/>
          <w:sz w:val="23"/>
          <w:szCs w:val="23"/>
          <w:highlight w:val="none"/>
          <w:lang w:eastAsia="zh-CN"/>
        </w:rPr>
        <w:t>的投标申请将不予受理。</w:t>
      </w:r>
    </w:p>
    <w:p>
      <w:pPr>
        <w:spacing w:line="360" w:lineRule="auto"/>
        <w:ind w:firstLine="480" w:firstLineChars="200"/>
        <w:jc w:val="both"/>
        <w:rPr>
          <w:rFonts w:ascii="宋体" w:hAnsi="宋体" w:cs="宋体"/>
          <w:b/>
          <w:bCs/>
          <w:kern w:val="2"/>
          <w:sz w:val="24"/>
          <w:szCs w:val="24"/>
          <w:highlight w:val="none"/>
          <w:lang w:eastAsia="zh-CN"/>
        </w:rPr>
      </w:pPr>
      <w:r>
        <w:rPr>
          <w:rFonts w:ascii="宋体" w:hAnsi="宋体" w:cs="宋体"/>
          <w:b/>
          <w:bCs/>
          <w:kern w:val="2"/>
          <w:sz w:val="24"/>
          <w:szCs w:val="24"/>
          <w:highlight w:val="none"/>
          <w:lang w:eastAsia="zh-CN"/>
        </w:rPr>
        <w:t>5.投标文件的递交</w:t>
      </w:r>
    </w:p>
    <w:p>
      <w:pPr>
        <w:spacing w:before="5" w:line="374" w:lineRule="auto"/>
        <w:ind w:firstLine="492" w:firstLineChars="200"/>
        <w:rPr>
          <w:rFonts w:ascii="宋体" w:hAnsi="宋体" w:cs="宋体"/>
          <w:spacing w:val="8"/>
          <w:sz w:val="23"/>
          <w:szCs w:val="23"/>
          <w:highlight w:val="none"/>
          <w:lang w:eastAsia="zh-CN"/>
        </w:rPr>
      </w:pPr>
      <w:r>
        <w:rPr>
          <w:rFonts w:ascii="宋体" w:hAnsi="宋体" w:cs="宋体"/>
          <w:spacing w:val="8"/>
          <w:sz w:val="23"/>
          <w:szCs w:val="23"/>
          <w:highlight w:val="none"/>
          <w:lang w:eastAsia="zh-CN"/>
        </w:rPr>
        <w:t>5.1 投标文件递交的截止时间(投标截止时间，下同)为</w:t>
      </w:r>
      <w:r>
        <w:rPr>
          <w:rFonts w:hint="eastAsia" w:ascii="宋体" w:hAnsi="宋体" w:eastAsia="宋体" w:cs="宋体"/>
          <w:spacing w:val="8"/>
          <w:sz w:val="23"/>
          <w:szCs w:val="23"/>
          <w:highlight w:val="none"/>
          <w:lang w:eastAsia="zh-CN"/>
        </w:rPr>
        <w:t>2023年</w:t>
      </w:r>
      <w:r>
        <w:rPr>
          <w:rFonts w:hint="eastAsia" w:ascii="宋体" w:hAnsi="宋体" w:eastAsia="宋体" w:cs="宋体"/>
          <w:spacing w:val="8"/>
          <w:sz w:val="23"/>
          <w:szCs w:val="23"/>
          <w:highlight w:val="none"/>
          <w:lang w:val="en-US" w:eastAsia="zh-CN"/>
        </w:rPr>
        <w:t>6</w:t>
      </w:r>
      <w:r>
        <w:rPr>
          <w:rFonts w:hint="eastAsia" w:ascii="宋体" w:hAnsi="宋体" w:eastAsia="宋体" w:cs="宋体"/>
          <w:spacing w:val="8"/>
          <w:sz w:val="23"/>
          <w:szCs w:val="23"/>
          <w:highlight w:val="none"/>
          <w:lang w:eastAsia="zh-CN"/>
        </w:rPr>
        <w:t>月</w:t>
      </w:r>
      <w:r>
        <w:rPr>
          <w:rFonts w:hint="eastAsia" w:ascii="宋体" w:hAnsi="宋体" w:eastAsia="宋体" w:cs="宋体"/>
          <w:spacing w:val="8"/>
          <w:sz w:val="23"/>
          <w:szCs w:val="23"/>
          <w:highlight w:val="none"/>
          <w:lang w:val="en-US" w:eastAsia="zh-CN"/>
        </w:rPr>
        <w:t>29</w:t>
      </w:r>
      <w:r>
        <w:rPr>
          <w:rFonts w:hint="eastAsia" w:ascii="宋体" w:hAnsi="宋体" w:eastAsia="宋体" w:cs="宋体"/>
          <w:spacing w:val="8"/>
          <w:sz w:val="23"/>
          <w:szCs w:val="23"/>
          <w:highlight w:val="none"/>
          <w:lang w:eastAsia="zh-CN"/>
        </w:rPr>
        <w:t>日</w:t>
      </w:r>
      <w:r>
        <w:rPr>
          <w:rFonts w:hint="eastAsia" w:ascii="宋体" w:hAnsi="宋体" w:eastAsia="宋体" w:cs="宋体"/>
          <w:spacing w:val="8"/>
          <w:sz w:val="23"/>
          <w:szCs w:val="23"/>
          <w:highlight w:val="none"/>
          <w:lang w:val="en-US" w:eastAsia="zh-CN"/>
        </w:rPr>
        <w:t>10</w:t>
      </w:r>
      <w:r>
        <w:rPr>
          <w:rFonts w:hint="eastAsia" w:ascii="宋体" w:hAnsi="宋体" w:eastAsia="宋体" w:cs="宋体"/>
          <w:spacing w:val="8"/>
          <w:sz w:val="23"/>
          <w:szCs w:val="23"/>
          <w:highlight w:val="none"/>
          <w:lang w:eastAsia="zh-CN"/>
        </w:rPr>
        <w:t>时</w:t>
      </w:r>
      <w:r>
        <w:rPr>
          <w:rFonts w:hint="eastAsia" w:ascii="宋体" w:hAnsi="宋体" w:eastAsia="宋体" w:cs="宋体"/>
          <w:spacing w:val="8"/>
          <w:sz w:val="23"/>
          <w:szCs w:val="23"/>
          <w:highlight w:val="none"/>
          <w:lang w:val="en-US" w:eastAsia="zh-CN"/>
        </w:rPr>
        <w:t>00</w:t>
      </w:r>
      <w:r>
        <w:rPr>
          <w:rFonts w:hint="eastAsia" w:ascii="宋体" w:hAnsi="宋体" w:eastAsia="宋体" w:cs="宋体"/>
          <w:spacing w:val="8"/>
          <w:sz w:val="23"/>
          <w:szCs w:val="23"/>
          <w:highlight w:val="none"/>
          <w:lang w:eastAsia="zh-CN"/>
        </w:rPr>
        <w:t>分</w:t>
      </w:r>
      <w:r>
        <w:rPr>
          <w:rFonts w:ascii="宋体" w:hAnsi="宋体" w:cs="宋体"/>
          <w:spacing w:val="8"/>
          <w:sz w:val="23"/>
          <w:szCs w:val="23"/>
          <w:highlight w:val="none"/>
          <w:lang w:eastAsia="zh-CN"/>
        </w:rPr>
        <w:t>，地点为广州公共资源交易中心 (广州市天河区天润路333号)(具体时间和地点以</w:t>
      </w:r>
      <w:r>
        <w:rPr>
          <w:rFonts w:ascii="宋体" w:hAnsi="宋体" w:cs="宋体"/>
          <w:spacing w:val="8"/>
          <w:sz w:val="23"/>
          <w:szCs w:val="23"/>
          <w:highlight w:val="none"/>
          <w:lang w:eastAsia="zh-CN"/>
        </w:rPr>
        <w:fldChar w:fldCharType="begin"/>
      </w:r>
      <w:r>
        <w:rPr>
          <w:rFonts w:ascii="宋体" w:hAnsi="宋体" w:cs="宋体"/>
          <w:spacing w:val="8"/>
          <w:sz w:val="23"/>
          <w:szCs w:val="23"/>
          <w:highlight w:val="none"/>
          <w:lang w:eastAsia="zh-CN"/>
        </w:rPr>
        <w:instrText xml:space="preserve"> HYPERLINK "http://www.baidu.com/link?url=K8pJWn0q31dpYQb2LLYWreVaOP-xMz_nIhh3g7syJudjumnDOL-4Rve0wgAd03l_SszhcTTrVhBkyEct4NO8O7tp89E6W1RtUlVaZLV6Iv_hpyt7kWnbcab7NPJMbmvxNHR_lcunbDmWyu-mX3aKFq" </w:instrText>
      </w:r>
      <w:r>
        <w:rPr>
          <w:rFonts w:ascii="宋体" w:hAnsi="宋体" w:cs="宋体"/>
          <w:spacing w:val="8"/>
          <w:sz w:val="23"/>
          <w:szCs w:val="23"/>
          <w:highlight w:val="none"/>
          <w:lang w:eastAsia="zh-CN"/>
        </w:rPr>
        <w:fldChar w:fldCharType="separate"/>
      </w:r>
      <w:r>
        <w:rPr>
          <w:rFonts w:ascii="宋体" w:hAnsi="宋体" w:cs="宋体"/>
          <w:spacing w:val="8"/>
          <w:sz w:val="23"/>
          <w:szCs w:val="23"/>
          <w:highlight w:val="none"/>
          <w:lang w:eastAsia="zh-CN"/>
        </w:rPr>
        <w:t>广州</w:t>
      </w:r>
      <w:r>
        <w:rPr>
          <w:rFonts w:ascii="宋体" w:hAnsi="宋体" w:cs="宋体"/>
          <w:spacing w:val="8"/>
          <w:sz w:val="23"/>
          <w:szCs w:val="23"/>
          <w:highlight w:val="none"/>
          <w:lang w:eastAsia="zh-CN"/>
        </w:rPr>
        <w:fldChar w:fldCharType="end"/>
      </w:r>
      <w:r>
        <w:rPr>
          <w:rFonts w:ascii="宋体" w:hAnsi="宋体" w:cs="宋体"/>
          <w:spacing w:val="8"/>
          <w:sz w:val="23"/>
          <w:szCs w:val="23"/>
          <w:highlight w:val="none"/>
          <w:lang w:eastAsia="zh-CN"/>
        </w:rPr>
        <w:t>公共资源交易中心网站的为准)。</w:t>
      </w:r>
    </w:p>
    <w:p>
      <w:pPr>
        <w:spacing w:before="5" w:line="374" w:lineRule="auto"/>
        <w:ind w:firstLine="492" w:firstLineChars="200"/>
        <w:rPr>
          <w:rFonts w:ascii="宋体" w:hAnsi="宋体" w:cs="宋体"/>
          <w:spacing w:val="8"/>
          <w:sz w:val="23"/>
          <w:szCs w:val="23"/>
          <w:highlight w:val="none"/>
          <w:lang w:eastAsia="zh-CN"/>
        </w:rPr>
      </w:pPr>
      <w:r>
        <w:rPr>
          <w:rFonts w:ascii="宋体" w:hAnsi="宋体" w:cs="宋体"/>
          <w:spacing w:val="8"/>
          <w:sz w:val="23"/>
          <w:szCs w:val="23"/>
          <w:highlight w:val="none"/>
          <w:lang w:eastAsia="zh-CN"/>
        </w:rPr>
        <w:t>5.2 逾期送达或者未送达指定地点的投标文件，招标人不予受理。</w:t>
      </w:r>
    </w:p>
    <w:p>
      <w:pPr>
        <w:spacing w:line="360" w:lineRule="auto"/>
        <w:ind w:firstLine="480" w:firstLineChars="200"/>
        <w:jc w:val="both"/>
        <w:rPr>
          <w:rFonts w:ascii="宋体" w:hAnsi="宋体" w:cs="宋体"/>
          <w:b/>
          <w:bCs/>
          <w:kern w:val="2"/>
          <w:sz w:val="24"/>
          <w:szCs w:val="24"/>
          <w:highlight w:val="none"/>
          <w:lang w:eastAsia="zh-CN"/>
        </w:rPr>
      </w:pPr>
      <w:r>
        <w:rPr>
          <w:rFonts w:ascii="宋体" w:hAnsi="宋体" w:cs="宋体"/>
          <w:b/>
          <w:bCs/>
          <w:kern w:val="2"/>
          <w:sz w:val="24"/>
          <w:szCs w:val="24"/>
          <w:highlight w:val="none"/>
          <w:lang w:eastAsia="zh-CN"/>
        </w:rPr>
        <w:t>6．发布公告的媒介</w:t>
      </w:r>
    </w:p>
    <w:p>
      <w:pPr>
        <w:spacing w:before="161" w:line="374" w:lineRule="auto"/>
        <w:ind w:right="61" w:firstLine="524" w:firstLineChars="200"/>
        <w:rPr>
          <w:rFonts w:ascii="宋体" w:hAnsi="宋体" w:cs="宋体"/>
          <w:sz w:val="23"/>
          <w:szCs w:val="23"/>
          <w:highlight w:val="none"/>
          <w:lang w:eastAsia="zh-CN"/>
        </w:rPr>
      </w:pPr>
      <w:r>
        <w:rPr>
          <w:rFonts w:ascii="宋体" w:hAnsi="宋体" w:cs="宋体"/>
          <w:spacing w:val="16"/>
          <w:sz w:val="23"/>
          <w:szCs w:val="23"/>
          <w:highlight w:val="none"/>
          <w:lang w:eastAsia="zh-CN"/>
        </w:rPr>
        <w:t>招</w:t>
      </w:r>
      <w:r>
        <w:rPr>
          <w:rFonts w:ascii="宋体" w:hAnsi="宋体" w:cs="宋体"/>
          <w:spacing w:val="13"/>
          <w:sz w:val="23"/>
          <w:szCs w:val="23"/>
          <w:highlight w:val="none"/>
          <w:lang w:eastAsia="zh-CN"/>
        </w:rPr>
        <w:t>标</w:t>
      </w:r>
      <w:r>
        <w:rPr>
          <w:rFonts w:ascii="宋体" w:hAnsi="宋体" w:cs="宋体"/>
          <w:spacing w:val="8"/>
          <w:sz w:val="23"/>
          <w:szCs w:val="23"/>
          <w:highlight w:val="none"/>
          <w:lang w:eastAsia="zh-CN"/>
        </w:rPr>
        <w:t>公告在广东省招标投标监管网和广州公共资源交易中心网同时发布，招标文件</w:t>
      </w:r>
      <w:r>
        <w:rPr>
          <w:rFonts w:ascii="宋体" w:hAnsi="宋体" w:cs="宋体"/>
          <w:spacing w:val="16"/>
          <w:sz w:val="23"/>
          <w:szCs w:val="23"/>
          <w:highlight w:val="none"/>
          <w:lang w:eastAsia="zh-CN"/>
        </w:rPr>
        <w:t>等资</w:t>
      </w:r>
      <w:r>
        <w:rPr>
          <w:rFonts w:ascii="宋体" w:hAnsi="宋体" w:cs="宋体"/>
          <w:spacing w:val="8"/>
          <w:sz w:val="23"/>
          <w:szCs w:val="23"/>
          <w:highlight w:val="none"/>
          <w:lang w:eastAsia="zh-CN"/>
        </w:rPr>
        <w:t>料在广州公共资源交易中心网上发布。如有补充或修改，以广州公共资源交易中心</w:t>
      </w:r>
      <w:r>
        <w:rPr>
          <w:rFonts w:ascii="宋体" w:hAnsi="宋体" w:cs="宋体"/>
          <w:spacing w:val="9"/>
          <w:sz w:val="23"/>
          <w:szCs w:val="23"/>
          <w:highlight w:val="none"/>
          <w:lang w:eastAsia="zh-CN"/>
        </w:rPr>
        <w:t>网</w:t>
      </w:r>
      <w:r>
        <w:rPr>
          <w:rFonts w:ascii="宋体" w:hAnsi="宋体" w:cs="宋体"/>
          <w:spacing w:val="7"/>
          <w:sz w:val="23"/>
          <w:szCs w:val="23"/>
          <w:highlight w:val="none"/>
          <w:lang w:eastAsia="zh-CN"/>
        </w:rPr>
        <w:t>发布公告为准。</w:t>
      </w:r>
    </w:p>
    <w:p>
      <w:pPr>
        <w:spacing w:line="360" w:lineRule="auto"/>
        <w:ind w:firstLine="480" w:firstLineChars="200"/>
        <w:jc w:val="both"/>
        <w:rPr>
          <w:rFonts w:ascii="宋体" w:hAnsi="宋体" w:cs="宋体"/>
          <w:b/>
          <w:bCs/>
          <w:kern w:val="2"/>
          <w:sz w:val="24"/>
          <w:szCs w:val="24"/>
          <w:highlight w:val="none"/>
          <w:lang w:eastAsia="zh-CN"/>
        </w:rPr>
      </w:pPr>
      <w:r>
        <w:rPr>
          <w:rFonts w:ascii="宋体" w:hAnsi="宋体" w:cs="宋体"/>
          <w:b/>
          <w:bCs/>
          <w:kern w:val="2"/>
          <w:sz w:val="24"/>
          <w:szCs w:val="24"/>
          <w:highlight w:val="none"/>
          <w:lang w:eastAsia="zh-CN"/>
        </w:rPr>
        <w:t>7.联系方式</w:t>
      </w:r>
    </w:p>
    <w:p>
      <w:pPr>
        <w:spacing w:before="160" w:line="228" w:lineRule="auto"/>
        <w:ind w:left="483"/>
        <w:rPr>
          <w:rFonts w:ascii="宋体" w:hAnsi="宋体" w:cs="宋体"/>
          <w:sz w:val="23"/>
          <w:szCs w:val="23"/>
          <w:highlight w:val="none"/>
          <w:lang w:eastAsia="zh-CN"/>
        </w:rPr>
      </w:pPr>
      <w:r>
        <w:rPr>
          <w:rFonts w:ascii="宋体" w:hAnsi="宋体" w:cs="宋体"/>
          <w:spacing w:val="13"/>
          <w:sz w:val="23"/>
          <w:szCs w:val="23"/>
          <w:highlight w:val="none"/>
          <w:lang w:eastAsia="zh-CN"/>
        </w:rPr>
        <w:t>招</w:t>
      </w:r>
      <w:r>
        <w:rPr>
          <w:rFonts w:ascii="宋体" w:hAnsi="宋体" w:cs="宋体"/>
          <w:spacing w:val="9"/>
          <w:sz w:val="23"/>
          <w:szCs w:val="23"/>
          <w:highlight w:val="none"/>
          <w:lang w:eastAsia="zh-CN"/>
        </w:rPr>
        <w:t>标人：</w:t>
      </w:r>
      <w:r>
        <w:rPr>
          <w:rFonts w:hint="eastAsia" w:ascii="宋体" w:hAnsi="宋体" w:cs="宋体"/>
          <w:spacing w:val="9"/>
          <w:sz w:val="23"/>
          <w:szCs w:val="23"/>
          <w:highlight w:val="none"/>
          <w:lang w:eastAsia="zh-CN"/>
        </w:rPr>
        <w:t>阳西县交通运输局地方公路管理站</w:t>
      </w:r>
    </w:p>
    <w:p>
      <w:pPr>
        <w:spacing w:before="183" w:line="229" w:lineRule="auto"/>
        <w:ind w:left="482"/>
        <w:rPr>
          <w:rFonts w:ascii="宋体" w:hAnsi="宋体" w:cs="宋体"/>
          <w:sz w:val="23"/>
          <w:szCs w:val="23"/>
          <w:highlight w:val="none"/>
          <w:lang w:eastAsia="zh-CN"/>
        </w:rPr>
      </w:pPr>
      <w:r>
        <w:rPr>
          <w:rFonts w:ascii="宋体" w:hAnsi="宋体" w:cs="宋体"/>
          <w:spacing w:val="2"/>
          <w:sz w:val="23"/>
          <w:szCs w:val="23"/>
          <w:highlight w:val="none"/>
          <w:lang w:eastAsia="zh-CN"/>
        </w:rPr>
        <w:t>地址：阳江市</w:t>
      </w:r>
      <w:r>
        <w:rPr>
          <w:rFonts w:hint="eastAsia" w:ascii="宋体" w:hAnsi="宋体" w:cs="宋体"/>
          <w:spacing w:val="2"/>
          <w:sz w:val="23"/>
          <w:szCs w:val="23"/>
          <w:highlight w:val="none"/>
          <w:lang w:eastAsia="zh-CN"/>
        </w:rPr>
        <w:t>阳西县桥平一路488号</w:t>
      </w:r>
    </w:p>
    <w:p>
      <w:pPr>
        <w:spacing w:before="180" w:line="230" w:lineRule="auto"/>
        <w:ind w:left="483"/>
        <w:rPr>
          <w:rFonts w:ascii="宋体" w:hAnsi="宋体" w:cs="宋体"/>
          <w:sz w:val="23"/>
          <w:szCs w:val="23"/>
          <w:highlight w:val="none"/>
          <w:lang w:eastAsia="zh-CN"/>
        </w:rPr>
      </w:pPr>
      <w:r>
        <w:rPr>
          <w:rFonts w:ascii="宋体" w:hAnsi="宋体" w:cs="宋体"/>
          <w:spacing w:val="9"/>
          <w:sz w:val="23"/>
          <w:szCs w:val="23"/>
          <w:highlight w:val="none"/>
          <w:lang w:eastAsia="zh-CN"/>
        </w:rPr>
        <w:t>联</w:t>
      </w:r>
      <w:r>
        <w:rPr>
          <w:rFonts w:ascii="宋体" w:hAnsi="宋体" w:cs="宋体"/>
          <w:spacing w:val="8"/>
          <w:sz w:val="23"/>
          <w:szCs w:val="23"/>
          <w:highlight w:val="none"/>
          <w:lang w:eastAsia="zh-CN"/>
        </w:rPr>
        <w:t>系人：</w:t>
      </w:r>
      <w:r>
        <w:rPr>
          <w:rFonts w:hint="eastAsia" w:ascii="宋体" w:hAnsi="宋体" w:cs="宋体"/>
          <w:spacing w:val="8"/>
          <w:sz w:val="23"/>
          <w:szCs w:val="23"/>
          <w:highlight w:val="none"/>
          <w:lang w:eastAsia="zh-CN"/>
        </w:rPr>
        <w:t>陈先生</w:t>
      </w:r>
    </w:p>
    <w:p>
      <w:pPr>
        <w:spacing w:before="179" w:line="230" w:lineRule="auto"/>
        <w:ind w:left="510"/>
        <w:rPr>
          <w:rFonts w:ascii="宋体" w:hAnsi="宋体" w:cs="宋体"/>
          <w:spacing w:val="2"/>
          <w:sz w:val="23"/>
          <w:szCs w:val="23"/>
          <w:highlight w:val="none"/>
          <w:lang w:eastAsia="zh-CN"/>
        </w:rPr>
      </w:pPr>
      <w:r>
        <w:rPr>
          <w:rFonts w:ascii="宋体" w:hAnsi="宋体" w:cs="宋体"/>
          <w:spacing w:val="6"/>
          <w:sz w:val="23"/>
          <w:szCs w:val="23"/>
          <w:highlight w:val="none"/>
          <w:lang w:eastAsia="zh-CN"/>
        </w:rPr>
        <w:t>电话</w:t>
      </w:r>
      <w:r>
        <w:rPr>
          <w:rFonts w:hint="eastAsia" w:ascii="宋体" w:hAnsi="宋体" w:cs="宋体"/>
          <w:spacing w:val="2"/>
          <w:sz w:val="23"/>
          <w:szCs w:val="23"/>
          <w:highlight w:val="none"/>
          <w:lang w:eastAsia="zh-CN"/>
        </w:rPr>
        <w:t xml:space="preserve">：0662-5880996  </w:t>
      </w:r>
    </w:p>
    <w:p>
      <w:pPr>
        <w:spacing w:line="285" w:lineRule="auto"/>
        <w:rPr>
          <w:highlight w:val="none"/>
          <w:lang w:eastAsia="zh-CN"/>
        </w:rPr>
      </w:pPr>
    </w:p>
    <w:p>
      <w:pPr>
        <w:spacing w:before="75" w:line="226" w:lineRule="auto"/>
        <w:ind w:left="483"/>
        <w:rPr>
          <w:rFonts w:ascii="宋体" w:hAnsi="宋体" w:cs="宋体"/>
          <w:sz w:val="23"/>
          <w:szCs w:val="23"/>
          <w:highlight w:val="none"/>
          <w:lang w:eastAsia="zh-CN"/>
        </w:rPr>
      </w:pPr>
      <w:r>
        <w:rPr>
          <w:rFonts w:ascii="宋体" w:hAnsi="宋体" w:cs="宋体"/>
          <w:spacing w:val="15"/>
          <w:sz w:val="23"/>
          <w:szCs w:val="23"/>
          <w:highlight w:val="none"/>
          <w:lang w:eastAsia="zh-CN"/>
        </w:rPr>
        <w:t>招</w:t>
      </w:r>
      <w:r>
        <w:rPr>
          <w:rFonts w:ascii="宋体" w:hAnsi="宋体" w:cs="宋体"/>
          <w:spacing w:val="9"/>
          <w:sz w:val="23"/>
          <w:szCs w:val="23"/>
          <w:highlight w:val="none"/>
          <w:lang w:eastAsia="zh-CN"/>
        </w:rPr>
        <w:t>标代理机构：</w:t>
      </w:r>
      <w:r>
        <w:rPr>
          <w:rFonts w:hint="eastAsia" w:ascii="宋体" w:hAnsi="宋体" w:cs="宋体"/>
          <w:spacing w:val="9"/>
          <w:sz w:val="23"/>
          <w:szCs w:val="23"/>
          <w:highlight w:val="none"/>
          <w:lang w:eastAsia="zh-CN"/>
        </w:rPr>
        <w:t>广东恒业工程</w:t>
      </w:r>
      <w:r>
        <w:rPr>
          <w:rFonts w:ascii="宋体" w:hAnsi="宋体" w:cs="宋体"/>
          <w:spacing w:val="9"/>
          <w:sz w:val="23"/>
          <w:szCs w:val="23"/>
          <w:highlight w:val="none"/>
          <w:lang w:eastAsia="zh-CN"/>
        </w:rPr>
        <w:t>管理有限公司</w:t>
      </w:r>
    </w:p>
    <w:p>
      <w:pPr>
        <w:spacing w:before="187" w:line="228" w:lineRule="auto"/>
        <w:ind w:left="482"/>
        <w:rPr>
          <w:rFonts w:ascii="宋体" w:hAnsi="宋体" w:cs="宋体"/>
          <w:spacing w:val="-1"/>
          <w:sz w:val="23"/>
          <w:szCs w:val="23"/>
          <w:highlight w:val="none"/>
          <w:lang w:eastAsia="zh-CN"/>
        </w:rPr>
      </w:pPr>
      <w:r>
        <w:rPr>
          <w:rFonts w:ascii="宋体" w:hAnsi="宋体" w:cs="宋体"/>
          <w:spacing w:val="-2"/>
          <w:sz w:val="23"/>
          <w:szCs w:val="23"/>
          <w:highlight w:val="none"/>
          <w:lang w:eastAsia="zh-CN"/>
        </w:rPr>
        <w:t xml:space="preserve">地 </w:t>
      </w:r>
      <w:r>
        <w:rPr>
          <w:rFonts w:ascii="宋体" w:hAnsi="宋体" w:cs="宋体"/>
          <w:spacing w:val="-1"/>
          <w:sz w:val="23"/>
          <w:szCs w:val="23"/>
          <w:highlight w:val="none"/>
          <w:lang w:eastAsia="zh-CN"/>
        </w:rPr>
        <w:t xml:space="preserve"> 址：</w:t>
      </w:r>
      <w:r>
        <w:rPr>
          <w:rFonts w:hint="eastAsia" w:ascii="宋体" w:hAnsi="宋体" w:cs="宋体"/>
          <w:spacing w:val="-1"/>
          <w:sz w:val="23"/>
          <w:szCs w:val="23"/>
          <w:highlight w:val="none"/>
          <w:lang w:eastAsia="zh-CN"/>
        </w:rPr>
        <w:t>雷州市雷南大道开发区</w:t>
      </w:r>
    </w:p>
    <w:p>
      <w:pPr>
        <w:spacing w:before="75" w:line="360" w:lineRule="auto"/>
        <w:ind w:left="483"/>
        <w:rPr>
          <w:rFonts w:ascii="宋体" w:hAnsi="宋体" w:cs="宋体"/>
          <w:spacing w:val="9"/>
          <w:sz w:val="23"/>
          <w:szCs w:val="23"/>
          <w:highlight w:val="none"/>
          <w:lang w:eastAsia="zh-CN"/>
        </w:rPr>
      </w:pPr>
      <w:r>
        <w:rPr>
          <w:rFonts w:ascii="宋体" w:hAnsi="宋体" w:cs="宋体"/>
          <w:spacing w:val="9"/>
          <w:sz w:val="23"/>
          <w:szCs w:val="23"/>
          <w:highlight w:val="none"/>
          <w:lang w:eastAsia="zh-CN"/>
        </w:rPr>
        <w:t>邮  编：</w:t>
      </w:r>
      <w:r>
        <w:rPr>
          <w:rFonts w:hint="eastAsia" w:ascii="宋体" w:hAnsi="宋体" w:cs="宋体"/>
          <w:spacing w:val="9"/>
          <w:sz w:val="23"/>
          <w:szCs w:val="23"/>
          <w:highlight w:val="none"/>
          <w:lang w:eastAsia="zh-CN"/>
        </w:rPr>
        <w:t>524200</w:t>
      </w:r>
    </w:p>
    <w:p>
      <w:pPr>
        <w:spacing w:before="75" w:line="360" w:lineRule="auto"/>
        <w:ind w:left="483"/>
        <w:rPr>
          <w:rFonts w:ascii="宋体" w:hAnsi="宋体" w:cs="宋体"/>
          <w:spacing w:val="9"/>
          <w:sz w:val="23"/>
          <w:szCs w:val="23"/>
          <w:highlight w:val="none"/>
          <w:lang w:eastAsia="zh-CN"/>
        </w:rPr>
      </w:pPr>
      <w:r>
        <w:rPr>
          <w:rFonts w:ascii="宋体" w:hAnsi="宋体" w:cs="宋体"/>
          <w:spacing w:val="9"/>
          <w:sz w:val="23"/>
          <w:szCs w:val="23"/>
          <w:highlight w:val="none"/>
          <w:lang w:eastAsia="zh-CN"/>
        </w:rPr>
        <w:t>联系人：</w:t>
      </w:r>
      <w:r>
        <w:rPr>
          <w:rFonts w:hint="eastAsia" w:ascii="宋体" w:hAnsi="宋体" w:cs="宋体"/>
          <w:spacing w:val="9"/>
          <w:sz w:val="23"/>
          <w:szCs w:val="23"/>
          <w:highlight w:val="none"/>
          <w:lang w:eastAsia="zh-CN"/>
        </w:rPr>
        <w:t>凌</w:t>
      </w:r>
      <w:r>
        <w:rPr>
          <w:rFonts w:ascii="宋体" w:hAnsi="宋体" w:cs="宋体"/>
          <w:spacing w:val="9"/>
          <w:sz w:val="23"/>
          <w:szCs w:val="23"/>
          <w:highlight w:val="none"/>
          <w:lang w:eastAsia="zh-CN"/>
        </w:rPr>
        <w:t>工</w:t>
      </w:r>
    </w:p>
    <w:p>
      <w:pPr>
        <w:spacing w:before="75" w:line="360" w:lineRule="auto"/>
        <w:ind w:left="483"/>
        <w:rPr>
          <w:rFonts w:ascii="宋体" w:hAnsi="宋体" w:cs="宋体"/>
          <w:spacing w:val="9"/>
          <w:sz w:val="23"/>
          <w:szCs w:val="23"/>
          <w:highlight w:val="none"/>
          <w:lang w:eastAsia="zh-CN"/>
        </w:rPr>
      </w:pPr>
      <w:r>
        <w:rPr>
          <w:rFonts w:ascii="宋体" w:hAnsi="宋体" w:cs="宋体"/>
          <w:spacing w:val="9"/>
          <w:sz w:val="23"/>
          <w:szCs w:val="23"/>
          <w:highlight w:val="none"/>
          <w:lang w:eastAsia="zh-CN"/>
        </w:rPr>
        <w:t>电  话：</w:t>
      </w:r>
      <w:r>
        <w:rPr>
          <w:rFonts w:hint="eastAsia" w:ascii="宋体" w:hAnsi="宋体" w:cs="宋体"/>
          <w:spacing w:val="9"/>
          <w:sz w:val="23"/>
          <w:szCs w:val="23"/>
          <w:highlight w:val="none"/>
          <w:lang w:eastAsia="zh-CN"/>
        </w:rPr>
        <w:t>0662-3633628</w:t>
      </w:r>
    </w:p>
    <w:p>
      <w:pPr>
        <w:spacing w:before="75" w:line="360" w:lineRule="auto"/>
        <w:ind w:left="483"/>
        <w:rPr>
          <w:rFonts w:ascii="宋体" w:hAnsi="宋体" w:cs="宋体"/>
          <w:spacing w:val="9"/>
          <w:sz w:val="23"/>
          <w:szCs w:val="23"/>
          <w:highlight w:val="none"/>
          <w:lang w:eastAsia="zh-CN"/>
        </w:rPr>
      </w:pPr>
      <w:r>
        <w:rPr>
          <w:rFonts w:ascii="宋体" w:hAnsi="宋体" w:cs="宋体"/>
          <w:spacing w:val="9"/>
          <w:sz w:val="23"/>
          <w:szCs w:val="23"/>
          <w:highlight w:val="none"/>
          <w:lang w:eastAsia="zh-CN"/>
        </w:rPr>
        <w:t>日期：202</w:t>
      </w:r>
      <w:r>
        <w:rPr>
          <w:rFonts w:hint="eastAsia" w:ascii="宋体" w:hAnsi="宋体" w:cs="宋体"/>
          <w:spacing w:val="9"/>
          <w:sz w:val="23"/>
          <w:szCs w:val="23"/>
          <w:highlight w:val="none"/>
          <w:lang w:eastAsia="zh-CN"/>
        </w:rPr>
        <w:t>3</w:t>
      </w:r>
      <w:r>
        <w:rPr>
          <w:rFonts w:ascii="宋体" w:hAnsi="宋体" w:cs="宋体"/>
          <w:spacing w:val="9"/>
          <w:sz w:val="23"/>
          <w:szCs w:val="23"/>
          <w:highlight w:val="none"/>
          <w:lang w:eastAsia="zh-CN"/>
        </w:rPr>
        <w:t>年</w:t>
      </w:r>
      <w:r>
        <w:rPr>
          <w:rFonts w:hint="eastAsia" w:ascii="宋体" w:hAnsi="宋体" w:cs="宋体"/>
          <w:spacing w:val="9"/>
          <w:sz w:val="23"/>
          <w:szCs w:val="23"/>
          <w:highlight w:val="none"/>
          <w:lang w:val="en-US" w:eastAsia="zh-CN"/>
        </w:rPr>
        <w:t>6</w:t>
      </w:r>
      <w:r>
        <w:rPr>
          <w:rFonts w:ascii="宋体" w:hAnsi="宋体" w:cs="宋体"/>
          <w:spacing w:val="9"/>
          <w:sz w:val="23"/>
          <w:szCs w:val="23"/>
          <w:highlight w:val="none"/>
          <w:lang w:eastAsia="zh-CN"/>
        </w:rPr>
        <w:t>月</w:t>
      </w:r>
      <w:r>
        <w:rPr>
          <w:rFonts w:hint="eastAsia" w:ascii="宋体" w:hAnsi="宋体" w:cs="宋体"/>
          <w:spacing w:val="9"/>
          <w:sz w:val="23"/>
          <w:szCs w:val="23"/>
          <w:highlight w:val="none"/>
          <w:lang w:val="en-US" w:eastAsia="zh-CN"/>
        </w:rPr>
        <w:t>7</w:t>
      </w:r>
      <w:r>
        <w:rPr>
          <w:rFonts w:ascii="宋体" w:hAnsi="宋体" w:cs="宋体"/>
          <w:spacing w:val="9"/>
          <w:sz w:val="23"/>
          <w:szCs w:val="23"/>
          <w:highlight w:val="none"/>
          <w:lang w:eastAsia="zh-CN"/>
        </w:rPr>
        <w:t>日</w:t>
      </w: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spacing w:before="8"/>
        <w:rPr>
          <w:rFonts w:ascii="宋体" w:hAnsi="宋体" w:eastAsia="宋体" w:cs="宋体"/>
          <w:color w:val="000000" w:themeColor="text1"/>
          <w:sz w:val="19"/>
          <w:szCs w:val="19"/>
          <w:lang w:eastAsia="zh-CN"/>
          <w14:textFill>
            <w14:solidFill>
              <w14:schemeClr w14:val="tx1"/>
            </w14:solidFill>
          </w14:textFill>
        </w:rPr>
      </w:pPr>
    </w:p>
    <w:p>
      <w:pPr>
        <w:pStyle w:val="9"/>
        <w:tabs>
          <w:tab w:val="left" w:pos="4073"/>
        </w:tabs>
        <w:spacing w:before="0" w:line="460" w:lineRule="exact"/>
        <w:ind w:left="2634" w:right="106"/>
        <w:rPr>
          <w:color w:val="000000" w:themeColor="text1"/>
          <w:lang w:eastAsia="zh-CN"/>
          <w14:textFill>
            <w14:solidFill>
              <w14:schemeClr w14:val="tx1"/>
            </w14:solidFill>
          </w14:textFill>
        </w:rPr>
      </w:pPr>
      <w:bookmarkStart w:id="1" w:name="_TOC_250004"/>
      <w:bookmarkEnd w:id="1"/>
    </w:p>
    <w:p>
      <w:pPr>
        <w:pStyle w:val="9"/>
        <w:tabs>
          <w:tab w:val="left" w:pos="4073"/>
        </w:tabs>
        <w:spacing w:before="0" w:line="460" w:lineRule="exact"/>
        <w:ind w:left="2634" w:right="106"/>
        <w:rPr>
          <w:color w:val="000000" w:themeColor="text1"/>
          <w:lang w:eastAsia="zh-CN"/>
          <w14:textFill>
            <w14:solidFill>
              <w14:schemeClr w14:val="tx1"/>
            </w14:solidFill>
          </w14:textFill>
        </w:rPr>
      </w:pPr>
    </w:p>
    <w:p>
      <w:pPr>
        <w:pStyle w:val="9"/>
        <w:tabs>
          <w:tab w:val="left" w:pos="4073"/>
        </w:tabs>
        <w:spacing w:before="0" w:line="460" w:lineRule="exact"/>
        <w:ind w:left="2634" w:right="106"/>
        <w:rPr>
          <w:color w:val="000000" w:themeColor="text1"/>
          <w:lang w:eastAsia="zh-CN"/>
          <w14:textFill>
            <w14:solidFill>
              <w14:schemeClr w14:val="tx1"/>
            </w14:solidFill>
          </w14:textFill>
        </w:rPr>
      </w:pPr>
    </w:p>
    <w:p>
      <w:pPr>
        <w:pStyle w:val="9"/>
        <w:tabs>
          <w:tab w:val="left" w:pos="4073"/>
        </w:tabs>
        <w:spacing w:before="0" w:line="460" w:lineRule="exact"/>
        <w:ind w:left="2634" w:right="106"/>
        <w:rPr>
          <w:color w:val="000000" w:themeColor="text1"/>
          <w:lang w:eastAsia="zh-CN"/>
          <w14:textFill>
            <w14:solidFill>
              <w14:schemeClr w14:val="tx1"/>
            </w14:solidFill>
          </w14:textFill>
        </w:rPr>
      </w:pPr>
    </w:p>
    <w:p>
      <w:pPr>
        <w:pStyle w:val="9"/>
        <w:tabs>
          <w:tab w:val="left" w:pos="4073"/>
        </w:tabs>
        <w:spacing w:before="0" w:line="460" w:lineRule="exact"/>
        <w:ind w:left="2634" w:right="10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第二章</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投标人须知</w:t>
      </w:r>
    </w:p>
    <w:p>
      <w:pPr>
        <w:spacing w:line="460" w:lineRule="exact"/>
        <w:rPr>
          <w:color w:val="000000" w:themeColor="text1"/>
          <w:lang w:eastAsia="zh-CN"/>
          <w14:textFill>
            <w14:solidFill>
              <w14:schemeClr w14:val="tx1"/>
            </w14:solidFill>
          </w14:textFill>
        </w:rPr>
        <w:sectPr>
          <w:footerReference r:id="rId7" w:type="default"/>
          <w:pgSz w:w="11910" w:h="16840"/>
          <w:pgMar w:top="1242" w:right="1680" w:bottom="1701" w:left="1680" w:header="968" w:footer="1134" w:gutter="0"/>
          <w:cols w:space="720" w:num="1"/>
        </w:sectPr>
      </w:pPr>
    </w:p>
    <w:p>
      <w:pPr>
        <w:spacing w:before="13"/>
        <w:rPr>
          <w:rFonts w:ascii="黑体" w:hAnsi="黑体" w:eastAsia="黑体" w:cs="黑体"/>
          <w:color w:val="000000" w:themeColor="text1"/>
          <w:sz w:val="10"/>
          <w:szCs w:val="10"/>
          <w:lang w:eastAsia="zh-CN"/>
          <w14:textFill>
            <w14:solidFill>
              <w14:schemeClr w14:val="tx1"/>
            </w14:solidFill>
          </w14:textFill>
        </w:rPr>
      </w:pPr>
    </w:p>
    <w:p>
      <w:pPr>
        <w:pStyle w:val="11"/>
        <w:ind w:left="5" w:right="6"/>
        <w:jc w:val="center"/>
        <w:rPr>
          <w:rFonts w:cs="黑体"/>
          <w:color w:val="000000" w:themeColor="text1"/>
          <w:sz w:val="15"/>
          <w:szCs w:val="15"/>
          <w:lang w:eastAsia="zh-CN"/>
          <w14:textFill>
            <w14:solidFill>
              <w14:schemeClr w14:val="tx1"/>
            </w14:solidFill>
          </w14:textFill>
        </w:rPr>
      </w:pPr>
      <w:r>
        <w:rPr>
          <w:color w:val="000000" w:themeColor="text1"/>
          <w:lang w:eastAsia="zh-CN"/>
          <w14:textFill>
            <w14:solidFill>
              <w14:schemeClr w14:val="tx1"/>
            </w14:solidFill>
          </w14:textFill>
        </w:rPr>
        <w:t>第二章 投标人须知</w:t>
      </w:r>
    </w:p>
    <w:p>
      <w:pPr>
        <w:spacing w:before="44" w:after="38"/>
        <w:ind w:left="218" w:right="84"/>
        <w:rPr>
          <w:rFonts w:ascii="黑体" w:hAnsi="黑体" w:eastAsia="黑体" w:cs="黑体"/>
          <w:color w:val="000000" w:themeColor="text1"/>
          <w:sz w:val="12"/>
          <w:szCs w:val="12"/>
          <w:lang w:eastAsia="zh-CN"/>
          <w14:textFill>
            <w14:solidFill>
              <w14:schemeClr w14:val="tx1"/>
            </w14:solidFill>
          </w14:textFill>
        </w:rPr>
      </w:pPr>
      <w:r>
        <w:rPr>
          <w:rFonts w:ascii="黑体" w:hAnsi="黑体" w:eastAsia="黑体" w:cs="黑体"/>
          <w:b/>
          <w:bCs/>
          <w:color w:val="000000" w:themeColor="text1"/>
          <w:sz w:val="24"/>
          <w:szCs w:val="24"/>
          <w:lang w:eastAsia="zh-CN"/>
          <w14:textFill>
            <w14:solidFill>
              <w14:schemeClr w14:val="tx1"/>
            </w14:solidFill>
          </w14:textFill>
        </w:rPr>
        <w:t>投标人须知前附表</w:t>
      </w:r>
    </w:p>
    <w:tbl>
      <w:tblPr>
        <w:tblStyle w:val="23"/>
        <w:tblW w:w="0" w:type="auto"/>
        <w:tblInd w:w="113" w:type="dxa"/>
        <w:tblLayout w:type="fixed"/>
        <w:tblCellMar>
          <w:top w:w="0" w:type="dxa"/>
          <w:left w:w="0" w:type="dxa"/>
          <w:bottom w:w="0" w:type="dxa"/>
          <w:right w:w="0" w:type="dxa"/>
        </w:tblCellMar>
      </w:tblPr>
      <w:tblGrid>
        <w:gridCol w:w="930"/>
        <w:gridCol w:w="2778"/>
        <w:gridCol w:w="5086"/>
      </w:tblGrid>
      <w:tr>
        <w:tblPrEx>
          <w:tblCellMar>
            <w:top w:w="0" w:type="dxa"/>
            <w:left w:w="0" w:type="dxa"/>
            <w:bottom w:w="0" w:type="dxa"/>
            <w:right w:w="0" w:type="dxa"/>
          </w:tblCellMar>
        </w:tblPrEx>
        <w:trPr>
          <w:trHeight w:val="36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ind w:left="144"/>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z w:val="21"/>
                <w:szCs w:val="21"/>
                <w14:textFill>
                  <w14:solidFill>
                    <w14:schemeClr w14:val="tx1"/>
                  </w14:solidFill>
                </w14:textFill>
              </w:rPr>
              <w:t>条款号</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2"/>
                <w:tab w:val="left" w:pos="844"/>
                <w:tab w:val="left" w:pos="1264"/>
              </w:tabs>
              <w:spacing w:line="238" w:lineRule="exact"/>
              <w:ind w:lef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条</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款</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名</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称</w:t>
            </w:r>
          </w:p>
        </w:tc>
        <w:tc>
          <w:tcPr>
            <w:tcW w:w="5086"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4"/>
                <w:tab w:val="left" w:pos="847"/>
                <w:tab w:val="left" w:pos="1268"/>
              </w:tabs>
              <w:spacing w:line="238" w:lineRule="exact"/>
              <w:ind w:left="3"/>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编</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列</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内</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容</w:t>
            </w:r>
          </w:p>
        </w:tc>
      </w:tr>
      <w:tr>
        <w:tblPrEx>
          <w:tblCellMar>
            <w:top w:w="0" w:type="dxa"/>
            <w:left w:w="0" w:type="dxa"/>
            <w:bottom w:w="0" w:type="dxa"/>
            <w:right w:w="0" w:type="dxa"/>
          </w:tblCellMar>
        </w:tblPrEx>
        <w:trPr>
          <w:trHeight w:val="315" w:hRule="exact"/>
        </w:trPr>
        <w:tc>
          <w:tcPr>
            <w:tcW w:w="930" w:type="dxa"/>
            <w:vMerge w:val="restart"/>
            <w:tcBorders>
              <w:top w:val="single" w:color="010101" w:sz="4" w:space="0"/>
              <w:left w:val="single" w:color="010101" w:sz="4" w:space="0"/>
              <w:right w:val="single" w:color="010101" w:sz="4" w:space="0"/>
            </w:tcBorders>
            <w:vAlign w:val="center"/>
          </w:tcPr>
          <w:p>
            <w:pPr>
              <w:pStyle w:val="27"/>
              <w:ind w:left="196"/>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1.1.2</w:t>
            </w:r>
          </w:p>
        </w:tc>
        <w:tc>
          <w:tcPr>
            <w:tcW w:w="2778" w:type="dxa"/>
            <w:vMerge w:val="restart"/>
            <w:tcBorders>
              <w:top w:val="single" w:color="010101" w:sz="4" w:space="0"/>
              <w:left w:val="single" w:color="010101" w:sz="4" w:space="0"/>
              <w:right w:val="single" w:color="010101" w:sz="4" w:space="0"/>
            </w:tcBorders>
            <w:vAlign w:val="center"/>
          </w:tcPr>
          <w:p>
            <w:pPr>
              <w:pStyle w:val="27"/>
              <w:spacing w:before="7" w:line="309" w:lineRule="auto"/>
              <w:ind w:left="103" w:right="170"/>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招标人</w:t>
            </w:r>
          </w:p>
        </w:tc>
        <w:tc>
          <w:tcPr>
            <w:tcW w:w="5086" w:type="dxa"/>
            <w:tcBorders>
              <w:top w:val="single" w:color="010101" w:sz="4" w:space="0"/>
              <w:left w:val="single" w:color="010101" w:sz="4" w:space="0"/>
              <w:bottom w:val="nil"/>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名称：</w:t>
            </w:r>
            <w:r>
              <w:rPr>
                <w:rFonts w:hint="eastAsia" w:ascii="宋体" w:hAnsi="宋体" w:eastAsia="宋体" w:cs="宋体"/>
                <w:color w:val="000000" w:themeColor="text1"/>
                <w:sz w:val="21"/>
                <w:szCs w:val="21"/>
                <w:lang w:eastAsia="zh-CN"/>
                <w14:textFill>
                  <w14:solidFill>
                    <w14:schemeClr w14:val="tx1"/>
                  </w14:solidFill>
                </w14:textFill>
              </w:rPr>
              <w:t>阳西县交通运输局地方公路管理站</w:t>
            </w:r>
          </w:p>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708" w:hRule="exact"/>
        </w:trPr>
        <w:tc>
          <w:tcPr>
            <w:tcW w:w="930" w:type="dxa"/>
            <w:vMerge w:val="continue"/>
            <w:tcBorders>
              <w:left w:val="single" w:color="010101" w:sz="4" w:space="0"/>
              <w:right w:val="single" w:color="010101" w:sz="4" w:space="0"/>
            </w:tcBorders>
            <w:vAlign w:val="center"/>
          </w:tcPr>
          <w:p>
            <w:pPr>
              <w:pStyle w:val="27"/>
              <w:ind w:left="196"/>
              <w:rPr>
                <w:rFonts w:ascii="宋体" w:hAnsi="宋体" w:eastAsia="宋体" w:cs="宋体"/>
                <w:color w:val="000000" w:themeColor="text1"/>
                <w:sz w:val="21"/>
                <w:szCs w:val="21"/>
                <w:lang w:eastAsia="zh-CN"/>
                <w14:textFill>
                  <w14:solidFill>
                    <w14:schemeClr w14:val="tx1"/>
                  </w14:solidFill>
                </w14:textFill>
              </w:rPr>
            </w:pPr>
          </w:p>
        </w:tc>
        <w:tc>
          <w:tcPr>
            <w:tcW w:w="2778" w:type="dxa"/>
            <w:vMerge w:val="continue"/>
            <w:tcBorders>
              <w:left w:val="single" w:color="010101" w:sz="4" w:space="0"/>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p>
        </w:tc>
        <w:tc>
          <w:tcPr>
            <w:tcW w:w="5086" w:type="dxa"/>
            <w:tcBorders>
              <w:top w:val="nil"/>
              <w:left w:val="single" w:color="010101" w:sz="4" w:space="0"/>
              <w:bottom w:val="nil"/>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地址：阳</w:t>
            </w:r>
            <w:r>
              <w:rPr>
                <w:rFonts w:hint="eastAsia" w:ascii="宋体" w:hAnsi="宋体" w:eastAsia="宋体" w:cs="宋体"/>
                <w:color w:val="000000" w:themeColor="text1"/>
                <w:sz w:val="21"/>
                <w:szCs w:val="21"/>
                <w:lang w:eastAsia="zh-CN"/>
                <w14:textFill>
                  <w14:solidFill>
                    <w14:schemeClr w14:val="tx1"/>
                  </w14:solidFill>
                </w14:textFill>
              </w:rPr>
              <w:t>西县桥平一路488</w:t>
            </w:r>
            <w:r>
              <w:rPr>
                <w:rFonts w:ascii="宋体" w:hAnsi="宋体" w:eastAsia="宋体" w:cs="宋体"/>
                <w:color w:val="000000" w:themeColor="text1"/>
                <w:sz w:val="21"/>
                <w:szCs w:val="21"/>
                <w:lang w:eastAsia="zh-CN"/>
                <w14:textFill>
                  <w14:solidFill>
                    <w14:schemeClr w14:val="tx1"/>
                  </w14:solidFill>
                </w14:textFill>
              </w:rPr>
              <w:t>号</w:t>
            </w:r>
          </w:p>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联系人：</w:t>
            </w:r>
            <w:r>
              <w:rPr>
                <w:rFonts w:hint="eastAsia" w:ascii="宋体" w:hAnsi="宋体" w:eastAsia="宋体" w:cs="宋体"/>
                <w:color w:val="000000" w:themeColor="text1"/>
                <w:sz w:val="21"/>
                <w:szCs w:val="21"/>
                <w:lang w:eastAsia="zh-CN"/>
                <w14:textFill>
                  <w14:solidFill>
                    <w14:schemeClr w14:val="tx1"/>
                  </w14:solidFill>
                </w14:textFill>
              </w:rPr>
              <w:t>陈先生</w:t>
            </w:r>
          </w:p>
        </w:tc>
      </w:tr>
      <w:tr>
        <w:tblPrEx>
          <w:tblCellMar>
            <w:top w:w="0" w:type="dxa"/>
            <w:left w:w="0" w:type="dxa"/>
            <w:bottom w:w="0" w:type="dxa"/>
            <w:right w:w="0" w:type="dxa"/>
          </w:tblCellMar>
        </w:tblPrEx>
        <w:trPr>
          <w:trHeight w:val="404" w:hRule="exact"/>
        </w:trPr>
        <w:tc>
          <w:tcPr>
            <w:tcW w:w="930" w:type="dxa"/>
            <w:vMerge w:val="continue"/>
            <w:tcBorders>
              <w:left w:val="single" w:color="010101" w:sz="4" w:space="0"/>
              <w:bottom w:val="single" w:color="010101" w:sz="4" w:space="0"/>
              <w:right w:val="single" w:color="010101" w:sz="4" w:space="0"/>
            </w:tcBorders>
            <w:vAlign w:val="center"/>
          </w:tcPr>
          <w:p>
            <w:pPr>
              <w:rPr>
                <w:color w:val="000000" w:themeColor="text1"/>
                <w:sz w:val="21"/>
                <w:szCs w:val="21"/>
                <w14:textFill>
                  <w14:solidFill>
                    <w14:schemeClr w14:val="tx1"/>
                  </w14:solidFill>
                </w14:textFill>
              </w:rPr>
            </w:pPr>
          </w:p>
        </w:tc>
        <w:tc>
          <w:tcPr>
            <w:tcW w:w="2778" w:type="dxa"/>
            <w:vMerge w:val="continue"/>
            <w:tcBorders>
              <w:left w:val="single" w:color="010101" w:sz="4" w:space="0"/>
              <w:bottom w:val="single" w:color="010101" w:sz="4" w:space="0"/>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p>
        </w:tc>
        <w:tc>
          <w:tcPr>
            <w:tcW w:w="5086" w:type="dxa"/>
            <w:tcBorders>
              <w:top w:val="nil"/>
              <w:left w:val="single" w:color="010101" w:sz="4" w:space="0"/>
              <w:bottom w:val="single" w:color="010101" w:sz="4" w:space="0"/>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电话：</w:t>
            </w:r>
            <w:r>
              <w:rPr>
                <w:rFonts w:hint="eastAsia" w:ascii="宋体" w:hAnsi="宋体" w:eastAsia="宋体" w:cs="宋体"/>
                <w:color w:val="000000" w:themeColor="text1"/>
                <w:sz w:val="21"/>
                <w:szCs w:val="21"/>
                <w:lang w:eastAsia="zh-CN"/>
                <w14:textFill>
                  <w14:solidFill>
                    <w14:schemeClr w14:val="tx1"/>
                  </w14:solidFill>
                </w14:textFill>
              </w:rPr>
              <w:t>0662-5880996</w:t>
            </w:r>
          </w:p>
        </w:tc>
      </w:tr>
      <w:tr>
        <w:tblPrEx>
          <w:tblCellMar>
            <w:top w:w="0" w:type="dxa"/>
            <w:left w:w="0" w:type="dxa"/>
            <w:bottom w:w="0" w:type="dxa"/>
            <w:right w:w="0" w:type="dxa"/>
          </w:tblCellMar>
        </w:tblPrEx>
        <w:trPr>
          <w:trHeight w:val="293" w:hRule="exact"/>
        </w:trPr>
        <w:tc>
          <w:tcPr>
            <w:tcW w:w="930" w:type="dxa"/>
            <w:tcBorders>
              <w:top w:val="single" w:color="010101" w:sz="4" w:space="0"/>
              <w:left w:val="single" w:color="010101" w:sz="4" w:space="0"/>
              <w:bottom w:val="nil"/>
              <w:right w:val="single" w:color="010101" w:sz="4" w:space="0"/>
            </w:tcBorders>
            <w:vAlign w:val="center"/>
          </w:tcPr>
          <w:p>
            <w:pPr>
              <w:jc w:val="center"/>
              <w:rPr>
                <w:color w:val="000000" w:themeColor="text1"/>
                <w:sz w:val="21"/>
                <w:szCs w:val="21"/>
                <w14:textFill>
                  <w14:solidFill>
                    <w14:schemeClr w14:val="tx1"/>
                  </w14:solidFill>
                </w14:textFill>
              </w:rPr>
            </w:pPr>
          </w:p>
        </w:tc>
        <w:tc>
          <w:tcPr>
            <w:tcW w:w="2778" w:type="dxa"/>
            <w:tcBorders>
              <w:top w:val="single" w:color="010101" w:sz="4" w:space="0"/>
              <w:left w:val="single" w:color="010101" w:sz="4" w:space="0"/>
              <w:bottom w:val="nil"/>
              <w:right w:val="single" w:color="010101" w:sz="4" w:space="0"/>
            </w:tcBorders>
            <w:vAlign w:val="center"/>
          </w:tcPr>
          <w:p>
            <w:pPr>
              <w:rPr>
                <w:color w:val="000000" w:themeColor="text1"/>
                <w:sz w:val="21"/>
                <w:szCs w:val="21"/>
                <w14:textFill>
                  <w14:solidFill>
                    <w14:schemeClr w14:val="tx1"/>
                  </w14:solidFill>
                </w14:textFill>
              </w:rPr>
            </w:pPr>
          </w:p>
        </w:tc>
        <w:tc>
          <w:tcPr>
            <w:tcW w:w="5086" w:type="dxa"/>
            <w:tcBorders>
              <w:top w:val="single" w:color="010101" w:sz="4" w:space="0"/>
              <w:left w:val="single" w:color="010101" w:sz="4" w:space="0"/>
              <w:bottom w:val="nil"/>
              <w:right w:val="single" w:color="010101" w:sz="4" w:space="0"/>
            </w:tcBorders>
            <w:vAlign w:val="center"/>
          </w:tcPr>
          <w:p>
            <w:pPr>
              <w:pStyle w:val="27"/>
              <w:spacing w:line="238" w:lineRule="exact"/>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1015" w:hRule="exact"/>
        </w:trPr>
        <w:tc>
          <w:tcPr>
            <w:tcW w:w="930" w:type="dxa"/>
            <w:tcBorders>
              <w:top w:val="nil"/>
              <w:left w:val="single" w:color="010101" w:sz="4" w:space="0"/>
              <w:bottom w:val="nil"/>
              <w:right w:val="single" w:color="010101" w:sz="4" w:space="0"/>
            </w:tcBorders>
            <w:vAlign w:val="center"/>
          </w:tcPr>
          <w:p>
            <w:pPr>
              <w:pStyle w:val="27"/>
              <w:spacing w:before="12"/>
              <w:rPr>
                <w:rFonts w:ascii="黑体" w:hAnsi="黑体" w:eastAsia="黑体" w:cs="黑体"/>
                <w:b/>
                <w:bCs/>
                <w:color w:val="000000" w:themeColor="text1"/>
                <w:sz w:val="21"/>
                <w:szCs w:val="21"/>
                <w:lang w:eastAsia="zh-CN"/>
                <w14:textFill>
                  <w14:solidFill>
                    <w14:schemeClr w14:val="tx1"/>
                  </w14:solidFill>
                </w14:textFill>
              </w:rPr>
            </w:pPr>
          </w:p>
          <w:p>
            <w:pPr>
              <w:pStyle w:val="27"/>
              <w:ind w:left="196"/>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1.1.3</w:t>
            </w:r>
          </w:p>
        </w:tc>
        <w:tc>
          <w:tcPr>
            <w:tcW w:w="2778" w:type="dxa"/>
            <w:tcBorders>
              <w:top w:val="nil"/>
              <w:left w:val="single" w:color="010101" w:sz="4" w:space="0"/>
              <w:bottom w:val="nil"/>
              <w:right w:val="single" w:color="010101" w:sz="4" w:space="0"/>
            </w:tcBorders>
            <w:vAlign w:val="center"/>
          </w:tcPr>
          <w:p>
            <w:pPr>
              <w:pStyle w:val="27"/>
              <w:spacing w:before="12"/>
              <w:rPr>
                <w:rFonts w:ascii="黑体" w:hAnsi="黑体" w:eastAsia="黑体" w:cs="黑体"/>
                <w:b/>
                <w:bCs/>
                <w:color w:val="000000" w:themeColor="text1"/>
                <w:sz w:val="21"/>
                <w:szCs w:val="21"/>
                <w14:textFill>
                  <w14:solidFill>
                    <w14:schemeClr w14:val="tx1"/>
                  </w14:solidFill>
                </w14:textFill>
              </w:rPr>
            </w:pPr>
          </w:p>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招标代理机构</w:t>
            </w:r>
          </w:p>
        </w:tc>
        <w:tc>
          <w:tcPr>
            <w:tcW w:w="5086" w:type="dxa"/>
            <w:tcBorders>
              <w:top w:val="nil"/>
              <w:left w:val="single" w:color="010101" w:sz="4" w:space="0"/>
              <w:bottom w:val="nil"/>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招标代理机构名称：</w:t>
            </w:r>
            <w:r>
              <w:rPr>
                <w:rFonts w:hint="eastAsia" w:ascii="宋体" w:hAnsi="宋体" w:eastAsia="宋体" w:cs="宋体"/>
                <w:color w:val="000000" w:themeColor="text1"/>
                <w:sz w:val="21"/>
                <w:szCs w:val="21"/>
                <w:lang w:eastAsia="zh-CN"/>
                <w14:textFill>
                  <w14:solidFill>
                    <w14:schemeClr w14:val="tx1"/>
                  </w14:solidFill>
                </w14:textFill>
              </w:rPr>
              <w:t>广东恒业工程管理有限公司</w:t>
            </w:r>
          </w:p>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地址：</w:t>
            </w:r>
            <w:r>
              <w:rPr>
                <w:rFonts w:hint="eastAsia" w:ascii="宋体" w:hAnsi="宋体" w:eastAsia="宋体" w:cs="宋体"/>
                <w:color w:val="000000" w:themeColor="text1"/>
                <w:sz w:val="21"/>
                <w:szCs w:val="21"/>
                <w:lang w:eastAsia="zh-CN"/>
                <w14:textFill>
                  <w14:solidFill>
                    <w14:schemeClr w14:val="tx1"/>
                  </w14:solidFill>
                </w14:textFill>
              </w:rPr>
              <w:t>雷州市雷南大道开发区</w:t>
            </w:r>
          </w:p>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联系人：</w:t>
            </w:r>
            <w:r>
              <w:rPr>
                <w:rFonts w:hint="eastAsia" w:ascii="宋体" w:hAnsi="宋体" w:eastAsia="宋体" w:cs="宋体"/>
                <w:color w:val="000000" w:themeColor="text1"/>
                <w:sz w:val="21"/>
                <w:szCs w:val="21"/>
                <w:lang w:eastAsia="zh-CN"/>
                <w14:textFill>
                  <w14:solidFill>
                    <w14:schemeClr w14:val="tx1"/>
                  </w14:solidFill>
                </w14:textFill>
              </w:rPr>
              <w:t>凌</w:t>
            </w:r>
            <w:r>
              <w:rPr>
                <w:rFonts w:ascii="宋体" w:hAnsi="宋体" w:eastAsia="宋体" w:cs="宋体"/>
                <w:color w:val="000000" w:themeColor="text1"/>
                <w:sz w:val="21"/>
                <w:szCs w:val="21"/>
                <w:lang w:eastAsia="zh-CN"/>
                <w14:textFill>
                  <w14:solidFill>
                    <w14:schemeClr w14:val="tx1"/>
                  </w14:solidFill>
                </w14:textFill>
              </w:rPr>
              <w:t>工</w:t>
            </w:r>
          </w:p>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电话：</w:t>
            </w:r>
            <w:r>
              <w:rPr>
                <w:rFonts w:hint="eastAsia" w:ascii="宋体" w:hAnsi="宋体" w:eastAsia="宋体" w:cs="宋体"/>
                <w:color w:val="000000" w:themeColor="text1"/>
                <w:sz w:val="21"/>
                <w:szCs w:val="21"/>
                <w:lang w:eastAsia="zh-CN"/>
                <w14:textFill>
                  <w14:solidFill>
                    <w14:schemeClr w14:val="tx1"/>
                  </w14:solidFill>
                </w14:textFill>
              </w:rPr>
              <w:t>0662-3633628</w:t>
            </w:r>
          </w:p>
        </w:tc>
      </w:tr>
      <w:tr>
        <w:tblPrEx>
          <w:tblCellMar>
            <w:top w:w="0" w:type="dxa"/>
            <w:left w:w="0" w:type="dxa"/>
            <w:bottom w:w="0" w:type="dxa"/>
            <w:right w:w="0" w:type="dxa"/>
          </w:tblCellMar>
        </w:tblPrEx>
        <w:trPr>
          <w:trHeight w:val="90" w:hRule="exact"/>
        </w:trPr>
        <w:tc>
          <w:tcPr>
            <w:tcW w:w="930" w:type="dxa"/>
            <w:tcBorders>
              <w:top w:val="nil"/>
              <w:left w:val="single" w:color="010101" w:sz="4" w:space="0"/>
              <w:bottom w:val="single" w:color="010101" w:sz="4" w:space="0"/>
              <w:right w:val="single" w:color="010101" w:sz="4" w:space="0"/>
            </w:tcBorders>
            <w:vAlign w:val="center"/>
          </w:tcPr>
          <w:p>
            <w:pPr>
              <w:rPr>
                <w:color w:val="000000" w:themeColor="text1"/>
                <w:sz w:val="21"/>
                <w:szCs w:val="21"/>
                <w14:textFill>
                  <w14:solidFill>
                    <w14:schemeClr w14:val="tx1"/>
                  </w14:solidFill>
                </w14:textFill>
              </w:rPr>
            </w:pPr>
          </w:p>
        </w:tc>
        <w:tc>
          <w:tcPr>
            <w:tcW w:w="2778" w:type="dxa"/>
            <w:tcBorders>
              <w:top w:val="nil"/>
              <w:left w:val="single" w:color="010101" w:sz="4" w:space="0"/>
              <w:bottom w:val="single" w:color="010101" w:sz="4" w:space="0"/>
              <w:right w:val="single" w:color="010101" w:sz="4" w:space="0"/>
            </w:tcBorders>
            <w:vAlign w:val="center"/>
          </w:tcPr>
          <w:p>
            <w:pPr>
              <w:rPr>
                <w:color w:val="000000" w:themeColor="text1"/>
                <w:sz w:val="21"/>
                <w:szCs w:val="21"/>
                <w14:textFill>
                  <w14:solidFill>
                    <w14:schemeClr w14:val="tx1"/>
                  </w14:solidFill>
                </w14:textFill>
              </w:rPr>
            </w:pPr>
          </w:p>
        </w:tc>
        <w:tc>
          <w:tcPr>
            <w:tcW w:w="5086" w:type="dxa"/>
            <w:tcBorders>
              <w:top w:val="nil"/>
              <w:left w:val="single" w:color="010101" w:sz="4" w:space="0"/>
              <w:bottom w:val="single" w:color="010101" w:sz="4" w:space="0"/>
              <w:right w:val="single" w:color="010101" w:sz="4" w:space="0"/>
            </w:tcBorders>
            <w:vAlign w:val="center"/>
          </w:tcPr>
          <w:p>
            <w:pPr>
              <w:pStyle w:val="27"/>
              <w:spacing w:before="7" w:line="309" w:lineRule="auto"/>
              <w:ind w:left="103" w:right="170"/>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800"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1.1.4</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招标项目名称</w:t>
            </w:r>
          </w:p>
        </w:tc>
        <w:tc>
          <w:tcPr>
            <w:tcW w:w="5086" w:type="dxa"/>
            <w:tcBorders>
              <w:top w:val="single" w:color="010101" w:sz="4" w:space="0"/>
              <w:left w:val="single" w:color="010101" w:sz="4" w:space="0"/>
              <w:bottom w:val="single" w:color="010101" w:sz="4" w:space="0"/>
              <w:right w:val="single" w:color="010101" w:sz="4" w:space="0"/>
            </w:tcBorders>
            <w:vAlign w:val="center"/>
          </w:tcPr>
          <w:p>
            <w:pPr>
              <w:pStyle w:val="27"/>
              <w:tabs>
                <w:tab w:val="left" w:pos="2699"/>
                <w:tab w:val="left" w:pos="5219"/>
              </w:tabs>
              <w:spacing w:before="231" w:line="239" w:lineRule="exact"/>
              <w:ind w:right="1"/>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u w:color="010101"/>
                <w:lang w:eastAsia="zh-CN"/>
                <w14:textFill>
                  <w14:solidFill>
                    <w14:schemeClr w14:val="tx1"/>
                  </w14:solidFill>
                </w14:textFill>
              </w:rPr>
              <w:t>阳西县儒洞镇边海村进村大桥工程勘察设计</w:t>
            </w:r>
          </w:p>
          <w:p>
            <w:pPr>
              <w:pStyle w:val="27"/>
              <w:spacing w:line="239" w:lineRule="exact"/>
              <w:ind w:right="1"/>
              <w:jc w:val="center"/>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465"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1.1.5</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标段建设地点</w:t>
            </w:r>
          </w:p>
        </w:tc>
        <w:tc>
          <w:tcPr>
            <w:tcW w:w="5086"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阳西县</w:t>
            </w:r>
          </w:p>
        </w:tc>
      </w:tr>
      <w:tr>
        <w:tblPrEx>
          <w:tblCellMar>
            <w:top w:w="0" w:type="dxa"/>
            <w:left w:w="0" w:type="dxa"/>
            <w:bottom w:w="0" w:type="dxa"/>
            <w:right w:w="0" w:type="dxa"/>
          </w:tblCellMar>
        </w:tblPrEx>
        <w:trPr>
          <w:trHeight w:val="36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1.1.6</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标段建设规模</w:t>
            </w:r>
          </w:p>
        </w:tc>
        <w:tc>
          <w:tcPr>
            <w:tcW w:w="5086"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详见招标公告第2.1款</w:t>
            </w:r>
          </w:p>
        </w:tc>
      </w:tr>
      <w:tr>
        <w:tblPrEx>
          <w:tblCellMar>
            <w:top w:w="0" w:type="dxa"/>
            <w:left w:w="0" w:type="dxa"/>
            <w:bottom w:w="0" w:type="dxa"/>
            <w:right w:w="0" w:type="dxa"/>
          </w:tblCellMar>
        </w:tblPrEx>
        <w:trPr>
          <w:trHeight w:val="36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1.1.7</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标段投资估算</w:t>
            </w:r>
          </w:p>
        </w:tc>
        <w:tc>
          <w:tcPr>
            <w:tcW w:w="5086" w:type="dxa"/>
            <w:tcBorders>
              <w:top w:val="single" w:color="010101" w:sz="4" w:space="0"/>
              <w:left w:val="single" w:color="010101" w:sz="4" w:space="0"/>
              <w:bottom w:val="single" w:color="010101" w:sz="4" w:space="0"/>
              <w:right w:val="single" w:color="010101" w:sz="4" w:space="0"/>
            </w:tcBorders>
            <w:vAlign w:val="center"/>
          </w:tcPr>
          <w:p>
            <w:pPr>
              <w:jc w:val="both"/>
              <w:rPr>
                <w:color w:val="000000" w:themeColor="text1"/>
                <w:sz w:val="21"/>
                <w:szCs w:val="21"/>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详见招标公告第2.1款</w:t>
            </w:r>
          </w:p>
        </w:tc>
      </w:tr>
      <w:tr>
        <w:tblPrEx>
          <w:tblCellMar>
            <w:top w:w="0" w:type="dxa"/>
            <w:left w:w="0" w:type="dxa"/>
            <w:bottom w:w="0" w:type="dxa"/>
            <w:right w:w="0" w:type="dxa"/>
          </w:tblCellMar>
        </w:tblPrEx>
        <w:trPr>
          <w:trHeight w:val="521"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1.2.1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资金来源及比例</w:t>
            </w:r>
          </w:p>
        </w:tc>
        <w:tc>
          <w:tcPr>
            <w:tcW w:w="5086"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县乡村振兴建设项目资金中统筹解决</w:t>
            </w:r>
          </w:p>
        </w:tc>
      </w:tr>
      <w:tr>
        <w:tblPrEx>
          <w:tblCellMar>
            <w:top w:w="0" w:type="dxa"/>
            <w:left w:w="0" w:type="dxa"/>
            <w:bottom w:w="0" w:type="dxa"/>
            <w:right w:w="0" w:type="dxa"/>
          </w:tblCellMar>
        </w:tblPrEx>
        <w:trPr>
          <w:trHeight w:val="369"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1.2.2</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9"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资金落实情况</w:t>
            </w:r>
          </w:p>
        </w:tc>
        <w:tc>
          <w:tcPr>
            <w:tcW w:w="5086"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已落实</w:t>
            </w:r>
          </w:p>
        </w:tc>
      </w:tr>
      <w:tr>
        <w:tblPrEx>
          <w:tblCellMar>
            <w:top w:w="0" w:type="dxa"/>
            <w:left w:w="0" w:type="dxa"/>
            <w:bottom w:w="0" w:type="dxa"/>
            <w:right w:w="0" w:type="dxa"/>
          </w:tblCellMar>
        </w:tblPrEx>
        <w:trPr>
          <w:trHeight w:val="2125" w:hRule="exact"/>
        </w:trPr>
        <w:tc>
          <w:tcPr>
            <w:tcW w:w="930" w:type="dxa"/>
            <w:tcBorders>
              <w:top w:val="single" w:color="010101" w:sz="4" w:space="0"/>
              <w:left w:val="single" w:color="010101" w:sz="4" w:space="0"/>
              <w:right w:val="single" w:color="010101" w:sz="4" w:space="0"/>
            </w:tcBorders>
            <w:vAlign w:val="center"/>
          </w:tcPr>
          <w:p>
            <w:pPr>
              <w:jc w:val="center"/>
              <w:rPr>
                <w:rFonts w:eastAsia="宋体"/>
                <w:color w:val="000000" w:themeColor="text1"/>
                <w:sz w:val="21"/>
                <w:szCs w:val="21"/>
                <w:lang w:eastAsia="zh-CN"/>
                <w14:textFill>
                  <w14:solidFill>
                    <w14:schemeClr w14:val="tx1"/>
                  </w14:solidFill>
                </w14:textFill>
              </w:rPr>
            </w:pPr>
            <w:r>
              <w:rPr>
                <w:rFonts w:ascii="宋体"/>
                <w:color w:val="000000" w:themeColor="text1"/>
                <w:sz w:val="21"/>
                <w:szCs w:val="21"/>
                <w14:textFill>
                  <w14:solidFill>
                    <w14:schemeClr w14:val="tx1"/>
                  </w14:solidFill>
                </w14:textFill>
              </w:rPr>
              <w:t>1.3.</w:t>
            </w:r>
            <w:r>
              <w:rPr>
                <w:rFonts w:hint="eastAsia" w:ascii="宋体" w:eastAsia="宋体"/>
                <w:color w:val="000000" w:themeColor="text1"/>
                <w:sz w:val="21"/>
                <w:szCs w:val="21"/>
                <w:lang w:eastAsia="zh-CN"/>
                <w14:textFill>
                  <w14:solidFill>
                    <w14:schemeClr w14:val="tx1"/>
                  </w14:solidFill>
                </w14:textFill>
              </w:rPr>
              <w:t>1</w:t>
            </w:r>
          </w:p>
        </w:tc>
        <w:tc>
          <w:tcPr>
            <w:tcW w:w="2778" w:type="dxa"/>
            <w:tcBorders>
              <w:top w:val="single" w:color="010101" w:sz="4" w:space="0"/>
              <w:left w:val="single" w:color="010101" w:sz="4" w:space="0"/>
              <w:right w:val="single" w:color="010101" w:sz="4" w:space="0"/>
            </w:tcBorders>
            <w:vAlign w:val="center"/>
          </w:tcPr>
          <w:p>
            <w:pPr>
              <w:jc w:val="center"/>
              <w:rPr>
                <w:rFonts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招标范围</w:t>
            </w:r>
          </w:p>
        </w:tc>
        <w:tc>
          <w:tcPr>
            <w:tcW w:w="5086" w:type="dxa"/>
            <w:tcBorders>
              <w:top w:val="single" w:color="010101" w:sz="4" w:space="0"/>
              <w:left w:val="single" w:color="010101" w:sz="4" w:space="0"/>
              <w:right w:val="single" w:color="010101" w:sz="4" w:space="0"/>
            </w:tcBorders>
            <w:vAlign w:val="center"/>
          </w:tcPr>
          <w:p>
            <w:pPr>
              <w:pStyle w:val="27"/>
              <w:spacing w:line="239" w:lineRule="exact"/>
              <w:ind w:left="103"/>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lang w:eastAsia="zh-CN"/>
              </w:rPr>
              <w:t>■</w:t>
            </w:r>
            <w:r>
              <w:rPr>
                <w:rFonts w:ascii="宋体" w:hAnsi="宋体" w:eastAsia="宋体" w:cs="宋体"/>
                <w:color w:val="000000" w:themeColor="text1"/>
                <w:sz w:val="21"/>
                <w:szCs w:val="21"/>
                <w:lang w:eastAsia="zh-CN"/>
                <w14:textFill>
                  <w14:solidFill>
                    <w14:schemeClr w14:val="tx1"/>
                  </w14:solidFill>
                </w14:textFill>
              </w:rPr>
              <w:t>初勘、初测</w:t>
            </w:r>
          </w:p>
          <w:p>
            <w:pPr>
              <w:pStyle w:val="27"/>
              <w:spacing w:before="7"/>
              <w:ind w:left="103"/>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lang w:eastAsia="zh-CN"/>
              </w:rPr>
              <w:t>■</w:t>
            </w:r>
            <w:r>
              <w:rPr>
                <w:rFonts w:ascii="宋体" w:hAnsi="宋体" w:eastAsia="宋体" w:cs="宋体"/>
                <w:color w:val="000000" w:themeColor="text1"/>
                <w:sz w:val="21"/>
                <w:szCs w:val="21"/>
                <w:lang w:eastAsia="zh-CN"/>
                <w14:textFill>
                  <w14:solidFill>
                    <w14:schemeClr w14:val="tx1"/>
                  </w14:solidFill>
                </w14:textFill>
              </w:rPr>
              <w:t>详勘、定测</w:t>
            </w:r>
          </w:p>
          <w:p>
            <w:pPr>
              <w:pStyle w:val="27"/>
              <w:spacing w:before="7"/>
              <w:ind w:left="103"/>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lang w:eastAsia="zh-CN"/>
              </w:rPr>
              <w:t>■</w:t>
            </w:r>
            <w:r>
              <w:rPr>
                <w:rFonts w:ascii="宋体" w:hAnsi="宋体" w:eastAsia="宋体" w:cs="宋体"/>
                <w:color w:val="000000" w:themeColor="text1"/>
                <w:sz w:val="21"/>
                <w:szCs w:val="21"/>
                <w:lang w:eastAsia="zh-CN"/>
                <w14:textFill>
                  <w14:solidFill>
                    <w14:schemeClr w14:val="tx1"/>
                  </w14:solidFill>
                </w14:textFill>
              </w:rPr>
              <w:t>初步设计</w:t>
            </w:r>
          </w:p>
          <w:p>
            <w:pPr>
              <w:pStyle w:val="27"/>
              <w:spacing w:before="79"/>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□技术设计</w:t>
            </w:r>
          </w:p>
          <w:p>
            <w:pPr>
              <w:pStyle w:val="27"/>
              <w:spacing w:before="79"/>
              <w:ind w:left="103"/>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lang w:eastAsia="zh-CN"/>
              </w:rPr>
              <w:t>■</w:t>
            </w:r>
            <w:r>
              <w:rPr>
                <w:rFonts w:ascii="宋体" w:hAnsi="宋体" w:eastAsia="宋体" w:cs="宋体"/>
                <w:color w:val="000000" w:themeColor="text1"/>
                <w:sz w:val="21"/>
                <w:szCs w:val="21"/>
                <w:lang w:eastAsia="zh-CN"/>
                <w14:textFill>
                  <w14:solidFill>
                    <w14:schemeClr w14:val="tx1"/>
                  </w14:solidFill>
                </w14:textFill>
              </w:rPr>
              <w:t>施工图设计</w:t>
            </w:r>
          </w:p>
          <w:p>
            <w:pPr>
              <w:pStyle w:val="27"/>
              <w:spacing w:before="7"/>
              <w:ind w:left="103"/>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lang w:eastAsia="zh-CN"/>
              </w:rPr>
              <w:t>■</w:t>
            </w:r>
            <w:r>
              <w:rPr>
                <w:rFonts w:ascii="宋体" w:hAnsi="宋体" w:eastAsia="宋体" w:cs="宋体"/>
                <w:color w:val="000000" w:themeColor="text1"/>
                <w:sz w:val="21"/>
                <w:szCs w:val="21"/>
                <w:lang w:eastAsia="zh-CN"/>
                <w14:textFill>
                  <w14:solidFill>
                    <w14:schemeClr w14:val="tx1"/>
                  </w14:solidFill>
                </w14:textFill>
              </w:rPr>
              <w:t>其他：</w:t>
            </w:r>
            <w:r>
              <w:rPr>
                <w:rFonts w:ascii="宋体" w:hAnsi="宋体" w:cs="宋体"/>
                <w:spacing w:val="-1"/>
                <w:lang w:eastAsia="zh-CN"/>
              </w:rPr>
              <w:t>见招标公告2.2条</w:t>
            </w:r>
          </w:p>
        </w:tc>
      </w:tr>
      <w:tr>
        <w:tblPrEx>
          <w:tblCellMar>
            <w:top w:w="0" w:type="dxa"/>
            <w:left w:w="0" w:type="dxa"/>
            <w:bottom w:w="0" w:type="dxa"/>
            <w:right w:w="0" w:type="dxa"/>
          </w:tblCellMar>
        </w:tblPrEx>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1.3.2</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勘察设计服务期限</w:t>
            </w:r>
          </w:p>
        </w:tc>
        <w:tc>
          <w:tcPr>
            <w:tcW w:w="5086" w:type="dxa"/>
            <w:tcBorders>
              <w:top w:val="single" w:color="010101" w:sz="4" w:space="0"/>
              <w:left w:val="single" w:color="010101" w:sz="4" w:space="0"/>
              <w:bottom w:val="single" w:color="010101" w:sz="4" w:space="0"/>
              <w:right w:val="single" w:color="010101" w:sz="4" w:space="0"/>
            </w:tcBorders>
            <w:vAlign w:val="center"/>
          </w:tcPr>
          <w:p>
            <w:pP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本工程勘察设计工期为100天，具体如下：</w:t>
            </w:r>
          </w:p>
          <w:p>
            <w:pP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(1) 合同签订之日起25天内，提交勘察成果文件及初步设计文件送审稿；</w:t>
            </w:r>
          </w:p>
          <w:p>
            <w:pP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(2) 初步设计通过评审之日起25天内，提交初步设计报批稿；</w:t>
            </w:r>
          </w:p>
          <w:p>
            <w:pP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(3)自收到初步设计确认文件后25天内，提交施工图设计文件送审稿；</w:t>
            </w:r>
          </w:p>
          <w:p>
            <w:pP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(4) 施工图设计通过评审之日起25天内，提交施工图设计报批稿。</w:t>
            </w:r>
          </w:p>
        </w:tc>
      </w:tr>
      <w:tr>
        <w:tblPrEx>
          <w:tblCellMar>
            <w:top w:w="0" w:type="dxa"/>
            <w:left w:w="0" w:type="dxa"/>
            <w:bottom w:w="0" w:type="dxa"/>
            <w:right w:w="0" w:type="dxa"/>
          </w:tblCellMar>
        </w:tblPrEx>
        <w:trPr>
          <w:trHeight w:val="36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1.3.3</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质量要求</w:t>
            </w:r>
          </w:p>
        </w:tc>
        <w:tc>
          <w:tcPr>
            <w:tcW w:w="5086"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符合现行技术规范及国家法律、政策要求</w:t>
            </w:r>
          </w:p>
        </w:tc>
      </w:tr>
      <w:tr>
        <w:tblPrEx>
          <w:tblCellMar>
            <w:top w:w="0" w:type="dxa"/>
            <w:left w:w="0" w:type="dxa"/>
            <w:bottom w:w="0" w:type="dxa"/>
            <w:right w:w="0" w:type="dxa"/>
          </w:tblCellMar>
        </w:tblPrEx>
        <w:trPr>
          <w:trHeight w:val="36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ind w:left="196"/>
              <w:jc w:val="both"/>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1.3.4</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安全目标</w:t>
            </w:r>
          </w:p>
        </w:tc>
        <w:tc>
          <w:tcPr>
            <w:tcW w:w="5086"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零事故</w:t>
            </w:r>
          </w:p>
        </w:tc>
      </w:tr>
      <w:tr>
        <w:tblPrEx>
          <w:tblCellMar>
            <w:top w:w="0" w:type="dxa"/>
            <w:left w:w="0" w:type="dxa"/>
            <w:bottom w:w="0" w:type="dxa"/>
            <w:right w:w="0" w:type="dxa"/>
          </w:tblCellMar>
        </w:tblPrEx>
        <w:trPr>
          <w:trHeight w:val="317" w:hRule="exact"/>
        </w:trPr>
        <w:tc>
          <w:tcPr>
            <w:tcW w:w="930" w:type="dxa"/>
            <w:tcBorders>
              <w:top w:val="single" w:color="010101" w:sz="4" w:space="0"/>
              <w:left w:val="single" w:color="010101" w:sz="4" w:space="0"/>
              <w:bottom w:val="nil"/>
              <w:right w:val="single" w:color="010101" w:sz="4" w:space="0"/>
            </w:tcBorders>
            <w:vAlign w:val="center"/>
          </w:tcPr>
          <w:p>
            <w:pPr>
              <w:rPr>
                <w:color w:val="000000" w:themeColor="text1"/>
                <w:sz w:val="21"/>
                <w:szCs w:val="21"/>
                <w14:textFill>
                  <w14:solidFill>
                    <w14:schemeClr w14:val="tx1"/>
                  </w14:solidFill>
                </w14:textFill>
              </w:rPr>
            </w:pPr>
          </w:p>
        </w:tc>
        <w:tc>
          <w:tcPr>
            <w:tcW w:w="2778" w:type="dxa"/>
            <w:vMerge w:val="restart"/>
            <w:tcBorders>
              <w:top w:val="single" w:color="010101" w:sz="4" w:space="0"/>
              <w:left w:val="single" w:color="010101" w:sz="4" w:space="0"/>
              <w:right w:val="single" w:color="010101" w:sz="4" w:space="0"/>
            </w:tcBorders>
            <w:vAlign w:val="center"/>
          </w:tcPr>
          <w:p>
            <w:pPr>
              <w:pStyle w:val="27"/>
              <w:spacing w:before="7"/>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投标人资质条件、能力及信</w:t>
            </w:r>
          </w:p>
          <w:p>
            <w:pPr>
              <w:pStyle w:val="27"/>
              <w:spacing w:before="7"/>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誉</w:t>
            </w:r>
          </w:p>
        </w:tc>
        <w:tc>
          <w:tcPr>
            <w:tcW w:w="5086" w:type="dxa"/>
            <w:vMerge w:val="restart"/>
            <w:tcBorders>
              <w:top w:val="single" w:color="010101" w:sz="4" w:space="0"/>
              <w:left w:val="single" w:color="010101" w:sz="4" w:space="0"/>
              <w:right w:val="single" w:color="010101" w:sz="4" w:space="0"/>
            </w:tcBorders>
            <w:vAlign w:val="center"/>
          </w:tcPr>
          <w:p>
            <w:pPr>
              <w:pStyle w:val="27"/>
              <w:spacing w:line="238" w:lineRule="exact"/>
              <w:ind w:left="103"/>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资质条件：见附录1</w:t>
            </w:r>
          </w:p>
          <w:p>
            <w:pPr>
              <w:pStyle w:val="27"/>
              <w:spacing w:before="7"/>
              <w:ind w:left="103"/>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业绩要求：见附录2</w:t>
            </w:r>
          </w:p>
          <w:p>
            <w:pPr>
              <w:pStyle w:val="27"/>
              <w:spacing w:before="7"/>
              <w:ind w:left="103"/>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信誉要求：见附录3</w:t>
            </w:r>
          </w:p>
          <w:p>
            <w:pPr>
              <w:pStyle w:val="27"/>
              <w:spacing w:line="240" w:lineRule="exact"/>
              <w:ind w:left="103"/>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项目主要人员要求：见附录4</w:t>
            </w:r>
          </w:p>
          <w:p>
            <w:pPr>
              <w:pStyle w:val="27"/>
              <w:spacing w:before="7"/>
              <w:ind w:left="103"/>
              <w:jc w:val="both"/>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其他要</w:t>
            </w:r>
            <w:r>
              <w:rPr>
                <w:rFonts w:ascii="宋体" w:hAnsi="宋体" w:eastAsia="宋体" w:cs="宋体"/>
                <w:color w:val="000000" w:themeColor="text1"/>
                <w:spacing w:val="-2"/>
                <w:sz w:val="21"/>
                <w:szCs w:val="21"/>
                <w14:textFill>
                  <w14:solidFill>
                    <w14:schemeClr w14:val="tx1"/>
                  </w14:solidFill>
                </w14:textFill>
              </w:rPr>
              <w:t>求</w:t>
            </w:r>
            <w:r>
              <w:rPr>
                <w:rFonts w:ascii="宋体" w:hAnsi="宋体" w:eastAsia="宋体" w:cs="宋体"/>
                <w:color w:val="000000" w:themeColor="text1"/>
                <w:spacing w:val="1"/>
                <w:sz w:val="21"/>
                <w:szCs w:val="21"/>
                <w14:textFill>
                  <w14:solidFill>
                    <w14:schemeClr w14:val="tx1"/>
                  </w14:solidFill>
                </w14:textFill>
              </w:rPr>
              <w:t>：</w:t>
            </w:r>
          </w:p>
        </w:tc>
      </w:tr>
      <w:tr>
        <w:tblPrEx>
          <w:tblCellMar>
            <w:top w:w="0" w:type="dxa"/>
            <w:left w:w="0" w:type="dxa"/>
            <w:bottom w:w="0" w:type="dxa"/>
            <w:right w:w="0" w:type="dxa"/>
          </w:tblCellMar>
        </w:tblPrEx>
        <w:trPr>
          <w:trHeight w:val="355" w:hRule="exact"/>
        </w:trPr>
        <w:tc>
          <w:tcPr>
            <w:tcW w:w="930" w:type="dxa"/>
            <w:tcBorders>
              <w:top w:val="nil"/>
              <w:left w:val="single" w:color="010101" w:sz="4" w:space="0"/>
              <w:bottom w:val="nil"/>
              <w:right w:val="single" w:color="010101" w:sz="4" w:space="0"/>
            </w:tcBorders>
            <w:vAlign w:val="center"/>
          </w:tcPr>
          <w:p>
            <w:pPr>
              <w:pStyle w:val="27"/>
              <w:spacing w:before="6"/>
              <w:ind w:left="196"/>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szCs w:val="21"/>
                <w14:textFill>
                  <w14:solidFill>
                    <w14:schemeClr w14:val="tx1"/>
                  </w14:solidFill>
                </w14:textFill>
              </w:rPr>
              <w:t>1.4.1</w:t>
            </w:r>
          </w:p>
        </w:tc>
        <w:tc>
          <w:tcPr>
            <w:tcW w:w="2778" w:type="dxa"/>
            <w:vMerge w:val="continue"/>
            <w:tcBorders>
              <w:left w:val="single" w:color="010101" w:sz="4" w:space="0"/>
              <w:right w:val="single" w:color="010101" w:sz="4" w:space="0"/>
            </w:tcBorders>
            <w:vAlign w:val="center"/>
          </w:tcPr>
          <w:p>
            <w:pPr>
              <w:pStyle w:val="27"/>
              <w:spacing w:before="7"/>
              <w:ind w:right="1"/>
              <w:jc w:val="center"/>
              <w:rPr>
                <w:rFonts w:ascii="宋体" w:hAnsi="宋体" w:eastAsia="宋体" w:cs="宋体"/>
                <w:color w:val="000000" w:themeColor="text1"/>
                <w:sz w:val="21"/>
                <w:szCs w:val="21"/>
                <w:lang w:eastAsia="zh-CN"/>
                <w14:textFill>
                  <w14:solidFill>
                    <w14:schemeClr w14:val="tx1"/>
                  </w14:solidFill>
                </w14:textFill>
              </w:rPr>
            </w:pPr>
          </w:p>
        </w:tc>
        <w:tc>
          <w:tcPr>
            <w:tcW w:w="5086" w:type="dxa"/>
            <w:vMerge w:val="continue"/>
            <w:tcBorders>
              <w:left w:val="single" w:color="010101" w:sz="4" w:space="0"/>
              <w:right w:val="single" w:color="010101" w:sz="4" w:space="0"/>
            </w:tcBorders>
            <w:vAlign w:val="center"/>
          </w:tcPr>
          <w:p>
            <w:pPr>
              <w:pStyle w:val="27"/>
              <w:spacing w:before="7"/>
              <w:ind w:left="103"/>
              <w:jc w:val="both"/>
              <w:rPr>
                <w:rFonts w:ascii="宋体" w:hAnsi="宋体" w:eastAsia="宋体" w:cs="宋体"/>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786" w:hRule="exact"/>
        </w:trPr>
        <w:tc>
          <w:tcPr>
            <w:tcW w:w="930" w:type="dxa"/>
            <w:tcBorders>
              <w:top w:val="nil"/>
              <w:left w:val="single" w:color="010101" w:sz="4" w:space="0"/>
              <w:bottom w:val="single" w:color="010101" w:sz="4" w:space="0"/>
              <w:right w:val="single" w:color="010101" w:sz="4" w:space="0"/>
            </w:tcBorders>
            <w:vAlign w:val="center"/>
          </w:tcPr>
          <w:p>
            <w:pPr>
              <w:rPr>
                <w:color w:val="000000" w:themeColor="text1"/>
                <w:sz w:val="21"/>
                <w:szCs w:val="21"/>
                <w14:textFill>
                  <w14:solidFill>
                    <w14:schemeClr w14:val="tx1"/>
                  </w14:solidFill>
                </w14:textFill>
              </w:rPr>
            </w:pPr>
          </w:p>
        </w:tc>
        <w:tc>
          <w:tcPr>
            <w:tcW w:w="2778" w:type="dxa"/>
            <w:vMerge w:val="continue"/>
            <w:tcBorders>
              <w:left w:val="single" w:color="010101" w:sz="4" w:space="0"/>
              <w:bottom w:val="single" w:color="010101" w:sz="4" w:space="0"/>
              <w:right w:val="single" w:color="010101" w:sz="4" w:space="0"/>
            </w:tcBorders>
            <w:vAlign w:val="center"/>
          </w:tcPr>
          <w:p>
            <w:pPr>
              <w:pStyle w:val="27"/>
              <w:spacing w:before="7"/>
              <w:jc w:val="center"/>
              <w:rPr>
                <w:rFonts w:ascii="宋体" w:hAnsi="宋体" w:eastAsia="宋体" w:cs="宋体"/>
                <w:color w:val="000000" w:themeColor="text1"/>
                <w:sz w:val="21"/>
                <w:szCs w:val="21"/>
                <w14:textFill>
                  <w14:solidFill>
                    <w14:schemeClr w14:val="tx1"/>
                  </w14:solidFill>
                </w14:textFill>
              </w:rPr>
            </w:pPr>
          </w:p>
        </w:tc>
        <w:tc>
          <w:tcPr>
            <w:tcW w:w="5086" w:type="dxa"/>
            <w:vMerge w:val="continue"/>
            <w:tcBorders>
              <w:left w:val="single" w:color="010101" w:sz="4" w:space="0"/>
              <w:bottom w:val="single" w:color="010101" w:sz="4" w:space="0"/>
              <w:right w:val="single" w:color="010101" w:sz="4" w:space="0"/>
            </w:tcBorders>
            <w:vAlign w:val="center"/>
          </w:tcPr>
          <w:p>
            <w:pPr>
              <w:pStyle w:val="27"/>
              <w:spacing w:before="7"/>
              <w:ind w:left="103"/>
              <w:jc w:val="both"/>
              <w:rPr>
                <w:rFonts w:ascii="宋体" w:hAnsi="宋体" w:eastAsia="宋体" w:cs="宋体"/>
                <w:color w:val="000000" w:themeColor="text1"/>
                <w:sz w:val="21"/>
                <w:szCs w:val="21"/>
                <w14:textFill>
                  <w14:solidFill>
                    <w14:schemeClr w14:val="tx1"/>
                  </w14:solidFill>
                </w14:textFill>
              </w:rPr>
            </w:pPr>
          </w:p>
        </w:tc>
      </w:tr>
    </w:tbl>
    <w:p>
      <w:pPr>
        <w:spacing w:line="20" w:lineRule="exact"/>
        <w:ind w:left="220"/>
        <w:rPr>
          <w:rFonts w:ascii="黑体" w:hAnsi="黑体" w:eastAsia="黑体" w:cs="黑体"/>
          <w:color w:val="000000" w:themeColor="text1"/>
          <w:sz w:val="2"/>
          <w:szCs w:val="2"/>
          <w14:textFill>
            <w14:solidFill>
              <w14:schemeClr w14:val="tx1"/>
            </w14:solidFill>
          </w14:textFill>
        </w:rPr>
      </w:pPr>
    </w:p>
    <w:p>
      <w:pPr>
        <w:spacing w:line="234" w:lineRule="exact"/>
        <w:rPr>
          <w:rFonts w:ascii="宋体" w:hAnsi="宋体" w:eastAsia="宋体" w:cs="宋体"/>
          <w:color w:val="000000" w:themeColor="text1"/>
          <w:sz w:val="18"/>
          <w:szCs w:val="18"/>
          <w:lang w:eastAsia="zh-CN"/>
          <w14:textFill>
            <w14:solidFill>
              <w14:schemeClr w14:val="tx1"/>
            </w14:solidFill>
          </w14:textFill>
        </w:rPr>
        <w:sectPr>
          <w:pgSz w:w="11910" w:h="16840"/>
          <w:pgMar w:top="1240" w:right="1580" w:bottom="1520" w:left="1580" w:header="968" w:footer="1338" w:gutter="0"/>
          <w:cols w:space="720" w:num="1"/>
        </w:sectPr>
      </w:pPr>
    </w:p>
    <w:tbl>
      <w:tblPr>
        <w:tblStyle w:val="23"/>
        <w:tblW w:w="0" w:type="auto"/>
        <w:tblInd w:w="0" w:type="dxa"/>
        <w:tblLayout w:type="fixed"/>
        <w:tblCellMar>
          <w:top w:w="0" w:type="dxa"/>
          <w:left w:w="0" w:type="dxa"/>
          <w:bottom w:w="0" w:type="dxa"/>
          <w:right w:w="0" w:type="dxa"/>
        </w:tblCellMar>
      </w:tblPr>
      <w:tblGrid>
        <w:gridCol w:w="930"/>
        <w:gridCol w:w="2778"/>
        <w:gridCol w:w="4800"/>
      </w:tblGrid>
      <w:tr>
        <w:tblPrEx>
          <w:tblCellMar>
            <w:top w:w="0" w:type="dxa"/>
            <w:left w:w="0" w:type="dxa"/>
            <w:bottom w:w="0" w:type="dxa"/>
            <w:right w:w="0" w:type="dxa"/>
          </w:tblCellMar>
        </w:tblPrEx>
        <w:trPr>
          <w:trHeight w:val="255"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z w:val="21"/>
                <w:szCs w:val="21"/>
                <w14:textFill>
                  <w14:solidFill>
                    <w14:schemeClr w14:val="tx1"/>
                  </w14:solidFill>
                </w14:textFill>
              </w:rPr>
              <w:t>条款号</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2"/>
                <w:tab w:val="left" w:pos="844"/>
                <w:tab w:val="left" w:pos="1264"/>
              </w:tabs>
              <w:spacing w:line="240" w:lineRule="exact"/>
              <w:ind w:lef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条</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款</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名</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称</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4"/>
                <w:tab w:val="left" w:pos="847"/>
                <w:tab w:val="left" w:pos="1268"/>
              </w:tabs>
              <w:spacing w:line="240" w:lineRule="exact"/>
              <w:ind w:left="3"/>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编</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列</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内</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容</w:t>
            </w:r>
          </w:p>
        </w:tc>
      </w:tr>
      <w:tr>
        <w:tblPrEx>
          <w:tblCellMar>
            <w:top w:w="0" w:type="dxa"/>
            <w:left w:w="0" w:type="dxa"/>
            <w:bottom w:w="0" w:type="dxa"/>
            <w:right w:w="0" w:type="dxa"/>
          </w:tblCellMar>
        </w:tblPrEx>
        <w:trPr>
          <w:trHeight w:val="847" w:hRule="exact"/>
        </w:trPr>
        <w:tc>
          <w:tcPr>
            <w:tcW w:w="930" w:type="dxa"/>
            <w:tcBorders>
              <w:top w:val="single" w:color="010101" w:sz="4" w:space="0"/>
              <w:left w:val="single" w:color="010101" w:sz="4" w:space="0"/>
              <w:right w:val="single" w:color="010101" w:sz="4" w:space="0"/>
            </w:tcBorders>
            <w:vAlign w:val="center"/>
          </w:tcPr>
          <w:p>
            <w:pPr>
              <w:pStyle w:val="27"/>
              <w:spacing w:before="6"/>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1.4.2</w:t>
            </w:r>
          </w:p>
        </w:tc>
        <w:tc>
          <w:tcPr>
            <w:tcW w:w="2778" w:type="dxa"/>
            <w:tcBorders>
              <w:top w:val="single" w:color="010101" w:sz="4" w:space="0"/>
              <w:left w:val="single" w:color="010101" w:sz="4" w:space="0"/>
              <w:bottom w:val="nil"/>
              <w:right w:val="single" w:color="010101" w:sz="4" w:space="0"/>
            </w:tcBorders>
            <w:vAlign w:val="center"/>
          </w:tcPr>
          <w:p>
            <w:pPr>
              <w:pStyle w:val="27"/>
              <w:spacing w:before="6"/>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是否接受联合体投标</w:t>
            </w:r>
          </w:p>
        </w:tc>
        <w:tc>
          <w:tcPr>
            <w:tcW w:w="4800" w:type="dxa"/>
            <w:tcBorders>
              <w:top w:val="single" w:color="010101" w:sz="4" w:space="0"/>
              <w:left w:val="single" w:color="010101" w:sz="4" w:space="0"/>
              <w:right w:val="single" w:color="010101" w:sz="4" w:space="0"/>
            </w:tcBorders>
            <w:vAlign w:val="center"/>
          </w:tcPr>
          <w:p>
            <w:pPr>
              <w:jc w:val="both"/>
              <w:rPr>
                <w:color w:val="000000" w:themeColor="text1"/>
                <w:sz w:val="21"/>
                <w:szCs w:val="21"/>
                <w:lang w:eastAsia="zh-CN"/>
                <w14:textFill>
                  <w14:solidFill>
                    <w14:schemeClr w14:val="tx1"/>
                  </w14:solidFill>
                </w14:textFill>
              </w:rPr>
            </w:pPr>
            <w:r>
              <w:rPr>
                <w:rFonts w:hint="eastAsia" w:ascii="宋体" w:hAnsi="宋体" w:cs="宋体"/>
                <w:spacing w:val="2"/>
                <w:lang w:eastAsia="zh-CN"/>
              </w:rPr>
              <w:t>■</w:t>
            </w:r>
            <w:r>
              <w:rPr>
                <w:rFonts w:hint="eastAsia"/>
                <w:color w:val="000000" w:themeColor="text1"/>
                <w:sz w:val="21"/>
                <w:szCs w:val="21"/>
                <w:lang w:eastAsia="zh-CN"/>
                <w14:textFill>
                  <w14:solidFill>
                    <w14:schemeClr w14:val="tx1"/>
                  </w14:solidFill>
                </w14:textFill>
              </w:rPr>
              <w:t>不接受</w:t>
            </w:r>
          </w:p>
          <w:p>
            <w:pPr>
              <w:jc w:val="both"/>
              <w:rPr>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接受，应满足下列要求：</w:t>
            </w:r>
          </w:p>
          <w:p>
            <w:pPr>
              <w:pStyle w:val="4"/>
              <w:spacing w:before="28" w:line="360" w:lineRule="auto"/>
              <w:ind w:right="319"/>
              <w:rPr>
                <w:rFonts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59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1"/>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1.4.3</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投标人不得存在的其他关联</w:t>
            </w:r>
          </w:p>
          <w:p>
            <w:pPr>
              <w:pStyle w:val="27"/>
              <w:spacing w:before="79"/>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情形</w:t>
            </w:r>
          </w:p>
        </w:tc>
        <w:tc>
          <w:tcPr>
            <w:tcW w:w="4800"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见投标人须知正文</w:t>
            </w:r>
          </w:p>
        </w:tc>
      </w:tr>
      <w:tr>
        <w:tblPrEx>
          <w:tblCellMar>
            <w:top w:w="0" w:type="dxa"/>
            <w:left w:w="0" w:type="dxa"/>
            <w:bottom w:w="0" w:type="dxa"/>
            <w:right w:w="0" w:type="dxa"/>
          </w:tblCellMar>
        </w:tblPrEx>
        <w:trPr>
          <w:trHeight w:val="713"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0"/>
              <w:ind w:right="1"/>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eastAsia="宋体"/>
                <w:color w:val="000000" w:themeColor="text1"/>
                <w:sz w:val="21"/>
                <w:lang w:eastAsia="zh-CN"/>
                <w14:textFill>
                  <w14:solidFill>
                    <w14:schemeClr w14:val="tx1"/>
                  </w14:solidFill>
                </w14:textFill>
              </w:rPr>
              <w:t>1.4.4</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投标人不得存在的其他不良</w:t>
            </w:r>
          </w:p>
          <w:p>
            <w:pPr>
              <w:pStyle w:val="27"/>
              <w:spacing w:before="79"/>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状况或不良信用记录</w:t>
            </w:r>
          </w:p>
        </w:tc>
        <w:tc>
          <w:tcPr>
            <w:tcW w:w="4800" w:type="dxa"/>
            <w:tcBorders>
              <w:top w:val="single" w:color="010101" w:sz="4" w:space="0"/>
              <w:left w:val="single" w:color="010101" w:sz="4" w:space="0"/>
              <w:bottom w:val="single" w:color="010101" w:sz="4" w:space="0"/>
              <w:right w:val="single" w:color="010101" w:sz="4" w:space="0"/>
            </w:tcBorders>
            <w:vAlign w:val="center"/>
          </w:tcPr>
          <w:p>
            <w:pPr>
              <w:jc w:val="both"/>
              <w:rPr>
                <w:rFonts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见投标人须知正文</w:t>
            </w:r>
          </w:p>
        </w:tc>
      </w:tr>
      <w:tr>
        <w:tblPrEx>
          <w:tblCellMar>
            <w:top w:w="0" w:type="dxa"/>
            <w:left w:w="0" w:type="dxa"/>
            <w:bottom w:w="0" w:type="dxa"/>
            <w:right w:w="0" w:type="dxa"/>
          </w:tblCellMar>
        </w:tblPrEx>
        <w:trPr>
          <w:trHeight w:val="726" w:hRule="exact"/>
        </w:trPr>
        <w:tc>
          <w:tcPr>
            <w:tcW w:w="930" w:type="dxa"/>
            <w:tcBorders>
              <w:top w:val="single" w:color="010101" w:sz="4" w:space="0"/>
              <w:left w:val="single" w:color="010101" w:sz="4" w:space="0"/>
              <w:bottom w:val="single" w:color="auto" w:sz="4" w:space="0"/>
              <w:right w:val="single" w:color="010101" w:sz="4" w:space="0"/>
            </w:tcBorders>
            <w:vAlign w:val="center"/>
          </w:tcPr>
          <w:p>
            <w:pPr>
              <w:pStyle w:val="27"/>
              <w:spacing w:before="148"/>
              <w:ind w:left="143"/>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1.10.2</w:t>
            </w:r>
          </w:p>
        </w:tc>
        <w:tc>
          <w:tcPr>
            <w:tcW w:w="2778" w:type="dxa"/>
            <w:tcBorders>
              <w:top w:val="single" w:color="010101" w:sz="4" w:space="0"/>
              <w:left w:val="single" w:color="010101" w:sz="4" w:space="0"/>
              <w:bottom w:val="single" w:color="auto" w:sz="4" w:space="0"/>
              <w:right w:val="single" w:color="010101" w:sz="4" w:space="0"/>
            </w:tcBorders>
            <w:vAlign w:val="center"/>
          </w:tcPr>
          <w:p>
            <w:pPr>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olor w:val="000000" w:themeColor="text1"/>
                <w14:textFill>
                  <w14:solidFill>
                    <w14:schemeClr w14:val="tx1"/>
                  </w14:solidFill>
                </w14:textFill>
              </w:rPr>
              <w:t>投标预备会</w:t>
            </w:r>
          </w:p>
        </w:tc>
        <w:tc>
          <w:tcPr>
            <w:tcW w:w="4800" w:type="dxa"/>
            <w:tcBorders>
              <w:top w:val="single" w:color="010101" w:sz="4" w:space="0"/>
              <w:left w:val="single" w:color="010101" w:sz="4" w:space="0"/>
              <w:bottom w:val="single" w:color="auto" w:sz="4" w:space="0"/>
              <w:right w:val="single" w:color="010101" w:sz="4" w:space="0"/>
            </w:tcBorders>
            <w:vAlign w:val="center"/>
          </w:tcPr>
          <w:p>
            <w:pPr>
              <w:rPr>
                <w:rFonts w:ascii="宋体" w:hAnsi="宋体" w:eastAsia="宋体" w:cs="宋体"/>
                <w:color w:val="000000" w:themeColor="text1"/>
                <w:spacing w:val="-5"/>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pacing w:val="-5"/>
                <w:sz w:val="21"/>
                <w:szCs w:val="21"/>
                <w:lang w:eastAsia="zh-CN"/>
                <w14:textFill>
                  <w14:solidFill>
                    <w14:schemeClr w14:val="tx1"/>
                  </w14:solidFill>
                </w14:textFill>
              </w:rPr>
              <w:t>召开</w:t>
            </w:r>
          </w:p>
          <w:p>
            <w:pPr>
              <w:pStyle w:val="27"/>
              <w:spacing w:line="240" w:lineRule="exact"/>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rPr>
              <w:t>■</w:t>
            </w:r>
            <w:r>
              <w:rPr>
                <w:rFonts w:hint="eastAsia" w:ascii="宋体" w:hAnsi="宋体" w:eastAsia="宋体" w:cs="宋体"/>
                <w:color w:val="000000" w:themeColor="text1"/>
                <w:sz w:val="21"/>
                <w:szCs w:val="21"/>
                <w:lang w:eastAsia="zh-CN"/>
                <w14:textFill>
                  <w14:solidFill>
                    <w14:schemeClr w14:val="tx1"/>
                  </w14:solidFill>
                </w14:textFill>
              </w:rPr>
              <w:t>不召开</w:t>
            </w:r>
          </w:p>
          <w:p>
            <w:pPr>
              <w:rPr>
                <w:rFonts w:ascii="宋体" w:hAnsi="宋体" w:eastAsia="宋体" w:cs="宋体"/>
                <w:color w:val="000000" w:themeColor="text1"/>
                <w:spacing w:val="-5"/>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400" w:hRule="exact"/>
        </w:trPr>
        <w:tc>
          <w:tcPr>
            <w:tcW w:w="930" w:type="dxa"/>
            <w:tcBorders>
              <w:top w:val="single" w:color="auto" w:sz="4" w:space="0"/>
              <w:left w:val="single" w:color="auto" w:sz="4" w:space="0"/>
              <w:bottom w:val="single" w:color="auto" w:sz="4" w:space="0"/>
              <w:right w:val="single" w:color="010101" w:sz="4" w:space="0"/>
            </w:tcBorders>
            <w:vAlign w:val="center"/>
          </w:tcPr>
          <w:p>
            <w:pPr>
              <w:pStyle w:val="27"/>
              <w:spacing w:before="8"/>
              <w:ind w:lef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1.11.1</w:t>
            </w:r>
          </w:p>
        </w:tc>
        <w:tc>
          <w:tcPr>
            <w:tcW w:w="2778" w:type="dxa"/>
            <w:tcBorders>
              <w:top w:val="single" w:color="auto" w:sz="4" w:space="0"/>
              <w:left w:val="single" w:color="010101" w:sz="4" w:space="0"/>
              <w:bottom w:val="single" w:color="auto" w:sz="4" w:space="0"/>
              <w:right w:val="single" w:color="010101" w:sz="4" w:space="0"/>
            </w:tcBorders>
            <w:vAlign w:val="center"/>
          </w:tcPr>
          <w:p>
            <w:pPr>
              <w:pStyle w:val="27"/>
              <w:tabs>
                <w:tab w:val="left" w:pos="419"/>
              </w:tabs>
              <w:spacing w:before="8"/>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分</w:t>
            </w:r>
            <w:r>
              <w:rPr>
                <w:rFonts w:ascii="宋体" w:hAnsi="宋体" w:eastAsia="宋体" w:cs="宋体"/>
                <w:color w:val="000000" w:themeColor="text1"/>
                <w:sz w:val="21"/>
                <w:szCs w:val="21"/>
                <w14:textFill>
                  <w14:solidFill>
                    <w14:schemeClr w14:val="tx1"/>
                  </w14:solidFill>
                </w14:textFill>
              </w:rPr>
              <w:tab/>
            </w:r>
            <w:r>
              <w:rPr>
                <w:rFonts w:ascii="宋体" w:hAnsi="宋体" w:eastAsia="宋体" w:cs="宋体"/>
                <w:color w:val="000000" w:themeColor="text1"/>
                <w:sz w:val="21"/>
                <w:szCs w:val="21"/>
                <w14:textFill>
                  <w14:solidFill>
                    <w14:schemeClr w14:val="tx1"/>
                  </w14:solidFill>
                </w14:textFill>
              </w:rPr>
              <w:t>包</w:t>
            </w:r>
          </w:p>
        </w:tc>
        <w:tc>
          <w:tcPr>
            <w:tcW w:w="4800" w:type="dxa"/>
            <w:tcBorders>
              <w:top w:val="single" w:color="auto" w:sz="4" w:space="0"/>
              <w:left w:val="single" w:color="010101" w:sz="4" w:space="0"/>
              <w:bottom w:val="single" w:color="auto" w:sz="4" w:space="0"/>
              <w:right w:val="single" w:color="auto" w:sz="4" w:space="0"/>
            </w:tcBorders>
            <w:vAlign w:val="center"/>
          </w:tcPr>
          <w:p>
            <w:pPr>
              <w:pStyle w:val="27"/>
              <w:spacing w:before="9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spacing w:val="2"/>
              </w:rPr>
              <w:t>■</w:t>
            </w:r>
            <w:r>
              <w:rPr>
                <w:rFonts w:ascii="宋体" w:hAnsi="宋体" w:eastAsia="宋体" w:cs="宋体"/>
                <w:color w:val="000000" w:themeColor="text1"/>
                <w:sz w:val="21"/>
                <w:szCs w:val="21"/>
                <w14:textFill>
                  <w14:solidFill>
                    <w14:schemeClr w14:val="tx1"/>
                  </w14:solidFill>
                </w14:textFill>
              </w:rPr>
              <w:t>不允许</w:t>
            </w:r>
          </w:p>
        </w:tc>
      </w:tr>
      <w:tr>
        <w:tblPrEx>
          <w:tblCellMar>
            <w:top w:w="0" w:type="dxa"/>
            <w:left w:w="0" w:type="dxa"/>
            <w:bottom w:w="0" w:type="dxa"/>
            <w:right w:w="0" w:type="dxa"/>
          </w:tblCellMar>
        </w:tblPrEx>
        <w:trPr>
          <w:trHeight w:val="686"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48"/>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2.1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48"/>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构成招标文件的其他材料</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招标人对已发布招标文件的澄清、修改内容和补遗书（如有）</w:t>
            </w:r>
          </w:p>
        </w:tc>
      </w:tr>
      <w:tr>
        <w:tblPrEx>
          <w:tblCellMar>
            <w:top w:w="0" w:type="dxa"/>
            <w:left w:w="0" w:type="dxa"/>
            <w:bottom w:w="0" w:type="dxa"/>
            <w:right w:w="0" w:type="dxa"/>
          </w:tblCellMar>
        </w:tblPrEx>
        <w:trPr>
          <w:trHeight w:val="1101" w:hRule="exact"/>
        </w:trPr>
        <w:tc>
          <w:tcPr>
            <w:tcW w:w="930" w:type="dxa"/>
            <w:tcBorders>
              <w:top w:val="single" w:color="010101" w:sz="4" w:space="0"/>
              <w:left w:val="single" w:color="010101" w:sz="4" w:space="0"/>
              <w:right w:val="single" w:color="010101" w:sz="4" w:space="0"/>
            </w:tcBorders>
            <w:vAlign w:val="center"/>
          </w:tcPr>
          <w:p>
            <w:pPr>
              <w:pStyle w:val="27"/>
              <w:spacing w:before="9"/>
              <w:rPr>
                <w:rFonts w:ascii="宋体" w:hAnsi="宋体" w:eastAsia="宋体" w:cs="宋体"/>
                <w:color w:val="000000" w:themeColor="text1"/>
                <w:sz w:val="16"/>
                <w:szCs w:val="16"/>
                <w:lang w:eastAsia="zh-CN"/>
                <w14:textFill>
                  <w14:solidFill>
                    <w14:schemeClr w14:val="tx1"/>
                  </w14:solidFill>
                </w14:textFill>
              </w:rPr>
            </w:pPr>
          </w:p>
          <w:p>
            <w:pPr>
              <w:pStyle w:val="27"/>
              <w:ind w:left="196"/>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2.2.1</w:t>
            </w:r>
          </w:p>
        </w:tc>
        <w:tc>
          <w:tcPr>
            <w:tcW w:w="2778" w:type="dxa"/>
            <w:tcBorders>
              <w:top w:val="single" w:color="010101" w:sz="4" w:space="0"/>
              <w:left w:val="single" w:color="010101" w:sz="4" w:space="0"/>
              <w:right w:val="single" w:color="010101" w:sz="4" w:space="0"/>
            </w:tcBorders>
            <w:vAlign w:val="center"/>
          </w:tcPr>
          <w:p>
            <w:pPr>
              <w:pStyle w:val="27"/>
              <w:ind w:left="227"/>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投标人要求澄清招标文件</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ind w:left="227"/>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时间：投标截止日期10日前。</w:t>
            </w:r>
          </w:p>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形式：以不记名形式在广州公共资源</w:t>
            </w:r>
            <w:r>
              <w:rPr>
                <w:rFonts w:ascii="宋体" w:hAnsi="宋体" w:eastAsia="宋体" w:cs="宋体"/>
                <w:color w:val="000000" w:themeColor="text1"/>
                <w:sz w:val="21"/>
                <w:szCs w:val="21"/>
                <w:lang w:eastAsia="zh-CN"/>
                <w14:textFill>
                  <w14:solidFill>
                    <w14:schemeClr w14:val="tx1"/>
                  </w14:solidFill>
                </w14:textFill>
              </w:rPr>
              <w:t>交易中心网</w:t>
            </w:r>
            <w:r>
              <w:rPr>
                <w:rFonts w:hint="eastAsia" w:ascii="宋体" w:hAnsi="宋体" w:eastAsia="宋体" w:cs="宋体"/>
                <w:color w:val="000000" w:themeColor="text1"/>
                <w:sz w:val="21"/>
                <w:szCs w:val="21"/>
                <w:lang w:eastAsia="zh-CN"/>
                <w14:textFill>
                  <w14:solidFill>
                    <w14:schemeClr w14:val="tx1"/>
                  </w14:solidFill>
                </w14:textFill>
              </w:rPr>
              <w:t>向招标人提出澄清要求，且不得有任何可识别投标人及其人员标识。</w:t>
            </w:r>
          </w:p>
        </w:tc>
      </w:tr>
      <w:tr>
        <w:tblPrEx>
          <w:tblCellMar>
            <w:top w:w="0" w:type="dxa"/>
            <w:left w:w="0" w:type="dxa"/>
            <w:bottom w:w="0" w:type="dxa"/>
            <w:right w:w="0" w:type="dxa"/>
          </w:tblCellMar>
        </w:tblPrEx>
        <w:trPr>
          <w:trHeight w:val="661"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44"/>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2.2.2</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44"/>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招标文件澄清发出的形式</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ind w:left="227"/>
              <w:jc w:val="left"/>
              <w:rPr>
                <w:rFonts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时</w:t>
            </w:r>
            <w:r>
              <w:rPr>
                <w:rFonts w:hint="eastAsia" w:ascii="宋体" w:hAnsi="宋体" w:eastAsia="宋体" w:cs="宋体"/>
                <w:color w:val="000000" w:themeColor="text1"/>
                <w:sz w:val="21"/>
                <w:szCs w:val="21"/>
                <w:lang w:val="en-US" w:eastAsia="zh-CN"/>
                <w14:textFill>
                  <w14:solidFill>
                    <w14:schemeClr w14:val="tx1"/>
                  </w14:solidFill>
                </w14:textFill>
              </w:rPr>
              <w:t>间：自收到异议之日起3日内作出答复。</w:t>
            </w:r>
          </w:p>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形式：在广州公共资源交易网发布。</w:t>
            </w:r>
          </w:p>
        </w:tc>
      </w:tr>
      <w:tr>
        <w:tblPrEx>
          <w:tblCellMar>
            <w:top w:w="0" w:type="dxa"/>
            <w:left w:w="0" w:type="dxa"/>
            <w:bottom w:w="0" w:type="dxa"/>
            <w:right w:w="0" w:type="dxa"/>
          </w:tblCellMar>
        </w:tblPrEx>
        <w:trPr>
          <w:trHeight w:val="1733" w:hRule="exact"/>
        </w:trPr>
        <w:tc>
          <w:tcPr>
            <w:tcW w:w="930" w:type="dxa"/>
            <w:tcBorders>
              <w:top w:val="single" w:color="010101" w:sz="4" w:space="0"/>
              <w:left w:val="single" w:color="010101" w:sz="4" w:space="0"/>
              <w:right w:val="single" w:color="010101" w:sz="4" w:space="0"/>
            </w:tcBorders>
            <w:vAlign w:val="center"/>
          </w:tcPr>
          <w:p>
            <w:pPr>
              <w:pStyle w:val="27"/>
              <w:rPr>
                <w:rFonts w:ascii="宋体" w:hAnsi="宋体" w:eastAsia="宋体" w:cs="宋体"/>
                <w:color w:val="000000" w:themeColor="text1"/>
                <w:sz w:val="26"/>
                <w:szCs w:val="26"/>
                <w:lang w:eastAsia="zh-CN"/>
                <w14:textFill>
                  <w14:solidFill>
                    <w14:schemeClr w14:val="tx1"/>
                  </w14:solidFill>
                </w14:textFill>
              </w:rPr>
            </w:pPr>
          </w:p>
          <w:p>
            <w:pPr>
              <w:pStyle w:val="27"/>
              <w:ind w:left="196"/>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2.2.3</w:t>
            </w:r>
          </w:p>
        </w:tc>
        <w:tc>
          <w:tcPr>
            <w:tcW w:w="2778" w:type="dxa"/>
            <w:tcBorders>
              <w:top w:val="single" w:color="010101" w:sz="4" w:space="0"/>
              <w:left w:val="single" w:color="010101" w:sz="4" w:space="0"/>
              <w:right w:val="single" w:color="010101" w:sz="4" w:space="0"/>
            </w:tcBorders>
            <w:vAlign w:val="center"/>
          </w:tcPr>
          <w:p>
            <w:pPr>
              <w:pStyle w:val="27"/>
              <w:spacing w:before="162" w:line="309" w:lineRule="auto"/>
              <w:ind w:left="1277" w:right="122" w:hanging="1155"/>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投标人确认收到招标文件澄 清</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 xml:space="preserve">时间：发出即视作收到                             </w:t>
            </w:r>
          </w:p>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形式：招标人经在广州公共资源交易中心网站发布，视作已发放给所有投标人。</w:t>
            </w:r>
          </w:p>
        </w:tc>
      </w:tr>
      <w:tr>
        <w:tblPrEx>
          <w:tblCellMar>
            <w:top w:w="0" w:type="dxa"/>
            <w:left w:w="0" w:type="dxa"/>
            <w:bottom w:w="0" w:type="dxa"/>
            <w:right w:w="0" w:type="dxa"/>
          </w:tblCellMar>
        </w:tblPrEx>
        <w:trPr>
          <w:trHeight w:val="743" w:hRule="exact"/>
        </w:trPr>
        <w:tc>
          <w:tcPr>
            <w:tcW w:w="930" w:type="dxa"/>
            <w:tcBorders>
              <w:top w:val="single" w:color="010101" w:sz="4" w:space="0"/>
              <w:left w:val="single" w:color="010101" w:sz="4" w:space="0"/>
              <w:bottom w:val="single" w:color="auto" w:sz="4" w:space="0"/>
              <w:right w:val="single" w:color="010101" w:sz="4" w:space="0"/>
            </w:tcBorders>
            <w:vAlign w:val="center"/>
          </w:tcPr>
          <w:p>
            <w:pPr>
              <w:pStyle w:val="27"/>
              <w:spacing w:before="41"/>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2.3.1</w:t>
            </w:r>
          </w:p>
        </w:tc>
        <w:tc>
          <w:tcPr>
            <w:tcW w:w="2778" w:type="dxa"/>
            <w:tcBorders>
              <w:top w:val="single" w:color="010101" w:sz="4" w:space="0"/>
              <w:left w:val="single" w:color="010101" w:sz="4" w:space="0"/>
              <w:bottom w:val="single" w:color="auto" w:sz="4" w:space="0"/>
              <w:right w:val="single" w:color="010101" w:sz="4" w:space="0"/>
            </w:tcBorders>
            <w:vAlign w:val="center"/>
          </w:tcPr>
          <w:p>
            <w:pPr>
              <w:pStyle w:val="27"/>
              <w:spacing w:before="4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招标文件修改发出的形式</w:t>
            </w:r>
          </w:p>
        </w:tc>
        <w:tc>
          <w:tcPr>
            <w:tcW w:w="4800" w:type="dxa"/>
            <w:tcBorders>
              <w:top w:val="single" w:color="010101" w:sz="4" w:space="0"/>
              <w:left w:val="single" w:color="010101" w:sz="4" w:space="0"/>
              <w:bottom w:val="single" w:color="auto" w:sz="4" w:space="0"/>
              <w:right w:val="single" w:color="010101" w:sz="4" w:space="0"/>
            </w:tcBorders>
            <w:vAlign w:val="center"/>
          </w:tcPr>
          <w:p>
            <w:pPr>
              <w:pStyle w:val="27"/>
              <w:ind w:left="227"/>
              <w:jc w:val="left"/>
              <w:rPr>
                <w:rFonts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时</w:t>
            </w:r>
            <w:r>
              <w:rPr>
                <w:rFonts w:hint="eastAsia" w:ascii="宋体" w:hAnsi="宋体" w:eastAsia="宋体" w:cs="宋体"/>
                <w:color w:val="000000" w:themeColor="text1"/>
                <w:sz w:val="21"/>
                <w:szCs w:val="21"/>
                <w:lang w:val="en-US" w:eastAsia="zh-CN"/>
                <w14:textFill>
                  <w14:solidFill>
                    <w14:schemeClr w14:val="tx1"/>
                  </w14:solidFill>
                </w14:textFill>
              </w:rPr>
              <w:t>间：投标截止时间至少15日前。</w:t>
            </w:r>
          </w:p>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形式：在广州公共资源交易网发布。</w:t>
            </w:r>
          </w:p>
        </w:tc>
      </w:tr>
      <w:tr>
        <w:tblPrEx>
          <w:tblCellMar>
            <w:top w:w="0" w:type="dxa"/>
            <w:left w:w="0" w:type="dxa"/>
            <w:bottom w:w="0" w:type="dxa"/>
            <w:right w:w="0" w:type="dxa"/>
          </w:tblCellMar>
        </w:tblPrEx>
        <w:trPr>
          <w:trHeight w:val="1549" w:hRule="exact"/>
        </w:trPr>
        <w:tc>
          <w:tcPr>
            <w:tcW w:w="930" w:type="dxa"/>
            <w:tcBorders>
              <w:top w:val="single" w:color="auto" w:sz="4" w:space="0"/>
              <w:left w:val="single" w:color="auto" w:sz="4" w:space="0"/>
              <w:bottom w:val="single" w:color="auto" w:sz="4" w:space="0"/>
              <w:right w:val="single" w:color="010101" w:sz="4" w:space="0"/>
            </w:tcBorders>
            <w:vAlign w:val="center"/>
          </w:tcPr>
          <w:p>
            <w:pPr>
              <w:pStyle w:val="27"/>
              <w:spacing w:before="5"/>
              <w:rPr>
                <w:rFonts w:ascii="宋体" w:hAnsi="宋体" w:eastAsia="宋体" w:cs="宋体"/>
                <w:color w:val="000000" w:themeColor="text1"/>
                <w:sz w:val="18"/>
                <w:szCs w:val="18"/>
                <w:lang w:eastAsia="zh-CN"/>
                <w14:textFill>
                  <w14:solidFill>
                    <w14:schemeClr w14:val="tx1"/>
                  </w14:solidFill>
                </w14:textFill>
              </w:rPr>
            </w:pPr>
          </w:p>
          <w:p>
            <w:pPr>
              <w:pStyle w:val="27"/>
              <w:ind w:left="196"/>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2.3.2</w:t>
            </w:r>
          </w:p>
        </w:tc>
        <w:tc>
          <w:tcPr>
            <w:tcW w:w="2778" w:type="dxa"/>
            <w:tcBorders>
              <w:top w:val="single" w:color="auto" w:sz="4" w:space="0"/>
              <w:left w:val="single" w:color="010101" w:sz="4" w:space="0"/>
              <w:bottom w:val="single" w:color="auto" w:sz="4" w:space="0"/>
              <w:right w:val="single" w:color="010101" w:sz="4" w:space="0"/>
            </w:tcBorders>
            <w:vAlign w:val="center"/>
          </w:tcPr>
          <w:p>
            <w:pPr>
              <w:pStyle w:val="27"/>
              <w:spacing w:before="63" w:line="309" w:lineRule="auto"/>
              <w:ind w:left="1277" w:right="122" w:hanging="1155"/>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投标人确认收到招标文件修 改</w:t>
            </w:r>
          </w:p>
        </w:tc>
        <w:tc>
          <w:tcPr>
            <w:tcW w:w="4800" w:type="dxa"/>
            <w:tcBorders>
              <w:top w:val="single" w:color="auto" w:sz="4" w:space="0"/>
              <w:left w:val="single" w:color="010101" w:sz="4" w:space="0"/>
              <w:bottom w:val="single" w:color="auto" w:sz="4" w:space="0"/>
              <w:right w:val="single" w:color="auto" w:sz="4" w:space="0"/>
            </w:tcBorders>
            <w:vAlign w:val="center"/>
          </w:tcPr>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 xml:space="preserve">时间：发出即视作收到                             </w:t>
            </w:r>
          </w:p>
          <w:p>
            <w:pPr>
              <w:pStyle w:val="27"/>
              <w:ind w:left="227"/>
              <w:jc w:val="left"/>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形式：招标人经在广州公共资源交易中心网站发布，视作已发放给所有投标人。</w:t>
            </w:r>
          </w:p>
        </w:tc>
      </w:tr>
      <w:tr>
        <w:tblPrEx>
          <w:tblCellMar>
            <w:top w:w="0" w:type="dxa"/>
            <w:left w:w="0" w:type="dxa"/>
            <w:bottom w:w="0" w:type="dxa"/>
            <w:right w:w="0" w:type="dxa"/>
          </w:tblCellMar>
        </w:tblPrEx>
        <w:trPr>
          <w:trHeight w:val="505" w:hRule="exact"/>
        </w:trPr>
        <w:tc>
          <w:tcPr>
            <w:tcW w:w="930" w:type="dxa"/>
            <w:tcBorders>
              <w:top w:val="single" w:color="auto" w:sz="4" w:space="0"/>
              <w:left w:val="single" w:color="010101" w:sz="4" w:space="0"/>
              <w:bottom w:val="single" w:color="010101" w:sz="4" w:space="0"/>
              <w:right w:val="single" w:color="010101" w:sz="4" w:space="0"/>
            </w:tcBorders>
            <w:vAlign w:val="center"/>
          </w:tcPr>
          <w:p>
            <w:pPr>
              <w:pStyle w:val="27"/>
              <w:spacing w:before="95"/>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3.1.1</w:t>
            </w:r>
          </w:p>
        </w:tc>
        <w:tc>
          <w:tcPr>
            <w:tcW w:w="2778" w:type="dxa"/>
            <w:tcBorders>
              <w:top w:val="single" w:color="auto" w:sz="4" w:space="0"/>
              <w:left w:val="single" w:color="010101" w:sz="4" w:space="0"/>
              <w:bottom w:val="single" w:color="010101" w:sz="4" w:space="0"/>
              <w:right w:val="single" w:color="010101" w:sz="4" w:space="0"/>
            </w:tcBorders>
            <w:vAlign w:val="center"/>
          </w:tcPr>
          <w:p>
            <w:pPr>
              <w:pStyle w:val="27"/>
              <w:spacing w:before="95"/>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构成投标文件的其他材料</w:t>
            </w:r>
          </w:p>
        </w:tc>
        <w:tc>
          <w:tcPr>
            <w:tcW w:w="4800" w:type="dxa"/>
            <w:tcBorders>
              <w:top w:val="single" w:color="auto" w:sz="4" w:space="0"/>
              <w:left w:val="single" w:color="010101" w:sz="4" w:space="0"/>
              <w:bottom w:val="single" w:color="010101" w:sz="4" w:space="0"/>
              <w:right w:val="single" w:color="010101" w:sz="4" w:space="0"/>
            </w:tcBorders>
            <w:vAlign w:val="center"/>
          </w:tcPr>
          <w:p>
            <w:pPr>
              <w:pStyle w:val="27"/>
              <w:jc w:val="center"/>
              <w:rPr>
                <w:color w:val="000000" w:themeColor="text1"/>
                <w:lang w:eastAsia="zh-CN"/>
                <w14:textFill>
                  <w14:solidFill>
                    <w14:schemeClr w14:val="tx1"/>
                  </w14:solidFill>
                </w14:textFill>
              </w:rPr>
            </w:pPr>
            <w:r>
              <w:rPr>
                <w:rFonts w:ascii="Times New Roman"/>
                <w:color w:val="000000" w:themeColor="text1"/>
                <w:sz w:val="21"/>
                <w:szCs w:val="21"/>
                <w14:textFill>
                  <w14:solidFill>
                    <w14:schemeClr w14:val="tx1"/>
                  </w14:solidFill>
                </w14:textFill>
              </w:rPr>
              <w:t>/</w:t>
            </w:r>
          </w:p>
        </w:tc>
      </w:tr>
      <w:tr>
        <w:tblPrEx>
          <w:tblCellMar>
            <w:top w:w="0" w:type="dxa"/>
            <w:left w:w="0" w:type="dxa"/>
            <w:bottom w:w="0" w:type="dxa"/>
            <w:right w:w="0" w:type="dxa"/>
          </w:tblCellMar>
        </w:tblPrEx>
        <w:trPr>
          <w:trHeight w:val="623"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92"/>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3.2.1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92"/>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增值税税金的计算方法</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jc w:val="center"/>
              <w:rPr>
                <w:color w:val="000000" w:themeColor="text1"/>
                <w:lang w:eastAsia="zh-CN"/>
                <w14:textFill>
                  <w14:solidFill>
                    <w14:schemeClr w14:val="tx1"/>
                  </w14:solidFill>
                </w14:textFill>
              </w:rPr>
            </w:pPr>
            <w:r>
              <w:rPr>
                <w:rFonts w:hint="eastAsia" w:ascii="Times New Roman"/>
                <w:color w:val="000000" w:themeColor="text1"/>
                <w:sz w:val="21"/>
                <w:szCs w:val="21"/>
                <w:lang w:eastAsia="zh-CN"/>
                <w14:textFill>
                  <w14:solidFill>
                    <w14:schemeClr w14:val="tx1"/>
                  </w14:solidFill>
                </w14:textFill>
              </w:rPr>
              <w:t>按国家与阳江市相关规定</w:t>
            </w:r>
          </w:p>
        </w:tc>
      </w:tr>
      <w:tr>
        <w:tblPrEx>
          <w:tblCellMar>
            <w:top w:w="0" w:type="dxa"/>
            <w:left w:w="0" w:type="dxa"/>
            <w:bottom w:w="0" w:type="dxa"/>
            <w:right w:w="0" w:type="dxa"/>
          </w:tblCellMar>
        </w:tblPrEx>
        <w:trPr>
          <w:trHeight w:val="623"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64"/>
              <w:ind w:left="196"/>
              <w:rPr>
                <w:rFonts w:ascii="宋体"/>
                <w:color w:val="000000" w:themeColor="text1"/>
                <w:sz w:val="21"/>
                <w14:textFill>
                  <w14:solidFill>
                    <w14:schemeClr w14:val="tx1"/>
                  </w14:solidFill>
                </w14:textFill>
              </w:rPr>
            </w:pPr>
            <w:r>
              <w:rPr>
                <w:rFonts w:ascii="宋体"/>
                <w:color w:val="000000" w:themeColor="text1"/>
                <w:sz w:val="21"/>
                <w14:textFill>
                  <w14:solidFill>
                    <w14:schemeClr w14:val="tx1"/>
                  </w14:solidFill>
                </w14:textFill>
              </w:rPr>
              <w:t>3.2.3</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164"/>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报价方式</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left="103"/>
              <w:rPr>
                <w:rFonts w:ascii="宋体" w:hAnsi="宋体" w:eastAsia="宋体" w:cs="宋体"/>
                <w:color w:val="000000" w:themeColor="text1"/>
                <w:sz w:val="21"/>
                <w:szCs w:val="21"/>
                <w14:textFill>
                  <w14:solidFill>
                    <w14:schemeClr w14:val="tx1"/>
                  </w14:solidFill>
                </w14:textFill>
              </w:rPr>
            </w:pPr>
            <w:r>
              <w:rPr>
                <w:rFonts w:ascii="宋体" w:hAnsi="宋体" w:cs="宋体"/>
                <w:spacing w:val="2"/>
              </w:rPr>
              <w:t>■</w:t>
            </w:r>
            <w:r>
              <w:rPr>
                <w:rFonts w:ascii="宋体" w:hAnsi="宋体" w:eastAsia="宋体" w:cs="宋体"/>
                <w:color w:val="000000" w:themeColor="text1"/>
                <w:sz w:val="21"/>
                <w:szCs w:val="21"/>
                <w14:textFill>
                  <w14:solidFill>
                    <w14:schemeClr w14:val="tx1"/>
                  </w14:solidFill>
                </w14:textFill>
              </w:rPr>
              <w:t>总价</w:t>
            </w:r>
          </w:p>
          <w:p>
            <w:pPr>
              <w:pStyle w:val="27"/>
              <w:spacing w:before="79"/>
              <w:ind w:left="103"/>
              <w:rPr>
                <w:color w:val="000000" w:themeColor="text1"/>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□单价</w:t>
            </w:r>
          </w:p>
        </w:tc>
      </w:tr>
      <w:tr>
        <w:tblPrEx>
          <w:tblCellMar>
            <w:top w:w="0" w:type="dxa"/>
            <w:left w:w="0" w:type="dxa"/>
            <w:bottom w:w="0" w:type="dxa"/>
            <w:right w:w="0" w:type="dxa"/>
          </w:tblCellMar>
        </w:tblPrEx>
        <w:trPr>
          <w:trHeight w:val="5364" w:hRule="atLeas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6"/>
              <w:ind w:left="196"/>
              <w:rPr>
                <w:rFonts w:ascii="宋体"/>
                <w:color w:val="000000" w:themeColor="text1"/>
                <w:sz w:val="21"/>
                <w14:textFill>
                  <w14:solidFill>
                    <w14:schemeClr w14:val="tx1"/>
                  </w14:solidFill>
                </w14:textFill>
              </w:rPr>
            </w:pPr>
            <w:r>
              <w:rPr>
                <w:rFonts w:ascii="宋体"/>
                <w:color w:val="000000" w:themeColor="text1"/>
                <w:sz w:val="21"/>
                <w14:textFill>
                  <w14:solidFill>
                    <w14:schemeClr w14:val="tx1"/>
                  </w14:solidFill>
                </w14:textFill>
              </w:rPr>
              <w:t>3.2.4</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6" w:line="360" w:lineRule="auto"/>
              <w:ind w:right="1"/>
              <w:jc w:val="center"/>
              <w:rPr>
                <w:rFonts w:ascii="宋体" w:hAnsi="宋体" w:eastAsia="宋体" w:cs="宋体"/>
                <w:color w:val="000000" w:themeColor="text1"/>
                <w:sz w:val="21"/>
                <w:szCs w:val="21"/>
                <w14:textFill>
                  <w14:solidFill>
                    <w14:schemeClr w14:val="tx1"/>
                  </w14:solidFill>
                </w14:textFill>
              </w:rPr>
            </w:pPr>
          </w:p>
          <w:p>
            <w:pPr>
              <w:pStyle w:val="27"/>
              <w:spacing w:before="6" w:line="360" w:lineRule="auto"/>
              <w:ind w:right="1"/>
              <w:jc w:val="center"/>
              <w:rPr>
                <w:rFonts w:ascii="宋体" w:hAnsi="宋体" w:eastAsia="宋体" w:cs="宋体"/>
                <w:color w:val="000000" w:themeColor="text1"/>
                <w:sz w:val="21"/>
                <w:szCs w:val="21"/>
                <w14:textFill>
                  <w14:solidFill>
                    <w14:schemeClr w14:val="tx1"/>
                  </w14:solidFill>
                </w14:textFill>
              </w:rPr>
            </w:pPr>
          </w:p>
          <w:p>
            <w:pPr>
              <w:pStyle w:val="27"/>
              <w:spacing w:before="6" w:line="360" w:lineRule="auto"/>
              <w:ind w:right="1"/>
              <w:jc w:val="center"/>
              <w:rPr>
                <w:rFonts w:ascii="宋体" w:hAnsi="宋体" w:eastAsia="宋体" w:cs="宋体"/>
                <w:color w:val="000000" w:themeColor="text1"/>
                <w:sz w:val="21"/>
                <w:szCs w:val="21"/>
                <w14:textFill>
                  <w14:solidFill>
                    <w14:schemeClr w14:val="tx1"/>
                  </w14:solidFill>
                </w14:textFill>
              </w:rPr>
            </w:pPr>
          </w:p>
          <w:p>
            <w:pPr>
              <w:pStyle w:val="27"/>
              <w:spacing w:before="6" w:line="360" w:lineRule="auto"/>
              <w:ind w:right="1"/>
              <w:jc w:val="center"/>
              <w:rPr>
                <w:rFonts w:ascii="宋体" w:hAnsi="宋体" w:eastAsia="宋体" w:cs="宋体"/>
                <w:color w:val="000000" w:themeColor="text1"/>
                <w:sz w:val="21"/>
                <w:szCs w:val="21"/>
                <w14:textFill>
                  <w14:solidFill>
                    <w14:schemeClr w14:val="tx1"/>
                  </w14:solidFill>
                </w14:textFill>
              </w:rPr>
            </w:pPr>
          </w:p>
          <w:p>
            <w:pPr>
              <w:pStyle w:val="27"/>
              <w:spacing w:before="6" w:line="360" w:lineRule="auto"/>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最高投标限价</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before="6" w:line="360" w:lineRule="auto"/>
              <w:ind w:right="1" w:firstLine="420" w:firstLineChars="20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根据2002年国家发展计划委和建设部颁发的《工程勘察设计取费标准》(计价格[2002] 10号)执行，勘察设计合同价=工程设计费+工程勘察费。</w:t>
            </w:r>
          </w:p>
          <w:p>
            <w:pPr>
              <w:pStyle w:val="27"/>
              <w:spacing w:before="6" w:line="360" w:lineRule="auto"/>
              <w:ind w:right="1" w:firstLine="420" w:firstLineChars="20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本工程勘察设计费招标控制价为</w:t>
            </w:r>
            <w:r>
              <w:rPr>
                <w:rFonts w:hint="eastAsia" w:ascii="宋体" w:hAnsi="宋体" w:eastAsia="宋体" w:cs="宋体"/>
                <w:color w:val="000000" w:themeColor="text1"/>
                <w:sz w:val="21"/>
                <w:szCs w:val="21"/>
                <w:lang w:eastAsia="zh-CN"/>
                <w14:textFill>
                  <w14:solidFill>
                    <w14:schemeClr w14:val="tx1"/>
                  </w14:solidFill>
                </w14:textFill>
              </w:rPr>
              <w:t>144.8464万</w:t>
            </w:r>
            <w:r>
              <w:rPr>
                <w:rFonts w:ascii="宋体" w:hAnsi="宋体" w:eastAsia="宋体" w:cs="宋体"/>
                <w:color w:val="000000" w:themeColor="text1"/>
                <w:sz w:val="21"/>
                <w:szCs w:val="21"/>
                <w:lang w:eastAsia="zh-CN"/>
                <w14:textFill>
                  <w14:solidFill>
                    <w14:schemeClr w14:val="tx1"/>
                  </w14:solidFill>
                </w14:textFill>
              </w:rPr>
              <w:t>元</w:t>
            </w:r>
            <w:r>
              <w:rPr>
                <w:rFonts w:hint="eastAsia" w:ascii="宋体" w:hAnsi="宋体" w:eastAsia="宋体" w:cs="宋体"/>
                <w:color w:val="000000" w:themeColor="text1"/>
                <w:sz w:val="21"/>
                <w:szCs w:val="21"/>
                <w:lang w:eastAsia="zh-CN"/>
                <w14:textFill>
                  <w14:solidFill>
                    <w14:schemeClr w14:val="tx1"/>
                  </w14:solidFill>
                </w14:textFill>
              </w:rPr>
              <w:t>【其中，勘察费（含测量费）为16.108万元，设计费（含预算编制费）为128.7384万元】；</w:t>
            </w:r>
          </w:p>
          <w:p>
            <w:pPr>
              <w:pStyle w:val="27"/>
              <w:spacing w:before="6" w:line="360" w:lineRule="auto"/>
              <w:ind w:right="1" w:firstLine="420" w:firstLineChars="200"/>
              <w:rPr>
                <w:lang w:eastAsia="zh-CN"/>
              </w:rPr>
            </w:pPr>
            <w:r>
              <w:rPr>
                <w:rFonts w:hint="eastAsia" w:ascii="宋体" w:hAnsi="宋体" w:eastAsia="宋体" w:cs="宋体"/>
                <w:color w:val="000000" w:themeColor="text1"/>
                <w:sz w:val="21"/>
                <w:szCs w:val="21"/>
                <w:lang w:eastAsia="zh-CN"/>
                <w14:textFill>
                  <w14:solidFill>
                    <w14:schemeClr w14:val="tx1"/>
                  </w14:solidFill>
                </w14:textFill>
              </w:rPr>
              <w:t>本勘察设计费最高投标限价为115.8771万元(最高投标限价=招标控制价144.8464万元×80%)，其中勘察费12.8864万元，设计费102.9907元。投标人的投标报价超出最高投标限价则作无效投标处理。</w:t>
            </w:r>
          </w:p>
        </w:tc>
      </w:tr>
      <w:tr>
        <w:tblPrEx>
          <w:tblCellMar>
            <w:top w:w="0" w:type="dxa"/>
            <w:left w:w="0" w:type="dxa"/>
            <w:bottom w:w="0" w:type="dxa"/>
            <w:right w:w="0" w:type="dxa"/>
          </w:tblCellMar>
        </w:tblPrEx>
        <w:trPr>
          <w:trHeight w:val="635"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left="196"/>
              <w:rPr>
                <w:rFonts w:ascii="宋体"/>
                <w:color w:val="000000" w:themeColor="text1"/>
                <w:sz w:val="21"/>
                <w14:textFill>
                  <w14:solidFill>
                    <w14:schemeClr w14:val="tx1"/>
                  </w14:solidFill>
                </w14:textFill>
              </w:rPr>
            </w:pPr>
            <w:r>
              <w:rPr>
                <w:rFonts w:ascii="宋体"/>
                <w:color w:val="000000" w:themeColor="text1"/>
                <w:sz w:val="21"/>
                <w14:textFill>
                  <w14:solidFill>
                    <w14:schemeClr w14:val="tx1"/>
                  </w14:solidFill>
                </w14:textFill>
              </w:rPr>
              <w:t>3.2.5</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投标报价的其他要求</w:t>
            </w:r>
          </w:p>
        </w:tc>
        <w:tc>
          <w:tcPr>
            <w:tcW w:w="4800" w:type="dxa"/>
            <w:tcBorders>
              <w:top w:val="single" w:color="010101" w:sz="4" w:space="0"/>
              <w:left w:val="single" w:color="010101" w:sz="4" w:space="0"/>
              <w:bottom w:val="single" w:color="010101" w:sz="4" w:space="0"/>
              <w:right w:val="single" w:color="010101" w:sz="4" w:space="0"/>
            </w:tcBorders>
            <w:vAlign w:val="center"/>
          </w:tcPr>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r>
      <w:tr>
        <w:tblPrEx>
          <w:tblCellMar>
            <w:top w:w="0" w:type="dxa"/>
            <w:left w:w="0" w:type="dxa"/>
            <w:bottom w:w="0" w:type="dxa"/>
            <w:right w:w="0" w:type="dxa"/>
          </w:tblCellMar>
        </w:tblPrEx>
        <w:trPr>
          <w:trHeight w:val="635"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64" w:lineRule="exact"/>
              <w:ind w:left="196"/>
              <w:rPr>
                <w:rFonts w:ascii="宋体"/>
                <w:color w:val="000000" w:themeColor="text1"/>
                <w:sz w:val="21"/>
                <w14:textFill>
                  <w14:solidFill>
                    <w14:schemeClr w14:val="tx1"/>
                  </w14:solidFill>
                </w14:textFill>
              </w:rPr>
            </w:pPr>
            <w:r>
              <w:rPr>
                <w:rFonts w:ascii="宋体"/>
                <w:color w:val="000000" w:themeColor="text1"/>
                <w:sz w:val="21"/>
                <w14:textFill>
                  <w14:solidFill>
                    <w14:schemeClr w14:val="tx1"/>
                  </w14:solidFill>
                </w14:textFill>
              </w:rPr>
              <w:t>3.3.1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64"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投标有效期</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tabs>
                <w:tab w:val="left" w:pos="4093"/>
              </w:tabs>
              <w:spacing w:line="264" w:lineRule="exact"/>
              <w:ind w:left="103"/>
              <w:rPr>
                <w:color w:val="000000" w:themeColor="text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自投标人递交投标文件截止之日起计算</w:t>
            </w:r>
            <w:r>
              <w:rPr>
                <w:rFonts w:hint="eastAsia" w:ascii="Times New Roman" w:hAnsi="Times New Roman" w:eastAsia="宋体"/>
                <w:color w:val="000000" w:themeColor="text1"/>
                <w:sz w:val="21"/>
                <w:szCs w:val="21"/>
                <w:u w:val="single" w:color="010101"/>
                <w:lang w:eastAsia="zh-CN"/>
                <w14:textFill>
                  <w14:solidFill>
                    <w14:schemeClr w14:val="tx1"/>
                  </w14:solidFill>
                </w14:textFill>
              </w:rPr>
              <w:t>90</w:t>
            </w:r>
            <w:r>
              <w:rPr>
                <w:rFonts w:ascii="宋体" w:hAnsi="宋体" w:eastAsia="宋体" w:cs="宋体"/>
                <w:color w:val="000000" w:themeColor="text1"/>
                <w:sz w:val="21"/>
                <w:szCs w:val="21"/>
                <w:lang w:eastAsia="zh-CN"/>
                <w14:textFill>
                  <w14:solidFill>
                    <w14:schemeClr w14:val="tx1"/>
                  </w14:solidFill>
                </w14:textFill>
              </w:rPr>
              <w:t>日</w:t>
            </w:r>
          </w:p>
        </w:tc>
      </w:tr>
    </w:tbl>
    <w:p>
      <w:pPr>
        <w:rPr>
          <w:rFonts w:ascii="宋体" w:hAnsi="宋体" w:eastAsia="宋体" w:cs="宋体"/>
          <w:color w:val="000000" w:themeColor="text1"/>
          <w:sz w:val="18"/>
          <w:szCs w:val="18"/>
          <w:lang w:eastAsia="zh-CN"/>
          <w14:textFill>
            <w14:solidFill>
              <w14:schemeClr w14:val="tx1"/>
            </w14:solidFill>
          </w14:textFill>
        </w:rPr>
      </w:pPr>
    </w:p>
    <w:p>
      <w:pPr>
        <w:spacing w:line="232" w:lineRule="exact"/>
        <w:rPr>
          <w:rFonts w:ascii="宋体" w:hAnsi="宋体" w:eastAsia="宋体" w:cs="宋体"/>
          <w:color w:val="000000" w:themeColor="text1"/>
          <w:sz w:val="18"/>
          <w:szCs w:val="18"/>
          <w:lang w:eastAsia="zh-CN"/>
          <w14:textFill>
            <w14:solidFill>
              <w14:schemeClr w14:val="tx1"/>
            </w14:solidFill>
          </w14:textFill>
        </w:rPr>
        <w:sectPr>
          <w:pgSz w:w="11910" w:h="16840"/>
          <w:pgMar w:top="1240" w:right="1560" w:bottom="1520" w:left="1580" w:header="968" w:footer="1338" w:gutter="0"/>
          <w:cols w:space="720" w:num="1"/>
        </w:sectPr>
      </w:pPr>
    </w:p>
    <w:p>
      <w:pPr>
        <w:rPr>
          <w:rFonts w:ascii="宋体" w:hAnsi="宋体" w:eastAsia="宋体" w:cs="宋体"/>
          <w:color w:val="000000" w:themeColor="text1"/>
          <w:sz w:val="18"/>
          <w:szCs w:val="18"/>
          <w:lang w:eastAsia="zh-CN"/>
          <w14:textFill>
            <w14:solidFill>
              <w14:schemeClr w14:val="tx1"/>
            </w14:solidFill>
          </w14:textFill>
        </w:rPr>
        <w:sectPr>
          <w:footerReference r:id="rId8" w:type="default"/>
          <w:pgSz w:w="11910" w:h="16840"/>
          <w:pgMar w:top="1240" w:right="1560" w:bottom="1520" w:left="1580" w:header="968" w:footer="1338" w:gutter="0"/>
          <w:cols w:space="720" w:num="1"/>
        </w:sectPr>
      </w:pPr>
      <w:r>
        <w:rPr>
          <w:color w:val="000000" w:themeColor="text1"/>
          <w:lang w:eastAsia="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4445</wp:posOffset>
                </wp:positionV>
                <wp:extent cx="5628640" cy="1010920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5628640" cy="10109200"/>
                        </a:xfrm>
                        <a:prstGeom prst="rect">
                          <a:avLst/>
                        </a:prstGeom>
                        <a:noFill/>
                        <a:ln w="9525">
                          <a:noFill/>
                        </a:ln>
                        <a:effectLst/>
                      </wps:spPr>
                      <wps:txbx>
                        <w:txbxContent>
                          <w:tbl>
                            <w:tblPr>
                              <w:tblStyle w:val="23"/>
                              <w:tblW w:w="8508" w:type="dxa"/>
                              <w:tblInd w:w="0" w:type="dxa"/>
                              <w:tblLayout w:type="fixed"/>
                              <w:tblCellMar>
                                <w:top w:w="0" w:type="dxa"/>
                                <w:left w:w="0" w:type="dxa"/>
                                <w:bottom w:w="0" w:type="dxa"/>
                                <w:right w:w="0" w:type="dxa"/>
                              </w:tblCellMar>
                            </w:tblPr>
                            <w:tblGrid>
                              <w:gridCol w:w="930"/>
                              <w:gridCol w:w="2298"/>
                              <w:gridCol w:w="5280"/>
                            </w:tblGrid>
                            <w:tr>
                              <w:tblPrEx>
                                <w:tblCellMar>
                                  <w:top w:w="0" w:type="dxa"/>
                                  <w:left w:w="0" w:type="dxa"/>
                                  <w:bottom w:w="0" w:type="dxa"/>
                                  <w:right w:w="0" w:type="dxa"/>
                                </w:tblCellMar>
                              </w:tblPrEx>
                              <w:trPr>
                                <w:trHeight w:val="373"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left="144"/>
                                    <w:jc w:val="center"/>
                                    <w:rPr>
                                      <w:rFonts w:ascii="宋体" w:hAnsi="宋体" w:eastAsia="宋体" w:cs="宋体"/>
                                      <w:sz w:val="21"/>
                                      <w:szCs w:val="21"/>
                                    </w:rPr>
                                  </w:pPr>
                                  <w:r>
                                    <w:rPr>
                                      <w:rFonts w:ascii="宋体" w:hAnsi="宋体" w:eastAsia="宋体" w:cs="宋体"/>
                                      <w:b/>
                                      <w:bCs/>
                                      <w:sz w:val="21"/>
                                      <w:szCs w:val="21"/>
                                    </w:rPr>
                                    <w:t>条款号</w:t>
                                  </w:r>
                                </w:p>
                              </w:tc>
                              <w:tc>
                                <w:tcPr>
                                  <w:tcW w:w="2298"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2"/>
                                      <w:tab w:val="left" w:pos="844"/>
                                      <w:tab w:val="left" w:pos="1264"/>
                                    </w:tabs>
                                    <w:spacing w:line="240" w:lineRule="exact"/>
                                    <w:ind w:left="1"/>
                                    <w:jc w:val="center"/>
                                    <w:rPr>
                                      <w:rFonts w:ascii="宋体" w:hAnsi="宋体" w:eastAsia="宋体" w:cs="宋体"/>
                                      <w:sz w:val="21"/>
                                      <w:szCs w:val="21"/>
                                    </w:rPr>
                                  </w:pPr>
                                  <w:r>
                                    <w:rPr>
                                      <w:rFonts w:ascii="宋体" w:hAnsi="宋体" w:eastAsia="宋体" w:cs="宋体"/>
                                      <w:b/>
                                      <w:bCs/>
                                      <w:w w:val="95"/>
                                      <w:sz w:val="21"/>
                                      <w:szCs w:val="21"/>
                                    </w:rPr>
                                    <w:t>条</w:t>
                                  </w:r>
                                  <w:r>
                                    <w:rPr>
                                      <w:rFonts w:ascii="宋体" w:hAnsi="宋体" w:eastAsia="宋体" w:cs="宋体"/>
                                      <w:b/>
                                      <w:bCs/>
                                      <w:w w:val="95"/>
                                      <w:sz w:val="21"/>
                                      <w:szCs w:val="21"/>
                                    </w:rPr>
                                    <w:tab/>
                                  </w:r>
                                  <w:r>
                                    <w:rPr>
                                      <w:rFonts w:ascii="宋体" w:hAnsi="宋体" w:eastAsia="宋体" w:cs="宋体"/>
                                      <w:b/>
                                      <w:bCs/>
                                      <w:w w:val="95"/>
                                      <w:sz w:val="21"/>
                                      <w:szCs w:val="21"/>
                                    </w:rPr>
                                    <w:t>款</w:t>
                                  </w:r>
                                  <w:r>
                                    <w:rPr>
                                      <w:rFonts w:ascii="宋体" w:hAnsi="宋体" w:eastAsia="宋体" w:cs="宋体"/>
                                      <w:b/>
                                      <w:bCs/>
                                      <w:w w:val="95"/>
                                      <w:sz w:val="21"/>
                                      <w:szCs w:val="21"/>
                                    </w:rPr>
                                    <w:tab/>
                                  </w:r>
                                  <w:r>
                                    <w:rPr>
                                      <w:rFonts w:ascii="宋体" w:hAnsi="宋体" w:eastAsia="宋体" w:cs="宋体"/>
                                      <w:b/>
                                      <w:bCs/>
                                      <w:w w:val="95"/>
                                      <w:sz w:val="21"/>
                                      <w:szCs w:val="21"/>
                                    </w:rPr>
                                    <w:t>名</w:t>
                                  </w:r>
                                  <w:r>
                                    <w:rPr>
                                      <w:rFonts w:ascii="宋体" w:hAnsi="宋体" w:eastAsia="宋体" w:cs="宋体"/>
                                      <w:b/>
                                      <w:bCs/>
                                      <w:w w:val="95"/>
                                      <w:sz w:val="21"/>
                                      <w:szCs w:val="21"/>
                                    </w:rPr>
                                    <w:tab/>
                                  </w:r>
                                  <w:r>
                                    <w:rPr>
                                      <w:rFonts w:ascii="宋体" w:hAnsi="宋体" w:eastAsia="宋体" w:cs="宋体"/>
                                      <w:b/>
                                      <w:bCs/>
                                      <w:sz w:val="21"/>
                                      <w:szCs w:val="21"/>
                                    </w:rPr>
                                    <w:t>称</w:t>
                                  </w:r>
                                </w:p>
                              </w:tc>
                              <w:tc>
                                <w:tcPr>
                                  <w:tcW w:w="5280"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4"/>
                                      <w:tab w:val="left" w:pos="847"/>
                                      <w:tab w:val="left" w:pos="1268"/>
                                    </w:tabs>
                                    <w:spacing w:line="240" w:lineRule="exact"/>
                                    <w:ind w:left="3"/>
                                    <w:jc w:val="center"/>
                                    <w:rPr>
                                      <w:rFonts w:ascii="宋体" w:hAnsi="宋体" w:eastAsia="宋体" w:cs="宋体"/>
                                      <w:sz w:val="21"/>
                                      <w:szCs w:val="21"/>
                                    </w:rPr>
                                  </w:pPr>
                                  <w:r>
                                    <w:rPr>
                                      <w:rFonts w:ascii="宋体" w:hAnsi="宋体" w:eastAsia="宋体" w:cs="宋体"/>
                                      <w:b/>
                                      <w:bCs/>
                                      <w:w w:val="95"/>
                                      <w:sz w:val="21"/>
                                      <w:szCs w:val="21"/>
                                    </w:rPr>
                                    <w:t>编</w:t>
                                  </w:r>
                                  <w:r>
                                    <w:rPr>
                                      <w:rFonts w:ascii="宋体" w:hAnsi="宋体" w:eastAsia="宋体" w:cs="宋体"/>
                                      <w:b/>
                                      <w:bCs/>
                                      <w:w w:val="95"/>
                                      <w:sz w:val="21"/>
                                      <w:szCs w:val="21"/>
                                    </w:rPr>
                                    <w:tab/>
                                  </w:r>
                                  <w:r>
                                    <w:rPr>
                                      <w:rFonts w:ascii="宋体" w:hAnsi="宋体" w:eastAsia="宋体" w:cs="宋体"/>
                                      <w:b/>
                                      <w:bCs/>
                                      <w:w w:val="95"/>
                                      <w:sz w:val="21"/>
                                      <w:szCs w:val="21"/>
                                    </w:rPr>
                                    <w:t>列</w:t>
                                  </w:r>
                                  <w:r>
                                    <w:rPr>
                                      <w:rFonts w:ascii="宋体" w:hAnsi="宋体" w:eastAsia="宋体" w:cs="宋体"/>
                                      <w:b/>
                                      <w:bCs/>
                                      <w:w w:val="95"/>
                                      <w:sz w:val="21"/>
                                      <w:szCs w:val="21"/>
                                    </w:rPr>
                                    <w:tab/>
                                  </w:r>
                                  <w:r>
                                    <w:rPr>
                                      <w:rFonts w:ascii="宋体" w:hAnsi="宋体" w:eastAsia="宋体" w:cs="宋体"/>
                                      <w:b/>
                                      <w:bCs/>
                                      <w:w w:val="95"/>
                                      <w:sz w:val="21"/>
                                      <w:szCs w:val="21"/>
                                    </w:rPr>
                                    <w:t>内</w:t>
                                  </w:r>
                                  <w:r>
                                    <w:rPr>
                                      <w:rFonts w:ascii="宋体" w:hAnsi="宋体" w:eastAsia="宋体" w:cs="宋体"/>
                                      <w:b/>
                                      <w:bCs/>
                                      <w:w w:val="95"/>
                                      <w:sz w:val="21"/>
                                      <w:szCs w:val="21"/>
                                    </w:rPr>
                                    <w:tab/>
                                  </w:r>
                                  <w:r>
                                    <w:rPr>
                                      <w:rFonts w:ascii="宋体" w:hAnsi="宋体" w:eastAsia="宋体" w:cs="宋体"/>
                                      <w:b/>
                                      <w:bCs/>
                                      <w:sz w:val="21"/>
                                      <w:szCs w:val="21"/>
                                    </w:rPr>
                                    <w:t>容</w:t>
                                  </w:r>
                                </w:p>
                              </w:tc>
                            </w:tr>
                            <w:tr>
                              <w:tblPrEx>
                                <w:tblCellMar>
                                  <w:top w:w="0" w:type="dxa"/>
                                  <w:left w:w="0" w:type="dxa"/>
                                  <w:bottom w:w="0" w:type="dxa"/>
                                  <w:right w:w="0" w:type="dxa"/>
                                </w:tblCellMar>
                              </w:tblPrEx>
                              <w:trPr>
                                <w:trHeight w:val="13942"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95"/>
                                    <w:ind w:left="196"/>
                                    <w:rPr>
                                      <w:rFonts w:ascii="宋体" w:hAnsi="宋体" w:eastAsia="宋体" w:cs="宋体"/>
                                      <w:sz w:val="21"/>
                                      <w:szCs w:val="21"/>
                                    </w:rPr>
                                  </w:pPr>
                                  <w:r>
                                    <w:rPr>
                                      <w:rFonts w:ascii="宋体"/>
                                      <w:sz w:val="21"/>
                                    </w:rPr>
                                    <w:t>3.4.1</w:t>
                                  </w:r>
                                </w:p>
                              </w:tc>
                              <w:tc>
                                <w:tcPr>
                                  <w:tcW w:w="2298" w:type="dxa"/>
                                  <w:tcBorders>
                                    <w:top w:val="single" w:color="010101" w:sz="4" w:space="0"/>
                                    <w:left w:val="single" w:color="010101" w:sz="4" w:space="0"/>
                                    <w:right w:val="single" w:color="010101" w:sz="4" w:space="0"/>
                                  </w:tcBorders>
                                  <w:vAlign w:val="center"/>
                                </w:tcPr>
                                <w:p>
                                  <w:pPr>
                                    <w:pStyle w:val="27"/>
                                    <w:spacing w:before="95"/>
                                    <w:jc w:val="center"/>
                                    <w:rPr>
                                      <w:rFonts w:ascii="宋体" w:hAnsi="宋体" w:eastAsia="宋体" w:cs="宋体"/>
                                      <w:sz w:val="21"/>
                                      <w:szCs w:val="21"/>
                                    </w:rPr>
                                  </w:pPr>
                                  <w:r>
                                    <w:rPr>
                                      <w:rFonts w:ascii="宋体" w:hAnsi="宋体" w:eastAsia="宋体" w:cs="宋体"/>
                                      <w:sz w:val="21"/>
                                      <w:szCs w:val="21"/>
                                    </w:rPr>
                                    <w:t>投标保证金</w:t>
                                  </w:r>
                                </w:p>
                              </w:tc>
                              <w:tc>
                                <w:tcPr>
                                  <w:tcW w:w="5280" w:type="dxa"/>
                                  <w:tcBorders>
                                    <w:top w:val="single" w:color="010101" w:sz="4" w:space="0"/>
                                    <w:left w:val="single" w:color="010101" w:sz="4" w:space="0"/>
                                    <w:right w:val="single" w:color="010101" w:sz="4" w:space="0"/>
                                  </w:tcBorders>
                                  <w:vAlign w:val="center"/>
                                </w:tcPr>
                                <w:p>
                                  <w:pPr>
                                    <w:spacing w:before="29"/>
                                    <w:ind w:left="114" w:right="107" w:firstLine="1"/>
                                    <w:rPr>
                                      <w:rFonts w:ascii="宋体" w:hAnsi="宋体" w:cs="宋体"/>
                                      <w:lang w:eastAsia="zh-CN"/>
                                    </w:rPr>
                                  </w:pPr>
                                  <w:r>
                                    <w:rPr>
                                      <w:rFonts w:ascii="宋体" w:hAnsi="宋体" w:cs="宋体"/>
                                      <w:spacing w:val="6"/>
                                      <w:lang w:eastAsia="zh-CN"/>
                                    </w:rPr>
                                    <w:t>投标保</w:t>
                                  </w:r>
                                  <w:r>
                                    <w:rPr>
                                      <w:rFonts w:ascii="宋体" w:hAnsi="宋体" w:cs="宋体"/>
                                      <w:spacing w:val="4"/>
                                      <w:lang w:eastAsia="zh-CN"/>
                                    </w:rPr>
                                    <w:t>证</w:t>
                                  </w:r>
                                  <w:r>
                                    <w:rPr>
                                      <w:rFonts w:ascii="宋体" w:hAnsi="宋体" w:cs="宋体"/>
                                      <w:spacing w:val="3"/>
                                      <w:lang w:eastAsia="zh-CN"/>
                                    </w:rPr>
                                    <w:t>金的形式： ■转账 (不接受现金交纳) ■银行</w:t>
                                  </w:r>
                                  <w:r>
                                    <w:rPr>
                                      <w:rFonts w:ascii="宋体" w:hAnsi="宋体" w:cs="宋体"/>
                                      <w:spacing w:val="9"/>
                                      <w:lang w:eastAsia="zh-CN"/>
                                    </w:rPr>
                                    <w:t xml:space="preserve">保函 ■保证保险 </w:t>
                                  </w:r>
                                </w:p>
                                <w:p>
                                  <w:pPr>
                                    <w:spacing w:before="1"/>
                                    <w:ind w:left="114"/>
                                    <w:rPr>
                                      <w:rFonts w:ascii="宋体" w:hAnsi="宋体" w:cs="宋体"/>
                                      <w:lang w:eastAsia="zh-CN"/>
                                    </w:rPr>
                                  </w:pPr>
                                  <w:r>
                                    <w:rPr>
                                      <w:rFonts w:ascii="宋体" w:hAnsi="宋体" w:cs="宋体"/>
                                      <w:spacing w:val="6"/>
                                      <w:lang w:eastAsia="zh-CN"/>
                                    </w:rPr>
                                    <w:t>本招</w:t>
                                  </w:r>
                                  <w:r>
                                    <w:rPr>
                                      <w:rFonts w:ascii="宋体" w:hAnsi="宋体" w:cs="宋体"/>
                                      <w:spacing w:val="4"/>
                                      <w:lang w:eastAsia="zh-CN"/>
                                    </w:rPr>
                                    <w:t>标</w:t>
                                  </w:r>
                                  <w:r>
                                    <w:rPr>
                                      <w:rFonts w:ascii="宋体" w:hAnsi="宋体" w:cs="宋体"/>
                                      <w:spacing w:val="3"/>
                                      <w:lang w:eastAsia="zh-CN"/>
                                    </w:rPr>
                                    <w:t>项目的投标保证金金额为</w:t>
                                  </w:r>
                                  <w:r>
                                    <w:rPr>
                                      <w:rFonts w:hint="eastAsia" w:ascii="宋体" w:hAnsi="宋体" w:eastAsia="宋体" w:cs="宋体"/>
                                      <w:spacing w:val="3"/>
                                      <w:lang w:eastAsia="zh-CN"/>
                                    </w:rPr>
                                    <w:t>2</w:t>
                                  </w:r>
                                  <w:r>
                                    <w:rPr>
                                      <w:rFonts w:hint="eastAsia" w:ascii="宋体" w:hAnsi="宋体" w:cs="宋体"/>
                                      <w:spacing w:val="3"/>
                                      <w:lang w:eastAsia="zh-CN"/>
                                    </w:rPr>
                                    <w:t>.0</w:t>
                                  </w:r>
                                  <w:r>
                                    <w:rPr>
                                      <w:rFonts w:ascii="宋体" w:hAnsi="宋体" w:cs="宋体"/>
                                      <w:spacing w:val="3"/>
                                      <w:lang w:eastAsia="zh-CN"/>
                                    </w:rPr>
                                    <w:t>万元人民币。</w:t>
                                  </w:r>
                                </w:p>
                                <w:p>
                                  <w:pPr>
                                    <w:spacing w:before="193"/>
                                    <w:ind w:left="113"/>
                                    <w:rPr>
                                      <w:rFonts w:ascii="宋体" w:hAnsi="宋体" w:cs="宋体"/>
                                      <w:spacing w:val="6"/>
                                      <w:lang w:eastAsia="zh-CN"/>
                                    </w:rPr>
                                  </w:pPr>
                                  <w:r>
                                    <w:rPr>
                                      <w:rFonts w:hint="eastAsia" w:ascii="宋体" w:hAnsi="宋体" w:cs="宋体"/>
                                      <w:spacing w:val="6"/>
                                      <w:lang w:eastAsia="zh-CN"/>
                                    </w:rPr>
                                    <w:t xml:space="preserve">一、采用转账形式 </w:t>
                                  </w:r>
                                </w:p>
                                <w:p>
                                  <w:pPr>
                                    <w:spacing w:before="193"/>
                                    <w:rPr>
                                      <w:rFonts w:ascii="宋体" w:hAnsi="宋体" w:cs="宋体"/>
                                      <w:spacing w:val="6"/>
                                      <w:lang w:eastAsia="zh-CN"/>
                                    </w:rPr>
                                  </w:pPr>
                                  <w:r>
                                    <w:rPr>
                                      <w:rFonts w:hint="eastAsia" w:ascii="宋体" w:hAnsi="宋体" w:cs="宋体"/>
                                      <w:spacing w:val="6"/>
                                      <w:lang w:eastAsia="zh-CN"/>
                                    </w:rPr>
                                    <w:t>投标人应登录广州公共资源交易中心网（http://www.gzggzy.cn/），在该项目截标时间前，将其投标保证金从本企业银行基本账户转入广州公共资源交易中心保证金专户，缴纳保证金具体要求详见广州公共资源交易中心通知公告栏“广州公共资源交易中心关于投标项目保证金操作指引的说明”或向广州公共资源交易中心咨询。</w:t>
                                  </w:r>
                                </w:p>
                                <w:p>
                                  <w:pPr>
                                    <w:spacing w:before="193"/>
                                    <w:ind w:left="113"/>
                                    <w:rPr>
                                      <w:rFonts w:ascii="宋体" w:hAnsi="宋体" w:cs="宋体"/>
                                      <w:spacing w:val="6"/>
                                      <w:lang w:eastAsia="zh-CN"/>
                                    </w:rPr>
                                  </w:pPr>
                                  <w:r>
                                    <w:rPr>
                                      <w:rFonts w:hint="eastAsia" w:ascii="宋体" w:hAnsi="宋体" w:cs="宋体"/>
                                      <w:spacing w:val="6"/>
                                      <w:lang w:eastAsia="zh-CN"/>
                                    </w:rPr>
                                    <w:t xml:space="preserve">账户名称：广州交易集团有限公司 </w:t>
                                  </w:r>
                                </w:p>
                                <w:p>
                                  <w:pPr>
                                    <w:spacing w:before="193"/>
                                    <w:ind w:left="113"/>
                                    <w:rPr>
                                      <w:rFonts w:ascii="宋体" w:hAnsi="宋体" w:cs="宋体"/>
                                      <w:spacing w:val="6"/>
                                      <w:lang w:eastAsia="zh-CN"/>
                                    </w:rPr>
                                  </w:pPr>
                                  <w:r>
                                    <w:rPr>
                                      <w:rFonts w:hint="eastAsia" w:ascii="宋体" w:hAnsi="宋体" w:cs="宋体"/>
                                      <w:spacing w:val="6"/>
                                      <w:lang w:eastAsia="zh-CN"/>
                                    </w:rPr>
                                    <w:t xml:space="preserve">开户银行：中国建设银行广州天润路支行 </w:t>
                                  </w:r>
                                </w:p>
                                <w:p>
                                  <w:pPr>
                                    <w:spacing w:before="193"/>
                                    <w:ind w:left="113"/>
                                    <w:rPr>
                                      <w:rFonts w:ascii="宋体" w:hAnsi="宋体" w:cs="宋体"/>
                                      <w:spacing w:val="6"/>
                                      <w:lang w:eastAsia="zh-CN"/>
                                    </w:rPr>
                                  </w:pPr>
                                  <w:r>
                                    <w:rPr>
                                      <w:rFonts w:hint="eastAsia" w:ascii="宋体" w:hAnsi="宋体" w:cs="宋体"/>
                                      <w:spacing w:val="6"/>
                                      <w:lang w:eastAsia="zh-CN"/>
                                    </w:rPr>
                                    <w:t xml:space="preserve">银行账号：44001583404059333333 </w:t>
                                  </w:r>
                                </w:p>
                                <w:p>
                                  <w:pPr>
                                    <w:spacing w:before="193"/>
                                    <w:ind w:left="113"/>
                                    <w:rPr>
                                      <w:rFonts w:ascii="宋体" w:hAnsi="宋体" w:cs="宋体"/>
                                      <w:spacing w:val="6"/>
                                      <w:lang w:eastAsia="zh-CN"/>
                                    </w:rPr>
                                  </w:pPr>
                                  <w:r>
                                    <w:rPr>
                                      <w:rFonts w:hint="eastAsia" w:ascii="宋体" w:hAnsi="宋体" w:cs="宋体"/>
                                      <w:spacing w:val="6"/>
                                      <w:lang w:eastAsia="zh-CN"/>
                                    </w:rPr>
                                    <w:t xml:space="preserve">财务负责人联系方式：020-28866000-4-0 </w:t>
                                  </w:r>
                                </w:p>
                                <w:p>
                                  <w:pPr>
                                    <w:spacing w:before="193"/>
                                    <w:ind w:left="113"/>
                                    <w:rPr>
                                      <w:rFonts w:ascii="宋体" w:hAnsi="宋体" w:cs="宋体"/>
                                      <w:spacing w:val="6"/>
                                      <w:lang w:eastAsia="zh-CN"/>
                                    </w:rPr>
                                  </w:pPr>
                                  <w:r>
                                    <w:rPr>
                                      <w:rFonts w:hint="eastAsia" w:ascii="宋体" w:hAnsi="宋体" w:cs="宋体"/>
                                      <w:spacing w:val="6"/>
                                      <w:lang w:eastAsia="zh-CN"/>
                                    </w:rPr>
                                    <w:t xml:space="preserve">二、采用银行保函或保证保险保函方式 </w:t>
                                  </w:r>
                                </w:p>
                                <w:p>
                                  <w:pPr>
                                    <w:spacing w:before="193"/>
                                    <w:ind w:left="113"/>
                                    <w:rPr>
                                      <w:rFonts w:ascii="宋体" w:hAnsi="宋体" w:cs="宋体"/>
                                      <w:spacing w:val="6"/>
                                      <w:lang w:eastAsia="zh-CN"/>
                                    </w:rPr>
                                  </w:pPr>
                                  <w:r>
                                    <w:rPr>
                                      <w:rFonts w:hint="eastAsia" w:ascii="宋体" w:hAnsi="宋体" w:cs="宋体"/>
                                      <w:spacing w:val="6"/>
                                      <w:lang w:eastAsia="zh-CN"/>
                                    </w:rPr>
                                    <w:t xml:space="preserve">采用银行保函或保证保险方式的，投标人应在开标会现场提交本项目投标保函（保单）原件及由本企业基本账户转出资金购买本保函（保单）的缴费凭证。银行保函或保证保险的原件应在递交投标文件时单独另行提交（不需密封）。 </w:t>
                                  </w:r>
                                </w:p>
                                <w:p>
                                  <w:pPr>
                                    <w:spacing w:before="193"/>
                                    <w:ind w:left="113"/>
                                    <w:rPr>
                                      <w:rFonts w:ascii="宋体" w:hAnsi="宋体" w:cs="宋体"/>
                                      <w:spacing w:val="6"/>
                                      <w:lang w:eastAsia="zh-CN"/>
                                    </w:rPr>
                                  </w:pPr>
                                  <w:r>
                                    <w:rPr>
                                      <w:rFonts w:hint="eastAsia" w:ascii="宋体" w:hAnsi="宋体" w:cs="宋体"/>
                                      <w:spacing w:val="6"/>
                                      <w:lang w:eastAsia="zh-CN"/>
                                    </w:rPr>
                                    <w:t xml:space="preserve">三、在开标会现场，投标人须单独提交其已加盖本企业公章的本企业基本账户开户许可证复印件（或已加盖本企业公章的本企业基本存款账户信息证明材料，下同）。（经现场确认，投标人有下列情形之一，一律按照未能提交投标保证金处理，视为投标人自动放弃投标资格：（1）投标人不能在开标会现场单独提交其已加盖本企业公章的本企业基本账户开户许可证复印件的；（2）投标人的投标保证金不是从本企业银行基本账户转入，而是从本企业非银行基本账户或其分支机构或其他单位银行账户转入的；（3）投标人未按照招标文件指定的账户转入本项目的投标保证金的；（4）投标人未按照招标文件规定的金额或时间转入本项目的投标保证金的。） </w:t>
                                  </w:r>
                                </w:p>
                                <w:p>
                                  <w:pPr>
                                    <w:spacing w:before="193"/>
                                    <w:ind w:left="113"/>
                                    <w:rPr>
                                      <w:rFonts w:ascii="宋体" w:hAnsi="宋体" w:cs="宋体"/>
                                      <w:spacing w:val="6"/>
                                      <w:lang w:eastAsia="zh-CN"/>
                                    </w:rPr>
                                  </w:pPr>
                                  <w:r>
                                    <w:rPr>
                                      <w:rFonts w:hint="eastAsia" w:ascii="宋体" w:hAnsi="宋体" w:cs="宋体"/>
                                      <w:spacing w:val="6"/>
                                      <w:lang w:eastAsia="zh-CN"/>
                                    </w:rPr>
                                    <w:t>注：1、本招标项目投标保证金提交情况以系统平台显示的投标保证金信息为准。</w:t>
                                  </w:r>
                                </w:p>
                                <w:p>
                                  <w:pPr>
                                    <w:rPr>
                                      <w:rFonts w:ascii="宋体" w:hAnsi="宋体" w:eastAsia="宋体" w:cs="宋体"/>
                                      <w:sz w:val="21"/>
                                      <w:szCs w:val="21"/>
                                      <w:lang w:eastAsia="zh-CN"/>
                                    </w:rPr>
                                  </w:pPr>
                                  <w:r>
                                    <w:rPr>
                                      <w:rFonts w:hint="eastAsia" w:ascii="宋体" w:hAnsi="宋体" w:cs="宋体"/>
                                      <w:b/>
                                      <w:bCs/>
                                      <w:spacing w:val="6"/>
                                      <w:lang w:eastAsia="zh-CN"/>
                                    </w:rPr>
                                    <w:t>（友好提醒：因与银行系统对接会需要一定时间，请投标人自行考虑其所需时间，尽早完成缴纳投标保证金的手续，耽误投标保证金到账时间，其后果由投标人承担。</w:t>
                                  </w:r>
                                  <w:r>
                                    <w:rPr>
                                      <w:rFonts w:hint="eastAsia" w:ascii="宋体" w:hAnsi="宋体" w:cs="宋体"/>
                                      <w:b/>
                                      <w:bCs/>
                                      <w:spacing w:val="6"/>
                                    </w:rPr>
                                    <w:t>）</w:t>
                                  </w:r>
                                </w:p>
                              </w:tc>
                            </w:tr>
                          </w:tbl>
                          <w:p>
                            <w:pPr>
                              <w:rPr>
                                <w:lang w:eastAsia="zh-CN"/>
                              </w:rPr>
                            </w:pPr>
                          </w:p>
                        </w:txbxContent>
                      </wps:txbx>
                      <wps:bodyPr lIns="0" tIns="0" rIns="0" bIns="0" upright="1"/>
                    </wps:wsp>
                  </a:graphicData>
                </a:graphic>
              </wp:anchor>
            </w:drawing>
          </mc:Choice>
          <mc:Fallback>
            <w:pict>
              <v:shape id="文本框 2" o:spid="_x0000_s1026" o:spt="202" type="#_x0000_t202" style="position:absolute;left:0pt;margin-left:0.35pt;margin-top:0.35pt;height:796pt;width:443.2pt;z-index:251660288;mso-width-relative:page;mso-height-relative:page;" filled="f" stroked="f" coordsize="21600,21600" o:gfxdata="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HivZNUAAAAGAQAADwAAAAAAAAABACAAAAAiAAAAZHJzL2Rvd25y&#10;ZXYueG1sUEsBAhQAFAAAAAgAh07iQBZVLSLIAQAAjAMAAA4AAAAAAAAAAQAgAAAAJAEAAGRycy9l&#10;Mm9Eb2MueG1sUEsFBgAAAAAGAAYAWQEAAF4FAAAAAA==&#10;">
                <v:fill on="f" focussize="0,0"/>
                <v:stroke on="f"/>
                <v:imagedata o:title=""/>
                <o:lock v:ext="edit" aspectratio="f"/>
                <v:textbox inset="0mm,0mm,0mm,0mm">
                  <w:txbxContent>
                    <w:tbl>
                      <w:tblPr>
                        <w:tblStyle w:val="23"/>
                        <w:tblW w:w="8508" w:type="dxa"/>
                        <w:tblInd w:w="0" w:type="dxa"/>
                        <w:tblLayout w:type="fixed"/>
                        <w:tblCellMar>
                          <w:top w:w="0" w:type="dxa"/>
                          <w:left w:w="0" w:type="dxa"/>
                          <w:bottom w:w="0" w:type="dxa"/>
                          <w:right w:w="0" w:type="dxa"/>
                        </w:tblCellMar>
                      </w:tblPr>
                      <w:tblGrid>
                        <w:gridCol w:w="930"/>
                        <w:gridCol w:w="2298"/>
                        <w:gridCol w:w="5280"/>
                      </w:tblGrid>
                      <w:tr>
                        <w:tblPrEx>
                          <w:tblCellMar>
                            <w:top w:w="0" w:type="dxa"/>
                            <w:left w:w="0" w:type="dxa"/>
                            <w:bottom w:w="0" w:type="dxa"/>
                            <w:right w:w="0" w:type="dxa"/>
                          </w:tblCellMar>
                        </w:tblPrEx>
                        <w:trPr>
                          <w:trHeight w:val="373"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left="144"/>
                              <w:jc w:val="center"/>
                              <w:rPr>
                                <w:rFonts w:ascii="宋体" w:hAnsi="宋体" w:eastAsia="宋体" w:cs="宋体"/>
                                <w:sz w:val="21"/>
                                <w:szCs w:val="21"/>
                              </w:rPr>
                            </w:pPr>
                            <w:r>
                              <w:rPr>
                                <w:rFonts w:ascii="宋体" w:hAnsi="宋体" w:eastAsia="宋体" w:cs="宋体"/>
                                <w:b/>
                                <w:bCs/>
                                <w:sz w:val="21"/>
                                <w:szCs w:val="21"/>
                              </w:rPr>
                              <w:t>条款号</w:t>
                            </w:r>
                          </w:p>
                        </w:tc>
                        <w:tc>
                          <w:tcPr>
                            <w:tcW w:w="2298"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2"/>
                                <w:tab w:val="left" w:pos="844"/>
                                <w:tab w:val="left" w:pos="1264"/>
                              </w:tabs>
                              <w:spacing w:line="240" w:lineRule="exact"/>
                              <w:ind w:left="1"/>
                              <w:jc w:val="center"/>
                              <w:rPr>
                                <w:rFonts w:ascii="宋体" w:hAnsi="宋体" w:eastAsia="宋体" w:cs="宋体"/>
                                <w:sz w:val="21"/>
                                <w:szCs w:val="21"/>
                              </w:rPr>
                            </w:pPr>
                            <w:r>
                              <w:rPr>
                                <w:rFonts w:ascii="宋体" w:hAnsi="宋体" w:eastAsia="宋体" w:cs="宋体"/>
                                <w:b/>
                                <w:bCs/>
                                <w:w w:val="95"/>
                                <w:sz w:val="21"/>
                                <w:szCs w:val="21"/>
                              </w:rPr>
                              <w:t>条</w:t>
                            </w:r>
                            <w:r>
                              <w:rPr>
                                <w:rFonts w:ascii="宋体" w:hAnsi="宋体" w:eastAsia="宋体" w:cs="宋体"/>
                                <w:b/>
                                <w:bCs/>
                                <w:w w:val="95"/>
                                <w:sz w:val="21"/>
                                <w:szCs w:val="21"/>
                              </w:rPr>
                              <w:tab/>
                            </w:r>
                            <w:r>
                              <w:rPr>
                                <w:rFonts w:ascii="宋体" w:hAnsi="宋体" w:eastAsia="宋体" w:cs="宋体"/>
                                <w:b/>
                                <w:bCs/>
                                <w:w w:val="95"/>
                                <w:sz w:val="21"/>
                                <w:szCs w:val="21"/>
                              </w:rPr>
                              <w:t>款</w:t>
                            </w:r>
                            <w:r>
                              <w:rPr>
                                <w:rFonts w:ascii="宋体" w:hAnsi="宋体" w:eastAsia="宋体" w:cs="宋体"/>
                                <w:b/>
                                <w:bCs/>
                                <w:w w:val="95"/>
                                <w:sz w:val="21"/>
                                <w:szCs w:val="21"/>
                              </w:rPr>
                              <w:tab/>
                            </w:r>
                            <w:r>
                              <w:rPr>
                                <w:rFonts w:ascii="宋体" w:hAnsi="宋体" w:eastAsia="宋体" w:cs="宋体"/>
                                <w:b/>
                                <w:bCs/>
                                <w:w w:val="95"/>
                                <w:sz w:val="21"/>
                                <w:szCs w:val="21"/>
                              </w:rPr>
                              <w:t>名</w:t>
                            </w:r>
                            <w:r>
                              <w:rPr>
                                <w:rFonts w:ascii="宋体" w:hAnsi="宋体" w:eastAsia="宋体" w:cs="宋体"/>
                                <w:b/>
                                <w:bCs/>
                                <w:w w:val="95"/>
                                <w:sz w:val="21"/>
                                <w:szCs w:val="21"/>
                              </w:rPr>
                              <w:tab/>
                            </w:r>
                            <w:r>
                              <w:rPr>
                                <w:rFonts w:ascii="宋体" w:hAnsi="宋体" w:eastAsia="宋体" w:cs="宋体"/>
                                <w:b/>
                                <w:bCs/>
                                <w:sz w:val="21"/>
                                <w:szCs w:val="21"/>
                              </w:rPr>
                              <w:t>称</w:t>
                            </w:r>
                          </w:p>
                        </w:tc>
                        <w:tc>
                          <w:tcPr>
                            <w:tcW w:w="5280"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4"/>
                                <w:tab w:val="left" w:pos="847"/>
                                <w:tab w:val="left" w:pos="1268"/>
                              </w:tabs>
                              <w:spacing w:line="240" w:lineRule="exact"/>
                              <w:ind w:left="3"/>
                              <w:jc w:val="center"/>
                              <w:rPr>
                                <w:rFonts w:ascii="宋体" w:hAnsi="宋体" w:eastAsia="宋体" w:cs="宋体"/>
                                <w:sz w:val="21"/>
                                <w:szCs w:val="21"/>
                              </w:rPr>
                            </w:pPr>
                            <w:r>
                              <w:rPr>
                                <w:rFonts w:ascii="宋体" w:hAnsi="宋体" w:eastAsia="宋体" w:cs="宋体"/>
                                <w:b/>
                                <w:bCs/>
                                <w:w w:val="95"/>
                                <w:sz w:val="21"/>
                                <w:szCs w:val="21"/>
                              </w:rPr>
                              <w:t>编</w:t>
                            </w:r>
                            <w:r>
                              <w:rPr>
                                <w:rFonts w:ascii="宋体" w:hAnsi="宋体" w:eastAsia="宋体" w:cs="宋体"/>
                                <w:b/>
                                <w:bCs/>
                                <w:w w:val="95"/>
                                <w:sz w:val="21"/>
                                <w:szCs w:val="21"/>
                              </w:rPr>
                              <w:tab/>
                            </w:r>
                            <w:r>
                              <w:rPr>
                                <w:rFonts w:ascii="宋体" w:hAnsi="宋体" w:eastAsia="宋体" w:cs="宋体"/>
                                <w:b/>
                                <w:bCs/>
                                <w:w w:val="95"/>
                                <w:sz w:val="21"/>
                                <w:szCs w:val="21"/>
                              </w:rPr>
                              <w:t>列</w:t>
                            </w:r>
                            <w:r>
                              <w:rPr>
                                <w:rFonts w:ascii="宋体" w:hAnsi="宋体" w:eastAsia="宋体" w:cs="宋体"/>
                                <w:b/>
                                <w:bCs/>
                                <w:w w:val="95"/>
                                <w:sz w:val="21"/>
                                <w:szCs w:val="21"/>
                              </w:rPr>
                              <w:tab/>
                            </w:r>
                            <w:r>
                              <w:rPr>
                                <w:rFonts w:ascii="宋体" w:hAnsi="宋体" w:eastAsia="宋体" w:cs="宋体"/>
                                <w:b/>
                                <w:bCs/>
                                <w:w w:val="95"/>
                                <w:sz w:val="21"/>
                                <w:szCs w:val="21"/>
                              </w:rPr>
                              <w:t>内</w:t>
                            </w:r>
                            <w:r>
                              <w:rPr>
                                <w:rFonts w:ascii="宋体" w:hAnsi="宋体" w:eastAsia="宋体" w:cs="宋体"/>
                                <w:b/>
                                <w:bCs/>
                                <w:w w:val="95"/>
                                <w:sz w:val="21"/>
                                <w:szCs w:val="21"/>
                              </w:rPr>
                              <w:tab/>
                            </w:r>
                            <w:r>
                              <w:rPr>
                                <w:rFonts w:ascii="宋体" w:hAnsi="宋体" w:eastAsia="宋体" w:cs="宋体"/>
                                <w:b/>
                                <w:bCs/>
                                <w:sz w:val="21"/>
                                <w:szCs w:val="21"/>
                              </w:rPr>
                              <w:t>容</w:t>
                            </w:r>
                          </w:p>
                        </w:tc>
                      </w:tr>
                      <w:tr>
                        <w:tblPrEx>
                          <w:tblCellMar>
                            <w:top w:w="0" w:type="dxa"/>
                            <w:left w:w="0" w:type="dxa"/>
                            <w:bottom w:w="0" w:type="dxa"/>
                            <w:right w:w="0" w:type="dxa"/>
                          </w:tblCellMar>
                        </w:tblPrEx>
                        <w:trPr>
                          <w:trHeight w:val="13942"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95"/>
                              <w:ind w:left="196"/>
                              <w:rPr>
                                <w:rFonts w:ascii="宋体" w:hAnsi="宋体" w:eastAsia="宋体" w:cs="宋体"/>
                                <w:sz w:val="21"/>
                                <w:szCs w:val="21"/>
                              </w:rPr>
                            </w:pPr>
                            <w:r>
                              <w:rPr>
                                <w:rFonts w:ascii="宋体"/>
                                <w:sz w:val="21"/>
                              </w:rPr>
                              <w:t>3.4.1</w:t>
                            </w:r>
                          </w:p>
                        </w:tc>
                        <w:tc>
                          <w:tcPr>
                            <w:tcW w:w="2298" w:type="dxa"/>
                            <w:tcBorders>
                              <w:top w:val="single" w:color="010101" w:sz="4" w:space="0"/>
                              <w:left w:val="single" w:color="010101" w:sz="4" w:space="0"/>
                              <w:right w:val="single" w:color="010101" w:sz="4" w:space="0"/>
                            </w:tcBorders>
                            <w:vAlign w:val="center"/>
                          </w:tcPr>
                          <w:p>
                            <w:pPr>
                              <w:pStyle w:val="27"/>
                              <w:spacing w:before="95"/>
                              <w:jc w:val="center"/>
                              <w:rPr>
                                <w:rFonts w:ascii="宋体" w:hAnsi="宋体" w:eastAsia="宋体" w:cs="宋体"/>
                                <w:sz w:val="21"/>
                                <w:szCs w:val="21"/>
                              </w:rPr>
                            </w:pPr>
                            <w:r>
                              <w:rPr>
                                <w:rFonts w:ascii="宋体" w:hAnsi="宋体" w:eastAsia="宋体" w:cs="宋体"/>
                                <w:sz w:val="21"/>
                                <w:szCs w:val="21"/>
                              </w:rPr>
                              <w:t>投标保证金</w:t>
                            </w:r>
                          </w:p>
                        </w:tc>
                        <w:tc>
                          <w:tcPr>
                            <w:tcW w:w="5280" w:type="dxa"/>
                            <w:tcBorders>
                              <w:top w:val="single" w:color="010101" w:sz="4" w:space="0"/>
                              <w:left w:val="single" w:color="010101" w:sz="4" w:space="0"/>
                              <w:right w:val="single" w:color="010101" w:sz="4" w:space="0"/>
                            </w:tcBorders>
                            <w:vAlign w:val="center"/>
                          </w:tcPr>
                          <w:p>
                            <w:pPr>
                              <w:spacing w:before="29"/>
                              <w:ind w:left="114" w:right="107" w:firstLine="1"/>
                              <w:rPr>
                                <w:rFonts w:ascii="宋体" w:hAnsi="宋体" w:cs="宋体"/>
                                <w:lang w:eastAsia="zh-CN"/>
                              </w:rPr>
                            </w:pPr>
                            <w:r>
                              <w:rPr>
                                <w:rFonts w:ascii="宋体" w:hAnsi="宋体" w:cs="宋体"/>
                                <w:spacing w:val="6"/>
                                <w:lang w:eastAsia="zh-CN"/>
                              </w:rPr>
                              <w:t>投标保</w:t>
                            </w:r>
                            <w:r>
                              <w:rPr>
                                <w:rFonts w:ascii="宋体" w:hAnsi="宋体" w:cs="宋体"/>
                                <w:spacing w:val="4"/>
                                <w:lang w:eastAsia="zh-CN"/>
                              </w:rPr>
                              <w:t>证</w:t>
                            </w:r>
                            <w:r>
                              <w:rPr>
                                <w:rFonts w:ascii="宋体" w:hAnsi="宋体" w:cs="宋体"/>
                                <w:spacing w:val="3"/>
                                <w:lang w:eastAsia="zh-CN"/>
                              </w:rPr>
                              <w:t>金的形式： ■转账 (不接受现金交纳) ■银行</w:t>
                            </w:r>
                            <w:r>
                              <w:rPr>
                                <w:rFonts w:ascii="宋体" w:hAnsi="宋体" w:cs="宋体"/>
                                <w:spacing w:val="9"/>
                                <w:lang w:eastAsia="zh-CN"/>
                              </w:rPr>
                              <w:t xml:space="preserve">保函 ■保证保险 </w:t>
                            </w:r>
                          </w:p>
                          <w:p>
                            <w:pPr>
                              <w:spacing w:before="1"/>
                              <w:ind w:left="114"/>
                              <w:rPr>
                                <w:rFonts w:ascii="宋体" w:hAnsi="宋体" w:cs="宋体"/>
                                <w:lang w:eastAsia="zh-CN"/>
                              </w:rPr>
                            </w:pPr>
                            <w:r>
                              <w:rPr>
                                <w:rFonts w:ascii="宋体" w:hAnsi="宋体" w:cs="宋体"/>
                                <w:spacing w:val="6"/>
                                <w:lang w:eastAsia="zh-CN"/>
                              </w:rPr>
                              <w:t>本招</w:t>
                            </w:r>
                            <w:r>
                              <w:rPr>
                                <w:rFonts w:ascii="宋体" w:hAnsi="宋体" w:cs="宋体"/>
                                <w:spacing w:val="4"/>
                                <w:lang w:eastAsia="zh-CN"/>
                              </w:rPr>
                              <w:t>标</w:t>
                            </w:r>
                            <w:r>
                              <w:rPr>
                                <w:rFonts w:ascii="宋体" w:hAnsi="宋体" w:cs="宋体"/>
                                <w:spacing w:val="3"/>
                                <w:lang w:eastAsia="zh-CN"/>
                              </w:rPr>
                              <w:t>项目的投标保证金金额为</w:t>
                            </w:r>
                            <w:r>
                              <w:rPr>
                                <w:rFonts w:hint="eastAsia" w:ascii="宋体" w:hAnsi="宋体" w:eastAsia="宋体" w:cs="宋体"/>
                                <w:spacing w:val="3"/>
                                <w:lang w:eastAsia="zh-CN"/>
                              </w:rPr>
                              <w:t>2</w:t>
                            </w:r>
                            <w:r>
                              <w:rPr>
                                <w:rFonts w:hint="eastAsia" w:ascii="宋体" w:hAnsi="宋体" w:cs="宋体"/>
                                <w:spacing w:val="3"/>
                                <w:lang w:eastAsia="zh-CN"/>
                              </w:rPr>
                              <w:t>.0</w:t>
                            </w:r>
                            <w:r>
                              <w:rPr>
                                <w:rFonts w:ascii="宋体" w:hAnsi="宋体" w:cs="宋体"/>
                                <w:spacing w:val="3"/>
                                <w:lang w:eastAsia="zh-CN"/>
                              </w:rPr>
                              <w:t>万元人民币。</w:t>
                            </w:r>
                          </w:p>
                          <w:p>
                            <w:pPr>
                              <w:spacing w:before="193"/>
                              <w:ind w:left="113"/>
                              <w:rPr>
                                <w:rFonts w:ascii="宋体" w:hAnsi="宋体" w:cs="宋体"/>
                                <w:spacing w:val="6"/>
                                <w:lang w:eastAsia="zh-CN"/>
                              </w:rPr>
                            </w:pPr>
                            <w:r>
                              <w:rPr>
                                <w:rFonts w:hint="eastAsia" w:ascii="宋体" w:hAnsi="宋体" w:cs="宋体"/>
                                <w:spacing w:val="6"/>
                                <w:lang w:eastAsia="zh-CN"/>
                              </w:rPr>
                              <w:t xml:space="preserve">一、采用转账形式 </w:t>
                            </w:r>
                          </w:p>
                          <w:p>
                            <w:pPr>
                              <w:spacing w:before="193"/>
                              <w:rPr>
                                <w:rFonts w:ascii="宋体" w:hAnsi="宋体" w:cs="宋体"/>
                                <w:spacing w:val="6"/>
                                <w:lang w:eastAsia="zh-CN"/>
                              </w:rPr>
                            </w:pPr>
                            <w:r>
                              <w:rPr>
                                <w:rFonts w:hint="eastAsia" w:ascii="宋体" w:hAnsi="宋体" w:cs="宋体"/>
                                <w:spacing w:val="6"/>
                                <w:lang w:eastAsia="zh-CN"/>
                              </w:rPr>
                              <w:t>投标人应登录广州公共资源交易中心网（http://www.gzggzy.cn/），在该项目截标时间前，将其投标保证金从本企业银行基本账户转入广州公共资源交易中心保证金专户，缴纳保证金具体要求详见广州公共资源交易中心通知公告栏“广州公共资源交易中心关于投标项目保证金操作指引的说明”或向广州公共资源交易中心咨询。</w:t>
                            </w:r>
                          </w:p>
                          <w:p>
                            <w:pPr>
                              <w:spacing w:before="193"/>
                              <w:ind w:left="113"/>
                              <w:rPr>
                                <w:rFonts w:ascii="宋体" w:hAnsi="宋体" w:cs="宋体"/>
                                <w:spacing w:val="6"/>
                                <w:lang w:eastAsia="zh-CN"/>
                              </w:rPr>
                            </w:pPr>
                            <w:r>
                              <w:rPr>
                                <w:rFonts w:hint="eastAsia" w:ascii="宋体" w:hAnsi="宋体" w:cs="宋体"/>
                                <w:spacing w:val="6"/>
                                <w:lang w:eastAsia="zh-CN"/>
                              </w:rPr>
                              <w:t xml:space="preserve">账户名称：广州交易集团有限公司 </w:t>
                            </w:r>
                          </w:p>
                          <w:p>
                            <w:pPr>
                              <w:spacing w:before="193"/>
                              <w:ind w:left="113"/>
                              <w:rPr>
                                <w:rFonts w:ascii="宋体" w:hAnsi="宋体" w:cs="宋体"/>
                                <w:spacing w:val="6"/>
                                <w:lang w:eastAsia="zh-CN"/>
                              </w:rPr>
                            </w:pPr>
                            <w:r>
                              <w:rPr>
                                <w:rFonts w:hint="eastAsia" w:ascii="宋体" w:hAnsi="宋体" w:cs="宋体"/>
                                <w:spacing w:val="6"/>
                                <w:lang w:eastAsia="zh-CN"/>
                              </w:rPr>
                              <w:t xml:space="preserve">开户银行：中国建设银行广州天润路支行 </w:t>
                            </w:r>
                          </w:p>
                          <w:p>
                            <w:pPr>
                              <w:spacing w:before="193"/>
                              <w:ind w:left="113"/>
                              <w:rPr>
                                <w:rFonts w:ascii="宋体" w:hAnsi="宋体" w:cs="宋体"/>
                                <w:spacing w:val="6"/>
                                <w:lang w:eastAsia="zh-CN"/>
                              </w:rPr>
                            </w:pPr>
                            <w:r>
                              <w:rPr>
                                <w:rFonts w:hint="eastAsia" w:ascii="宋体" w:hAnsi="宋体" w:cs="宋体"/>
                                <w:spacing w:val="6"/>
                                <w:lang w:eastAsia="zh-CN"/>
                              </w:rPr>
                              <w:t xml:space="preserve">银行账号：44001583404059333333 </w:t>
                            </w:r>
                          </w:p>
                          <w:p>
                            <w:pPr>
                              <w:spacing w:before="193"/>
                              <w:ind w:left="113"/>
                              <w:rPr>
                                <w:rFonts w:ascii="宋体" w:hAnsi="宋体" w:cs="宋体"/>
                                <w:spacing w:val="6"/>
                                <w:lang w:eastAsia="zh-CN"/>
                              </w:rPr>
                            </w:pPr>
                            <w:r>
                              <w:rPr>
                                <w:rFonts w:hint="eastAsia" w:ascii="宋体" w:hAnsi="宋体" w:cs="宋体"/>
                                <w:spacing w:val="6"/>
                                <w:lang w:eastAsia="zh-CN"/>
                              </w:rPr>
                              <w:t xml:space="preserve">财务负责人联系方式：020-28866000-4-0 </w:t>
                            </w:r>
                          </w:p>
                          <w:p>
                            <w:pPr>
                              <w:spacing w:before="193"/>
                              <w:ind w:left="113"/>
                              <w:rPr>
                                <w:rFonts w:ascii="宋体" w:hAnsi="宋体" w:cs="宋体"/>
                                <w:spacing w:val="6"/>
                                <w:lang w:eastAsia="zh-CN"/>
                              </w:rPr>
                            </w:pPr>
                            <w:r>
                              <w:rPr>
                                <w:rFonts w:hint="eastAsia" w:ascii="宋体" w:hAnsi="宋体" w:cs="宋体"/>
                                <w:spacing w:val="6"/>
                                <w:lang w:eastAsia="zh-CN"/>
                              </w:rPr>
                              <w:t xml:space="preserve">二、采用银行保函或保证保险保函方式 </w:t>
                            </w:r>
                          </w:p>
                          <w:p>
                            <w:pPr>
                              <w:spacing w:before="193"/>
                              <w:ind w:left="113"/>
                              <w:rPr>
                                <w:rFonts w:ascii="宋体" w:hAnsi="宋体" w:cs="宋体"/>
                                <w:spacing w:val="6"/>
                                <w:lang w:eastAsia="zh-CN"/>
                              </w:rPr>
                            </w:pPr>
                            <w:r>
                              <w:rPr>
                                <w:rFonts w:hint="eastAsia" w:ascii="宋体" w:hAnsi="宋体" w:cs="宋体"/>
                                <w:spacing w:val="6"/>
                                <w:lang w:eastAsia="zh-CN"/>
                              </w:rPr>
                              <w:t xml:space="preserve">采用银行保函或保证保险方式的，投标人应在开标会现场提交本项目投标保函（保单）原件及由本企业基本账户转出资金购买本保函（保单）的缴费凭证。银行保函或保证保险的原件应在递交投标文件时单独另行提交（不需密封）。 </w:t>
                            </w:r>
                          </w:p>
                          <w:p>
                            <w:pPr>
                              <w:spacing w:before="193"/>
                              <w:ind w:left="113"/>
                              <w:rPr>
                                <w:rFonts w:ascii="宋体" w:hAnsi="宋体" w:cs="宋体"/>
                                <w:spacing w:val="6"/>
                                <w:lang w:eastAsia="zh-CN"/>
                              </w:rPr>
                            </w:pPr>
                            <w:r>
                              <w:rPr>
                                <w:rFonts w:hint="eastAsia" w:ascii="宋体" w:hAnsi="宋体" w:cs="宋体"/>
                                <w:spacing w:val="6"/>
                                <w:lang w:eastAsia="zh-CN"/>
                              </w:rPr>
                              <w:t xml:space="preserve">三、在开标会现场，投标人须单独提交其已加盖本企业公章的本企业基本账户开户许可证复印件（或已加盖本企业公章的本企业基本存款账户信息证明材料，下同）。（经现场确认，投标人有下列情形之一，一律按照未能提交投标保证金处理，视为投标人自动放弃投标资格：（1）投标人不能在开标会现场单独提交其已加盖本企业公章的本企业基本账户开户许可证复印件的；（2）投标人的投标保证金不是从本企业银行基本账户转入，而是从本企业非银行基本账户或其分支机构或其他单位银行账户转入的；（3）投标人未按照招标文件指定的账户转入本项目的投标保证金的；（4）投标人未按照招标文件规定的金额或时间转入本项目的投标保证金的。） </w:t>
                            </w:r>
                          </w:p>
                          <w:p>
                            <w:pPr>
                              <w:spacing w:before="193"/>
                              <w:ind w:left="113"/>
                              <w:rPr>
                                <w:rFonts w:ascii="宋体" w:hAnsi="宋体" w:cs="宋体"/>
                                <w:spacing w:val="6"/>
                                <w:lang w:eastAsia="zh-CN"/>
                              </w:rPr>
                            </w:pPr>
                            <w:r>
                              <w:rPr>
                                <w:rFonts w:hint="eastAsia" w:ascii="宋体" w:hAnsi="宋体" w:cs="宋体"/>
                                <w:spacing w:val="6"/>
                                <w:lang w:eastAsia="zh-CN"/>
                              </w:rPr>
                              <w:t>注：1、本招标项目投标保证金提交情况以系统平台显示的投标保证金信息为准。</w:t>
                            </w:r>
                          </w:p>
                          <w:p>
                            <w:pPr>
                              <w:rPr>
                                <w:rFonts w:ascii="宋体" w:hAnsi="宋体" w:eastAsia="宋体" w:cs="宋体"/>
                                <w:sz w:val="21"/>
                                <w:szCs w:val="21"/>
                                <w:lang w:eastAsia="zh-CN"/>
                              </w:rPr>
                            </w:pPr>
                            <w:r>
                              <w:rPr>
                                <w:rFonts w:hint="eastAsia" w:ascii="宋体" w:hAnsi="宋体" w:cs="宋体"/>
                                <w:b/>
                                <w:bCs/>
                                <w:spacing w:val="6"/>
                                <w:lang w:eastAsia="zh-CN"/>
                              </w:rPr>
                              <w:t>（友好提醒：因与银行系统对接会需要一定时间，请投标人自行考虑其所需时间，尽早完成缴纳投标保证金的手续，耽误投标保证金到账时间，其后果由投标人承担。</w:t>
                            </w:r>
                            <w:r>
                              <w:rPr>
                                <w:rFonts w:hint="eastAsia" w:ascii="宋体" w:hAnsi="宋体" w:cs="宋体"/>
                                <w:b/>
                                <w:bCs/>
                                <w:spacing w:val="6"/>
                              </w:rPr>
                              <w:t>）</w:t>
                            </w:r>
                          </w:p>
                        </w:tc>
                      </w:tr>
                    </w:tbl>
                    <w:p>
                      <w:pPr>
                        <w:rPr>
                          <w:lang w:eastAsia="zh-CN"/>
                        </w:rPr>
                      </w:pPr>
                    </w:p>
                  </w:txbxContent>
                </v:textbox>
              </v:shape>
            </w:pict>
          </mc:Fallback>
        </mc:AlternateContent>
      </w:r>
    </w:p>
    <w:tbl>
      <w:tblPr>
        <w:tblStyle w:val="23"/>
        <w:tblW w:w="8508" w:type="dxa"/>
        <w:tblInd w:w="113" w:type="dxa"/>
        <w:tblLayout w:type="fixed"/>
        <w:tblCellMar>
          <w:top w:w="0" w:type="dxa"/>
          <w:left w:w="0" w:type="dxa"/>
          <w:bottom w:w="0" w:type="dxa"/>
          <w:right w:w="0" w:type="dxa"/>
        </w:tblCellMar>
      </w:tblPr>
      <w:tblGrid>
        <w:gridCol w:w="930"/>
        <w:gridCol w:w="2778"/>
        <w:gridCol w:w="4800"/>
      </w:tblGrid>
      <w:tr>
        <w:tblPrEx>
          <w:tblCellMar>
            <w:top w:w="0" w:type="dxa"/>
            <w:left w:w="0" w:type="dxa"/>
            <w:bottom w:w="0" w:type="dxa"/>
            <w:right w:w="0" w:type="dxa"/>
          </w:tblCellMar>
        </w:tblPrEx>
        <w:trPr>
          <w:trHeight w:val="365" w:hRule="exact"/>
        </w:trPr>
        <w:tc>
          <w:tcPr>
            <w:tcW w:w="930" w:type="dxa"/>
            <w:tcBorders>
              <w:top w:val="single" w:color="010101" w:sz="4" w:space="0"/>
              <w:left w:val="single" w:color="010101" w:sz="4" w:space="0"/>
              <w:bottom w:val="single" w:color="010101" w:sz="4" w:space="0"/>
              <w:right w:val="single" w:color="010101" w:sz="4" w:space="0"/>
            </w:tcBorders>
          </w:tcPr>
          <w:p>
            <w:pPr>
              <w:pStyle w:val="27"/>
              <w:spacing w:line="240"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z w:val="21"/>
                <w:szCs w:val="21"/>
                <w14:textFill>
                  <w14:solidFill>
                    <w14:schemeClr w14:val="tx1"/>
                  </w14:solidFill>
                </w14:textFill>
              </w:rPr>
              <w:t>条款号</w:t>
            </w:r>
          </w:p>
        </w:tc>
        <w:tc>
          <w:tcPr>
            <w:tcW w:w="2778" w:type="dxa"/>
            <w:tcBorders>
              <w:top w:val="single" w:color="010101" w:sz="4" w:space="0"/>
              <w:left w:val="single" w:color="010101" w:sz="4" w:space="0"/>
              <w:bottom w:val="single" w:color="010101" w:sz="4" w:space="0"/>
              <w:right w:val="single" w:color="010101" w:sz="4" w:space="0"/>
            </w:tcBorders>
          </w:tcPr>
          <w:p>
            <w:pPr>
              <w:pStyle w:val="27"/>
              <w:tabs>
                <w:tab w:val="left" w:pos="422"/>
                <w:tab w:val="left" w:pos="844"/>
                <w:tab w:val="left" w:pos="1264"/>
              </w:tabs>
              <w:spacing w:line="240" w:lineRule="exact"/>
              <w:ind w:lef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条</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款</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名</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称</w:t>
            </w:r>
          </w:p>
        </w:tc>
        <w:tc>
          <w:tcPr>
            <w:tcW w:w="4800" w:type="dxa"/>
            <w:tcBorders>
              <w:top w:val="single" w:color="010101" w:sz="4" w:space="0"/>
              <w:left w:val="single" w:color="010101" w:sz="4" w:space="0"/>
              <w:bottom w:val="single" w:color="010101" w:sz="4" w:space="0"/>
              <w:right w:val="single" w:color="010101" w:sz="4" w:space="0"/>
            </w:tcBorders>
          </w:tcPr>
          <w:p>
            <w:pPr>
              <w:pStyle w:val="27"/>
              <w:tabs>
                <w:tab w:val="left" w:pos="424"/>
                <w:tab w:val="left" w:pos="847"/>
                <w:tab w:val="left" w:pos="1268"/>
              </w:tabs>
              <w:spacing w:line="240" w:lineRule="exact"/>
              <w:ind w:left="3"/>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编</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列</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内</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容</w:t>
            </w:r>
          </w:p>
        </w:tc>
      </w:tr>
      <w:tr>
        <w:tblPrEx>
          <w:tblCellMar>
            <w:top w:w="0" w:type="dxa"/>
            <w:left w:w="0" w:type="dxa"/>
            <w:bottom w:w="0" w:type="dxa"/>
            <w:right w:w="0" w:type="dxa"/>
          </w:tblCellMar>
        </w:tblPrEx>
        <w:trPr>
          <w:trHeight w:val="2233"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jc w:val="center"/>
              <w:rPr>
                <w:rFonts w:ascii="宋体" w:hAnsi="宋体" w:eastAsia="宋体" w:cs="宋体"/>
                <w:sz w:val="14"/>
                <w:szCs w:val="14"/>
                <w:lang w:eastAsia="zh-CN"/>
              </w:rPr>
            </w:pPr>
          </w:p>
          <w:p>
            <w:pPr>
              <w:pStyle w:val="27"/>
              <w:ind w:left="196"/>
              <w:jc w:val="both"/>
              <w:rPr>
                <w:rFonts w:ascii="宋体" w:hAnsi="宋体" w:eastAsia="宋体" w:cs="宋体"/>
                <w:b/>
                <w:bCs/>
                <w:color w:val="000000" w:themeColor="text1"/>
                <w:sz w:val="21"/>
                <w:szCs w:val="21"/>
                <w14:textFill>
                  <w14:solidFill>
                    <w14:schemeClr w14:val="tx1"/>
                  </w14:solidFill>
                </w14:textFill>
              </w:rPr>
            </w:pPr>
            <w:r>
              <w:rPr>
                <w:rFonts w:ascii="宋体"/>
                <w:sz w:val="21"/>
              </w:rPr>
              <w:t>3.4.3</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jc w:val="center"/>
              <w:rPr>
                <w:rFonts w:ascii="宋体" w:hAnsi="宋体" w:eastAsia="宋体" w:cs="宋体"/>
                <w:sz w:val="14"/>
                <w:szCs w:val="14"/>
                <w:lang w:eastAsia="zh-CN"/>
              </w:rPr>
            </w:pPr>
          </w:p>
          <w:p>
            <w:pPr>
              <w:pStyle w:val="27"/>
              <w:ind w:right="1"/>
              <w:jc w:val="center"/>
              <w:rPr>
                <w:rFonts w:ascii="宋体" w:hAnsi="宋体" w:eastAsia="宋体" w:cs="宋体"/>
                <w:b/>
                <w:bCs/>
                <w:color w:val="000000" w:themeColor="text1"/>
                <w:w w:val="95"/>
                <w:sz w:val="21"/>
                <w:szCs w:val="21"/>
                <w:lang w:eastAsia="zh-CN"/>
                <w14:textFill>
                  <w14:solidFill>
                    <w14:schemeClr w14:val="tx1"/>
                  </w14:solidFill>
                </w14:textFill>
              </w:rPr>
            </w:pPr>
            <w:r>
              <w:rPr>
                <w:rFonts w:ascii="宋体" w:hAnsi="宋体" w:eastAsia="宋体" w:cs="宋体"/>
                <w:sz w:val="21"/>
                <w:szCs w:val="21"/>
                <w:lang w:eastAsia="zh-CN"/>
              </w:rPr>
              <w:t>投标保证金的利息计算原则</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before="7" w:line="360" w:lineRule="auto"/>
              <w:ind w:left="-3"/>
              <w:rPr>
                <w:rFonts w:hint="default" w:ascii="宋体" w:hAnsi="宋体" w:eastAsia="宋体" w:cs="宋体"/>
                <w:b/>
                <w:bCs/>
                <w:color w:val="000000" w:themeColor="text1"/>
                <w:w w:val="95"/>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本项目由</w:t>
            </w:r>
            <w:r>
              <w:rPr>
                <w:rFonts w:hint="eastAsia" w:ascii="宋体" w:hAnsi="宋体" w:eastAsia="宋体" w:cs="宋体"/>
                <w:sz w:val="21"/>
                <w:szCs w:val="21"/>
                <w:lang w:eastAsia="zh-CN"/>
              </w:rPr>
              <w:t>广州公共资源交易中心</w:t>
            </w:r>
            <w:r>
              <w:rPr>
                <w:rFonts w:hint="eastAsia" w:ascii="宋体" w:hAnsi="宋体" w:eastAsia="宋体" w:cs="宋体"/>
                <w:sz w:val="21"/>
                <w:szCs w:val="21"/>
                <w:lang w:val="en-US" w:eastAsia="zh-CN"/>
              </w:rPr>
              <w:t>代收投标保证金，利息计算原则按该中心的相关规定。</w:t>
            </w:r>
          </w:p>
        </w:tc>
      </w:tr>
      <w:tr>
        <w:trPr>
          <w:trHeight w:val="163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3"/>
              <w:ind w:left="196"/>
              <w:rPr>
                <w:rFonts w:ascii="宋体" w:hAnsi="宋体" w:eastAsia="宋体" w:cs="宋体"/>
                <w:b/>
                <w:bCs/>
                <w:color w:val="000000" w:themeColor="text1"/>
                <w:sz w:val="21"/>
                <w:szCs w:val="21"/>
                <w14:textFill>
                  <w14:solidFill>
                    <w14:schemeClr w14:val="tx1"/>
                  </w14:solidFill>
                </w14:textFill>
              </w:rPr>
            </w:pPr>
            <w:r>
              <w:rPr>
                <w:rFonts w:ascii="宋体"/>
                <w:sz w:val="21"/>
              </w:rPr>
              <w:t>3.4.4</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42" w:lineRule="exact"/>
              <w:ind w:right="1"/>
              <w:jc w:val="center"/>
              <w:rPr>
                <w:rFonts w:ascii="宋体" w:hAnsi="宋体" w:eastAsia="宋体" w:cs="宋体"/>
                <w:sz w:val="21"/>
                <w:szCs w:val="21"/>
                <w:lang w:eastAsia="zh-CN"/>
              </w:rPr>
            </w:pPr>
            <w:r>
              <w:rPr>
                <w:rFonts w:ascii="宋体" w:hAnsi="宋体" w:eastAsia="宋体" w:cs="宋体"/>
                <w:sz w:val="21"/>
                <w:szCs w:val="21"/>
                <w:lang w:eastAsia="zh-CN"/>
              </w:rPr>
              <w:t>其他可以不予退还投标保证</w:t>
            </w:r>
          </w:p>
          <w:p>
            <w:pPr>
              <w:pStyle w:val="27"/>
              <w:spacing w:before="79"/>
              <w:ind w:right="1"/>
              <w:jc w:val="center"/>
              <w:rPr>
                <w:rFonts w:ascii="宋体" w:hAnsi="宋体" w:eastAsia="宋体" w:cs="宋体"/>
                <w:b/>
                <w:bCs/>
                <w:color w:val="000000" w:themeColor="text1"/>
                <w:w w:val="95"/>
                <w:sz w:val="21"/>
                <w:szCs w:val="21"/>
                <w14:textFill>
                  <w14:solidFill>
                    <w14:schemeClr w14:val="tx1"/>
                  </w14:solidFill>
                </w14:textFill>
              </w:rPr>
            </w:pPr>
            <w:r>
              <w:rPr>
                <w:rFonts w:ascii="宋体" w:hAnsi="宋体" w:eastAsia="宋体" w:cs="宋体"/>
                <w:sz w:val="21"/>
                <w:szCs w:val="21"/>
              </w:rPr>
              <w:t>金的情形</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line="242" w:lineRule="exact"/>
              <w:ind w:left="-3"/>
              <w:rPr>
                <w:rFonts w:ascii="宋体" w:hAnsi="宋体" w:eastAsia="宋体" w:cs="宋体"/>
                <w:sz w:val="21"/>
                <w:szCs w:val="21"/>
                <w:lang w:eastAsia="zh-CN"/>
              </w:rPr>
            </w:pPr>
            <w:r>
              <w:rPr>
                <w:rFonts w:ascii="宋体" w:hAnsi="宋体" w:eastAsia="宋体" w:cs="宋体"/>
                <w:sz w:val="21"/>
                <w:szCs w:val="21"/>
                <w:lang w:eastAsia="zh-CN"/>
              </w:rPr>
              <w:t>（</w:t>
            </w:r>
            <w:r>
              <w:rPr>
                <w:rFonts w:hint="eastAsia" w:ascii="宋体" w:hAnsi="宋体" w:eastAsia="宋体" w:cs="宋体"/>
                <w:sz w:val="21"/>
                <w:szCs w:val="21"/>
                <w:lang w:eastAsia="zh-CN"/>
              </w:rPr>
              <w:t>1</w:t>
            </w:r>
            <w:r>
              <w:rPr>
                <w:rFonts w:ascii="宋体" w:hAnsi="宋体" w:eastAsia="宋体" w:cs="宋体"/>
                <w:sz w:val="21"/>
                <w:szCs w:val="21"/>
                <w:lang w:eastAsia="zh-CN"/>
              </w:rPr>
              <w:t>）串通投标；</w:t>
            </w:r>
          </w:p>
          <w:p>
            <w:pPr>
              <w:pStyle w:val="27"/>
              <w:spacing w:line="242" w:lineRule="exact"/>
              <w:ind w:left="-3"/>
              <w:rPr>
                <w:rFonts w:ascii="宋体" w:hAnsi="宋体" w:eastAsia="宋体" w:cs="宋体"/>
                <w:sz w:val="21"/>
                <w:szCs w:val="21"/>
                <w:lang w:eastAsia="zh-CN"/>
              </w:rPr>
            </w:pPr>
            <w:r>
              <w:rPr>
                <w:rFonts w:ascii="宋体" w:hAnsi="宋体" w:eastAsia="宋体" w:cs="宋体"/>
                <w:spacing w:val="-3"/>
                <w:sz w:val="21"/>
                <w:szCs w:val="21"/>
                <w:lang w:eastAsia="zh-CN"/>
              </w:rPr>
              <w:t>（</w:t>
            </w:r>
            <w:r>
              <w:rPr>
                <w:rFonts w:hint="eastAsia" w:ascii="宋体" w:hAnsi="宋体" w:eastAsia="宋体" w:cs="宋体"/>
                <w:spacing w:val="-3"/>
                <w:sz w:val="21"/>
                <w:szCs w:val="21"/>
                <w:lang w:eastAsia="zh-CN"/>
              </w:rPr>
              <w:t>2</w:t>
            </w:r>
            <w:r>
              <w:rPr>
                <w:rFonts w:ascii="宋体" w:hAnsi="宋体" w:eastAsia="宋体" w:cs="宋体"/>
                <w:spacing w:val="-3"/>
                <w:sz w:val="21"/>
                <w:szCs w:val="21"/>
                <w:lang w:eastAsia="zh-CN"/>
              </w:rPr>
              <w:t>）评标、</w:t>
            </w:r>
            <w:r>
              <w:rPr>
                <w:rFonts w:ascii="宋体" w:hAnsi="宋体" w:eastAsia="宋体" w:cs="宋体"/>
                <w:sz w:val="21"/>
                <w:szCs w:val="21"/>
                <w:lang w:eastAsia="zh-CN"/>
              </w:rPr>
              <w:t>中标候选人公示、签订合同前等环节因</w:t>
            </w:r>
          </w:p>
          <w:p>
            <w:pPr>
              <w:pStyle w:val="27"/>
              <w:spacing w:line="242" w:lineRule="exact"/>
              <w:ind w:left="-3"/>
              <w:rPr>
                <w:rFonts w:ascii="宋体" w:hAnsi="宋体" w:eastAsia="宋体" w:cs="宋体"/>
                <w:sz w:val="21"/>
                <w:szCs w:val="21"/>
                <w:lang w:eastAsia="zh-CN"/>
              </w:rPr>
            </w:pPr>
            <w:r>
              <w:rPr>
                <w:rFonts w:ascii="宋体" w:hAnsi="宋体" w:eastAsia="宋体" w:cs="宋体"/>
                <w:sz w:val="21"/>
                <w:szCs w:val="21"/>
                <w:lang w:eastAsia="zh-CN"/>
              </w:rPr>
              <w:t>作假而被取消中标资格；</w:t>
            </w:r>
          </w:p>
          <w:p>
            <w:pPr>
              <w:pStyle w:val="27"/>
              <w:spacing w:line="242" w:lineRule="exact"/>
              <w:ind w:left="-3"/>
              <w:rPr>
                <w:rFonts w:ascii="宋体" w:hAnsi="宋体" w:eastAsia="宋体" w:cs="宋体"/>
                <w:sz w:val="21"/>
                <w:szCs w:val="21"/>
                <w:lang w:eastAsia="zh-CN"/>
              </w:rPr>
            </w:pPr>
            <w:r>
              <w:rPr>
                <w:rFonts w:ascii="宋体" w:hAnsi="宋体" w:eastAsia="宋体" w:cs="宋体"/>
                <w:sz w:val="21"/>
                <w:szCs w:val="21"/>
                <w:lang w:eastAsia="zh-CN"/>
              </w:rPr>
              <w:t>（</w:t>
            </w:r>
            <w:r>
              <w:rPr>
                <w:rFonts w:hint="eastAsia" w:ascii="宋体" w:hAnsi="宋体" w:eastAsia="宋体" w:cs="宋体"/>
                <w:sz w:val="21"/>
                <w:szCs w:val="21"/>
                <w:lang w:eastAsia="zh-CN"/>
              </w:rPr>
              <w:t>3</w:t>
            </w:r>
            <w:r>
              <w:rPr>
                <w:rFonts w:ascii="宋体" w:hAnsi="宋体" w:eastAsia="宋体" w:cs="宋体"/>
                <w:sz w:val="21"/>
                <w:szCs w:val="21"/>
                <w:lang w:eastAsia="zh-CN"/>
              </w:rPr>
              <w:t>）因投诉属实取消投标资格的；</w:t>
            </w:r>
          </w:p>
          <w:p>
            <w:pPr>
              <w:rPr>
                <w:rFonts w:ascii="宋体" w:hAnsi="宋体" w:eastAsia="宋体" w:cs="宋体"/>
                <w:b/>
                <w:bCs/>
                <w:color w:val="000000" w:themeColor="text1"/>
                <w:w w:val="95"/>
                <w:sz w:val="21"/>
                <w:szCs w:val="21"/>
                <w:lang w:eastAsia="zh-CN"/>
                <w14:textFill>
                  <w14:solidFill>
                    <w14:schemeClr w14:val="tx1"/>
                  </w14:solidFill>
                </w14:textFill>
              </w:rPr>
            </w:pPr>
            <w:r>
              <w:rPr>
                <w:rFonts w:ascii="宋体" w:hAnsi="宋体" w:eastAsia="宋体" w:cs="宋体"/>
                <w:spacing w:val="-3"/>
                <w:sz w:val="21"/>
                <w:szCs w:val="21"/>
                <w:lang w:eastAsia="zh-CN"/>
              </w:rPr>
              <w:t>（</w:t>
            </w:r>
            <w:r>
              <w:rPr>
                <w:rFonts w:hint="eastAsia" w:ascii="宋体" w:hAnsi="宋体" w:eastAsia="宋体" w:cs="宋体"/>
                <w:spacing w:val="-3"/>
                <w:sz w:val="21"/>
                <w:szCs w:val="21"/>
                <w:lang w:eastAsia="zh-CN"/>
              </w:rPr>
              <w:t>4</w:t>
            </w:r>
            <w:r>
              <w:rPr>
                <w:rFonts w:ascii="宋体" w:hAnsi="宋体" w:eastAsia="宋体" w:cs="宋体"/>
                <w:spacing w:val="-3"/>
                <w:sz w:val="21"/>
                <w:szCs w:val="21"/>
                <w:lang w:eastAsia="zh-CN"/>
              </w:rPr>
              <w:t>）其他违反规定、妨碍公平竞争准则的行为；</w:t>
            </w:r>
          </w:p>
        </w:tc>
      </w:tr>
      <w:tr>
        <w:tblPrEx>
          <w:tblCellMar>
            <w:top w:w="0" w:type="dxa"/>
            <w:left w:w="0" w:type="dxa"/>
            <w:bottom w:w="0" w:type="dxa"/>
            <w:right w:w="0" w:type="dxa"/>
          </w:tblCellMar>
        </w:tblPrEx>
        <w:trPr>
          <w:trHeight w:val="776" w:hRule="exact"/>
        </w:trPr>
        <w:tc>
          <w:tcPr>
            <w:tcW w:w="930" w:type="dxa"/>
            <w:tcBorders>
              <w:top w:val="single" w:color="010101" w:sz="4" w:space="0"/>
              <w:left w:val="single" w:color="010101" w:sz="4" w:space="0"/>
              <w:bottom w:val="single" w:color="010101" w:sz="4" w:space="0"/>
              <w:right w:val="single" w:color="010101" w:sz="4" w:space="0"/>
            </w:tcBorders>
          </w:tcPr>
          <w:p>
            <w:pPr>
              <w:pStyle w:val="27"/>
              <w:spacing w:before="170"/>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3.5</w:t>
            </w:r>
          </w:p>
        </w:tc>
        <w:tc>
          <w:tcPr>
            <w:tcW w:w="2778" w:type="dxa"/>
            <w:tcBorders>
              <w:top w:val="single" w:color="010101" w:sz="4" w:space="0"/>
              <w:left w:val="single" w:color="010101" w:sz="4" w:space="0"/>
              <w:bottom w:val="single" w:color="010101" w:sz="4" w:space="0"/>
              <w:right w:val="single" w:color="010101" w:sz="4" w:space="0"/>
            </w:tcBorders>
          </w:tcPr>
          <w:p>
            <w:pPr>
              <w:pStyle w:val="27"/>
              <w:spacing w:before="170"/>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资格审查资料的特殊要求</w:t>
            </w:r>
          </w:p>
        </w:tc>
        <w:tc>
          <w:tcPr>
            <w:tcW w:w="4800" w:type="dxa"/>
            <w:tcBorders>
              <w:top w:val="single" w:color="010101" w:sz="4" w:space="0"/>
              <w:left w:val="single" w:color="010101" w:sz="4" w:space="0"/>
              <w:bottom w:val="single" w:color="010101" w:sz="4" w:space="0"/>
              <w:right w:val="single" w:color="010101" w:sz="4" w:space="0"/>
            </w:tcBorders>
          </w:tcPr>
          <w:p>
            <w:pPr>
              <w:pStyle w:val="27"/>
              <w:spacing w:line="267" w:lineRule="exact"/>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cs="宋体"/>
                <w:spacing w:val="4"/>
                <w:lang w:eastAsia="zh-CN"/>
              </w:rPr>
              <w:t>■</w:t>
            </w:r>
            <w:r>
              <w:rPr>
                <w:rFonts w:ascii="宋体" w:hAnsi="宋体" w:eastAsia="宋体" w:cs="宋体"/>
                <w:color w:val="000000" w:themeColor="text1"/>
                <w:sz w:val="21"/>
                <w:szCs w:val="21"/>
                <w:lang w:eastAsia="zh-CN"/>
                <w14:textFill>
                  <w14:solidFill>
                    <w14:schemeClr w14:val="tx1"/>
                  </w14:solidFill>
                </w14:textFill>
              </w:rPr>
              <w:t>无</w:t>
            </w:r>
          </w:p>
          <w:p>
            <w:pPr>
              <w:pStyle w:val="27"/>
              <w:spacing w:before="79"/>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□有，具体要求：</w:t>
            </w:r>
          </w:p>
        </w:tc>
      </w:tr>
      <w:tr>
        <w:tblPrEx>
          <w:tblCellMar>
            <w:top w:w="0" w:type="dxa"/>
            <w:left w:w="0" w:type="dxa"/>
            <w:bottom w:w="0" w:type="dxa"/>
            <w:right w:w="0" w:type="dxa"/>
          </w:tblCellMar>
        </w:tblPrEx>
        <w:trPr>
          <w:trHeight w:val="563" w:hRule="exact"/>
        </w:trPr>
        <w:tc>
          <w:tcPr>
            <w:tcW w:w="930" w:type="dxa"/>
            <w:tcBorders>
              <w:top w:val="single" w:color="010101" w:sz="4" w:space="0"/>
              <w:left w:val="single" w:color="010101" w:sz="4" w:space="0"/>
              <w:bottom w:val="single" w:color="010101" w:sz="4" w:space="0"/>
              <w:right w:val="single" w:color="010101" w:sz="4" w:space="0"/>
            </w:tcBorders>
          </w:tcPr>
          <w:p>
            <w:pPr>
              <w:pStyle w:val="27"/>
              <w:spacing w:before="140"/>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3.5.2</w:t>
            </w:r>
          </w:p>
        </w:tc>
        <w:tc>
          <w:tcPr>
            <w:tcW w:w="2778" w:type="dxa"/>
            <w:tcBorders>
              <w:top w:val="single" w:color="010101" w:sz="4" w:space="0"/>
              <w:left w:val="single" w:color="010101" w:sz="4" w:space="0"/>
              <w:bottom w:val="single" w:color="010101" w:sz="4" w:space="0"/>
              <w:right w:val="single" w:color="010101" w:sz="4" w:space="0"/>
            </w:tcBorders>
          </w:tcPr>
          <w:p>
            <w:pPr>
              <w:pStyle w:val="27"/>
              <w:spacing w:line="240"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近年完成的类似项目情况的</w:t>
            </w:r>
          </w:p>
          <w:p>
            <w:pPr>
              <w:pStyle w:val="27"/>
              <w:spacing w:before="79"/>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时间要求</w:t>
            </w:r>
          </w:p>
        </w:tc>
        <w:tc>
          <w:tcPr>
            <w:tcW w:w="4800" w:type="dxa"/>
            <w:tcBorders>
              <w:top w:val="single" w:color="010101" w:sz="4" w:space="0"/>
              <w:left w:val="single" w:color="010101" w:sz="4" w:space="0"/>
              <w:bottom w:val="single" w:color="010101" w:sz="4" w:space="0"/>
              <w:right w:val="single" w:color="010101" w:sz="4" w:space="0"/>
            </w:tcBorders>
          </w:tcPr>
          <w:p>
            <w:pPr>
              <w:pStyle w:val="27"/>
              <w:tabs>
                <w:tab w:val="left" w:pos="523"/>
                <w:tab w:val="left" w:pos="1153"/>
                <w:tab w:val="left" w:pos="1783"/>
              </w:tabs>
              <w:spacing w:before="140"/>
              <w:ind w:left="103"/>
              <w:rPr>
                <w:rFonts w:ascii="宋体" w:hAnsi="宋体"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u w:val="single" w:color="010101"/>
                <w:lang w:eastAsia="zh-CN"/>
                <w14:textFill>
                  <w14:solidFill>
                    <w14:schemeClr w14:val="tx1"/>
                  </w14:solidFill>
                </w14:textFill>
              </w:rPr>
              <w:t>2018</w:t>
            </w:r>
            <w:r>
              <w:rPr>
                <w:rFonts w:ascii="宋体" w:hAnsi="宋体" w:eastAsia="宋体" w:cs="宋体"/>
                <w:color w:val="000000" w:themeColor="text1"/>
                <w:sz w:val="21"/>
                <w:szCs w:val="21"/>
                <w:lang w:eastAsia="zh-CN"/>
                <w14:textFill>
                  <w14:solidFill>
                    <w14:schemeClr w14:val="tx1"/>
                  </w14:solidFill>
                </w14:textFill>
              </w:rPr>
              <w:t>年</w:t>
            </w:r>
            <w:r>
              <w:rPr>
                <w:rFonts w:hint="eastAsia" w:ascii="Times New Roman" w:hAnsi="Times New Roman" w:eastAsia="宋体"/>
                <w:color w:val="000000" w:themeColor="text1"/>
                <w:sz w:val="21"/>
                <w:szCs w:val="21"/>
                <w:u w:val="single" w:color="010101"/>
                <w:lang w:eastAsia="zh-CN"/>
                <w14:textFill>
                  <w14:solidFill>
                    <w14:schemeClr w14:val="tx1"/>
                  </w14:solidFill>
                </w14:textFill>
              </w:rPr>
              <w:t>1</w:t>
            </w:r>
            <w:r>
              <w:rPr>
                <w:rFonts w:ascii="宋体" w:hAnsi="宋体" w:eastAsia="宋体" w:cs="宋体"/>
                <w:color w:val="000000" w:themeColor="text1"/>
                <w:sz w:val="21"/>
                <w:szCs w:val="21"/>
                <w:lang w:eastAsia="zh-CN"/>
                <w14:textFill>
                  <w14:solidFill>
                    <w14:schemeClr w14:val="tx1"/>
                  </w14:solidFill>
                </w14:textFill>
              </w:rPr>
              <w:t>月</w:t>
            </w:r>
            <w:r>
              <w:rPr>
                <w:rFonts w:hint="eastAsia" w:ascii="Times New Roman" w:hAnsi="Times New Roman" w:eastAsia="宋体"/>
                <w:color w:val="000000" w:themeColor="text1"/>
                <w:sz w:val="21"/>
                <w:szCs w:val="21"/>
                <w:u w:val="single" w:color="010101"/>
                <w:lang w:eastAsia="zh-CN"/>
                <w14:textFill>
                  <w14:solidFill>
                    <w14:schemeClr w14:val="tx1"/>
                  </w14:solidFill>
                </w14:textFill>
              </w:rPr>
              <w:t>1</w:t>
            </w:r>
            <w:r>
              <w:rPr>
                <w:rFonts w:ascii="宋体" w:hAnsi="宋体" w:eastAsia="宋体" w:cs="宋体"/>
                <w:color w:val="000000" w:themeColor="text1"/>
                <w:sz w:val="21"/>
                <w:szCs w:val="21"/>
                <w:lang w:eastAsia="zh-CN"/>
                <w14:textFill>
                  <w14:solidFill>
                    <w14:schemeClr w14:val="tx1"/>
                  </w14:solidFill>
                </w14:textFill>
              </w:rPr>
              <w:t>日至投标文件递交截止之日止</w:t>
            </w:r>
          </w:p>
        </w:tc>
      </w:tr>
      <w:tr>
        <w:tblPrEx>
          <w:tblCellMar>
            <w:top w:w="0" w:type="dxa"/>
            <w:left w:w="0" w:type="dxa"/>
            <w:bottom w:w="0" w:type="dxa"/>
            <w:right w:w="0" w:type="dxa"/>
          </w:tblCellMar>
        </w:tblPrEx>
        <w:trPr>
          <w:trHeight w:val="748" w:hRule="exact"/>
        </w:trPr>
        <w:tc>
          <w:tcPr>
            <w:tcW w:w="930" w:type="dxa"/>
            <w:tcBorders>
              <w:top w:val="single" w:color="010101" w:sz="4" w:space="0"/>
              <w:left w:val="single" w:color="010101" w:sz="4" w:space="0"/>
              <w:bottom w:val="single" w:color="010101" w:sz="4" w:space="0"/>
              <w:right w:val="single" w:color="010101" w:sz="4" w:space="0"/>
            </w:tcBorders>
          </w:tcPr>
          <w:p>
            <w:pPr>
              <w:pStyle w:val="27"/>
              <w:spacing w:before="155"/>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3.6.1</w:t>
            </w:r>
          </w:p>
        </w:tc>
        <w:tc>
          <w:tcPr>
            <w:tcW w:w="2778" w:type="dxa"/>
            <w:tcBorders>
              <w:top w:val="single" w:color="010101" w:sz="4" w:space="0"/>
              <w:left w:val="single" w:color="010101" w:sz="4" w:space="0"/>
              <w:bottom w:val="single" w:color="010101" w:sz="4" w:space="0"/>
              <w:right w:val="single" w:color="010101" w:sz="4" w:space="0"/>
            </w:tcBorders>
          </w:tcPr>
          <w:p>
            <w:pPr>
              <w:pStyle w:val="27"/>
              <w:spacing w:before="155"/>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是否允许递交备选投标方案</w:t>
            </w:r>
          </w:p>
        </w:tc>
        <w:tc>
          <w:tcPr>
            <w:tcW w:w="4800" w:type="dxa"/>
            <w:tcBorders>
              <w:top w:val="single" w:color="010101" w:sz="4" w:space="0"/>
              <w:left w:val="single" w:color="010101" w:sz="4" w:space="0"/>
              <w:bottom w:val="single" w:color="010101" w:sz="4" w:space="0"/>
              <w:right w:val="single" w:color="010101" w:sz="4" w:space="0"/>
            </w:tcBorders>
          </w:tcPr>
          <w:p>
            <w:pPr>
              <w:pStyle w:val="27"/>
              <w:spacing w:line="254" w:lineRule="exact"/>
              <w:ind w:left="103"/>
              <w:rPr>
                <w:rFonts w:ascii="宋体" w:hAnsi="宋体" w:eastAsia="宋体" w:cs="宋体"/>
                <w:color w:val="000000" w:themeColor="text1"/>
                <w:sz w:val="21"/>
                <w:szCs w:val="21"/>
                <w14:textFill>
                  <w14:solidFill>
                    <w14:schemeClr w14:val="tx1"/>
                  </w14:solidFill>
                </w14:textFill>
              </w:rPr>
            </w:pPr>
            <w:r>
              <w:rPr>
                <w:rFonts w:ascii="宋体" w:hAnsi="宋体" w:cs="宋体"/>
                <w:spacing w:val="4"/>
              </w:rPr>
              <w:t>■</w:t>
            </w:r>
            <w:r>
              <w:rPr>
                <w:rFonts w:ascii="宋体" w:hAnsi="宋体" w:eastAsia="宋体" w:cs="宋体"/>
                <w:color w:val="000000" w:themeColor="text1"/>
                <w:sz w:val="21"/>
                <w:szCs w:val="21"/>
                <w14:textFill>
                  <w14:solidFill>
                    <w14:schemeClr w14:val="tx1"/>
                  </w14:solidFill>
                </w14:textFill>
              </w:rPr>
              <w:t>不允许</w:t>
            </w:r>
          </w:p>
          <w:p>
            <w:pPr>
              <w:pStyle w:val="27"/>
              <w:spacing w:before="79"/>
              <w:ind w:left="103"/>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□允许</w:t>
            </w:r>
          </w:p>
        </w:tc>
      </w:tr>
      <w:tr>
        <w:tblPrEx>
          <w:tblCellMar>
            <w:top w:w="0" w:type="dxa"/>
            <w:left w:w="0" w:type="dxa"/>
            <w:bottom w:w="0" w:type="dxa"/>
            <w:right w:w="0" w:type="dxa"/>
          </w:tblCellMar>
        </w:tblPrEx>
        <w:trPr>
          <w:trHeight w:val="340" w:hRule="exact"/>
        </w:trPr>
        <w:tc>
          <w:tcPr>
            <w:tcW w:w="930" w:type="dxa"/>
            <w:tcBorders>
              <w:top w:val="single" w:color="010101" w:sz="4" w:space="0"/>
              <w:left w:val="single" w:color="010101" w:sz="4" w:space="0"/>
              <w:bottom w:val="nil"/>
              <w:right w:val="single" w:color="010101" w:sz="4" w:space="0"/>
            </w:tcBorders>
          </w:tcPr>
          <w:p>
            <w:pPr>
              <w:rPr>
                <w:color w:val="000000" w:themeColor="text1"/>
                <w14:textFill>
                  <w14:solidFill>
                    <w14:schemeClr w14:val="tx1"/>
                  </w14:solidFill>
                </w14:textFill>
              </w:rPr>
            </w:pPr>
          </w:p>
        </w:tc>
        <w:tc>
          <w:tcPr>
            <w:tcW w:w="2778" w:type="dxa"/>
            <w:tcBorders>
              <w:top w:val="single" w:color="010101" w:sz="4" w:space="0"/>
              <w:left w:val="single" w:color="010101" w:sz="4" w:space="0"/>
              <w:bottom w:val="nil"/>
              <w:right w:val="single" w:color="010101" w:sz="4" w:space="0"/>
            </w:tcBorders>
            <w:vAlign w:val="center"/>
          </w:tcPr>
          <w:p>
            <w:pPr>
              <w:pStyle w:val="27"/>
              <w:spacing w:line="242" w:lineRule="exact"/>
              <w:ind w:right="1"/>
              <w:jc w:val="center"/>
              <w:rPr>
                <w:rFonts w:ascii="宋体" w:hAnsi="宋体" w:eastAsia="宋体" w:cs="宋体"/>
                <w:color w:val="000000" w:themeColor="text1"/>
                <w:sz w:val="21"/>
                <w:szCs w:val="21"/>
                <w:lang w:eastAsia="zh-CN"/>
                <w14:textFill>
                  <w14:solidFill>
                    <w14:schemeClr w14:val="tx1"/>
                  </w14:solidFill>
                </w14:textFill>
              </w:rPr>
            </w:pPr>
          </w:p>
        </w:tc>
        <w:tc>
          <w:tcPr>
            <w:tcW w:w="4800" w:type="dxa"/>
            <w:vMerge w:val="restart"/>
            <w:tcBorders>
              <w:top w:val="single" w:color="010101" w:sz="4" w:space="0"/>
              <w:left w:val="single" w:color="010101" w:sz="4" w:space="0"/>
              <w:right w:val="single" w:color="010101" w:sz="4" w:space="0"/>
            </w:tcBorders>
            <w:vAlign w:val="center"/>
          </w:tcPr>
          <w:p>
            <w:pPr>
              <w:pStyle w:val="27"/>
              <w:spacing w:line="360" w:lineRule="auto"/>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正本一份，副本</w:t>
            </w:r>
            <w:r>
              <w:rPr>
                <w:rFonts w:hint="eastAsia" w:ascii="宋体" w:hAnsi="宋体" w:eastAsia="宋体" w:cs="宋体"/>
                <w:color w:val="000000" w:themeColor="text1"/>
                <w:sz w:val="21"/>
                <w:szCs w:val="21"/>
                <w:lang w:eastAsia="zh-CN"/>
                <w14:textFill>
                  <w14:solidFill>
                    <w14:schemeClr w14:val="tx1"/>
                  </w14:solidFill>
                </w14:textFill>
              </w:rPr>
              <w:t>六</w:t>
            </w:r>
            <w:r>
              <w:rPr>
                <w:rFonts w:ascii="宋体" w:hAnsi="宋体" w:eastAsia="宋体" w:cs="宋体"/>
                <w:color w:val="000000" w:themeColor="text1"/>
                <w:sz w:val="21"/>
                <w:szCs w:val="21"/>
                <w:lang w:eastAsia="zh-CN"/>
                <w14:textFill>
                  <w14:solidFill>
                    <w14:schemeClr w14:val="tx1"/>
                  </w14:solidFill>
                </w14:textFill>
              </w:rPr>
              <w:t>份，在正本中须随附投标文件word 或 excel格式电子文件和投标文件 PDF 格式电子文件各一份的电子版1套 (U 盘) 。</w:t>
            </w:r>
          </w:p>
        </w:tc>
      </w:tr>
      <w:tr>
        <w:tblPrEx>
          <w:tblCellMar>
            <w:top w:w="0" w:type="dxa"/>
            <w:left w:w="0" w:type="dxa"/>
            <w:bottom w:w="0" w:type="dxa"/>
            <w:right w:w="0" w:type="dxa"/>
          </w:tblCellMar>
        </w:tblPrEx>
        <w:trPr>
          <w:trHeight w:val="337"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vAlign w:val="center"/>
          </w:tcPr>
          <w:p>
            <w:pPr>
              <w:pStyle w:val="27"/>
              <w:spacing w:line="242" w:lineRule="exact"/>
              <w:ind w:right="1"/>
              <w:jc w:val="center"/>
              <w:rPr>
                <w:rFonts w:ascii="宋体" w:hAnsi="宋体" w:eastAsia="宋体" w:cs="宋体"/>
                <w:color w:val="000000" w:themeColor="text1"/>
                <w:sz w:val="21"/>
                <w:szCs w:val="21"/>
                <w:lang w:eastAsia="zh-CN"/>
                <w14:textFill>
                  <w14:solidFill>
                    <w14:schemeClr w14:val="tx1"/>
                  </w14:solidFill>
                </w14:textFill>
              </w:rPr>
            </w:pPr>
          </w:p>
        </w:tc>
        <w:tc>
          <w:tcPr>
            <w:tcW w:w="4800" w:type="dxa"/>
            <w:vMerge w:val="continue"/>
            <w:tcBorders>
              <w:left w:val="single" w:color="010101" w:sz="4" w:space="0"/>
              <w:right w:val="single" w:color="010101" w:sz="4" w:space="0"/>
            </w:tcBorders>
          </w:tcPr>
          <w:p>
            <w:pPr>
              <w:pStyle w:val="27"/>
              <w:spacing w:line="242" w:lineRule="exact"/>
              <w:ind w:right="1"/>
              <w:jc w:val="center"/>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919" w:hRule="exact"/>
        </w:trPr>
        <w:tc>
          <w:tcPr>
            <w:tcW w:w="930" w:type="dxa"/>
            <w:tcBorders>
              <w:top w:val="nil"/>
              <w:left w:val="single" w:color="010101" w:sz="4" w:space="0"/>
              <w:bottom w:val="nil"/>
              <w:right w:val="single" w:color="010101" w:sz="4" w:space="0"/>
            </w:tcBorders>
          </w:tcPr>
          <w:p>
            <w:pPr>
              <w:pStyle w:val="27"/>
              <w:spacing w:before="144"/>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3.7.4</w:t>
            </w:r>
          </w:p>
        </w:tc>
        <w:tc>
          <w:tcPr>
            <w:tcW w:w="2778" w:type="dxa"/>
            <w:tcBorders>
              <w:top w:val="nil"/>
              <w:left w:val="single" w:color="010101" w:sz="4" w:space="0"/>
              <w:bottom w:val="nil"/>
              <w:right w:val="single" w:color="010101" w:sz="4" w:space="0"/>
            </w:tcBorders>
            <w:vAlign w:val="center"/>
          </w:tcPr>
          <w:p>
            <w:pPr>
              <w:pStyle w:val="27"/>
              <w:spacing w:line="242"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投标文件副本份数及其他要求</w:t>
            </w:r>
          </w:p>
        </w:tc>
        <w:tc>
          <w:tcPr>
            <w:tcW w:w="4800" w:type="dxa"/>
            <w:vMerge w:val="continue"/>
            <w:tcBorders>
              <w:left w:val="single" w:color="010101" w:sz="4" w:space="0"/>
              <w:right w:val="single" w:color="010101" w:sz="4" w:space="0"/>
            </w:tcBorders>
          </w:tcPr>
          <w:p>
            <w:pPr>
              <w:pStyle w:val="27"/>
              <w:spacing w:before="1"/>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338"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4800" w:type="dxa"/>
            <w:vMerge w:val="continue"/>
            <w:tcBorders>
              <w:left w:val="single" w:color="010101" w:sz="4" w:space="0"/>
              <w:right w:val="single" w:color="010101" w:sz="4" w:space="0"/>
            </w:tcBorders>
          </w:tcPr>
          <w:p>
            <w:pPr>
              <w:pStyle w:val="27"/>
              <w:spacing w:line="266" w:lineRule="exact"/>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90" w:hRule="exact"/>
        </w:trPr>
        <w:tc>
          <w:tcPr>
            <w:tcW w:w="930" w:type="dxa"/>
            <w:tcBorders>
              <w:top w:val="nil"/>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single" w:color="010101" w:sz="4" w:space="0"/>
              <w:right w:val="single" w:color="010101" w:sz="4" w:space="0"/>
            </w:tcBorders>
            <w:vAlign w:val="center"/>
          </w:tcPr>
          <w:p>
            <w:pPr>
              <w:rPr>
                <w:color w:val="000000" w:themeColor="text1"/>
                <w:lang w:eastAsia="zh-CN"/>
                <w14:textFill>
                  <w14:solidFill>
                    <w14:schemeClr w14:val="tx1"/>
                  </w14:solidFill>
                </w14:textFill>
              </w:rPr>
            </w:pPr>
          </w:p>
        </w:tc>
        <w:tc>
          <w:tcPr>
            <w:tcW w:w="4800" w:type="dxa"/>
            <w:vMerge w:val="continue"/>
            <w:tcBorders>
              <w:left w:val="single" w:color="010101" w:sz="4" w:space="0"/>
              <w:bottom w:val="single" w:color="010101" w:sz="4" w:space="0"/>
              <w:right w:val="single" w:color="010101" w:sz="4" w:space="0"/>
            </w:tcBorders>
          </w:tcPr>
          <w:p>
            <w:pPr>
              <w:pStyle w:val="27"/>
              <w:spacing w:before="7"/>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382" w:hRule="exact"/>
        </w:trPr>
        <w:tc>
          <w:tcPr>
            <w:tcW w:w="930" w:type="dxa"/>
            <w:tcBorders>
              <w:top w:val="single" w:color="010101" w:sz="4" w:space="0"/>
              <w:left w:val="single" w:color="010101" w:sz="4" w:space="0"/>
              <w:bottom w:val="single" w:color="010101" w:sz="4" w:space="0"/>
              <w:right w:val="single" w:color="010101" w:sz="4" w:space="0"/>
            </w:tcBorders>
          </w:tcPr>
          <w:p>
            <w:pPr>
              <w:pStyle w:val="27"/>
              <w:spacing w:line="247"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3.7.5</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47"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装订的其他要求</w:t>
            </w:r>
          </w:p>
        </w:tc>
        <w:tc>
          <w:tcPr>
            <w:tcW w:w="4800" w:type="dxa"/>
            <w:tcBorders>
              <w:top w:val="single" w:color="010101" w:sz="4" w:space="0"/>
              <w:left w:val="single" w:color="010101" w:sz="4" w:space="0"/>
              <w:bottom w:val="single" w:color="010101" w:sz="4" w:space="0"/>
              <w:right w:val="single" w:color="010101" w:sz="4" w:space="0"/>
            </w:tcBorders>
          </w:tcPr>
          <w:p>
            <w:pPr>
              <w:ind w:firstLine="220" w:firstLineChars="100"/>
              <w:rPr>
                <w:rFonts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w:t>
            </w:r>
          </w:p>
        </w:tc>
      </w:tr>
      <w:tr>
        <w:tblPrEx>
          <w:tblCellMar>
            <w:top w:w="0" w:type="dxa"/>
            <w:left w:w="0" w:type="dxa"/>
            <w:bottom w:w="0" w:type="dxa"/>
            <w:right w:w="0" w:type="dxa"/>
          </w:tblCellMar>
        </w:tblPrEx>
        <w:trPr>
          <w:trHeight w:val="407" w:hRule="exact"/>
        </w:trPr>
        <w:tc>
          <w:tcPr>
            <w:tcW w:w="930" w:type="dxa"/>
            <w:tcBorders>
              <w:top w:val="single" w:color="010101" w:sz="4" w:space="0"/>
              <w:left w:val="single" w:color="010101" w:sz="4" w:space="0"/>
              <w:bottom w:val="nil"/>
              <w:right w:val="single" w:color="010101" w:sz="4" w:space="0"/>
            </w:tcBorders>
          </w:tcPr>
          <w:p>
            <w:pPr>
              <w:rPr>
                <w:color w:val="000000" w:themeColor="text1"/>
                <w14:textFill>
                  <w14:solidFill>
                    <w14:schemeClr w14:val="tx1"/>
                  </w14:solidFill>
                </w14:textFill>
              </w:rPr>
            </w:pPr>
          </w:p>
        </w:tc>
        <w:tc>
          <w:tcPr>
            <w:tcW w:w="2778" w:type="dxa"/>
            <w:tcBorders>
              <w:top w:val="single" w:color="010101" w:sz="4" w:space="0"/>
              <w:left w:val="single" w:color="010101" w:sz="4" w:space="0"/>
              <w:bottom w:val="nil"/>
              <w:right w:val="single" w:color="010101" w:sz="4" w:space="0"/>
            </w:tcBorders>
          </w:tcPr>
          <w:p>
            <w:pPr>
              <w:rPr>
                <w:color w:val="000000" w:themeColor="text1"/>
                <w:sz w:val="21"/>
                <w:szCs w:val="21"/>
                <w14:textFill>
                  <w14:solidFill>
                    <w14:schemeClr w14:val="tx1"/>
                  </w14:solidFill>
                </w14:textFill>
              </w:rPr>
            </w:pPr>
          </w:p>
        </w:tc>
        <w:tc>
          <w:tcPr>
            <w:tcW w:w="4800" w:type="dxa"/>
            <w:tcBorders>
              <w:top w:val="single" w:color="010101" w:sz="4" w:space="0"/>
              <w:left w:val="single" w:color="010101" w:sz="4" w:space="0"/>
              <w:bottom w:val="nil"/>
              <w:right w:val="single" w:color="010101" w:sz="4" w:space="0"/>
            </w:tcBorders>
          </w:tcPr>
          <w:p>
            <w:pPr>
              <w:pStyle w:val="27"/>
              <w:spacing w:before="52"/>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投标文件第一个信封（商务及技术文件）封套：</w:t>
            </w:r>
          </w:p>
        </w:tc>
      </w:tr>
      <w:tr>
        <w:tblPrEx>
          <w:tblCellMar>
            <w:top w:w="0" w:type="dxa"/>
            <w:left w:w="0" w:type="dxa"/>
            <w:bottom w:w="0" w:type="dxa"/>
            <w:right w:w="0" w:type="dxa"/>
          </w:tblCellMar>
        </w:tblPrEx>
        <w:trPr>
          <w:trHeight w:val="366"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3253"/>
              </w:tabs>
              <w:spacing w:before="10"/>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招标人名称：</w:t>
            </w:r>
            <w:r>
              <w:rPr>
                <w:rFonts w:hint="eastAsia" w:ascii="宋体" w:hAnsi="宋体" w:eastAsia="宋体" w:cs="宋体"/>
                <w:color w:val="000000" w:themeColor="text1"/>
                <w:sz w:val="21"/>
                <w:szCs w:val="21"/>
                <w:u w:val="single"/>
                <w:lang w:eastAsia="zh-CN"/>
                <w14:textFill>
                  <w14:solidFill>
                    <w14:schemeClr w14:val="tx1"/>
                  </w14:solidFill>
                </w14:textFill>
              </w:rPr>
              <w:t>阳西县交通运输局地方公路管理站</w:t>
            </w:r>
            <w:r>
              <w:rPr>
                <w:rFonts w:hint="eastAsia" w:ascii="宋体" w:hAnsi="宋体" w:eastAsia="宋体" w:cs="宋体"/>
                <w:color w:val="000000" w:themeColor="text1"/>
                <w:sz w:val="21"/>
                <w:szCs w:val="21"/>
                <w:u w:val="single" w:color="010101"/>
                <w:lang w:eastAsia="zh-CN"/>
                <w14:textFill>
                  <w14:solidFill>
                    <w14:schemeClr w14:val="tx1"/>
                  </w14:solidFill>
                </w14:textFill>
              </w:rPr>
              <w:tab/>
            </w:r>
          </w:p>
        </w:tc>
      </w:tr>
      <w:tr>
        <w:tblPrEx>
          <w:tblCellMar>
            <w:top w:w="0" w:type="dxa"/>
            <w:left w:w="0" w:type="dxa"/>
            <w:bottom w:w="0" w:type="dxa"/>
            <w:right w:w="0" w:type="dxa"/>
          </w:tblCellMar>
        </w:tblPrEx>
        <w:trPr>
          <w:trHeight w:val="360"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3253"/>
              </w:tabs>
              <w:spacing w:before="4"/>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招标人地址：</w:t>
            </w:r>
            <w:r>
              <w:rPr>
                <w:rFonts w:hint="eastAsia" w:ascii="宋体" w:hAnsi="宋体" w:eastAsia="宋体" w:cs="宋体"/>
                <w:color w:val="000000" w:themeColor="text1"/>
                <w:sz w:val="21"/>
                <w:szCs w:val="21"/>
                <w:u w:val="single"/>
                <w:lang w:eastAsia="zh-CN"/>
                <w14:textFill>
                  <w14:solidFill>
                    <w14:schemeClr w14:val="tx1"/>
                  </w14:solidFill>
                </w14:textFill>
              </w:rPr>
              <w:t>阳西县桥平一路488号</w:t>
            </w:r>
          </w:p>
        </w:tc>
      </w:tr>
      <w:tr>
        <w:tblPrEx>
          <w:tblCellMar>
            <w:top w:w="0" w:type="dxa"/>
            <w:left w:w="0" w:type="dxa"/>
            <w:bottom w:w="0" w:type="dxa"/>
            <w:right w:w="0" w:type="dxa"/>
          </w:tblCellMar>
        </w:tblPrEx>
        <w:trPr>
          <w:trHeight w:val="825"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733"/>
                <w:tab w:val="left" w:pos="2587"/>
              </w:tabs>
              <w:spacing w:before="4"/>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u w:val="single"/>
                <w:lang w:eastAsia="zh-CN"/>
                <w14:textFill>
                  <w14:solidFill>
                    <w14:schemeClr w14:val="tx1"/>
                  </w14:solidFill>
                </w14:textFill>
              </w:rPr>
              <w:t>阳西县儒洞镇边海村进村大桥工程勘察设计</w:t>
            </w:r>
            <w:r>
              <w:rPr>
                <w:rFonts w:hint="eastAsia" w:ascii="宋体" w:hAnsi="宋体" w:eastAsia="宋体" w:cs="宋体"/>
                <w:color w:val="000000" w:themeColor="text1"/>
                <w:sz w:val="21"/>
                <w:szCs w:val="21"/>
                <w:lang w:eastAsia="zh-CN"/>
                <w14:textFill>
                  <w14:solidFill>
                    <w14:schemeClr w14:val="tx1"/>
                  </w14:solidFill>
                </w14:textFill>
              </w:rPr>
              <w:t>招标第一个信封（商务及技术文件）投标文件</w:t>
            </w:r>
          </w:p>
        </w:tc>
      </w:tr>
      <w:tr>
        <w:tblPrEx>
          <w:tblCellMar>
            <w:top w:w="0" w:type="dxa"/>
            <w:left w:w="0" w:type="dxa"/>
            <w:bottom w:w="0" w:type="dxa"/>
            <w:right w:w="0" w:type="dxa"/>
          </w:tblCellMar>
        </w:tblPrEx>
        <w:trPr>
          <w:trHeight w:val="366"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733"/>
                <w:tab w:val="left" w:pos="1257"/>
              </w:tabs>
              <w:spacing w:before="10"/>
              <w:ind w:left="103"/>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在</w:t>
            </w:r>
            <w:r>
              <w:rPr>
                <w:rFonts w:hint="eastAsia" w:ascii="宋体" w:hAnsi="宋体" w:eastAsia="宋体" w:cs="宋体"/>
                <w:color w:val="000000" w:themeColor="text1"/>
                <w:sz w:val="21"/>
                <w:szCs w:val="21"/>
                <w:highlight w:val="none"/>
                <w:u w:val="single" w:color="010101"/>
                <w:lang w:val="en-US" w:eastAsia="zh-CN"/>
                <w14:textFill>
                  <w14:solidFill>
                    <w14:schemeClr w14:val="tx1"/>
                  </w14:solidFill>
                </w14:textFill>
              </w:rPr>
              <w:t>2023</w:t>
            </w:r>
            <w:r>
              <w:rPr>
                <w:rFonts w:hint="eastAsia" w:ascii="宋体" w:hAnsi="宋体" w:eastAsia="宋体" w:cs="宋体"/>
                <w:color w:val="000000" w:themeColor="text1"/>
                <w:sz w:val="21"/>
                <w:szCs w:val="21"/>
                <w:highlight w:val="none"/>
                <w:lang w:eastAsia="zh-CN"/>
                <w14:textFill>
                  <w14:solidFill>
                    <w14:schemeClr w14:val="tx1"/>
                  </w14:solidFill>
                </w14:textFill>
              </w:rPr>
              <w:t>年</w:t>
            </w:r>
            <w:r>
              <w:rPr>
                <w:rFonts w:hint="eastAsia" w:ascii="宋体" w:hAnsi="宋体" w:eastAsia="宋体" w:cs="宋体"/>
                <w:color w:val="000000" w:themeColor="text1"/>
                <w:sz w:val="21"/>
                <w:szCs w:val="21"/>
                <w:highlight w:val="none"/>
                <w:u w:val="single" w:color="010101"/>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eastAsia="zh-CN"/>
                <w14:textFill>
                  <w14:solidFill>
                    <w14:schemeClr w14:val="tx1"/>
                  </w14:solidFill>
                </w14:textFill>
              </w:rPr>
              <w:t>月</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29</w:t>
            </w:r>
            <w:r>
              <w:rPr>
                <w:rFonts w:hint="eastAsia" w:ascii="宋体" w:hAnsi="宋体" w:eastAsia="宋体" w:cs="宋体"/>
                <w:color w:val="000000" w:themeColor="text1"/>
                <w:sz w:val="21"/>
                <w:szCs w:val="21"/>
                <w:highlight w:val="none"/>
                <w:lang w:eastAsia="zh-CN"/>
                <w14:textFill>
                  <w14:solidFill>
                    <w14:schemeClr w14:val="tx1"/>
                  </w14:solidFill>
                </w14:textFill>
              </w:rPr>
              <w:t>日</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eastAsia="zh-CN"/>
                <w14:textFill>
                  <w14:solidFill>
                    <w14:schemeClr w14:val="tx1"/>
                  </w14:solidFill>
                </w14:textFill>
              </w:rPr>
              <w:t>时</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00</w:t>
            </w:r>
            <w:r>
              <w:rPr>
                <w:rFonts w:hint="eastAsia" w:ascii="宋体" w:hAnsi="宋体" w:eastAsia="宋体" w:cs="宋体"/>
                <w:color w:val="000000" w:themeColor="text1"/>
                <w:sz w:val="21"/>
                <w:szCs w:val="21"/>
                <w:highlight w:val="none"/>
                <w:lang w:eastAsia="zh-CN"/>
                <w14:textFill>
                  <w14:solidFill>
                    <w14:schemeClr w14:val="tx1"/>
                  </w14:solidFill>
                </w14:textFill>
              </w:rPr>
              <w:t>分前不得开启</w:t>
            </w:r>
          </w:p>
        </w:tc>
      </w:tr>
      <w:tr>
        <w:tblPrEx>
          <w:tblCellMar>
            <w:top w:w="0" w:type="dxa"/>
            <w:left w:w="0" w:type="dxa"/>
            <w:bottom w:w="0" w:type="dxa"/>
            <w:right w:w="0" w:type="dxa"/>
          </w:tblCellMar>
        </w:tblPrEx>
        <w:trPr>
          <w:trHeight w:val="540"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3763"/>
              </w:tabs>
              <w:spacing w:before="4"/>
              <w:ind w:left="103"/>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w:t>
            </w:r>
            <w:r>
              <w:rPr>
                <w:rFonts w:hint="eastAsia" w:ascii="宋体" w:hAnsi="宋体" w:eastAsia="宋体" w:cs="宋体"/>
                <w:color w:val="000000" w:themeColor="text1"/>
                <w:sz w:val="21"/>
                <w:szCs w:val="21"/>
                <w:u w:val="single" w:color="010101"/>
                <w14:textFill>
                  <w14:solidFill>
                    <w14:schemeClr w14:val="tx1"/>
                  </w14:solidFill>
                </w14:textFill>
              </w:rPr>
              <w:tab/>
            </w:r>
          </w:p>
        </w:tc>
      </w:tr>
      <w:tr>
        <w:tblPrEx>
          <w:tblCellMar>
            <w:top w:w="0" w:type="dxa"/>
            <w:left w:w="0" w:type="dxa"/>
            <w:bottom w:w="0" w:type="dxa"/>
            <w:right w:w="0" w:type="dxa"/>
          </w:tblCellMar>
        </w:tblPrEx>
        <w:trPr>
          <w:trHeight w:val="491" w:hRule="exact"/>
        </w:trPr>
        <w:tc>
          <w:tcPr>
            <w:tcW w:w="930" w:type="dxa"/>
            <w:tcBorders>
              <w:top w:val="nil"/>
              <w:left w:val="single" w:color="010101" w:sz="4" w:space="0"/>
              <w:bottom w:val="nil"/>
              <w:right w:val="single" w:color="010101" w:sz="4" w:space="0"/>
            </w:tcBorders>
          </w:tcPr>
          <w:p>
            <w:pPr>
              <w:rPr>
                <w:color w:val="000000" w:themeColor="text1"/>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rPr>
                <w:rFonts w:hint="eastAsia" w:ascii="宋体" w:hAnsi="宋体" w:eastAsia="宋体" w:cs="宋体"/>
                <w:color w:val="000000" w:themeColor="text1"/>
                <w:sz w:val="21"/>
                <w:szCs w:val="21"/>
                <w:lang w:eastAsia="zh-CN"/>
                <w14:textFill>
                  <w14:solidFill>
                    <w14:schemeClr w14:val="tx1"/>
                  </w14:solidFill>
                </w14:textFill>
              </w:rPr>
            </w:pPr>
          </w:p>
          <w:p>
            <w:pPr>
              <w:pStyle w:val="27"/>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投标文件第二个信封（报价文件）封套：</w:t>
            </w:r>
          </w:p>
        </w:tc>
      </w:tr>
      <w:tr>
        <w:tblPrEx>
          <w:tblCellMar>
            <w:top w:w="0" w:type="dxa"/>
            <w:left w:w="0" w:type="dxa"/>
            <w:bottom w:w="0" w:type="dxa"/>
            <w:right w:w="0" w:type="dxa"/>
          </w:tblCellMar>
        </w:tblPrEx>
        <w:trPr>
          <w:trHeight w:val="379" w:hRule="exact"/>
        </w:trPr>
        <w:tc>
          <w:tcPr>
            <w:tcW w:w="930" w:type="dxa"/>
            <w:tcBorders>
              <w:top w:val="nil"/>
              <w:left w:val="single" w:color="010101" w:sz="4" w:space="0"/>
              <w:bottom w:val="nil"/>
              <w:right w:val="single" w:color="010101" w:sz="4" w:space="0"/>
            </w:tcBorders>
          </w:tcPr>
          <w:p>
            <w:pPr>
              <w:pStyle w:val="27"/>
              <w:spacing w:line="242"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4.1.2</w:t>
            </w:r>
          </w:p>
        </w:tc>
        <w:tc>
          <w:tcPr>
            <w:tcW w:w="2778" w:type="dxa"/>
            <w:tcBorders>
              <w:top w:val="nil"/>
              <w:left w:val="single" w:color="010101" w:sz="4" w:space="0"/>
              <w:bottom w:val="nil"/>
              <w:right w:val="single" w:color="010101" w:sz="4" w:space="0"/>
            </w:tcBorders>
          </w:tcPr>
          <w:p>
            <w:pPr>
              <w:pStyle w:val="27"/>
              <w:spacing w:line="242"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封套上应载明的信息</w:t>
            </w:r>
          </w:p>
        </w:tc>
        <w:tc>
          <w:tcPr>
            <w:tcW w:w="4800" w:type="dxa"/>
            <w:tcBorders>
              <w:top w:val="nil"/>
              <w:left w:val="single" w:color="010101" w:sz="4" w:space="0"/>
              <w:bottom w:val="nil"/>
              <w:right w:val="single" w:color="010101" w:sz="4" w:space="0"/>
            </w:tcBorders>
          </w:tcPr>
          <w:p>
            <w:pPr>
              <w:pStyle w:val="27"/>
              <w:tabs>
                <w:tab w:val="left" w:pos="3253"/>
              </w:tabs>
              <w:spacing w:before="53"/>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招标人名称：</w:t>
            </w:r>
            <w:r>
              <w:rPr>
                <w:rFonts w:hint="eastAsia" w:ascii="宋体" w:hAnsi="宋体" w:eastAsia="宋体" w:cs="宋体"/>
                <w:color w:val="000000" w:themeColor="text1"/>
                <w:sz w:val="21"/>
                <w:szCs w:val="21"/>
                <w:u w:val="single" w:color="010101"/>
                <w:lang w:eastAsia="zh-CN"/>
                <w14:textFill>
                  <w14:solidFill>
                    <w14:schemeClr w14:val="tx1"/>
                  </w14:solidFill>
                </w14:textFill>
              </w:rPr>
              <w:t>阳西县交通运输局地方公路管理站</w:t>
            </w:r>
            <w:r>
              <w:rPr>
                <w:rFonts w:hint="eastAsia" w:ascii="宋体" w:hAnsi="宋体" w:eastAsia="宋体" w:cs="宋体"/>
                <w:color w:val="000000" w:themeColor="text1"/>
                <w:sz w:val="21"/>
                <w:szCs w:val="21"/>
                <w:u w:val="single" w:color="010101"/>
                <w:lang w:eastAsia="zh-CN"/>
                <w14:textFill>
                  <w14:solidFill>
                    <w14:schemeClr w14:val="tx1"/>
                  </w14:solidFill>
                </w14:textFill>
              </w:rPr>
              <w:tab/>
            </w:r>
          </w:p>
        </w:tc>
      </w:tr>
      <w:tr>
        <w:tblPrEx>
          <w:tblCellMar>
            <w:top w:w="0" w:type="dxa"/>
            <w:left w:w="0" w:type="dxa"/>
            <w:bottom w:w="0" w:type="dxa"/>
            <w:right w:w="0" w:type="dxa"/>
          </w:tblCellMar>
        </w:tblPrEx>
        <w:trPr>
          <w:trHeight w:val="360"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3253"/>
              </w:tabs>
              <w:spacing w:before="4"/>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招标人地址：</w:t>
            </w:r>
            <w:r>
              <w:rPr>
                <w:rFonts w:hint="eastAsia" w:ascii="宋体" w:hAnsi="宋体" w:eastAsia="宋体" w:cs="宋体"/>
                <w:color w:val="000000" w:themeColor="text1"/>
                <w:sz w:val="21"/>
                <w:szCs w:val="21"/>
                <w:u w:val="single"/>
                <w:lang w:eastAsia="zh-CN"/>
                <w14:textFill>
                  <w14:solidFill>
                    <w14:schemeClr w14:val="tx1"/>
                  </w14:solidFill>
                </w14:textFill>
              </w:rPr>
              <w:t>阳西县桥平一路488号</w:t>
            </w:r>
            <w:r>
              <w:rPr>
                <w:rFonts w:hint="eastAsia" w:ascii="宋体" w:hAnsi="宋体" w:eastAsia="宋体" w:cs="宋体"/>
                <w:color w:val="000000" w:themeColor="text1"/>
                <w:sz w:val="21"/>
                <w:szCs w:val="21"/>
                <w:u w:val="single" w:color="010101"/>
                <w:lang w:eastAsia="zh-CN"/>
                <w14:textFill>
                  <w14:solidFill>
                    <w14:schemeClr w14:val="tx1"/>
                  </w14:solidFill>
                </w14:textFill>
              </w:rPr>
              <w:tab/>
            </w:r>
          </w:p>
        </w:tc>
      </w:tr>
      <w:tr>
        <w:tblPrEx>
          <w:tblCellMar>
            <w:top w:w="0" w:type="dxa"/>
            <w:left w:w="0" w:type="dxa"/>
            <w:bottom w:w="0" w:type="dxa"/>
            <w:right w:w="0" w:type="dxa"/>
          </w:tblCellMar>
        </w:tblPrEx>
        <w:trPr>
          <w:trHeight w:val="915"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733"/>
                <w:tab w:val="left" w:pos="2587"/>
              </w:tabs>
              <w:spacing w:before="4"/>
              <w:ind w:left="103"/>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u w:val="single"/>
                <w:lang w:eastAsia="zh-CN"/>
                <w14:textFill>
                  <w14:solidFill>
                    <w14:schemeClr w14:val="tx1"/>
                  </w14:solidFill>
                </w14:textFill>
              </w:rPr>
              <w:t>阳西县儒洞镇边海村进村大桥工程勘察设计招标</w:t>
            </w:r>
            <w:r>
              <w:rPr>
                <w:rFonts w:hint="eastAsia" w:ascii="宋体" w:hAnsi="宋体" w:eastAsia="宋体" w:cs="宋体"/>
                <w:color w:val="000000" w:themeColor="text1"/>
                <w:sz w:val="21"/>
                <w:szCs w:val="21"/>
                <w:lang w:eastAsia="zh-CN"/>
                <w14:textFill>
                  <w14:solidFill>
                    <w14:schemeClr w14:val="tx1"/>
                  </w14:solidFill>
                </w14:textFill>
              </w:rPr>
              <w:t>第二个信封（报价文件）投标文件</w:t>
            </w:r>
          </w:p>
        </w:tc>
      </w:tr>
      <w:tr>
        <w:tblPrEx>
          <w:tblCellMar>
            <w:top w:w="0" w:type="dxa"/>
            <w:left w:w="0" w:type="dxa"/>
            <w:bottom w:w="0" w:type="dxa"/>
            <w:right w:w="0" w:type="dxa"/>
          </w:tblCellMar>
        </w:tblPrEx>
        <w:trPr>
          <w:trHeight w:val="360"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spacing w:before="10"/>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在投标文件第二个信封（报价文件）开标前不得开</w:t>
            </w:r>
          </w:p>
        </w:tc>
      </w:tr>
      <w:tr>
        <w:tblPrEx>
          <w:tblCellMar>
            <w:top w:w="0" w:type="dxa"/>
            <w:left w:w="0" w:type="dxa"/>
            <w:bottom w:w="0" w:type="dxa"/>
            <w:right w:w="0" w:type="dxa"/>
          </w:tblCellMar>
        </w:tblPrEx>
        <w:trPr>
          <w:trHeight w:val="360" w:hRule="exact"/>
        </w:trPr>
        <w:tc>
          <w:tcPr>
            <w:tcW w:w="930" w:type="dxa"/>
            <w:tcBorders>
              <w:top w:val="nil"/>
              <w:left w:val="single" w:color="010101" w:sz="4" w:space="0"/>
              <w:bottom w:val="nil"/>
              <w:right w:val="single" w:color="010101" w:sz="4" w:space="0"/>
            </w:tcBorders>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spacing w:before="10"/>
              <w:ind w:left="103"/>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启</w:t>
            </w:r>
          </w:p>
        </w:tc>
      </w:tr>
      <w:tr>
        <w:tblPrEx>
          <w:tblCellMar>
            <w:top w:w="0" w:type="dxa"/>
            <w:left w:w="0" w:type="dxa"/>
            <w:bottom w:w="0" w:type="dxa"/>
            <w:right w:w="0" w:type="dxa"/>
          </w:tblCellMar>
        </w:tblPrEx>
        <w:trPr>
          <w:trHeight w:val="366" w:hRule="exact"/>
        </w:trPr>
        <w:tc>
          <w:tcPr>
            <w:tcW w:w="930" w:type="dxa"/>
            <w:tcBorders>
              <w:top w:val="nil"/>
              <w:left w:val="single" w:color="010101" w:sz="4" w:space="0"/>
              <w:bottom w:val="nil"/>
              <w:right w:val="single" w:color="010101" w:sz="4" w:space="0"/>
            </w:tcBorders>
          </w:tcPr>
          <w:p>
            <w:pPr>
              <w:rPr>
                <w:color w:val="000000" w:themeColor="text1"/>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3883"/>
              </w:tabs>
              <w:spacing w:before="10"/>
              <w:ind w:left="103"/>
              <w:rPr>
                <w:rFonts w:ascii="Times New Roman" w:hAnsi="Times New Roman" w:eastAsia="Times New Roman"/>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投标人名称：</w:t>
            </w:r>
            <w:r>
              <w:rPr>
                <w:rFonts w:ascii="Times New Roman" w:hAnsi="Times New Roman" w:eastAsia="Times New Roman"/>
                <w:color w:val="000000" w:themeColor="text1"/>
                <w:sz w:val="21"/>
                <w:szCs w:val="21"/>
                <w:u w:val="single" w:color="010101"/>
                <w14:textFill>
                  <w14:solidFill>
                    <w14:schemeClr w14:val="tx1"/>
                  </w14:solidFill>
                </w14:textFill>
              </w:rPr>
              <w:tab/>
            </w:r>
          </w:p>
        </w:tc>
      </w:tr>
      <w:tr>
        <w:tblPrEx>
          <w:tblCellMar>
            <w:top w:w="0" w:type="dxa"/>
            <w:left w:w="0" w:type="dxa"/>
            <w:bottom w:w="0" w:type="dxa"/>
            <w:right w:w="0" w:type="dxa"/>
          </w:tblCellMar>
        </w:tblPrEx>
        <w:trPr>
          <w:trHeight w:val="360" w:hRule="exact"/>
        </w:trPr>
        <w:tc>
          <w:tcPr>
            <w:tcW w:w="930" w:type="dxa"/>
            <w:tcBorders>
              <w:top w:val="nil"/>
              <w:left w:val="single" w:color="010101" w:sz="4" w:space="0"/>
              <w:bottom w:val="nil"/>
              <w:right w:val="single" w:color="010101" w:sz="4" w:space="0"/>
            </w:tcBorders>
          </w:tcPr>
          <w:p>
            <w:pPr>
              <w:rPr>
                <w:color w:val="000000" w:themeColor="text1"/>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tabs>
                <w:tab w:val="left" w:pos="3883"/>
              </w:tabs>
              <w:spacing w:before="4"/>
              <w:ind w:left="103"/>
              <w:rPr>
                <w:rFonts w:ascii="Times New Roman" w:hAnsi="Times New Roman" w:eastAsia="Times New Roman"/>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投标人地址：</w:t>
            </w:r>
            <w:r>
              <w:rPr>
                <w:rFonts w:ascii="Times New Roman" w:hAnsi="Times New Roman" w:eastAsia="Times New Roman"/>
                <w:color w:val="000000" w:themeColor="text1"/>
                <w:sz w:val="21"/>
                <w:szCs w:val="21"/>
                <w:u w:val="single" w:color="010101"/>
                <w14:textFill>
                  <w14:solidFill>
                    <w14:schemeClr w14:val="tx1"/>
                  </w14:solidFill>
                </w14:textFill>
              </w:rPr>
              <w:tab/>
            </w:r>
          </w:p>
        </w:tc>
      </w:tr>
      <w:tr>
        <w:tblPrEx>
          <w:tblCellMar>
            <w:top w:w="0" w:type="dxa"/>
            <w:left w:w="0" w:type="dxa"/>
            <w:bottom w:w="0" w:type="dxa"/>
            <w:right w:w="0" w:type="dxa"/>
          </w:tblCellMar>
        </w:tblPrEx>
        <w:trPr>
          <w:trHeight w:val="354" w:hRule="exact"/>
        </w:trPr>
        <w:tc>
          <w:tcPr>
            <w:tcW w:w="930" w:type="dxa"/>
            <w:tcBorders>
              <w:top w:val="nil"/>
              <w:left w:val="single" w:color="010101" w:sz="4" w:space="0"/>
              <w:bottom w:val="nil"/>
              <w:right w:val="single" w:color="010101" w:sz="4" w:space="0"/>
            </w:tcBorders>
          </w:tcPr>
          <w:p>
            <w:pPr>
              <w:rPr>
                <w:color w:val="000000" w:themeColor="text1"/>
                <w14:textFill>
                  <w14:solidFill>
                    <w14:schemeClr w14:val="tx1"/>
                  </w14:solidFill>
                </w14:textFill>
              </w:rPr>
            </w:pPr>
          </w:p>
        </w:tc>
        <w:tc>
          <w:tcPr>
            <w:tcW w:w="2778" w:type="dxa"/>
            <w:tcBorders>
              <w:top w:val="nil"/>
              <w:left w:val="single" w:color="010101" w:sz="4" w:space="0"/>
              <w:bottom w:val="nil"/>
              <w:right w:val="single" w:color="010101" w:sz="4" w:space="0"/>
            </w:tcBorders>
          </w:tcPr>
          <w:p>
            <w:pPr>
              <w:rPr>
                <w:color w:val="000000" w:themeColor="text1"/>
                <w:sz w:val="21"/>
                <w:szCs w:val="21"/>
                <w14:textFill>
                  <w14:solidFill>
                    <w14:schemeClr w14:val="tx1"/>
                  </w14:solidFill>
                </w14:textFill>
              </w:rPr>
            </w:pPr>
          </w:p>
        </w:tc>
        <w:tc>
          <w:tcPr>
            <w:tcW w:w="4800" w:type="dxa"/>
            <w:tcBorders>
              <w:top w:val="nil"/>
              <w:left w:val="single" w:color="010101" w:sz="4" w:space="0"/>
              <w:bottom w:val="nil"/>
              <w:right w:val="single" w:color="010101" w:sz="4" w:space="0"/>
            </w:tcBorders>
          </w:tcPr>
          <w:p>
            <w:pPr>
              <w:pStyle w:val="27"/>
              <w:spacing w:before="4"/>
              <w:ind w:left="207"/>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z w:val="21"/>
                <w:szCs w:val="21"/>
                <w14:textFill>
                  <w14:solidFill>
                    <w14:schemeClr w14:val="tx1"/>
                  </w14:solidFill>
                </w14:textFill>
              </w:rPr>
              <w:t>银行保函封套：</w:t>
            </w:r>
          </w:p>
        </w:tc>
      </w:tr>
      <w:tr>
        <w:tblPrEx>
          <w:tblCellMar>
            <w:top w:w="0" w:type="dxa"/>
            <w:left w:w="0" w:type="dxa"/>
            <w:bottom w:w="0" w:type="dxa"/>
            <w:right w:w="0" w:type="dxa"/>
          </w:tblCellMar>
        </w:tblPrEx>
        <w:trPr>
          <w:trHeight w:val="1919" w:hRule="exact"/>
        </w:trPr>
        <w:tc>
          <w:tcPr>
            <w:tcW w:w="930" w:type="dxa"/>
            <w:tcBorders>
              <w:top w:val="nil"/>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2778" w:type="dxa"/>
            <w:tcBorders>
              <w:top w:val="nil"/>
              <w:left w:val="single" w:color="010101" w:sz="4" w:space="0"/>
              <w:bottom w:val="single" w:color="010101" w:sz="4" w:space="0"/>
              <w:right w:val="single" w:color="010101" w:sz="4" w:space="0"/>
            </w:tcBorders>
          </w:tcPr>
          <w:p>
            <w:pPr>
              <w:rPr>
                <w:color w:val="000000" w:themeColor="text1"/>
                <w:sz w:val="21"/>
                <w:szCs w:val="21"/>
                <w14:textFill>
                  <w14:solidFill>
                    <w14:schemeClr w14:val="tx1"/>
                  </w14:solidFill>
                </w14:textFill>
              </w:rPr>
            </w:pPr>
          </w:p>
        </w:tc>
        <w:tc>
          <w:tcPr>
            <w:tcW w:w="4800" w:type="dxa"/>
            <w:tcBorders>
              <w:top w:val="nil"/>
              <w:left w:val="single" w:color="010101" w:sz="4" w:space="0"/>
              <w:bottom w:val="single" w:color="010101" w:sz="4" w:space="0"/>
              <w:right w:val="single" w:color="010101" w:sz="4" w:space="0"/>
            </w:tcBorders>
          </w:tcPr>
          <w:p>
            <w:pPr>
              <w:pStyle w:val="27"/>
              <w:tabs>
                <w:tab w:val="left" w:pos="3253"/>
              </w:tabs>
              <w:spacing w:before="10"/>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招标人名称：</w:t>
            </w:r>
          </w:p>
          <w:p>
            <w:pPr>
              <w:pStyle w:val="27"/>
              <w:tabs>
                <w:tab w:val="left" w:pos="3253"/>
              </w:tabs>
              <w:spacing w:before="52"/>
              <w:ind w:left="103"/>
              <w:rPr>
                <w:rFonts w:ascii="Times New Roman" w:hAnsi="Times New Roman" w:eastAsia="Times New Roman"/>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招标人地址：</w:t>
            </w:r>
            <w:r>
              <w:rPr>
                <w:color w:val="000000" w:themeColor="text1"/>
                <w:sz w:val="21"/>
                <w:szCs w:val="21"/>
                <w:u w:val="single"/>
                <w:lang w:eastAsia="zh-CN"/>
                <w14:textFill>
                  <w14:solidFill>
                    <w14:schemeClr w14:val="tx1"/>
                  </w14:solidFill>
                </w14:textFill>
              </w:rPr>
              <w:t>阳</w:t>
            </w:r>
            <w:r>
              <w:rPr>
                <w:rFonts w:hint="eastAsia"/>
                <w:color w:val="000000" w:themeColor="text1"/>
                <w:sz w:val="21"/>
                <w:szCs w:val="21"/>
                <w:u w:val="single"/>
                <w:lang w:eastAsia="zh-CN"/>
                <w14:textFill>
                  <w14:solidFill>
                    <w14:schemeClr w14:val="tx1"/>
                  </w14:solidFill>
                </w14:textFill>
              </w:rPr>
              <w:t>西县桥平一路488</w:t>
            </w:r>
            <w:r>
              <w:rPr>
                <w:color w:val="000000" w:themeColor="text1"/>
                <w:sz w:val="21"/>
                <w:szCs w:val="21"/>
                <w:u w:val="single"/>
                <w:lang w:eastAsia="zh-CN"/>
                <w14:textFill>
                  <w14:solidFill>
                    <w14:schemeClr w14:val="tx1"/>
                  </w14:solidFill>
                </w14:textFill>
              </w:rPr>
              <w:t>号</w:t>
            </w:r>
          </w:p>
          <w:p>
            <w:pPr>
              <w:pStyle w:val="27"/>
              <w:tabs>
                <w:tab w:val="left" w:pos="733"/>
                <w:tab w:val="left" w:pos="2587"/>
              </w:tabs>
              <w:spacing w:before="85" w:line="314" w:lineRule="auto"/>
              <w:ind w:left="103" w:right="101"/>
              <w:rPr>
                <w:rFonts w:ascii="宋体" w:hAnsi="宋体" w:eastAsia="宋体" w:cs="宋体"/>
                <w:color w:val="000000" w:themeColor="text1"/>
                <w:sz w:val="21"/>
                <w:szCs w:val="21"/>
                <w:lang w:eastAsia="zh-CN"/>
                <w14:textFill>
                  <w14:solidFill>
                    <w14:schemeClr w14:val="tx1"/>
                  </w14:solidFill>
                </w14:textFill>
              </w:rPr>
            </w:pPr>
            <w:r>
              <w:rPr>
                <w:rFonts w:hint="eastAsia"/>
                <w:bCs/>
                <w:color w:val="000000" w:themeColor="text1"/>
                <w:sz w:val="21"/>
                <w:szCs w:val="21"/>
                <w:u w:val="single"/>
                <w:lang w:eastAsia="zh-CN"/>
                <w14:textFill>
                  <w14:solidFill>
                    <w14:schemeClr w14:val="tx1"/>
                  </w14:solidFill>
                </w14:textFill>
              </w:rPr>
              <w:t>阳西县儒洞镇边海村进村大桥工程勘察设计</w:t>
            </w:r>
            <w:r>
              <w:rPr>
                <w:rFonts w:ascii="宋体" w:hAnsi="宋体" w:eastAsia="宋体" w:cs="宋体"/>
                <w:color w:val="000000" w:themeColor="text1"/>
                <w:sz w:val="21"/>
                <w:szCs w:val="21"/>
                <w:lang w:eastAsia="zh-CN"/>
                <w14:textFill>
                  <w14:solidFill>
                    <w14:schemeClr w14:val="tx1"/>
                  </w14:solidFill>
                </w14:textFill>
              </w:rPr>
              <w:t>招标投标保证金（银行保函原件）</w:t>
            </w:r>
          </w:p>
          <w:p>
            <w:pPr>
              <w:pStyle w:val="27"/>
              <w:tabs>
                <w:tab w:val="left" w:pos="3253"/>
              </w:tabs>
              <w:spacing w:before="10"/>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投标人名称：</w:t>
            </w:r>
            <w:r>
              <w:rPr>
                <w:rFonts w:ascii="Times New Roman" w:hAnsi="Times New Roman" w:eastAsia="Times New Roman"/>
                <w:color w:val="000000" w:themeColor="text1"/>
                <w:sz w:val="21"/>
                <w:szCs w:val="21"/>
                <w:u w:val="single" w:color="010101"/>
                <w14:textFill>
                  <w14:solidFill>
                    <w14:schemeClr w14:val="tx1"/>
                  </w14:solidFill>
                </w14:textFill>
              </w:rPr>
              <w:tab/>
            </w:r>
          </w:p>
        </w:tc>
      </w:tr>
    </w:tbl>
    <w:p>
      <w:pPr>
        <w:rPr>
          <w:rFonts w:ascii="Times New Roman" w:hAnsi="Times New Roman" w:eastAsia="Times New Roman"/>
          <w:color w:val="000000" w:themeColor="text1"/>
          <w:sz w:val="21"/>
          <w:szCs w:val="21"/>
          <w:lang w:eastAsia="zh-CN"/>
          <w14:textFill>
            <w14:solidFill>
              <w14:schemeClr w14:val="tx1"/>
            </w14:solidFill>
          </w14:textFill>
        </w:rPr>
        <w:sectPr>
          <w:pgSz w:w="11910" w:h="16840"/>
          <w:pgMar w:top="1240" w:right="1580" w:bottom="1520" w:left="1580" w:header="968" w:footer="1338" w:gutter="0"/>
          <w:cols w:space="720" w:num="1"/>
        </w:sectPr>
      </w:pPr>
    </w:p>
    <w:p>
      <w:pPr>
        <w:spacing w:before="4"/>
        <w:rPr>
          <w:rFonts w:ascii="Times New Roman" w:hAnsi="Times New Roman" w:eastAsia="Times New Roman"/>
          <w:color w:val="000000" w:themeColor="text1"/>
          <w:sz w:val="17"/>
          <w:szCs w:val="17"/>
          <w:lang w:eastAsia="zh-CN"/>
          <w14:textFill>
            <w14:solidFill>
              <w14:schemeClr w14:val="tx1"/>
            </w14:solidFill>
          </w14:textFill>
        </w:rPr>
      </w:pPr>
    </w:p>
    <w:tbl>
      <w:tblPr>
        <w:tblStyle w:val="23"/>
        <w:tblW w:w="8508" w:type="dxa"/>
        <w:tblInd w:w="113" w:type="dxa"/>
        <w:tblLayout w:type="fixed"/>
        <w:tblCellMar>
          <w:top w:w="0" w:type="dxa"/>
          <w:left w:w="0" w:type="dxa"/>
          <w:bottom w:w="0" w:type="dxa"/>
          <w:right w:w="0" w:type="dxa"/>
        </w:tblCellMar>
      </w:tblPr>
      <w:tblGrid>
        <w:gridCol w:w="930"/>
        <w:gridCol w:w="2778"/>
        <w:gridCol w:w="4800"/>
      </w:tblGrid>
      <w:tr>
        <w:tblPrEx>
          <w:tblCellMar>
            <w:top w:w="0" w:type="dxa"/>
            <w:left w:w="0" w:type="dxa"/>
            <w:bottom w:w="0" w:type="dxa"/>
            <w:right w:w="0" w:type="dxa"/>
          </w:tblCellMar>
        </w:tblPrEx>
        <w:trPr>
          <w:trHeight w:val="270"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sz w:val="21"/>
                <w:szCs w:val="21"/>
                <w14:textFill>
                  <w14:solidFill>
                    <w14:schemeClr w14:val="tx1"/>
                  </w14:solidFill>
                </w14:textFill>
              </w:rPr>
              <w:t>条款号</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2"/>
                <w:tab w:val="left" w:pos="844"/>
                <w:tab w:val="left" w:pos="1264"/>
              </w:tabs>
              <w:spacing w:line="240" w:lineRule="exact"/>
              <w:ind w:lef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条</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款</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名</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称</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tabs>
                <w:tab w:val="left" w:pos="424"/>
                <w:tab w:val="left" w:pos="847"/>
                <w:tab w:val="left" w:pos="1268"/>
              </w:tabs>
              <w:spacing w:line="240" w:lineRule="exact"/>
              <w:ind w:left="3"/>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b/>
                <w:bCs/>
                <w:color w:val="000000" w:themeColor="text1"/>
                <w:w w:val="95"/>
                <w:sz w:val="21"/>
                <w:szCs w:val="21"/>
                <w14:textFill>
                  <w14:solidFill>
                    <w14:schemeClr w14:val="tx1"/>
                  </w14:solidFill>
                </w14:textFill>
              </w:rPr>
              <w:t>编</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列</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w w:val="95"/>
                <w:sz w:val="21"/>
                <w:szCs w:val="21"/>
                <w14:textFill>
                  <w14:solidFill>
                    <w14:schemeClr w14:val="tx1"/>
                  </w14:solidFill>
                </w14:textFill>
              </w:rPr>
              <w:t>内</w:t>
            </w:r>
            <w:r>
              <w:rPr>
                <w:rFonts w:ascii="宋体" w:hAnsi="宋体" w:eastAsia="宋体" w:cs="宋体"/>
                <w:b/>
                <w:bCs/>
                <w:color w:val="000000" w:themeColor="text1"/>
                <w:w w:val="95"/>
                <w:sz w:val="21"/>
                <w:szCs w:val="21"/>
                <w14:textFill>
                  <w14:solidFill>
                    <w14:schemeClr w14:val="tx1"/>
                  </w14:solidFill>
                </w14:textFill>
              </w:rPr>
              <w:tab/>
            </w:r>
            <w:r>
              <w:rPr>
                <w:rFonts w:ascii="宋体" w:hAnsi="宋体" w:eastAsia="宋体" w:cs="宋体"/>
                <w:b/>
                <w:bCs/>
                <w:color w:val="000000" w:themeColor="text1"/>
                <w:sz w:val="21"/>
                <w:szCs w:val="21"/>
                <w14:textFill>
                  <w14:solidFill>
                    <w14:schemeClr w14:val="tx1"/>
                  </w14:solidFill>
                </w14:textFill>
              </w:rPr>
              <w:t>容</w:t>
            </w:r>
          </w:p>
        </w:tc>
      </w:tr>
      <w:tr>
        <w:tblPrEx>
          <w:tblCellMar>
            <w:top w:w="0" w:type="dxa"/>
            <w:left w:w="0" w:type="dxa"/>
            <w:bottom w:w="0" w:type="dxa"/>
            <w:right w:w="0" w:type="dxa"/>
          </w:tblCellMar>
        </w:tblPrEx>
        <w:trPr>
          <w:trHeight w:val="941"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1"/>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4.2.3</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141"/>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是否退还投标文件</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cs="宋体"/>
                <w:spacing w:val="4"/>
                <w:lang w:eastAsia="zh-CN"/>
              </w:rPr>
              <w:t>■</w:t>
            </w:r>
            <w:r>
              <w:rPr>
                <w:rFonts w:ascii="宋体" w:hAnsi="宋体" w:eastAsia="宋体" w:cs="宋体"/>
                <w:color w:val="000000" w:themeColor="text1"/>
                <w:sz w:val="21"/>
                <w:szCs w:val="21"/>
                <w:lang w:eastAsia="zh-CN"/>
                <w14:textFill>
                  <w14:solidFill>
                    <w14:schemeClr w14:val="tx1"/>
                  </w14:solidFill>
                </w14:textFill>
              </w:rPr>
              <w:t>否</w:t>
            </w:r>
          </w:p>
          <w:p>
            <w:pPr>
              <w:pStyle w:val="27"/>
              <w:spacing w:before="79"/>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□是，退还时间：</w:t>
            </w:r>
          </w:p>
        </w:tc>
      </w:tr>
      <w:tr>
        <w:tblPrEx>
          <w:tblCellMar>
            <w:top w:w="0" w:type="dxa"/>
            <w:left w:w="0" w:type="dxa"/>
            <w:bottom w:w="0" w:type="dxa"/>
            <w:right w:w="0" w:type="dxa"/>
          </w:tblCellMar>
        </w:tblPrEx>
        <w:trPr>
          <w:trHeight w:val="9039"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rPr>
                <w:rFonts w:ascii="Times New Roman" w:hAnsi="Times New Roman" w:eastAsia="Times New Roman"/>
                <w:color w:val="000000" w:themeColor="text1"/>
                <w:sz w:val="20"/>
                <w:szCs w:val="20"/>
                <w:lang w:eastAsia="zh-CN"/>
                <w14:textFill>
                  <w14:solidFill>
                    <w14:schemeClr w14:val="tx1"/>
                  </w14:solidFill>
                </w14:textFill>
              </w:rPr>
            </w:pPr>
          </w:p>
          <w:p>
            <w:pPr>
              <w:pStyle w:val="27"/>
              <w:rPr>
                <w:rFonts w:ascii="Times New Roman" w:hAnsi="Times New Roman" w:eastAsia="Times New Roman"/>
                <w:color w:val="000000" w:themeColor="text1"/>
                <w:sz w:val="20"/>
                <w:szCs w:val="20"/>
                <w:lang w:eastAsia="zh-CN"/>
                <w14:textFill>
                  <w14:solidFill>
                    <w14:schemeClr w14:val="tx1"/>
                  </w14:solidFill>
                </w14:textFill>
              </w:rPr>
            </w:pPr>
          </w:p>
          <w:p>
            <w:pPr>
              <w:pStyle w:val="27"/>
              <w:rPr>
                <w:rFonts w:ascii="Times New Roman" w:hAnsi="Times New Roman" w:eastAsia="Times New Roman"/>
                <w:color w:val="000000" w:themeColor="text1"/>
                <w:sz w:val="20"/>
                <w:szCs w:val="20"/>
                <w:lang w:eastAsia="zh-CN"/>
                <w14:textFill>
                  <w14:solidFill>
                    <w14:schemeClr w14:val="tx1"/>
                  </w14:solidFill>
                </w14:textFill>
              </w:rPr>
            </w:pPr>
          </w:p>
          <w:p>
            <w:pPr>
              <w:pStyle w:val="27"/>
              <w:spacing w:before="159"/>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5.1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rPr>
                <w:rFonts w:ascii="Times New Roman" w:hAnsi="Times New Roman" w:eastAsia="Times New Roman"/>
                <w:color w:val="000000" w:themeColor="text1"/>
                <w:sz w:val="20"/>
                <w:szCs w:val="20"/>
                <w14:textFill>
                  <w14:solidFill>
                    <w14:schemeClr w14:val="tx1"/>
                  </w14:solidFill>
                </w14:textFill>
              </w:rPr>
            </w:pPr>
          </w:p>
          <w:p>
            <w:pPr>
              <w:pStyle w:val="27"/>
              <w:rPr>
                <w:rFonts w:ascii="Times New Roman" w:hAnsi="Times New Roman" w:eastAsia="Times New Roman"/>
                <w:color w:val="000000" w:themeColor="text1"/>
                <w:sz w:val="20"/>
                <w:szCs w:val="20"/>
                <w14:textFill>
                  <w14:solidFill>
                    <w14:schemeClr w14:val="tx1"/>
                  </w14:solidFill>
                </w14:textFill>
              </w:rPr>
            </w:pPr>
          </w:p>
          <w:p>
            <w:pPr>
              <w:pStyle w:val="27"/>
              <w:rPr>
                <w:rFonts w:ascii="Times New Roman" w:hAnsi="Times New Roman" w:eastAsia="Times New Roman"/>
                <w:color w:val="000000" w:themeColor="text1"/>
                <w:sz w:val="20"/>
                <w:szCs w:val="20"/>
                <w14:textFill>
                  <w14:solidFill>
                    <w14:schemeClr w14:val="tx1"/>
                  </w14:solidFill>
                </w14:textFill>
              </w:rPr>
            </w:pPr>
          </w:p>
          <w:p>
            <w:pPr>
              <w:pStyle w:val="27"/>
              <w:spacing w:before="159"/>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开标时间和地点</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tabs>
                <w:tab w:val="left" w:pos="4687"/>
              </w:tabs>
              <w:spacing w:before="79" w:line="309" w:lineRule="auto"/>
              <w:ind w:right="65"/>
              <w:rPr>
                <w:rFonts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开</w:t>
            </w:r>
            <w:r>
              <w:rPr>
                <w:rFonts w:hint="eastAsia" w:ascii="宋体" w:hAnsi="宋体" w:eastAsia="宋体" w:cs="宋体"/>
                <w:color w:val="000000" w:themeColor="text1"/>
                <w:sz w:val="21"/>
                <w:szCs w:val="21"/>
                <w:highlight w:val="none"/>
                <w:lang w:eastAsia="zh-CN"/>
                <w14:textFill>
                  <w14:solidFill>
                    <w14:schemeClr w14:val="tx1"/>
                  </w14:solidFill>
                </w14:textFill>
              </w:rPr>
              <w:t>标时间：</w:t>
            </w:r>
            <w:r>
              <w:rPr>
                <w:rFonts w:hint="eastAsia" w:ascii="宋体" w:hAnsi="宋体" w:eastAsia="宋体" w:cs="宋体"/>
                <w:color w:val="000000" w:themeColor="text1"/>
                <w:sz w:val="21"/>
                <w:szCs w:val="21"/>
                <w:highlight w:val="none"/>
                <w:lang w:val="en-US" w:eastAsia="zh-CN"/>
                <w14:textFill>
                  <w14:solidFill>
                    <w14:schemeClr w14:val="tx1"/>
                  </w14:solidFill>
                </w14:textFill>
              </w:rPr>
              <w:t>2023</w:t>
            </w:r>
            <w:r>
              <w:rPr>
                <w:rFonts w:hint="eastAsia" w:ascii="宋体" w:hAnsi="宋体" w:eastAsia="宋体" w:cs="宋体"/>
                <w:color w:val="000000" w:themeColor="text1"/>
                <w:sz w:val="21"/>
                <w:szCs w:val="21"/>
                <w:highlight w:val="none"/>
                <w:lang w:eastAsia="zh-CN"/>
                <w14:textFill>
                  <w14:solidFill>
                    <w14:schemeClr w14:val="tx1"/>
                  </w14:solidFill>
                </w14:textFill>
              </w:rPr>
              <w:t>年</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eastAsia="zh-CN"/>
                <w14:textFill>
                  <w14:solidFill>
                    <w14:schemeClr w14:val="tx1"/>
                  </w14:solidFill>
                </w14:textFill>
              </w:rPr>
              <w:t>月</w:t>
            </w:r>
            <w:r>
              <w:rPr>
                <w:rFonts w:hint="eastAsia" w:ascii="宋体" w:hAnsi="宋体" w:eastAsia="宋体" w:cs="宋体"/>
                <w:color w:val="000000" w:themeColor="text1"/>
                <w:sz w:val="21"/>
                <w:szCs w:val="21"/>
                <w:highlight w:val="none"/>
                <w:lang w:val="en-US" w:eastAsia="zh-CN"/>
                <w14:textFill>
                  <w14:solidFill>
                    <w14:schemeClr w14:val="tx1"/>
                  </w14:solidFill>
                </w14:textFill>
              </w:rPr>
              <w:t>29</w:t>
            </w:r>
            <w:r>
              <w:rPr>
                <w:rFonts w:hint="eastAsia" w:ascii="宋体" w:hAnsi="宋体" w:eastAsia="宋体" w:cs="宋体"/>
                <w:color w:val="000000" w:themeColor="text1"/>
                <w:sz w:val="21"/>
                <w:szCs w:val="21"/>
                <w:highlight w:val="none"/>
                <w:lang w:eastAsia="zh-CN"/>
                <w14:textFill>
                  <w14:solidFill>
                    <w14:schemeClr w14:val="tx1"/>
                  </w14:solidFill>
                </w14:textFill>
              </w:rPr>
              <w:t>日</w:t>
            </w: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eastAsia="zh-CN"/>
                <w14:textFill>
                  <w14:solidFill>
                    <w14:schemeClr w14:val="tx1"/>
                  </w14:solidFill>
                </w14:textFill>
              </w:rPr>
              <w:t>时</w:t>
            </w:r>
            <w:r>
              <w:rPr>
                <w:rFonts w:hint="eastAsia" w:ascii="宋体" w:hAnsi="宋体" w:eastAsia="宋体" w:cs="宋体"/>
                <w:color w:val="000000" w:themeColor="text1"/>
                <w:sz w:val="21"/>
                <w:szCs w:val="21"/>
                <w:highlight w:val="none"/>
                <w:lang w:val="en-US" w:eastAsia="zh-CN"/>
                <w14:textFill>
                  <w14:solidFill>
                    <w14:schemeClr w14:val="tx1"/>
                  </w14:solidFill>
                </w14:textFill>
              </w:rPr>
              <w:t>00</w:t>
            </w:r>
            <w:r>
              <w:rPr>
                <w:rFonts w:hint="eastAsia" w:ascii="宋体" w:hAnsi="宋体" w:eastAsia="宋体" w:cs="宋体"/>
                <w:color w:val="000000" w:themeColor="text1"/>
                <w:sz w:val="21"/>
                <w:szCs w:val="21"/>
                <w:highlight w:val="none"/>
                <w:lang w:eastAsia="zh-CN"/>
                <w14:textFill>
                  <w14:solidFill>
                    <w14:schemeClr w14:val="tx1"/>
                  </w14:solidFill>
                </w14:textFill>
              </w:rPr>
              <w:t>分</w:t>
            </w:r>
          </w:p>
          <w:p>
            <w:pPr>
              <w:pStyle w:val="27"/>
              <w:tabs>
                <w:tab w:val="left" w:pos="4687"/>
              </w:tabs>
              <w:spacing w:before="79" w:line="309" w:lineRule="auto"/>
              <w:ind w:right="65"/>
              <w:rPr>
                <w:rFonts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开标地点：</w:t>
            </w:r>
            <w:r>
              <w:rPr>
                <w:rFonts w:ascii="宋体" w:hAnsi="宋体" w:cs="宋体"/>
                <w:spacing w:val="16"/>
                <w:sz w:val="21"/>
                <w:szCs w:val="21"/>
                <w:highlight w:val="none"/>
                <w:lang w:eastAsia="zh-CN"/>
              </w:rPr>
              <w:t>广州</w:t>
            </w:r>
            <w:r>
              <w:rPr>
                <w:rFonts w:ascii="宋体" w:hAnsi="宋体" w:cs="宋体"/>
                <w:spacing w:val="9"/>
                <w:sz w:val="21"/>
                <w:szCs w:val="21"/>
                <w:highlight w:val="none"/>
                <w:lang w:eastAsia="zh-CN"/>
              </w:rPr>
              <w:t>公</w:t>
            </w:r>
            <w:r>
              <w:rPr>
                <w:rFonts w:ascii="宋体" w:hAnsi="宋体" w:cs="宋体"/>
                <w:spacing w:val="8"/>
                <w:sz w:val="21"/>
                <w:szCs w:val="21"/>
                <w:highlight w:val="none"/>
                <w:lang w:eastAsia="zh-CN"/>
              </w:rPr>
              <w:t>共资源交易中心</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 xml:space="preserve"> 二 </w:t>
            </w:r>
            <w:r>
              <w:rPr>
                <w:rFonts w:hint="eastAsia" w:ascii="宋体" w:hAnsi="宋体" w:eastAsia="宋体" w:cs="宋体"/>
                <w:color w:val="000000" w:themeColor="text1"/>
                <w:sz w:val="21"/>
                <w:szCs w:val="21"/>
                <w:highlight w:val="none"/>
                <w:lang w:eastAsia="zh-CN"/>
                <w14:textFill>
                  <w14:solidFill>
                    <w14:schemeClr w14:val="tx1"/>
                  </w14:solidFill>
                </w14:textFill>
              </w:rPr>
              <w:t>楼</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15</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开标室开标</w:t>
            </w:r>
          </w:p>
          <w:p>
            <w:pPr>
              <w:pStyle w:val="27"/>
              <w:tabs>
                <w:tab w:val="left" w:pos="4778"/>
              </w:tabs>
              <w:spacing w:before="90" w:line="360" w:lineRule="auto"/>
              <w:rPr>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要求：</w:t>
            </w:r>
          </w:p>
          <w:p>
            <w:pPr>
              <w:pStyle w:val="27"/>
              <w:tabs>
                <w:tab w:val="left" w:pos="4778"/>
              </w:tabs>
              <w:spacing w:before="90" w:line="360" w:lineRule="auto"/>
              <w:rPr>
                <w:color w:val="000000" w:themeColor="text1"/>
                <w:spacing w:val="-1"/>
                <w:sz w:val="21"/>
                <w:szCs w:val="21"/>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w:t>
            </w:r>
            <w:r>
              <w:rPr>
                <w:rFonts w:hint="eastAsia"/>
                <w:color w:val="000000" w:themeColor="text1"/>
                <w:spacing w:val="-1"/>
                <w:sz w:val="21"/>
                <w:szCs w:val="21"/>
                <w:highlight w:val="none"/>
                <w:lang w:eastAsia="zh-CN"/>
                <w14:textFill>
                  <w14:solidFill>
                    <w14:schemeClr w14:val="tx1"/>
                  </w14:solidFill>
                </w14:textFill>
              </w:rPr>
              <w:t>参加开标会议人员应同时</w:t>
            </w:r>
            <w:r>
              <w:rPr>
                <w:rFonts w:hint="eastAsia"/>
                <w:color w:val="000000" w:themeColor="text1"/>
                <w:spacing w:val="-1"/>
                <w:sz w:val="21"/>
                <w:szCs w:val="21"/>
                <w:lang w:eastAsia="zh-CN"/>
                <w14:textFill>
                  <w14:solidFill>
                    <w14:schemeClr w14:val="tx1"/>
                  </w14:solidFill>
                </w14:textFill>
              </w:rPr>
              <w:t>凭本单位介绍信（含法定代表人证明书或授权委托书）和本人</w:t>
            </w:r>
            <w:r>
              <w:rPr>
                <w:rFonts w:hint="eastAsia" w:eastAsia="宋体"/>
                <w:color w:val="000000" w:themeColor="text1"/>
                <w:spacing w:val="-1"/>
                <w:sz w:val="21"/>
                <w:szCs w:val="21"/>
                <w:lang w:eastAsia="zh-CN"/>
                <w14:textFill>
                  <w14:solidFill>
                    <w14:schemeClr w14:val="tx1"/>
                  </w14:solidFill>
                </w14:textFill>
              </w:rPr>
              <w:t>有效</w:t>
            </w:r>
            <w:r>
              <w:rPr>
                <w:rFonts w:hint="eastAsia"/>
                <w:color w:val="000000" w:themeColor="text1"/>
                <w:spacing w:val="-1"/>
                <w:sz w:val="21"/>
                <w:szCs w:val="21"/>
                <w:lang w:eastAsia="zh-CN"/>
                <w14:textFill>
                  <w14:solidFill>
                    <w14:schemeClr w14:val="tx1"/>
                  </w14:solidFill>
                </w14:textFill>
              </w:rPr>
              <w:t>身份证进场，并接受招标人或其招标代理机构的核验；</w:t>
            </w:r>
          </w:p>
          <w:p>
            <w:pPr>
              <w:pStyle w:val="27"/>
              <w:tabs>
                <w:tab w:val="left" w:pos="4778"/>
              </w:tabs>
              <w:spacing w:before="90" w:line="360" w:lineRule="auto"/>
              <w:rPr>
                <w:color w:val="000000" w:themeColor="text1"/>
                <w:spacing w:val="-1"/>
                <w:sz w:val="21"/>
                <w:szCs w:val="21"/>
                <w:lang w:eastAsia="zh-CN"/>
                <w14:textFill>
                  <w14:solidFill>
                    <w14:schemeClr w14:val="tx1"/>
                  </w14:solidFill>
                </w14:textFill>
              </w:rPr>
            </w:pPr>
            <w:r>
              <w:rPr>
                <w:rFonts w:hint="eastAsia"/>
                <w:color w:val="000000" w:themeColor="text1"/>
                <w:spacing w:val="-1"/>
                <w:sz w:val="21"/>
                <w:szCs w:val="21"/>
                <w:lang w:eastAsia="zh-CN"/>
                <w14:textFill>
                  <w14:solidFill>
                    <w14:schemeClr w14:val="tx1"/>
                  </w14:solidFill>
                </w14:textFill>
              </w:rPr>
              <w:t>2.投标人的法定代表人或其委托</w:t>
            </w:r>
            <w:bookmarkStart w:id="53" w:name="_GoBack"/>
            <w:bookmarkEnd w:id="53"/>
            <w:r>
              <w:rPr>
                <w:rFonts w:hint="eastAsia"/>
                <w:color w:val="000000" w:themeColor="text1"/>
                <w:spacing w:val="-1"/>
                <w:sz w:val="21"/>
                <w:szCs w:val="21"/>
                <w:lang w:eastAsia="zh-CN"/>
                <w14:textFill>
                  <w14:solidFill>
                    <w14:schemeClr w14:val="tx1"/>
                  </w14:solidFill>
                </w14:textFill>
              </w:rPr>
              <w:t>代理人必须参加开标会；</w:t>
            </w:r>
          </w:p>
          <w:p>
            <w:pPr>
              <w:pStyle w:val="27"/>
              <w:tabs>
                <w:tab w:val="left" w:pos="4687"/>
              </w:tabs>
              <w:spacing w:before="79" w:line="360" w:lineRule="auto"/>
              <w:ind w:right="65"/>
              <w:rPr>
                <w:rFonts w:ascii="宋体" w:hAnsi="宋体" w:eastAsia="宋体" w:cs="宋体"/>
                <w:color w:val="000000" w:themeColor="text1"/>
                <w:sz w:val="21"/>
                <w:szCs w:val="21"/>
                <w:lang w:eastAsia="zh-CN"/>
                <w14:textFill>
                  <w14:solidFill>
                    <w14:schemeClr w14:val="tx1"/>
                  </w14:solidFill>
                </w14:textFill>
              </w:rPr>
            </w:pPr>
            <w:r>
              <w:rPr>
                <w:rFonts w:hint="eastAsia"/>
                <w:color w:val="000000" w:themeColor="text1"/>
                <w:spacing w:val="-1"/>
                <w:sz w:val="21"/>
                <w:szCs w:val="21"/>
                <w:lang w:eastAsia="zh-CN"/>
                <w14:textFill>
                  <w14:solidFill>
                    <w14:schemeClr w14:val="tx1"/>
                  </w14:solidFill>
                </w14:textFill>
              </w:rPr>
              <w:t>3.参加开标会的法定代表人或其委托代理人应在开标会现场提交法定代表人证明书或委托代理人授权委托书和本人</w:t>
            </w:r>
            <w:r>
              <w:rPr>
                <w:rFonts w:hint="eastAsia" w:eastAsia="宋体"/>
                <w:color w:val="000000" w:themeColor="text1"/>
                <w:spacing w:val="-1"/>
                <w:sz w:val="21"/>
                <w:szCs w:val="21"/>
                <w:lang w:eastAsia="zh-CN"/>
                <w14:textFill>
                  <w14:solidFill>
                    <w14:schemeClr w14:val="tx1"/>
                  </w14:solidFill>
                </w14:textFill>
              </w:rPr>
              <w:t>有效</w:t>
            </w:r>
            <w:r>
              <w:rPr>
                <w:rFonts w:hint="eastAsia"/>
                <w:color w:val="000000" w:themeColor="text1"/>
                <w:spacing w:val="-1"/>
                <w:sz w:val="21"/>
                <w:szCs w:val="21"/>
                <w:lang w:eastAsia="zh-CN"/>
                <w14:textFill>
                  <w14:solidFill>
                    <w14:schemeClr w14:val="tx1"/>
                  </w14:solidFill>
                </w14:textFill>
              </w:rPr>
              <w:t>身份证（备原件核查）。</w:t>
            </w:r>
          </w:p>
          <w:p>
            <w:pPr>
              <w:pStyle w:val="27"/>
              <w:tabs>
                <w:tab w:val="left" w:pos="4687"/>
              </w:tabs>
              <w:spacing w:before="79" w:line="360" w:lineRule="auto"/>
              <w:ind w:right="65"/>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投标文件第一信封（商务及技术文件）开标时间：同投标截止时间</w:t>
            </w:r>
          </w:p>
          <w:p>
            <w:pPr>
              <w:pStyle w:val="27"/>
              <w:tabs>
                <w:tab w:val="left" w:pos="4687"/>
              </w:tabs>
              <w:spacing w:before="79" w:line="360" w:lineRule="auto"/>
              <w:ind w:right="65"/>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投标文件第一信封（商务及技术文件）开标地点：</w:t>
            </w:r>
          </w:p>
          <w:p>
            <w:pPr>
              <w:pStyle w:val="27"/>
              <w:tabs>
                <w:tab w:val="left" w:pos="4687"/>
              </w:tabs>
              <w:spacing w:before="79" w:line="360" w:lineRule="auto"/>
              <w:ind w:right="65"/>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 xml:space="preserve">同递交投标文件地点 </w:t>
            </w:r>
          </w:p>
          <w:p>
            <w:pPr>
              <w:pStyle w:val="27"/>
              <w:tabs>
                <w:tab w:val="left" w:pos="4687"/>
              </w:tabs>
              <w:spacing w:before="79" w:line="360" w:lineRule="auto"/>
              <w:ind w:right="65"/>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投标文件第二信封（报价文件）开标时间：在投标文件第一信封评审完成后</w:t>
            </w:r>
          </w:p>
          <w:p>
            <w:pPr>
              <w:pStyle w:val="27"/>
              <w:tabs>
                <w:tab w:val="left" w:pos="4687"/>
              </w:tabs>
              <w:spacing w:before="79" w:line="360" w:lineRule="auto"/>
              <w:ind w:right="65"/>
              <w:rPr>
                <w:rFonts w:ascii="宋体" w:hAnsi="宋体" w:eastAsia="宋体" w:cs="宋体"/>
                <w:color w:val="000000" w:themeColor="text1"/>
                <w:sz w:val="21"/>
                <w:szCs w:val="21"/>
                <w:u w:val="single"/>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投标文件第二信封（报价文件）开标地点：同递交投标文件地点</w:t>
            </w:r>
          </w:p>
        </w:tc>
      </w:tr>
      <w:tr>
        <w:tblPrEx>
          <w:tblCellMar>
            <w:top w:w="0" w:type="dxa"/>
            <w:left w:w="0" w:type="dxa"/>
            <w:bottom w:w="0" w:type="dxa"/>
            <w:right w:w="0" w:type="dxa"/>
          </w:tblCellMar>
        </w:tblPrEx>
        <w:trPr>
          <w:trHeight w:val="1157"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2"/>
              <w:rPr>
                <w:rFonts w:ascii="Times New Roman" w:hAnsi="Times New Roman" w:eastAsia="Times New Roman"/>
                <w:color w:val="000000" w:themeColor="text1"/>
                <w:sz w:val="28"/>
                <w:szCs w:val="28"/>
                <w:lang w:eastAsia="zh-CN"/>
                <w14:textFill>
                  <w14:solidFill>
                    <w14:schemeClr w14:val="tx1"/>
                  </w14:solidFill>
                </w14:textFill>
              </w:rPr>
            </w:pPr>
          </w:p>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5.2.1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146" w:line="309" w:lineRule="auto"/>
              <w:ind w:left="753" w:right="122" w:hanging="630"/>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第一个信封（商务及技术文 件）开标程序</w:t>
            </w:r>
          </w:p>
        </w:tc>
        <w:tc>
          <w:tcPr>
            <w:tcW w:w="4800" w:type="dxa"/>
            <w:tcBorders>
              <w:top w:val="single" w:color="010101" w:sz="4" w:space="0"/>
              <w:left w:val="single" w:color="010101" w:sz="4" w:space="0"/>
              <w:bottom w:val="single" w:color="010101" w:sz="4" w:space="0"/>
              <w:right w:val="single" w:color="010101" w:sz="4" w:space="0"/>
            </w:tcBorders>
            <w:vAlign w:val="center"/>
          </w:tcPr>
          <w:p>
            <w:pPr>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lang w:eastAsia="zh-CN"/>
                <w14:textFill>
                  <w14:solidFill>
                    <w14:schemeClr w14:val="tx1"/>
                  </w14:solidFill>
                </w14:textFill>
              </w:rPr>
              <w:t>详见投标须知正文</w:t>
            </w:r>
          </w:p>
          <w:p>
            <w:pPr>
              <w:pStyle w:val="27"/>
              <w:spacing w:line="207" w:lineRule="exact"/>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1089"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5"/>
              <w:rPr>
                <w:rFonts w:ascii="Times New Roman" w:hAnsi="Times New Roman" w:eastAsia="Times New Roman"/>
                <w:color w:val="000000" w:themeColor="text1"/>
                <w:sz w:val="28"/>
                <w:szCs w:val="28"/>
                <w:lang w:eastAsia="zh-CN"/>
                <w14:textFill>
                  <w14:solidFill>
                    <w14:schemeClr w14:val="tx1"/>
                  </w14:solidFill>
                </w14:textFill>
              </w:rPr>
            </w:pPr>
          </w:p>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5.2.3</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149" w:line="309" w:lineRule="auto"/>
              <w:ind w:left="1067" w:right="122" w:hanging="945"/>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第二个信封（报价文件）开 标程序</w:t>
            </w:r>
          </w:p>
        </w:tc>
        <w:tc>
          <w:tcPr>
            <w:tcW w:w="4800" w:type="dxa"/>
            <w:tcBorders>
              <w:top w:val="single" w:color="010101" w:sz="4" w:space="0"/>
              <w:left w:val="single" w:color="010101" w:sz="4" w:space="0"/>
              <w:bottom w:val="single" w:color="010101" w:sz="4" w:space="0"/>
              <w:right w:val="single" w:color="010101" w:sz="4" w:space="0"/>
            </w:tcBorders>
            <w:vAlign w:val="center"/>
          </w:tcPr>
          <w:p>
            <w:pPr>
              <w:rPr>
                <w:color w:val="000000" w:themeColor="text1"/>
                <w14:textFill>
                  <w14:solidFill>
                    <w14:schemeClr w14:val="tx1"/>
                  </w14:solidFill>
                </w14:textFill>
              </w:rPr>
            </w:pPr>
            <w:r>
              <w:rPr>
                <w:rFonts w:hint="eastAsia" w:ascii="宋体" w:hAnsi="宋体" w:eastAsia="宋体" w:cs="宋体"/>
                <w:color w:val="000000" w:themeColor="text1"/>
                <w:spacing w:val="-1"/>
                <w:sz w:val="21"/>
                <w:szCs w:val="21"/>
                <w:lang w:eastAsia="zh-CN"/>
                <w14:textFill>
                  <w14:solidFill>
                    <w14:schemeClr w14:val="tx1"/>
                  </w14:solidFill>
                </w14:textFill>
              </w:rPr>
              <w:t>详见投标须知正文</w:t>
            </w:r>
          </w:p>
          <w:p>
            <w:pPr>
              <w:pStyle w:val="27"/>
              <w:spacing w:before="20"/>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1765"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rPr>
                <w:rFonts w:ascii="Times New Roman" w:hAnsi="Times New Roman" w:eastAsia="Times New Roman"/>
                <w:color w:val="000000" w:themeColor="text1"/>
                <w:sz w:val="20"/>
                <w:szCs w:val="20"/>
                <w:lang w:eastAsia="zh-CN"/>
                <w14:textFill>
                  <w14:solidFill>
                    <w14:schemeClr w14:val="tx1"/>
                  </w14:solidFill>
                </w14:textFill>
              </w:rPr>
            </w:pPr>
          </w:p>
          <w:p>
            <w:pPr>
              <w:pStyle w:val="27"/>
              <w:spacing w:before="1"/>
              <w:rPr>
                <w:rFonts w:ascii="Times New Roman" w:hAnsi="Times New Roman" w:eastAsia="Times New Roman"/>
                <w:color w:val="000000" w:themeColor="text1"/>
                <w:sz w:val="23"/>
                <w:szCs w:val="23"/>
                <w:lang w:eastAsia="zh-CN"/>
                <w14:textFill>
                  <w14:solidFill>
                    <w14:schemeClr w14:val="tx1"/>
                  </w14:solidFill>
                </w14:textFill>
              </w:rPr>
            </w:pPr>
          </w:p>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6.1.1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rPr>
                <w:rFonts w:ascii="Times New Roman" w:hAnsi="Times New Roman" w:eastAsia="Times New Roman"/>
                <w:color w:val="000000" w:themeColor="text1"/>
                <w:sz w:val="20"/>
                <w:szCs w:val="20"/>
                <w14:textFill>
                  <w14:solidFill>
                    <w14:schemeClr w14:val="tx1"/>
                  </w14:solidFill>
                </w14:textFill>
              </w:rPr>
            </w:pPr>
          </w:p>
          <w:p>
            <w:pPr>
              <w:pStyle w:val="27"/>
              <w:spacing w:before="1"/>
              <w:rPr>
                <w:rFonts w:ascii="Times New Roman" w:hAnsi="Times New Roman" w:eastAsia="Times New Roman"/>
                <w:color w:val="000000" w:themeColor="text1"/>
                <w:sz w:val="23"/>
                <w:szCs w:val="23"/>
                <w14:textFill>
                  <w14:solidFill>
                    <w14:schemeClr w14:val="tx1"/>
                  </w14:solidFill>
                </w14:textFill>
              </w:rPr>
            </w:pPr>
          </w:p>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评标委员会的组建</w:t>
            </w:r>
          </w:p>
        </w:tc>
        <w:tc>
          <w:tcPr>
            <w:tcW w:w="4800" w:type="dxa"/>
            <w:tcBorders>
              <w:top w:val="single" w:color="010101" w:sz="4" w:space="0"/>
              <w:left w:val="single" w:color="010101" w:sz="4" w:space="0"/>
              <w:bottom w:val="single" w:color="010101" w:sz="4" w:space="0"/>
              <w:right w:val="single" w:color="010101" w:sz="4" w:space="0"/>
            </w:tcBorders>
            <w:vAlign w:val="center"/>
          </w:tcPr>
          <w:p>
            <w:pPr>
              <w:topLinePunct/>
              <w:spacing w:line="312" w:lineRule="auto"/>
              <w:rPr>
                <w:rFonts w:ascii="宋体" w:hAnsi="宋体" w:eastAsia="宋体" w:cs="宋体"/>
                <w:color w:val="000000" w:themeColor="text1"/>
                <w:sz w:val="21"/>
                <w:szCs w:val="21"/>
                <w:u w:val="single" w:color="010101"/>
                <w:lang w:eastAsia="zh-CN"/>
                <w14:textFill>
                  <w14:solidFill>
                    <w14:schemeClr w14:val="tx1"/>
                  </w14:solidFill>
                </w14:textFill>
              </w:rPr>
            </w:pPr>
            <w:r>
              <w:rPr>
                <w:rFonts w:hint="eastAsia" w:ascii="宋体" w:hAnsi="宋体"/>
                <w:sz w:val="21"/>
                <w:szCs w:val="21"/>
                <w:lang w:eastAsia="zh-CN"/>
              </w:rPr>
              <w:t>评标委员会构成：7人，评标专家确定方式：依法从广东省综合评标专家库中随机抽取。</w:t>
            </w:r>
          </w:p>
        </w:tc>
      </w:tr>
      <w:tr>
        <w:tblPrEx>
          <w:tblCellMar>
            <w:top w:w="0" w:type="dxa"/>
            <w:left w:w="0" w:type="dxa"/>
            <w:bottom w:w="0" w:type="dxa"/>
            <w:right w:w="0" w:type="dxa"/>
          </w:tblCellMar>
        </w:tblPrEx>
        <w:trPr>
          <w:trHeight w:val="65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58"/>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6.3.2</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7"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评标委员会推荐中标候选人</w:t>
            </w:r>
          </w:p>
          <w:p>
            <w:pPr>
              <w:pStyle w:val="27"/>
              <w:spacing w:line="273" w:lineRule="exact"/>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的人数</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推荐的中标候选人数为</w:t>
            </w:r>
            <w:r>
              <w:rPr>
                <w:rFonts w:ascii="宋体" w:hAnsi="宋体" w:eastAsia="宋体" w:cs="宋体"/>
                <w:color w:val="000000" w:themeColor="text1"/>
                <w:sz w:val="21"/>
                <w:szCs w:val="21"/>
                <w:u w:val="single"/>
                <w:lang w:eastAsia="zh-CN"/>
                <w14:textFill>
                  <w14:solidFill>
                    <w14:schemeClr w14:val="tx1"/>
                  </w14:solidFill>
                </w14:textFill>
              </w:rPr>
              <w:t xml:space="preserve">3 </w:t>
            </w:r>
            <w:r>
              <w:rPr>
                <w:rFonts w:hint="eastAsia" w:ascii="宋体" w:hAnsi="宋体" w:eastAsia="宋体" w:cs="宋体"/>
                <w:color w:val="000000" w:themeColor="text1"/>
                <w:sz w:val="21"/>
                <w:szCs w:val="21"/>
                <w:lang w:eastAsia="zh-CN"/>
                <w14:textFill>
                  <w14:solidFill>
                    <w14:schemeClr w14:val="tx1"/>
                  </w14:solidFill>
                </w14:textFill>
              </w:rPr>
              <w:t>名</w:t>
            </w:r>
          </w:p>
        </w:tc>
      </w:tr>
      <w:tr>
        <w:tblPrEx>
          <w:tblCellMar>
            <w:top w:w="0" w:type="dxa"/>
            <w:left w:w="0" w:type="dxa"/>
            <w:bottom w:w="0" w:type="dxa"/>
            <w:right w:w="0" w:type="dxa"/>
          </w:tblCellMar>
        </w:tblPrEx>
        <w:trPr>
          <w:trHeight w:val="139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rPr>
                <w:rFonts w:ascii="Times New Roman" w:hAnsi="Times New Roman" w:eastAsia="Times New Roman"/>
                <w:color w:val="000000" w:themeColor="text1"/>
                <w:sz w:val="20"/>
                <w:szCs w:val="20"/>
                <w:lang w:eastAsia="zh-CN"/>
                <w14:textFill>
                  <w14:solidFill>
                    <w14:schemeClr w14:val="tx1"/>
                  </w14:solidFill>
                </w14:textFill>
              </w:rPr>
            </w:pPr>
          </w:p>
          <w:p>
            <w:pPr>
              <w:pStyle w:val="27"/>
              <w:rPr>
                <w:rFonts w:ascii="Times New Roman" w:hAnsi="Times New Roman" w:eastAsia="Times New Roman"/>
                <w:color w:val="000000" w:themeColor="text1"/>
                <w:sz w:val="20"/>
                <w:szCs w:val="20"/>
                <w:lang w:eastAsia="zh-CN"/>
                <w14:textFill>
                  <w14:solidFill>
                    <w14:schemeClr w14:val="tx1"/>
                  </w14:solidFill>
                </w14:textFill>
              </w:rPr>
            </w:pPr>
          </w:p>
          <w:p>
            <w:pPr>
              <w:pStyle w:val="27"/>
              <w:spacing w:before="10"/>
              <w:rPr>
                <w:rFonts w:ascii="Times New Roman" w:hAnsi="Times New Roman" w:eastAsia="Times New Roman"/>
                <w:color w:val="000000" w:themeColor="text1"/>
                <w:sz w:val="26"/>
                <w:szCs w:val="26"/>
                <w:lang w:eastAsia="zh-CN"/>
                <w14:textFill>
                  <w14:solidFill>
                    <w14:schemeClr w14:val="tx1"/>
                  </w14:solidFill>
                </w14:textFill>
              </w:rPr>
            </w:pPr>
          </w:p>
          <w:p>
            <w:pPr>
              <w:pStyle w:val="27"/>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7.1</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中标候选人公示媒介及期限</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公示媒介：广州公共资源交易中心网、广东省招标投标监管网</w:t>
            </w:r>
          </w:p>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公示期限：3个工作日。</w:t>
            </w:r>
          </w:p>
        </w:tc>
      </w:tr>
      <w:tr>
        <w:tblPrEx>
          <w:tblCellMar>
            <w:top w:w="0" w:type="dxa"/>
            <w:left w:w="0" w:type="dxa"/>
            <w:bottom w:w="0" w:type="dxa"/>
            <w:right w:w="0" w:type="dxa"/>
          </w:tblCellMar>
        </w:tblPrEx>
        <w:trPr>
          <w:trHeight w:val="719"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0"/>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7.4</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是否授权评标委员会确定中</w:t>
            </w:r>
          </w:p>
          <w:p>
            <w:pPr>
              <w:pStyle w:val="27"/>
              <w:spacing w:before="79"/>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标人</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line="240" w:lineRule="exact"/>
              <w:ind w:left="103"/>
              <w:jc w:val="both"/>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□是</w:t>
            </w:r>
          </w:p>
          <w:p>
            <w:pPr>
              <w:pStyle w:val="27"/>
              <w:spacing w:before="79"/>
              <w:ind w:left="103"/>
              <w:jc w:val="both"/>
              <w:rPr>
                <w:rFonts w:ascii="宋体" w:hAnsi="宋体" w:eastAsia="宋体" w:cs="宋体"/>
                <w:color w:val="000000" w:themeColor="text1"/>
                <w:sz w:val="21"/>
                <w:szCs w:val="21"/>
                <w14:textFill>
                  <w14:solidFill>
                    <w14:schemeClr w14:val="tx1"/>
                  </w14:solidFill>
                </w14:textFill>
              </w:rPr>
            </w:pPr>
            <w:r>
              <w:rPr>
                <w:rFonts w:ascii="宋体" w:hAnsi="宋体" w:cs="宋体"/>
                <w:spacing w:val="7"/>
              </w:rPr>
              <w:t>■</w:t>
            </w:r>
            <w:r>
              <w:rPr>
                <w:rFonts w:ascii="宋体" w:hAnsi="宋体" w:eastAsia="宋体" w:cs="宋体"/>
                <w:color w:val="000000" w:themeColor="text1"/>
                <w:sz w:val="21"/>
                <w:szCs w:val="21"/>
                <w14:textFill>
                  <w14:solidFill>
                    <w14:schemeClr w14:val="tx1"/>
                  </w14:solidFill>
                </w14:textFill>
              </w:rPr>
              <w:t>否</w:t>
            </w:r>
          </w:p>
        </w:tc>
      </w:tr>
      <w:tr>
        <w:tblPrEx>
          <w:tblCellMar>
            <w:top w:w="0" w:type="dxa"/>
            <w:left w:w="0" w:type="dxa"/>
            <w:bottom w:w="0" w:type="dxa"/>
            <w:right w:w="0" w:type="dxa"/>
          </w:tblCellMar>
        </w:tblPrEx>
        <w:trPr>
          <w:trHeight w:val="558"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0"/>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7.5</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ind w:right="1"/>
              <w:jc w:val="center"/>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中标通知书和中标结果通知</w:t>
            </w:r>
          </w:p>
          <w:p>
            <w:pPr>
              <w:pStyle w:val="27"/>
              <w:spacing w:before="79"/>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发出的形式</w:t>
            </w:r>
          </w:p>
        </w:tc>
        <w:tc>
          <w:tcPr>
            <w:tcW w:w="4800" w:type="dxa"/>
            <w:tcBorders>
              <w:top w:val="single" w:color="010101" w:sz="4" w:space="0"/>
              <w:left w:val="single" w:color="010101" w:sz="4" w:space="0"/>
              <w:bottom w:val="single" w:color="010101" w:sz="4" w:space="0"/>
              <w:right w:val="single" w:color="010101" w:sz="4" w:space="0"/>
            </w:tcBorders>
            <w:vAlign w:val="center"/>
          </w:tcPr>
          <w:p>
            <w:pPr>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书面形式</w:t>
            </w:r>
          </w:p>
        </w:tc>
      </w:tr>
      <w:tr>
        <w:tblPrEx>
          <w:tblCellMar>
            <w:top w:w="0" w:type="dxa"/>
            <w:left w:w="0" w:type="dxa"/>
            <w:bottom w:w="0" w:type="dxa"/>
            <w:right w:w="0" w:type="dxa"/>
          </w:tblCellMar>
        </w:tblPrEx>
        <w:trPr>
          <w:trHeight w:val="579"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7.6</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line="238" w:lineRule="exact"/>
              <w:jc w:val="center"/>
              <w:rPr>
                <w:rFonts w:ascii="宋体" w:hAnsi="宋体" w:eastAsia="宋体" w:cs="宋体"/>
                <w:color w:val="000000" w:themeColor="text1"/>
                <w:sz w:val="10"/>
                <w:szCs w:val="10"/>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中标结果公告媒介</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tabs>
                <w:tab w:val="left" w:pos="2781"/>
              </w:tabs>
              <w:spacing w:before="91" w:line="250" w:lineRule="exact"/>
              <w:rPr>
                <w:rFonts w:eastAsia="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广州公共资源交易中心网、广东省招标投标监管网</w:t>
            </w:r>
          </w:p>
          <w:p>
            <w:pPr>
              <w:rPr>
                <w:color w:val="000000" w:themeColor="text1"/>
                <w:lang w:eastAsia="zh-CN"/>
                <w14:textFill>
                  <w14:solidFill>
                    <w14:schemeClr w14:val="tx1"/>
                  </w14:solidFill>
                </w14:textFill>
              </w:rPr>
            </w:pPr>
          </w:p>
        </w:tc>
      </w:tr>
      <w:tr>
        <w:tblPrEx>
          <w:tblCellMar>
            <w:top w:w="0" w:type="dxa"/>
            <w:left w:w="0" w:type="dxa"/>
            <w:bottom w:w="0" w:type="dxa"/>
            <w:right w:w="0" w:type="dxa"/>
          </w:tblCellMar>
        </w:tblPrEx>
        <w:trPr>
          <w:trHeight w:val="724" w:hRule="exact"/>
        </w:trPr>
        <w:tc>
          <w:tcPr>
            <w:tcW w:w="930" w:type="dxa"/>
            <w:tcBorders>
              <w:top w:val="single" w:color="010101" w:sz="4" w:space="0"/>
              <w:left w:val="single" w:color="010101" w:sz="4" w:space="0"/>
              <w:bottom w:val="single" w:color="010101" w:sz="4" w:space="0"/>
              <w:right w:val="single" w:color="010101" w:sz="4" w:space="0"/>
            </w:tcBorders>
            <w:vAlign w:val="center"/>
          </w:tcPr>
          <w:p>
            <w:pPr>
              <w:pStyle w:val="27"/>
              <w:spacing w:before="143"/>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7.7</w:t>
            </w:r>
          </w:p>
        </w:tc>
        <w:tc>
          <w:tcPr>
            <w:tcW w:w="2778" w:type="dxa"/>
            <w:tcBorders>
              <w:top w:val="single" w:color="010101" w:sz="4" w:space="0"/>
              <w:left w:val="single" w:color="010101" w:sz="4" w:space="0"/>
              <w:bottom w:val="single" w:color="010101" w:sz="4" w:space="0"/>
              <w:right w:val="single" w:color="010101" w:sz="4" w:space="0"/>
            </w:tcBorders>
            <w:vAlign w:val="center"/>
          </w:tcPr>
          <w:p>
            <w:pPr>
              <w:pStyle w:val="27"/>
              <w:spacing w:before="143"/>
              <w:ind w:right="1"/>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技术成果经济补偿</w:t>
            </w:r>
          </w:p>
        </w:tc>
        <w:tc>
          <w:tcPr>
            <w:tcW w:w="4800" w:type="dxa"/>
            <w:tcBorders>
              <w:top w:val="single" w:color="010101" w:sz="4" w:space="0"/>
              <w:left w:val="single" w:color="010101" w:sz="4" w:space="0"/>
              <w:bottom w:val="single" w:color="010101" w:sz="4" w:space="0"/>
              <w:right w:val="single" w:color="010101" w:sz="4" w:space="0"/>
            </w:tcBorders>
            <w:vAlign w:val="center"/>
          </w:tcPr>
          <w:p>
            <w:pPr>
              <w:pStyle w:val="27"/>
              <w:spacing w:before="52" w:line="274" w:lineRule="exact"/>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cs="宋体"/>
                <w:spacing w:val="7"/>
                <w:lang w:eastAsia="zh-CN"/>
              </w:rPr>
              <w:t>■</w:t>
            </w:r>
            <w:r>
              <w:rPr>
                <w:rFonts w:ascii="宋体" w:hAnsi="宋体" w:eastAsia="宋体" w:cs="宋体"/>
                <w:color w:val="000000" w:themeColor="text1"/>
                <w:sz w:val="21"/>
                <w:szCs w:val="21"/>
                <w:lang w:eastAsia="zh-CN"/>
                <w14:textFill>
                  <w14:solidFill>
                    <w14:schemeClr w14:val="tx1"/>
                  </w14:solidFill>
                </w14:textFill>
              </w:rPr>
              <w:t>不补偿</w:t>
            </w:r>
          </w:p>
          <w:p>
            <w:pPr>
              <w:pStyle w:val="27"/>
              <w:spacing w:line="274" w:lineRule="exact"/>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□补偿，补偿标准：</w:t>
            </w:r>
          </w:p>
        </w:tc>
      </w:tr>
      <w:tr>
        <w:tblPrEx>
          <w:tblCellMar>
            <w:top w:w="0" w:type="dxa"/>
            <w:left w:w="0" w:type="dxa"/>
            <w:bottom w:w="0" w:type="dxa"/>
            <w:right w:w="0" w:type="dxa"/>
          </w:tblCellMar>
        </w:tblPrEx>
        <w:trPr>
          <w:trHeight w:val="368" w:hRule="exact"/>
        </w:trPr>
        <w:tc>
          <w:tcPr>
            <w:tcW w:w="930" w:type="dxa"/>
            <w:tcBorders>
              <w:top w:val="single" w:color="010101" w:sz="4" w:space="0"/>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2778" w:type="dxa"/>
            <w:tcBorders>
              <w:top w:val="single" w:color="010101" w:sz="4" w:space="0"/>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4800" w:type="dxa"/>
            <w:tcBorders>
              <w:top w:val="single" w:color="010101" w:sz="4" w:space="0"/>
              <w:left w:val="single" w:color="010101" w:sz="4" w:space="0"/>
              <w:bottom w:val="nil"/>
              <w:right w:val="single" w:color="010101" w:sz="4" w:space="0"/>
            </w:tcBorders>
            <w:vAlign w:val="center"/>
          </w:tcPr>
          <w:p>
            <w:pPr>
              <w:pStyle w:val="27"/>
              <w:spacing w:before="52" w:line="360" w:lineRule="auto"/>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是否要求中标人提交履约保证金：</w:t>
            </w:r>
          </w:p>
        </w:tc>
      </w:tr>
      <w:tr>
        <w:tblPrEx>
          <w:tblCellMar>
            <w:top w:w="0" w:type="dxa"/>
            <w:left w:w="0" w:type="dxa"/>
            <w:bottom w:w="0" w:type="dxa"/>
            <w:right w:w="0" w:type="dxa"/>
          </w:tblCellMar>
        </w:tblPrEx>
        <w:trPr>
          <w:trHeight w:val="411" w:hRule="exact"/>
        </w:trPr>
        <w:tc>
          <w:tcPr>
            <w:tcW w:w="930"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vAlign w:val="center"/>
          </w:tcPr>
          <w:p>
            <w:pPr>
              <w:pStyle w:val="27"/>
              <w:spacing w:line="360" w:lineRule="auto"/>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cs="宋体"/>
                <w:spacing w:val="7"/>
                <w:lang w:eastAsia="zh-CN"/>
              </w:rPr>
              <w:t>■</w:t>
            </w:r>
            <w:r>
              <w:rPr>
                <w:rFonts w:ascii="宋体" w:hAnsi="宋体" w:eastAsia="宋体" w:cs="宋体"/>
                <w:color w:val="000000" w:themeColor="text1"/>
                <w:sz w:val="21"/>
                <w:szCs w:val="21"/>
                <w:lang w:eastAsia="zh-CN"/>
                <w14:textFill>
                  <w14:solidFill>
                    <w14:schemeClr w14:val="tx1"/>
                  </w14:solidFill>
                </w14:textFill>
              </w:rPr>
              <w:t>要求，履约保证金的形式：</w:t>
            </w:r>
            <w:r>
              <w:rPr>
                <w:rFonts w:ascii="宋体" w:hAnsi="宋体" w:eastAsia="宋体" w:cs="宋体"/>
                <w:color w:val="000000" w:themeColor="text1"/>
                <w:sz w:val="21"/>
                <w:szCs w:val="21"/>
                <w:u w:val="single" w:color="010101"/>
                <w:lang w:eastAsia="zh-CN"/>
                <w14:textFill>
                  <w14:solidFill>
                    <w14:schemeClr w14:val="tx1"/>
                  </w14:solidFill>
                </w14:textFill>
              </w:rPr>
              <w:t>由投标人自主选择采</w:t>
            </w:r>
          </w:p>
        </w:tc>
      </w:tr>
      <w:tr>
        <w:tblPrEx>
          <w:tblCellMar>
            <w:top w:w="0" w:type="dxa"/>
            <w:left w:w="0" w:type="dxa"/>
            <w:bottom w:w="0" w:type="dxa"/>
            <w:right w:w="0" w:type="dxa"/>
          </w:tblCellMar>
        </w:tblPrEx>
        <w:trPr>
          <w:trHeight w:val="497" w:hRule="exact"/>
        </w:trPr>
        <w:tc>
          <w:tcPr>
            <w:tcW w:w="930"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4800" w:type="dxa"/>
            <w:tcBorders>
              <w:top w:val="nil"/>
              <w:left w:val="single" w:color="010101" w:sz="4" w:space="0"/>
              <w:bottom w:val="nil"/>
              <w:right w:val="single" w:color="010101" w:sz="4" w:space="0"/>
            </w:tcBorders>
            <w:vAlign w:val="center"/>
          </w:tcPr>
          <w:p>
            <w:pPr>
              <w:pStyle w:val="27"/>
              <w:spacing w:before="4" w:line="360" w:lineRule="auto"/>
              <w:ind w:left="103"/>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u w:val="single" w:color="010101"/>
                <w:lang w:eastAsia="zh-CN"/>
                <w14:textFill>
                  <w14:solidFill>
                    <w14:schemeClr w14:val="tx1"/>
                  </w14:solidFill>
                </w14:textFill>
              </w:rPr>
              <w:t>用现金（或支票）</w:t>
            </w:r>
            <w:r>
              <w:rPr>
                <w:rFonts w:ascii="宋体" w:hAnsi="宋体" w:eastAsia="宋体" w:cs="宋体"/>
                <w:color w:val="000000" w:themeColor="text1"/>
                <w:spacing w:val="-2"/>
                <w:sz w:val="21"/>
                <w:szCs w:val="21"/>
                <w:u w:val="single" w:color="010101"/>
                <w:lang w:eastAsia="zh-CN"/>
                <w14:textFill>
                  <w14:solidFill>
                    <w14:schemeClr w14:val="tx1"/>
                  </w14:solidFill>
                </w14:textFill>
              </w:rPr>
              <w:t>、</w:t>
            </w:r>
            <w:r>
              <w:rPr>
                <w:rFonts w:ascii="宋体" w:hAnsi="宋体" w:eastAsia="宋体" w:cs="宋体"/>
                <w:color w:val="000000" w:themeColor="text1"/>
                <w:sz w:val="21"/>
                <w:szCs w:val="21"/>
                <w:u w:val="single" w:color="010101"/>
                <w:lang w:eastAsia="zh-CN"/>
                <w14:textFill>
                  <w14:solidFill>
                    <w14:schemeClr w14:val="tx1"/>
                  </w14:solidFill>
                </w14:textFill>
              </w:rPr>
              <w:t>或银行保</w:t>
            </w:r>
            <w:r>
              <w:rPr>
                <w:rFonts w:ascii="宋体" w:hAnsi="宋体" w:eastAsia="宋体" w:cs="宋体"/>
                <w:color w:val="000000" w:themeColor="text1"/>
                <w:spacing w:val="1"/>
                <w:sz w:val="21"/>
                <w:szCs w:val="21"/>
                <w:u w:val="single" w:color="010101"/>
                <w:lang w:eastAsia="zh-CN"/>
                <w14:textFill>
                  <w14:solidFill>
                    <w14:schemeClr w14:val="tx1"/>
                  </w14:solidFill>
                </w14:textFill>
              </w:rPr>
              <w:t>函</w:t>
            </w:r>
          </w:p>
        </w:tc>
      </w:tr>
      <w:tr>
        <w:tblPrEx>
          <w:tblCellMar>
            <w:top w:w="0" w:type="dxa"/>
            <w:left w:w="0" w:type="dxa"/>
            <w:bottom w:w="0" w:type="dxa"/>
            <w:right w:w="0" w:type="dxa"/>
          </w:tblCellMar>
        </w:tblPrEx>
        <w:trPr>
          <w:trHeight w:val="847" w:hRule="exact"/>
        </w:trPr>
        <w:tc>
          <w:tcPr>
            <w:tcW w:w="930" w:type="dxa"/>
            <w:tcBorders>
              <w:top w:val="nil"/>
              <w:left w:val="single" w:color="010101" w:sz="4" w:space="0"/>
              <w:bottom w:val="nil"/>
              <w:right w:val="single" w:color="010101" w:sz="4" w:space="0"/>
            </w:tcBorders>
            <w:vAlign w:val="center"/>
          </w:tcPr>
          <w:p>
            <w:pPr>
              <w:pStyle w:val="27"/>
              <w:spacing w:before="2"/>
              <w:rPr>
                <w:rFonts w:ascii="宋体" w:hAnsi="宋体" w:eastAsia="宋体" w:cs="宋体"/>
                <w:color w:val="000000" w:themeColor="text1"/>
                <w:sz w:val="15"/>
                <w:szCs w:val="15"/>
                <w:lang w:eastAsia="zh-CN"/>
                <w14:textFill>
                  <w14:solidFill>
                    <w14:schemeClr w14:val="tx1"/>
                  </w14:solidFill>
                </w14:textFill>
              </w:rPr>
            </w:pPr>
          </w:p>
          <w:p>
            <w:pPr>
              <w:pStyle w:val="27"/>
              <w:ind w:right="1"/>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7.8.1</w:t>
            </w:r>
          </w:p>
        </w:tc>
        <w:tc>
          <w:tcPr>
            <w:tcW w:w="2778" w:type="dxa"/>
            <w:tcBorders>
              <w:top w:val="nil"/>
              <w:left w:val="single" w:color="010101" w:sz="4" w:space="0"/>
              <w:bottom w:val="nil"/>
              <w:right w:val="single" w:color="010101" w:sz="4" w:space="0"/>
            </w:tcBorders>
            <w:vAlign w:val="center"/>
          </w:tcPr>
          <w:p>
            <w:pPr>
              <w:pStyle w:val="27"/>
              <w:spacing w:before="2"/>
              <w:rPr>
                <w:rFonts w:ascii="宋体" w:hAnsi="宋体" w:eastAsia="宋体" w:cs="宋体"/>
                <w:color w:val="000000" w:themeColor="text1"/>
                <w:sz w:val="15"/>
                <w:szCs w:val="15"/>
                <w14:textFill>
                  <w14:solidFill>
                    <w14:schemeClr w14:val="tx1"/>
                  </w14:solidFill>
                </w14:textFill>
              </w:rPr>
            </w:pPr>
          </w:p>
          <w:p>
            <w:pPr>
              <w:pStyle w:val="27"/>
              <w:jc w:val="center"/>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履约保证金</w:t>
            </w:r>
          </w:p>
        </w:tc>
        <w:tc>
          <w:tcPr>
            <w:tcW w:w="4800" w:type="dxa"/>
            <w:vMerge w:val="restart"/>
            <w:tcBorders>
              <w:top w:val="nil"/>
              <w:left w:val="single" w:color="010101" w:sz="4" w:space="0"/>
              <w:right w:val="single" w:color="010101" w:sz="4" w:space="0"/>
            </w:tcBorders>
            <w:vAlign w:val="center"/>
          </w:tcPr>
          <w:p>
            <w:pPr>
              <w:pStyle w:val="27"/>
              <w:tabs>
                <w:tab w:val="left" w:pos="2413"/>
              </w:tabs>
              <w:spacing w:before="17" w:line="360" w:lineRule="auto"/>
              <w:ind w:left="103" w:right="102"/>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pacing w:val="-1"/>
                <w:sz w:val="21"/>
                <w:szCs w:val="21"/>
                <w:lang w:eastAsia="zh-CN"/>
                <w14:textFill>
                  <w14:solidFill>
                    <w14:schemeClr w14:val="tx1"/>
                  </w14:solidFill>
                </w14:textFill>
              </w:rPr>
              <w:t>履约保证金的金额：</w:t>
            </w:r>
            <w:r>
              <w:rPr>
                <w:rFonts w:hint="eastAsia" w:ascii="Times New Roman" w:hAnsi="Times New Roman" w:eastAsia="宋体"/>
                <w:color w:val="000000" w:themeColor="text1"/>
                <w:spacing w:val="-1"/>
                <w:sz w:val="21"/>
                <w:szCs w:val="21"/>
                <w:u w:val="single" w:color="010101"/>
                <w:lang w:eastAsia="zh-CN"/>
                <w14:textFill>
                  <w14:solidFill>
                    <w14:schemeClr w14:val="tx1"/>
                  </w14:solidFill>
                </w14:textFill>
              </w:rPr>
              <w:t>10</w:t>
            </w:r>
            <w:r>
              <w:rPr>
                <w:rFonts w:ascii="宋体" w:hAnsi="宋体" w:eastAsia="宋体" w:cs="宋体"/>
                <w:color w:val="000000" w:themeColor="text1"/>
                <w:sz w:val="21"/>
                <w:szCs w:val="21"/>
                <w:lang w:eastAsia="zh-CN"/>
                <w14:textFill>
                  <w14:solidFill>
                    <w14:schemeClr w14:val="tx1"/>
                  </w14:solidFill>
                </w14:textFill>
              </w:rPr>
              <w:t>％签约合同价</w:t>
            </w:r>
            <w:r>
              <w:rPr>
                <w:rFonts w:hint="eastAsia" w:ascii="宋体" w:hAnsi="宋体" w:eastAsia="宋体" w:cs="宋体"/>
                <w:color w:val="000000" w:themeColor="text1"/>
                <w:sz w:val="21"/>
                <w:szCs w:val="21"/>
                <w:lang w:eastAsia="zh-CN"/>
                <w14:textFill>
                  <w14:solidFill>
                    <w14:schemeClr w14:val="tx1"/>
                  </w14:solidFill>
                </w14:textFill>
              </w:rPr>
              <w:t>；</w:t>
            </w:r>
          </w:p>
          <w:p>
            <w:pPr>
              <w:autoSpaceDE w:val="0"/>
              <w:autoSpaceDN w:val="0"/>
              <w:adjustRightInd w:val="0"/>
              <w:spacing w:line="360" w:lineRule="auto"/>
              <w:rPr>
                <w:rFonts w:ascii="宋体"/>
                <w:color w:val="000000" w:themeColor="text1"/>
                <w:sz w:val="24"/>
                <w:lang w:eastAsia="zh-CN"/>
                <w14:textFill>
                  <w14:solidFill>
                    <w14:schemeClr w14:val="tx1"/>
                  </w14:solidFill>
                </w14:textFill>
              </w:rPr>
            </w:pPr>
            <w:r>
              <w:rPr>
                <w:rFonts w:ascii="宋体" w:hAnsi="宋体" w:eastAsia="宋体" w:cs="宋体"/>
                <w:color w:val="000000" w:themeColor="text1"/>
                <w:spacing w:val="-12"/>
                <w:sz w:val="21"/>
                <w:szCs w:val="21"/>
                <w:lang w:eastAsia="zh-CN"/>
                <w14:textFill>
                  <w14:solidFill>
                    <w14:schemeClr w14:val="tx1"/>
                  </w14:solidFill>
                </w14:textFill>
              </w:rPr>
              <w:t>采用银行保函时，出具保函的银行级别：投标人公司</w:t>
            </w:r>
            <w:r>
              <w:rPr>
                <w:rFonts w:ascii="宋体" w:hAnsi="宋体" w:eastAsia="宋体" w:cs="宋体"/>
                <w:color w:val="000000" w:themeColor="text1"/>
                <w:spacing w:val="8"/>
                <w:sz w:val="21"/>
                <w:szCs w:val="21"/>
                <w:lang w:eastAsia="zh-CN"/>
                <w14:textFill>
                  <w14:solidFill>
                    <w14:schemeClr w14:val="tx1"/>
                  </w14:solidFill>
                </w14:textFill>
              </w:rPr>
              <w:t>注册所在地的全国性国有商业银行或股份制商业</w:t>
            </w:r>
            <w:r>
              <w:rPr>
                <w:rFonts w:ascii="宋体" w:hAnsi="宋体" w:eastAsia="宋体" w:cs="宋体"/>
                <w:color w:val="000000" w:themeColor="text1"/>
                <w:sz w:val="21"/>
                <w:szCs w:val="21"/>
                <w:lang w:eastAsia="zh-CN"/>
                <w14:textFill>
                  <w14:solidFill>
                    <w14:schemeClr w14:val="tx1"/>
                  </w14:solidFill>
                </w14:textFill>
              </w:rPr>
              <w:t>银行的分支机构</w:t>
            </w:r>
            <w:r>
              <w:rPr>
                <w:rFonts w:hint="eastAsia" w:ascii="宋体" w:hAnsi="宋体" w:eastAsia="宋体" w:cs="宋体"/>
                <w:color w:val="000000" w:themeColor="text1"/>
                <w:sz w:val="21"/>
                <w:szCs w:val="21"/>
                <w:lang w:eastAsia="zh-CN"/>
                <w14:textFill>
                  <w14:solidFill>
                    <w14:schemeClr w14:val="tx1"/>
                  </w14:solidFill>
                </w14:textFill>
              </w:rPr>
              <w:t>。政府投资建设项目招标人按规定不能再商业银行出具工程款支付担保函或者财政部门不能出具工程款支付担保证明书的，招标人应与招标人签订支付工程款的承诺协议，作为支付担保的依据。</w:t>
            </w:r>
          </w:p>
          <w:p>
            <w:pPr>
              <w:pStyle w:val="27"/>
              <w:tabs>
                <w:tab w:val="left" w:pos="2413"/>
              </w:tabs>
              <w:spacing w:before="17" w:line="360" w:lineRule="auto"/>
              <w:ind w:left="103" w:right="102"/>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□不要求</w:t>
            </w:r>
          </w:p>
        </w:tc>
      </w:tr>
      <w:tr>
        <w:tblPrEx>
          <w:tblCellMar>
            <w:top w:w="0" w:type="dxa"/>
            <w:left w:w="0" w:type="dxa"/>
            <w:bottom w:w="0" w:type="dxa"/>
            <w:right w:w="0" w:type="dxa"/>
          </w:tblCellMar>
        </w:tblPrEx>
        <w:trPr>
          <w:trHeight w:val="360" w:hRule="exact"/>
        </w:trPr>
        <w:tc>
          <w:tcPr>
            <w:tcW w:w="930"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4800" w:type="dxa"/>
            <w:vMerge w:val="continue"/>
            <w:tcBorders>
              <w:left w:val="single" w:color="010101" w:sz="4" w:space="0"/>
              <w:right w:val="single" w:color="010101" w:sz="4" w:space="0"/>
            </w:tcBorders>
            <w:vAlign w:val="center"/>
          </w:tcPr>
          <w:p>
            <w:pPr>
              <w:pStyle w:val="27"/>
              <w:spacing w:before="10"/>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2535" w:hRule="exact"/>
        </w:trPr>
        <w:tc>
          <w:tcPr>
            <w:tcW w:w="930"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2778" w:type="dxa"/>
            <w:tcBorders>
              <w:top w:val="nil"/>
              <w:left w:val="single" w:color="010101" w:sz="4" w:space="0"/>
              <w:bottom w:val="nil"/>
              <w:right w:val="single" w:color="010101" w:sz="4" w:space="0"/>
            </w:tcBorders>
            <w:vAlign w:val="center"/>
          </w:tcPr>
          <w:p>
            <w:pPr>
              <w:rPr>
                <w:color w:val="000000" w:themeColor="text1"/>
                <w:lang w:eastAsia="zh-CN"/>
                <w14:textFill>
                  <w14:solidFill>
                    <w14:schemeClr w14:val="tx1"/>
                  </w14:solidFill>
                </w14:textFill>
              </w:rPr>
            </w:pPr>
          </w:p>
        </w:tc>
        <w:tc>
          <w:tcPr>
            <w:tcW w:w="4800" w:type="dxa"/>
            <w:vMerge w:val="continue"/>
            <w:tcBorders>
              <w:left w:val="single" w:color="010101" w:sz="4" w:space="0"/>
              <w:bottom w:val="nil"/>
              <w:right w:val="single" w:color="010101" w:sz="4" w:space="0"/>
            </w:tcBorders>
            <w:vAlign w:val="center"/>
          </w:tcPr>
          <w:p>
            <w:pPr>
              <w:pStyle w:val="27"/>
              <w:spacing w:before="10"/>
              <w:ind w:left="103"/>
              <w:rPr>
                <w:rFonts w:ascii="宋体" w:hAnsi="宋体" w:eastAsia="宋体" w:cs="宋体"/>
                <w:color w:val="000000" w:themeColor="text1"/>
                <w:sz w:val="21"/>
                <w:szCs w:val="21"/>
                <w:lang w:eastAsia="zh-CN"/>
                <w14:textFill>
                  <w14:solidFill>
                    <w14:schemeClr w14:val="tx1"/>
                  </w14:solidFill>
                </w14:textFill>
              </w:rPr>
            </w:pPr>
          </w:p>
        </w:tc>
      </w:tr>
      <w:tr>
        <w:tblPrEx>
          <w:tblCellMar>
            <w:top w:w="0" w:type="dxa"/>
            <w:left w:w="0" w:type="dxa"/>
            <w:bottom w:w="0" w:type="dxa"/>
            <w:right w:w="0" w:type="dxa"/>
          </w:tblCellMar>
        </w:tblPrEx>
        <w:trPr>
          <w:trHeight w:val="90" w:hRule="exact"/>
        </w:trPr>
        <w:tc>
          <w:tcPr>
            <w:tcW w:w="930" w:type="dxa"/>
            <w:tcBorders>
              <w:top w:val="nil"/>
              <w:left w:val="single" w:color="010101" w:sz="4" w:space="0"/>
              <w:bottom w:val="single" w:color="010101" w:sz="4" w:space="0"/>
              <w:right w:val="single" w:color="010101" w:sz="4" w:space="0"/>
            </w:tcBorders>
            <w:vAlign w:val="center"/>
          </w:tcPr>
          <w:p>
            <w:pPr>
              <w:rPr>
                <w:color w:val="000000" w:themeColor="text1"/>
                <w:lang w:eastAsia="zh-CN"/>
                <w14:textFill>
                  <w14:solidFill>
                    <w14:schemeClr w14:val="tx1"/>
                  </w14:solidFill>
                </w14:textFill>
              </w:rPr>
            </w:pPr>
          </w:p>
        </w:tc>
        <w:tc>
          <w:tcPr>
            <w:tcW w:w="2778" w:type="dxa"/>
            <w:tcBorders>
              <w:top w:val="nil"/>
              <w:left w:val="single" w:color="010101" w:sz="4" w:space="0"/>
              <w:bottom w:val="single" w:color="010101" w:sz="4" w:space="0"/>
              <w:right w:val="single" w:color="010101" w:sz="4" w:space="0"/>
            </w:tcBorders>
            <w:vAlign w:val="center"/>
          </w:tcPr>
          <w:p>
            <w:pPr>
              <w:rPr>
                <w:color w:val="000000" w:themeColor="text1"/>
                <w:lang w:eastAsia="zh-CN"/>
                <w14:textFill>
                  <w14:solidFill>
                    <w14:schemeClr w14:val="tx1"/>
                  </w14:solidFill>
                </w14:textFill>
              </w:rPr>
            </w:pPr>
          </w:p>
        </w:tc>
        <w:tc>
          <w:tcPr>
            <w:tcW w:w="4800" w:type="dxa"/>
            <w:tcBorders>
              <w:top w:val="nil"/>
              <w:left w:val="single" w:color="010101" w:sz="4" w:space="0"/>
              <w:bottom w:val="single" w:color="010101" w:sz="4" w:space="0"/>
              <w:right w:val="single" w:color="010101" w:sz="4" w:space="0"/>
            </w:tcBorders>
            <w:vAlign w:val="center"/>
          </w:tcPr>
          <w:p>
            <w:pPr>
              <w:pStyle w:val="27"/>
              <w:spacing w:line="360" w:lineRule="exact"/>
              <w:ind w:left="103"/>
              <w:rPr>
                <w:rFonts w:ascii="宋体" w:hAnsi="宋体" w:eastAsia="宋体" w:cs="宋体"/>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505" w:hRule="exact"/>
        </w:trPr>
        <w:tc>
          <w:tcPr>
            <w:tcW w:w="930" w:type="dxa"/>
            <w:vMerge w:val="restart"/>
            <w:tcBorders>
              <w:top w:val="nil"/>
              <w:left w:val="single" w:color="010101" w:sz="4" w:space="0"/>
              <w:right w:val="single" w:color="010101" w:sz="6" w:space="0"/>
            </w:tcBorders>
            <w:vAlign w:val="center"/>
          </w:tcPr>
          <w:p>
            <w:pPr>
              <w:pStyle w:val="27"/>
              <w:spacing w:before="94"/>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8.5.1</w:t>
            </w:r>
          </w:p>
        </w:tc>
        <w:tc>
          <w:tcPr>
            <w:tcW w:w="2778" w:type="dxa"/>
            <w:vMerge w:val="restart"/>
            <w:tcBorders>
              <w:top w:val="nil"/>
              <w:left w:val="single" w:color="010101" w:sz="6" w:space="0"/>
              <w:right w:val="single" w:color="010101" w:sz="6" w:space="0"/>
            </w:tcBorders>
            <w:vAlign w:val="center"/>
          </w:tcPr>
          <w:p>
            <w:pPr>
              <w:jc w:val="center"/>
              <w:rPr>
                <w:rFonts w:ascii="宋体" w:hAnsi="宋体" w:eastAsia="宋体" w:cs="宋体"/>
                <w:sz w:val="21"/>
                <w:szCs w:val="21"/>
                <w:lang w:eastAsia="zh-CN"/>
              </w:rPr>
            </w:pPr>
            <w:r>
              <w:rPr>
                <w:rFonts w:hint="eastAsia" w:ascii="宋体" w:hAnsi="宋体" w:eastAsia="宋体" w:cs="宋体"/>
                <w:sz w:val="21"/>
                <w:szCs w:val="21"/>
                <w:lang w:eastAsia="zh-CN"/>
              </w:rPr>
              <w:t>监督部门</w:t>
            </w:r>
          </w:p>
        </w:tc>
        <w:tc>
          <w:tcPr>
            <w:tcW w:w="4800" w:type="dxa"/>
            <w:tcBorders>
              <w:top w:val="nil"/>
              <w:left w:val="single" w:color="010101" w:sz="6" w:space="0"/>
              <w:bottom w:val="nil"/>
              <w:right w:val="single" w:color="010101" w:sz="4" w:space="0"/>
            </w:tcBorders>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监督部门：阳西县交通运输局</w:t>
            </w:r>
          </w:p>
        </w:tc>
      </w:tr>
      <w:tr>
        <w:tblPrEx>
          <w:tblCellMar>
            <w:top w:w="0" w:type="dxa"/>
            <w:left w:w="0" w:type="dxa"/>
            <w:bottom w:w="0" w:type="dxa"/>
            <w:right w:w="0" w:type="dxa"/>
          </w:tblCellMar>
        </w:tblPrEx>
        <w:trPr>
          <w:trHeight w:val="293" w:hRule="exact"/>
        </w:trPr>
        <w:tc>
          <w:tcPr>
            <w:tcW w:w="930" w:type="dxa"/>
            <w:vMerge w:val="continue"/>
            <w:tcBorders>
              <w:left w:val="single" w:color="010101" w:sz="4" w:space="0"/>
              <w:right w:val="single" w:color="010101" w:sz="6" w:space="0"/>
            </w:tcBorders>
            <w:vAlign w:val="center"/>
          </w:tcPr>
          <w:p>
            <w:pPr>
              <w:rPr>
                <w:color w:val="000000" w:themeColor="text1"/>
                <w:lang w:eastAsia="zh-CN"/>
                <w14:textFill>
                  <w14:solidFill>
                    <w14:schemeClr w14:val="tx1"/>
                  </w14:solidFill>
                </w14:textFill>
              </w:rPr>
            </w:pPr>
          </w:p>
        </w:tc>
        <w:tc>
          <w:tcPr>
            <w:tcW w:w="2778" w:type="dxa"/>
            <w:vMerge w:val="continue"/>
            <w:tcBorders>
              <w:left w:val="single" w:color="010101" w:sz="6" w:space="0"/>
              <w:right w:val="single" w:color="010101" w:sz="6" w:space="0"/>
            </w:tcBorders>
            <w:vAlign w:val="center"/>
          </w:tcPr>
          <w:p>
            <w:pPr>
              <w:rPr>
                <w:rFonts w:ascii="宋体" w:hAnsi="宋体" w:eastAsia="宋体" w:cs="宋体"/>
                <w:sz w:val="21"/>
                <w:szCs w:val="21"/>
                <w:lang w:eastAsia="zh-CN"/>
              </w:rPr>
            </w:pPr>
          </w:p>
        </w:tc>
        <w:tc>
          <w:tcPr>
            <w:tcW w:w="4800" w:type="dxa"/>
            <w:tcBorders>
              <w:top w:val="nil"/>
              <w:left w:val="single" w:color="010101" w:sz="6" w:space="0"/>
              <w:bottom w:val="nil"/>
              <w:right w:val="single" w:color="010101" w:sz="4" w:space="0"/>
            </w:tcBorders>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地址：阳江市阳西县桥平一路89号</w:t>
            </w:r>
          </w:p>
        </w:tc>
      </w:tr>
      <w:tr>
        <w:tblPrEx>
          <w:tblCellMar>
            <w:top w:w="0" w:type="dxa"/>
            <w:left w:w="0" w:type="dxa"/>
            <w:bottom w:w="0" w:type="dxa"/>
            <w:right w:w="0" w:type="dxa"/>
          </w:tblCellMar>
        </w:tblPrEx>
        <w:trPr>
          <w:trHeight w:val="272" w:hRule="exact"/>
        </w:trPr>
        <w:tc>
          <w:tcPr>
            <w:tcW w:w="930" w:type="dxa"/>
            <w:vMerge w:val="continue"/>
            <w:tcBorders>
              <w:left w:val="single" w:color="010101" w:sz="4" w:space="0"/>
              <w:right w:val="single" w:color="010101" w:sz="6" w:space="0"/>
            </w:tcBorders>
            <w:vAlign w:val="center"/>
          </w:tcPr>
          <w:p>
            <w:pPr>
              <w:rPr>
                <w:color w:val="000000" w:themeColor="text1"/>
                <w:lang w:eastAsia="zh-CN"/>
                <w14:textFill>
                  <w14:solidFill>
                    <w14:schemeClr w14:val="tx1"/>
                  </w14:solidFill>
                </w14:textFill>
              </w:rPr>
            </w:pPr>
          </w:p>
        </w:tc>
        <w:tc>
          <w:tcPr>
            <w:tcW w:w="2778" w:type="dxa"/>
            <w:vMerge w:val="continue"/>
            <w:tcBorders>
              <w:left w:val="single" w:color="010101" w:sz="6" w:space="0"/>
              <w:right w:val="single" w:color="010101" w:sz="6" w:space="0"/>
            </w:tcBorders>
            <w:vAlign w:val="center"/>
          </w:tcPr>
          <w:p>
            <w:pPr>
              <w:rPr>
                <w:rFonts w:ascii="宋体" w:hAnsi="宋体" w:eastAsia="宋体" w:cs="宋体"/>
                <w:sz w:val="21"/>
                <w:szCs w:val="21"/>
                <w:lang w:eastAsia="zh-CN"/>
              </w:rPr>
            </w:pPr>
          </w:p>
        </w:tc>
        <w:tc>
          <w:tcPr>
            <w:tcW w:w="4800" w:type="dxa"/>
            <w:tcBorders>
              <w:top w:val="nil"/>
              <w:left w:val="single" w:color="010101" w:sz="6" w:space="0"/>
              <w:bottom w:val="nil"/>
              <w:right w:val="single" w:color="010101" w:sz="4" w:space="0"/>
            </w:tcBorders>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 xml:space="preserve">电话： </w:t>
            </w:r>
          </w:p>
        </w:tc>
      </w:tr>
      <w:tr>
        <w:tblPrEx>
          <w:tblCellMar>
            <w:top w:w="0" w:type="dxa"/>
            <w:left w:w="0" w:type="dxa"/>
            <w:bottom w:w="0" w:type="dxa"/>
            <w:right w:w="0" w:type="dxa"/>
          </w:tblCellMar>
        </w:tblPrEx>
        <w:trPr>
          <w:trHeight w:val="272" w:hRule="exact"/>
        </w:trPr>
        <w:tc>
          <w:tcPr>
            <w:tcW w:w="930" w:type="dxa"/>
            <w:vMerge w:val="continue"/>
            <w:tcBorders>
              <w:left w:val="single" w:color="010101" w:sz="4" w:space="0"/>
              <w:right w:val="single" w:color="010101" w:sz="6" w:space="0"/>
            </w:tcBorders>
            <w:vAlign w:val="center"/>
          </w:tcPr>
          <w:p>
            <w:pPr>
              <w:rPr>
                <w:color w:val="000000" w:themeColor="text1"/>
                <w14:textFill>
                  <w14:solidFill>
                    <w14:schemeClr w14:val="tx1"/>
                  </w14:solidFill>
                </w14:textFill>
              </w:rPr>
            </w:pPr>
          </w:p>
        </w:tc>
        <w:tc>
          <w:tcPr>
            <w:tcW w:w="2778" w:type="dxa"/>
            <w:vMerge w:val="continue"/>
            <w:tcBorders>
              <w:left w:val="single" w:color="010101" w:sz="6" w:space="0"/>
              <w:right w:val="single" w:color="010101" w:sz="6" w:space="0"/>
            </w:tcBorders>
            <w:vAlign w:val="center"/>
          </w:tcPr>
          <w:p>
            <w:pPr>
              <w:rPr>
                <w:rFonts w:ascii="宋体" w:hAnsi="宋体" w:eastAsia="宋体" w:cs="宋体"/>
                <w:sz w:val="21"/>
                <w:szCs w:val="21"/>
                <w:lang w:eastAsia="zh-CN"/>
              </w:rPr>
            </w:pPr>
          </w:p>
        </w:tc>
        <w:tc>
          <w:tcPr>
            <w:tcW w:w="4800" w:type="dxa"/>
            <w:tcBorders>
              <w:top w:val="nil"/>
              <w:left w:val="single" w:color="010101" w:sz="6" w:space="0"/>
              <w:bottom w:val="nil"/>
              <w:right w:val="single" w:color="010101" w:sz="4" w:space="0"/>
            </w:tcBorders>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 xml:space="preserve">传真： </w:t>
            </w:r>
          </w:p>
        </w:tc>
      </w:tr>
      <w:tr>
        <w:tblPrEx>
          <w:tblCellMar>
            <w:top w:w="0" w:type="dxa"/>
            <w:left w:w="0" w:type="dxa"/>
            <w:bottom w:w="0" w:type="dxa"/>
            <w:right w:w="0" w:type="dxa"/>
          </w:tblCellMar>
        </w:tblPrEx>
        <w:trPr>
          <w:trHeight w:val="213" w:hRule="exact"/>
        </w:trPr>
        <w:tc>
          <w:tcPr>
            <w:tcW w:w="930" w:type="dxa"/>
            <w:vMerge w:val="continue"/>
            <w:tcBorders>
              <w:left w:val="single" w:color="010101" w:sz="4" w:space="0"/>
              <w:bottom w:val="nil"/>
              <w:right w:val="single" w:color="010101" w:sz="6" w:space="0"/>
            </w:tcBorders>
            <w:vAlign w:val="center"/>
          </w:tcPr>
          <w:p>
            <w:pPr>
              <w:rPr>
                <w:color w:val="000000" w:themeColor="text1"/>
                <w:lang w:eastAsia="zh-CN"/>
                <w14:textFill>
                  <w14:solidFill>
                    <w14:schemeClr w14:val="tx1"/>
                  </w14:solidFill>
                </w14:textFill>
              </w:rPr>
            </w:pPr>
          </w:p>
        </w:tc>
        <w:tc>
          <w:tcPr>
            <w:tcW w:w="2778" w:type="dxa"/>
            <w:vMerge w:val="continue"/>
            <w:tcBorders>
              <w:left w:val="single" w:color="010101" w:sz="6" w:space="0"/>
              <w:bottom w:val="nil"/>
              <w:right w:val="single" w:color="010101" w:sz="6" w:space="0"/>
            </w:tcBorders>
            <w:vAlign w:val="center"/>
          </w:tcPr>
          <w:p>
            <w:pPr>
              <w:rPr>
                <w:rFonts w:ascii="宋体" w:hAnsi="宋体" w:eastAsia="宋体" w:cs="宋体"/>
                <w:sz w:val="21"/>
                <w:szCs w:val="21"/>
                <w:lang w:eastAsia="zh-CN"/>
              </w:rPr>
            </w:pPr>
          </w:p>
        </w:tc>
        <w:tc>
          <w:tcPr>
            <w:tcW w:w="4800" w:type="dxa"/>
            <w:tcBorders>
              <w:top w:val="nil"/>
              <w:left w:val="single" w:color="010101" w:sz="6" w:space="0"/>
              <w:bottom w:val="nil"/>
              <w:right w:val="single" w:color="010101" w:sz="4" w:space="0"/>
            </w:tcBorders>
            <w:vAlign w:val="center"/>
          </w:tcPr>
          <w:p>
            <w:pPr>
              <w:rPr>
                <w:rFonts w:ascii="宋体" w:hAnsi="宋体" w:eastAsia="宋体" w:cs="宋体"/>
                <w:sz w:val="21"/>
                <w:szCs w:val="21"/>
                <w:lang w:eastAsia="zh-CN"/>
              </w:rPr>
            </w:pPr>
            <w:r>
              <w:rPr>
                <w:rFonts w:hint="eastAsia" w:ascii="宋体" w:hAnsi="宋体" w:eastAsia="宋体" w:cs="宋体"/>
                <w:sz w:val="21"/>
                <w:szCs w:val="21"/>
                <w:lang w:eastAsia="zh-CN"/>
              </w:rPr>
              <w:t>邮政编码：529800</w:t>
            </w:r>
          </w:p>
        </w:tc>
      </w:tr>
      <w:tr>
        <w:tblPrEx>
          <w:tblCellMar>
            <w:top w:w="0" w:type="dxa"/>
            <w:left w:w="0" w:type="dxa"/>
            <w:bottom w:w="0" w:type="dxa"/>
            <w:right w:w="0" w:type="dxa"/>
          </w:tblCellMar>
        </w:tblPrEx>
        <w:trPr>
          <w:trHeight w:val="730" w:hRule="exact"/>
        </w:trPr>
        <w:tc>
          <w:tcPr>
            <w:tcW w:w="930" w:type="dxa"/>
            <w:tcBorders>
              <w:top w:val="single" w:color="010101" w:sz="4" w:space="0"/>
              <w:left w:val="single" w:color="010101" w:sz="4" w:space="0"/>
              <w:bottom w:val="single" w:color="010101" w:sz="4" w:space="0"/>
              <w:right w:val="single" w:color="010101" w:sz="6" w:space="0"/>
            </w:tcBorders>
            <w:vAlign w:val="center"/>
          </w:tcPr>
          <w:p>
            <w:pPr>
              <w:pStyle w:val="27"/>
              <w:spacing w:before="146"/>
              <w:jc w:val="center"/>
              <w:rPr>
                <w:rFonts w:ascii="宋体" w:hAnsi="宋体" w:eastAsia="宋体" w:cs="宋体"/>
                <w:color w:val="000000" w:themeColor="text1"/>
                <w:sz w:val="21"/>
                <w:szCs w:val="21"/>
                <w14:textFill>
                  <w14:solidFill>
                    <w14:schemeClr w14:val="tx1"/>
                  </w14:solidFill>
                </w14:textFill>
              </w:rPr>
            </w:pPr>
            <w:r>
              <w:rPr>
                <w:rFonts w:ascii="宋体"/>
                <w:color w:val="000000" w:themeColor="text1"/>
                <w:sz w:val="21"/>
                <w14:textFill>
                  <w14:solidFill>
                    <w14:schemeClr w14:val="tx1"/>
                  </w14:solidFill>
                </w14:textFill>
              </w:rPr>
              <w:t>9</w:t>
            </w:r>
          </w:p>
        </w:tc>
        <w:tc>
          <w:tcPr>
            <w:tcW w:w="2778" w:type="dxa"/>
            <w:tcBorders>
              <w:top w:val="single" w:color="010101" w:sz="4" w:space="0"/>
              <w:left w:val="single" w:color="010101" w:sz="6" w:space="0"/>
              <w:bottom w:val="single" w:color="010101" w:sz="4" w:space="0"/>
              <w:right w:val="single" w:color="010101" w:sz="6" w:space="0"/>
            </w:tcBorders>
            <w:vAlign w:val="center"/>
          </w:tcPr>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是否采用电子招标投标</w:t>
            </w:r>
          </w:p>
        </w:tc>
        <w:tc>
          <w:tcPr>
            <w:tcW w:w="4800" w:type="dxa"/>
            <w:tcBorders>
              <w:top w:val="single" w:color="010101" w:sz="4" w:space="0"/>
              <w:left w:val="single" w:color="010101" w:sz="6" w:space="0"/>
              <w:bottom w:val="single" w:color="010101" w:sz="4" w:space="0"/>
              <w:right w:val="single" w:color="010101" w:sz="4" w:space="0"/>
            </w:tcBorders>
            <w:vAlign w:val="center"/>
          </w:tcPr>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■否</w:t>
            </w:r>
          </w:p>
          <w:p>
            <w:pPr>
              <w:pStyle w:val="27"/>
              <w:spacing w:before="58"/>
              <w:ind w:left="103"/>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□是，具体要求：</w:t>
            </w:r>
          </w:p>
        </w:tc>
      </w:tr>
    </w:tbl>
    <w:p>
      <w:pPr>
        <w:rPr>
          <w:rFonts w:ascii="宋体" w:hAnsi="宋体" w:eastAsia="宋体" w:cs="宋体"/>
          <w:color w:val="000000" w:themeColor="text1"/>
          <w:sz w:val="20"/>
          <w:szCs w:val="20"/>
          <w14:textFill>
            <w14:solidFill>
              <w14:schemeClr w14:val="tx1"/>
            </w14:solidFill>
          </w14:textFill>
        </w:rPr>
      </w:pPr>
    </w:p>
    <w:p>
      <w:pPr>
        <w:spacing w:line="248" w:lineRule="exact"/>
        <w:rPr>
          <w:rFonts w:ascii="宋体" w:hAnsi="宋体" w:eastAsia="宋体" w:cs="宋体"/>
          <w:color w:val="000000" w:themeColor="text1"/>
          <w:sz w:val="18"/>
          <w:szCs w:val="18"/>
          <w:lang w:eastAsia="zh-CN"/>
          <w14:textFill>
            <w14:solidFill>
              <w14:schemeClr w14:val="tx1"/>
            </w14:solidFill>
          </w14:textFill>
        </w:rPr>
        <w:sectPr>
          <w:pgSz w:w="11910" w:h="16840"/>
          <w:pgMar w:top="1240" w:right="1580" w:bottom="1520" w:left="1580" w:header="968" w:footer="1338" w:gutter="0"/>
          <w:cols w:space="720" w:num="1"/>
        </w:sectPr>
      </w:pPr>
    </w:p>
    <w:p>
      <w:pPr>
        <w:pStyle w:val="14"/>
        <w:tabs>
          <w:tab w:val="left" w:pos="2983"/>
        </w:tabs>
        <w:spacing w:after="42"/>
        <w:ind w:right="84"/>
        <w:jc w:val="righ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续上表</w:t>
      </w:r>
    </w:p>
    <w:tbl>
      <w:tblPr>
        <w:tblStyle w:val="23"/>
        <w:tblW w:w="9083"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83" w:type="dxa"/>
            <w:gridSpan w:val="2"/>
            <w:vAlign w:val="center"/>
          </w:tcPr>
          <w:p>
            <w:pPr>
              <w:spacing w:line="360" w:lineRule="auto"/>
              <w:jc w:val="center"/>
              <w:rPr>
                <w:b/>
                <w:sz w:val="21"/>
                <w:szCs w:val="21"/>
              </w:rPr>
            </w:pPr>
            <w:r>
              <w:rPr>
                <w:rFonts w:hint="eastAsia"/>
                <w:b/>
                <w:sz w:val="21"/>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825" w:type="dxa"/>
            <w:vAlign w:val="center"/>
          </w:tcPr>
          <w:p>
            <w:pPr>
              <w:spacing w:line="360" w:lineRule="auto"/>
              <w:jc w:val="center"/>
              <w:rPr>
                <w:b/>
                <w:sz w:val="21"/>
                <w:szCs w:val="21"/>
              </w:rPr>
            </w:pPr>
            <w:r>
              <w:rPr>
                <w:rFonts w:hint="eastAsia" w:hAnsi="宋体"/>
                <w:b/>
                <w:sz w:val="21"/>
                <w:szCs w:val="21"/>
              </w:rPr>
              <w:t>条款号</w:t>
            </w:r>
          </w:p>
        </w:tc>
        <w:tc>
          <w:tcPr>
            <w:tcW w:w="8258" w:type="dxa"/>
            <w:vAlign w:val="center"/>
          </w:tcPr>
          <w:p>
            <w:pPr>
              <w:spacing w:line="360" w:lineRule="auto"/>
              <w:jc w:val="center"/>
              <w:rPr>
                <w:b/>
                <w:sz w:val="21"/>
                <w:szCs w:val="21"/>
              </w:rPr>
            </w:pPr>
            <w:r>
              <w:rPr>
                <w:rFonts w:hint="eastAsia"/>
                <w:b/>
                <w:sz w:val="21"/>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825" w:type="dxa"/>
            <w:vAlign w:val="center"/>
          </w:tcPr>
          <w:p>
            <w:pPr>
              <w:spacing w:line="360" w:lineRule="auto"/>
              <w:jc w:val="center"/>
              <w:rPr>
                <w:rFonts w:hAnsi="宋体"/>
                <w:sz w:val="21"/>
                <w:szCs w:val="21"/>
              </w:rPr>
            </w:pPr>
            <w:r>
              <w:rPr>
                <w:rFonts w:hint="eastAsia" w:hAnsi="宋体"/>
                <w:sz w:val="21"/>
                <w:szCs w:val="21"/>
              </w:rPr>
              <w:t>1.4.4</w:t>
            </w:r>
          </w:p>
        </w:tc>
        <w:tc>
          <w:tcPr>
            <w:tcW w:w="8258" w:type="dxa"/>
            <w:vAlign w:val="center"/>
          </w:tcPr>
          <w:p>
            <w:pPr>
              <w:spacing w:line="360" w:lineRule="auto"/>
              <w:ind w:firstLine="420"/>
              <w:rPr>
                <w:sz w:val="21"/>
                <w:szCs w:val="21"/>
                <w:lang w:eastAsia="zh-CN"/>
              </w:rPr>
            </w:pPr>
            <w:r>
              <w:rPr>
                <w:rFonts w:hint="eastAsia"/>
                <w:sz w:val="21"/>
                <w:szCs w:val="21"/>
                <w:lang w:eastAsia="zh-CN"/>
              </w:rPr>
              <w:t>投标人须知正文1.4.4项内容修改如下：</w:t>
            </w:r>
          </w:p>
          <w:p>
            <w:pPr>
              <w:spacing w:line="360" w:lineRule="auto"/>
              <w:rPr>
                <w:sz w:val="21"/>
                <w:szCs w:val="21"/>
                <w:lang w:eastAsia="zh-CN"/>
              </w:rPr>
            </w:pPr>
            <w:r>
              <w:rPr>
                <w:rFonts w:hint="eastAsia"/>
                <w:sz w:val="21"/>
                <w:szCs w:val="21"/>
                <w:lang w:eastAsia="zh-CN"/>
              </w:rPr>
              <w:t>第 1.4.4 项中（1）目中的“招标项目所在地”指“广东省”。</w:t>
            </w:r>
          </w:p>
          <w:p>
            <w:pPr>
              <w:spacing w:line="360" w:lineRule="auto"/>
              <w:rPr>
                <w:sz w:val="21"/>
                <w:szCs w:val="21"/>
                <w:lang w:eastAsia="zh-CN"/>
              </w:rPr>
            </w:pPr>
            <w:r>
              <w:rPr>
                <w:rFonts w:hint="eastAsia"/>
                <w:sz w:val="21"/>
                <w:szCs w:val="21"/>
                <w:lang w:eastAsia="zh-CN"/>
              </w:rPr>
              <w:t>第 1.4.4 项中（6）目内容修改如下：</w:t>
            </w:r>
          </w:p>
          <w:p>
            <w:pPr>
              <w:spacing w:line="360" w:lineRule="auto"/>
              <w:rPr>
                <w:sz w:val="21"/>
                <w:szCs w:val="21"/>
                <w:lang w:eastAsia="zh-CN"/>
              </w:rPr>
            </w:pPr>
            <w:r>
              <w:rPr>
                <w:rFonts w:hint="eastAsia"/>
                <w:sz w:val="21"/>
                <w:szCs w:val="21"/>
                <w:lang w:eastAsia="zh-CN"/>
              </w:rPr>
              <w:t>投标人及其法定代表人、拟委任的项目负责人（含备选）在近三年内有行贿犯罪行为的。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pPr>
              <w:spacing w:line="360" w:lineRule="auto"/>
              <w:jc w:val="center"/>
              <w:rPr>
                <w:sz w:val="21"/>
                <w:szCs w:val="21"/>
              </w:rPr>
            </w:pPr>
            <w:r>
              <w:rPr>
                <w:sz w:val="21"/>
                <w:szCs w:val="21"/>
              </w:rPr>
              <w:t>3.5.2</w:t>
            </w:r>
          </w:p>
        </w:tc>
        <w:tc>
          <w:tcPr>
            <w:tcW w:w="8258" w:type="dxa"/>
            <w:vAlign w:val="center"/>
          </w:tcPr>
          <w:p>
            <w:pPr>
              <w:spacing w:line="360" w:lineRule="auto"/>
              <w:ind w:firstLine="210" w:firstLineChars="100"/>
              <w:rPr>
                <w:sz w:val="21"/>
                <w:szCs w:val="21"/>
                <w:highlight w:val="none"/>
                <w:lang w:eastAsia="zh-CN"/>
              </w:rPr>
            </w:pPr>
            <w:r>
              <w:rPr>
                <w:rFonts w:hint="eastAsia"/>
                <w:b/>
                <w:sz w:val="21"/>
                <w:szCs w:val="21"/>
                <w:lang w:eastAsia="zh-CN"/>
              </w:rPr>
              <w:t>投标人须知正文第</w:t>
            </w:r>
            <w:r>
              <w:rPr>
                <w:b/>
                <w:sz w:val="21"/>
                <w:szCs w:val="21"/>
                <w:lang w:eastAsia="zh-CN"/>
              </w:rPr>
              <w:t>3.5.</w:t>
            </w:r>
            <w:r>
              <w:rPr>
                <w:b/>
                <w:sz w:val="21"/>
                <w:szCs w:val="21"/>
                <w:highlight w:val="none"/>
                <w:lang w:eastAsia="zh-CN"/>
              </w:rPr>
              <w:t>2</w:t>
            </w:r>
            <w:r>
              <w:rPr>
                <w:rFonts w:hint="eastAsia"/>
                <w:b/>
                <w:sz w:val="21"/>
                <w:szCs w:val="21"/>
                <w:highlight w:val="none"/>
                <w:lang w:eastAsia="zh-CN"/>
              </w:rPr>
              <w:t>项内容修改如下</w:t>
            </w:r>
            <w:r>
              <w:rPr>
                <w:rFonts w:hint="eastAsia"/>
                <w:sz w:val="21"/>
                <w:szCs w:val="21"/>
                <w:highlight w:val="none"/>
                <w:lang w:eastAsia="zh-CN"/>
              </w:rPr>
              <w:t>：</w:t>
            </w:r>
          </w:p>
          <w:p>
            <w:pPr>
              <w:spacing w:line="360" w:lineRule="auto"/>
              <w:ind w:firstLine="420" w:firstLineChars="200"/>
              <w:rPr>
                <w:sz w:val="21"/>
                <w:szCs w:val="21"/>
                <w:lang w:eastAsia="zh-CN"/>
              </w:rPr>
            </w:pPr>
            <w:r>
              <w:rPr>
                <w:rFonts w:hint="eastAsia"/>
                <w:sz w:val="21"/>
                <w:szCs w:val="21"/>
                <w:highlight w:val="none"/>
                <w:lang w:eastAsia="zh-CN"/>
              </w:rPr>
              <w:t>“近年完成的类</w:t>
            </w:r>
            <w:r>
              <w:rPr>
                <w:rFonts w:hint="eastAsia"/>
                <w:sz w:val="21"/>
                <w:szCs w:val="21"/>
                <w:lang w:eastAsia="zh-CN"/>
              </w:rPr>
              <w:t>似项目”是指完成过1座公路桥梁（大桥或以上等级）的勘察设计工作业绩，应是已列入交通运输主管部门“公路建设市场信用信息管理系统”并公开的“初步设计已批复或施工图设计已批复”的主包业绩或分包业绩，业绩的计算时间以交通运输部“全国公路建设市场信用信息管理系统”中体现的该业绩的初步设计批复或施工图设计审查（批）时间为准。具体时间要求见投标人须知前附表。</w:t>
            </w:r>
          </w:p>
          <w:p>
            <w:pPr>
              <w:spacing w:line="360" w:lineRule="auto"/>
              <w:rPr>
                <w:sz w:val="21"/>
                <w:szCs w:val="21"/>
                <w:lang w:eastAsia="zh-CN"/>
              </w:rPr>
            </w:pPr>
            <w:r>
              <w:rPr>
                <w:rFonts w:hint="eastAsia"/>
                <w:sz w:val="21"/>
                <w:szCs w:val="21"/>
                <w:lang w:eastAsia="zh-CN"/>
              </w:rPr>
              <w:t>“近年完成的类似项目情况表”应附在交通运输部“全国公路建设市场信用信息管理系统”（网址：http://glxy.mot.gov.cn/BM/）中查询到的企业“业绩信息”相关项目网页截图复印件或网页打印件，即包括“工程名称”“项目类型”“合同价”“技术等级”“主要设计内容”“人员履约信息”等栏目在内的项目详细信息网页截图复印件或网页打印件。除网页截图复印件或网页打印件外，投标人无须再提供任何业绩证明材料。</w:t>
            </w:r>
          </w:p>
          <w:p>
            <w:pPr>
              <w:spacing w:line="360" w:lineRule="auto"/>
              <w:rPr>
                <w:sz w:val="21"/>
                <w:szCs w:val="21"/>
                <w:lang w:eastAsia="zh-CN"/>
              </w:rPr>
            </w:pPr>
            <w:r>
              <w:rPr>
                <w:rFonts w:hint="eastAsia"/>
                <w:sz w:val="21"/>
                <w:szCs w:val="21"/>
                <w:lang w:eastAsia="zh-CN"/>
              </w:rPr>
              <w:t>如投标人未提供相关项目网页截图复印件或相关项目网页截图中的信息无法证实投标人满足招标文件规定的资格审查条件（业绩最低要求）或评标办法评分标准（如有），则该项目业绩不予认定。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pPr>
              <w:spacing w:line="360" w:lineRule="auto"/>
              <w:jc w:val="center"/>
              <w:rPr>
                <w:sz w:val="21"/>
                <w:szCs w:val="21"/>
              </w:rPr>
            </w:pPr>
            <w:r>
              <w:rPr>
                <w:rFonts w:hint="eastAsia"/>
                <w:sz w:val="21"/>
                <w:szCs w:val="21"/>
              </w:rPr>
              <w:t>3.5.3</w:t>
            </w:r>
          </w:p>
        </w:tc>
        <w:tc>
          <w:tcPr>
            <w:tcW w:w="8258" w:type="dxa"/>
            <w:vAlign w:val="center"/>
          </w:tcPr>
          <w:p>
            <w:pPr>
              <w:spacing w:line="360" w:lineRule="auto"/>
              <w:ind w:firstLine="210" w:firstLineChars="100"/>
              <w:rPr>
                <w:sz w:val="21"/>
                <w:szCs w:val="21"/>
                <w:lang w:eastAsia="zh-CN"/>
              </w:rPr>
            </w:pPr>
            <w:r>
              <w:rPr>
                <w:rFonts w:hint="eastAsia"/>
                <w:b/>
                <w:sz w:val="21"/>
                <w:szCs w:val="21"/>
                <w:lang w:eastAsia="zh-CN"/>
              </w:rPr>
              <w:t>投标人须知正文第</w:t>
            </w:r>
            <w:r>
              <w:rPr>
                <w:b/>
                <w:sz w:val="21"/>
                <w:szCs w:val="21"/>
                <w:lang w:eastAsia="zh-CN"/>
              </w:rPr>
              <w:t>3.5.</w:t>
            </w:r>
            <w:r>
              <w:rPr>
                <w:rFonts w:hint="eastAsia"/>
                <w:b/>
                <w:sz w:val="21"/>
                <w:szCs w:val="21"/>
                <w:lang w:eastAsia="zh-CN"/>
              </w:rPr>
              <w:t>3项内容修改如下</w:t>
            </w:r>
            <w:r>
              <w:rPr>
                <w:rFonts w:hint="eastAsia"/>
                <w:sz w:val="21"/>
                <w:szCs w:val="21"/>
                <w:lang w:eastAsia="zh-CN"/>
              </w:rPr>
              <w:t>：</w:t>
            </w:r>
          </w:p>
          <w:p>
            <w:pPr>
              <w:spacing w:line="360" w:lineRule="auto"/>
              <w:ind w:firstLine="210" w:firstLineChars="100"/>
              <w:rPr>
                <w:sz w:val="21"/>
                <w:szCs w:val="21"/>
                <w:lang w:eastAsia="zh-CN"/>
              </w:rPr>
            </w:pPr>
            <w:r>
              <w:rPr>
                <w:rFonts w:ascii="Times New Roman" w:hAnsi="Times New Roman"/>
                <w:sz w:val="21"/>
                <w:szCs w:val="21"/>
                <w:lang w:eastAsia="zh-CN"/>
              </w:rPr>
              <w:t>“</w:t>
            </w:r>
            <w:r>
              <w:rPr>
                <w:rFonts w:hint="eastAsia" w:ascii="Times New Roman" w:hAnsi="Times New Roman"/>
                <w:sz w:val="21"/>
                <w:szCs w:val="21"/>
                <w:lang w:eastAsia="zh-CN"/>
              </w:rPr>
              <w:t>投标人的信誉情况表</w:t>
            </w:r>
            <w:r>
              <w:rPr>
                <w:rFonts w:ascii="Times New Roman" w:hAnsi="Times New Roman"/>
                <w:sz w:val="21"/>
                <w:szCs w:val="21"/>
                <w:lang w:eastAsia="zh-CN"/>
              </w:rPr>
              <w:t>”</w:t>
            </w:r>
            <w:r>
              <w:rPr>
                <w:rFonts w:hint="eastAsia" w:ascii="Times New Roman" w:hAnsi="Times New Roman"/>
                <w:sz w:val="21"/>
                <w:szCs w:val="21"/>
                <w:lang w:eastAsia="zh-CN"/>
              </w:rPr>
              <w:t>应附投标人在国家企业信用信息公示系统中未被列入严重违法失信企业名单、在</w:t>
            </w:r>
            <w:r>
              <w:rPr>
                <w:rFonts w:ascii="Times New Roman" w:hAnsi="Times New Roman"/>
                <w:sz w:val="21"/>
                <w:szCs w:val="21"/>
                <w:lang w:eastAsia="zh-CN"/>
              </w:rPr>
              <w:t>“</w:t>
            </w:r>
            <w:r>
              <w:rPr>
                <w:rFonts w:hint="eastAsia" w:ascii="Times New Roman" w:hAnsi="Times New Roman"/>
                <w:sz w:val="21"/>
                <w:szCs w:val="21"/>
                <w:lang w:eastAsia="zh-CN"/>
              </w:rPr>
              <w:t>信用中国</w:t>
            </w:r>
            <w:r>
              <w:rPr>
                <w:rFonts w:ascii="Times New Roman" w:hAnsi="Times New Roman"/>
                <w:sz w:val="21"/>
                <w:szCs w:val="21"/>
                <w:lang w:eastAsia="zh-CN"/>
              </w:rPr>
              <w:t>”</w:t>
            </w:r>
            <w:r>
              <w:rPr>
                <w:rFonts w:hint="eastAsia" w:ascii="Times New Roman" w:hAnsi="Times New Roman"/>
                <w:sz w:val="21"/>
                <w:szCs w:val="21"/>
                <w:lang w:eastAsia="zh-CN"/>
              </w:rPr>
              <w:t>网站中未被列入失信被执行人名单的网页截图复印件或网页打印件，以及投标人及其法定代表人、拟委任的项目负责人在近三年内均无行贿犯罪行为。若近三年均无行贿犯罪行为的，投标人应在投标文件中提交近三年无行贿犯罪行为的承诺书（格式自拟），投标人须对承诺的内容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pPr>
              <w:spacing w:line="360" w:lineRule="auto"/>
              <w:jc w:val="center"/>
              <w:rPr>
                <w:sz w:val="21"/>
                <w:szCs w:val="21"/>
              </w:rPr>
            </w:pPr>
            <w:r>
              <w:rPr>
                <w:sz w:val="21"/>
                <w:szCs w:val="21"/>
              </w:rPr>
              <w:t>3.5.4</w:t>
            </w:r>
          </w:p>
        </w:tc>
        <w:tc>
          <w:tcPr>
            <w:tcW w:w="8258" w:type="dxa"/>
            <w:vAlign w:val="center"/>
          </w:tcPr>
          <w:p>
            <w:pPr>
              <w:spacing w:line="360" w:lineRule="auto"/>
              <w:ind w:firstLine="210" w:firstLineChars="100"/>
              <w:rPr>
                <w:sz w:val="21"/>
                <w:szCs w:val="21"/>
                <w:lang w:eastAsia="zh-CN"/>
              </w:rPr>
            </w:pPr>
            <w:r>
              <w:rPr>
                <w:rFonts w:hint="eastAsia"/>
                <w:b/>
                <w:sz w:val="21"/>
                <w:szCs w:val="21"/>
                <w:lang w:eastAsia="zh-CN"/>
              </w:rPr>
              <w:t>投标人须知正文第</w:t>
            </w:r>
            <w:r>
              <w:rPr>
                <w:b/>
                <w:sz w:val="21"/>
                <w:szCs w:val="21"/>
                <w:lang w:eastAsia="zh-CN"/>
              </w:rPr>
              <w:t>3.5.4</w:t>
            </w:r>
            <w:r>
              <w:rPr>
                <w:rFonts w:hint="eastAsia"/>
                <w:b/>
                <w:sz w:val="21"/>
                <w:szCs w:val="21"/>
                <w:lang w:eastAsia="zh-CN"/>
              </w:rPr>
              <w:t>项内容修改如下</w:t>
            </w:r>
            <w:r>
              <w:rPr>
                <w:rFonts w:hint="eastAsia"/>
                <w:sz w:val="21"/>
                <w:szCs w:val="21"/>
                <w:lang w:eastAsia="zh-CN"/>
              </w:rPr>
              <w:t>：</w:t>
            </w:r>
          </w:p>
          <w:p>
            <w:pPr>
              <w:spacing w:line="360" w:lineRule="auto"/>
              <w:ind w:firstLine="420" w:firstLineChars="200"/>
              <w:rPr>
                <w:sz w:val="21"/>
                <w:szCs w:val="21"/>
                <w:lang w:eastAsia="zh-CN"/>
              </w:rPr>
            </w:pPr>
            <w:r>
              <w:rPr>
                <w:rFonts w:hint="eastAsia"/>
                <w:sz w:val="21"/>
                <w:szCs w:val="21"/>
                <w:lang w:eastAsia="zh-CN"/>
              </w:rPr>
              <w:t>“拟委任的项目负责人资历表”应同时附：</w:t>
            </w:r>
          </w:p>
          <w:p>
            <w:pPr>
              <w:spacing w:line="360" w:lineRule="auto"/>
              <w:ind w:firstLine="420" w:firstLineChars="200"/>
              <w:rPr>
                <w:sz w:val="21"/>
                <w:szCs w:val="21"/>
                <w:lang w:eastAsia="zh-CN"/>
              </w:rPr>
            </w:pPr>
            <w:r>
              <w:rPr>
                <w:rFonts w:hint="eastAsia"/>
                <w:sz w:val="21"/>
                <w:szCs w:val="21"/>
                <w:lang w:eastAsia="zh-CN"/>
              </w:rPr>
              <w:t>①项目负责人的身份证、职称资格证书和资格审查条件所要求的其他相关证书的复印件。</w:t>
            </w:r>
          </w:p>
          <w:p>
            <w:pPr>
              <w:spacing w:line="360" w:lineRule="auto"/>
              <w:ind w:firstLine="420" w:firstLineChars="200"/>
              <w:rPr>
                <w:sz w:val="21"/>
                <w:szCs w:val="21"/>
                <w:lang w:eastAsia="zh-CN"/>
              </w:rPr>
            </w:pPr>
            <w:r>
              <w:rPr>
                <w:rFonts w:hint="eastAsia"/>
                <w:sz w:val="21"/>
                <w:szCs w:val="21"/>
                <w:lang w:eastAsia="zh-CN"/>
              </w:rPr>
              <w:t>②交通运输部“全国公路建设市场信用信息管理系统”中查询到的企业“人员信息”相关网页截图复印件或网页打印件，即包括人员的“基本信息”、“职称信息”、“执业资格”、“个人业绩”等栏目在内）的网页截图复印件或网页打印件。如投标人未提供相关网页截图复印件或相关网页截图中的信息无法证实投标人满足招标文件规定的资格审查条件（项目负责人最低要求）或评标办法评分标准（如有），则该人员相应信息不予认定。</w:t>
            </w:r>
          </w:p>
          <w:p>
            <w:pPr>
              <w:spacing w:line="360" w:lineRule="auto"/>
              <w:ind w:firstLine="420" w:firstLineChars="200"/>
              <w:rPr>
                <w:sz w:val="21"/>
                <w:szCs w:val="21"/>
                <w:lang w:eastAsia="zh-CN"/>
              </w:rPr>
            </w:pPr>
            <w:r>
              <w:rPr>
                <w:rFonts w:hint="eastAsia"/>
                <w:sz w:val="21"/>
                <w:szCs w:val="21"/>
                <w:lang w:eastAsia="zh-CN"/>
              </w:rPr>
              <w:t>②投标人所属社保机构出具的拟委任的项目负责人的社保缴费证明或其他能够证明拟委任的项目负责人参加社保的有效证明材料复印件。（社保时段为投标文件递交截止日前半年时间内连续不少于三个月）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pPr>
              <w:spacing w:line="360" w:lineRule="auto"/>
              <w:jc w:val="center"/>
              <w:rPr>
                <w:sz w:val="21"/>
                <w:szCs w:val="21"/>
              </w:rPr>
            </w:pPr>
            <w:r>
              <w:rPr>
                <w:sz w:val="21"/>
                <w:szCs w:val="21"/>
              </w:rPr>
              <w:t>3.5.</w:t>
            </w:r>
            <w:r>
              <w:rPr>
                <w:rFonts w:hint="eastAsia"/>
                <w:sz w:val="21"/>
                <w:szCs w:val="21"/>
              </w:rPr>
              <w:t>5</w:t>
            </w:r>
          </w:p>
        </w:tc>
        <w:tc>
          <w:tcPr>
            <w:tcW w:w="8258" w:type="dxa"/>
            <w:vAlign w:val="center"/>
          </w:tcPr>
          <w:p>
            <w:pPr>
              <w:spacing w:line="360" w:lineRule="auto"/>
              <w:ind w:firstLine="210" w:firstLineChars="100"/>
              <w:rPr>
                <w:sz w:val="21"/>
                <w:szCs w:val="21"/>
                <w:lang w:eastAsia="zh-CN"/>
              </w:rPr>
            </w:pPr>
            <w:r>
              <w:rPr>
                <w:rFonts w:hint="eastAsia"/>
                <w:b/>
                <w:sz w:val="21"/>
                <w:szCs w:val="21"/>
                <w:lang w:eastAsia="zh-CN"/>
              </w:rPr>
              <w:t>投标人须知正文第</w:t>
            </w:r>
            <w:r>
              <w:rPr>
                <w:b/>
                <w:sz w:val="21"/>
                <w:szCs w:val="21"/>
                <w:lang w:eastAsia="zh-CN"/>
              </w:rPr>
              <w:t>3.5.</w:t>
            </w:r>
            <w:r>
              <w:rPr>
                <w:rFonts w:hint="eastAsia"/>
                <w:b/>
                <w:sz w:val="21"/>
                <w:szCs w:val="21"/>
                <w:lang w:eastAsia="zh-CN"/>
              </w:rPr>
              <w:t>5项内容修改如下</w:t>
            </w:r>
            <w:r>
              <w:rPr>
                <w:rFonts w:hint="eastAsia"/>
                <w:sz w:val="21"/>
                <w:szCs w:val="21"/>
                <w:lang w:eastAsia="zh-CN"/>
              </w:rPr>
              <w:t>：</w:t>
            </w:r>
          </w:p>
          <w:p>
            <w:pPr>
              <w:spacing w:line="360" w:lineRule="auto"/>
              <w:ind w:firstLine="420" w:firstLineChars="200"/>
              <w:rPr>
                <w:sz w:val="21"/>
                <w:szCs w:val="21"/>
                <w:lang w:eastAsia="zh-CN"/>
              </w:rPr>
            </w:pPr>
            <w:r>
              <w:rPr>
                <w:rFonts w:hint="eastAsia"/>
                <w:sz w:val="21"/>
                <w:szCs w:val="21"/>
                <w:lang w:eastAsia="zh-CN"/>
              </w:rPr>
              <w:t>“拟委任的分项负责人资历表”应同时附：</w:t>
            </w:r>
          </w:p>
          <w:p>
            <w:pPr>
              <w:spacing w:line="360" w:lineRule="auto"/>
              <w:ind w:firstLine="420" w:firstLineChars="200"/>
              <w:rPr>
                <w:sz w:val="21"/>
                <w:szCs w:val="21"/>
                <w:lang w:eastAsia="zh-CN"/>
              </w:rPr>
            </w:pPr>
            <w:r>
              <w:rPr>
                <w:rFonts w:hint="eastAsia"/>
                <w:sz w:val="21"/>
                <w:szCs w:val="21"/>
                <w:lang w:eastAsia="zh-CN"/>
              </w:rPr>
              <w:t>①分项负责人的身份证、职称资格证书和资格审查条件所要求的其他相关证书的复印件，相关业绩证明材料复印件；</w:t>
            </w:r>
          </w:p>
          <w:p>
            <w:pPr>
              <w:spacing w:line="360" w:lineRule="auto"/>
              <w:ind w:firstLine="420" w:firstLineChars="200"/>
              <w:rPr>
                <w:sz w:val="21"/>
                <w:szCs w:val="21"/>
                <w:lang w:eastAsia="zh-CN"/>
              </w:rPr>
            </w:pPr>
            <w:r>
              <w:rPr>
                <w:rFonts w:hint="eastAsia"/>
                <w:sz w:val="21"/>
                <w:szCs w:val="21"/>
                <w:lang w:eastAsia="zh-CN"/>
              </w:rPr>
              <w:t>②投标人所属社保机构出具的拟委任的分项负责人的社保缴费证明或其他能够证明拟委任的项目负责人参加社保的有效证明材料复印件。（社保时段为投标文件递交截止日前半年时间内连续不少于三个月）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pPr>
              <w:spacing w:line="360" w:lineRule="auto"/>
              <w:jc w:val="center"/>
              <w:rPr>
                <w:sz w:val="21"/>
                <w:szCs w:val="21"/>
              </w:rPr>
            </w:pPr>
            <w:r>
              <w:rPr>
                <w:rFonts w:hint="eastAsia"/>
                <w:sz w:val="21"/>
                <w:szCs w:val="21"/>
              </w:rPr>
              <w:t>10</w:t>
            </w:r>
          </w:p>
        </w:tc>
        <w:tc>
          <w:tcPr>
            <w:tcW w:w="8258" w:type="dxa"/>
            <w:vAlign w:val="center"/>
          </w:tcPr>
          <w:p>
            <w:pPr>
              <w:spacing w:line="360" w:lineRule="auto"/>
              <w:ind w:firstLine="210" w:firstLineChars="100"/>
              <w:rPr>
                <w:b/>
                <w:bCs/>
                <w:sz w:val="21"/>
                <w:szCs w:val="21"/>
                <w:lang w:eastAsia="zh-CN"/>
              </w:rPr>
            </w:pPr>
            <w:r>
              <w:rPr>
                <w:rFonts w:hint="eastAsia"/>
                <w:b/>
                <w:bCs/>
                <w:sz w:val="21"/>
                <w:szCs w:val="21"/>
                <w:lang w:eastAsia="zh-CN"/>
              </w:rPr>
              <w:t>投标人须知正文增加第</w:t>
            </w:r>
            <w:r>
              <w:rPr>
                <w:rFonts w:ascii="Times New Roman" w:hAnsi="Times New Roman"/>
                <w:b/>
                <w:bCs/>
                <w:sz w:val="21"/>
                <w:szCs w:val="21"/>
                <w:lang w:eastAsia="zh-CN"/>
              </w:rPr>
              <w:t xml:space="preserve">10.2 </w:t>
            </w:r>
            <w:r>
              <w:rPr>
                <w:rFonts w:hint="eastAsia"/>
                <w:b/>
                <w:bCs/>
                <w:sz w:val="21"/>
                <w:szCs w:val="21"/>
                <w:lang w:eastAsia="zh-CN"/>
              </w:rPr>
              <w:t>款</w:t>
            </w:r>
            <w:r>
              <w:rPr>
                <w:rFonts w:ascii="Times New Roman" w:hAnsi="Times New Roman"/>
                <w:b/>
                <w:bCs/>
                <w:sz w:val="21"/>
                <w:szCs w:val="21"/>
                <w:lang w:eastAsia="zh-CN"/>
              </w:rPr>
              <w:t>-10.7</w:t>
            </w:r>
            <w:r>
              <w:rPr>
                <w:rFonts w:hint="eastAsia"/>
                <w:b/>
                <w:bCs/>
                <w:sz w:val="21"/>
                <w:szCs w:val="21"/>
                <w:lang w:eastAsia="zh-CN"/>
              </w:rPr>
              <w:t>款内容：</w:t>
            </w:r>
          </w:p>
          <w:p>
            <w:pPr>
              <w:spacing w:line="360" w:lineRule="auto"/>
              <w:rPr>
                <w:rFonts w:ascii="Times New Roman" w:hAnsi="Times New Roman"/>
                <w:sz w:val="21"/>
                <w:szCs w:val="21"/>
                <w:lang w:eastAsia="zh-CN"/>
              </w:rPr>
            </w:pPr>
            <w:r>
              <w:rPr>
                <w:rFonts w:hint="eastAsia" w:ascii="Times New Roman" w:hAnsi="Times New Roman"/>
                <w:sz w:val="21"/>
                <w:szCs w:val="21"/>
                <w:lang w:eastAsia="zh-CN"/>
              </w:rPr>
              <w:t>10.2 信用等级的确定原则：</w:t>
            </w:r>
          </w:p>
          <w:p>
            <w:pPr>
              <w:spacing w:line="360" w:lineRule="auto"/>
              <w:rPr>
                <w:rFonts w:ascii="宋体" w:hAnsi="宋体" w:cs="宋体"/>
                <w:sz w:val="21"/>
                <w:szCs w:val="21"/>
                <w:lang w:eastAsia="zh-CN"/>
              </w:rPr>
            </w:pPr>
            <w:r>
              <w:rPr>
                <w:rFonts w:hint="eastAsia" w:ascii="Times New Roman" w:hAnsi="Times New Roman"/>
                <w:sz w:val="21"/>
                <w:szCs w:val="21"/>
                <w:lang w:eastAsia="zh-CN"/>
              </w:rPr>
              <w:t>10.2.1 招标文件中的信用等级指的是广东省交通运输厅最新年度的信用评价。</w:t>
            </w:r>
            <w:r>
              <w:rPr>
                <w:rFonts w:ascii="宋体" w:hAnsi="宋体" w:cs="宋体"/>
                <w:sz w:val="21"/>
                <w:szCs w:val="21"/>
                <w:lang w:eastAsia="zh-CN"/>
              </w:rPr>
              <w:t>如无最新年度广东省信用等级而有上一年度广东省信用等级的，则其原信用等级可延续一年。</w:t>
            </w:r>
          </w:p>
          <w:p>
            <w:pPr>
              <w:spacing w:line="360" w:lineRule="auto"/>
              <w:rPr>
                <w:rFonts w:ascii="Times New Roman" w:hAnsi="Times New Roman"/>
                <w:sz w:val="21"/>
                <w:szCs w:val="21"/>
                <w:lang w:eastAsia="zh-CN"/>
              </w:rPr>
            </w:pPr>
            <w:r>
              <w:rPr>
                <w:rFonts w:hint="eastAsia" w:ascii="Times New Roman" w:hAnsi="Times New Roman"/>
                <w:sz w:val="21"/>
                <w:szCs w:val="21"/>
                <w:lang w:eastAsia="zh-CN"/>
              </w:rPr>
              <w:t>10.2.2 信用等级延续1年后仍无信用评价等级的，按照初次进入广东省确定，原则上按B级对待，但下列情况除外：最新年度的全国公路从业单位（设计单位）信用评价结果为C级或D级的，则按最新年度的全国公路从业单位（设计单位）信用评价结果对待；或最新年度的全国公路从业单位（设计单位）信用评价结果未被评为C级或D级的，但在广东省最近年度原评价等级为D级的，则按C级对待。</w:t>
            </w:r>
          </w:p>
          <w:p>
            <w:pPr>
              <w:spacing w:line="360" w:lineRule="auto"/>
              <w:rPr>
                <w:rFonts w:ascii="宋体" w:hAnsi="宋体" w:cs="宋体"/>
                <w:sz w:val="21"/>
                <w:szCs w:val="21"/>
                <w:lang w:eastAsia="zh-CN"/>
              </w:rPr>
            </w:pPr>
            <w:r>
              <w:rPr>
                <w:rFonts w:ascii="Times New Roman" w:hAnsi="Times New Roman"/>
                <w:sz w:val="21"/>
                <w:szCs w:val="21"/>
                <w:lang w:eastAsia="zh-CN"/>
              </w:rPr>
              <w:t xml:space="preserve">10.3 </w:t>
            </w:r>
            <w:r>
              <w:rPr>
                <w:rFonts w:hint="eastAsia" w:ascii="宋体" w:hAnsi="宋体" w:cs="宋体"/>
                <w:sz w:val="21"/>
                <w:szCs w:val="21"/>
                <w:lang w:eastAsia="zh-CN"/>
              </w:rPr>
              <w:t>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w:t>
            </w:r>
            <w:r>
              <w:rPr>
                <w:rFonts w:ascii="Times New Roman" w:hAnsi="Times New Roman"/>
                <w:sz w:val="21"/>
                <w:szCs w:val="21"/>
                <w:lang w:eastAsia="zh-CN"/>
              </w:rPr>
              <w:t>,</w:t>
            </w:r>
            <w:r>
              <w:rPr>
                <w:rFonts w:hint="eastAsia" w:ascii="宋体" w:hAnsi="宋体" w:cs="宋体"/>
                <w:sz w:val="21"/>
                <w:szCs w:val="21"/>
                <w:lang w:eastAsia="zh-CN"/>
              </w:rPr>
              <w:t>或重新组织招标，以此类推。</w:t>
            </w:r>
          </w:p>
          <w:p>
            <w:pPr>
              <w:spacing w:line="360" w:lineRule="auto"/>
              <w:rPr>
                <w:rFonts w:ascii="宋体" w:hAnsi="宋体" w:cs="宋体"/>
                <w:sz w:val="21"/>
                <w:szCs w:val="21"/>
                <w:lang w:eastAsia="zh-CN"/>
              </w:rPr>
            </w:pPr>
            <w:r>
              <w:rPr>
                <w:rFonts w:ascii="Times New Roman" w:hAnsi="Times New Roman"/>
                <w:sz w:val="21"/>
                <w:szCs w:val="21"/>
                <w:lang w:eastAsia="zh-CN"/>
              </w:rPr>
              <w:t xml:space="preserve">10.4 </w:t>
            </w:r>
            <w:r>
              <w:rPr>
                <w:rFonts w:hint="eastAsia" w:ascii="宋体" w:hAnsi="宋体" w:cs="宋体"/>
                <w:sz w:val="21"/>
                <w:szCs w:val="21"/>
                <w:lang w:eastAsia="zh-CN"/>
              </w:rPr>
              <w:t>如果开标后至中标通知书发出前，第一中标候选人发生投标人须知</w:t>
            </w:r>
            <w:r>
              <w:rPr>
                <w:rFonts w:ascii="Times New Roman" w:hAnsi="Times New Roman"/>
                <w:sz w:val="21"/>
                <w:szCs w:val="21"/>
                <w:lang w:eastAsia="zh-CN"/>
              </w:rPr>
              <w:t xml:space="preserve">1.4.4 </w:t>
            </w:r>
            <w:r>
              <w:rPr>
                <w:rFonts w:hint="eastAsia" w:ascii="宋体" w:hAnsi="宋体" w:cs="宋体"/>
                <w:sz w:val="21"/>
                <w:szCs w:val="21"/>
                <w:lang w:eastAsia="zh-CN"/>
              </w:rPr>
              <w:t>项（</w:t>
            </w:r>
            <w:r>
              <w:rPr>
                <w:rFonts w:ascii="Times New Roman" w:hAnsi="Times New Roman"/>
                <w:sz w:val="21"/>
                <w:szCs w:val="21"/>
                <w:lang w:eastAsia="zh-CN"/>
              </w:rPr>
              <w:t>1</w:t>
            </w:r>
            <w:r>
              <w:rPr>
                <w:rFonts w:hint="eastAsia" w:ascii="宋体" w:hAnsi="宋体" w:cs="宋体"/>
                <w:sz w:val="21"/>
                <w:szCs w:val="21"/>
                <w:lang w:eastAsia="zh-CN"/>
              </w:rPr>
              <w:t>）至（</w:t>
            </w:r>
            <w:r>
              <w:rPr>
                <w:rFonts w:ascii="Times New Roman" w:hAnsi="Times New Roman"/>
                <w:sz w:val="21"/>
                <w:szCs w:val="21"/>
                <w:lang w:eastAsia="zh-CN"/>
              </w:rPr>
              <w:t>7</w:t>
            </w:r>
            <w:r>
              <w:rPr>
                <w:rFonts w:hint="eastAsia" w:ascii="宋体" w:hAnsi="宋体" w:cs="宋体"/>
                <w:sz w:val="21"/>
                <w:szCs w:val="21"/>
                <w:lang w:eastAsia="zh-CN"/>
              </w:rPr>
              <w:t>）目中的情形及中标候选人信用等级被广东省交通运输厅直接降为</w:t>
            </w:r>
            <w:r>
              <w:rPr>
                <w:rFonts w:ascii="Times New Roman" w:hAnsi="Times New Roman"/>
                <w:sz w:val="21"/>
                <w:szCs w:val="21"/>
                <w:lang w:eastAsia="zh-CN"/>
              </w:rPr>
              <w:t>D</w:t>
            </w:r>
            <w:r>
              <w:rPr>
                <w:rFonts w:hint="eastAsia" w:ascii="宋体" w:hAnsi="宋体" w:cs="宋体"/>
                <w:sz w:val="21"/>
                <w:szCs w:val="21"/>
                <w:lang w:eastAsia="zh-CN"/>
              </w:rPr>
              <w:t xml:space="preserve">级的情形，则均取消其中标资格，招标人按推荐中标候选人排名顺序依次确定中标人，或重新组织招标。 </w:t>
            </w:r>
          </w:p>
          <w:p>
            <w:pPr>
              <w:spacing w:line="360" w:lineRule="auto"/>
              <w:rPr>
                <w:rFonts w:ascii="宋体" w:hAnsi="宋体" w:cs="宋体"/>
                <w:sz w:val="21"/>
                <w:szCs w:val="21"/>
                <w:highlight w:val="yellow"/>
                <w:lang w:eastAsia="zh-CN"/>
              </w:rPr>
            </w:pPr>
            <w:r>
              <w:rPr>
                <w:rFonts w:ascii="Times New Roman" w:hAnsi="Times New Roman"/>
                <w:sz w:val="21"/>
                <w:szCs w:val="21"/>
                <w:lang w:eastAsia="zh-CN"/>
              </w:rPr>
              <w:t>10.5</w:t>
            </w:r>
            <w:r>
              <w:rPr>
                <w:rFonts w:hint="eastAsia" w:ascii="宋体" w:hAnsi="宋体" w:cs="宋体"/>
                <w:sz w:val="21"/>
                <w:szCs w:val="21"/>
                <w:lang w:eastAsia="zh-CN"/>
              </w:rPr>
              <w:t>本招标文件中所有</w:t>
            </w:r>
            <w:r>
              <w:rPr>
                <w:rFonts w:ascii="宋体" w:hAnsi="宋体" w:cs="宋体"/>
                <w:sz w:val="21"/>
                <w:szCs w:val="21"/>
                <w:lang w:eastAsia="zh-CN"/>
              </w:rPr>
              <w:t>“</w:t>
            </w:r>
            <w:r>
              <w:rPr>
                <w:rFonts w:hint="eastAsia" w:ascii="宋体" w:hAnsi="宋体" w:cs="宋体"/>
                <w:sz w:val="21"/>
                <w:szCs w:val="21"/>
                <w:lang w:eastAsia="zh-CN"/>
              </w:rPr>
              <w:t>类似工程”是指完成过1座公路桥梁（大桥或以上等级）的勘察设计工作业绩。</w:t>
            </w:r>
          </w:p>
          <w:p>
            <w:pPr>
              <w:spacing w:line="360" w:lineRule="auto"/>
              <w:rPr>
                <w:rFonts w:ascii="宋体" w:hAnsi="宋体" w:cs="宋体"/>
                <w:sz w:val="21"/>
                <w:szCs w:val="21"/>
                <w:lang w:eastAsia="zh-CN"/>
              </w:rPr>
            </w:pPr>
            <w:r>
              <w:rPr>
                <w:rFonts w:ascii="Times New Roman" w:hAnsi="Times New Roman"/>
                <w:sz w:val="21"/>
                <w:szCs w:val="21"/>
                <w:lang w:eastAsia="zh-CN"/>
              </w:rPr>
              <w:t xml:space="preserve">10.6 </w:t>
            </w:r>
            <w:r>
              <w:rPr>
                <w:rFonts w:hint="eastAsia" w:ascii="宋体" w:hAnsi="宋体" w:cs="宋体"/>
                <w:sz w:val="21"/>
                <w:szCs w:val="21"/>
                <w:lang w:eastAsia="zh-CN"/>
              </w:rPr>
              <w:t xml:space="preserve">若投标人在递交投标文件期间，出现采取不正当手段妨碍其他投标人投标的过激行为，或出现在开标会现场扰乱招投标市场秩序的行为，招标人有权将投标人此行为上报省级交通主管部门，作为不良记录纳入公路建设市场信用信息管理系统。 </w:t>
            </w:r>
          </w:p>
          <w:p>
            <w:pPr>
              <w:spacing w:line="360" w:lineRule="auto"/>
              <w:rPr>
                <w:rFonts w:ascii="宋体" w:hAnsi="宋体" w:cs="宋体"/>
                <w:sz w:val="21"/>
                <w:szCs w:val="21"/>
                <w:lang w:eastAsia="zh-CN"/>
              </w:rPr>
            </w:pPr>
            <w:r>
              <w:rPr>
                <w:rFonts w:ascii="Times New Roman" w:hAnsi="Times New Roman"/>
                <w:sz w:val="21"/>
                <w:szCs w:val="21"/>
                <w:lang w:eastAsia="zh-CN"/>
              </w:rPr>
              <w:t xml:space="preserve">10.7 </w:t>
            </w:r>
            <w:r>
              <w:rPr>
                <w:rFonts w:hint="eastAsia" w:ascii="宋体" w:hAnsi="宋体" w:cs="宋体"/>
                <w:sz w:val="21"/>
                <w:szCs w:val="21"/>
                <w:lang w:eastAsia="zh-CN"/>
              </w:rPr>
              <w:t xml:space="preserve">招标文件中如无特别说明，土建工程里程累计长度均不扣除桥隧等构造物长度。 </w:t>
            </w:r>
          </w:p>
          <w:p>
            <w:pPr>
              <w:spacing w:line="360" w:lineRule="auto"/>
              <w:rPr>
                <w:sz w:val="21"/>
                <w:szCs w:val="21"/>
                <w:lang w:eastAsia="zh-CN"/>
              </w:rPr>
            </w:pPr>
            <w:r>
              <w:rPr>
                <w:rFonts w:ascii="Times New Roman" w:hAnsi="Times New Roman"/>
                <w:sz w:val="21"/>
                <w:szCs w:val="21"/>
                <w:lang w:eastAsia="zh-CN"/>
              </w:rPr>
              <w:t xml:space="preserve">10.8 </w:t>
            </w:r>
            <w:r>
              <w:rPr>
                <w:rFonts w:hint="eastAsia" w:ascii="宋体" w:hAnsi="宋体" w:cs="宋体"/>
                <w:sz w:val="21"/>
                <w:szCs w:val="21"/>
                <w:lang w:eastAsia="zh-CN"/>
              </w:rPr>
              <w:t>招标文件中如无特别说明，本招标文件中近5年均指自2018年1月1日至投标文件递交之日止。</w:t>
            </w:r>
          </w:p>
        </w:tc>
      </w:tr>
    </w:tbl>
    <w:p>
      <w:pPr>
        <w:rPr>
          <w:lang w:eastAsia="zh-CN"/>
        </w:rPr>
      </w:pPr>
    </w:p>
    <w:p>
      <w:pPr>
        <w:pStyle w:val="14"/>
        <w:tabs>
          <w:tab w:val="left" w:pos="2983"/>
        </w:tabs>
        <w:spacing w:after="42"/>
        <w:ind w:right="84"/>
        <w:rPr>
          <w:color w:val="000000" w:themeColor="text1"/>
          <w:spacing w:val="1"/>
          <w:w w:val="99"/>
          <w:lang w:eastAsia="zh-CN"/>
          <w14:textFill>
            <w14:solidFill>
              <w14:schemeClr w14:val="tx1"/>
            </w14:solidFill>
          </w14:textFill>
        </w:rPr>
      </w:pPr>
    </w:p>
    <w:p>
      <w:pPr>
        <w:pStyle w:val="14"/>
        <w:tabs>
          <w:tab w:val="left" w:pos="2983"/>
        </w:tabs>
        <w:spacing w:after="42"/>
        <w:ind w:right="84"/>
        <w:rPr>
          <w:color w:val="000000" w:themeColor="text1"/>
          <w:spacing w:val="1"/>
          <w:w w:val="99"/>
          <w:lang w:eastAsia="zh-CN"/>
          <w14:textFill>
            <w14:solidFill>
              <w14:schemeClr w14:val="tx1"/>
            </w14:solidFill>
          </w14:textFill>
        </w:rPr>
      </w:pPr>
    </w:p>
    <w:p>
      <w:pPr>
        <w:widowControl/>
        <w:rPr>
          <w:rFonts w:ascii="黑体" w:hAnsi="黑体" w:eastAsia="黑体"/>
          <w:b/>
          <w:bCs/>
          <w:color w:val="000000" w:themeColor="text1"/>
          <w:spacing w:val="1"/>
          <w:w w:val="99"/>
          <w:sz w:val="27"/>
          <w:szCs w:val="27"/>
          <w:lang w:eastAsia="zh-CN"/>
          <w14:textFill>
            <w14:solidFill>
              <w14:schemeClr w14:val="tx1"/>
            </w14:solidFill>
          </w14:textFill>
        </w:rPr>
      </w:pPr>
      <w:r>
        <w:rPr>
          <w:color w:val="000000" w:themeColor="text1"/>
          <w:spacing w:val="1"/>
          <w:w w:val="99"/>
          <w:lang w:eastAsia="zh-CN"/>
          <w14:textFill>
            <w14:solidFill>
              <w14:schemeClr w14:val="tx1"/>
            </w14:solidFill>
          </w14:textFill>
        </w:rPr>
        <w:br w:type="page"/>
      </w:r>
    </w:p>
    <w:p>
      <w:pPr>
        <w:widowControl/>
        <w:rPr>
          <w:rFonts w:ascii="黑体" w:hAnsi="黑体" w:eastAsia="黑体"/>
          <w:b/>
          <w:bCs/>
          <w:color w:val="000000" w:themeColor="text1"/>
          <w:spacing w:val="1"/>
          <w:w w:val="99"/>
          <w:sz w:val="27"/>
          <w:szCs w:val="27"/>
          <w:lang w:eastAsia="zh-CN"/>
          <w14:textFill>
            <w14:solidFill>
              <w14:schemeClr w14:val="tx1"/>
            </w14:solidFill>
          </w14:textFill>
        </w:rPr>
      </w:pPr>
    </w:p>
    <w:p>
      <w:pPr>
        <w:widowControl/>
        <w:kinsoku w:val="0"/>
        <w:autoSpaceDE w:val="0"/>
        <w:autoSpaceDN w:val="0"/>
        <w:adjustRightInd w:val="0"/>
        <w:snapToGrid w:val="0"/>
        <w:textAlignment w:val="baseline"/>
        <w:rPr>
          <w:rFonts w:ascii="Times New Roman" w:hAnsi="Times New Roman" w:eastAsia="宋体" w:cs="Arial"/>
          <w:b/>
          <w:snapToGrid w:val="0"/>
          <w:color w:val="000000"/>
          <w:sz w:val="28"/>
          <w:szCs w:val="28"/>
          <w:lang w:eastAsia="zh-CN"/>
        </w:rPr>
      </w:pPr>
      <w:r>
        <w:rPr>
          <w:rFonts w:hint="eastAsia" w:ascii="Times New Roman" w:hAnsi="Times New Roman" w:eastAsia="宋体" w:cs="Arial"/>
          <w:b/>
          <w:snapToGrid w:val="0"/>
          <w:color w:val="000000"/>
          <w:sz w:val="28"/>
          <w:szCs w:val="28"/>
          <w:lang w:eastAsia="zh-CN"/>
        </w:rPr>
        <w:t>附录1</w:t>
      </w:r>
      <w:r>
        <w:rPr>
          <w:rFonts w:hint="eastAsia" w:ascii="Times New Roman" w:hAnsi="Times New Roman" w:eastAsia="宋体" w:cs="Arial"/>
          <w:b/>
          <w:snapToGrid w:val="0"/>
          <w:color w:val="000000"/>
          <w:sz w:val="28"/>
          <w:szCs w:val="28"/>
          <w:lang w:eastAsia="zh-CN"/>
        </w:rPr>
        <w:tab/>
      </w:r>
      <w:r>
        <w:rPr>
          <w:rFonts w:hint="eastAsia" w:ascii="Times New Roman" w:hAnsi="Times New Roman" w:eastAsia="宋体" w:cs="Arial"/>
          <w:b/>
          <w:snapToGrid w:val="0"/>
          <w:color w:val="000000"/>
          <w:sz w:val="28"/>
          <w:szCs w:val="28"/>
          <w:lang w:eastAsia="zh-CN"/>
        </w:rPr>
        <w:t>资格审查条件（资质最低条件）</w:t>
      </w:r>
    </w:p>
    <w:p>
      <w:pPr>
        <w:spacing w:line="149" w:lineRule="exact"/>
        <w:rPr>
          <w:lang w:eastAsia="zh-CN"/>
        </w:rPr>
      </w:pPr>
    </w:p>
    <w:tbl>
      <w:tblPr>
        <w:tblStyle w:val="33"/>
        <w:tblW w:w="9024" w:type="dxa"/>
        <w:tblInd w:w="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4"/>
        <w:gridCol w:w="6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534" w:type="dxa"/>
          </w:tcPr>
          <w:p>
            <w:pPr>
              <w:spacing w:before="185" w:line="375" w:lineRule="auto"/>
              <w:jc w:val="center"/>
              <w:rPr>
                <w:rFonts w:ascii="宋体" w:hAnsi="宋体" w:cs="宋体"/>
                <w:b/>
                <w:bCs/>
                <w:spacing w:val="6"/>
                <w:sz w:val="21"/>
                <w:szCs w:val="21"/>
              </w:rPr>
            </w:pPr>
            <w:r>
              <w:rPr>
                <w:rFonts w:ascii="宋体" w:hAnsi="宋体" w:cs="宋体"/>
                <w:b/>
                <w:bCs/>
                <w:spacing w:val="6"/>
                <w:sz w:val="21"/>
                <w:szCs w:val="21"/>
              </w:rPr>
              <w:t>招标名称</w:t>
            </w:r>
          </w:p>
        </w:tc>
        <w:tc>
          <w:tcPr>
            <w:tcW w:w="6490" w:type="dxa"/>
          </w:tcPr>
          <w:p>
            <w:pPr>
              <w:spacing w:before="185" w:line="375" w:lineRule="auto"/>
              <w:jc w:val="center"/>
              <w:rPr>
                <w:rFonts w:ascii="宋体" w:hAnsi="宋体" w:cs="宋体"/>
                <w:b/>
                <w:bCs/>
                <w:spacing w:val="6"/>
                <w:sz w:val="21"/>
                <w:szCs w:val="21"/>
              </w:rPr>
            </w:pPr>
            <w:r>
              <w:rPr>
                <w:rFonts w:ascii="宋体" w:hAnsi="宋体" w:cs="宋体"/>
                <w:b/>
                <w:bCs/>
                <w:spacing w:val="6"/>
                <w:sz w:val="21"/>
                <w:szCs w:val="21"/>
              </w:rPr>
              <w:t>企业资质等级要求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2534" w:type="dxa"/>
          </w:tcPr>
          <w:p>
            <w:pPr>
              <w:spacing w:line="251" w:lineRule="auto"/>
              <w:rPr>
                <w:sz w:val="21"/>
                <w:szCs w:val="21"/>
                <w:lang w:eastAsia="zh-CN"/>
              </w:rPr>
            </w:pPr>
          </w:p>
          <w:p>
            <w:pPr>
              <w:spacing w:line="251" w:lineRule="auto"/>
              <w:rPr>
                <w:sz w:val="21"/>
                <w:szCs w:val="21"/>
                <w:lang w:eastAsia="zh-CN"/>
              </w:rPr>
            </w:pPr>
          </w:p>
          <w:p>
            <w:pPr>
              <w:spacing w:before="28" w:line="360" w:lineRule="auto"/>
              <w:jc w:val="center"/>
              <w:rPr>
                <w:rFonts w:ascii="宋体" w:hAnsi="宋体" w:cs="宋体"/>
                <w:spacing w:val="7"/>
                <w:sz w:val="21"/>
                <w:szCs w:val="21"/>
                <w:lang w:eastAsia="zh-CN"/>
              </w:rPr>
            </w:pPr>
          </w:p>
          <w:p>
            <w:pPr>
              <w:spacing w:before="28" w:line="360" w:lineRule="auto"/>
              <w:jc w:val="center"/>
              <w:rPr>
                <w:rFonts w:ascii="宋体" w:hAnsi="宋体" w:cs="宋体"/>
                <w:sz w:val="21"/>
                <w:szCs w:val="21"/>
                <w:lang w:eastAsia="zh-CN"/>
              </w:rPr>
            </w:pPr>
            <w:r>
              <w:rPr>
                <w:rFonts w:hint="eastAsia" w:ascii="宋体" w:hAnsi="宋体" w:cs="宋体"/>
                <w:spacing w:val="7"/>
                <w:sz w:val="21"/>
                <w:szCs w:val="21"/>
                <w:lang w:eastAsia="zh-CN"/>
              </w:rPr>
              <w:t>阳西县儒洞镇边海村进村大桥工程勘察设计</w:t>
            </w:r>
          </w:p>
        </w:tc>
        <w:tc>
          <w:tcPr>
            <w:tcW w:w="6490" w:type="dxa"/>
          </w:tcPr>
          <w:p>
            <w:pPr>
              <w:spacing w:before="1" w:line="360" w:lineRule="auto"/>
              <w:rPr>
                <w:rFonts w:ascii="宋体" w:hAnsi="宋体" w:eastAsia="宋体" w:cs="宋体"/>
                <w:sz w:val="21"/>
                <w:szCs w:val="21"/>
                <w:lang w:eastAsia="zh-CN"/>
              </w:rPr>
            </w:pPr>
            <w:r>
              <w:rPr>
                <w:rFonts w:hint="eastAsia" w:ascii="宋体" w:hAnsi="宋体" w:eastAsia="宋体" w:cs="宋体"/>
                <w:sz w:val="21"/>
                <w:szCs w:val="21"/>
                <w:lang w:eastAsia="zh-CN"/>
              </w:rPr>
              <w:t>投标人须同时具备以下资质：</w:t>
            </w:r>
          </w:p>
          <w:p>
            <w:pPr>
              <w:spacing w:before="28" w:line="360" w:lineRule="auto"/>
              <w:ind w:firstLine="448" w:firstLineChars="200"/>
              <w:rPr>
                <w:rFonts w:ascii="宋体" w:hAnsi="宋体" w:eastAsia="宋体" w:cs="宋体"/>
                <w:spacing w:val="7"/>
                <w:sz w:val="21"/>
                <w:szCs w:val="21"/>
                <w:lang w:eastAsia="zh-CN"/>
              </w:rPr>
            </w:pPr>
            <w:r>
              <w:rPr>
                <w:rFonts w:hint="eastAsia" w:ascii="宋体" w:hAnsi="宋体" w:eastAsia="宋体" w:cs="宋体"/>
                <w:spacing w:val="7"/>
                <w:sz w:val="21"/>
                <w:szCs w:val="21"/>
                <w:lang w:eastAsia="zh-CN"/>
              </w:rPr>
              <w:t>（1）</w:t>
            </w:r>
            <w:r>
              <w:rPr>
                <w:rFonts w:ascii="宋体" w:hAnsi="宋体" w:cs="宋体"/>
                <w:spacing w:val="16"/>
                <w:sz w:val="21"/>
                <w:szCs w:val="21"/>
                <w:lang w:eastAsia="zh-CN"/>
              </w:rPr>
              <w:t>工</w:t>
            </w:r>
            <w:r>
              <w:rPr>
                <w:rFonts w:ascii="宋体" w:hAnsi="宋体" w:cs="宋体"/>
                <w:spacing w:val="11"/>
                <w:sz w:val="21"/>
                <w:szCs w:val="21"/>
                <w:lang w:eastAsia="zh-CN"/>
              </w:rPr>
              <w:t>程</w:t>
            </w:r>
            <w:r>
              <w:rPr>
                <w:rFonts w:ascii="宋体" w:hAnsi="宋体" w:cs="宋体"/>
                <w:spacing w:val="8"/>
                <w:sz w:val="21"/>
                <w:szCs w:val="21"/>
                <w:lang w:eastAsia="zh-CN"/>
              </w:rPr>
              <w:t>勘察资质：具备住房和城乡建设部颁发的工程勘察综合类甲级资质；或</w:t>
            </w:r>
            <w:r>
              <w:rPr>
                <w:rFonts w:hint="eastAsia" w:ascii="宋体" w:hAnsi="宋体" w:cs="宋体"/>
                <w:spacing w:val="8"/>
                <w:sz w:val="21"/>
                <w:szCs w:val="21"/>
                <w:lang w:eastAsia="zh-CN"/>
              </w:rPr>
              <w:t>同时具备工程勘察专业类岩土工程勘察甲级和工程测量丙级（或以上）资质</w:t>
            </w:r>
            <w:r>
              <w:rPr>
                <w:rFonts w:ascii="宋体" w:hAnsi="宋体" w:cs="宋体"/>
                <w:spacing w:val="8"/>
                <w:sz w:val="21"/>
                <w:szCs w:val="21"/>
                <w:lang w:eastAsia="zh-CN"/>
              </w:rPr>
              <w:t>；</w:t>
            </w:r>
          </w:p>
          <w:p>
            <w:pPr>
              <w:spacing w:before="28" w:line="360" w:lineRule="auto"/>
              <w:ind w:firstLine="448" w:firstLineChars="200"/>
              <w:rPr>
                <w:rFonts w:ascii="宋体" w:hAnsi="宋体" w:eastAsia="宋体" w:cs="宋体"/>
                <w:spacing w:val="7"/>
                <w:sz w:val="21"/>
                <w:szCs w:val="21"/>
                <w:lang w:eastAsia="zh-CN"/>
              </w:rPr>
            </w:pPr>
            <w:r>
              <w:rPr>
                <w:rFonts w:hint="eastAsia" w:ascii="宋体" w:hAnsi="宋体" w:eastAsia="宋体" w:cs="宋体"/>
                <w:spacing w:val="7"/>
                <w:sz w:val="21"/>
                <w:szCs w:val="21"/>
                <w:lang w:eastAsia="zh-CN"/>
              </w:rPr>
              <w:t>（2）</w:t>
            </w:r>
            <w:r>
              <w:rPr>
                <w:rFonts w:ascii="宋体" w:hAnsi="宋体" w:cs="宋体"/>
                <w:spacing w:val="16"/>
                <w:sz w:val="21"/>
                <w:szCs w:val="21"/>
                <w:lang w:eastAsia="zh-CN"/>
              </w:rPr>
              <w:t>工</w:t>
            </w:r>
            <w:r>
              <w:rPr>
                <w:rFonts w:ascii="宋体" w:hAnsi="宋体" w:cs="宋体"/>
                <w:spacing w:val="11"/>
                <w:sz w:val="21"/>
                <w:szCs w:val="21"/>
                <w:lang w:eastAsia="zh-CN"/>
              </w:rPr>
              <w:t>程</w:t>
            </w:r>
            <w:r>
              <w:rPr>
                <w:rFonts w:ascii="宋体" w:hAnsi="宋体" w:cs="宋体"/>
                <w:spacing w:val="8"/>
                <w:sz w:val="21"/>
                <w:szCs w:val="21"/>
                <w:lang w:eastAsia="zh-CN"/>
              </w:rPr>
              <w:t>设计资质：具备住房和城乡建设部颁发的</w:t>
            </w:r>
            <w:r>
              <w:rPr>
                <w:rFonts w:hint="eastAsia" w:ascii="宋体" w:hAnsi="宋体" w:cs="宋体"/>
                <w:spacing w:val="8"/>
                <w:sz w:val="21"/>
                <w:szCs w:val="21"/>
                <w:lang w:eastAsia="zh-CN"/>
              </w:rPr>
              <w:t>工程设计综合甲级资质，或工程设计公路行业丙级（或以</w:t>
            </w:r>
            <w:r>
              <w:rPr>
                <w:rFonts w:hint="eastAsia" w:ascii="宋体" w:hAnsi="宋体" w:cs="宋体"/>
                <w:spacing w:val="11"/>
                <w:sz w:val="21"/>
                <w:szCs w:val="21"/>
                <w:lang w:eastAsia="zh-CN"/>
              </w:rPr>
              <w:t>上）资质；或工程设计公路专业丙级（或以上）资质。</w:t>
            </w:r>
          </w:p>
          <w:p>
            <w:pPr>
              <w:pStyle w:val="2"/>
              <w:ind w:left="0" w:leftChars="0" w:firstLine="448"/>
              <w:rPr>
                <w:sz w:val="21"/>
                <w:szCs w:val="21"/>
                <w:lang w:eastAsia="zh-CN"/>
              </w:rPr>
            </w:pPr>
            <w:r>
              <w:rPr>
                <w:rFonts w:hint="eastAsia" w:eastAsia="宋体" w:cs="宋体"/>
                <w:color w:val="000000"/>
                <w:spacing w:val="7"/>
                <w:sz w:val="21"/>
                <w:szCs w:val="21"/>
                <w:lang w:eastAsia="zh-CN"/>
              </w:rPr>
              <w:t>本工程不接受联合体投标。</w:t>
            </w:r>
          </w:p>
        </w:tc>
      </w:tr>
    </w:tbl>
    <w:p>
      <w:pPr>
        <w:widowControl/>
        <w:ind w:firstLine="420" w:firstLineChars="200"/>
        <w:rPr>
          <w:rFonts w:ascii="黑体" w:hAnsi="黑体" w:eastAsia="黑体"/>
          <w:b/>
          <w:bCs/>
          <w:color w:val="000000" w:themeColor="text1"/>
          <w:spacing w:val="1"/>
          <w:w w:val="99"/>
          <w:sz w:val="27"/>
          <w:szCs w:val="27"/>
          <w:lang w:eastAsia="zh-CN"/>
          <w14:textFill>
            <w14:solidFill>
              <w14:schemeClr w14:val="tx1"/>
            </w14:solidFill>
          </w14:textFill>
        </w:rPr>
      </w:pPr>
      <w:r>
        <w:rPr>
          <w:rFonts w:hint="eastAsia" w:ascii="宋体" w:hAnsi="宋体" w:cs="宋体"/>
          <w:sz w:val="21"/>
          <w:szCs w:val="21"/>
          <w:lang w:eastAsia="zh-CN"/>
        </w:rPr>
        <w:t>注：</w:t>
      </w:r>
      <w:r>
        <w:rPr>
          <w:rFonts w:ascii="Times New Roman" w:hAnsi="Times New Roman"/>
          <w:sz w:val="21"/>
          <w:szCs w:val="21"/>
          <w:lang w:eastAsia="zh-CN"/>
        </w:rPr>
        <w:t>1.</w:t>
      </w:r>
      <w:r>
        <w:rPr>
          <w:rFonts w:hint="eastAsia" w:ascii="宋体" w:hAnsi="宋体" w:cs="宋体"/>
          <w:sz w:val="21"/>
          <w:szCs w:val="21"/>
          <w:lang w:eastAsia="zh-CN"/>
        </w:rPr>
        <w:t>招标人将按照交通运输部《全国公路建设市场信用信息管理系统》网站中</w:t>
      </w:r>
      <w:r>
        <w:rPr>
          <w:rFonts w:ascii="Times New Roman" w:hAnsi="Times New Roman"/>
          <w:sz w:val="21"/>
          <w:szCs w:val="21"/>
          <w:lang w:eastAsia="zh-CN"/>
        </w:rPr>
        <w:t>“</w:t>
      </w:r>
      <w:r>
        <w:rPr>
          <w:rFonts w:hint="eastAsia" w:ascii="宋体" w:hAnsi="宋体" w:cs="宋体"/>
          <w:sz w:val="21"/>
          <w:szCs w:val="21"/>
          <w:lang w:eastAsia="zh-CN"/>
        </w:rPr>
        <w:t>公路工程设计资质企业名录</w:t>
      </w:r>
      <w:r>
        <w:rPr>
          <w:rFonts w:ascii="Times New Roman" w:hAnsi="Times New Roman"/>
          <w:sz w:val="21"/>
          <w:szCs w:val="21"/>
          <w:lang w:eastAsia="zh-CN"/>
        </w:rPr>
        <w:t>”</w:t>
      </w:r>
      <w:r>
        <w:rPr>
          <w:rFonts w:hint="eastAsia" w:ascii="宋体" w:hAnsi="宋体" w:cs="宋体"/>
          <w:sz w:val="21"/>
          <w:szCs w:val="21"/>
          <w:lang w:eastAsia="zh-CN"/>
        </w:rPr>
        <w:t>（以上简称</w:t>
      </w:r>
      <w:r>
        <w:rPr>
          <w:rFonts w:ascii="Times New Roman" w:hAnsi="Times New Roman"/>
          <w:sz w:val="21"/>
          <w:szCs w:val="21"/>
          <w:lang w:eastAsia="zh-CN"/>
        </w:rPr>
        <w:t>“</w:t>
      </w:r>
      <w:r>
        <w:rPr>
          <w:rFonts w:hint="eastAsia" w:ascii="宋体" w:hAnsi="宋体" w:cs="宋体"/>
          <w:sz w:val="21"/>
          <w:szCs w:val="21"/>
          <w:lang w:eastAsia="zh-CN"/>
        </w:rPr>
        <w:t>名录</w:t>
      </w:r>
      <w:r>
        <w:rPr>
          <w:rFonts w:ascii="Times New Roman" w:hAnsi="Times New Roman"/>
          <w:sz w:val="21"/>
          <w:szCs w:val="21"/>
          <w:lang w:eastAsia="zh-CN"/>
        </w:rPr>
        <w:t>”</w:t>
      </w:r>
      <w:r>
        <w:rPr>
          <w:rFonts w:hint="eastAsia" w:ascii="宋体" w:hAnsi="宋体" w:cs="宋体"/>
          <w:sz w:val="21"/>
          <w:szCs w:val="21"/>
          <w:lang w:eastAsia="zh-CN"/>
        </w:rPr>
        <w:t>）进行审核。对于未列入</w:t>
      </w:r>
      <w:r>
        <w:rPr>
          <w:rFonts w:ascii="Times New Roman" w:hAnsi="Times New Roman"/>
          <w:sz w:val="21"/>
          <w:szCs w:val="21"/>
          <w:lang w:eastAsia="zh-CN"/>
        </w:rPr>
        <w:t>“</w:t>
      </w:r>
      <w:r>
        <w:rPr>
          <w:rFonts w:hint="eastAsia" w:ascii="宋体" w:hAnsi="宋体" w:cs="宋体"/>
          <w:sz w:val="21"/>
          <w:szCs w:val="21"/>
          <w:lang w:eastAsia="zh-CN"/>
        </w:rPr>
        <w:t>名录</w:t>
      </w:r>
      <w:r>
        <w:rPr>
          <w:rFonts w:ascii="Times New Roman" w:hAnsi="Times New Roman"/>
          <w:sz w:val="21"/>
          <w:szCs w:val="21"/>
          <w:lang w:eastAsia="zh-CN"/>
        </w:rPr>
        <w:t>”</w:t>
      </w:r>
      <w:r>
        <w:rPr>
          <w:rFonts w:hint="eastAsia" w:ascii="宋体" w:hAnsi="宋体" w:cs="宋体"/>
          <w:sz w:val="21"/>
          <w:szCs w:val="21"/>
          <w:lang w:eastAsia="zh-CN"/>
        </w:rPr>
        <w:t>或投标人名称、资质信息与</w:t>
      </w:r>
      <w:r>
        <w:rPr>
          <w:rFonts w:ascii="Times New Roman" w:hAnsi="Times New Roman"/>
          <w:sz w:val="21"/>
          <w:szCs w:val="21"/>
          <w:lang w:eastAsia="zh-CN"/>
        </w:rPr>
        <w:t>“</w:t>
      </w:r>
      <w:r>
        <w:rPr>
          <w:rFonts w:hint="eastAsia" w:ascii="宋体" w:hAnsi="宋体" w:cs="宋体"/>
          <w:sz w:val="21"/>
          <w:szCs w:val="21"/>
          <w:lang w:eastAsia="zh-CN"/>
        </w:rPr>
        <w:t>名录</w:t>
      </w:r>
      <w:r>
        <w:rPr>
          <w:rFonts w:ascii="Times New Roman" w:hAnsi="Times New Roman"/>
          <w:sz w:val="21"/>
          <w:szCs w:val="21"/>
          <w:lang w:eastAsia="zh-CN"/>
        </w:rPr>
        <w:t>”</w:t>
      </w:r>
      <w:r>
        <w:rPr>
          <w:rFonts w:hint="eastAsia" w:ascii="宋体" w:hAnsi="宋体" w:cs="宋体"/>
          <w:sz w:val="21"/>
          <w:szCs w:val="21"/>
          <w:lang w:eastAsia="zh-CN"/>
        </w:rPr>
        <w:t>查询结果不符的， 将不能通过资格审查；</w:t>
      </w:r>
      <w:r>
        <w:rPr>
          <w:color w:val="000000" w:themeColor="text1"/>
          <w:spacing w:val="1"/>
          <w:w w:val="99"/>
          <w:sz w:val="21"/>
          <w:szCs w:val="21"/>
          <w:lang w:eastAsia="zh-CN"/>
          <w14:textFill>
            <w14:solidFill>
              <w14:schemeClr w14:val="tx1"/>
            </w14:solidFill>
          </w14:textFill>
        </w:rPr>
        <w:br w:type="page"/>
      </w:r>
    </w:p>
    <w:p>
      <w:pPr>
        <w:rPr>
          <w:rFonts w:ascii="Times New Roman" w:hAnsi="Times New Roman"/>
          <w:b/>
          <w:sz w:val="28"/>
          <w:szCs w:val="28"/>
          <w:lang w:eastAsia="zh-CN"/>
        </w:rPr>
      </w:pPr>
      <w:r>
        <w:rPr>
          <w:rFonts w:hint="eastAsia" w:ascii="Times New Roman" w:hAnsi="Times New Roman" w:eastAsia="宋体" w:cs="Arial"/>
          <w:b/>
          <w:snapToGrid w:val="0"/>
          <w:color w:val="000000"/>
          <w:sz w:val="28"/>
          <w:szCs w:val="28"/>
          <w:lang w:eastAsia="zh-CN"/>
        </w:rPr>
        <w:t>附录2</w:t>
      </w:r>
      <w:r>
        <w:rPr>
          <w:rFonts w:hint="eastAsia" w:ascii="Times New Roman" w:hAnsi="Times New Roman" w:eastAsia="宋体" w:cs="Arial"/>
          <w:b/>
          <w:snapToGrid w:val="0"/>
          <w:color w:val="000000"/>
          <w:sz w:val="28"/>
          <w:szCs w:val="28"/>
          <w:lang w:eastAsia="zh-CN"/>
        </w:rPr>
        <w:tab/>
      </w:r>
      <w:r>
        <w:rPr>
          <w:rFonts w:hint="eastAsia" w:ascii="Times New Roman" w:hAnsi="Times New Roman" w:eastAsia="宋体" w:cs="Arial"/>
          <w:b/>
          <w:snapToGrid w:val="0"/>
          <w:color w:val="000000"/>
          <w:sz w:val="28"/>
          <w:szCs w:val="28"/>
          <w:lang w:eastAsia="zh-CN"/>
        </w:rPr>
        <w:t>资格审查条件（业绩最低条件）</w:t>
      </w:r>
    </w:p>
    <w:tbl>
      <w:tblPr>
        <w:tblStyle w:val="23"/>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439" w:type="dxa"/>
            <w:vAlign w:val="center"/>
          </w:tcPr>
          <w:p>
            <w:pPr>
              <w:wordWrap w:val="0"/>
              <w:jc w:val="center"/>
              <w:rPr>
                <w:rFonts w:ascii="Times New Roman" w:hAnsi="Times New Roman"/>
                <w:sz w:val="24"/>
                <w:szCs w:val="24"/>
              </w:rPr>
            </w:pPr>
            <w:r>
              <w:rPr>
                <w:rFonts w:hint="eastAsia" w:ascii="Times New Roman" w:hAnsi="Times New Roman"/>
                <w:sz w:val="24"/>
                <w:szCs w:val="24"/>
              </w:rPr>
              <w:t>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439" w:type="dxa"/>
          </w:tcPr>
          <w:p>
            <w:pPr>
              <w:pStyle w:val="34"/>
              <w:spacing w:line="360" w:lineRule="auto"/>
              <w:ind w:firstLine="440"/>
              <w:rPr>
                <w:rFonts w:ascii="Times New Roman" w:hAnsi="Times New Roman"/>
                <w:lang w:eastAsia="zh-CN"/>
              </w:rPr>
            </w:pPr>
            <w:r>
              <w:rPr>
                <w:rFonts w:hint="eastAsia" w:ascii="宋体" w:hAnsi="宋体" w:cs="Plotter"/>
                <w:szCs w:val="24"/>
                <w:lang w:eastAsia="zh-CN"/>
              </w:rPr>
              <w:t>投标人近</w:t>
            </w:r>
            <w:r>
              <w:rPr>
                <w:rFonts w:ascii="宋体" w:hAnsi="宋体" w:cs="Plotter"/>
                <w:szCs w:val="24"/>
                <w:u w:val="single"/>
                <w:lang w:eastAsia="zh-CN"/>
              </w:rPr>
              <w:t xml:space="preserve"> 5 </w:t>
            </w:r>
            <w:r>
              <w:rPr>
                <w:rFonts w:hint="eastAsia" w:ascii="宋体" w:hAnsi="宋体" w:cs="Plotter"/>
                <w:szCs w:val="24"/>
                <w:lang w:eastAsia="zh-CN"/>
              </w:rPr>
              <w:t>年（201</w:t>
            </w:r>
            <w:r>
              <w:rPr>
                <w:rFonts w:hint="eastAsia" w:ascii="宋体" w:hAnsi="宋体" w:cs="Plotter" w:eastAsiaTheme="minorEastAsia"/>
                <w:szCs w:val="24"/>
                <w:lang w:eastAsia="zh-CN"/>
              </w:rPr>
              <w:t>8年</w:t>
            </w:r>
            <w:r>
              <w:rPr>
                <w:rFonts w:hint="eastAsia" w:ascii="宋体" w:hAnsi="宋体" w:cs="Plotter"/>
                <w:szCs w:val="24"/>
                <w:lang w:eastAsia="zh-CN"/>
              </w:rPr>
              <w:t>1月1日至投标截止之日止）至少独</w:t>
            </w:r>
            <w:r>
              <w:rPr>
                <w:rFonts w:hint="eastAsia" w:ascii="宋体" w:hAnsi="宋体" w:cs="Plotter"/>
                <w:szCs w:val="24"/>
                <w:highlight w:val="none"/>
                <w:lang w:eastAsia="zh-CN"/>
              </w:rPr>
              <w:t>立完成过</w:t>
            </w:r>
            <w:r>
              <w:rPr>
                <w:rFonts w:hint="eastAsia" w:ascii="宋体" w:hAnsi="宋体" w:cs="宋体"/>
                <w:sz w:val="21"/>
                <w:szCs w:val="21"/>
                <w:lang w:eastAsia="zh-CN"/>
              </w:rPr>
              <w:t>1座公路桥梁（大桥或以上等级）的勘察设计工作业绩。</w:t>
            </w:r>
          </w:p>
        </w:tc>
      </w:tr>
    </w:tbl>
    <w:p>
      <w:pPr>
        <w:spacing w:line="360" w:lineRule="auto"/>
        <w:rPr>
          <w:lang w:eastAsia="zh-CN"/>
        </w:rPr>
      </w:pPr>
      <w:r>
        <w:rPr>
          <w:rFonts w:hint="eastAsia"/>
          <w:lang w:eastAsia="zh-CN"/>
        </w:rPr>
        <w:t xml:space="preserve">注：1、若投标人提供的业绩证明为联合体业绩，则按交通运输部“全国公路建设市场信用信息管理系统” 业绩信息的网页截图）体现其完成的工作量认定，无法界定其完成的工作量的，此业绩不予认定。 </w:t>
      </w:r>
    </w:p>
    <w:p>
      <w:pPr>
        <w:spacing w:line="360" w:lineRule="auto"/>
        <w:ind w:firstLine="440" w:firstLineChars="200"/>
        <w:rPr>
          <w:rFonts w:ascii="宋体" w:hAnsi="宋体" w:eastAsia="宋体" w:cs="宋体"/>
          <w:b/>
          <w:bCs/>
          <w:color w:val="000000" w:themeColor="text1"/>
          <w:sz w:val="20"/>
          <w:szCs w:val="20"/>
          <w:lang w:eastAsia="zh-CN"/>
          <w14:textFill>
            <w14:solidFill>
              <w14:schemeClr w14:val="tx1"/>
            </w14:solidFill>
          </w14:textFill>
        </w:rPr>
      </w:pPr>
      <w:r>
        <w:rPr>
          <w:rFonts w:hint="eastAsia"/>
          <w:lang w:eastAsia="zh-CN"/>
        </w:rPr>
        <w:t>2、近 5 年（自 2018年1月 1 日至投标文件递交之日止）内完成的类似项目，以已列入交通运输部“全国公路建设市场信用信息管理系统”并公开的”初步设计或施工图设计已批复”的主包业绩，业绩的计算时间以交通运输部“全国公路建设市场信用信息管理系统”中体现的该业绩的初步设计或施工图设计审查（批）时间为准。</w:t>
      </w:r>
      <w:r>
        <w:rPr>
          <w:rFonts w:hint="eastAsia"/>
        </w:rPr>
        <w:t>下同。</w:t>
      </w:r>
    </w:p>
    <w:p>
      <w:pPr>
        <w:spacing w:before="9"/>
        <w:rPr>
          <w:rFonts w:ascii="宋体" w:hAnsi="宋体" w:eastAsia="宋体" w:cs="宋体"/>
          <w:b/>
          <w:bCs/>
          <w:color w:val="000000" w:themeColor="text1"/>
          <w:lang w:eastAsia="zh-CN"/>
          <w14:textFill>
            <w14:solidFill>
              <w14:schemeClr w14:val="tx1"/>
            </w14:solidFill>
          </w14:textFill>
        </w:rPr>
      </w:pPr>
    </w:p>
    <w:p>
      <w:pPr>
        <w:spacing w:line="20" w:lineRule="exact"/>
        <w:ind w:left="220"/>
        <w:rPr>
          <w:rFonts w:ascii="宋体" w:hAnsi="宋体" w:eastAsia="宋体" w:cs="宋体"/>
          <w:color w:val="000000" w:themeColor="text1"/>
          <w:sz w:val="2"/>
          <w:szCs w:val="2"/>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rPr>
          <w:rFonts w:ascii="宋体" w:hAnsi="宋体" w:eastAsia="宋体"/>
          <w:color w:val="000000" w:themeColor="text1"/>
          <w:spacing w:val="1"/>
          <w:w w:val="99"/>
          <w:lang w:eastAsia="zh-CN"/>
          <w14:textFill>
            <w14:solidFill>
              <w14:schemeClr w14:val="tx1"/>
            </w14:solidFill>
          </w14:textFill>
        </w:rPr>
      </w:pPr>
    </w:p>
    <w:p>
      <w:pPr>
        <w:rPr>
          <w:rFonts w:ascii="宋体" w:hAnsi="宋体" w:eastAsia="宋体"/>
          <w:color w:val="000000" w:themeColor="text1"/>
          <w:spacing w:val="1"/>
          <w:w w:val="99"/>
          <w:lang w:eastAsia="zh-CN"/>
          <w14:textFill>
            <w14:solidFill>
              <w14:schemeClr w14:val="tx1"/>
            </w14:solidFill>
          </w14:textFill>
        </w:rPr>
      </w:pPr>
    </w:p>
    <w:p>
      <w:pP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pStyle w:val="14"/>
        <w:tabs>
          <w:tab w:val="left" w:pos="2983"/>
        </w:tabs>
        <w:spacing w:after="42"/>
        <w:ind w:left="0" w:right="84"/>
        <w:jc w:val="center"/>
        <w:rPr>
          <w:rFonts w:ascii="宋体" w:hAnsi="宋体" w:eastAsia="宋体"/>
          <w:color w:val="000000" w:themeColor="text1"/>
          <w:spacing w:val="1"/>
          <w:w w:val="99"/>
          <w:lang w:eastAsia="zh-CN"/>
          <w14:textFill>
            <w14:solidFill>
              <w14:schemeClr w14:val="tx1"/>
            </w14:solidFill>
          </w14:textFill>
        </w:rPr>
      </w:pPr>
    </w:p>
    <w:p>
      <w:pPr>
        <w:rPr>
          <w:rFonts w:ascii="宋体" w:hAnsi="宋体" w:eastAsia="宋体"/>
          <w:color w:val="000000" w:themeColor="text1"/>
          <w:spacing w:val="1"/>
          <w:w w:val="99"/>
          <w:lang w:eastAsia="zh-CN"/>
          <w14:textFill>
            <w14:solidFill>
              <w14:schemeClr w14:val="tx1"/>
            </w14:solidFill>
          </w14:textFill>
        </w:rPr>
      </w:pPr>
    </w:p>
    <w:p>
      <w:pPr>
        <w:pStyle w:val="2"/>
        <w:ind w:left="440" w:firstLine="437"/>
        <w:rPr>
          <w:rFonts w:eastAsia="宋体"/>
          <w:color w:val="000000" w:themeColor="text1"/>
          <w:spacing w:val="1"/>
          <w:w w:val="99"/>
          <w:lang w:eastAsia="zh-CN"/>
          <w14:textFill>
            <w14:solidFill>
              <w14:schemeClr w14:val="tx1"/>
            </w14:solidFill>
          </w14:textFill>
        </w:rPr>
      </w:pPr>
    </w:p>
    <w:p>
      <w:pPr>
        <w:pStyle w:val="3"/>
        <w:rPr>
          <w:lang w:eastAsia="zh-CN"/>
        </w:rPr>
      </w:pPr>
    </w:p>
    <w:p>
      <w:pPr>
        <w:rPr>
          <w:rFonts w:eastAsiaTheme="minorEastAsia"/>
          <w:lang w:eastAsia="zh-CN"/>
        </w:rPr>
      </w:pPr>
    </w:p>
    <w:p>
      <w:pPr>
        <w:rPr>
          <w:rFonts w:eastAsiaTheme="minorEastAsia"/>
          <w:lang w:eastAsia="zh-CN"/>
        </w:rPr>
      </w:pPr>
    </w:p>
    <w:p>
      <w:pPr>
        <w:rPr>
          <w:color w:val="000000" w:themeColor="text1"/>
          <w:lang w:eastAsia="zh-CN"/>
          <w14:textFill>
            <w14:solidFill>
              <w14:schemeClr w14:val="tx1"/>
            </w14:solidFill>
          </w14:textFill>
        </w:rPr>
      </w:pPr>
    </w:p>
    <w:p>
      <w:pPr>
        <w:pStyle w:val="14"/>
        <w:tabs>
          <w:tab w:val="left" w:pos="2936"/>
        </w:tabs>
        <w:spacing w:after="37"/>
        <w:ind w:left="1920" w:right="246"/>
        <w:rPr>
          <w:rFonts w:ascii="宋体" w:hAnsi="宋体" w:eastAsia="宋体" w:cs="宋体"/>
          <w:b w:val="0"/>
          <w:bCs w:val="0"/>
          <w:color w:val="000000" w:themeColor="text1"/>
          <w:sz w:val="13"/>
          <w:szCs w:val="13"/>
          <w:lang w:eastAsia="zh-CN"/>
          <w14:textFill>
            <w14:solidFill>
              <w14:schemeClr w14:val="tx1"/>
            </w14:solidFill>
          </w14:textFill>
        </w:rPr>
      </w:pPr>
      <w:r>
        <w:rPr>
          <w:color w:val="000000" w:themeColor="text1"/>
          <w:w w:val="99"/>
          <w:lang w:eastAsia="zh-CN"/>
          <w14:textFill>
            <w14:solidFill>
              <w14:schemeClr w14:val="tx1"/>
            </w14:solidFill>
          </w14:textFill>
        </w:rPr>
        <w:t>附录</w:t>
      </w:r>
      <w:r>
        <w:rPr>
          <w:rFonts w:hint="eastAsia"/>
          <w:color w:val="000000" w:themeColor="text1"/>
          <w:w w:val="99"/>
          <w:lang w:eastAsia="zh-CN"/>
          <w14:textFill>
            <w14:solidFill>
              <w14:schemeClr w14:val="tx1"/>
            </w14:solidFill>
          </w14:textFill>
        </w:rPr>
        <w:t>3</w:t>
      </w:r>
      <w:r>
        <w:rPr>
          <w:color w:val="000000" w:themeColor="text1"/>
          <w:lang w:eastAsia="zh-CN"/>
          <w14:textFill>
            <w14:solidFill>
              <w14:schemeClr w14:val="tx1"/>
            </w14:solidFill>
          </w14:textFill>
        </w:rPr>
        <w:tab/>
      </w:r>
      <w:r>
        <w:rPr>
          <w:color w:val="000000" w:themeColor="text1"/>
          <w:spacing w:val="1"/>
          <w:w w:val="99"/>
          <w:lang w:eastAsia="zh-CN"/>
          <w14:textFill>
            <w14:solidFill>
              <w14:schemeClr w14:val="tx1"/>
            </w14:solidFill>
          </w14:textFill>
        </w:rPr>
        <w:t>资</w:t>
      </w:r>
      <w:r>
        <w:rPr>
          <w:color w:val="000000" w:themeColor="text1"/>
          <w:w w:val="99"/>
          <w:lang w:eastAsia="zh-CN"/>
          <w14:textFill>
            <w14:solidFill>
              <w14:schemeClr w14:val="tx1"/>
            </w14:solidFill>
          </w14:textFill>
        </w:rPr>
        <w:t>格审查条件（信誉最低条</w:t>
      </w:r>
      <w:r>
        <w:rPr>
          <w:color w:val="000000" w:themeColor="text1"/>
          <w:spacing w:val="-2"/>
          <w:w w:val="99"/>
          <w:lang w:eastAsia="zh-CN"/>
          <w14:textFill>
            <w14:solidFill>
              <w14:schemeClr w14:val="tx1"/>
            </w14:solidFill>
          </w14:textFill>
        </w:rPr>
        <w:t>件</w:t>
      </w:r>
      <w:r>
        <w:rPr>
          <w:color w:val="000000" w:themeColor="text1"/>
          <w:spacing w:val="4"/>
          <w:w w:val="99"/>
          <w:lang w:eastAsia="zh-CN"/>
          <w14:textFill>
            <w14:solidFill>
              <w14:schemeClr w14:val="tx1"/>
            </w14:solidFill>
          </w14:textFill>
        </w:rPr>
        <w:t>）</w:t>
      </w:r>
    </w:p>
    <w:p>
      <w:pPr>
        <w:rPr>
          <w:rFonts w:eastAsia="宋体"/>
          <w:color w:val="000000" w:themeColor="text1"/>
          <w:lang w:eastAsia="zh-CN"/>
          <w14:textFill>
            <w14:solidFill>
              <w14:schemeClr w14:val="tx1"/>
            </w14:solidFill>
          </w14:textFill>
        </w:rPr>
      </w:pPr>
    </w:p>
    <w:tbl>
      <w:tblPr>
        <w:tblStyle w:val="23"/>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9574" w:type="dxa"/>
            <w:vAlign w:val="center"/>
          </w:tcPr>
          <w:p>
            <w:pPr>
              <w:autoSpaceDE w:val="0"/>
              <w:autoSpaceDN w:val="0"/>
              <w:adjustRightInd w:val="0"/>
              <w:spacing w:line="360" w:lineRule="auto"/>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2" w:hRule="atLeast"/>
          <w:jc w:val="center"/>
        </w:trPr>
        <w:tc>
          <w:tcPr>
            <w:tcW w:w="9574" w:type="dxa"/>
            <w:vAlign w:val="center"/>
          </w:tcPr>
          <w:p>
            <w:pPr>
              <w:pStyle w:val="4"/>
              <w:spacing w:before="7" w:line="220" w:lineRule="auto"/>
              <w:ind w:left="103" w:right="13"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在最新年度广东省公路工程从业单位（设计单位）信用评价（含无最新年度而上一年度有信用评价）中，信用等级未被评为 D 级；</w:t>
            </w:r>
          </w:p>
          <w:p>
            <w:pPr>
              <w:pStyle w:val="4"/>
              <w:spacing w:before="7" w:line="220" w:lineRule="auto"/>
              <w:ind w:left="103" w:right="13" w:firstLine="480"/>
              <w:rPr>
                <w:color w:val="000000" w:themeColor="text1"/>
                <w:lang w:eastAsia="zh-CN"/>
                <w14:textFill>
                  <w14:solidFill>
                    <w14:schemeClr w14:val="tx1"/>
                  </w14:solidFill>
                </w14:textFill>
              </w:rPr>
            </w:pPr>
          </w:p>
          <w:p>
            <w:pPr>
              <w:pStyle w:val="4"/>
              <w:spacing w:before="7" w:line="220" w:lineRule="auto"/>
              <w:ind w:left="103" w:right="13" w:firstLine="480"/>
              <w:rPr>
                <w:color w:val="000000" w:themeColor="text1"/>
                <w:lang w:eastAsia="zh-CN"/>
                <w14:textFill>
                  <w14:solidFill>
                    <w14:schemeClr w14:val="tx1"/>
                  </w14:solidFill>
                </w14:textFill>
              </w:rPr>
            </w:pPr>
          </w:p>
          <w:p>
            <w:pPr>
              <w:pStyle w:val="4"/>
              <w:spacing w:before="7" w:line="220" w:lineRule="auto"/>
              <w:ind w:left="103" w:right="13"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初次进入广东省的投标人，在最新年度全国公路从业单位（勘察设计单位） 信用评价结果中未被评为 D 级。</w:t>
            </w:r>
          </w:p>
        </w:tc>
      </w:tr>
    </w:tbl>
    <w:p>
      <w:pPr>
        <w:rPr>
          <w:rFonts w:eastAsia="宋体"/>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rFonts w:ascii="宋体" w:hAnsi="宋体" w:eastAsia="宋体" w:cs="宋体"/>
          <w:color w:val="000000" w:themeColor="text1"/>
          <w:sz w:val="18"/>
          <w:szCs w:val="18"/>
          <w:lang w:eastAsia="zh-CN"/>
          <w14:textFill>
            <w14:solidFill>
              <w14:schemeClr w14:val="tx1"/>
            </w14:solidFill>
          </w14:textFill>
        </w:rPr>
      </w:pPr>
    </w:p>
    <w:p>
      <w:pPr>
        <w:rPr>
          <w:rFonts w:ascii="宋体" w:hAnsi="宋体" w:eastAsia="宋体" w:cs="宋体"/>
          <w:color w:val="000000" w:themeColor="text1"/>
          <w:sz w:val="18"/>
          <w:szCs w:val="18"/>
          <w:lang w:eastAsia="zh-CN"/>
          <w14:textFill>
            <w14:solidFill>
              <w14:schemeClr w14:val="tx1"/>
            </w14:solidFill>
          </w14:textFill>
        </w:rPr>
      </w:pPr>
    </w:p>
    <w:p>
      <w:pPr>
        <w:rPr>
          <w:rFonts w:ascii="宋体" w:hAnsi="宋体" w:eastAsia="宋体" w:cs="宋体"/>
          <w:color w:val="000000" w:themeColor="text1"/>
          <w:sz w:val="18"/>
          <w:szCs w:val="18"/>
          <w:lang w:eastAsia="zh-CN"/>
          <w14:textFill>
            <w14:solidFill>
              <w14:schemeClr w14:val="tx1"/>
            </w14:solidFill>
          </w14:textFill>
        </w:rPr>
      </w:pPr>
    </w:p>
    <w:p>
      <w:pPr>
        <w:rPr>
          <w:rFonts w:ascii="宋体" w:hAnsi="宋体" w:eastAsia="宋体" w:cs="宋体"/>
          <w:color w:val="000000" w:themeColor="text1"/>
          <w:sz w:val="18"/>
          <w:szCs w:val="18"/>
          <w:lang w:eastAsia="zh-CN"/>
          <w14:textFill>
            <w14:solidFill>
              <w14:schemeClr w14:val="tx1"/>
            </w14:solidFill>
          </w14:textFill>
        </w:rPr>
      </w:pPr>
    </w:p>
    <w:p>
      <w:pPr>
        <w:rPr>
          <w:rFonts w:ascii="宋体" w:hAnsi="宋体" w:eastAsia="宋体" w:cs="宋体"/>
          <w:color w:val="000000" w:themeColor="text1"/>
          <w:sz w:val="18"/>
          <w:szCs w:val="18"/>
          <w:lang w:eastAsia="zh-CN"/>
          <w14:textFill>
            <w14:solidFill>
              <w14:schemeClr w14:val="tx1"/>
            </w14:solidFill>
          </w14:textFill>
        </w:rPr>
      </w:pPr>
    </w:p>
    <w:p>
      <w:pPr>
        <w:spacing w:before="11"/>
        <w:rPr>
          <w:rFonts w:ascii="宋体" w:hAnsi="宋体" w:eastAsia="宋体" w:cs="宋体"/>
          <w:color w:val="000000" w:themeColor="text1"/>
          <w:sz w:val="12"/>
          <w:szCs w:val="12"/>
          <w:lang w:eastAsia="zh-CN"/>
          <w14:textFill>
            <w14:solidFill>
              <w14:schemeClr w14:val="tx1"/>
            </w14:solidFill>
          </w14:textFill>
        </w:rPr>
      </w:pPr>
    </w:p>
    <w:p>
      <w:pPr>
        <w:widowControl/>
        <w:rPr>
          <w:rFonts w:ascii="黑体" w:hAnsi="黑体" w:eastAsia="黑体"/>
          <w:b/>
          <w:bCs/>
          <w:color w:val="000000" w:themeColor="text1"/>
          <w:w w:val="99"/>
          <w:sz w:val="27"/>
          <w:szCs w:val="27"/>
          <w:lang w:eastAsia="zh-CN"/>
          <w14:textFill>
            <w14:solidFill>
              <w14:schemeClr w14:val="tx1"/>
            </w14:solidFill>
          </w14:textFill>
        </w:rPr>
      </w:pPr>
      <w:r>
        <w:rPr>
          <w:color w:val="000000" w:themeColor="text1"/>
          <w:w w:val="99"/>
          <w:lang w:eastAsia="zh-CN"/>
          <w14:textFill>
            <w14:solidFill>
              <w14:schemeClr w14:val="tx1"/>
            </w14:solidFill>
          </w14:textFill>
        </w:rPr>
        <w:br w:type="page"/>
      </w:r>
    </w:p>
    <w:p>
      <w:pPr>
        <w:rPr>
          <w:rFonts w:ascii="Times New Roman" w:hAnsi="Times New Roman" w:eastAsia="宋体" w:cs="Arial"/>
          <w:b/>
          <w:snapToGrid w:val="0"/>
          <w:color w:val="000000"/>
          <w:sz w:val="28"/>
          <w:szCs w:val="28"/>
          <w:lang w:eastAsia="zh-CN"/>
        </w:rPr>
      </w:pPr>
      <w:r>
        <w:rPr>
          <w:rFonts w:hint="eastAsia" w:ascii="Times New Roman" w:hAnsi="Times New Roman" w:eastAsia="宋体" w:cs="Arial"/>
          <w:b/>
          <w:snapToGrid w:val="0"/>
          <w:color w:val="000000"/>
          <w:sz w:val="28"/>
          <w:szCs w:val="28"/>
          <w:lang w:eastAsia="zh-CN"/>
        </w:rPr>
        <w:t>附录4</w:t>
      </w:r>
      <w:r>
        <w:rPr>
          <w:rFonts w:hint="eastAsia" w:ascii="Times New Roman" w:hAnsi="Times New Roman" w:eastAsia="宋体" w:cs="Arial"/>
          <w:b/>
          <w:snapToGrid w:val="0"/>
          <w:color w:val="000000"/>
          <w:sz w:val="28"/>
          <w:szCs w:val="28"/>
          <w:lang w:eastAsia="zh-CN"/>
        </w:rPr>
        <w:tab/>
      </w:r>
      <w:r>
        <w:rPr>
          <w:rFonts w:hint="eastAsia" w:ascii="Times New Roman" w:hAnsi="Times New Roman" w:eastAsia="宋体" w:cs="Arial"/>
          <w:b/>
          <w:snapToGrid w:val="0"/>
          <w:color w:val="000000"/>
          <w:sz w:val="28"/>
          <w:szCs w:val="28"/>
          <w:lang w:eastAsia="zh-CN"/>
        </w:rPr>
        <w:t>资格审查条件（项目负责人最低要求）</w:t>
      </w:r>
    </w:p>
    <w:p>
      <w:pPr>
        <w:rPr>
          <w:rFonts w:ascii="Times New Roman" w:hAnsi="Times New Roman"/>
          <w:b/>
          <w:sz w:val="28"/>
          <w:szCs w:val="28"/>
          <w:lang w:eastAsia="zh-CN"/>
        </w:rPr>
      </w:pPr>
    </w:p>
    <w:tbl>
      <w:tblPr>
        <w:tblStyle w:val="2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642"/>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642" w:type="dxa"/>
            <w:vAlign w:val="center"/>
          </w:tcPr>
          <w:p>
            <w:pPr>
              <w:wordWrap w:val="0"/>
              <w:jc w:val="center"/>
              <w:rPr>
                <w:rFonts w:ascii="Times New Roman" w:hAnsi="Times New Roman"/>
              </w:rPr>
            </w:pPr>
            <w:r>
              <w:rPr>
                <w:rFonts w:hint="eastAsia" w:ascii="Times New Roman" w:hAnsi="Times New Roman"/>
              </w:rPr>
              <w:t>人员</w:t>
            </w:r>
          </w:p>
        </w:tc>
        <w:tc>
          <w:tcPr>
            <w:tcW w:w="1642" w:type="dxa"/>
            <w:vAlign w:val="center"/>
          </w:tcPr>
          <w:p>
            <w:pPr>
              <w:wordWrap w:val="0"/>
              <w:jc w:val="center"/>
              <w:rPr>
                <w:rFonts w:ascii="Times New Roman" w:hAnsi="Times New Roman"/>
              </w:rPr>
            </w:pPr>
            <w:r>
              <w:rPr>
                <w:rFonts w:hint="eastAsia" w:ascii="Times New Roman" w:hAnsi="Times New Roman"/>
              </w:rPr>
              <w:t>数量</w:t>
            </w:r>
          </w:p>
        </w:tc>
        <w:tc>
          <w:tcPr>
            <w:tcW w:w="6322" w:type="dxa"/>
            <w:vAlign w:val="center"/>
          </w:tcPr>
          <w:p>
            <w:pPr>
              <w:wordWrap w:val="0"/>
              <w:jc w:val="center"/>
              <w:rPr>
                <w:rFonts w:ascii="Times New Roman" w:hAnsi="Times New Roman"/>
              </w:rPr>
            </w:pPr>
            <w:r>
              <w:rPr>
                <w:rFonts w:hint="eastAsia" w:ascii="Times New Roman" w:hAnsi="Times New Roman"/>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1642" w:type="dxa"/>
            <w:vAlign w:val="center"/>
          </w:tcPr>
          <w:p>
            <w:pPr>
              <w:wordWrap w:val="0"/>
              <w:spacing w:before="120" w:beforeLines="50"/>
              <w:jc w:val="center"/>
              <w:rPr>
                <w:rFonts w:ascii="Times New Roman" w:hAnsi="Times New Roman"/>
              </w:rPr>
            </w:pPr>
            <w:r>
              <w:rPr>
                <w:rFonts w:hint="eastAsia" w:ascii="Times New Roman" w:hAnsi="Times New Roman"/>
              </w:rPr>
              <w:t>项目负责人</w:t>
            </w:r>
          </w:p>
        </w:tc>
        <w:tc>
          <w:tcPr>
            <w:tcW w:w="1642" w:type="dxa"/>
            <w:vAlign w:val="center"/>
          </w:tcPr>
          <w:p>
            <w:pPr>
              <w:wordWrap w:val="0"/>
              <w:spacing w:before="120" w:beforeLines="50"/>
              <w:jc w:val="center"/>
              <w:rPr>
                <w:rFonts w:ascii="Times New Roman" w:hAnsi="Times New Roman"/>
              </w:rPr>
            </w:pPr>
            <w:r>
              <w:rPr>
                <w:rFonts w:ascii="Times New Roman" w:hAnsi="Times New Roman"/>
              </w:rPr>
              <w:t>1</w:t>
            </w:r>
          </w:p>
        </w:tc>
        <w:tc>
          <w:tcPr>
            <w:tcW w:w="6322" w:type="dxa"/>
            <w:vAlign w:val="center"/>
          </w:tcPr>
          <w:p>
            <w:pPr>
              <w:pStyle w:val="34"/>
              <w:spacing w:line="360" w:lineRule="auto"/>
              <w:ind w:firstLine="0" w:firstLineChars="0"/>
              <w:rPr>
                <w:rFonts w:ascii="宋体" w:hAnsi="宋体" w:cs="宋体"/>
                <w:lang w:val="zh-CN" w:eastAsia="zh-CN"/>
              </w:rPr>
            </w:pPr>
            <w:r>
              <w:rPr>
                <w:rFonts w:hint="eastAsia" w:ascii="宋体" w:hAnsi="宋体" w:cs="宋体"/>
                <w:lang w:val="zh-CN" w:eastAsia="zh-CN"/>
              </w:rPr>
              <w:t>（</w:t>
            </w:r>
            <w:r>
              <w:rPr>
                <w:rFonts w:hint="eastAsia" w:ascii="宋体" w:hAnsi="宋体" w:cs="宋体"/>
                <w:lang w:eastAsia="zh-CN"/>
              </w:rPr>
              <w:t>1</w:t>
            </w:r>
            <w:r>
              <w:rPr>
                <w:rFonts w:hint="eastAsia" w:ascii="宋体" w:hAnsi="宋体" w:cs="宋体"/>
                <w:lang w:val="zh-CN" w:eastAsia="zh-CN"/>
              </w:rPr>
              <w:t>）具有路桥相关专业高级工程师职称；</w:t>
            </w:r>
          </w:p>
          <w:p>
            <w:pPr>
              <w:pStyle w:val="34"/>
              <w:spacing w:line="360" w:lineRule="auto"/>
              <w:ind w:firstLine="0" w:firstLineChars="0"/>
              <w:rPr>
                <w:rFonts w:ascii="Times New Roman" w:hAnsi="Times New Roman"/>
                <w:lang w:eastAsia="zh-CN"/>
              </w:rPr>
            </w:pPr>
            <w:r>
              <w:rPr>
                <w:rFonts w:hint="eastAsia" w:ascii="宋体" w:hAnsi="宋体" w:cs="宋体"/>
                <w:lang w:val="zh-CN" w:eastAsia="zh-CN"/>
              </w:rPr>
              <w:t>（</w:t>
            </w:r>
            <w:r>
              <w:rPr>
                <w:rFonts w:hint="eastAsia" w:ascii="宋体" w:hAnsi="宋体" w:cs="宋体"/>
                <w:lang w:eastAsia="zh-CN"/>
              </w:rPr>
              <w:t>2</w:t>
            </w:r>
            <w:r>
              <w:rPr>
                <w:rFonts w:hint="eastAsia" w:ascii="宋体" w:hAnsi="宋体" w:cs="宋体"/>
                <w:lang w:val="zh-CN" w:eastAsia="zh-CN"/>
              </w:rPr>
              <w:t>）近5年（2018年1月1日至投标截止之日止）至少独立完成过</w:t>
            </w:r>
            <w:r>
              <w:rPr>
                <w:rFonts w:hint="eastAsia" w:ascii="宋体" w:hAnsi="宋体" w:cs="宋体"/>
                <w:sz w:val="21"/>
                <w:szCs w:val="21"/>
                <w:lang w:eastAsia="zh-CN"/>
              </w:rPr>
              <w:t>1座公路桥梁（大桥或以上等级）的勘察设计工作业绩。</w:t>
            </w:r>
          </w:p>
        </w:tc>
      </w:tr>
    </w:tbl>
    <w:p>
      <w:pPr>
        <w:pStyle w:val="2"/>
        <w:ind w:left="0" w:leftChars="0" w:firstLine="0" w:firstLineChars="0"/>
        <w:rPr>
          <w:lang w:eastAsia="zh-CN"/>
        </w:rPr>
      </w:pPr>
    </w:p>
    <w:p>
      <w:pPr>
        <w:rPr>
          <w:rFonts w:ascii="宋体" w:hAnsi="宋体" w:eastAsia="宋体" w:cs="宋体"/>
          <w:b/>
          <w:bCs/>
          <w:color w:val="000000" w:themeColor="text1"/>
          <w:sz w:val="20"/>
          <w:szCs w:val="20"/>
          <w:lang w:eastAsia="zh-CN"/>
          <w14:textFill>
            <w14:solidFill>
              <w14:schemeClr w14:val="tx1"/>
            </w14:solidFill>
          </w14:textFill>
        </w:rPr>
      </w:pPr>
    </w:p>
    <w:p>
      <w:pPr>
        <w:rPr>
          <w:rFonts w:ascii="宋体" w:hAnsi="宋体" w:eastAsia="宋体" w:cs="宋体"/>
          <w:b/>
          <w:bCs/>
          <w:color w:val="000000" w:themeColor="text1"/>
          <w:sz w:val="20"/>
          <w:szCs w:val="20"/>
          <w:lang w:eastAsia="zh-CN"/>
          <w14:textFill>
            <w14:solidFill>
              <w14:schemeClr w14:val="tx1"/>
            </w14:solidFill>
          </w14:textFill>
        </w:rPr>
      </w:pPr>
    </w:p>
    <w:p>
      <w:pPr>
        <w:rPr>
          <w:rFonts w:ascii="宋体" w:hAnsi="宋体" w:eastAsia="宋体" w:cs="宋体"/>
          <w:b/>
          <w:bCs/>
          <w:color w:val="000000" w:themeColor="text1"/>
          <w:sz w:val="20"/>
          <w:szCs w:val="20"/>
          <w:lang w:eastAsia="zh-CN"/>
          <w14:textFill>
            <w14:solidFill>
              <w14:schemeClr w14:val="tx1"/>
            </w14:solidFill>
          </w14:textFill>
        </w:rPr>
      </w:pPr>
    </w:p>
    <w:p>
      <w:pPr>
        <w:rPr>
          <w:rFonts w:ascii="宋体" w:hAnsi="宋体" w:eastAsia="宋体" w:cs="宋体"/>
          <w:b/>
          <w:bCs/>
          <w:color w:val="000000" w:themeColor="text1"/>
          <w:sz w:val="20"/>
          <w:szCs w:val="20"/>
          <w:lang w:eastAsia="zh-CN"/>
          <w14:textFill>
            <w14:solidFill>
              <w14:schemeClr w14:val="tx1"/>
            </w14:solidFill>
          </w14:textFill>
        </w:rPr>
      </w:pPr>
    </w:p>
    <w:p>
      <w:pPr>
        <w:rPr>
          <w:rFonts w:ascii="宋体" w:hAnsi="宋体" w:eastAsia="宋体" w:cs="宋体"/>
          <w:b/>
          <w:bCs/>
          <w:color w:val="000000" w:themeColor="text1"/>
          <w:sz w:val="20"/>
          <w:szCs w:val="20"/>
          <w:lang w:eastAsia="zh-CN"/>
          <w14:textFill>
            <w14:solidFill>
              <w14:schemeClr w14:val="tx1"/>
            </w14:solidFill>
          </w14:textFill>
        </w:rPr>
      </w:pPr>
    </w:p>
    <w:p>
      <w:pPr>
        <w:rPr>
          <w:rFonts w:ascii="宋体" w:hAnsi="宋体" w:eastAsia="宋体" w:cs="宋体"/>
          <w:b/>
          <w:bCs/>
          <w:color w:val="000000" w:themeColor="text1"/>
          <w:sz w:val="20"/>
          <w:szCs w:val="20"/>
          <w:lang w:eastAsia="zh-CN"/>
          <w14:textFill>
            <w14:solidFill>
              <w14:schemeClr w14:val="tx1"/>
            </w14:solidFill>
          </w14:textFill>
        </w:rPr>
      </w:pPr>
    </w:p>
    <w:p>
      <w:pPr>
        <w:rPr>
          <w:rFonts w:ascii="宋体" w:hAnsi="宋体" w:eastAsia="宋体" w:cs="宋体"/>
          <w:b/>
          <w:bCs/>
          <w:color w:val="000000" w:themeColor="text1"/>
          <w:sz w:val="20"/>
          <w:szCs w:val="20"/>
          <w:lang w:eastAsia="zh-CN"/>
          <w14:textFill>
            <w14:solidFill>
              <w14:schemeClr w14:val="tx1"/>
            </w14:solidFill>
          </w14:textFill>
        </w:rPr>
      </w:pPr>
    </w:p>
    <w:p>
      <w:pPr>
        <w:spacing w:before="12"/>
        <w:rPr>
          <w:rFonts w:ascii="宋体" w:hAnsi="宋体" w:eastAsia="宋体" w:cs="宋体"/>
          <w:b/>
          <w:bCs/>
          <w:color w:val="000000" w:themeColor="text1"/>
          <w:sz w:val="17"/>
          <w:szCs w:val="17"/>
          <w:lang w:eastAsia="zh-CN"/>
          <w14:textFill>
            <w14:solidFill>
              <w14:schemeClr w14:val="tx1"/>
            </w14:solidFill>
          </w14:textFill>
        </w:rPr>
      </w:pPr>
    </w:p>
    <w:p>
      <w:pPr>
        <w:spacing w:line="20" w:lineRule="exact"/>
        <w:ind w:left="240"/>
        <w:rPr>
          <w:rFonts w:ascii="宋体" w:hAnsi="宋体" w:eastAsia="宋体" w:cs="宋体"/>
          <w:color w:val="000000" w:themeColor="text1"/>
          <w:sz w:val="2"/>
          <w:szCs w:val="2"/>
          <w:lang w:eastAsia="zh-CN"/>
          <w14:textFill>
            <w14:solidFill>
              <w14:schemeClr w14:val="tx1"/>
            </w14:solidFill>
          </w14:textFill>
        </w:rPr>
      </w:pPr>
    </w:p>
    <w:p>
      <w:pPr>
        <w:spacing w:before="96" w:line="232" w:lineRule="exact"/>
        <w:ind w:right="246"/>
        <w:rPr>
          <w:rFonts w:ascii="宋体" w:hAnsi="宋体" w:eastAsia="宋体" w:cs="宋体"/>
          <w:color w:val="000000" w:themeColor="text1"/>
          <w:sz w:val="18"/>
          <w:szCs w:val="18"/>
          <w:lang w:eastAsia="zh-CN"/>
          <w14:textFill>
            <w14:solidFill>
              <w14:schemeClr w14:val="tx1"/>
            </w14:solidFill>
          </w14:textFill>
        </w:rPr>
      </w:pPr>
    </w:p>
    <w:p>
      <w:pPr>
        <w:spacing w:line="232" w:lineRule="exact"/>
        <w:rPr>
          <w:rFonts w:ascii="宋体" w:hAnsi="宋体" w:eastAsia="宋体" w:cs="宋体"/>
          <w:color w:val="000000" w:themeColor="text1"/>
          <w:sz w:val="18"/>
          <w:szCs w:val="18"/>
          <w:lang w:eastAsia="zh-CN"/>
          <w14:textFill>
            <w14:solidFill>
              <w14:schemeClr w14:val="tx1"/>
            </w14:solidFill>
          </w14:textFill>
        </w:rPr>
        <w:sectPr>
          <w:footerReference r:id="rId9" w:type="default"/>
          <w:pgSz w:w="11910" w:h="16840"/>
          <w:pgMar w:top="1240" w:right="1560" w:bottom="1520" w:left="1560" w:header="968" w:footer="1338" w:gutter="0"/>
          <w:cols w:space="720" w:num="1"/>
        </w:sectPr>
      </w:pPr>
    </w:p>
    <w:p>
      <w:pPr>
        <w:spacing w:before="1"/>
        <w:rPr>
          <w:rFonts w:ascii="宋体" w:hAnsi="宋体" w:eastAsia="宋体" w:cs="宋体"/>
          <w:color w:val="000000" w:themeColor="text1"/>
          <w:sz w:val="4"/>
          <w:szCs w:val="4"/>
          <w:lang w:eastAsia="zh-CN"/>
          <w14:textFill>
            <w14:solidFill>
              <w14:schemeClr w14:val="tx1"/>
            </w14:solidFill>
          </w14:textFill>
        </w:rPr>
      </w:pPr>
    </w:p>
    <w:p>
      <w:pPr>
        <w:pStyle w:val="8"/>
        <w:wordWrap w:val="0"/>
        <w:spacing w:before="120" w:beforeLines="50" w:after="120" w:afterLines="50"/>
        <w:jc w:val="center"/>
        <w:rPr>
          <w:rFonts w:ascii="Times New Roman" w:hAnsi="Times New Roman"/>
          <w:b w:val="0"/>
          <w:sz w:val="28"/>
          <w:szCs w:val="28"/>
          <w:highlight w:val="yellow"/>
          <w:lang w:eastAsia="zh-CN"/>
        </w:rPr>
      </w:pPr>
      <w:r>
        <w:rPr>
          <w:rFonts w:cs="黑体"/>
          <w:color w:val="000000" w:themeColor="text1"/>
          <w:sz w:val="24"/>
          <w:szCs w:val="24"/>
          <w:lang w:eastAsia="zh-CN"/>
          <w14:textFill>
            <w14:solidFill>
              <w14:schemeClr w14:val="tx1"/>
            </w14:solidFill>
          </w14:textFill>
        </w:rPr>
        <w:t>附录5资格审查条件（</w:t>
      </w:r>
      <w:r>
        <w:rPr>
          <w:rFonts w:hint="eastAsia" w:eastAsia="宋体"/>
          <w:color w:val="000000" w:themeColor="text1"/>
          <w:lang w:eastAsia="zh-CN"/>
          <w14:textFill>
            <w14:solidFill>
              <w14:schemeClr w14:val="tx1"/>
            </w14:solidFill>
          </w14:textFill>
        </w:rPr>
        <w:t>其他</w:t>
      </w:r>
      <w:r>
        <w:rPr>
          <w:rFonts w:hint="eastAsia"/>
          <w:color w:val="000000" w:themeColor="text1"/>
          <w:lang w:eastAsia="zh-CN"/>
          <w14:textFill>
            <w14:solidFill>
              <w14:schemeClr w14:val="tx1"/>
            </w14:solidFill>
          </w14:textFill>
        </w:rPr>
        <w:t>人员最低要求</w:t>
      </w:r>
      <w:r>
        <w:rPr>
          <w:rFonts w:cs="黑体"/>
          <w:color w:val="000000" w:themeColor="text1"/>
          <w:sz w:val="24"/>
          <w:szCs w:val="24"/>
          <w:lang w:eastAsia="zh-CN"/>
          <w14:textFill>
            <w14:solidFill>
              <w14:schemeClr w14:val="tx1"/>
            </w14:solidFill>
          </w14:textFill>
        </w:rPr>
        <w:t>）</w:t>
      </w:r>
    </w:p>
    <w:tbl>
      <w:tblPr>
        <w:tblStyle w:val="23"/>
        <w:tblW w:w="8944" w:type="dxa"/>
        <w:jc w:val="center"/>
        <w:tblLayout w:type="fixed"/>
        <w:tblCellMar>
          <w:top w:w="0" w:type="dxa"/>
          <w:left w:w="0" w:type="dxa"/>
          <w:bottom w:w="0" w:type="dxa"/>
          <w:right w:w="0" w:type="dxa"/>
        </w:tblCellMar>
      </w:tblPr>
      <w:tblGrid>
        <w:gridCol w:w="2225"/>
        <w:gridCol w:w="709"/>
        <w:gridCol w:w="6010"/>
      </w:tblGrid>
      <w:tr>
        <w:tblPrEx>
          <w:tblCellMar>
            <w:top w:w="0" w:type="dxa"/>
            <w:left w:w="0" w:type="dxa"/>
            <w:bottom w:w="0" w:type="dxa"/>
            <w:right w:w="0" w:type="dxa"/>
          </w:tblCellMar>
        </w:tblPrEx>
        <w:trPr>
          <w:trHeight w:val="482" w:hRule="exact"/>
          <w:jc w:val="center"/>
        </w:trPr>
        <w:tc>
          <w:tcPr>
            <w:tcW w:w="2225" w:type="dxa"/>
            <w:tcBorders>
              <w:top w:val="single" w:color="010101" w:sz="8" w:space="0"/>
              <w:left w:val="single" w:color="010101" w:sz="8" w:space="0"/>
              <w:bottom w:val="single" w:color="010101" w:sz="4" w:space="0"/>
              <w:right w:val="single" w:color="010101" w:sz="4" w:space="0"/>
            </w:tcBorders>
            <w:vAlign w:val="center"/>
          </w:tcPr>
          <w:p>
            <w:pPr>
              <w:jc w:val="center"/>
              <w:rPr>
                <w:rFonts w:ascii="Times New Roman" w:hAnsi="Times New Roman"/>
              </w:rPr>
            </w:pPr>
            <w:r>
              <w:rPr>
                <w:rFonts w:ascii="Times New Roman" w:hAnsi="Times New Roman"/>
              </w:rPr>
              <w:t>人员</w:t>
            </w:r>
          </w:p>
        </w:tc>
        <w:tc>
          <w:tcPr>
            <w:tcW w:w="709" w:type="dxa"/>
            <w:tcBorders>
              <w:top w:val="single" w:color="010101" w:sz="8" w:space="0"/>
              <w:left w:val="single" w:color="010101" w:sz="4" w:space="0"/>
              <w:bottom w:val="single" w:color="010101" w:sz="4" w:space="0"/>
              <w:right w:val="single" w:color="010101" w:sz="4" w:space="0"/>
            </w:tcBorders>
            <w:vAlign w:val="center"/>
          </w:tcPr>
          <w:p>
            <w:pPr>
              <w:wordWrap w:val="0"/>
              <w:jc w:val="center"/>
              <w:rPr>
                <w:rFonts w:ascii="Times New Roman" w:hAnsi="Times New Roman"/>
              </w:rPr>
            </w:pPr>
            <w:r>
              <w:rPr>
                <w:rFonts w:ascii="Times New Roman" w:hAnsi="Times New Roman"/>
              </w:rPr>
              <w:t>数量</w:t>
            </w:r>
          </w:p>
        </w:tc>
        <w:tc>
          <w:tcPr>
            <w:tcW w:w="6010" w:type="dxa"/>
            <w:tcBorders>
              <w:top w:val="single" w:color="010101" w:sz="8" w:space="0"/>
              <w:left w:val="single" w:color="010101" w:sz="4" w:space="0"/>
              <w:bottom w:val="single" w:color="010101" w:sz="4" w:space="0"/>
              <w:right w:val="single" w:color="010101" w:sz="8" w:space="0"/>
            </w:tcBorders>
            <w:vAlign w:val="center"/>
          </w:tcPr>
          <w:p>
            <w:pPr>
              <w:jc w:val="center"/>
              <w:rPr>
                <w:rFonts w:ascii="Times New Roman" w:hAnsi="Times New Roman"/>
              </w:rPr>
            </w:pPr>
            <w:r>
              <w:rPr>
                <w:rFonts w:ascii="Times New Roman" w:hAnsi="Times New Roman"/>
              </w:rPr>
              <w:t>资 格 标准</w:t>
            </w:r>
          </w:p>
        </w:tc>
      </w:tr>
      <w:tr>
        <w:tblPrEx>
          <w:tblCellMar>
            <w:top w:w="0" w:type="dxa"/>
            <w:left w:w="0" w:type="dxa"/>
            <w:bottom w:w="0" w:type="dxa"/>
            <w:right w:w="0" w:type="dxa"/>
          </w:tblCellMar>
        </w:tblPrEx>
        <w:trPr>
          <w:trHeight w:val="904" w:hRule="exact"/>
          <w:jc w:val="center"/>
        </w:trPr>
        <w:tc>
          <w:tcPr>
            <w:tcW w:w="2225" w:type="dxa"/>
            <w:tcBorders>
              <w:top w:val="single" w:color="010101" w:sz="4" w:space="0"/>
              <w:left w:val="single" w:color="010101" w:sz="8" w:space="0"/>
              <w:bottom w:val="single" w:color="010101" w:sz="4" w:space="0"/>
              <w:right w:val="single" w:color="010101" w:sz="4" w:space="0"/>
            </w:tcBorders>
            <w:vAlign w:val="center"/>
          </w:tcPr>
          <w:p>
            <w:pPr>
              <w:pStyle w:val="27"/>
              <w:spacing w:before="173"/>
              <w:ind w:right="5"/>
              <w:jc w:val="center"/>
              <w:rPr>
                <w:rFonts w:ascii="Times New Roman" w:hAnsi="Times New Roman" w:eastAsia="宋体"/>
                <w:kern w:val="2"/>
                <w:sz w:val="21"/>
                <w:lang w:eastAsia="zh-CN"/>
              </w:rPr>
            </w:pPr>
            <w:r>
              <w:rPr>
                <w:rFonts w:ascii="Times New Roman" w:hAnsi="Times New Roman" w:eastAsia="宋体"/>
                <w:kern w:val="2"/>
                <w:sz w:val="21"/>
                <w:lang w:eastAsia="zh-CN"/>
              </w:rPr>
              <w:t>桥梁分项负责人</w:t>
            </w:r>
          </w:p>
        </w:tc>
        <w:tc>
          <w:tcPr>
            <w:tcW w:w="709" w:type="dxa"/>
            <w:tcBorders>
              <w:top w:val="single" w:color="010101" w:sz="4" w:space="0"/>
              <w:left w:val="single" w:color="010101" w:sz="4" w:space="0"/>
              <w:bottom w:val="single" w:color="010101" w:sz="4" w:space="0"/>
              <w:right w:val="single" w:color="010101" w:sz="4" w:space="0"/>
            </w:tcBorders>
            <w:vAlign w:val="center"/>
          </w:tcPr>
          <w:p>
            <w:pPr>
              <w:jc w:val="center"/>
              <w:rPr>
                <w:rFonts w:ascii="Times New Roman" w:hAnsi="Times New Roman"/>
              </w:rPr>
            </w:pPr>
            <w:r>
              <w:rPr>
                <w:rFonts w:hint="eastAsia" w:ascii="Times New Roman" w:hAnsi="Times New Roman"/>
              </w:rPr>
              <w:t>1</w:t>
            </w:r>
          </w:p>
        </w:tc>
        <w:tc>
          <w:tcPr>
            <w:tcW w:w="6010" w:type="dxa"/>
            <w:tcBorders>
              <w:top w:val="single" w:color="010101" w:sz="4" w:space="0"/>
              <w:left w:val="single" w:color="010101" w:sz="4" w:space="0"/>
              <w:bottom w:val="single" w:color="010101" w:sz="4" w:space="0"/>
              <w:right w:val="single" w:color="010101" w:sz="8" w:space="0"/>
            </w:tcBorders>
            <w:vAlign w:val="center"/>
          </w:tcPr>
          <w:p>
            <w:pPr>
              <w:pStyle w:val="27"/>
              <w:spacing w:line="312" w:lineRule="exact"/>
              <w:rPr>
                <w:rFonts w:ascii="Times New Roman" w:hAnsi="Times New Roman" w:eastAsia="宋体"/>
                <w:kern w:val="2"/>
                <w:sz w:val="21"/>
                <w:lang w:eastAsia="zh-CN"/>
              </w:rPr>
            </w:pPr>
            <w:r>
              <w:rPr>
                <w:rFonts w:ascii="Times New Roman" w:hAnsi="Times New Roman" w:eastAsia="宋体"/>
                <w:kern w:val="2"/>
                <w:sz w:val="21"/>
                <w:lang w:eastAsia="zh-CN"/>
              </w:rPr>
              <w:t>具有</w:t>
            </w:r>
            <w:r>
              <w:rPr>
                <w:rFonts w:hint="eastAsia" w:ascii="Times New Roman" w:hAnsi="Times New Roman" w:eastAsia="宋体"/>
                <w:kern w:val="2"/>
                <w:sz w:val="21"/>
                <w:lang w:eastAsia="zh-CN"/>
              </w:rPr>
              <w:t>路桥相关专业高级工程师职称</w:t>
            </w:r>
          </w:p>
        </w:tc>
      </w:tr>
      <w:tr>
        <w:tblPrEx>
          <w:tblCellMar>
            <w:top w:w="0" w:type="dxa"/>
            <w:left w:w="0" w:type="dxa"/>
            <w:bottom w:w="0" w:type="dxa"/>
            <w:right w:w="0" w:type="dxa"/>
          </w:tblCellMar>
        </w:tblPrEx>
        <w:trPr>
          <w:trHeight w:val="1201" w:hRule="exact"/>
          <w:jc w:val="center"/>
        </w:trPr>
        <w:tc>
          <w:tcPr>
            <w:tcW w:w="2225" w:type="dxa"/>
            <w:tcBorders>
              <w:top w:val="single" w:color="010101" w:sz="4" w:space="0"/>
              <w:left w:val="single" w:color="010101" w:sz="8" w:space="0"/>
              <w:bottom w:val="single" w:color="010101" w:sz="4" w:space="0"/>
              <w:right w:val="single" w:color="010101" w:sz="4" w:space="0"/>
            </w:tcBorders>
            <w:vAlign w:val="center"/>
          </w:tcPr>
          <w:p>
            <w:pPr>
              <w:pStyle w:val="27"/>
              <w:spacing w:before="48"/>
              <w:ind w:right="5"/>
              <w:jc w:val="center"/>
              <w:rPr>
                <w:rFonts w:ascii="Times New Roman" w:hAnsi="Times New Roman" w:eastAsia="宋体"/>
                <w:kern w:val="2"/>
                <w:sz w:val="21"/>
                <w:lang w:eastAsia="zh-CN"/>
              </w:rPr>
            </w:pPr>
            <w:r>
              <w:rPr>
                <w:rFonts w:ascii="Times New Roman" w:hAnsi="Times New Roman" w:eastAsia="宋体"/>
                <w:kern w:val="2"/>
                <w:sz w:val="21"/>
                <w:lang w:eastAsia="zh-CN"/>
              </w:rPr>
              <w:t>工程地质勘察</w:t>
            </w:r>
          </w:p>
          <w:p>
            <w:pPr>
              <w:pStyle w:val="27"/>
              <w:spacing w:before="48"/>
              <w:ind w:right="5"/>
              <w:jc w:val="center"/>
              <w:rPr>
                <w:rFonts w:ascii="Times New Roman" w:hAnsi="Times New Roman" w:eastAsia="宋体"/>
                <w:kern w:val="2"/>
                <w:sz w:val="21"/>
                <w:lang w:eastAsia="zh-CN"/>
              </w:rPr>
            </w:pPr>
            <w:r>
              <w:rPr>
                <w:rFonts w:ascii="Times New Roman" w:hAnsi="Times New Roman" w:eastAsia="宋体"/>
                <w:kern w:val="2"/>
                <w:sz w:val="21"/>
                <w:lang w:eastAsia="zh-CN"/>
              </w:rPr>
              <w:t>分项负责人</w:t>
            </w:r>
          </w:p>
        </w:tc>
        <w:tc>
          <w:tcPr>
            <w:tcW w:w="709" w:type="dxa"/>
            <w:tcBorders>
              <w:top w:val="single" w:color="010101" w:sz="4" w:space="0"/>
              <w:left w:val="single" w:color="010101" w:sz="4" w:space="0"/>
              <w:bottom w:val="single" w:color="010101" w:sz="4" w:space="0"/>
              <w:right w:val="single" w:color="010101" w:sz="4" w:space="0"/>
            </w:tcBorders>
            <w:vAlign w:val="center"/>
          </w:tcPr>
          <w:p>
            <w:pPr>
              <w:jc w:val="center"/>
              <w:rPr>
                <w:rFonts w:ascii="Times New Roman" w:hAnsi="Times New Roman"/>
              </w:rPr>
            </w:pPr>
            <w:r>
              <w:rPr>
                <w:rFonts w:hint="eastAsia" w:ascii="Times New Roman" w:hAnsi="Times New Roman"/>
              </w:rPr>
              <w:t>1</w:t>
            </w:r>
          </w:p>
        </w:tc>
        <w:tc>
          <w:tcPr>
            <w:tcW w:w="6010" w:type="dxa"/>
            <w:tcBorders>
              <w:top w:val="single" w:color="010101" w:sz="4" w:space="0"/>
              <w:left w:val="single" w:color="010101" w:sz="4" w:space="0"/>
              <w:bottom w:val="single" w:color="010101" w:sz="4" w:space="0"/>
              <w:right w:val="single" w:color="010101" w:sz="8" w:space="0"/>
            </w:tcBorders>
            <w:vAlign w:val="center"/>
          </w:tcPr>
          <w:p>
            <w:pPr>
              <w:pStyle w:val="27"/>
              <w:spacing w:line="312" w:lineRule="exact"/>
              <w:rPr>
                <w:rFonts w:ascii="Times New Roman" w:hAnsi="Times New Roman" w:eastAsia="宋体"/>
                <w:kern w:val="2"/>
                <w:sz w:val="21"/>
                <w:lang w:eastAsia="zh-CN"/>
              </w:rPr>
            </w:pPr>
            <w:r>
              <w:rPr>
                <w:rFonts w:ascii="Times New Roman" w:hAnsi="Times New Roman" w:eastAsia="宋体"/>
                <w:kern w:val="2"/>
                <w:sz w:val="21"/>
                <w:lang w:eastAsia="zh-CN"/>
              </w:rPr>
              <w:t>具有地质或岩土相关专业高级工程师职称</w:t>
            </w:r>
          </w:p>
        </w:tc>
      </w:tr>
    </w:tbl>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p>
    <w:p>
      <w:pPr>
        <w:pStyle w:val="2"/>
        <w:ind w:left="440" w:firstLine="480"/>
        <w:rPr>
          <w:color w:val="000000" w:themeColor="text1"/>
          <w:sz w:val="24"/>
          <w:lang w:eastAsia="zh-CN"/>
          <w14:textFill>
            <w14:solidFill>
              <w14:schemeClr w14:val="tx1"/>
            </w14:solidFill>
          </w14:textFill>
        </w:rPr>
      </w:pPr>
    </w:p>
    <w:p>
      <w:pPr>
        <w:pStyle w:val="3"/>
        <w:rPr>
          <w:color w:val="000000" w:themeColor="text1"/>
          <w:lang w:eastAsia="zh-CN"/>
          <w14:textFill>
            <w14:solidFill>
              <w14:schemeClr w14:val="tx1"/>
            </w14:solidFill>
          </w14:textFill>
        </w:rPr>
      </w:pPr>
    </w:p>
    <w:p>
      <w:pPr>
        <w:pStyle w:val="6"/>
        <w:ind w:left="2200"/>
        <w:rPr>
          <w:rFonts w:ascii="宋体" w:hAnsi="宋体"/>
          <w:color w:val="000000" w:themeColor="text1"/>
          <w:sz w:val="24"/>
          <w:lang w:eastAsia="zh-CN"/>
          <w14:textFill>
            <w14:solidFill>
              <w14:schemeClr w14:val="tx1"/>
            </w14:solidFill>
          </w14:textFill>
        </w:rPr>
      </w:pPr>
    </w:p>
    <w:p>
      <w:pPr>
        <w:rPr>
          <w:rFonts w:ascii="宋体" w:hAnsi="宋体"/>
          <w:color w:val="000000" w:themeColor="text1"/>
          <w:sz w:val="24"/>
          <w:lang w:eastAsia="zh-CN"/>
          <w14:textFill>
            <w14:solidFill>
              <w14:schemeClr w14:val="tx1"/>
            </w14:solidFill>
          </w14:textFill>
        </w:rPr>
      </w:pPr>
    </w:p>
    <w:p>
      <w:pPr>
        <w:pStyle w:val="2"/>
        <w:ind w:left="440" w:firstLine="480"/>
        <w:rPr>
          <w:color w:val="000000" w:themeColor="text1"/>
          <w:sz w:val="24"/>
          <w:lang w:eastAsia="zh-CN"/>
          <w14:textFill>
            <w14:solidFill>
              <w14:schemeClr w14:val="tx1"/>
            </w14:solidFill>
          </w14:textFill>
        </w:rPr>
      </w:pPr>
    </w:p>
    <w:p>
      <w:pPr>
        <w:pStyle w:val="3"/>
        <w:rPr>
          <w:lang w:eastAsia="zh-CN"/>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pStyle w:val="2"/>
        <w:ind w:left="440" w:firstLine="602"/>
        <w:rPr>
          <w:rFonts w:eastAsia="宋体" w:cs="宋体"/>
          <w:b/>
          <w:bCs/>
          <w:color w:val="000000" w:themeColor="text1"/>
          <w:sz w:val="30"/>
          <w:szCs w:val="30"/>
          <w:lang w:eastAsia="zh-CN"/>
          <w14:textFill>
            <w14:solidFill>
              <w14:schemeClr w14:val="tx1"/>
            </w14:solidFill>
          </w14:textFill>
        </w:rPr>
      </w:pPr>
    </w:p>
    <w:p>
      <w:pPr>
        <w:pStyle w:val="3"/>
        <w:rPr>
          <w:rFonts w:cs="宋体"/>
          <w:b/>
          <w:bCs/>
          <w:color w:val="000000" w:themeColor="text1"/>
          <w:sz w:val="30"/>
          <w:szCs w:val="30"/>
          <w:lang w:eastAsia="zh-CN"/>
          <w14:textFill>
            <w14:solidFill>
              <w14:schemeClr w14:val="tx1"/>
            </w14:solidFill>
          </w14:textFill>
        </w:rPr>
      </w:pPr>
    </w:p>
    <w:p>
      <w:pPr>
        <w:pStyle w:val="6"/>
        <w:ind w:left="2200"/>
        <w:rPr>
          <w:rFonts w:ascii="宋体" w:hAnsi="宋体" w:eastAsia="宋体" w:cs="宋体"/>
          <w:b/>
          <w:bCs/>
          <w:color w:val="000000" w:themeColor="text1"/>
          <w:sz w:val="30"/>
          <w:szCs w:val="30"/>
          <w:lang w:eastAsia="zh-CN"/>
          <w14:textFill>
            <w14:solidFill>
              <w14:schemeClr w14:val="tx1"/>
            </w14:solidFill>
          </w14:textFill>
        </w:rPr>
      </w:pPr>
    </w:p>
    <w:p>
      <w:pPr>
        <w:rPr>
          <w:rFonts w:ascii="宋体" w:hAnsi="宋体" w:eastAsia="宋体" w:cs="宋体"/>
          <w:b/>
          <w:bCs/>
          <w:color w:val="000000" w:themeColor="text1"/>
          <w:sz w:val="30"/>
          <w:szCs w:val="30"/>
          <w:lang w:eastAsia="zh-CN"/>
          <w14:textFill>
            <w14:solidFill>
              <w14:schemeClr w14:val="tx1"/>
            </w14:solidFill>
          </w14:textFill>
        </w:rPr>
      </w:pPr>
    </w:p>
    <w:p>
      <w:pPr>
        <w:pStyle w:val="2"/>
        <w:ind w:left="440" w:firstLine="440"/>
        <w:rPr>
          <w:lang w:eastAsia="zh-CN"/>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p>
    <w:p>
      <w:pPr>
        <w:spacing w:before="7"/>
        <w:jc w:val="center"/>
        <w:rPr>
          <w:rFonts w:ascii="宋体" w:hAnsi="宋体" w:eastAsia="宋体" w:cs="宋体"/>
          <w:b/>
          <w:bCs/>
          <w:color w:val="000000" w:themeColor="text1"/>
          <w:sz w:val="30"/>
          <w:szCs w:val="30"/>
          <w:lang w:eastAsia="zh-CN"/>
          <w14:textFill>
            <w14:solidFill>
              <w14:schemeClr w14:val="tx1"/>
            </w14:solidFill>
          </w14:textFill>
        </w:rPr>
      </w:pPr>
      <w:r>
        <w:rPr>
          <w:rFonts w:hint="eastAsia" w:ascii="宋体" w:hAnsi="宋体" w:eastAsia="宋体" w:cs="宋体"/>
          <w:b/>
          <w:bCs/>
          <w:color w:val="000000" w:themeColor="text1"/>
          <w:sz w:val="30"/>
          <w:szCs w:val="30"/>
          <w:lang w:eastAsia="zh-CN"/>
          <w14:textFill>
            <w14:solidFill>
              <w14:schemeClr w14:val="tx1"/>
            </w14:solidFill>
          </w14:textFill>
        </w:rPr>
        <w:t>投标须知正文</w:t>
      </w:r>
    </w:p>
    <w:p>
      <w:pPr>
        <w:autoSpaceDE w:val="0"/>
        <w:autoSpaceDN w:val="0"/>
        <w:adjustRightInd w:val="0"/>
        <w:spacing w:line="360" w:lineRule="auto"/>
        <w:ind w:firstLine="538" w:firstLineChars="224"/>
        <w:rPr>
          <w:rFonts w:ascii="宋体" w:hAnsi="宋体"/>
          <w:b/>
          <w:color w:val="000000" w:themeColor="text1"/>
          <w:sz w:val="24"/>
          <w:lang w:eastAsia="zh-CN"/>
          <w14:textFill>
            <w14:solidFill>
              <w14:schemeClr w14:val="tx1"/>
            </w14:solidFill>
          </w14:textFill>
        </w:rPr>
      </w:pPr>
    </w:p>
    <w:p>
      <w:pPr>
        <w:autoSpaceDE w:val="0"/>
        <w:autoSpaceDN w:val="0"/>
        <w:adjustRightInd w:val="0"/>
        <w:spacing w:line="360" w:lineRule="auto"/>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 </w:t>
      </w:r>
      <w:r>
        <w:rPr>
          <w:rFonts w:hint="eastAsia" w:ascii="宋体" w:hAnsi="宋体"/>
          <w:b/>
          <w:color w:val="000000" w:themeColor="text1"/>
          <w:sz w:val="24"/>
          <w:lang w:eastAsia="zh-CN"/>
          <w14:textFill>
            <w14:solidFill>
              <w14:schemeClr w14:val="tx1"/>
            </w14:solidFill>
          </w14:textFill>
        </w:rPr>
        <w:t>总则</w:t>
      </w:r>
    </w:p>
    <w:p>
      <w:pPr>
        <w:autoSpaceDE w:val="0"/>
        <w:autoSpaceDN w:val="0"/>
        <w:adjustRightInd w:val="0"/>
        <w:spacing w:line="48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1.1  </w:t>
      </w:r>
      <w:r>
        <w:rPr>
          <w:rFonts w:hint="eastAsia" w:ascii="宋体" w:hAnsi="宋体"/>
          <w:b/>
          <w:color w:val="000000" w:themeColor="text1"/>
          <w:sz w:val="24"/>
          <w:lang w:eastAsia="zh-CN"/>
          <w14:textFill>
            <w14:solidFill>
              <w14:schemeClr w14:val="tx1"/>
            </w14:solidFill>
          </w14:textFill>
        </w:rPr>
        <w:t>项目概况</w:t>
      </w:r>
    </w:p>
    <w:p>
      <w:pPr>
        <w:autoSpaceDE w:val="0"/>
        <w:autoSpaceDN w:val="0"/>
        <w:adjustRightInd w:val="0"/>
        <w:spacing w:line="480" w:lineRule="exact"/>
        <w:ind w:firstLine="537" w:firstLineChars="224"/>
        <w:rPr>
          <w:rFonts w:ascii="宋体"/>
          <w:b/>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 xml:space="preserve">1.1.1 </w:t>
      </w:r>
      <w:r>
        <w:rPr>
          <w:rFonts w:hint="eastAsia" w:ascii="宋体" w:hAnsi="宋体"/>
          <w:color w:val="000000" w:themeColor="text1"/>
          <w:sz w:val="24"/>
          <w:lang w:eastAsia="zh-CN"/>
          <w14:textFill>
            <w14:solidFill>
              <w14:schemeClr w14:val="tx1"/>
            </w14:solidFill>
          </w14:textFill>
        </w:rPr>
        <w:t>根据《中华人民共和国招标投标法》《中华人民共和国招标投标法实施条例》《公路工程建设项目招标投标管理办法》等有关法律、法规和规章的规定，本招标项目已具备招标条件，现对本项目勘察设计进行招标。</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 xml:space="preserve">1.1.2 </w:t>
      </w:r>
      <w:r>
        <w:rPr>
          <w:rFonts w:hint="eastAsia" w:ascii="宋体" w:hAnsi="宋体"/>
          <w:color w:val="000000" w:themeColor="text1"/>
          <w:sz w:val="24"/>
          <w:lang w:eastAsia="zh-CN"/>
          <w14:textFill>
            <w14:solidFill>
              <w14:schemeClr w14:val="tx1"/>
            </w14:solidFill>
          </w14:textFill>
        </w:rPr>
        <w:t>本招标项目招标人：见“投标人须知前附表”。</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1.1.</w:t>
      </w:r>
      <w:r>
        <w:rPr>
          <w:rFonts w:hint="eastAsia" w:ascii="宋体" w:hAnsi="宋体"/>
          <w:color w:val="000000" w:themeColor="text1"/>
          <w:sz w:val="24"/>
          <w:lang w:eastAsia="zh-CN"/>
          <w14:textFill>
            <w14:solidFill>
              <w14:schemeClr w14:val="tx1"/>
            </w14:solidFill>
          </w14:textFill>
        </w:rPr>
        <w:t>3 本标段招标代理机构：见“投标人须知前附表”。</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1.1.</w:t>
      </w:r>
      <w:r>
        <w:rPr>
          <w:rFonts w:hint="eastAsia" w:ascii="宋体" w:hAnsi="宋体"/>
          <w:color w:val="000000" w:themeColor="text1"/>
          <w:sz w:val="24"/>
          <w:lang w:eastAsia="zh-CN"/>
          <w14:textFill>
            <w14:solidFill>
              <w14:schemeClr w14:val="tx1"/>
            </w14:solidFill>
          </w14:textFill>
        </w:rPr>
        <w:t>4本标段项目名称：见“投标人须知前附表”。</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1.1.</w:t>
      </w:r>
      <w:r>
        <w:rPr>
          <w:rFonts w:hint="eastAsia" w:ascii="宋体" w:hAnsi="宋体"/>
          <w:color w:val="000000" w:themeColor="text1"/>
          <w:sz w:val="24"/>
          <w:lang w:eastAsia="zh-CN"/>
          <w14:textFill>
            <w14:solidFill>
              <w14:schemeClr w14:val="tx1"/>
            </w14:solidFill>
          </w14:textFill>
        </w:rPr>
        <w:t>5本标段建设地点：见“投标人须知前附表”。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1.1.</w:t>
      </w:r>
      <w:r>
        <w:rPr>
          <w:rFonts w:hint="eastAsia" w:ascii="宋体" w:hAnsi="宋体"/>
          <w:color w:val="000000" w:themeColor="text1"/>
          <w:sz w:val="24"/>
          <w:lang w:eastAsia="zh-CN"/>
          <w14:textFill>
            <w14:solidFill>
              <w14:schemeClr w14:val="tx1"/>
            </w14:solidFill>
          </w14:textFill>
        </w:rPr>
        <w:t>6本标段建设规模：见“投标人须知前附表”。</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1.1.</w:t>
      </w:r>
      <w:r>
        <w:rPr>
          <w:rFonts w:hint="eastAsia" w:ascii="宋体" w:hAnsi="宋体"/>
          <w:color w:val="000000" w:themeColor="text1"/>
          <w:sz w:val="24"/>
          <w:lang w:eastAsia="zh-CN"/>
          <w14:textFill>
            <w14:solidFill>
              <w14:schemeClr w14:val="tx1"/>
            </w14:solidFill>
          </w14:textFill>
        </w:rPr>
        <w:t>7本标段投资估算：见“投标人须知前附表”。</w:t>
      </w:r>
    </w:p>
    <w:p>
      <w:pPr>
        <w:autoSpaceDE w:val="0"/>
        <w:autoSpaceDN w:val="0"/>
        <w:adjustRightInd w:val="0"/>
        <w:spacing w:line="48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1.2  </w:t>
      </w:r>
      <w:r>
        <w:rPr>
          <w:rFonts w:hint="eastAsia" w:ascii="宋体" w:hAnsi="宋体"/>
          <w:b/>
          <w:color w:val="000000" w:themeColor="text1"/>
          <w:sz w:val="24"/>
          <w:lang w:eastAsia="zh-CN"/>
          <w14:textFill>
            <w14:solidFill>
              <w14:schemeClr w14:val="tx1"/>
            </w14:solidFill>
          </w14:textFill>
        </w:rPr>
        <w:t>资金来源和落实情况</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1.2.1 资金来源及比例：见“投标人须知前附表”。</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1.2.2 资金落实情况：见“投标人须知前附表”</w:t>
      </w:r>
    </w:p>
    <w:p>
      <w:pPr>
        <w:autoSpaceDE w:val="0"/>
        <w:autoSpaceDN w:val="0"/>
        <w:adjustRightInd w:val="0"/>
        <w:spacing w:line="48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1.3  </w:t>
      </w:r>
      <w:r>
        <w:rPr>
          <w:rFonts w:hint="eastAsia" w:ascii="宋体" w:hAnsi="宋体"/>
          <w:b/>
          <w:color w:val="000000" w:themeColor="text1"/>
          <w:sz w:val="24"/>
          <w:lang w:eastAsia="zh-CN"/>
          <w14:textFill>
            <w14:solidFill>
              <w14:schemeClr w14:val="tx1"/>
            </w14:solidFill>
          </w14:textFill>
        </w:rPr>
        <w:t>招标范围和勘察设计周期</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1.3.1 招标范围：见“投标人须知前附表”。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1.3.2 本标段的勘察设计服务期限：见“投标人须知前附表”。</w:t>
      </w:r>
    </w:p>
    <w:p>
      <w:pPr>
        <w:autoSpaceDE w:val="0"/>
        <w:autoSpaceDN w:val="0"/>
        <w:adjustRightInd w:val="0"/>
        <w:spacing w:line="480" w:lineRule="exact"/>
        <w:ind w:firstLine="480" w:firstLineChars="200"/>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1.3.3 本标段的质量要求：见“投标人须知前附表”。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1.3.4 本标段的安全目标：见“投标人须知前附表”。</w:t>
      </w:r>
    </w:p>
    <w:p>
      <w:pPr>
        <w:autoSpaceDE w:val="0"/>
        <w:autoSpaceDN w:val="0"/>
        <w:adjustRightInd w:val="0"/>
        <w:spacing w:line="480" w:lineRule="exact"/>
        <w:ind w:firstLine="538" w:firstLineChars="224"/>
        <w:rPr>
          <w:rFonts w:ascii="宋体" w:hAns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1.4  </w:t>
      </w:r>
      <w:r>
        <w:rPr>
          <w:rFonts w:hint="eastAsia" w:ascii="宋体" w:hAnsi="宋体"/>
          <w:b/>
          <w:color w:val="000000" w:themeColor="text1"/>
          <w:sz w:val="24"/>
          <w:lang w:eastAsia="zh-CN"/>
          <w14:textFill>
            <w14:solidFill>
              <w14:schemeClr w14:val="tx1"/>
            </w14:solidFill>
          </w14:textFill>
        </w:rPr>
        <w:t>投标人资格要求</w:t>
      </w:r>
    </w:p>
    <w:p>
      <w:pPr>
        <w:autoSpaceDE w:val="0"/>
        <w:autoSpaceDN w:val="0"/>
        <w:adjustRightInd w:val="0"/>
        <w:spacing w:line="480" w:lineRule="exact"/>
        <w:ind w:firstLine="538" w:firstLineChars="224"/>
        <w:rPr>
          <w:rFonts w:ascii="宋体" w:hAns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1.4.1</w:t>
      </w:r>
      <w:r>
        <w:rPr>
          <w:rFonts w:hint="eastAsia" w:ascii="宋体" w:hAnsi="宋体"/>
          <w:color w:val="000000" w:themeColor="text1"/>
          <w:sz w:val="24"/>
          <w:lang w:eastAsia="zh-CN"/>
          <w14:textFill>
            <w14:solidFill>
              <w14:schemeClr w14:val="tx1"/>
            </w14:solidFill>
          </w14:textFill>
        </w:rPr>
        <w:t>投标人应具备本标段勘察设计的资质条件、能力和信誉。</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（1）资质要求：见“投标人须知前附表”。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（2）业绩要求：见“投标人须知前附表”。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（3）信誉要求：见“投标人须知前附表”。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（4）项目负责人资格：见“投标人须知前附表”。</w:t>
      </w:r>
    </w:p>
    <w:p>
      <w:pPr>
        <w:autoSpaceDE w:val="0"/>
        <w:autoSpaceDN w:val="0"/>
        <w:adjustRightInd w:val="0"/>
        <w:spacing w:line="48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（5）其他要求：见“投标人须知前附表”。</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 xml:space="preserve">1.4.2 </w:t>
      </w:r>
      <w:r>
        <w:rPr>
          <w:rFonts w:hint="eastAsia" w:ascii="宋体" w:hAnsi="宋体"/>
          <w:color w:val="000000" w:themeColor="text1"/>
          <w:sz w:val="24"/>
          <w:lang w:eastAsia="zh-CN"/>
          <w14:textFill>
            <w14:solidFill>
              <w14:schemeClr w14:val="tx1"/>
            </w14:solidFill>
          </w14:textFill>
        </w:rPr>
        <w:t>投标人须知前附表规定接受联合体投标的，除应符合本章第</w:t>
      </w:r>
      <w:r>
        <w:rPr>
          <w:rFonts w:ascii="宋体" w:hAnsi="宋体"/>
          <w:color w:val="000000" w:themeColor="text1"/>
          <w:sz w:val="24"/>
          <w:lang w:eastAsia="zh-CN"/>
          <w14:textFill>
            <w14:solidFill>
              <w14:schemeClr w14:val="tx1"/>
            </w14:solidFill>
          </w14:textFill>
        </w:rPr>
        <w:t xml:space="preserve">1.4.1 </w:t>
      </w:r>
      <w:r>
        <w:rPr>
          <w:rFonts w:hint="eastAsia" w:ascii="宋体" w:hAnsi="宋体"/>
          <w:color w:val="000000" w:themeColor="text1"/>
          <w:sz w:val="24"/>
          <w:lang w:eastAsia="zh-CN"/>
          <w14:textFill>
            <w14:solidFill>
              <w14:schemeClr w14:val="tx1"/>
            </w14:solidFill>
          </w14:textFill>
        </w:rPr>
        <w:t>项和投标人须知前附表的要求外，还应遵守以下规定：</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(1)</w:t>
      </w:r>
      <w:r>
        <w:rPr>
          <w:rFonts w:hint="eastAsia" w:ascii="宋体" w:hAnsi="宋体"/>
          <w:color w:val="000000" w:themeColor="text1"/>
          <w:sz w:val="24"/>
          <w:lang w:eastAsia="zh-CN"/>
          <w14:textFill>
            <w14:solidFill>
              <w14:schemeClr w14:val="tx1"/>
            </w14:solidFill>
          </w14:textFill>
        </w:rPr>
        <w:t>联合体各方应按招标文件提供的格式签订联合体协议书，明确联合体牵头人和各方权利义务；</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(2)</w:t>
      </w:r>
      <w:r>
        <w:rPr>
          <w:rFonts w:hint="eastAsia" w:ascii="宋体" w:hAnsi="宋体"/>
          <w:color w:val="000000" w:themeColor="text1"/>
          <w:sz w:val="24"/>
          <w:lang w:eastAsia="zh-CN"/>
          <w14:textFill>
            <w14:solidFill>
              <w14:schemeClr w14:val="tx1"/>
            </w14:solidFill>
          </w14:textFill>
        </w:rPr>
        <w:t>由同一专业的单位组成的联合体，按照资质等级较低的单位确定资质等级；</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(3)</w:t>
      </w:r>
      <w:r>
        <w:rPr>
          <w:rFonts w:hint="eastAsia" w:ascii="宋体" w:hAnsi="宋体"/>
          <w:color w:val="000000" w:themeColor="text1"/>
          <w:sz w:val="24"/>
          <w:lang w:eastAsia="zh-CN"/>
          <w14:textFill>
            <w14:solidFill>
              <w14:schemeClr w14:val="tx1"/>
            </w14:solidFill>
          </w14:textFill>
        </w:rPr>
        <w:t>联合体各方不得再以自己名义单独或参加其他联合体在同一标段中投标；</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(4)</w:t>
      </w:r>
      <w:r>
        <w:rPr>
          <w:rFonts w:hint="eastAsia" w:ascii="宋体" w:hAnsi="宋体"/>
          <w:color w:val="000000" w:themeColor="text1"/>
          <w:sz w:val="24"/>
          <w:lang w:eastAsia="zh-CN"/>
          <w14:textFill>
            <w14:solidFill>
              <w14:schemeClr w14:val="tx1"/>
            </w14:solidFill>
          </w14:textFill>
        </w:rPr>
        <w:t>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ascii="宋体" w:hAnsi="宋体"/>
          <w:color w:val="000000" w:themeColor="text1"/>
          <w:sz w:val="24"/>
          <w:lang w:eastAsia="zh-CN"/>
          <w14:textFill>
            <w14:solidFill>
              <w14:schemeClr w14:val="tx1"/>
            </w14:solidFill>
          </w14:textFill>
        </w:rPr>
        <w:t>(5)</w:t>
      </w:r>
      <w:r>
        <w:rPr>
          <w:rFonts w:hint="eastAsia" w:ascii="宋体" w:hAnsi="宋体"/>
          <w:color w:val="000000" w:themeColor="text1"/>
          <w:sz w:val="24"/>
          <w:lang w:eastAsia="zh-CN"/>
          <w14:textFill>
            <w14:solidFill>
              <w14:schemeClr w14:val="tx1"/>
            </w14:solidFill>
          </w14:textFill>
        </w:rPr>
        <w:t>尽管委任了联合体牵头人，但联合体各成员在投标、签约与履行合同过程中，仍负有连带的和各自的法律责任。</w:t>
      </w:r>
    </w:p>
    <w:p>
      <w:pPr>
        <w:autoSpaceDE w:val="0"/>
        <w:autoSpaceDN w:val="0"/>
        <w:adjustRightInd w:val="0"/>
        <w:spacing w:line="450" w:lineRule="exact"/>
        <w:ind w:firstLine="480" w:firstLineChars="200"/>
        <w:rPr>
          <w:rFonts w:ascii="宋体" w:hAnsi="宋体" w:cs="宋体"/>
          <w:bCs/>
          <w:color w:val="000000" w:themeColor="text1"/>
          <w:sz w:val="24"/>
          <w:lang w:eastAsia="zh-CN"/>
          <w14:textFill>
            <w14:solidFill>
              <w14:schemeClr w14:val="tx1"/>
            </w14:solidFill>
          </w14:textFill>
        </w:rPr>
      </w:pPr>
      <w:r>
        <w:rPr>
          <w:rFonts w:ascii="宋体" w:hAnsi="宋体"/>
          <w:bCs/>
          <w:color w:val="000000" w:themeColor="text1"/>
          <w:sz w:val="24"/>
          <w:lang w:eastAsia="zh-CN"/>
          <w14:textFill>
            <w14:solidFill>
              <w14:schemeClr w14:val="tx1"/>
            </w14:solidFill>
          </w14:textFill>
        </w:rPr>
        <w:t>1.4.3 投标人（包括联合体各成员）不得与本标段相关单位存在下列关联情形：</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（1）为招标人不具有独立法人资格的附属机构（单位）；</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（2）与招标人存在利害关系且可能影响招标公正性；</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（3）与本标段的其他投标人同为一个单位负责人；</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（4）与本标段的其他投标人存在控股、管理关系；</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（5）为本标段的代建人；</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（6）为本标段的招标代理机构；</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（7）与本标段的代建人或招标代理机构同为一个法定代表人；</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（8）与本标段的代建人或招标代理机构存在控股或参股关系；</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（9）法律法规或投标人须知前附表规定的其他情形。</w:t>
      </w:r>
    </w:p>
    <w:p>
      <w:pPr>
        <w:autoSpaceDE w:val="0"/>
        <w:autoSpaceDN w:val="0"/>
        <w:adjustRightInd w:val="0"/>
        <w:spacing w:line="450" w:lineRule="exact"/>
        <w:ind w:firstLine="480" w:firstLineChars="200"/>
        <w:rPr>
          <w:rFonts w:ascii="宋体" w:hAnsi="宋体"/>
          <w:bCs/>
          <w:color w:val="000000" w:themeColor="text1"/>
          <w:sz w:val="24"/>
          <w:lang w:eastAsia="zh-CN"/>
          <w14:textFill>
            <w14:solidFill>
              <w14:schemeClr w14:val="tx1"/>
            </w14:solidFill>
          </w14:textFill>
        </w:rPr>
      </w:pPr>
      <w:r>
        <w:rPr>
          <w:rFonts w:ascii="宋体" w:hAnsi="宋体"/>
          <w:bCs/>
          <w:color w:val="000000" w:themeColor="text1"/>
          <w:sz w:val="24"/>
          <w:lang w:eastAsia="zh-CN"/>
          <w14:textFill>
            <w14:solidFill>
              <w14:schemeClr w14:val="tx1"/>
            </w14:solidFill>
          </w14:textFill>
        </w:rPr>
        <w:t>1.4.4 投标人（包括联合体各成员）不得存在下列不良状况或不良信用记录：</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（1）被省级及以上交通运输主管部门取消招标项目所在地的投标资格且处于有效期内；</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（2）被责令停业，暂扣或吊销执照，或吊销资质证书；</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（3）进入清算程序，或被宣告破产，或其他丧失履约能力的情形；</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（4）在国家企业信用信息公示系统（http://www.gsxt.gov.cn/）中被列入严重违法失信企业名单；</w:t>
      </w:r>
    </w:p>
    <w:p>
      <w:pPr>
        <w:autoSpaceDE w:val="0"/>
        <w:autoSpaceDN w:val="0"/>
        <w:adjustRightInd w:val="0"/>
        <w:spacing w:line="45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（5）在“信用中国”网站（http://www.creditchina.gov.cn/）中被列入失信被执行人名单；</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（6）法律法规或投标人须知前附表规定的其他情形。</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ascii="宋体" w:hAnsi="宋体"/>
          <w:b/>
          <w:color w:val="000000" w:themeColor="text1"/>
          <w:sz w:val="24"/>
          <w14:textFill>
            <w14:solidFill>
              <w14:schemeClr w14:val="tx1"/>
            </w14:solidFill>
          </w14:textFill>
        </w:rPr>
        <w:t>1.4.5</w:t>
      </w:r>
      <w:r>
        <w:rPr>
          <w:rFonts w:hint="eastAsia" w:ascii="宋体" w:hAnsi="宋体"/>
          <w:color w:val="000000" w:themeColor="text1"/>
          <w:sz w:val="24"/>
          <w14:textFill>
            <w14:solidFill>
              <w14:schemeClr w14:val="tx1"/>
            </w14:solidFill>
          </w14:textFill>
        </w:rPr>
        <w:t>投标人（包括联合体各成员）应进入交通运输部“全国公路建设市场信用信息管理系统（http：//glxy.mot.gov.cn）”中的公路工程设计资质企业名录，且投标人名称和资质与该名录中的相应企业名称和资质完全一致。</w:t>
      </w:r>
      <w:r>
        <w:rPr>
          <w:rFonts w:hint="eastAsia" w:ascii="宋体" w:hAnsi="宋体"/>
          <w:color w:val="000000" w:themeColor="text1"/>
          <w:sz w:val="24"/>
          <w:lang w:eastAsia="zh-CN"/>
          <w14:textFill>
            <w14:solidFill>
              <w14:schemeClr w14:val="tx1"/>
            </w14:solidFill>
          </w14:textFill>
        </w:rPr>
        <w:t>投标人不满足本项规定条件的，将被否决投标。</w:t>
      </w:r>
    </w:p>
    <w:p>
      <w:pPr>
        <w:autoSpaceDE w:val="0"/>
        <w:autoSpaceDN w:val="0"/>
        <w:adjustRightInd w:val="0"/>
        <w:spacing w:line="46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1.5  </w:t>
      </w:r>
      <w:r>
        <w:rPr>
          <w:rFonts w:hint="eastAsia" w:ascii="宋体" w:hAnsi="宋体"/>
          <w:b/>
          <w:color w:val="000000" w:themeColor="text1"/>
          <w:sz w:val="24"/>
          <w:lang w:eastAsia="zh-CN"/>
          <w14:textFill>
            <w14:solidFill>
              <w14:schemeClr w14:val="tx1"/>
            </w14:solidFill>
          </w14:textFill>
        </w:rPr>
        <w:t>费用承担</w:t>
      </w:r>
    </w:p>
    <w:p>
      <w:pPr>
        <w:autoSpaceDE w:val="0"/>
        <w:autoSpaceDN w:val="0"/>
        <w:adjustRightInd w:val="0"/>
        <w:spacing w:line="46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投标人准备和参加投标活动发生的所有费用自理。</w:t>
      </w:r>
    </w:p>
    <w:p>
      <w:pPr>
        <w:autoSpaceDE w:val="0"/>
        <w:autoSpaceDN w:val="0"/>
        <w:adjustRightInd w:val="0"/>
        <w:spacing w:line="46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1.6  </w:t>
      </w:r>
      <w:r>
        <w:rPr>
          <w:rFonts w:hint="eastAsia" w:ascii="宋体" w:hAnsi="宋体"/>
          <w:b/>
          <w:color w:val="000000" w:themeColor="text1"/>
          <w:sz w:val="24"/>
          <w:lang w:eastAsia="zh-CN"/>
          <w14:textFill>
            <w14:solidFill>
              <w14:schemeClr w14:val="tx1"/>
            </w14:solidFill>
          </w14:textFill>
        </w:rPr>
        <w:t>保密</w:t>
      </w:r>
    </w:p>
    <w:p>
      <w:pPr>
        <w:autoSpaceDE w:val="0"/>
        <w:autoSpaceDN w:val="0"/>
        <w:adjustRightInd w:val="0"/>
        <w:spacing w:line="46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参与招标投标活动的各方应对招标文件和投标文件中的商业和技术等秘密保密，违者应对由此造成的后果承担法律责任。</w:t>
      </w:r>
    </w:p>
    <w:p>
      <w:pPr>
        <w:autoSpaceDE w:val="0"/>
        <w:autoSpaceDN w:val="0"/>
        <w:adjustRightInd w:val="0"/>
        <w:spacing w:line="46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1.7  </w:t>
      </w:r>
      <w:r>
        <w:rPr>
          <w:rFonts w:hint="eastAsia" w:ascii="宋体" w:hAnsi="宋体"/>
          <w:b/>
          <w:color w:val="000000" w:themeColor="text1"/>
          <w:sz w:val="24"/>
          <w:lang w:eastAsia="zh-CN"/>
          <w14:textFill>
            <w14:solidFill>
              <w14:schemeClr w14:val="tx1"/>
            </w14:solidFill>
          </w14:textFill>
        </w:rPr>
        <w:t>语言文字</w:t>
      </w:r>
    </w:p>
    <w:p>
      <w:pPr>
        <w:autoSpaceDE w:val="0"/>
        <w:autoSpaceDN w:val="0"/>
        <w:adjustRightInd w:val="0"/>
        <w:spacing w:line="46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除专用术语外，与招标投标有关的语言均使用中文。必要时专用术语应附有中文注释。</w:t>
      </w:r>
    </w:p>
    <w:p>
      <w:pPr>
        <w:autoSpaceDE w:val="0"/>
        <w:autoSpaceDN w:val="0"/>
        <w:adjustRightInd w:val="0"/>
        <w:spacing w:line="46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1.8  </w:t>
      </w:r>
      <w:r>
        <w:rPr>
          <w:rFonts w:hint="eastAsia" w:ascii="宋体" w:hAnsi="宋体"/>
          <w:b/>
          <w:color w:val="000000" w:themeColor="text1"/>
          <w:sz w:val="24"/>
          <w:lang w:eastAsia="zh-CN"/>
          <w14:textFill>
            <w14:solidFill>
              <w14:schemeClr w14:val="tx1"/>
            </w14:solidFill>
          </w14:textFill>
        </w:rPr>
        <w:t>计量单位</w:t>
      </w:r>
    </w:p>
    <w:p>
      <w:pPr>
        <w:autoSpaceDE w:val="0"/>
        <w:autoSpaceDN w:val="0"/>
        <w:adjustRightInd w:val="0"/>
        <w:spacing w:line="46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所有计量均采用中华人民共和国法定计量单位。</w:t>
      </w:r>
    </w:p>
    <w:p>
      <w:pPr>
        <w:autoSpaceDE w:val="0"/>
        <w:autoSpaceDN w:val="0"/>
        <w:adjustRightInd w:val="0"/>
        <w:spacing w:line="46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1.9  </w:t>
      </w:r>
      <w:r>
        <w:rPr>
          <w:rFonts w:hint="eastAsia" w:ascii="宋体" w:hAnsi="宋体"/>
          <w:b/>
          <w:color w:val="000000" w:themeColor="text1"/>
          <w:sz w:val="24"/>
          <w:lang w:eastAsia="zh-CN"/>
          <w14:textFill>
            <w14:solidFill>
              <w14:schemeClr w14:val="tx1"/>
            </w14:solidFill>
          </w14:textFill>
        </w:rPr>
        <w:t>踏勘现场</w:t>
      </w:r>
    </w:p>
    <w:p>
      <w:pPr>
        <w:autoSpaceDE w:val="0"/>
        <w:autoSpaceDN w:val="0"/>
        <w:adjustRightInd w:val="0"/>
        <w:spacing w:line="460" w:lineRule="exact"/>
        <w:ind w:firstLine="538" w:firstLineChars="224"/>
        <w:rPr>
          <w:rFonts w:ascii="宋体" w:hAns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1.9.1</w:t>
      </w:r>
      <w:r>
        <w:rPr>
          <w:rFonts w:hint="eastAsia" w:ascii="宋体" w:hAnsi="宋体"/>
          <w:color w:val="000000" w:themeColor="text1"/>
          <w:sz w:val="24"/>
          <w:lang w:eastAsia="zh-CN"/>
          <w14:textFill>
            <w14:solidFill>
              <w14:schemeClr w14:val="tx1"/>
            </w14:solidFill>
          </w14:textFill>
        </w:rPr>
        <w:t>第一章“招标公告”或“投标邀请书”规定组织踏勘现场的，招标人按规定的时间、地点组织投标人踏勘项目现场。部分投标人未按时参加踏勘现场的，不影响踏勘现场的正常进行。招标人不得组织单个或部分投标人踏勘项目现场。</w:t>
      </w:r>
    </w:p>
    <w:p>
      <w:pPr>
        <w:autoSpaceDE w:val="0"/>
        <w:autoSpaceDN w:val="0"/>
        <w:adjustRightInd w:val="0"/>
        <w:spacing w:line="46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1.9.2 </w:t>
      </w:r>
      <w:r>
        <w:rPr>
          <w:rFonts w:hint="eastAsia" w:ascii="宋体" w:hAnsi="宋体"/>
          <w:color w:val="000000" w:themeColor="text1"/>
          <w:sz w:val="24"/>
          <w:lang w:eastAsia="zh-CN"/>
          <w14:textFill>
            <w14:solidFill>
              <w14:schemeClr w14:val="tx1"/>
            </w14:solidFill>
          </w14:textFill>
        </w:rPr>
        <w:t>投标人踏勘现场发生的费用自理。</w:t>
      </w:r>
    </w:p>
    <w:p>
      <w:pPr>
        <w:autoSpaceDE w:val="0"/>
        <w:autoSpaceDN w:val="0"/>
        <w:adjustRightInd w:val="0"/>
        <w:spacing w:line="46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1.9.3</w:t>
      </w:r>
      <w:r>
        <w:rPr>
          <w:rFonts w:hint="eastAsia" w:ascii="宋体" w:hAnsi="宋体"/>
          <w:color w:val="000000" w:themeColor="text1"/>
          <w:sz w:val="24"/>
          <w:lang w:eastAsia="zh-CN"/>
          <w14:textFill>
            <w14:solidFill>
              <w14:schemeClr w14:val="tx1"/>
            </w14:solidFill>
          </w14:textFill>
        </w:rPr>
        <w:t>除招标人的原因外，投标人自行负责在踏勘现场中所发生的人员伤亡和财产损失。</w:t>
      </w:r>
    </w:p>
    <w:p>
      <w:pPr>
        <w:autoSpaceDE w:val="0"/>
        <w:autoSpaceDN w:val="0"/>
        <w:adjustRightInd w:val="0"/>
        <w:spacing w:line="46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1.9.4</w:t>
      </w:r>
      <w:r>
        <w:rPr>
          <w:rFonts w:hint="eastAsia" w:ascii="宋体" w:hAnsi="宋体"/>
          <w:color w:val="000000" w:themeColor="text1"/>
          <w:sz w:val="24"/>
          <w:lang w:eastAsia="zh-CN"/>
          <w14:textFill>
            <w14:solidFill>
              <w14:schemeClr w14:val="tx1"/>
            </w14:solidFill>
          </w14:textFill>
        </w:rPr>
        <w:t>招标人在踏勘现场中介绍的工程场地和相关的周边环境情况，供投标人在编制投标文件时参考，招标人不对投标人据此作出的判断和决策负责。</w:t>
      </w:r>
    </w:p>
    <w:p>
      <w:pPr>
        <w:autoSpaceDE w:val="0"/>
        <w:autoSpaceDN w:val="0"/>
        <w:adjustRightInd w:val="0"/>
        <w:spacing w:line="46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1.10  </w:t>
      </w:r>
      <w:r>
        <w:rPr>
          <w:rFonts w:hint="eastAsia" w:ascii="宋体" w:hAnsi="宋体"/>
          <w:b/>
          <w:color w:val="000000" w:themeColor="text1"/>
          <w:sz w:val="24"/>
          <w:lang w:eastAsia="zh-CN"/>
          <w14:textFill>
            <w14:solidFill>
              <w14:schemeClr w14:val="tx1"/>
            </w14:solidFill>
          </w14:textFill>
        </w:rPr>
        <w:t>投标预备会</w:t>
      </w:r>
    </w:p>
    <w:p>
      <w:pPr>
        <w:autoSpaceDE w:val="0"/>
        <w:autoSpaceDN w:val="0"/>
        <w:adjustRightInd w:val="0"/>
        <w:spacing w:line="46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1.10.1</w:t>
      </w:r>
      <w:r>
        <w:rPr>
          <w:rFonts w:hint="eastAsia" w:ascii="宋体" w:hAnsi="宋体"/>
          <w:color w:val="000000" w:themeColor="text1"/>
          <w:sz w:val="24"/>
          <w:lang w:eastAsia="zh-CN"/>
          <w14:textFill>
            <w14:solidFill>
              <w14:schemeClr w14:val="tx1"/>
            </w14:solidFill>
          </w14:textFill>
        </w:rPr>
        <w:t>第一章“招标公告”或“投标邀请书”规定召开投标预备会的，招标人按“投标人须知前附表”规定的时间和地点召开投标预备会，澄清投标人提出的问题。</w:t>
      </w:r>
    </w:p>
    <w:p>
      <w:pPr>
        <w:autoSpaceDE w:val="0"/>
        <w:autoSpaceDN w:val="0"/>
        <w:adjustRightInd w:val="0"/>
        <w:spacing w:line="46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1.10.2</w:t>
      </w:r>
      <w:r>
        <w:rPr>
          <w:rFonts w:hint="eastAsia" w:ascii="宋体" w:hAnsi="宋体"/>
          <w:color w:val="000000" w:themeColor="text1"/>
          <w:sz w:val="24"/>
          <w:lang w:eastAsia="zh-CN"/>
          <w14:textFill>
            <w14:solidFill>
              <w14:schemeClr w14:val="tx1"/>
            </w14:solidFill>
          </w14:textFill>
        </w:rPr>
        <w:t>投标人应以书面形式（包括信函、电报、传真等可以有形地表现所载内容的形式，下同）将提出的问题送达招标人，以便招标人澄清。</w:t>
      </w:r>
    </w:p>
    <w:p>
      <w:pPr>
        <w:autoSpaceDE w:val="0"/>
        <w:autoSpaceDN w:val="0"/>
        <w:adjustRightInd w:val="0"/>
        <w:spacing w:line="48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1.10.3</w:t>
      </w:r>
      <w:r>
        <w:rPr>
          <w:rFonts w:hint="eastAsia" w:ascii="宋体" w:hAnsi="宋体"/>
          <w:color w:val="000000" w:themeColor="text1"/>
          <w:sz w:val="24"/>
          <w:lang w:eastAsia="zh-CN"/>
          <w14:textFill>
            <w14:solidFill>
              <w14:schemeClr w14:val="tx1"/>
            </w14:solidFill>
          </w14:textFill>
        </w:rPr>
        <w:t>投标预备会后，招标人在投标人须知第</w:t>
      </w:r>
      <w:r>
        <w:rPr>
          <w:rFonts w:ascii="宋体" w:hAnsi="宋体"/>
          <w:color w:val="000000" w:themeColor="text1"/>
          <w:sz w:val="24"/>
          <w:lang w:eastAsia="zh-CN"/>
          <w14:textFill>
            <w14:solidFill>
              <w14:schemeClr w14:val="tx1"/>
            </w14:solidFill>
          </w14:textFill>
        </w:rPr>
        <w:t>2.2.2</w:t>
      </w:r>
      <w:r>
        <w:rPr>
          <w:rFonts w:hint="eastAsia" w:ascii="宋体" w:hAnsi="宋体"/>
          <w:color w:val="000000" w:themeColor="text1"/>
          <w:sz w:val="24"/>
          <w:lang w:eastAsia="zh-CN"/>
          <w14:textFill>
            <w14:solidFill>
              <w14:schemeClr w14:val="tx1"/>
            </w14:solidFill>
          </w14:textFill>
        </w:rPr>
        <w:t>项规定的时间内，将对投标人所提问题的澄清，以书面方式通知所有投标人。该澄清内容为招标文件的组成部分。</w:t>
      </w:r>
    </w:p>
    <w:p>
      <w:pPr>
        <w:autoSpaceDE w:val="0"/>
        <w:autoSpaceDN w:val="0"/>
        <w:adjustRightInd w:val="0"/>
        <w:spacing w:line="48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1.11  </w:t>
      </w:r>
      <w:r>
        <w:rPr>
          <w:rFonts w:hint="eastAsia" w:ascii="宋体" w:hAnsi="宋体"/>
          <w:b/>
          <w:color w:val="000000" w:themeColor="text1"/>
          <w:sz w:val="24"/>
          <w:lang w:eastAsia="zh-CN"/>
          <w14:textFill>
            <w14:solidFill>
              <w14:schemeClr w14:val="tx1"/>
            </w14:solidFill>
          </w14:textFill>
        </w:rPr>
        <w:t>分包</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本项目严禁转包和违规分包，且不得再次分包。投标人拟在中标后将中标项目的部分非主体、非关键工作进行分包的，应符合以下规定：</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1</w:t>
      </w:r>
      <w:r>
        <w:rPr>
          <w:rFonts w:hint="eastAsia" w:ascii="宋体" w:hAnsi="宋体"/>
          <w:color w:val="000000" w:themeColor="text1"/>
          <w:sz w:val="24"/>
          <w:lang w:eastAsia="zh-CN"/>
          <w14:textFill>
            <w14:solidFill>
              <w14:schemeClr w14:val="tx1"/>
            </w14:solidFill>
          </w14:textFill>
        </w:rPr>
        <w:t>）分包内容要求：允许分包的范围仅限于工程设计中跨专业或者有特殊要求的勘察设计工作，且必须经发包人同意和批准。</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2</w:t>
      </w:r>
      <w:r>
        <w:rPr>
          <w:rFonts w:hint="eastAsia" w:ascii="宋体" w:hAnsi="宋体"/>
          <w:color w:val="000000" w:themeColor="text1"/>
          <w:sz w:val="24"/>
          <w:lang w:eastAsia="zh-CN"/>
          <w14:textFill>
            <w14:solidFill>
              <w14:schemeClr w14:val="tx1"/>
            </w14:solidFill>
          </w14:textFill>
        </w:rPr>
        <w:t>）分包人的资格要求：拟定的分包人应具有相应的资质，其资格能力应与其分包工作的标准和规模相适应。</w:t>
      </w:r>
    </w:p>
    <w:p>
      <w:pPr>
        <w:autoSpaceDE w:val="0"/>
        <w:autoSpaceDN w:val="0"/>
        <w:adjustRightInd w:val="0"/>
        <w:spacing w:line="48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3</w:t>
      </w:r>
      <w:r>
        <w:rPr>
          <w:rFonts w:hint="eastAsia" w:ascii="宋体" w:hAnsi="宋体"/>
          <w:color w:val="000000" w:themeColor="text1"/>
          <w:sz w:val="24"/>
          <w:lang w:eastAsia="zh-CN"/>
          <w14:textFill>
            <w14:solidFill>
              <w14:schemeClr w14:val="tx1"/>
            </w14:solidFill>
          </w14:textFill>
        </w:rPr>
        <w:t>）其他要求：投标人应将拟订的分包计划，按第六章“投标文件格式”的要求填写“拟分包项目情况表”并提供相关证件的复印件（如有分包），且投标人中标后的分包应满足合同条款第</w:t>
      </w:r>
      <w:r>
        <w:rPr>
          <w:rFonts w:ascii="宋体" w:hAnsi="宋体"/>
          <w:color w:val="000000" w:themeColor="text1"/>
          <w:sz w:val="24"/>
          <w:lang w:eastAsia="zh-CN"/>
          <w14:textFill>
            <w14:solidFill>
              <w14:schemeClr w14:val="tx1"/>
            </w14:solidFill>
          </w14:textFill>
        </w:rPr>
        <w:t>3.6</w:t>
      </w:r>
      <w:r>
        <w:rPr>
          <w:rFonts w:hint="eastAsia" w:ascii="宋体" w:hAnsi="宋体"/>
          <w:color w:val="000000" w:themeColor="text1"/>
          <w:sz w:val="24"/>
          <w:lang w:eastAsia="zh-CN"/>
          <w14:textFill>
            <w14:solidFill>
              <w14:schemeClr w14:val="tx1"/>
            </w14:solidFill>
          </w14:textFill>
        </w:rPr>
        <w:t>款的相关要求。</w:t>
      </w:r>
    </w:p>
    <w:p>
      <w:pPr>
        <w:autoSpaceDE w:val="0"/>
        <w:autoSpaceDN w:val="0"/>
        <w:adjustRightInd w:val="0"/>
        <w:spacing w:line="470" w:lineRule="exact"/>
        <w:ind w:firstLine="538" w:firstLineChars="224"/>
        <w:rPr>
          <w:rFonts w:ascii="宋体" w:hAnsi="宋体" w:cs="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1.12 响应和偏差</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1.12.1 投标文件偏离招标文件某些要求，视为投标文件存在偏差。偏差包括重大偏差和细微偏差。</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1.12.2 投标文件应对招标文件的实质性要求和条件作出满足性或更有利于招标人的响应，否则，视为投标文件存在重大偏差，投标人的投标将被否决。投标文件存在第三章“评标办法”中所列任一否决投标情形的，均属于存在重大偏差。</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1.12.3 投标文件中的下列偏差为细微偏差：</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（1）在按照第三章“评标办法”的规定对投标价进行算术性错误修正后，最终投标报价未超过最高投标限价（如有）的情况下，出现第三章“评标办法”规定的算术性错误；</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（2）技术建议书不够完善；</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（3）投标文件页码不连续、采用活页夹装订、个别文字有遗漏错误等不影响投标文件实质性内容的偏差。</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1.12.4 评标委员会对投标文件中的细微偏差按如下规定处理：</w:t>
      </w:r>
    </w:p>
    <w:p>
      <w:pPr>
        <w:autoSpaceDE w:val="0"/>
        <w:autoSpaceDN w:val="0"/>
        <w:adjustRightInd w:val="0"/>
        <w:spacing w:line="47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（1）对于本章第 1.12.3 项（1）目所述的细微偏差，按照第三章“评标办法”的规定予以修正并要求投标人进行澄清；</w:t>
      </w:r>
    </w:p>
    <w:p>
      <w:pPr>
        <w:autoSpaceDE w:val="0"/>
        <w:autoSpaceDN w:val="0"/>
        <w:adjustRightInd w:val="0"/>
        <w:spacing w:line="45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（2）对于本章第 1.12.3 项（2）、（3）目所述的细微偏差，可在相关评分因素的评分中酌情扣分。</w:t>
      </w:r>
    </w:p>
    <w:p>
      <w:pPr>
        <w:autoSpaceDE w:val="0"/>
        <w:autoSpaceDN w:val="0"/>
        <w:adjustRightInd w:val="0"/>
        <w:spacing w:line="45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1.12.5 投标人应根据招标文件的要求提供技术建议书等内容以对招标文件作出响应。</w:t>
      </w:r>
    </w:p>
    <w:p>
      <w:pPr>
        <w:autoSpaceDE w:val="0"/>
        <w:autoSpaceDN w:val="0"/>
        <w:adjustRightInd w:val="0"/>
        <w:spacing w:line="45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2</w:t>
      </w:r>
      <w:r>
        <w:rPr>
          <w:rFonts w:hint="eastAsia" w:ascii="宋体" w:hAnsi="宋体"/>
          <w:b/>
          <w:color w:val="000000" w:themeColor="text1"/>
          <w:sz w:val="24"/>
          <w:lang w:eastAsia="zh-CN"/>
          <w14:textFill>
            <w14:solidFill>
              <w14:schemeClr w14:val="tx1"/>
            </w14:solidFill>
          </w14:textFill>
        </w:rPr>
        <w:t>．招标文件</w:t>
      </w:r>
    </w:p>
    <w:p>
      <w:pPr>
        <w:autoSpaceDE w:val="0"/>
        <w:autoSpaceDN w:val="0"/>
        <w:adjustRightInd w:val="0"/>
        <w:spacing w:line="45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2.1  </w:t>
      </w:r>
      <w:r>
        <w:rPr>
          <w:rFonts w:hint="eastAsia" w:ascii="宋体" w:hAnsi="宋体"/>
          <w:b/>
          <w:color w:val="000000" w:themeColor="text1"/>
          <w:sz w:val="24"/>
          <w:lang w:eastAsia="zh-CN"/>
          <w14:textFill>
            <w14:solidFill>
              <w14:schemeClr w14:val="tx1"/>
            </w14:solidFill>
          </w14:textFill>
        </w:rPr>
        <w:t>招标文件的构成</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本招标文件包括：</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1</w:t>
      </w:r>
      <w:r>
        <w:rPr>
          <w:rFonts w:hint="eastAsia" w:ascii="宋体" w:hAnsi="宋体"/>
          <w:color w:val="000000" w:themeColor="text1"/>
          <w:sz w:val="24"/>
          <w:lang w:eastAsia="zh-CN"/>
          <w14:textFill>
            <w14:solidFill>
              <w14:schemeClr w14:val="tx1"/>
            </w14:solidFill>
          </w14:textFill>
        </w:rPr>
        <w:t>）招标公告；</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2</w:t>
      </w:r>
      <w:r>
        <w:rPr>
          <w:rFonts w:hint="eastAsia" w:ascii="宋体" w:hAnsi="宋体"/>
          <w:color w:val="000000" w:themeColor="text1"/>
          <w:sz w:val="24"/>
          <w:lang w:eastAsia="zh-CN"/>
          <w14:textFill>
            <w14:solidFill>
              <w14:schemeClr w14:val="tx1"/>
            </w14:solidFill>
          </w14:textFill>
        </w:rPr>
        <w:t>）投标人须知；</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3</w:t>
      </w:r>
      <w:r>
        <w:rPr>
          <w:rFonts w:hint="eastAsia" w:ascii="宋体" w:hAnsi="宋体"/>
          <w:color w:val="000000" w:themeColor="text1"/>
          <w:sz w:val="24"/>
          <w:lang w:eastAsia="zh-CN"/>
          <w14:textFill>
            <w14:solidFill>
              <w14:schemeClr w14:val="tx1"/>
            </w14:solidFill>
          </w14:textFill>
        </w:rPr>
        <w:t>）评标办法；</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4</w:t>
      </w:r>
      <w:r>
        <w:rPr>
          <w:rFonts w:hint="eastAsia" w:ascii="宋体" w:hAnsi="宋体"/>
          <w:color w:val="000000" w:themeColor="text1"/>
          <w:sz w:val="24"/>
          <w:lang w:eastAsia="zh-CN"/>
          <w14:textFill>
            <w14:solidFill>
              <w14:schemeClr w14:val="tx1"/>
            </w14:solidFill>
          </w14:textFill>
        </w:rPr>
        <w:t>）合同条款及格式；</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5</w:t>
      </w:r>
      <w:r>
        <w:rPr>
          <w:rFonts w:hint="eastAsia" w:ascii="宋体" w:hAnsi="宋体"/>
          <w:color w:val="000000" w:themeColor="text1"/>
          <w:sz w:val="24"/>
          <w:lang w:eastAsia="zh-CN"/>
          <w14:textFill>
            <w14:solidFill>
              <w14:schemeClr w14:val="tx1"/>
            </w14:solidFill>
          </w14:textFill>
        </w:rPr>
        <w:t>）发包人要求；</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6</w:t>
      </w:r>
      <w:r>
        <w:rPr>
          <w:rFonts w:hint="eastAsia" w:ascii="宋体" w:hAnsi="宋体"/>
          <w:color w:val="000000" w:themeColor="text1"/>
          <w:sz w:val="24"/>
          <w:lang w:eastAsia="zh-CN"/>
          <w14:textFill>
            <w14:solidFill>
              <w14:schemeClr w14:val="tx1"/>
            </w14:solidFill>
          </w14:textFill>
        </w:rPr>
        <w:t>）投标文件格式；</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7</w:t>
      </w:r>
      <w:r>
        <w:rPr>
          <w:rFonts w:hint="eastAsia" w:ascii="宋体" w:hAnsi="宋体"/>
          <w:color w:val="000000" w:themeColor="text1"/>
          <w:sz w:val="24"/>
          <w:lang w:eastAsia="zh-CN"/>
          <w14:textFill>
            <w14:solidFill>
              <w14:schemeClr w14:val="tx1"/>
            </w14:solidFill>
          </w14:textFill>
        </w:rPr>
        <w:t>）“投标人须知前附表”规定的其他材料。</w:t>
      </w:r>
    </w:p>
    <w:p>
      <w:pPr>
        <w:autoSpaceDE w:val="0"/>
        <w:autoSpaceDN w:val="0"/>
        <w:adjustRightInd w:val="0"/>
        <w:spacing w:line="450" w:lineRule="exact"/>
        <w:ind w:firstLine="480" w:firstLineChars="200"/>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根据本章第</w:t>
      </w:r>
      <w:r>
        <w:rPr>
          <w:rFonts w:ascii="宋体" w:hAnsi="宋体"/>
          <w:color w:val="000000" w:themeColor="text1"/>
          <w:sz w:val="24"/>
          <w:lang w:eastAsia="zh-CN"/>
          <w14:textFill>
            <w14:solidFill>
              <w14:schemeClr w14:val="tx1"/>
            </w14:solidFill>
          </w14:textFill>
        </w:rPr>
        <w:t>1. 10</w:t>
      </w:r>
      <w:r>
        <w:rPr>
          <w:rFonts w:hint="eastAsia" w:ascii="宋体" w:hAnsi="宋体"/>
          <w:color w:val="000000" w:themeColor="text1"/>
          <w:sz w:val="24"/>
          <w:lang w:eastAsia="zh-CN"/>
          <w14:textFill>
            <w14:solidFill>
              <w14:schemeClr w14:val="tx1"/>
            </w14:solidFill>
          </w14:textFill>
        </w:rPr>
        <w:t>款、第</w:t>
      </w:r>
      <w:r>
        <w:rPr>
          <w:rFonts w:ascii="宋体" w:hAnsi="宋体"/>
          <w:color w:val="000000" w:themeColor="text1"/>
          <w:sz w:val="24"/>
          <w:lang w:eastAsia="zh-CN"/>
          <w14:textFill>
            <w14:solidFill>
              <w14:schemeClr w14:val="tx1"/>
            </w14:solidFill>
          </w14:textFill>
        </w:rPr>
        <w:t>2.2</w:t>
      </w:r>
      <w:r>
        <w:rPr>
          <w:rFonts w:hint="eastAsia" w:ascii="宋体" w:hAnsi="宋体"/>
          <w:color w:val="000000" w:themeColor="text1"/>
          <w:sz w:val="24"/>
          <w:lang w:eastAsia="zh-CN"/>
          <w14:textFill>
            <w14:solidFill>
              <w14:schemeClr w14:val="tx1"/>
            </w14:solidFill>
          </w14:textFill>
        </w:rPr>
        <w:t>款和第</w:t>
      </w:r>
      <w:r>
        <w:rPr>
          <w:rFonts w:ascii="宋体" w:hAnsi="宋体"/>
          <w:color w:val="000000" w:themeColor="text1"/>
          <w:sz w:val="24"/>
          <w:lang w:eastAsia="zh-CN"/>
          <w14:textFill>
            <w14:solidFill>
              <w14:schemeClr w14:val="tx1"/>
            </w14:solidFill>
          </w14:textFill>
        </w:rPr>
        <w:t>2.3</w:t>
      </w:r>
      <w:r>
        <w:rPr>
          <w:rFonts w:hint="eastAsia" w:ascii="宋体" w:hAnsi="宋体"/>
          <w:color w:val="000000" w:themeColor="text1"/>
          <w:sz w:val="24"/>
          <w:lang w:eastAsia="zh-CN"/>
          <w14:textFill>
            <w14:solidFill>
              <w14:schemeClr w14:val="tx1"/>
            </w14:solidFill>
          </w14:textFill>
        </w:rPr>
        <w:t>款对招标文件所作的澄清、修改，统称为“补遗书”，构成招标文件的组成部分。</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当招标文件、招标文件的澄清或修改等在同一内容的表述上不一致时，以最后发出的书面文件为准。</w:t>
      </w:r>
    </w:p>
    <w:p>
      <w:pPr>
        <w:autoSpaceDE w:val="0"/>
        <w:autoSpaceDN w:val="0"/>
        <w:adjustRightInd w:val="0"/>
        <w:spacing w:line="45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2.2  </w:t>
      </w:r>
      <w:r>
        <w:rPr>
          <w:rFonts w:hint="eastAsia" w:ascii="宋体" w:hAnsi="宋体"/>
          <w:b/>
          <w:color w:val="000000" w:themeColor="text1"/>
          <w:sz w:val="24"/>
          <w:lang w:eastAsia="zh-CN"/>
          <w14:textFill>
            <w14:solidFill>
              <w14:schemeClr w14:val="tx1"/>
            </w14:solidFill>
          </w14:textFill>
        </w:rPr>
        <w:t>招标文件的澄清</w:t>
      </w:r>
    </w:p>
    <w:p>
      <w:pPr>
        <w:autoSpaceDE w:val="0"/>
        <w:autoSpaceDN w:val="0"/>
        <w:adjustRightInd w:val="0"/>
        <w:spacing w:line="45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2.2.1</w:t>
      </w:r>
      <w:r>
        <w:rPr>
          <w:rFonts w:hint="eastAsia" w:ascii="宋体" w:hAnsi="宋体"/>
          <w:color w:val="000000" w:themeColor="text1"/>
          <w:sz w:val="24"/>
          <w:lang w:eastAsia="zh-CN"/>
          <w14:textFill>
            <w14:solidFill>
              <w14:schemeClr w14:val="tx1"/>
            </w14:solidFill>
          </w14:textFill>
        </w:rPr>
        <w:t>投标人应仔细阅读和检查招标文件的全部内容。如发现缺页或附件不全，应及时向招标人提出，以便补齐。如有疑问，应以书面形式要求招标人对招标文件予以澄清。</w:t>
      </w:r>
    </w:p>
    <w:p>
      <w:pPr>
        <w:autoSpaceDE w:val="0"/>
        <w:autoSpaceDN w:val="0"/>
        <w:adjustRightInd w:val="0"/>
        <w:spacing w:line="45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2.2.2</w:t>
      </w:r>
      <w:r>
        <w:rPr>
          <w:rFonts w:hint="eastAsia" w:ascii="宋体" w:hAnsi="宋体"/>
          <w:color w:val="000000" w:themeColor="text1"/>
          <w:sz w:val="24"/>
          <w:lang w:eastAsia="zh-CN"/>
          <w14:textFill>
            <w14:solidFill>
              <w14:schemeClr w14:val="tx1"/>
            </w14:solidFill>
          </w14:textFill>
        </w:rPr>
        <w:t>招标文件的澄清将在“投标人须知前附表”规定的投标截止时间</w:t>
      </w:r>
      <w:r>
        <w:rPr>
          <w:rFonts w:ascii="宋体" w:hAnsi="宋体"/>
          <w:color w:val="000000" w:themeColor="text1"/>
          <w:sz w:val="24"/>
          <w:lang w:eastAsia="zh-CN"/>
          <w14:textFill>
            <w14:solidFill>
              <w14:schemeClr w14:val="tx1"/>
            </w14:solidFill>
          </w14:textFill>
        </w:rPr>
        <w:t>15</w:t>
      </w:r>
      <w:r>
        <w:rPr>
          <w:rFonts w:hint="eastAsia" w:ascii="宋体" w:hAnsi="宋体"/>
          <w:color w:val="000000" w:themeColor="text1"/>
          <w:sz w:val="24"/>
          <w:lang w:eastAsia="zh-CN"/>
          <w14:textFill>
            <w14:solidFill>
              <w14:schemeClr w14:val="tx1"/>
            </w14:solidFill>
          </w14:textFill>
        </w:rPr>
        <w:t>天前以书面形式发给所有投标人，但不指明澄清问题的来源。如果澄清发出的时间距投标截止时间不足</w:t>
      </w:r>
      <w:r>
        <w:rPr>
          <w:rFonts w:ascii="宋体" w:hAnsi="宋体"/>
          <w:color w:val="000000" w:themeColor="text1"/>
          <w:sz w:val="24"/>
          <w:lang w:eastAsia="zh-CN"/>
          <w14:textFill>
            <w14:solidFill>
              <w14:schemeClr w14:val="tx1"/>
            </w14:solidFill>
          </w14:textFill>
        </w:rPr>
        <w:t>15</w:t>
      </w:r>
      <w:r>
        <w:rPr>
          <w:rFonts w:hint="eastAsia" w:ascii="宋体" w:hAnsi="宋体"/>
          <w:color w:val="000000" w:themeColor="text1"/>
          <w:sz w:val="24"/>
          <w:lang w:eastAsia="zh-CN"/>
          <w14:textFill>
            <w14:solidFill>
              <w14:schemeClr w14:val="tx1"/>
            </w14:solidFill>
          </w14:textFill>
        </w:rPr>
        <w:t>天，相应延长投标截止时间。招标人有责任保证所有投标人收到招标文件的澄清。</w:t>
      </w:r>
    </w:p>
    <w:p>
      <w:pPr>
        <w:autoSpaceDE w:val="0"/>
        <w:autoSpaceDN w:val="0"/>
        <w:adjustRightInd w:val="0"/>
        <w:spacing w:line="450" w:lineRule="exact"/>
        <w:ind w:firstLine="538" w:firstLineChars="224"/>
        <w:rPr>
          <w:rFonts w:ascii="宋体" w:hAns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2.2.3</w:t>
      </w:r>
      <w:r>
        <w:rPr>
          <w:rFonts w:hint="eastAsia" w:ascii="宋体" w:hAnsi="宋体"/>
          <w:color w:val="000000" w:themeColor="text1"/>
          <w:sz w:val="24"/>
          <w:lang w:eastAsia="zh-CN"/>
          <w14:textFill>
            <w14:solidFill>
              <w14:schemeClr w14:val="tx1"/>
            </w14:solidFill>
          </w14:textFill>
        </w:rPr>
        <w:t>投标人在收到澄清后，应在“投标人须知前附表”规定的时间内以书面形式通知招标人，确认已收到该澄清。</w:t>
      </w:r>
    </w:p>
    <w:p>
      <w:pPr>
        <w:autoSpaceDE w:val="0"/>
        <w:autoSpaceDN w:val="0"/>
        <w:adjustRightInd w:val="0"/>
        <w:spacing w:line="45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2.2.4除非招标人认为确有必要答复，否则，招标人有权拒绝回复投标人在本章第2.2.1规定的时间后提出的任何澄清要求。</w:t>
      </w:r>
    </w:p>
    <w:p>
      <w:pPr>
        <w:autoSpaceDE w:val="0"/>
        <w:autoSpaceDN w:val="0"/>
        <w:adjustRightInd w:val="0"/>
        <w:spacing w:line="45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2.3  </w:t>
      </w:r>
      <w:r>
        <w:rPr>
          <w:rFonts w:hint="eastAsia" w:ascii="宋体" w:hAnsi="宋体"/>
          <w:b/>
          <w:color w:val="000000" w:themeColor="text1"/>
          <w:sz w:val="24"/>
          <w:lang w:eastAsia="zh-CN"/>
          <w14:textFill>
            <w14:solidFill>
              <w14:schemeClr w14:val="tx1"/>
            </w14:solidFill>
          </w14:textFill>
        </w:rPr>
        <w:t>招标文件的修改</w:t>
      </w:r>
    </w:p>
    <w:p>
      <w:pPr>
        <w:autoSpaceDE w:val="0"/>
        <w:autoSpaceDN w:val="0"/>
        <w:adjustRightInd w:val="0"/>
        <w:spacing w:line="45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2.3.1 招标人以</w:t>
      </w:r>
      <w:r>
        <w:rPr>
          <w:rFonts w:hint="eastAsia" w:ascii="宋体" w:hAnsi="宋体"/>
          <w:color w:val="000000" w:themeColor="text1"/>
          <w:sz w:val="24"/>
          <w:lang w:eastAsia="zh-CN"/>
          <w14:textFill>
            <w14:solidFill>
              <w14:schemeClr w14:val="tx1"/>
            </w14:solidFill>
          </w14:textFill>
        </w:rPr>
        <w:t>“投标人须知前附表”</w:t>
      </w:r>
      <w:r>
        <w:rPr>
          <w:rFonts w:ascii="宋体" w:hAnsi="宋体" w:cs="宋体"/>
          <w:color w:val="000000" w:themeColor="text1"/>
          <w:sz w:val="24"/>
          <w:lang w:eastAsia="zh-CN"/>
          <w14:textFill>
            <w14:solidFill>
              <w14:schemeClr w14:val="tx1"/>
            </w14:solidFill>
          </w14:textFill>
        </w:rPr>
        <w:t>规定的形式修改招标文件，并通知所有投标人。修改招标文件的时间距本章第4.2.1项规定的投标截止时间不足15日，且修改内容可能影响投标文件编制的，将相应延长投标截止时间。</w:t>
      </w:r>
    </w:p>
    <w:p>
      <w:pPr>
        <w:autoSpaceDE w:val="0"/>
        <w:autoSpaceDN w:val="0"/>
        <w:adjustRightInd w:val="0"/>
        <w:spacing w:line="45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2.3.2 投标人收到修改内容后，应按投标人须知前附表规定的时间和形式通知招标人，确认已收到该修改。</w:t>
      </w:r>
    </w:p>
    <w:p>
      <w:pPr>
        <w:autoSpaceDE w:val="0"/>
        <w:autoSpaceDN w:val="0"/>
        <w:adjustRightInd w:val="0"/>
        <w:spacing w:line="45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2.</w:t>
      </w:r>
      <w:r>
        <w:rPr>
          <w:rFonts w:hint="eastAsia" w:ascii="宋体" w:hAnsi="宋体"/>
          <w:b/>
          <w:color w:val="000000" w:themeColor="text1"/>
          <w:sz w:val="24"/>
          <w:lang w:eastAsia="zh-CN"/>
          <w14:textFill>
            <w14:solidFill>
              <w14:schemeClr w14:val="tx1"/>
            </w14:solidFill>
          </w14:textFill>
        </w:rPr>
        <w:t>4招标文件的异议</w:t>
      </w:r>
    </w:p>
    <w:p>
      <w:pPr>
        <w:autoSpaceDE w:val="0"/>
        <w:autoSpaceDN w:val="0"/>
        <w:adjustRightInd w:val="0"/>
        <w:spacing w:line="450" w:lineRule="exact"/>
        <w:ind w:firstLine="537" w:firstLineChars="224"/>
        <w:rPr>
          <w:rFonts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投标人或其他利害关系人对招标文件有异议的，应在投标截止时间10日前以书面形式提出。招标人将在收到异议之日起3日内作出答复；作出答复前，将暂停招标投标活动。</w:t>
      </w:r>
    </w:p>
    <w:p>
      <w:pPr>
        <w:autoSpaceDE w:val="0"/>
        <w:autoSpaceDN w:val="0"/>
        <w:adjustRightInd w:val="0"/>
        <w:spacing w:line="450" w:lineRule="exact"/>
        <w:ind w:firstLine="480" w:firstLineChars="200"/>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3</w:t>
      </w:r>
      <w:r>
        <w:rPr>
          <w:rFonts w:hint="eastAsia" w:ascii="宋体" w:hAnsi="宋体"/>
          <w:b/>
          <w:color w:val="000000" w:themeColor="text1"/>
          <w:sz w:val="24"/>
          <w:lang w:eastAsia="zh-CN"/>
          <w14:textFill>
            <w14:solidFill>
              <w14:schemeClr w14:val="tx1"/>
            </w14:solidFill>
          </w14:textFill>
        </w:rPr>
        <w:t>．投标文件</w:t>
      </w:r>
    </w:p>
    <w:p>
      <w:pPr>
        <w:autoSpaceDE w:val="0"/>
        <w:autoSpaceDN w:val="0"/>
        <w:adjustRightInd w:val="0"/>
        <w:spacing w:line="45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3.1  </w:t>
      </w:r>
      <w:r>
        <w:rPr>
          <w:rFonts w:hint="eastAsia" w:ascii="宋体" w:hAnsi="宋体"/>
          <w:b/>
          <w:color w:val="000000" w:themeColor="text1"/>
          <w:sz w:val="24"/>
          <w:lang w:eastAsia="zh-CN"/>
          <w14:textFill>
            <w14:solidFill>
              <w14:schemeClr w14:val="tx1"/>
            </w14:solidFill>
          </w14:textFill>
        </w:rPr>
        <w:t>投标文件的构成</w:t>
      </w:r>
    </w:p>
    <w:p>
      <w:pPr>
        <w:autoSpaceDE w:val="0"/>
        <w:autoSpaceDN w:val="0"/>
        <w:adjustRightInd w:val="0"/>
        <w:spacing w:line="450" w:lineRule="exact"/>
        <w:ind w:firstLine="538" w:firstLineChars="224"/>
        <w:rPr>
          <w:rFonts w:ascii="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3.1.1</w:t>
      </w:r>
      <w:r>
        <w:rPr>
          <w:rFonts w:hint="eastAsia" w:ascii="宋体" w:hAnsi="宋体"/>
          <w:color w:val="000000" w:themeColor="text1"/>
          <w:sz w:val="24"/>
          <w:lang w:eastAsia="zh-CN"/>
          <w14:textFill>
            <w14:solidFill>
              <w14:schemeClr w14:val="tx1"/>
            </w14:solidFill>
          </w14:textFill>
        </w:rPr>
        <w:t>投标文件采用双信封形式，包括下列内容：</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第一信封（商务及技术文件）</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1</w:t>
      </w:r>
      <w:r>
        <w:rPr>
          <w:rFonts w:hint="eastAsia" w:ascii="宋体" w:hAnsi="宋体"/>
          <w:color w:val="000000" w:themeColor="text1"/>
          <w:sz w:val="24"/>
          <w:lang w:eastAsia="zh-CN"/>
          <w14:textFill>
            <w14:solidFill>
              <w14:schemeClr w14:val="tx1"/>
            </w14:solidFill>
          </w14:textFill>
        </w:rPr>
        <w:t>）投标函；</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2</w:t>
      </w:r>
      <w:r>
        <w:rPr>
          <w:rFonts w:hint="eastAsia" w:ascii="宋体" w:hAnsi="宋体"/>
          <w:color w:val="000000" w:themeColor="text1"/>
          <w:sz w:val="24"/>
          <w:lang w:eastAsia="zh-CN"/>
          <w14:textFill>
            <w14:solidFill>
              <w14:schemeClr w14:val="tx1"/>
            </w14:solidFill>
          </w14:textFill>
        </w:rPr>
        <w:t>）授权委托书或法定代表人身份证明；</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3</w:t>
      </w:r>
      <w:r>
        <w:rPr>
          <w:rFonts w:hint="eastAsia" w:ascii="宋体" w:hAnsi="宋体"/>
          <w:color w:val="000000" w:themeColor="text1"/>
          <w:sz w:val="24"/>
          <w:lang w:eastAsia="zh-CN"/>
          <w14:textFill>
            <w14:solidFill>
              <w14:schemeClr w14:val="tx1"/>
            </w14:solidFill>
          </w14:textFill>
        </w:rPr>
        <w:t>）联合体协议书；</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w:t>
      </w:r>
      <w:r>
        <w:rPr>
          <w:rFonts w:ascii="宋体" w:hAnsi="宋体"/>
          <w:color w:val="000000" w:themeColor="text1"/>
          <w:sz w:val="24"/>
          <w:lang w:eastAsia="zh-CN"/>
          <w14:textFill>
            <w14:solidFill>
              <w14:schemeClr w14:val="tx1"/>
            </w14:solidFill>
          </w14:textFill>
        </w:rPr>
        <w:t>4</w:t>
      </w:r>
      <w:r>
        <w:rPr>
          <w:rFonts w:hint="eastAsia" w:ascii="宋体" w:hAnsi="宋体"/>
          <w:color w:val="000000" w:themeColor="text1"/>
          <w:sz w:val="24"/>
          <w:lang w:eastAsia="zh-CN"/>
          <w14:textFill>
            <w14:solidFill>
              <w14:schemeClr w14:val="tx1"/>
            </w14:solidFill>
          </w14:textFill>
        </w:rPr>
        <w:t>）投标保证金；</w:t>
      </w:r>
    </w:p>
    <w:p>
      <w:pPr>
        <w:autoSpaceDE w:val="0"/>
        <w:autoSpaceDN w:val="0"/>
        <w:adjustRightInd w:val="0"/>
        <w:spacing w:line="45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（5）资格审查资料；</w:t>
      </w:r>
    </w:p>
    <w:p>
      <w:pPr>
        <w:autoSpaceDE w:val="0"/>
        <w:autoSpaceDN w:val="0"/>
        <w:adjustRightInd w:val="0"/>
        <w:spacing w:line="450" w:lineRule="exact"/>
        <w:ind w:firstLine="537" w:firstLineChars="224"/>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（6）技术建议书；</w:t>
      </w:r>
    </w:p>
    <w:p>
      <w:pPr>
        <w:autoSpaceDE w:val="0"/>
        <w:autoSpaceDN w:val="0"/>
        <w:adjustRightInd w:val="0"/>
        <w:spacing w:line="450" w:lineRule="exact"/>
        <w:ind w:firstLine="537" w:firstLineChars="224"/>
        <w:rPr>
          <w:rFonts w:asci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（7）投标人须知附前表规定的其他资料；</w:t>
      </w:r>
    </w:p>
    <w:p>
      <w:pPr>
        <w:autoSpaceDE w:val="0"/>
        <w:autoSpaceDN w:val="0"/>
        <w:adjustRightInd w:val="0"/>
        <w:spacing w:line="450" w:lineRule="exact"/>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第二信封（报价文件）</w:t>
      </w:r>
    </w:p>
    <w:p>
      <w:pPr>
        <w:numPr>
          <w:ilvl w:val="0"/>
          <w:numId w:val="1"/>
        </w:numPr>
        <w:autoSpaceDE w:val="0"/>
        <w:autoSpaceDN w:val="0"/>
        <w:adjustRightInd w:val="0"/>
        <w:spacing w:line="450" w:lineRule="exact"/>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投标函；</w:t>
      </w:r>
    </w:p>
    <w:p>
      <w:pPr>
        <w:numPr>
          <w:ilvl w:val="0"/>
          <w:numId w:val="1"/>
        </w:numPr>
        <w:autoSpaceDE w:val="0"/>
        <w:autoSpaceDN w:val="0"/>
        <w:adjustRightInd w:val="0"/>
        <w:spacing w:line="450" w:lineRule="exact"/>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勘察设计费用清单；</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投标人在评标过程中作出的符合法律法规和招标文件规定的澄清确认，构成投标文件的组成部分。</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 xml:space="preserve"> 3.1.2“投标人须知前附表”规定不接受联合体投标的，或投标人没有组成联合体的，投标文件不包括本章第3.1.1（3）目所指的联合体协议书。</w:t>
      </w:r>
    </w:p>
    <w:p>
      <w:pPr>
        <w:autoSpaceDE w:val="0"/>
        <w:autoSpaceDN w:val="0"/>
        <w:adjustRightInd w:val="0"/>
        <w:spacing w:line="450" w:lineRule="exact"/>
        <w:ind w:firstLine="480" w:firstLineChars="200"/>
        <w:rPr>
          <w:rFonts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 xml:space="preserve"> 3.1.3“投标人须知前附表”未要求投标保证金的，投标文件不包括本章第3.1.1（4）目所指的投标保证金。</w:t>
      </w:r>
    </w:p>
    <w:p>
      <w:pPr>
        <w:autoSpaceDE w:val="0"/>
        <w:autoSpaceDN w:val="0"/>
        <w:adjustRightInd w:val="0"/>
        <w:spacing w:line="470" w:lineRule="exact"/>
        <w:ind w:firstLine="538" w:firstLineChars="224"/>
        <w:rPr>
          <w:rFonts w:asci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3.2  </w:t>
      </w:r>
      <w:r>
        <w:rPr>
          <w:rFonts w:hint="eastAsia" w:ascii="宋体" w:hAnsi="宋体"/>
          <w:b/>
          <w:color w:val="000000" w:themeColor="text1"/>
          <w:sz w:val="24"/>
          <w:lang w:eastAsia="zh-CN"/>
          <w14:textFill>
            <w14:solidFill>
              <w14:schemeClr w14:val="tx1"/>
            </w14:solidFill>
          </w14:textFill>
        </w:rPr>
        <w:t>投标报价</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3.2.1 投标报价应包括国家规定的增值税税金，除投标人须知前附表另有规定外，增值税税金按一般计税方法计算。投标人应按第六章“投标文件格式”的要求在投标函中进行报价并填写勘察设计费用清单相应表格。</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3.2.2 投标人应充分了解本项目的总体情况以及影响投标报价的其他要素，按照招标文件规定的勘察设计工作内容和计划工作量，自行测算勘察设计费用。</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3.2.3 本项目的报价方式见投标人须知前附表。投标人在投标截止时间前修改投标函中的投标报价总额，应同时修改投标文件“勘察设计费用清单”中的相应报价。此修改须符合本章第 4.3 款的有关要求。</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3.2.4 招标人设有最高投标限价的，投标人的投标报价不得超过最高投标限价，最高投标限价在投标人须知前附表中载明。</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3.2.5 投标报价的其他要求见投标人须知前附表。</w:t>
      </w:r>
    </w:p>
    <w:p>
      <w:pPr>
        <w:autoSpaceDE w:val="0"/>
        <w:autoSpaceDN w:val="0"/>
        <w:adjustRightInd w:val="0"/>
        <w:spacing w:line="47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 3.3 投标有效期</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3.3.1 除投标人须知前附表另有规定外，投标有效期为</w:t>
      </w:r>
      <w:r>
        <w:rPr>
          <w:rFonts w:ascii="宋体" w:hAnsi="宋体" w:cs="宋体"/>
          <w:color w:val="000000" w:themeColor="text1"/>
          <w:sz w:val="24"/>
          <w:u w:val="single"/>
          <w:lang w:eastAsia="zh-CN"/>
          <w14:textFill>
            <w14:solidFill>
              <w14:schemeClr w14:val="tx1"/>
            </w14:solidFill>
          </w14:textFill>
        </w:rPr>
        <w:t xml:space="preserve"> 90 </w:t>
      </w:r>
      <w:r>
        <w:rPr>
          <w:rFonts w:ascii="宋体" w:hAnsi="宋体" w:cs="宋体"/>
          <w:color w:val="000000" w:themeColor="text1"/>
          <w:sz w:val="24"/>
          <w:lang w:eastAsia="zh-CN"/>
          <w14:textFill>
            <w14:solidFill>
              <w14:schemeClr w14:val="tx1"/>
            </w14:solidFill>
          </w14:textFill>
        </w:rPr>
        <w:t>日。</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3.3.2 在投标有效期内，投标人撤销投标文件的，应承担招标文件和法律规定的责任。</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pPr>
        <w:autoSpaceDE w:val="0"/>
        <w:autoSpaceDN w:val="0"/>
        <w:adjustRightInd w:val="0"/>
        <w:spacing w:line="47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3.4 投标保证金</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3.4.1 投标人在递交投标文件的同时，应按投标人须知前附表规定的金额递交投标保证金，并作为其投标文件的组成部分。联合体投标的，其投标保证金由牵头人递交，并应符合投标人须知前附表的规定。</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投标保证金应采用</w:t>
      </w:r>
      <w:r>
        <w:rPr>
          <w:rFonts w:hint="eastAsia" w:ascii="宋体" w:hAnsi="宋体" w:cs="宋体"/>
          <w:color w:val="000000" w:themeColor="text1"/>
          <w:sz w:val="24"/>
          <w:lang w:eastAsia="zh-CN"/>
          <w14:textFill>
            <w14:solidFill>
              <w14:schemeClr w14:val="tx1"/>
            </w14:solidFill>
          </w14:textFill>
        </w:rPr>
        <w:t>电汇或转账或</w:t>
      </w:r>
      <w:r>
        <w:rPr>
          <w:rFonts w:ascii="宋体" w:hAnsi="宋体" w:cs="宋体"/>
          <w:color w:val="000000" w:themeColor="text1"/>
          <w:sz w:val="24"/>
          <w:lang w:eastAsia="zh-CN"/>
          <w14:textFill>
            <w14:solidFill>
              <w14:schemeClr w14:val="tx1"/>
            </w14:solidFill>
          </w14:textFill>
        </w:rPr>
        <w:t>银行保函或招标人在投标人须知前附表规定的其他形式。</w:t>
      </w:r>
    </w:p>
    <w:p>
      <w:pPr>
        <w:autoSpaceDE w:val="0"/>
        <w:autoSpaceDN w:val="0"/>
        <w:adjustRightInd w:val="0"/>
        <w:spacing w:line="480" w:lineRule="exact"/>
        <w:ind w:firstLine="720" w:firstLineChars="300"/>
        <w:rPr>
          <w:rFonts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（1）</w:t>
      </w:r>
      <w:r>
        <w:rPr>
          <w:rFonts w:ascii="宋体" w:hAnsi="宋体" w:cs="宋体"/>
          <w:color w:val="000000" w:themeColor="text1"/>
          <w:sz w:val="24"/>
          <w:lang w:eastAsia="zh-CN"/>
          <w14:textFill>
            <w14:solidFill>
              <w14:schemeClr w14:val="tx1"/>
            </w14:solidFill>
          </w14:textFill>
        </w:rPr>
        <w:t>若采用</w:t>
      </w:r>
      <w:r>
        <w:rPr>
          <w:rFonts w:hint="eastAsia" w:ascii="宋体" w:hAnsi="宋体" w:cs="宋体"/>
          <w:color w:val="000000" w:themeColor="text1"/>
          <w:sz w:val="24"/>
          <w:lang w:eastAsia="zh-CN"/>
          <w14:textFill>
            <w14:solidFill>
              <w14:schemeClr w14:val="tx1"/>
            </w14:solidFill>
          </w14:textFill>
        </w:rPr>
        <w:t>电汇或转账</w:t>
      </w:r>
      <w:r>
        <w:rPr>
          <w:rFonts w:ascii="宋体" w:hAnsi="宋体" w:cs="宋体"/>
          <w:color w:val="000000" w:themeColor="text1"/>
          <w:sz w:val="24"/>
          <w:lang w:eastAsia="zh-CN"/>
          <w14:textFill>
            <w14:solidFill>
              <w14:schemeClr w14:val="tx1"/>
            </w14:solidFill>
          </w14:textFill>
        </w:rPr>
        <w:t>，投标人应在递交投标文件截止时间之前，将投标保证金由投标人的基本账户转入招标人指定账户，否则视为投标保证金无效。招标人指定的开户银行及账号见投标人须知前附表。</w:t>
      </w:r>
    </w:p>
    <w:p>
      <w:pPr>
        <w:autoSpaceDE w:val="0"/>
        <w:autoSpaceDN w:val="0"/>
        <w:adjustRightInd w:val="0"/>
        <w:spacing w:line="480" w:lineRule="exact"/>
        <w:ind w:firstLine="720" w:firstLineChars="300"/>
        <w:rPr>
          <w:rFonts w:ascii="宋体"/>
          <w:b/>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（2）</w:t>
      </w:r>
      <w:r>
        <w:rPr>
          <w:rFonts w:ascii="宋体" w:hAnsi="宋体" w:cs="宋体"/>
          <w:color w:val="000000" w:themeColor="text1"/>
          <w:sz w:val="24"/>
          <w:lang w:eastAsia="zh-CN"/>
          <w14:textFill>
            <w14:solidFill>
              <w14:schemeClr w14:val="tx1"/>
            </w14:solidFill>
          </w14:textFill>
        </w:rPr>
        <w:t>若采用银行保函，则应由符合投标人须知前附表规定级别的银行开具，并采用招标文件提供的格式。银行保函复印件装订在投标文件内，原件应在递交投标文件截止时间之前单独密封递交给招标人。</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无论采取何种形式的投标保证金，投标保证金有效期均应与投标有效期一致。招标人如果按本章第 3.3.3 项的规定延长了投标有效期，则投标保证金的有效期也相应延长。</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3.4.2 投标人不按本章第 3.4.1 项要求提交投标保证金的，评标委员会将否决其投标。</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3.4.3 招标人最迟将在中标通知书发出后 5 日内向中标候选人以外的其他投标人退还投标保证金，与中标人签订合同后 5 日内向中标人和其他中标候选人退还投标保证金。投标保证金以现金或支票形式递交的，招标人应同时退还投标保证金的银行同期活期存款利息，且退还至投标人的基本账户。</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利息计算原则见投标人须知前附表。</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3.4.4 有下列情形之一的，投标保证金将不予退还：</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（1）投标人在投标有效期内撤销投标文件；</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（2）中标人在收到中标通知书后，无正当理由不与招标人订立合同，在签订合同时向招标人提出附加条件，或不按照招标文件要求提交履约保证金；</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（3）发生投标人须知前附表规定的其他可以不予退还投标保证金的情形。</w:t>
      </w:r>
    </w:p>
    <w:p>
      <w:pPr>
        <w:autoSpaceDE w:val="0"/>
        <w:autoSpaceDN w:val="0"/>
        <w:adjustRightInd w:val="0"/>
        <w:spacing w:line="48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3.5 资格审查资料</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除投标人须知前附表另有规定外，投标人应按下列规定提供资格审查资料，以证明其满足本章第 1.4 款规定的资质、业绩、信誉等要求。</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3.5.1 “投标人基本情况表”应附企业法人营业执照副本和组织机构代码证副本（按照“三证合一”或“五证合一”登记制度进行登记的，可仅提供营业执照副本，下同）、勘察资质证书副本、设计资质证书副本、基本账户开户许可证的复印件，投标人在交通运输部“全国公路建设市场信用信息管理系统”公路工程设计资质企业名录中的网页截图复印件，以及投标人在国家企业信用信息公示系统中基础信息（体现股东及出资详细信息）的网页截图或由法定的社会验资机构出具的验资报告或注册地工商部门出具的股东出资情况证明复印件。</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企业法人营业执照副本和组织机构代码证副本、勘察资质证书副本、设计资质证书副本、基本账户开户许可证的复印件应提供全本（证书封面、封底、空白页除外），应包括投标人名称、投标人其他相关信息、颁发机构名称、投标人信息变更情况等关键页在内，并逐页加盖投标人单位章。</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3.5.2 “近年完成的类似项目”应是已列入交通运输主管部门“公路建设市场信用信息管理系统”并公开的“初步设计已批复或施工图设计已批复”的主包业绩或分包业绩，具体时间要求见投标人须知前附表。</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近年完成的类似项目情况表”应附在交通运输部“全国公路建设市场信用信息管理系统”（网址：http://glxy.mot.gov.cn/BM/）中查询到的企业“业绩信息”相关项目网页截图复印件，即包括“工程名称”“项目类型”“合同价”“技术等级”“主要设计内容”“人员履约信息”等栏目在内的项目详细信息网页截图复印件。在交通运输部 “全国公路建设市场信用信息管理系统”中无法查询，但可在省级交通运输主管部门 “公路建设市场信用信息管理系统”中查询的，应附省级交通运输主管部门“公路建设市场信用信息管理系统”中查询到的网页截图复印件并注明查询路径。除网页截图复印件外，投标人无须再提供任何业绩证明材料。</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如投标人未提供相关项目网页截图复印件或相关项目网页截图中的信息无法证实投标人满足招标文件规定的资格审查条件（业绩最低要求），则该项目业绩不予认定。</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招标文件中要求投标人提供的各类证照复印件均指彩色扫描件或彩色复印件，其他资料的复印件可为黑白扫描件或黑白复印件。</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3.5.3 “投标人的信誉情况表”应附投标人在国家企业信用信息公示系统中未被列入严重违法失信企业名单、在“信用中国”网站中未被列入失信被执行人名单的网页截图复印件，</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3.5.4 “拟委任的项目负责人资历表”应附项目负责人的身份证、职称资格证书和资格审查条件所要求的其他相关证书的复印件，以及投标人所属社保机构出具的拟委任的项目负责人的社保缴费证明或其他能够证明拟委任的项目负责人参加社保的有效证明材料复印件。</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拟委任的项目负责人资历表”还应附交通运输部“全国公路建设市场信用信息管理系统”中载明的、能够证明项目负责人具有相关业绩的网页截图复印件。在交通运输部“全国公路建设市场信用信息管理系统”中无法查询，但可在省级交通运输主管部门“公路建设市场信用信息管理系统”中查询的，应附省级交通运输主管部门“公路建设市场信用信息管理系统”中查询到的网页截图复印件并注明查询路径。除网页截图复印件外，投标人无须再提供任何业绩证明材料。如投标人未提供相关业绩网页截图复印件或相关业绩网页截图中的信息无法证实投标人满足招标文件规定的资格审查条件（项目负责人最低要求），则该业绩不予认定。</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3.5.5 “拟委任的分项负责人资历表”中分项负责人应附身份证、职称资格证书和资格审查条件所要求的其他相关证书的复印件，相关业绩证明材料复印件，以及投标人所属社保机构出具的社保缴费证明或其他能够证明其参加社保的有效证明材料复印件。</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3.5.6 投标人须知前附表规定接受联合体投标的，本章第 3.5.1 项至第 3.5.5 项规定的表格和资料应包括联合体各方相关情况。</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3.5.7 除合同条款约定的特殊情形外，投标人在投标文件中填报的项目负责人不允许更换。</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3.5.8 投标人在投标文件中填报的资质、业绩、主要人员资历和目前在岗情况、信用等级等信息，应与其在交通运输主管部门“公路建设市场信用信息管理系统”上填报并发布的相关信息一致。投标人应根据本单位实际情况及时完成相关信息的申报、录入和动态更新，并对相关信息的真实性、完整性和准确性负责。</w:t>
      </w:r>
    </w:p>
    <w:p>
      <w:pPr>
        <w:autoSpaceDE w:val="0"/>
        <w:autoSpaceDN w:val="0"/>
        <w:adjustRightInd w:val="0"/>
        <w:spacing w:line="480" w:lineRule="exact"/>
        <w:ind w:firstLine="537" w:firstLineChars="224"/>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3.5.9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 5％签约合同价的金额作为违约金。同时招标人将投标人上述弄虚作假行为上报省级交通运输主管部门，作为不良记录纳入公路建设市场信用信息管理系统。</w:t>
      </w:r>
    </w:p>
    <w:p>
      <w:pPr>
        <w:autoSpaceDE w:val="0"/>
        <w:autoSpaceDN w:val="0"/>
        <w:adjustRightInd w:val="0"/>
        <w:spacing w:line="480" w:lineRule="exact"/>
        <w:ind w:firstLine="538" w:firstLineChars="224"/>
        <w:rPr>
          <w:rFonts w:ascii="宋体" w:hAnsi="宋体" w:cs="宋体"/>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3.6 备选投标方案</w:t>
      </w:r>
      <w:r>
        <w:rPr>
          <w:rFonts w:hint="eastAsia" w:ascii="宋体" w:hAnsi="宋体"/>
          <w:b/>
          <w:color w:val="000000" w:themeColor="text1"/>
          <w:sz w:val="24"/>
          <w:lang w:eastAsia="zh-CN"/>
          <w14:textFill>
            <w14:solidFill>
              <w14:schemeClr w14:val="tx1"/>
            </w14:solidFill>
          </w14:textFill>
        </w:rPr>
        <w:t>:</w:t>
      </w:r>
      <w:r>
        <w:rPr>
          <w:rFonts w:hint="eastAsia" w:ascii="宋体" w:hAnsi="宋体" w:cs="宋体"/>
          <w:color w:val="000000" w:themeColor="text1"/>
          <w:sz w:val="24"/>
          <w:lang w:eastAsia="zh-CN"/>
          <w14:textFill>
            <w14:solidFill>
              <w14:schemeClr w14:val="tx1"/>
            </w14:solidFill>
          </w14:textFill>
        </w:rPr>
        <w:t>不适用</w:t>
      </w:r>
    </w:p>
    <w:p>
      <w:pPr>
        <w:autoSpaceDE w:val="0"/>
        <w:autoSpaceDN w:val="0"/>
        <w:adjustRightInd w:val="0"/>
        <w:spacing w:line="48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3.7 投标文件的编制</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3.7.1 投标文件应按第六章“投标文件格式”进行编写，如有必要，可以增加附页，作为投标文件的组成部分。</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3.7.2 投标文件应对招标文件有关勘察设计服务期限、投标有效期、质量要求、安全目标、发包人要求、招标范围等实质性内容作出响应。</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3.7.3 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其中，投标函及对投标文件的澄清和说明应加盖投标人单位章，或由投标人的法定代表人或其委托代理人签字。</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如果投标文件由委托代理人签署，则投标人须提交授权委托书，授权委托书应按第六章“投标文件格式”的要求出具，并由法定代表人和委托代理人亲笔签名，不得使用印章、签名章或其他电子制版签名代替。</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如果由投标人的法定代表人亲自签署投标文件，则投标人须提交法定代表人身份证明，身份证明应符合第六章“投标文件格式”的要求。</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以联合体形式参与投标的，投标文件由联合体牵头人的法定代表人或其委托代理人按上述规定签署并加盖联合体牵头人单位章。法定代表人授权委托书或法定代表人身份证明须由联合体牵头人按上述规定出具。</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投标文件应尽量避免涂改、行间插字或删除。如果出现上述情况，改动之处应由投标人的法定代表人或其授权的代理人签字或盖单位章。</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3.7.4 投标文件正本一份, 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3.7.5 投标文件的正本与副本应分别装订成册（A4 纸幅，其中技术建议书采用标准图框 A3 幅面，单独装订成册），编制目录并逐页标注连续页码。投标文件不得采用活页夹装订，否则，招标人对由于投标文件装订松散而造成的丢失或其他后果不承担任何责任。装订的其他要求见投标人须知前附表。</w:t>
      </w:r>
    </w:p>
    <w:p>
      <w:pPr>
        <w:autoSpaceDE w:val="0"/>
        <w:autoSpaceDN w:val="0"/>
        <w:adjustRightInd w:val="0"/>
        <w:spacing w:line="460" w:lineRule="exact"/>
        <w:ind w:firstLine="672" w:firstLineChars="224"/>
        <w:rPr>
          <w:rFonts w:ascii="宋体" w:hAnsi="宋体"/>
          <w:b/>
          <w:color w:val="000000" w:themeColor="text1"/>
          <w:sz w:val="30"/>
          <w:szCs w:val="30"/>
          <w:lang w:eastAsia="zh-CN"/>
          <w14:textFill>
            <w14:solidFill>
              <w14:schemeClr w14:val="tx1"/>
            </w14:solidFill>
          </w14:textFill>
        </w:rPr>
      </w:pPr>
      <w:r>
        <w:rPr>
          <w:rFonts w:ascii="宋体" w:hAnsi="宋体"/>
          <w:b/>
          <w:color w:val="000000" w:themeColor="text1"/>
          <w:sz w:val="30"/>
          <w:szCs w:val="30"/>
          <w:lang w:eastAsia="zh-CN"/>
          <w14:textFill>
            <w14:solidFill>
              <w14:schemeClr w14:val="tx1"/>
            </w14:solidFill>
          </w14:textFill>
        </w:rPr>
        <w:t>4. 投标</w:t>
      </w:r>
    </w:p>
    <w:p>
      <w:pPr>
        <w:autoSpaceDE w:val="0"/>
        <w:autoSpaceDN w:val="0"/>
        <w:adjustRightInd w:val="0"/>
        <w:spacing w:line="46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 4.1 投标文件的密封和标识</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4.1.1 投标文件应采用双信封形式密封。投标文件第一个信封（商务及技术文件）以及第二个信封（报价文件）应单独密封包装。商务文件、技术文件的正本与副本应统一密封在一个封套中。报价文件的正本与副本以及投标文件电子版文件应统一密封在另一个封套中。封套应加贴封条，并在封套的封口处加盖投标人单位章或由投标人的法定代表人或其委托代理人签字。</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采用银行保函形式提交投标保证金的，银行保函原件应密封在单独的封套中。</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4.1.2 投标文件第一个信封（商务及技术文件）、第二个信封（报价文件）以及银行保函封套上应写明的内容见投标人须知前附表。</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4.1.3 未按本章第 4.1.1 项要求密封的投标文件，招标人将予以拒收。</w:t>
      </w:r>
    </w:p>
    <w:p>
      <w:pPr>
        <w:autoSpaceDE w:val="0"/>
        <w:autoSpaceDN w:val="0"/>
        <w:adjustRightInd w:val="0"/>
        <w:spacing w:line="46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 4.2 投标文件的递交</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4.2.1 投标人应在</w:t>
      </w:r>
      <w:r>
        <w:rPr>
          <w:rFonts w:hint="eastAsia" w:ascii="宋体" w:hAnsi="宋体" w:cs="宋体"/>
          <w:color w:val="000000" w:themeColor="text1"/>
          <w:sz w:val="24"/>
          <w:lang w:eastAsia="zh-CN"/>
          <w14:textFill>
            <w14:solidFill>
              <w14:schemeClr w14:val="tx1"/>
            </w14:solidFill>
          </w14:textFill>
        </w:rPr>
        <w:t>招</w:t>
      </w:r>
      <w:r>
        <w:rPr>
          <w:rFonts w:ascii="宋体" w:hAnsi="宋体" w:cs="宋体"/>
          <w:color w:val="000000" w:themeColor="text1"/>
          <w:sz w:val="24"/>
          <w:lang w:eastAsia="zh-CN"/>
          <w14:textFill>
            <w14:solidFill>
              <w14:schemeClr w14:val="tx1"/>
            </w14:solidFill>
          </w14:textFill>
        </w:rPr>
        <w:t>标文件规定的投标截止时间前递交投标文件。</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4.2.2 投标人递交投标文件的地点：见</w:t>
      </w:r>
      <w:r>
        <w:rPr>
          <w:rFonts w:hint="eastAsia" w:ascii="宋体" w:hAnsi="宋体" w:cs="宋体"/>
          <w:color w:val="000000" w:themeColor="text1"/>
          <w:sz w:val="24"/>
          <w:lang w:eastAsia="zh-CN"/>
          <w14:textFill>
            <w14:solidFill>
              <w14:schemeClr w14:val="tx1"/>
            </w14:solidFill>
          </w14:textFill>
        </w:rPr>
        <w:t>招</w:t>
      </w:r>
      <w:r>
        <w:rPr>
          <w:rFonts w:ascii="宋体" w:hAnsi="宋体" w:cs="宋体"/>
          <w:color w:val="000000" w:themeColor="text1"/>
          <w:sz w:val="24"/>
          <w:lang w:eastAsia="zh-CN"/>
          <w14:textFill>
            <w14:solidFill>
              <w14:schemeClr w14:val="tx1"/>
            </w14:solidFill>
          </w14:textFill>
        </w:rPr>
        <w:t>标文件投标人须知前附表。</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4.2.3 除投标人须知前附表另有规定外，投标人所递交的投标文件不予退还。投标人少于 3 个的，投标文件当场退还给投标人。</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4.2.4 招标人收到投标文件后，向投标人出具签收凭证。</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4.2.5 逾期送达的或未送达指定地点的投标文件，招标人将予以拒收。</w:t>
      </w:r>
    </w:p>
    <w:p>
      <w:pPr>
        <w:autoSpaceDE w:val="0"/>
        <w:autoSpaceDN w:val="0"/>
        <w:adjustRightInd w:val="0"/>
        <w:spacing w:line="46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 4.3 投标文件的修改与撤回</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4.3.1 在本章第 4.2.1 项规定的投标截止时间前，投标人可以修改或撤回已递交的投标文件，但应以书面形式通知招标人。</w:t>
      </w:r>
    </w:p>
    <w:p>
      <w:pPr>
        <w:autoSpaceDE w:val="0"/>
        <w:autoSpaceDN w:val="0"/>
        <w:adjustRightInd w:val="0"/>
        <w:spacing w:line="460" w:lineRule="exact"/>
        <w:ind w:firstLine="720" w:firstLineChars="3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4.3.2 投标人修改或撤回已递交投标文件的书面通知应按照本章第 3.7.3 项的要求签字或盖章。招标人收到书面通知后，向投标人出具签收凭证。</w:t>
      </w:r>
    </w:p>
    <w:p>
      <w:pPr>
        <w:autoSpaceDE w:val="0"/>
        <w:autoSpaceDN w:val="0"/>
        <w:adjustRightInd w:val="0"/>
        <w:spacing w:line="46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4.3.3 投标人撤回投标文件的，招标人自收到投标人书面撤回通知之日起5日内退还已收取的投标保证金。</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4.3.4 修改的内容为投标文件的组成部分。修改的投标文件应按照本章第 3 条、第 4 条的规定进行编制、密封、标记和递交，并标明“修改”字样。</w:t>
      </w:r>
    </w:p>
    <w:p>
      <w:pPr>
        <w:autoSpaceDE w:val="0"/>
        <w:autoSpaceDN w:val="0"/>
        <w:adjustRightInd w:val="0"/>
        <w:spacing w:line="480" w:lineRule="exact"/>
        <w:ind w:firstLine="600" w:firstLineChars="200"/>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30"/>
          <w:szCs w:val="30"/>
          <w:lang w:eastAsia="zh-CN"/>
          <w14:textFill>
            <w14:solidFill>
              <w14:schemeClr w14:val="tx1"/>
            </w14:solidFill>
          </w14:textFill>
        </w:rPr>
        <w:t xml:space="preserve"> 5. 开标</w:t>
      </w:r>
    </w:p>
    <w:p>
      <w:pPr>
        <w:autoSpaceDE w:val="0"/>
        <w:autoSpaceDN w:val="0"/>
        <w:adjustRightInd w:val="0"/>
        <w:spacing w:line="480" w:lineRule="exact"/>
        <w:ind w:firstLine="538" w:firstLineChars="224"/>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5.1 开标时间和地点</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招标人在本章第 4.2.1 项规定的投标截止时间（开标时间）和投标人须知前附表规定的地点对收到的投标文件第一个信封（商务及技术文件）公开开标，并邀请所有投标人的法定代表人或其委托代理人准时参加。</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人在投标人须知前附表规定的时间和地点对投标文件第二个信封（报价文件）公开开标，并邀请所有投标人的法定代表人或其委托代理人准时参加。投标人若未派法定代表人或委托代理人出席开标活动，视为该投标人默认开标结果。</w:t>
      </w:r>
    </w:p>
    <w:p>
      <w:pPr>
        <w:autoSpaceDE w:val="0"/>
        <w:autoSpaceDN w:val="0"/>
        <w:adjustRightInd w:val="0"/>
        <w:spacing w:line="480" w:lineRule="exact"/>
        <w:ind w:firstLine="480" w:firstLineChars="200"/>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5.2 开标程序</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5.2.1 主持人按下列程序对投标文件第一个信封（商务及技术文件）进行开标：</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（1）宣布开标纪律；</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（2）公布在投标截止时间前递交投标文件的投标人数量；</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（3）宣布开标人、唱标人、记录人等有关人员姓名；</w:t>
      </w:r>
    </w:p>
    <w:p>
      <w:pPr>
        <w:autoSpaceDE w:val="0"/>
        <w:autoSpaceDN w:val="0"/>
        <w:adjustRightInd w:val="0"/>
        <w:spacing w:line="480" w:lineRule="exact"/>
        <w:ind w:left="502" w:leftChars="228"/>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按照投标人须知前附表规定由投标人推选的代表检查投标文件的密封情况；（5）按照投标人须知前附表规定的开标顺序当众开标，投标人名称、投标保证金的递交情况、勘察设计服务期限及其他内容，并记录在案；</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（6）投标人代表、招标人代表、记录人等有关人员在开标记录上签字确认；</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（7）开标结束。 5.2.2 在投标文件第一个信封（商务及技术文件）开标现场，投标文件第二个信封（报价文件）不予开封，由招标人密封保存。</w:t>
      </w:r>
    </w:p>
    <w:p>
      <w:pPr>
        <w:autoSpaceDE w:val="0"/>
        <w:autoSpaceDN w:val="0"/>
        <w:adjustRightInd w:val="0"/>
        <w:spacing w:line="480" w:lineRule="exact"/>
        <w:ind w:firstLine="465"/>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5.2.3 招标人将按照本章第 5.1 款规定的时间和地点对投标文件第二个信封（报价文件）进行开标。主持人按下列程序进行开标：</w:t>
      </w:r>
    </w:p>
    <w:p>
      <w:pPr>
        <w:autoSpaceDE w:val="0"/>
        <w:autoSpaceDN w:val="0"/>
        <w:adjustRightInd w:val="0"/>
        <w:spacing w:line="480" w:lineRule="exact"/>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（1）宣布开标纪律；</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（2）当众拆开投标文件第一个信封（商务及技术文件）评审结果的密封袋，宣布通过投标文件第一个信封（商务及技术文件）评审的投标人名单；</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（3）宣布开标人、唱标人、记录人等有关人员姓名；</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（4）按照投标人须知前附表规定由投标人推选的代表检查投标文件的密封情况；</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（5）按照投标人须知前附表规定的开标顺序当众开标，开标人只拆封通过投标文件第一个信封（商务及技术文件）评审的投标文件第二个信封（报价文件），投标人名称、投标报价及其他内容，并记录在案；</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（6）计算并宣布评标基准价；</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（7）将未通过投标文件第一个信封（商务及技术文件）评审的投标文件第二个信封（报价文件）退还给投标人；</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（8）投标人代表、招标人代表、记录人等有关人员在开标记录上签字确认；</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（9）开标结束。</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5.2.4 在投标文件第二个信封（报价文件）开标现场，招标人将按第三章“评标办法”规定的原则计算并宣布评标基准价。若招标人发现投标文件出现以下任一情况，其投标报价将不再参加评标基准价的计算：</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（1）未在投标函上填写投标总价；</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（2）投标报价超出招标人公布的最高投标限价；</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（3）投标报价的大写金额无法确定具体数值；</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投标函上填写的标段号与投标文件封套上标记的标段号不一致。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5.2.5 在投标文件第一个信封（商务及技术文件）或第二个信封（报价文件）开标过程中，若招标人宣读的内容与投标文件不符，投标人有权在开标现场提出疑问，经招标人当场核查确认之后，可重新宣读其投标文件。若投标人现场未提出疑问，则认为投标人已确认招标人宣读的内容。</w:t>
      </w:r>
    </w:p>
    <w:p>
      <w:pPr>
        <w:autoSpaceDE w:val="0"/>
        <w:autoSpaceDN w:val="0"/>
        <w:adjustRightInd w:val="0"/>
        <w:spacing w:line="46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5.3 开标异议投标人对开标有异议的，应在开标现场提出，招标人当场作出答复，并制作记录，有异议的投标人代表、招标人代表、记录人等有关人员在记录上签字确认。</w:t>
      </w:r>
    </w:p>
    <w:p>
      <w:pPr>
        <w:autoSpaceDE w:val="0"/>
        <w:autoSpaceDN w:val="0"/>
        <w:adjustRightInd w:val="0"/>
        <w:spacing w:line="460" w:lineRule="exact"/>
        <w:ind w:firstLine="600" w:firstLineChars="200"/>
        <w:rPr>
          <w:rFonts w:ascii="宋体" w:hAnsi="宋体"/>
          <w:b/>
          <w:color w:val="000000" w:themeColor="text1"/>
          <w:sz w:val="30"/>
          <w:szCs w:val="30"/>
          <w:lang w:eastAsia="zh-CN"/>
          <w14:textFill>
            <w14:solidFill>
              <w14:schemeClr w14:val="tx1"/>
            </w14:solidFill>
          </w14:textFill>
        </w:rPr>
      </w:pPr>
      <w:r>
        <w:rPr>
          <w:rFonts w:ascii="宋体" w:hAnsi="宋体"/>
          <w:b/>
          <w:color w:val="000000" w:themeColor="text1"/>
          <w:sz w:val="30"/>
          <w:szCs w:val="30"/>
          <w:lang w:eastAsia="zh-CN"/>
          <w14:textFill>
            <w14:solidFill>
              <w14:schemeClr w14:val="tx1"/>
            </w14:solidFill>
          </w14:textFill>
        </w:rPr>
        <w:t>6. 评标</w:t>
      </w:r>
    </w:p>
    <w:p>
      <w:pPr>
        <w:autoSpaceDE w:val="0"/>
        <w:autoSpaceDN w:val="0"/>
        <w:adjustRightInd w:val="0"/>
        <w:spacing w:line="460" w:lineRule="exact"/>
        <w:ind w:firstLine="480" w:firstLineChars="200"/>
        <w:rPr>
          <w:rFonts w:ascii="宋体" w:hAnsi="宋体"/>
          <w:b/>
          <w:color w:val="000000" w:themeColor="text1"/>
          <w:sz w:val="24"/>
          <w:lang w:eastAsia="zh-CN"/>
          <w14:textFill>
            <w14:solidFill>
              <w14:schemeClr w14:val="tx1"/>
            </w14:solidFill>
          </w14:textFill>
        </w:rPr>
      </w:pPr>
      <w:r>
        <w:rPr>
          <w:rFonts w:ascii="宋体" w:hAnsi="宋体"/>
          <w:b/>
          <w:color w:val="000000" w:themeColor="text1"/>
          <w:sz w:val="24"/>
          <w:lang w:eastAsia="zh-CN"/>
          <w14:textFill>
            <w14:solidFill>
              <w14:schemeClr w14:val="tx1"/>
            </w14:solidFill>
          </w14:textFill>
        </w:rPr>
        <w:t xml:space="preserve"> 6.1 评标委员会</w:t>
      </w:r>
    </w:p>
    <w:p>
      <w:pPr>
        <w:autoSpaceDE w:val="0"/>
        <w:autoSpaceDN w:val="0"/>
        <w:adjustRightInd w:val="0"/>
        <w:spacing w:line="460" w:lineRule="exact"/>
        <w:ind w:firstLine="240" w:firstLineChars="100"/>
        <w:rPr>
          <w:rFonts w:ascii="宋体" w:hAnsi="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6.1.1 评标由依法组建的评标委员会负责。评标委员会成员人数以及技术、经济等方面专家的确定方式见投标人须知前附表。</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6.1.2 评标委员会成员有下列情形之一的，应主动提出回避：</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（1）为负责招标项目监督管理的交通运输主管部门的工作人员；</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（2）与投标人法定代表人或其委托代理人有近亲属关系；</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（3）为投标人的工作人员或退休人员；</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（4）与投标人有其他利害关系，可能影响评标活动公正性；</w:t>
      </w:r>
    </w:p>
    <w:p>
      <w:pPr>
        <w:autoSpaceDE w:val="0"/>
        <w:autoSpaceDN w:val="0"/>
        <w:adjustRightInd w:val="0"/>
        <w:spacing w:line="480" w:lineRule="exact"/>
        <w:ind w:left="491" w:leftChars="114" w:hanging="240" w:hanging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（5）在与招标投标有关的活动中有过违法违规行为、曾受过行政处罚或刑事处</w:t>
      </w:r>
    </w:p>
    <w:p>
      <w:pPr>
        <w:autoSpaceDE w:val="0"/>
        <w:autoSpaceDN w:val="0"/>
        <w:adjustRightInd w:val="0"/>
        <w:spacing w:line="480" w:lineRule="exact"/>
        <w:ind w:firstLine="499" w:firstLineChars="208"/>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6.1.3 评标过程中，评标委员会成员有回避事由、擅离职守或因健康等原因不能继续评标的，招标人有权更换。被更换的评标委员会成员作出的评审结论无效，由更换后的评标委员会成员重新进行评审。</w:t>
      </w:r>
    </w:p>
    <w:p>
      <w:pPr>
        <w:autoSpaceDE w:val="0"/>
        <w:autoSpaceDN w:val="0"/>
        <w:adjustRightInd w:val="0"/>
        <w:spacing w:line="480" w:lineRule="exact"/>
        <w:ind w:firstLine="240" w:firstLineChars="1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6.2 评标原则</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评标活动遵循公平、公正、科学和择优的原则。</w:t>
      </w:r>
    </w:p>
    <w:p>
      <w:pPr>
        <w:autoSpaceDE w:val="0"/>
        <w:autoSpaceDN w:val="0"/>
        <w:adjustRightInd w:val="0"/>
        <w:spacing w:line="480" w:lineRule="exact"/>
        <w:ind w:firstLine="240" w:firstLineChars="1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6.3 评标</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6.3.1 评标委员会按照第三章“评标办法”规定的方法、评审因素、标准和程序对投标文件进行评审。第三章“评标办法”没有规定的方法、评审因素和标准，不作为评标依据。</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6.3.2 评标完成后，评标委员会应向招标人提交书面评标报告和中标候选人名单。评标委员会推荐中标候选人的人数见投标人须知前附表。</w:t>
      </w:r>
    </w:p>
    <w:p>
      <w:pPr>
        <w:autoSpaceDE w:val="0"/>
        <w:autoSpaceDN w:val="0"/>
        <w:adjustRightInd w:val="0"/>
        <w:spacing w:line="480" w:lineRule="exact"/>
        <w:ind w:firstLine="300" w:firstLineChars="100"/>
        <w:rPr>
          <w:rFonts w:ascii="宋体" w:hAnsi="宋体" w:cs="宋体"/>
          <w:b/>
          <w:bCs/>
          <w:color w:val="000000" w:themeColor="text1"/>
          <w:sz w:val="30"/>
          <w:szCs w:val="30"/>
          <w:lang w:eastAsia="zh-CN"/>
          <w14:textFill>
            <w14:solidFill>
              <w14:schemeClr w14:val="tx1"/>
            </w14:solidFill>
          </w14:textFill>
        </w:rPr>
      </w:pPr>
      <w:r>
        <w:rPr>
          <w:rFonts w:ascii="宋体" w:hAnsi="宋体" w:cs="宋体"/>
          <w:b/>
          <w:bCs/>
          <w:color w:val="000000" w:themeColor="text1"/>
          <w:sz w:val="30"/>
          <w:szCs w:val="30"/>
          <w:lang w:eastAsia="zh-CN"/>
          <w14:textFill>
            <w14:solidFill>
              <w14:schemeClr w14:val="tx1"/>
            </w14:solidFill>
          </w14:textFill>
        </w:rPr>
        <w:t xml:space="preserve"> 7. 合同授予</w:t>
      </w:r>
    </w:p>
    <w:p>
      <w:pPr>
        <w:autoSpaceDE w:val="0"/>
        <w:autoSpaceDN w:val="0"/>
        <w:adjustRightInd w:val="0"/>
        <w:spacing w:line="480" w:lineRule="exact"/>
        <w:ind w:firstLine="240" w:firstLineChars="1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7.1 中标候选人公示</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招标人在收到评标报告之日起 3 日内，按照投标人须知前附表规定的公示媒介和期限公示中标候选人，公示期不得少于 3 日，公示内容包括：</w:t>
      </w:r>
    </w:p>
    <w:p>
      <w:pPr>
        <w:numPr>
          <w:ilvl w:val="0"/>
          <w:numId w:val="2"/>
        </w:num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中标候选人排序、名称、投标报价，对勘察设计质量要求、安全目标和勘察设计服务期限的响应情况；</w:t>
      </w:r>
    </w:p>
    <w:p>
      <w:pPr>
        <w:numPr>
          <w:ilvl w:val="0"/>
          <w:numId w:val="2"/>
        </w:num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中标候选人在投标文件中承诺的项目负责人姓名、个人业绩、相关证书名称和编号；</w:t>
      </w:r>
    </w:p>
    <w:p>
      <w:pPr>
        <w:autoSpaceDE w:val="0"/>
        <w:autoSpaceDN w:val="0"/>
        <w:adjustRightInd w:val="0"/>
        <w:spacing w:line="480" w:lineRule="exact"/>
        <w:ind w:left="220" w:left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（3）中标候选人在投标文件中填报的项目业绩；</w:t>
      </w:r>
    </w:p>
    <w:p>
      <w:pPr>
        <w:autoSpaceDE w:val="0"/>
        <w:autoSpaceDN w:val="0"/>
        <w:adjustRightInd w:val="0"/>
        <w:spacing w:line="480" w:lineRule="exact"/>
        <w:ind w:left="220" w:left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（4）被否决投标的投标人名称、否决依据和原因；</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（5）提出异议的渠道和方式；</w:t>
      </w:r>
    </w:p>
    <w:p>
      <w:pPr>
        <w:autoSpaceDE w:val="0"/>
        <w:autoSpaceDN w:val="0"/>
        <w:adjustRightInd w:val="0"/>
        <w:spacing w:line="480" w:lineRule="exact"/>
        <w:ind w:firstLine="240" w:firstLineChars="1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（6）投标人须知前附表规定公示的其他内容。</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7.2 评标结果异议</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投标人或其他利害关系人对依法必须进行招标的项目的评标结果有异议的，应在中标候选人公示期间提出。招标人将在收到异议之日起 3 日内作出答复；作出答复前，将暂停招标投标活动。</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7.3 中标候选人履约能力审查</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7.4 定标</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按照投标人须知前附表的规定，招标人或招标人授权的评标委员会依法确定中标人。</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7.5 中标通知</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在本章第 3.3 款规定的投标有效期内，招标人以投标人须知前附表规定的形式向中标人发出中标通知书，同时将中标结果通知未中标的投标人。</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7.6 中标结果公告</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招标人在确定中标人之日起 3 日内，按照投标人须知前附表规定的公告媒介和期限公告中标结果，公告期不得少于 3 日。公告内容包括中标人名称、中标价。</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7.7 技术成果经济补偿</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招标人对符合招标文件规定的未中标人的技术成果进行补偿的，招标人将按投标人须知前附表规定的标准给予经济补偿，未中标人在投标文件中声明放弃技术成果经济补偿费的除外。招标人将于中标通知书发出后 30 日内向未中标人支付技术成果经济补偿费。</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7.8 履约保证金</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7.8.1 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w:t>
      </w:r>
      <w:r>
        <w:rPr>
          <w:rFonts w:hint="eastAsia" w:ascii="宋体" w:hAnsi="宋体" w:cs="宋体"/>
          <w:color w:val="000000" w:themeColor="text1"/>
          <w:sz w:val="24"/>
          <w:lang w:eastAsia="zh-CN"/>
          <w14:textFill>
            <w14:solidFill>
              <w14:schemeClr w14:val="tx1"/>
            </w14:solidFill>
          </w14:textFill>
        </w:rPr>
        <w:t>10</w:t>
      </w:r>
      <w:r>
        <w:rPr>
          <w:rFonts w:ascii="宋体" w:hAnsi="宋体" w:cs="宋体"/>
          <w:color w:val="000000" w:themeColor="text1"/>
          <w:sz w:val="24"/>
          <w:lang w:eastAsia="zh-CN"/>
          <w14:textFill>
            <w14:solidFill>
              <w14:schemeClr w14:val="tx1"/>
            </w14:solidFill>
          </w14:textFill>
        </w:rPr>
        <w:t>%。联合体中标的，其履约保证金以联合体各方或联合体中牵头人的名义提交。采用银行保函时，应由符合投标人须知前附表规定级别的银行开具，所需的费用由中标人承担，中标人应保证银行保函有效。</w:t>
      </w:r>
    </w:p>
    <w:p>
      <w:pPr>
        <w:autoSpaceDE w:val="0"/>
        <w:autoSpaceDN w:val="0"/>
        <w:adjustRightInd w:val="0"/>
        <w:spacing w:line="480" w:lineRule="exact"/>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7.8.2 中标人不能按本章第 7.8.1 项要求提交履约保证金的，视为放弃中标，其投标保证金不予退还，给招标人造成的损失超过投标保证金数额的，中标人还应对超过部分予以赔偿。</w:t>
      </w:r>
    </w:p>
    <w:p>
      <w:pPr>
        <w:autoSpaceDE w:val="0"/>
        <w:autoSpaceDN w:val="0"/>
        <w:adjustRightInd w:val="0"/>
        <w:spacing w:line="480" w:lineRule="exact"/>
        <w:rPr>
          <w:rFonts w:ascii="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7.8.3政府投资建设项目招标人按规定不能再商业银行出具工程款支付担保函或者财政部门不能出具工程款支付担保证明书的，招标人应与招标人签订支付工程款的承诺协议，作为支付担保的依据。</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p>
    <w:p>
      <w:pPr>
        <w:autoSpaceDE w:val="0"/>
        <w:autoSpaceDN w:val="0"/>
        <w:adjustRightInd w:val="0"/>
        <w:spacing w:line="46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7.9 签订合同</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7.9.1 招标人和中标人应在中标通知书发出之日起 30 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7.9.2 发出中标通知书后，招标人无正当理由拒签合同，或在签订合同时向中标人提出附加条件的，招标人向中标人退还投标保证金；给中标人造成损失的，还应赔偿损失。招标人不得以压低勘察设计费、增加工作量、缩短勘察设计服务期限等作为中标的条件，不得与中标人再行订立背离合同实质性内容的其他协议。</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7.9.3 签约合同价的确定原则如下：</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（1）按照评标办法规定对投标报价进行修正后，若修正后的最终投标报价小于开标时的投标函大写金额报价，则签订合同时以修正后的最终投标报价为准；</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（2）按照评标办法规定对投标报价进行修正后，若修正后的最终投标报价大于开标时的投标函大写金额报价，则签订合同时以开标时的投标函大写金额报价为准，同时按比例修正相应子目的单价或合价。</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7.9.4 联合体中标的，联合体各方应共同与招标人签订合同，就中标项目向招标人承担连带责任。</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7.9.5 招标人和中标人在签订合同协议书的同时，须按照本招标文件规定的格式和要求签订廉政合同，明确双方在廉政建设方面的权利和义务以及应承担的违约责任。</w:t>
      </w:r>
    </w:p>
    <w:p>
      <w:pPr>
        <w:autoSpaceDE w:val="0"/>
        <w:autoSpaceDN w:val="0"/>
        <w:adjustRightInd w:val="0"/>
        <w:spacing w:line="46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8. 纪律和监督</w:t>
      </w:r>
    </w:p>
    <w:p>
      <w:pPr>
        <w:autoSpaceDE w:val="0"/>
        <w:autoSpaceDN w:val="0"/>
        <w:adjustRightInd w:val="0"/>
        <w:spacing w:line="46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8.1 对招标人的纪律要求</w:t>
      </w:r>
    </w:p>
    <w:p>
      <w:pPr>
        <w:autoSpaceDE w:val="0"/>
        <w:autoSpaceDN w:val="0"/>
        <w:adjustRightInd w:val="0"/>
        <w:spacing w:line="46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招标人不得泄露招标投标活动中应保密的情况和资料，不得与投标人串通损害国家利益、社会公共利益或他人合法权益。</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8.2 对投标人的纪律要求</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投标人不得相互串通投标或与招标人串通投标，不得向招标人或评标委员会成员行贿谋取中标，不得以他人名义投标或以其他方式弄虚作假骗取中标；投标人不得以任何方式干扰、影响评标工作。</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8.3 对评标委员会成员的纪律要求</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8.4 对与评标活动有关的工作人员的纪律要求</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 xml:space="preserve"> 8.5 投诉</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 xml:space="preserve"> 8.5.1 投标人或其他利害关系人认为招标投标活动不符合法律、行政法规规定的，可以自知道或应当知道之日起 10 日内向有关行政监督部门投诉。投诉应有明确的请求和必要的证明材料。</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监督部门的联系方式见投标人须知前附表。</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8.5.2 投标人或其他利害关系人对招标文件、开标和评标结果提出投诉的，应按照本章第 2.4 款、第 5.3 款和第 7.2 款的规定先向招标人提出异议。异议答复期间不计算在第 8.5.1 项规定的期限内。</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ascii="宋体" w:hAnsi="宋体" w:cs="宋体"/>
          <w:b/>
          <w:bCs/>
          <w:color w:val="000000" w:themeColor="text1"/>
          <w:sz w:val="24"/>
          <w:lang w:eastAsia="zh-CN"/>
          <w14:textFill>
            <w14:solidFill>
              <w14:schemeClr w14:val="tx1"/>
            </w14:solidFill>
          </w14:textFill>
        </w:rPr>
        <w:t>9.是否采用电子招标投标</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本招标项目是否采用电子招标投标方式，见投标人须知前见附表。</w:t>
      </w:r>
    </w:p>
    <w:p>
      <w:pPr>
        <w:autoSpaceDE w:val="0"/>
        <w:autoSpaceDN w:val="0"/>
        <w:adjustRightInd w:val="0"/>
        <w:spacing w:line="480" w:lineRule="exact"/>
        <w:ind w:firstLine="480" w:firstLineChars="200"/>
        <w:rPr>
          <w:rFonts w:ascii="宋体" w:hAnsi="宋体" w:cs="宋体"/>
          <w:b/>
          <w:bCs/>
          <w:color w:val="000000" w:themeColor="text1"/>
          <w:sz w:val="24"/>
          <w:lang w:eastAsia="zh-CN"/>
          <w14:textFill>
            <w14:solidFill>
              <w14:schemeClr w14:val="tx1"/>
            </w14:solidFill>
          </w14:textFill>
        </w:rPr>
      </w:pPr>
      <w:r>
        <w:rPr>
          <w:rFonts w:hint="eastAsia" w:ascii="宋体" w:hAnsi="宋体" w:cs="宋体"/>
          <w:b/>
          <w:bCs/>
          <w:color w:val="000000" w:themeColor="text1"/>
          <w:sz w:val="24"/>
          <w:lang w:eastAsia="zh-CN"/>
          <w14:textFill>
            <w14:solidFill>
              <w14:schemeClr w14:val="tx1"/>
            </w14:solidFill>
          </w14:textFill>
        </w:rPr>
        <w:t>10.</w:t>
      </w:r>
      <w:r>
        <w:rPr>
          <w:rFonts w:ascii="宋体" w:hAnsi="宋体" w:cs="宋体"/>
          <w:b/>
          <w:bCs/>
          <w:color w:val="000000" w:themeColor="text1"/>
          <w:sz w:val="24"/>
          <w:lang w:eastAsia="zh-CN"/>
          <w14:textFill>
            <w14:solidFill>
              <w14:schemeClr w14:val="tx1"/>
            </w14:solidFill>
          </w14:textFill>
        </w:rPr>
        <w:t>需要补充的其他内容</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10</w:t>
      </w:r>
      <w:r>
        <w:rPr>
          <w:rFonts w:ascii="宋体" w:hAnsi="宋体" w:cs="宋体"/>
          <w:color w:val="000000" w:themeColor="text1"/>
          <w:sz w:val="24"/>
          <w:lang w:eastAsia="zh-CN"/>
          <w14:textFill>
            <w14:solidFill>
              <w14:schemeClr w14:val="tx1"/>
            </w14:solidFill>
          </w14:textFill>
        </w:rPr>
        <w:t>.1 投标人应保证其提供的联系方式（电话、传真、电子邮件）一直有效，以便及时收到招标人发出的函件(招标文件的澄清、修改等)，并应及时向招标人反馈信息，否则招标人不承担由此引起的一切后果。</w:t>
      </w:r>
    </w:p>
    <w:p>
      <w:pPr>
        <w:autoSpaceDE w:val="0"/>
        <w:autoSpaceDN w:val="0"/>
        <w:adjustRightInd w:val="0"/>
        <w:spacing w:line="480" w:lineRule="exact"/>
        <w:ind w:firstLine="480" w:firstLineChars="200"/>
        <w:rPr>
          <w:rFonts w:ascii="宋体" w:hAnsi="宋体" w:cs="宋体"/>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需要补充的其他内容：见投标人须知前附表。</w:t>
      </w: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spacing w:before="7"/>
        <w:rPr>
          <w:rFonts w:ascii="宋体" w:hAnsi="宋体" w:eastAsia="宋体" w:cs="宋体"/>
          <w:color w:val="000000" w:themeColor="text1"/>
          <w:sz w:val="16"/>
          <w:szCs w:val="16"/>
          <w:lang w:eastAsia="zh-CN"/>
          <w14:textFill>
            <w14:solidFill>
              <w14:schemeClr w14:val="tx1"/>
            </w14:solidFill>
          </w14:textFill>
        </w:rPr>
      </w:pPr>
    </w:p>
    <w:p>
      <w:pPr>
        <w:pStyle w:val="4"/>
        <w:spacing w:before="45"/>
        <w:ind w:left="226" w:right="115"/>
        <w:rPr>
          <w:color w:val="000000" w:themeColor="text1"/>
          <w:sz w:val="12"/>
          <w:szCs w:val="12"/>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br w:type="page"/>
      </w:r>
      <w:r>
        <w:rPr>
          <w:rFonts w:ascii="黑体" w:hAnsi="黑体" w:eastAsia="黑体" w:cs="黑体"/>
          <w:color w:val="000000" w:themeColor="text1"/>
          <w:lang w:eastAsia="zh-CN"/>
          <w14:textFill>
            <w14:solidFill>
              <w14:schemeClr w14:val="tx1"/>
            </w14:solidFill>
          </w14:textFill>
        </w:rPr>
        <w:t xml:space="preserve">附件一：开标记录表 </w:t>
      </w:r>
    </w:p>
    <w:p>
      <w:pPr>
        <w:pStyle w:val="13"/>
        <w:tabs>
          <w:tab w:val="left" w:pos="1206"/>
          <w:tab w:val="left" w:pos="3445"/>
        </w:tabs>
        <w:spacing w:before="181" w:line="288" w:lineRule="auto"/>
        <w:ind w:left="3906" w:right="115" w:hanging="3681"/>
        <w:jc w:val="center"/>
        <w:rPr>
          <w:rFonts w:ascii="Times New Roman" w:hAnsi="Times New Roman" w:eastAsia="Times New Roman"/>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阳西县儒洞镇边海村进村大桥工程勘察设计招标</w:t>
      </w:r>
    </w:p>
    <w:p>
      <w:pPr>
        <w:pStyle w:val="13"/>
        <w:tabs>
          <w:tab w:val="left" w:pos="1206"/>
          <w:tab w:val="left" w:pos="3445"/>
        </w:tabs>
        <w:spacing w:before="181" w:line="288" w:lineRule="auto"/>
        <w:ind w:left="3906" w:right="115" w:hanging="3681"/>
        <w:jc w:val="center"/>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第一个信封（商务及技术文件）</w:t>
      </w:r>
      <w:r>
        <w:rPr>
          <w:color w:val="000000" w:themeColor="text1"/>
          <w:lang w:eastAsia="zh-CN"/>
          <w14:textFill>
            <w14:solidFill>
              <w14:schemeClr w14:val="tx1"/>
            </w14:solidFill>
          </w14:textFill>
        </w:rPr>
        <w:t xml:space="preserve"> 开标记录表</w:t>
      </w:r>
    </w:p>
    <w:p>
      <w:pPr>
        <w:pStyle w:val="4"/>
        <w:tabs>
          <w:tab w:val="left" w:pos="6346"/>
          <w:tab w:val="left" w:pos="6946"/>
          <w:tab w:val="left" w:pos="7546"/>
          <w:tab w:val="left" w:pos="8146"/>
          <w:tab w:val="left" w:pos="8746"/>
        </w:tabs>
        <w:spacing w:before="64" w:after="55"/>
        <w:ind w:left="4786" w:right="115"/>
        <w:rPr>
          <w:color w:val="000000" w:themeColor="text1"/>
          <w14:textFill>
            <w14:solidFill>
              <w14:schemeClr w14:val="tx1"/>
            </w14:solidFill>
          </w14:textFill>
        </w:rPr>
      </w:pPr>
      <w:r>
        <w:rPr>
          <w:color w:val="000000" w:themeColor="text1"/>
          <w14:textFill>
            <w14:solidFill>
              <w14:schemeClr w14:val="tx1"/>
            </w14:solidFill>
          </w14:textFill>
        </w:rPr>
        <w:t>开标时间：</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年</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月</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日</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时</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分</w:t>
      </w:r>
    </w:p>
    <w:tbl>
      <w:tblPr>
        <w:tblStyle w:val="23"/>
        <w:tblW w:w="8879" w:type="dxa"/>
        <w:jc w:val="center"/>
        <w:tblLayout w:type="fixed"/>
        <w:tblCellMar>
          <w:top w:w="0" w:type="dxa"/>
          <w:left w:w="0" w:type="dxa"/>
          <w:bottom w:w="0" w:type="dxa"/>
          <w:right w:w="0" w:type="dxa"/>
        </w:tblCellMar>
      </w:tblPr>
      <w:tblGrid>
        <w:gridCol w:w="695"/>
        <w:gridCol w:w="1412"/>
        <w:gridCol w:w="1072"/>
        <w:gridCol w:w="1070"/>
        <w:gridCol w:w="1072"/>
        <w:gridCol w:w="885"/>
        <w:gridCol w:w="1051"/>
        <w:gridCol w:w="708"/>
        <w:gridCol w:w="914"/>
      </w:tblGrid>
      <w:tr>
        <w:trPr>
          <w:trHeight w:val="869" w:hRule="exact"/>
          <w:jc w:val="center"/>
        </w:trPr>
        <w:tc>
          <w:tcPr>
            <w:tcW w:w="695" w:type="dxa"/>
            <w:vMerge w:val="restart"/>
            <w:tcBorders>
              <w:top w:val="single" w:color="010101" w:sz="4" w:space="0"/>
              <w:left w:val="single" w:color="010101" w:sz="4" w:space="0"/>
              <w:right w:val="single" w:color="010101" w:sz="4" w:space="0"/>
            </w:tcBorders>
          </w:tcPr>
          <w:p>
            <w:pPr>
              <w:pStyle w:val="27"/>
              <w:spacing w:before="4"/>
              <w:jc w:val="center"/>
              <w:rPr>
                <w:rFonts w:ascii="宋体" w:hAnsi="宋体" w:eastAsia="宋体" w:cs="宋体"/>
                <w:color w:val="000000" w:themeColor="text1"/>
                <w:sz w:val="31"/>
                <w:szCs w:val="31"/>
                <w14:textFill>
                  <w14:solidFill>
                    <w14:schemeClr w14:val="tx1"/>
                  </w14:solidFill>
                </w14:textFill>
              </w:rPr>
            </w:pPr>
          </w:p>
          <w:p>
            <w:pPr>
              <w:pStyle w:val="27"/>
              <w:ind w:left="100"/>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序号</w:t>
            </w:r>
          </w:p>
        </w:tc>
        <w:tc>
          <w:tcPr>
            <w:tcW w:w="1412" w:type="dxa"/>
            <w:vMerge w:val="restart"/>
            <w:tcBorders>
              <w:top w:val="single" w:color="010101" w:sz="4" w:space="0"/>
              <w:left w:val="single" w:color="010101" w:sz="4" w:space="0"/>
              <w:right w:val="single" w:color="010101" w:sz="4" w:space="0"/>
            </w:tcBorders>
          </w:tcPr>
          <w:p>
            <w:pPr>
              <w:pStyle w:val="27"/>
              <w:spacing w:before="4"/>
              <w:jc w:val="center"/>
              <w:rPr>
                <w:rFonts w:ascii="宋体" w:hAnsi="宋体" w:eastAsia="宋体" w:cs="宋体"/>
                <w:color w:val="000000" w:themeColor="text1"/>
                <w:sz w:val="31"/>
                <w:szCs w:val="31"/>
                <w14:textFill>
                  <w14:solidFill>
                    <w14:schemeClr w14:val="tx1"/>
                  </w14:solidFill>
                </w14:textFill>
              </w:rPr>
            </w:pPr>
          </w:p>
          <w:p>
            <w:pPr>
              <w:pStyle w:val="27"/>
              <w:ind w:left="340"/>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投标人</w:t>
            </w:r>
          </w:p>
        </w:tc>
        <w:tc>
          <w:tcPr>
            <w:tcW w:w="1072" w:type="dxa"/>
            <w:vMerge w:val="restart"/>
            <w:tcBorders>
              <w:top w:val="single" w:color="010101" w:sz="4" w:space="0"/>
              <w:left w:val="single" w:color="010101" w:sz="4" w:space="0"/>
              <w:right w:val="single" w:color="010101" w:sz="4" w:space="0"/>
            </w:tcBorders>
          </w:tcPr>
          <w:p>
            <w:pPr>
              <w:pStyle w:val="27"/>
              <w:spacing w:before="4"/>
              <w:jc w:val="center"/>
              <w:rPr>
                <w:rFonts w:ascii="宋体" w:hAnsi="宋体" w:eastAsia="宋体" w:cs="宋体"/>
                <w:color w:val="000000" w:themeColor="text1"/>
                <w:sz w:val="31"/>
                <w:szCs w:val="31"/>
                <w14:textFill>
                  <w14:solidFill>
                    <w14:schemeClr w14:val="tx1"/>
                  </w14:solidFill>
                </w14:textFill>
              </w:rPr>
            </w:pPr>
          </w:p>
          <w:p>
            <w:pPr>
              <w:pStyle w:val="27"/>
              <w:ind w:left="50"/>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密封情况</w:t>
            </w:r>
          </w:p>
        </w:tc>
        <w:tc>
          <w:tcPr>
            <w:tcW w:w="1070" w:type="dxa"/>
            <w:vMerge w:val="restart"/>
            <w:tcBorders>
              <w:top w:val="single" w:color="010101" w:sz="4" w:space="0"/>
              <w:left w:val="single" w:color="010101" w:sz="4" w:space="0"/>
              <w:right w:val="single" w:color="010101" w:sz="4" w:space="0"/>
            </w:tcBorders>
          </w:tcPr>
          <w:p>
            <w:pPr>
              <w:pStyle w:val="27"/>
              <w:spacing w:before="189" w:line="276" w:lineRule="auto"/>
              <w:ind w:left="289" w:right="169" w:hanging="120"/>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正副本 份数</w:t>
            </w:r>
          </w:p>
        </w:tc>
        <w:tc>
          <w:tcPr>
            <w:tcW w:w="1072" w:type="dxa"/>
            <w:vMerge w:val="restart"/>
            <w:tcBorders>
              <w:top w:val="single" w:color="010101" w:sz="4" w:space="0"/>
              <w:left w:val="single" w:color="010101" w:sz="4" w:space="0"/>
              <w:right w:val="single" w:color="010101" w:sz="4" w:space="0"/>
            </w:tcBorders>
          </w:tcPr>
          <w:p>
            <w:pPr>
              <w:pStyle w:val="27"/>
              <w:spacing w:before="9" w:line="276" w:lineRule="auto"/>
              <w:ind w:left="50" w:right="49"/>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投标保证 金递交情 况</w:t>
            </w:r>
          </w:p>
        </w:tc>
        <w:tc>
          <w:tcPr>
            <w:tcW w:w="1936" w:type="dxa"/>
            <w:gridSpan w:val="2"/>
            <w:tcBorders>
              <w:top w:val="single" w:color="010101" w:sz="4" w:space="0"/>
              <w:left w:val="single" w:color="010101" w:sz="4" w:space="0"/>
              <w:bottom w:val="single" w:color="auto" w:sz="4" w:space="0"/>
              <w:right w:val="single" w:color="010101" w:sz="4" w:space="0"/>
            </w:tcBorders>
          </w:tcPr>
          <w:p>
            <w:pPr>
              <w:pStyle w:val="27"/>
              <w:spacing w:before="189" w:line="276" w:lineRule="auto"/>
              <w:ind w:left="379" w:right="379"/>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服务期</w:t>
            </w:r>
            <w:r>
              <w:rPr>
                <w:rFonts w:ascii="宋体" w:hAnsi="宋体" w:eastAsia="宋体" w:cs="宋体"/>
                <w:color w:val="000000" w:themeColor="text1"/>
                <w:sz w:val="24"/>
                <w:szCs w:val="24"/>
                <w14:textFill>
                  <w14:solidFill>
                    <w14:schemeClr w14:val="tx1"/>
                  </w14:solidFill>
                </w14:textFill>
              </w:rPr>
              <w:t>服务期限</w:t>
            </w:r>
          </w:p>
        </w:tc>
        <w:tc>
          <w:tcPr>
            <w:tcW w:w="708" w:type="dxa"/>
            <w:vMerge w:val="restart"/>
            <w:tcBorders>
              <w:top w:val="single" w:color="010101" w:sz="4" w:space="0"/>
              <w:left w:val="single" w:color="010101" w:sz="4" w:space="0"/>
              <w:right w:val="single" w:color="010101" w:sz="4" w:space="0"/>
            </w:tcBorders>
          </w:tcPr>
          <w:p>
            <w:pPr>
              <w:pStyle w:val="27"/>
              <w:spacing w:before="4"/>
              <w:jc w:val="center"/>
              <w:rPr>
                <w:rFonts w:ascii="宋体" w:hAnsi="宋体" w:eastAsia="宋体" w:cs="宋体"/>
                <w:color w:val="000000" w:themeColor="text1"/>
                <w:sz w:val="31"/>
                <w:szCs w:val="31"/>
                <w14:textFill>
                  <w14:solidFill>
                    <w14:schemeClr w14:val="tx1"/>
                  </w14:solidFill>
                </w14:textFill>
              </w:rPr>
            </w:pPr>
          </w:p>
          <w:p>
            <w:pPr>
              <w:pStyle w:val="27"/>
              <w:ind w:left="212"/>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备注</w:t>
            </w:r>
          </w:p>
        </w:tc>
        <w:tc>
          <w:tcPr>
            <w:tcW w:w="914" w:type="dxa"/>
            <w:vMerge w:val="restart"/>
            <w:tcBorders>
              <w:top w:val="single" w:color="010101" w:sz="4" w:space="0"/>
              <w:left w:val="single" w:color="010101" w:sz="4" w:space="0"/>
              <w:right w:val="single" w:color="010101" w:sz="4" w:space="0"/>
            </w:tcBorders>
          </w:tcPr>
          <w:p>
            <w:pPr>
              <w:pStyle w:val="27"/>
              <w:spacing w:before="9" w:line="276" w:lineRule="auto"/>
              <w:ind w:left="91" w:right="91"/>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投标人 代表签 名</w:t>
            </w:r>
          </w:p>
        </w:tc>
      </w:tr>
      <w:tr>
        <w:tblPrEx>
          <w:tblCellMar>
            <w:top w:w="0" w:type="dxa"/>
            <w:left w:w="0" w:type="dxa"/>
            <w:bottom w:w="0" w:type="dxa"/>
            <w:right w:w="0" w:type="dxa"/>
          </w:tblCellMar>
        </w:tblPrEx>
        <w:trPr>
          <w:trHeight w:val="840" w:hRule="exact"/>
          <w:jc w:val="center"/>
        </w:trPr>
        <w:tc>
          <w:tcPr>
            <w:tcW w:w="695" w:type="dxa"/>
            <w:vMerge w:val="continue"/>
            <w:tcBorders>
              <w:left w:val="single" w:color="010101" w:sz="4" w:space="0"/>
              <w:bottom w:val="single" w:color="010101" w:sz="4" w:space="0"/>
              <w:right w:val="single" w:color="010101" w:sz="4" w:space="0"/>
            </w:tcBorders>
          </w:tcPr>
          <w:p>
            <w:pPr>
              <w:pStyle w:val="27"/>
              <w:ind w:left="100"/>
              <w:rPr>
                <w:rFonts w:ascii="宋体" w:hAnsi="宋体" w:eastAsia="宋体" w:cs="宋体"/>
                <w:color w:val="000000" w:themeColor="text1"/>
                <w:sz w:val="24"/>
                <w:szCs w:val="24"/>
                <w14:textFill>
                  <w14:solidFill>
                    <w14:schemeClr w14:val="tx1"/>
                  </w14:solidFill>
                </w14:textFill>
              </w:rPr>
            </w:pPr>
          </w:p>
        </w:tc>
        <w:tc>
          <w:tcPr>
            <w:tcW w:w="1412" w:type="dxa"/>
            <w:vMerge w:val="continue"/>
            <w:tcBorders>
              <w:left w:val="single" w:color="010101" w:sz="4" w:space="0"/>
              <w:bottom w:val="single" w:color="010101" w:sz="4" w:space="0"/>
              <w:right w:val="single" w:color="010101" w:sz="4" w:space="0"/>
            </w:tcBorders>
          </w:tcPr>
          <w:p>
            <w:pPr>
              <w:pStyle w:val="27"/>
              <w:ind w:left="340"/>
              <w:rPr>
                <w:rFonts w:ascii="宋体" w:hAnsi="宋体" w:eastAsia="宋体" w:cs="宋体"/>
                <w:color w:val="000000" w:themeColor="text1"/>
                <w:sz w:val="24"/>
                <w:szCs w:val="24"/>
                <w14:textFill>
                  <w14:solidFill>
                    <w14:schemeClr w14:val="tx1"/>
                  </w14:solidFill>
                </w14:textFill>
              </w:rPr>
            </w:pPr>
          </w:p>
        </w:tc>
        <w:tc>
          <w:tcPr>
            <w:tcW w:w="1072" w:type="dxa"/>
            <w:vMerge w:val="continue"/>
            <w:tcBorders>
              <w:left w:val="single" w:color="010101" w:sz="4" w:space="0"/>
              <w:bottom w:val="single" w:color="010101" w:sz="4" w:space="0"/>
              <w:right w:val="single" w:color="010101" w:sz="4" w:space="0"/>
            </w:tcBorders>
          </w:tcPr>
          <w:p>
            <w:pPr>
              <w:pStyle w:val="27"/>
              <w:ind w:left="50"/>
              <w:rPr>
                <w:rFonts w:ascii="宋体" w:hAnsi="宋体" w:eastAsia="宋体" w:cs="宋体"/>
                <w:color w:val="000000" w:themeColor="text1"/>
                <w:sz w:val="24"/>
                <w:szCs w:val="24"/>
                <w14:textFill>
                  <w14:solidFill>
                    <w14:schemeClr w14:val="tx1"/>
                  </w14:solidFill>
                </w14:textFill>
              </w:rPr>
            </w:pPr>
          </w:p>
        </w:tc>
        <w:tc>
          <w:tcPr>
            <w:tcW w:w="1070" w:type="dxa"/>
            <w:vMerge w:val="continue"/>
            <w:tcBorders>
              <w:left w:val="single" w:color="010101" w:sz="4" w:space="0"/>
              <w:bottom w:val="single" w:color="010101" w:sz="4" w:space="0"/>
              <w:right w:val="single" w:color="010101" w:sz="4" w:space="0"/>
            </w:tcBorders>
          </w:tcPr>
          <w:p>
            <w:pPr>
              <w:pStyle w:val="27"/>
              <w:spacing w:before="189" w:line="276" w:lineRule="auto"/>
              <w:ind w:left="289" w:right="169" w:hanging="120"/>
              <w:rPr>
                <w:rFonts w:ascii="宋体" w:hAnsi="宋体" w:eastAsia="宋体" w:cs="宋体"/>
                <w:color w:val="000000" w:themeColor="text1"/>
                <w:sz w:val="24"/>
                <w:szCs w:val="24"/>
                <w14:textFill>
                  <w14:solidFill>
                    <w14:schemeClr w14:val="tx1"/>
                  </w14:solidFill>
                </w14:textFill>
              </w:rPr>
            </w:pPr>
          </w:p>
        </w:tc>
        <w:tc>
          <w:tcPr>
            <w:tcW w:w="1072" w:type="dxa"/>
            <w:vMerge w:val="continue"/>
            <w:tcBorders>
              <w:left w:val="single" w:color="010101" w:sz="4" w:space="0"/>
              <w:bottom w:val="single" w:color="010101" w:sz="4" w:space="0"/>
              <w:right w:val="single" w:color="010101" w:sz="4" w:space="0"/>
            </w:tcBorders>
          </w:tcPr>
          <w:p>
            <w:pPr>
              <w:pStyle w:val="27"/>
              <w:spacing w:before="9" w:line="276" w:lineRule="auto"/>
              <w:ind w:left="50" w:right="49"/>
              <w:jc w:val="center"/>
              <w:rPr>
                <w:rFonts w:ascii="宋体" w:hAnsi="宋体" w:eastAsia="宋体" w:cs="宋体"/>
                <w:color w:val="000000" w:themeColor="text1"/>
                <w:sz w:val="24"/>
                <w:szCs w:val="24"/>
                <w14:textFill>
                  <w14:solidFill>
                    <w14:schemeClr w14:val="tx1"/>
                  </w14:solidFill>
                </w14:textFill>
              </w:rPr>
            </w:pPr>
          </w:p>
        </w:tc>
        <w:tc>
          <w:tcPr>
            <w:tcW w:w="885" w:type="dxa"/>
            <w:tcBorders>
              <w:top w:val="single" w:color="auto" w:sz="4" w:space="0"/>
              <w:left w:val="single" w:color="010101" w:sz="4" w:space="0"/>
              <w:bottom w:val="single" w:color="010101" w:sz="4" w:space="0"/>
              <w:right w:val="single" w:color="auto" w:sz="4" w:space="0"/>
            </w:tcBorders>
          </w:tcPr>
          <w:p>
            <w:pPr>
              <w:pStyle w:val="27"/>
              <w:spacing w:before="189" w:line="276" w:lineRule="auto"/>
              <w:ind w:right="379"/>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设计</w:t>
            </w:r>
          </w:p>
        </w:tc>
        <w:tc>
          <w:tcPr>
            <w:tcW w:w="1051" w:type="dxa"/>
            <w:tcBorders>
              <w:top w:val="single" w:color="auto" w:sz="4" w:space="0"/>
              <w:left w:val="single" w:color="auto" w:sz="4" w:space="0"/>
              <w:bottom w:val="single" w:color="010101" w:sz="4" w:space="0"/>
              <w:right w:val="single" w:color="010101" w:sz="4" w:space="0"/>
            </w:tcBorders>
          </w:tcPr>
          <w:p>
            <w:pPr>
              <w:pStyle w:val="27"/>
              <w:spacing w:before="189" w:line="276" w:lineRule="auto"/>
              <w:ind w:right="379"/>
              <w:jc w:val="center"/>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勘察</w:t>
            </w:r>
          </w:p>
        </w:tc>
        <w:tc>
          <w:tcPr>
            <w:tcW w:w="708" w:type="dxa"/>
            <w:vMerge w:val="continue"/>
            <w:tcBorders>
              <w:left w:val="single" w:color="010101" w:sz="4" w:space="0"/>
              <w:bottom w:val="single" w:color="010101" w:sz="4" w:space="0"/>
              <w:right w:val="single" w:color="010101" w:sz="4" w:space="0"/>
            </w:tcBorders>
          </w:tcPr>
          <w:p>
            <w:pPr>
              <w:pStyle w:val="27"/>
              <w:ind w:left="212"/>
              <w:rPr>
                <w:rFonts w:ascii="宋体" w:hAnsi="宋体" w:eastAsia="宋体" w:cs="宋体"/>
                <w:color w:val="000000" w:themeColor="text1"/>
                <w:sz w:val="24"/>
                <w:szCs w:val="24"/>
                <w14:textFill>
                  <w14:solidFill>
                    <w14:schemeClr w14:val="tx1"/>
                  </w14:solidFill>
                </w14:textFill>
              </w:rPr>
            </w:pPr>
          </w:p>
        </w:tc>
        <w:tc>
          <w:tcPr>
            <w:tcW w:w="914" w:type="dxa"/>
            <w:vMerge w:val="continue"/>
            <w:tcBorders>
              <w:left w:val="single" w:color="010101" w:sz="4" w:space="0"/>
              <w:bottom w:val="single" w:color="010101" w:sz="4" w:space="0"/>
              <w:right w:val="single" w:color="010101" w:sz="4" w:space="0"/>
            </w:tcBorders>
          </w:tcPr>
          <w:p>
            <w:pPr>
              <w:pStyle w:val="27"/>
              <w:spacing w:before="9" w:line="276" w:lineRule="auto"/>
              <w:ind w:left="91" w:right="91"/>
              <w:jc w:val="center"/>
              <w:rPr>
                <w:rFonts w:ascii="宋体" w:hAnsi="宋体" w:eastAsia="宋体" w:cs="宋体"/>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blPrEx>
          <w:tblCellMar>
            <w:top w:w="0" w:type="dxa"/>
            <w:left w:w="0" w:type="dxa"/>
            <w:bottom w:w="0" w:type="dxa"/>
            <w:right w:w="0" w:type="dxa"/>
          </w:tblCellMar>
        </w:tblPrEx>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70" w:hRule="exact"/>
          <w:jc w:val="center"/>
        </w:trPr>
        <w:tc>
          <w:tcPr>
            <w:tcW w:w="695"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1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0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936" w:type="dxa"/>
            <w:gridSpan w:val="2"/>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708"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1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bl>
    <w:p>
      <w:pPr>
        <w:spacing w:before="2"/>
        <w:rPr>
          <w:rFonts w:ascii="宋体" w:hAnsi="宋体" w:eastAsia="宋体" w:cs="宋体"/>
          <w:color w:val="000000" w:themeColor="text1"/>
          <w:sz w:val="28"/>
          <w:szCs w:val="28"/>
          <w14:textFill>
            <w14:solidFill>
              <w14:schemeClr w14:val="tx1"/>
            </w14:solidFill>
          </w14:textFill>
        </w:rPr>
      </w:pPr>
    </w:p>
    <w:p>
      <w:pPr>
        <w:pStyle w:val="4"/>
        <w:tabs>
          <w:tab w:val="left" w:pos="3226"/>
          <w:tab w:val="left" w:pos="6466"/>
          <w:tab w:val="left" w:pos="8986"/>
        </w:tabs>
        <w:ind w:left="226" w:right="115"/>
        <w:rPr>
          <w:rFonts w:ascii="Times New Roman" w:hAns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招标人代表：</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记录人：</w:t>
      </w:r>
      <w:r>
        <w:rPr>
          <w:rFonts w:ascii="Times New Roman" w:hAnsi="Times New Roman" w:eastAsia="Times New Roman"/>
          <w:color w:val="000000" w:themeColor="text1"/>
          <w:u w:val="single" w:color="010101"/>
          <w:lang w:eastAsia="zh-CN"/>
          <w14:textFill>
            <w14:solidFill>
              <w14:schemeClr w14:val="tx1"/>
            </w14:solidFill>
          </w14:textFill>
        </w:rPr>
        <w:tab/>
      </w:r>
    </w:p>
    <w:p>
      <w:pPr>
        <w:spacing w:before="4"/>
        <w:rPr>
          <w:rFonts w:ascii="Times New Roman" w:hAnsi="Times New Roman" w:eastAsia="Times New Roman"/>
          <w:color w:val="000000" w:themeColor="text1"/>
          <w:sz w:val="24"/>
          <w:szCs w:val="24"/>
          <w:lang w:eastAsia="zh-CN"/>
          <w14:textFill>
            <w14:solidFill>
              <w14:schemeClr w14:val="tx1"/>
            </w14:solidFill>
          </w14:textFill>
        </w:rPr>
      </w:pPr>
    </w:p>
    <w:p>
      <w:pPr>
        <w:pStyle w:val="4"/>
        <w:tabs>
          <w:tab w:val="left" w:pos="6226"/>
          <w:tab w:val="left" w:pos="7306"/>
          <w:tab w:val="left" w:pos="8746"/>
        </w:tabs>
        <w:ind w:left="5026" w:right="115"/>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p>
    <w:p>
      <w:pPr>
        <w:spacing w:before="1"/>
        <w:jc w:val="center"/>
        <w:rPr>
          <w:rFonts w:ascii="宋体" w:hAnsi="宋体" w:eastAsia="宋体" w:cs="宋体"/>
          <w:color w:val="000000" w:themeColor="text1"/>
          <w:sz w:val="10"/>
          <w:szCs w:val="10"/>
          <w:lang w:eastAsia="zh-CN"/>
          <w14:textFill>
            <w14:solidFill>
              <w14:schemeClr w14:val="tx1"/>
            </w14:solidFill>
          </w14:textFill>
        </w:rPr>
      </w:pPr>
    </w:p>
    <w:p>
      <w:pPr>
        <w:pStyle w:val="13"/>
        <w:tabs>
          <w:tab w:val="left" w:pos="1206"/>
          <w:tab w:val="left" w:pos="3445"/>
        </w:tabs>
        <w:spacing w:before="181" w:line="288" w:lineRule="auto"/>
        <w:ind w:left="3906" w:right="115" w:hanging="3681"/>
        <w:jc w:val="center"/>
        <w:rPr>
          <w:rFonts w:ascii="宋体" w:hAnsi="宋体" w:eastAsia="宋体" w:cs="宋体"/>
          <w:color w:val="000000" w:themeColor="text1"/>
          <w:u w:val="single" w:color="010101"/>
          <w:lang w:eastAsia="zh-CN"/>
          <w14:textFill>
            <w14:solidFill>
              <w14:schemeClr w14:val="tx1"/>
            </w14:solidFill>
          </w14:textFill>
        </w:rPr>
      </w:pPr>
    </w:p>
    <w:p>
      <w:pPr>
        <w:pStyle w:val="13"/>
        <w:tabs>
          <w:tab w:val="left" w:pos="1206"/>
          <w:tab w:val="left" w:pos="3445"/>
        </w:tabs>
        <w:spacing w:before="181" w:line="288" w:lineRule="auto"/>
        <w:ind w:left="3906" w:right="115" w:hanging="3681"/>
        <w:jc w:val="center"/>
        <w:rPr>
          <w:rFonts w:ascii="Times New Roman" w:hAnsi="Times New Roman" w:eastAsia="Times New Roman"/>
          <w:color w:val="000000" w:themeColor="text1"/>
          <w:u w:val="single" w:color="01010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阳西县儒洞镇边海村进村大桥工程勘察设计招标</w:t>
      </w:r>
    </w:p>
    <w:p>
      <w:pPr>
        <w:pStyle w:val="13"/>
        <w:tabs>
          <w:tab w:val="left" w:pos="985"/>
          <w:tab w:val="left" w:pos="3224"/>
        </w:tabs>
        <w:spacing w:before="0" w:line="351" w:lineRule="exact"/>
        <w:ind w:left="5"/>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第二个信封（报价文件）</w:t>
      </w:r>
    </w:p>
    <w:p>
      <w:pPr>
        <w:spacing w:before="74"/>
        <w:ind w:left="5" w:right="4"/>
        <w:jc w:val="center"/>
        <w:rPr>
          <w:rFonts w:ascii="黑体" w:hAnsi="黑体" w:eastAsia="黑体" w:cs="黑体"/>
          <w:color w:val="000000" w:themeColor="text1"/>
          <w:sz w:val="28"/>
          <w:szCs w:val="28"/>
          <w:lang w:eastAsia="zh-CN"/>
          <w14:textFill>
            <w14:solidFill>
              <w14:schemeClr w14:val="tx1"/>
            </w14:solidFill>
          </w14:textFill>
        </w:rPr>
      </w:pPr>
      <w:r>
        <w:rPr>
          <w:rFonts w:ascii="黑体" w:hAnsi="黑体" w:eastAsia="黑体" w:cs="黑体"/>
          <w:color w:val="000000" w:themeColor="text1"/>
          <w:sz w:val="28"/>
          <w:szCs w:val="28"/>
          <w:lang w:eastAsia="zh-CN"/>
          <w14:textFill>
            <w14:solidFill>
              <w14:schemeClr w14:val="tx1"/>
            </w14:solidFill>
          </w14:textFill>
        </w:rPr>
        <w:t>开标记录表</w:t>
      </w:r>
    </w:p>
    <w:p>
      <w:pPr>
        <w:pStyle w:val="4"/>
        <w:tabs>
          <w:tab w:val="left" w:pos="5885"/>
          <w:tab w:val="left" w:pos="6485"/>
          <w:tab w:val="left" w:pos="7085"/>
          <w:tab w:val="left" w:pos="7685"/>
          <w:tab w:val="left" w:pos="8285"/>
        </w:tabs>
        <w:spacing w:before="120" w:after="54"/>
        <w:ind w:left="4325" w:right="84"/>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开标时间：</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时</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分</w:t>
      </w:r>
    </w:p>
    <w:tbl>
      <w:tblPr>
        <w:tblStyle w:val="23"/>
        <w:tblW w:w="8522" w:type="dxa"/>
        <w:jc w:val="center"/>
        <w:tblLayout w:type="fixed"/>
        <w:tblCellMar>
          <w:top w:w="0" w:type="dxa"/>
          <w:left w:w="0" w:type="dxa"/>
          <w:bottom w:w="0" w:type="dxa"/>
          <w:right w:w="0" w:type="dxa"/>
        </w:tblCellMar>
      </w:tblPr>
      <w:tblGrid>
        <w:gridCol w:w="572"/>
        <w:gridCol w:w="1162"/>
        <w:gridCol w:w="1100"/>
        <w:gridCol w:w="1259"/>
        <w:gridCol w:w="1259"/>
        <w:gridCol w:w="954"/>
        <w:gridCol w:w="816"/>
        <w:gridCol w:w="1400"/>
      </w:tblGrid>
      <w:tr>
        <w:trPr>
          <w:trHeight w:val="1091" w:hRule="exact"/>
          <w:jc w:val="center"/>
        </w:trPr>
        <w:tc>
          <w:tcPr>
            <w:tcW w:w="572" w:type="dxa"/>
            <w:tcBorders>
              <w:top w:val="single" w:color="010101" w:sz="4" w:space="0"/>
              <w:left w:val="single" w:color="010101" w:sz="4" w:space="0"/>
              <w:bottom w:val="single" w:color="010101" w:sz="4" w:space="0"/>
              <w:right w:val="single" w:color="010101" w:sz="4" w:space="0"/>
            </w:tcBorders>
          </w:tcPr>
          <w:p>
            <w:pPr>
              <w:pStyle w:val="27"/>
              <w:spacing w:before="4"/>
              <w:rPr>
                <w:rFonts w:ascii="宋体" w:hAnsi="宋体" w:eastAsia="宋体" w:cs="宋体"/>
                <w:color w:val="000000" w:themeColor="text1"/>
                <w:sz w:val="31"/>
                <w:szCs w:val="31"/>
                <w:lang w:eastAsia="zh-CN"/>
                <w14:textFill>
                  <w14:solidFill>
                    <w14:schemeClr w14:val="tx1"/>
                  </w14:solidFill>
                </w14:textFill>
              </w:rPr>
            </w:pPr>
          </w:p>
          <w:p>
            <w:pPr>
              <w:pStyle w:val="27"/>
              <w:ind w:left="39"/>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序号</w:t>
            </w:r>
          </w:p>
        </w:tc>
        <w:tc>
          <w:tcPr>
            <w:tcW w:w="1162" w:type="dxa"/>
            <w:tcBorders>
              <w:top w:val="single" w:color="010101" w:sz="4" w:space="0"/>
              <w:left w:val="single" w:color="010101" w:sz="4" w:space="0"/>
              <w:bottom w:val="single" w:color="010101" w:sz="4" w:space="0"/>
              <w:right w:val="single" w:color="010101" w:sz="4" w:space="0"/>
            </w:tcBorders>
          </w:tcPr>
          <w:p>
            <w:pPr>
              <w:pStyle w:val="27"/>
              <w:spacing w:before="4"/>
              <w:rPr>
                <w:rFonts w:ascii="宋体" w:hAnsi="宋体" w:eastAsia="宋体" w:cs="宋体"/>
                <w:color w:val="000000" w:themeColor="text1"/>
                <w:sz w:val="31"/>
                <w:szCs w:val="31"/>
                <w14:textFill>
                  <w14:solidFill>
                    <w14:schemeClr w14:val="tx1"/>
                  </w14:solidFill>
                </w14:textFill>
              </w:rPr>
            </w:pPr>
          </w:p>
          <w:p>
            <w:pPr>
              <w:pStyle w:val="27"/>
              <w:ind w:left="21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投标人</w:t>
            </w:r>
          </w:p>
        </w:tc>
        <w:tc>
          <w:tcPr>
            <w:tcW w:w="1100" w:type="dxa"/>
            <w:tcBorders>
              <w:top w:val="single" w:color="010101" w:sz="4" w:space="0"/>
              <w:left w:val="single" w:color="010101" w:sz="4" w:space="0"/>
              <w:bottom w:val="single" w:color="010101" w:sz="4" w:space="0"/>
              <w:right w:val="single" w:color="010101" w:sz="4" w:space="0"/>
            </w:tcBorders>
          </w:tcPr>
          <w:p>
            <w:pPr>
              <w:pStyle w:val="27"/>
              <w:spacing w:before="4"/>
              <w:rPr>
                <w:rFonts w:ascii="宋体" w:hAnsi="宋体" w:eastAsia="宋体" w:cs="宋体"/>
                <w:color w:val="000000" w:themeColor="text1"/>
                <w:sz w:val="31"/>
                <w:szCs w:val="31"/>
                <w14:textFill>
                  <w14:solidFill>
                    <w14:schemeClr w14:val="tx1"/>
                  </w14:solidFill>
                </w14:textFill>
              </w:rPr>
            </w:pPr>
          </w:p>
          <w:p>
            <w:pPr>
              <w:pStyle w:val="27"/>
              <w:ind w:left="64"/>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密封情况</w:t>
            </w:r>
          </w:p>
        </w:tc>
        <w:tc>
          <w:tcPr>
            <w:tcW w:w="1259" w:type="dxa"/>
            <w:tcBorders>
              <w:top w:val="single" w:color="010101" w:sz="4" w:space="0"/>
              <w:left w:val="single" w:color="010101" w:sz="4" w:space="0"/>
              <w:bottom w:val="single" w:color="010101" w:sz="4" w:space="0"/>
              <w:right w:val="single" w:color="010101" w:sz="4" w:space="0"/>
            </w:tcBorders>
          </w:tcPr>
          <w:p>
            <w:pPr>
              <w:pStyle w:val="27"/>
              <w:spacing w:before="190" w:line="276" w:lineRule="auto"/>
              <w:ind w:left="383" w:right="263" w:hanging="12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正副本 份数</w:t>
            </w:r>
          </w:p>
        </w:tc>
        <w:tc>
          <w:tcPr>
            <w:tcW w:w="1259" w:type="dxa"/>
            <w:tcBorders>
              <w:top w:val="single" w:color="010101" w:sz="4" w:space="0"/>
              <w:left w:val="single" w:color="010101" w:sz="4" w:space="0"/>
              <w:bottom w:val="single" w:color="010101" w:sz="4" w:space="0"/>
              <w:right w:val="single" w:color="010101" w:sz="4" w:space="0"/>
            </w:tcBorders>
          </w:tcPr>
          <w:p>
            <w:pPr>
              <w:pStyle w:val="27"/>
              <w:spacing w:before="160"/>
              <w:ind w:right="1"/>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投标报价</w:t>
            </w:r>
          </w:p>
          <w:p>
            <w:pPr>
              <w:pStyle w:val="27"/>
              <w:spacing w:before="186"/>
              <w:ind w:right="1"/>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（元）</w:t>
            </w:r>
          </w:p>
        </w:tc>
        <w:tc>
          <w:tcPr>
            <w:tcW w:w="954" w:type="dxa"/>
            <w:tcBorders>
              <w:top w:val="single" w:color="010101" w:sz="4" w:space="0"/>
              <w:left w:val="single" w:color="010101" w:sz="4" w:space="0"/>
              <w:bottom w:val="single" w:color="010101" w:sz="4" w:space="0"/>
              <w:right w:val="single" w:color="010101" w:sz="4" w:space="0"/>
            </w:tcBorders>
          </w:tcPr>
          <w:p>
            <w:pPr>
              <w:pStyle w:val="27"/>
              <w:spacing w:before="10" w:line="276" w:lineRule="auto"/>
              <w:ind w:left="-9" w:right="-8"/>
              <w:jc w:val="center"/>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是否超过 最高投标 限价</w:t>
            </w:r>
          </w:p>
        </w:tc>
        <w:tc>
          <w:tcPr>
            <w:tcW w:w="816" w:type="dxa"/>
            <w:tcBorders>
              <w:top w:val="single" w:color="010101" w:sz="4" w:space="0"/>
              <w:left w:val="single" w:color="010101" w:sz="4" w:space="0"/>
              <w:bottom w:val="single" w:color="010101" w:sz="4" w:space="0"/>
              <w:right w:val="single" w:color="010101" w:sz="4" w:space="0"/>
            </w:tcBorders>
          </w:tcPr>
          <w:p>
            <w:pPr>
              <w:pStyle w:val="27"/>
              <w:spacing w:before="4"/>
              <w:rPr>
                <w:rFonts w:ascii="宋体" w:hAnsi="宋体" w:eastAsia="宋体" w:cs="宋体"/>
                <w:color w:val="000000" w:themeColor="text1"/>
                <w:sz w:val="28"/>
                <w:szCs w:val="28"/>
                <w:lang w:eastAsia="zh-CN"/>
                <w14:textFill>
                  <w14:solidFill>
                    <w14:schemeClr w14:val="tx1"/>
                  </w14:solidFill>
                </w14:textFill>
              </w:rPr>
            </w:pPr>
          </w:p>
          <w:p>
            <w:pPr>
              <w:pStyle w:val="27"/>
              <w:ind w:left="161"/>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备注</w:t>
            </w:r>
          </w:p>
        </w:tc>
        <w:tc>
          <w:tcPr>
            <w:tcW w:w="1400" w:type="dxa"/>
            <w:tcBorders>
              <w:top w:val="single" w:color="010101" w:sz="4" w:space="0"/>
              <w:left w:val="single" w:color="010101" w:sz="4" w:space="0"/>
              <w:bottom w:val="single" w:color="010101" w:sz="4" w:space="0"/>
              <w:right w:val="single" w:color="010101" w:sz="4" w:space="0"/>
            </w:tcBorders>
          </w:tcPr>
          <w:p>
            <w:pPr>
              <w:pStyle w:val="27"/>
              <w:spacing w:before="190" w:line="276" w:lineRule="auto"/>
              <w:ind w:left="453" w:right="95" w:hanging="36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投标人代表 签名</w:t>
            </w:r>
          </w:p>
        </w:tc>
      </w:tr>
      <w:tr>
        <w:tblPrEx>
          <w:tblCellMar>
            <w:top w:w="0" w:type="dxa"/>
            <w:left w:w="0" w:type="dxa"/>
            <w:bottom w:w="0" w:type="dxa"/>
            <w:right w:w="0" w:type="dxa"/>
          </w:tblCellMar>
        </w:tblPrEx>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blPrEx>
          <w:tblCellMar>
            <w:top w:w="0" w:type="dxa"/>
            <w:left w:w="0" w:type="dxa"/>
            <w:bottom w:w="0" w:type="dxa"/>
            <w:right w:w="0" w:type="dxa"/>
          </w:tblCellMar>
        </w:tblPrEx>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blPrEx>
          <w:tblCellMar>
            <w:top w:w="0" w:type="dxa"/>
            <w:left w:w="0" w:type="dxa"/>
            <w:bottom w:w="0" w:type="dxa"/>
            <w:right w:w="0" w:type="dxa"/>
          </w:tblCellMar>
        </w:tblPrEx>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blPrEx>
          <w:tblCellMar>
            <w:top w:w="0" w:type="dxa"/>
            <w:left w:w="0" w:type="dxa"/>
            <w:bottom w:w="0" w:type="dxa"/>
            <w:right w:w="0" w:type="dxa"/>
          </w:tblCellMar>
        </w:tblPrEx>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582" w:hRule="exact"/>
          <w:jc w:val="center"/>
        </w:trPr>
        <w:tc>
          <w:tcPr>
            <w:tcW w:w="57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62"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1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259"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954"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816"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c>
          <w:tcPr>
            <w:tcW w:w="1400" w:type="dxa"/>
            <w:tcBorders>
              <w:top w:val="single" w:color="010101" w:sz="4" w:space="0"/>
              <w:left w:val="single" w:color="010101" w:sz="4" w:space="0"/>
              <w:bottom w:val="single" w:color="010101" w:sz="4" w:space="0"/>
              <w:right w:val="single" w:color="010101" w:sz="4" w:space="0"/>
            </w:tcBorders>
          </w:tcPr>
          <w:p>
            <w:pPr>
              <w:rPr>
                <w:color w:val="000000" w:themeColor="text1"/>
                <w14:textFill>
                  <w14:solidFill>
                    <w14:schemeClr w14:val="tx1"/>
                  </w14:solidFill>
                </w14:textFill>
              </w:rPr>
            </w:pPr>
          </w:p>
        </w:tc>
      </w:tr>
      <w:tr>
        <w:trPr>
          <w:trHeight w:val="1046" w:hRule="exact"/>
          <w:jc w:val="center"/>
        </w:trPr>
        <w:tc>
          <w:tcPr>
            <w:tcW w:w="2834" w:type="dxa"/>
            <w:gridSpan w:val="3"/>
            <w:tcBorders>
              <w:top w:val="single" w:color="010101" w:sz="4" w:space="0"/>
              <w:left w:val="single" w:color="010101" w:sz="4" w:space="0"/>
              <w:bottom w:val="single" w:color="010101" w:sz="4" w:space="0"/>
              <w:right w:val="single" w:color="010101" w:sz="4" w:space="0"/>
            </w:tcBorders>
          </w:tcPr>
          <w:p>
            <w:pPr>
              <w:pStyle w:val="27"/>
              <w:spacing w:before="191"/>
              <w:ind w:left="321"/>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招标人编制的最高投标</w:t>
            </w:r>
          </w:p>
          <w:p>
            <w:pPr>
              <w:pStyle w:val="27"/>
              <w:spacing w:before="126"/>
              <w:ind w:left="1281"/>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限价（如有）</w:t>
            </w:r>
          </w:p>
        </w:tc>
        <w:tc>
          <w:tcPr>
            <w:tcW w:w="3472" w:type="dxa"/>
            <w:gridSpan w:val="3"/>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216" w:type="dxa"/>
            <w:gridSpan w:val="2"/>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bl>
    <w:p>
      <w:pPr>
        <w:rPr>
          <w:rFonts w:ascii="宋体" w:hAnsi="宋体" w:eastAsia="宋体" w:cs="宋体"/>
          <w:color w:val="000000" w:themeColor="text1"/>
          <w:sz w:val="20"/>
          <w:szCs w:val="20"/>
          <w:lang w:eastAsia="zh-CN"/>
          <w14:textFill>
            <w14:solidFill>
              <w14:schemeClr w14:val="tx1"/>
            </w14:solidFill>
          </w14:textFill>
        </w:rPr>
      </w:pPr>
    </w:p>
    <w:p>
      <w:pPr>
        <w:spacing w:before="2"/>
        <w:rPr>
          <w:rFonts w:ascii="宋体" w:hAnsi="宋体" w:eastAsia="宋体" w:cs="宋体"/>
          <w:color w:val="000000" w:themeColor="text1"/>
          <w:sz w:val="28"/>
          <w:szCs w:val="28"/>
          <w:lang w:eastAsia="zh-CN"/>
          <w14:textFill>
            <w14:solidFill>
              <w14:schemeClr w14:val="tx1"/>
            </w14:solidFill>
          </w14:textFill>
        </w:rPr>
      </w:pPr>
    </w:p>
    <w:p>
      <w:pPr>
        <w:pStyle w:val="4"/>
        <w:tabs>
          <w:tab w:val="left" w:pos="3218"/>
          <w:tab w:val="left" w:pos="6338"/>
          <w:tab w:val="left" w:pos="8525"/>
        </w:tabs>
        <w:ind w:left="218" w:right="84"/>
        <w:rPr>
          <w:rFonts w:ascii="Times New Roman" w:hAnsi="Times New Roman" w:eastAsia="Times New Roman"/>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招标人代表：</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rFonts w:ascii="Times New Roman" w:hAnsi="Times New Roman" w:eastAsia="Times New Roman"/>
          <w:color w:val="000000" w:themeColor="text1"/>
          <w:spacing w:val="-1"/>
          <w:lang w:eastAsia="zh-CN"/>
          <w14:textFill>
            <w14:solidFill>
              <w14:schemeClr w14:val="tx1"/>
            </w14:solidFill>
          </w14:textFill>
        </w:rPr>
        <w:tab/>
      </w:r>
      <w:r>
        <w:rPr>
          <w:color w:val="000000" w:themeColor="text1"/>
          <w:spacing w:val="-1"/>
          <w:lang w:eastAsia="zh-CN"/>
          <w14:textFill>
            <w14:solidFill>
              <w14:schemeClr w14:val="tx1"/>
            </w14:solidFill>
          </w14:textFill>
        </w:rPr>
        <w:t>记录人：</w:t>
      </w:r>
      <w:r>
        <w:rPr>
          <w:rFonts w:ascii="Times New Roman" w:hAnsi="Times New Roman" w:eastAsia="Times New Roman"/>
          <w:color w:val="000000" w:themeColor="text1"/>
          <w:u w:val="single" w:color="010101"/>
          <w:lang w:eastAsia="zh-CN"/>
          <w14:textFill>
            <w14:solidFill>
              <w14:schemeClr w14:val="tx1"/>
            </w14:solidFill>
          </w14:textFill>
        </w:rPr>
        <w:tab/>
      </w:r>
    </w:p>
    <w:p>
      <w:pPr>
        <w:spacing w:before="4"/>
        <w:rPr>
          <w:rFonts w:ascii="Times New Roman" w:hAnsi="Times New Roman" w:eastAsia="Times New Roman"/>
          <w:color w:val="000000" w:themeColor="text1"/>
          <w:sz w:val="24"/>
          <w:szCs w:val="24"/>
          <w:lang w:eastAsia="zh-CN"/>
          <w14:textFill>
            <w14:solidFill>
              <w14:schemeClr w14:val="tx1"/>
            </w14:solidFill>
          </w14:textFill>
        </w:rPr>
      </w:pPr>
    </w:p>
    <w:p>
      <w:pPr>
        <w:pStyle w:val="4"/>
        <w:tabs>
          <w:tab w:val="left" w:pos="959"/>
          <w:tab w:val="left" w:pos="1679"/>
          <w:tab w:val="left" w:pos="2399"/>
        </w:tabs>
        <w:ind w:left="0" w:right="217"/>
        <w:jc w:val="right"/>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p>
    <w:p>
      <w:pPr>
        <w:jc w:val="right"/>
        <w:rPr>
          <w:color w:val="000000" w:themeColor="text1"/>
          <w:lang w:eastAsia="zh-CN"/>
          <w14:textFill>
            <w14:solidFill>
              <w14:schemeClr w14:val="tx1"/>
            </w14:solidFill>
          </w14:textFill>
        </w:rPr>
        <w:sectPr>
          <w:headerReference r:id="rId10" w:type="default"/>
          <w:footerReference r:id="rId11" w:type="default"/>
          <w:pgSz w:w="11910" w:h="16840"/>
          <w:pgMar w:top="1480" w:right="1580" w:bottom="1520" w:left="1580" w:header="0" w:footer="1338" w:gutter="0"/>
          <w:cols w:space="720" w:num="1"/>
        </w:sectPr>
      </w:pPr>
    </w:p>
    <w:p>
      <w:pPr>
        <w:spacing w:before="10"/>
        <w:rPr>
          <w:rFonts w:ascii="宋体" w:hAnsi="宋体" w:eastAsia="宋体" w:cs="宋体"/>
          <w:color w:val="000000" w:themeColor="text1"/>
          <w:sz w:val="17"/>
          <w:szCs w:val="17"/>
          <w:lang w:eastAsia="zh-CN"/>
          <w14:textFill>
            <w14:solidFill>
              <w14:schemeClr w14:val="tx1"/>
            </w14:solidFill>
          </w14:textFill>
        </w:rPr>
      </w:pPr>
    </w:p>
    <w:p>
      <w:pPr>
        <w:pStyle w:val="4"/>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附件二：问题澄清通知</w:t>
      </w:r>
    </w:p>
    <w:p>
      <w:pPr>
        <w:rPr>
          <w:rFonts w:ascii="黑体" w:hAnsi="黑体" w:eastAsia="黑体" w:cs="黑体"/>
          <w:color w:val="000000" w:themeColor="text1"/>
          <w:sz w:val="20"/>
          <w:szCs w:val="20"/>
          <w:lang w:eastAsia="zh-CN"/>
          <w14:textFill>
            <w14:solidFill>
              <w14:schemeClr w14:val="tx1"/>
            </w14:solidFill>
          </w14:textFill>
        </w:rPr>
      </w:pPr>
    </w:p>
    <w:p>
      <w:pPr>
        <w:spacing w:before="3"/>
        <w:rPr>
          <w:rFonts w:ascii="黑体" w:hAnsi="黑体" w:eastAsia="黑体" w:cs="黑体"/>
          <w:color w:val="000000" w:themeColor="text1"/>
          <w:sz w:val="17"/>
          <w:szCs w:val="17"/>
          <w:lang w:eastAsia="zh-CN"/>
          <w14:textFill>
            <w14:solidFill>
              <w14:schemeClr w14:val="tx1"/>
            </w14:solidFill>
          </w14:textFill>
        </w:rPr>
      </w:pPr>
    </w:p>
    <w:p>
      <w:pPr>
        <w:pStyle w:val="13"/>
        <w:ind w:left="0" w:right="117"/>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问题澄清通知</w:t>
      </w:r>
    </w:p>
    <w:p>
      <w:pPr>
        <w:pStyle w:val="4"/>
        <w:tabs>
          <w:tab w:val="left" w:pos="3059"/>
        </w:tabs>
        <w:spacing w:before="120"/>
        <w:ind w:left="0" w:right="118"/>
        <w:jc w:val="center"/>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（编号：</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p>
    <w:p>
      <w:pPr>
        <w:rPr>
          <w:rFonts w:ascii="宋体" w:hAnsi="宋体" w:eastAsia="宋体" w:cs="宋体"/>
          <w:color w:val="000000" w:themeColor="text1"/>
          <w:sz w:val="20"/>
          <w:szCs w:val="20"/>
          <w:lang w:eastAsia="zh-CN"/>
          <w14:textFill>
            <w14:solidFill>
              <w14:schemeClr w14:val="tx1"/>
            </w14:solidFill>
          </w14:textFill>
        </w:rPr>
      </w:pPr>
    </w:p>
    <w:p>
      <w:pPr>
        <w:spacing w:before="3"/>
        <w:rPr>
          <w:rFonts w:ascii="宋体" w:hAnsi="宋体" w:eastAsia="宋体" w:cs="宋体"/>
          <w:color w:val="000000" w:themeColor="text1"/>
          <w:sz w:val="21"/>
          <w:szCs w:val="21"/>
          <w:lang w:eastAsia="zh-CN"/>
          <w14:textFill>
            <w14:solidFill>
              <w14:schemeClr w14:val="tx1"/>
            </w14:solidFill>
          </w14:textFill>
        </w:rPr>
      </w:pPr>
    </w:p>
    <w:p>
      <w:pPr>
        <w:pStyle w:val="4"/>
        <w:tabs>
          <w:tab w:val="left" w:pos="1918"/>
        </w:tabs>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（投标人名称）：</w:t>
      </w:r>
    </w:p>
    <w:p>
      <w:pPr>
        <w:rPr>
          <w:rFonts w:ascii="宋体" w:hAnsi="宋体" w:eastAsia="宋体" w:cs="宋体"/>
          <w:color w:val="000000" w:themeColor="text1"/>
          <w:sz w:val="20"/>
          <w:szCs w:val="20"/>
          <w:lang w:eastAsia="zh-CN"/>
          <w14:textFill>
            <w14:solidFill>
              <w14:schemeClr w14:val="tx1"/>
            </w14:solidFill>
          </w14:textFill>
        </w:rPr>
      </w:pPr>
    </w:p>
    <w:p>
      <w:pPr>
        <w:spacing w:before="3"/>
        <w:rPr>
          <w:rFonts w:ascii="宋体" w:hAnsi="宋体" w:eastAsia="宋体" w:cs="宋体"/>
          <w:color w:val="000000" w:themeColor="text1"/>
          <w:sz w:val="21"/>
          <w:szCs w:val="21"/>
          <w:lang w:eastAsia="zh-CN"/>
          <w14:textFill>
            <w14:solidFill>
              <w14:schemeClr w14:val="tx1"/>
            </w14:solidFill>
          </w14:textFill>
        </w:rPr>
      </w:pPr>
    </w:p>
    <w:p>
      <w:pPr>
        <w:pStyle w:val="4"/>
        <w:tabs>
          <w:tab w:val="left" w:pos="2591"/>
          <w:tab w:val="left" w:pos="4945"/>
        </w:tabs>
        <w:spacing w:line="336" w:lineRule="auto"/>
        <w:ind w:right="117" w:firstLine="720"/>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项目名称</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标段勘察设计招标的评标委员会， </w:t>
      </w:r>
      <w:r>
        <w:rPr>
          <w:color w:val="000000" w:themeColor="text1"/>
          <w:spacing w:val="-3"/>
          <w:lang w:eastAsia="zh-CN"/>
          <w14:textFill>
            <w14:solidFill>
              <w14:schemeClr w14:val="tx1"/>
            </w14:solidFill>
          </w14:textFill>
        </w:rPr>
        <w:t xml:space="preserve">对你方的投标文件进行了仔细的审查，现需你方对下列问题以书面形式予以澄清 </w:t>
      </w:r>
      <w:r>
        <w:rPr>
          <w:color w:val="000000" w:themeColor="text1"/>
          <w:lang w:eastAsia="zh-CN"/>
          <w14:textFill>
            <w14:solidFill>
              <w14:schemeClr w14:val="tx1"/>
            </w14:solidFill>
          </w14:textFill>
        </w:rPr>
        <w:t>或说明：</w:t>
      </w:r>
    </w:p>
    <w:p>
      <w:pPr>
        <w:rPr>
          <w:rFonts w:ascii="宋体" w:hAnsi="宋体" w:eastAsia="宋体" w:cs="宋体"/>
          <w:color w:val="000000" w:themeColor="text1"/>
          <w:sz w:val="24"/>
          <w:szCs w:val="24"/>
          <w:lang w:eastAsia="zh-CN"/>
          <w14:textFill>
            <w14:solidFill>
              <w14:schemeClr w14:val="tx1"/>
            </w14:solidFill>
          </w14:textFill>
        </w:rPr>
      </w:pPr>
    </w:p>
    <w:p>
      <w:pPr>
        <w:pStyle w:val="4"/>
        <w:spacing w:before="207"/>
        <w:ind w:left="598"/>
        <w:rPr>
          <w:rFonts w:ascii="Calibri" w:hAnsi="Calibri" w:eastAsia="Calibri" w:cs="Calibri"/>
          <w:color w:val="000000" w:themeColor="text1"/>
          <w:lang w:eastAsia="zh-CN"/>
          <w14:textFill>
            <w14:solidFill>
              <w14:schemeClr w14:val="tx1"/>
            </w14:solidFill>
          </w14:textFill>
        </w:rPr>
      </w:pPr>
      <w:r>
        <w:rPr>
          <w:rFonts w:ascii="Calibri"/>
          <w:color w:val="000000" w:themeColor="text1"/>
          <w:lang w:eastAsia="zh-CN"/>
          <w14:textFill>
            <w14:solidFill>
              <w14:schemeClr w14:val="tx1"/>
            </w14:solidFill>
          </w14:textFill>
        </w:rPr>
        <w:t>1.</w:t>
      </w:r>
    </w:p>
    <w:p>
      <w:pPr>
        <w:pStyle w:val="4"/>
        <w:spacing w:before="147"/>
        <w:ind w:left="598"/>
        <w:rPr>
          <w:rFonts w:ascii="Calibri" w:hAnsi="Calibri" w:eastAsia="Calibri" w:cs="Calibri"/>
          <w:color w:val="000000" w:themeColor="text1"/>
          <w:lang w:eastAsia="zh-CN"/>
          <w14:textFill>
            <w14:solidFill>
              <w14:schemeClr w14:val="tx1"/>
            </w14:solidFill>
          </w14:textFill>
        </w:rPr>
      </w:pPr>
      <w:r>
        <w:rPr>
          <w:rFonts w:ascii="Calibri"/>
          <w:color w:val="000000" w:themeColor="text1"/>
          <w:lang w:eastAsia="zh-CN"/>
          <w14:textFill>
            <w14:solidFill>
              <w14:schemeClr w14:val="tx1"/>
            </w14:solidFill>
          </w14:textFill>
        </w:rPr>
        <w:t>2.</w:t>
      </w:r>
    </w:p>
    <w:p>
      <w:pPr>
        <w:pStyle w:val="4"/>
        <w:spacing w:before="146"/>
        <w:ind w:left="718"/>
        <w:rPr>
          <w:rFonts w:ascii="Calibri" w:hAnsi="Calibri" w:eastAsia="Calibri" w:cs="Calibri"/>
          <w:color w:val="000000" w:themeColor="text1"/>
          <w:lang w:eastAsia="zh-CN"/>
          <w14:textFill>
            <w14:solidFill>
              <w14:schemeClr w14:val="tx1"/>
            </w14:solidFill>
          </w14:textFill>
        </w:rPr>
      </w:pPr>
      <w:r>
        <w:rPr>
          <w:rFonts w:ascii="Calibri"/>
          <w:color w:val="000000" w:themeColor="text1"/>
          <w:lang w:eastAsia="zh-CN"/>
          <w14:textFill>
            <w14:solidFill>
              <w14:schemeClr w14:val="tx1"/>
            </w14:solidFill>
          </w14:textFill>
        </w:rPr>
        <w:t>......</w:t>
      </w:r>
    </w:p>
    <w:p>
      <w:pPr>
        <w:rPr>
          <w:rFonts w:cs="Calibri"/>
          <w:color w:val="000000" w:themeColor="text1"/>
          <w:sz w:val="24"/>
          <w:szCs w:val="24"/>
          <w:lang w:eastAsia="zh-CN"/>
          <w14:textFill>
            <w14:solidFill>
              <w14:schemeClr w14:val="tx1"/>
            </w14:solidFill>
          </w14:textFill>
        </w:rPr>
      </w:pPr>
    </w:p>
    <w:p>
      <w:pPr>
        <w:spacing w:before="11"/>
        <w:rPr>
          <w:rFonts w:cs="Calibri"/>
          <w:color w:val="000000" w:themeColor="text1"/>
          <w:sz w:val="19"/>
          <w:szCs w:val="19"/>
          <w:lang w:eastAsia="zh-CN"/>
          <w14:textFill>
            <w14:solidFill>
              <w14:schemeClr w14:val="tx1"/>
            </w14:solidFill>
          </w14:textFill>
        </w:rPr>
      </w:pPr>
    </w:p>
    <w:p>
      <w:pPr>
        <w:pStyle w:val="4"/>
        <w:tabs>
          <w:tab w:val="left" w:pos="4078"/>
          <w:tab w:val="left" w:pos="4678"/>
          <w:tab w:val="left" w:pos="5278"/>
          <w:tab w:val="left" w:pos="5878"/>
          <w:tab w:val="left" w:pos="6478"/>
          <w:tab w:val="left" w:pos="8398"/>
        </w:tabs>
        <w:spacing w:before="0"/>
        <w:ind w:left="598"/>
        <w:rPr>
          <w:rFonts w:ascii="Times New Roman" w:hAns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请将上述问题的澄清或说明于年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时</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分前递交至</w:t>
      </w:r>
      <w:r>
        <w:rPr>
          <w:rFonts w:ascii="Times New Roman" w:hAnsi="Times New Roman" w:eastAsia="Times New Roman"/>
          <w:color w:val="000000" w:themeColor="text1"/>
          <w:u w:val="single" w:color="010101"/>
          <w:lang w:eastAsia="zh-CN"/>
          <w14:textFill>
            <w14:solidFill>
              <w14:schemeClr w14:val="tx1"/>
            </w14:solidFill>
          </w14:textFill>
        </w:rPr>
        <w:tab/>
      </w:r>
    </w:p>
    <w:p>
      <w:pPr>
        <w:pStyle w:val="4"/>
        <w:tabs>
          <w:tab w:val="left" w:pos="1318"/>
          <w:tab w:val="left" w:pos="3358"/>
        </w:tabs>
        <w:spacing w:before="125" w:line="336" w:lineRule="auto"/>
        <w:ind w:right="263"/>
        <w:jc w:val="both"/>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（详细地址）或传真至</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lang w:eastAsia="zh-CN"/>
          <w14:textFill>
            <w14:solidFill>
              <w14:schemeClr w14:val="tx1"/>
            </w14:solidFill>
          </w14:textFill>
        </w:rPr>
        <w:t>（传真号码）或通过下载招标文件的电子招标交 易平台上传。采用传真方式的，应在  年   月   日   时   分前将原件递交 至</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（详细地址）。</w:t>
      </w: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spacing w:before="7"/>
        <w:rPr>
          <w:rFonts w:ascii="宋体" w:hAnsi="宋体" w:eastAsia="宋体" w:cs="宋体"/>
          <w:color w:val="000000" w:themeColor="text1"/>
          <w:sz w:val="21"/>
          <w:szCs w:val="21"/>
          <w:lang w:eastAsia="zh-CN"/>
          <w14:textFill>
            <w14:solidFill>
              <w14:schemeClr w14:val="tx1"/>
            </w14:solidFill>
          </w14:textFill>
        </w:rPr>
      </w:pPr>
    </w:p>
    <w:p>
      <w:pPr>
        <w:pStyle w:val="4"/>
        <w:tabs>
          <w:tab w:val="left" w:pos="6265"/>
        </w:tabs>
        <w:spacing w:before="0"/>
        <w:ind w:left="745"/>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评标委员会授权的招标人或招标代理机构：</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（签字或盖单位章）</w:t>
      </w:r>
    </w:p>
    <w:p>
      <w:pPr>
        <w:rPr>
          <w:rFonts w:ascii="宋体" w:hAnsi="宋体" w:eastAsia="宋体" w:cs="宋体"/>
          <w:color w:val="000000" w:themeColor="text1"/>
          <w:sz w:val="20"/>
          <w:szCs w:val="20"/>
          <w:lang w:eastAsia="zh-CN"/>
          <w14:textFill>
            <w14:solidFill>
              <w14:schemeClr w14:val="tx1"/>
            </w14:solidFill>
          </w14:textFill>
        </w:rPr>
      </w:pPr>
    </w:p>
    <w:p>
      <w:pPr>
        <w:spacing w:before="3"/>
        <w:rPr>
          <w:rFonts w:ascii="宋体" w:hAnsi="宋体" w:eastAsia="宋体" w:cs="宋体"/>
          <w:color w:val="000000" w:themeColor="text1"/>
          <w:sz w:val="21"/>
          <w:szCs w:val="21"/>
          <w:lang w:eastAsia="zh-CN"/>
          <w14:textFill>
            <w14:solidFill>
              <w14:schemeClr w14:val="tx1"/>
            </w14:solidFill>
          </w14:textFill>
        </w:rPr>
      </w:pPr>
    </w:p>
    <w:p>
      <w:pPr>
        <w:pStyle w:val="4"/>
        <w:tabs>
          <w:tab w:val="left" w:pos="5891"/>
          <w:tab w:val="left" w:pos="6611"/>
          <w:tab w:val="left" w:pos="7331"/>
        </w:tabs>
        <w:ind w:left="4932"/>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p>
    <w:p>
      <w:pPr>
        <w:rPr>
          <w:color w:val="000000" w:themeColor="text1"/>
          <w:lang w:eastAsia="zh-CN"/>
          <w14:textFill>
            <w14:solidFill>
              <w14:schemeClr w14:val="tx1"/>
            </w14:solidFill>
          </w14:textFill>
        </w:rPr>
        <w:sectPr>
          <w:headerReference r:id="rId12" w:type="default"/>
          <w:footerReference r:id="rId13" w:type="default"/>
          <w:pgSz w:w="11910" w:h="16840"/>
          <w:pgMar w:top="1240" w:right="1560" w:bottom="1520" w:left="1680" w:header="968" w:footer="1338" w:gutter="0"/>
          <w:cols w:space="720" w:num="1"/>
        </w:sectPr>
      </w:pPr>
    </w:p>
    <w:p>
      <w:pPr>
        <w:spacing w:before="3"/>
        <w:rPr>
          <w:rFonts w:ascii="宋体" w:hAnsi="宋体" w:eastAsia="宋体" w:cs="宋体"/>
          <w:color w:val="000000" w:themeColor="text1"/>
          <w:sz w:val="10"/>
          <w:szCs w:val="10"/>
          <w:lang w:eastAsia="zh-CN"/>
          <w14:textFill>
            <w14:solidFill>
              <w14:schemeClr w14:val="tx1"/>
            </w14:solidFill>
          </w14:textFill>
        </w:rPr>
      </w:pPr>
    </w:p>
    <w:p>
      <w:pPr>
        <w:rPr>
          <w:rFonts w:ascii="宋体" w:hAnsi="宋体" w:eastAsia="宋体" w:cs="宋体"/>
          <w:color w:val="000000" w:themeColor="text1"/>
          <w:sz w:val="10"/>
          <w:szCs w:val="10"/>
          <w:lang w:eastAsia="zh-CN"/>
          <w14:textFill>
            <w14:solidFill>
              <w14:schemeClr w14:val="tx1"/>
            </w14:solidFill>
          </w14:textFill>
        </w:rPr>
        <w:sectPr>
          <w:pgSz w:w="11910" w:h="16840"/>
          <w:pgMar w:top="1240" w:right="1560" w:bottom="1520" w:left="1680" w:header="968" w:footer="1338" w:gutter="0"/>
          <w:cols w:space="720" w:num="1"/>
        </w:sectPr>
      </w:pPr>
    </w:p>
    <w:p>
      <w:pPr>
        <w:pStyle w:val="4"/>
        <w:ind w:right="-20"/>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附件三：问题的澄清</w:t>
      </w:r>
    </w:p>
    <w:p>
      <w:pPr>
        <w:spacing w:before="8"/>
        <w:rPr>
          <w:rFonts w:ascii="黑体" w:hAnsi="黑体" w:eastAsia="黑体" w:cs="黑体"/>
          <w:color w:val="000000" w:themeColor="text1"/>
          <w:sz w:val="30"/>
          <w:szCs w:val="30"/>
          <w:lang w:eastAsia="zh-CN"/>
          <w14:textFill>
            <w14:solidFill>
              <w14:schemeClr w14:val="tx1"/>
            </w14:solidFill>
          </w14:textFill>
        </w:rPr>
      </w:pPr>
      <w:r>
        <w:rPr>
          <w:color w:val="000000" w:themeColor="text1"/>
          <w:lang w:eastAsia="zh-CN"/>
          <w14:textFill>
            <w14:solidFill>
              <w14:schemeClr w14:val="tx1"/>
            </w14:solidFill>
          </w14:textFill>
        </w:rPr>
        <w:br w:type="column"/>
      </w:r>
    </w:p>
    <w:p>
      <w:pPr>
        <w:pStyle w:val="13"/>
        <w:spacing w:before="0"/>
        <w:ind w:left="0" w:right="289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问题的澄清</w:t>
      </w:r>
    </w:p>
    <w:p>
      <w:pPr>
        <w:pStyle w:val="4"/>
        <w:tabs>
          <w:tab w:val="left" w:pos="2500"/>
        </w:tabs>
        <w:spacing w:before="120"/>
        <w:ind w:left="0" w:right="2901"/>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（编号：</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p>
    <w:p>
      <w:pPr>
        <w:jc w:val="center"/>
        <w:rPr>
          <w:color w:val="000000" w:themeColor="text1"/>
          <w:lang w:eastAsia="zh-CN"/>
          <w14:textFill>
            <w14:solidFill>
              <w14:schemeClr w14:val="tx1"/>
            </w14:solidFill>
          </w14:textFill>
        </w:rPr>
        <w:sectPr>
          <w:type w:val="continuous"/>
          <w:pgSz w:w="11910" w:h="16840"/>
          <w:pgMar w:top="1600" w:right="1560" w:bottom="280" w:left="1680" w:header="720" w:footer="720" w:gutter="0"/>
          <w:cols w:equalWidth="0" w:num="2">
            <w:col w:w="2279" w:space="503"/>
            <w:col w:w="5888"/>
          </w:cols>
        </w:sectPr>
      </w:pPr>
    </w:p>
    <w:p>
      <w:pPr>
        <w:rPr>
          <w:rFonts w:ascii="宋体" w:hAnsi="宋体" w:eastAsia="宋体" w:cs="宋体"/>
          <w:color w:val="000000" w:themeColor="text1"/>
          <w:sz w:val="20"/>
          <w:szCs w:val="20"/>
          <w:lang w:eastAsia="zh-CN"/>
          <w14:textFill>
            <w14:solidFill>
              <w14:schemeClr w14:val="tx1"/>
            </w14:solidFill>
          </w14:textFill>
        </w:rPr>
      </w:pPr>
    </w:p>
    <w:p>
      <w:pPr>
        <w:spacing w:before="3"/>
        <w:rPr>
          <w:rFonts w:ascii="宋体" w:hAnsi="宋体" w:eastAsia="宋体" w:cs="宋体"/>
          <w:color w:val="000000" w:themeColor="text1"/>
          <w:sz w:val="21"/>
          <w:szCs w:val="21"/>
          <w:lang w:eastAsia="zh-CN"/>
          <w14:textFill>
            <w14:solidFill>
              <w14:schemeClr w14:val="tx1"/>
            </w14:solidFill>
          </w14:textFill>
        </w:rPr>
      </w:pPr>
    </w:p>
    <w:p>
      <w:pPr>
        <w:pStyle w:val="4"/>
        <w:tabs>
          <w:tab w:val="left" w:pos="2278"/>
          <w:tab w:val="left" w:pos="4798"/>
        </w:tabs>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1"/>
          <w:u w:val="single" w:color="010101"/>
          <w:lang w:eastAsia="zh-CN"/>
          <w14:textFill>
            <w14:solidFill>
              <w14:schemeClr w14:val="tx1"/>
            </w14:solidFill>
          </w14:textFill>
        </w:rPr>
        <w:t>（</w:t>
      </w:r>
      <w:r>
        <w:rPr>
          <w:color w:val="000000" w:themeColor="text1"/>
          <w:spacing w:val="-1"/>
          <w:lang w:eastAsia="zh-CN"/>
          <w14:textFill>
            <w14:solidFill>
              <w14:schemeClr w14:val="tx1"/>
            </w14:solidFill>
          </w14:textFill>
        </w:rPr>
        <w:t>项目名称）</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标段勘察设计招标评标委员会：</w:t>
      </w: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spacing w:before="11"/>
        <w:rPr>
          <w:rFonts w:ascii="宋体" w:hAnsi="宋体" w:eastAsia="宋体" w:cs="宋体"/>
          <w:color w:val="000000" w:themeColor="text1"/>
          <w:sz w:val="28"/>
          <w:szCs w:val="28"/>
          <w:lang w:eastAsia="zh-CN"/>
          <w14:textFill>
            <w14:solidFill>
              <w14:schemeClr w14:val="tx1"/>
            </w14:solidFill>
          </w14:textFill>
        </w:rPr>
      </w:pPr>
    </w:p>
    <w:p>
      <w:pPr>
        <w:pStyle w:val="4"/>
        <w:tabs>
          <w:tab w:val="left" w:pos="3958"/>
        </w:tabs>
        <w:spacing w:before="0"/>
        <w:ind w:left="598"/>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问题澄清通知（编号：</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）已收悉，现澄清、说明如下：</w:t>
      </w:r>
    </w:p>
    <w:p>
      <w:pPr>
        <w:pStyle w:val="4"/>
        <w:spacing w:before="178"/>
        <w:ind w:left="0" w:right="6563"/>
        <w:jc w:val="center"/>
        <w:rPr>
          <w:rFonts w:ascii="Calibri" w:hAnsi="Calibri" w:eastAsia="Calibri" w:cs="Calibri"/>
          <w:color w:val="000000" w:themeColor="text1"/>
          <w:lang w:eastAsia="zh-CN"/>
          <w14:textFill>
            <w14:solidFill>
              <w14:schemeClr w14:val="tx1"/>
            </w14:solidFill>
          </w14:textFill>
        </w:rPr>
      </w:pPr>
      <w:r>
        <w:rPr>
          <w:rFonts w:ascii="Calibri"/>
          <w:color w:val="000000" w:themeColor="text1"/>
          <w:lang w:eastAsia="zh-CN"/>
          <w14:textFill>
            <w14:solidFill>
              <w14:schemeClr w14:val="tx1"/>
            </w14:solidFill>
          </w14:textFill>
        </w:rPr>
        <w:t>1.</w:t>
      </w:r>
    </w:p>
    <w:p>
      <w:pPr>
        <w:pStyle w:val="4"/>
        <w:spacing w:before="147"/>
        <w:ind w:left="0" w:right="6563"/>
        <w:jc w:val="center"/>
        <w:rPr>
          <w:rFonts w:ascii="Calibri" w:hAnsi="Calibri" w:eastAsia="Calibri" w:cs="Calibri"/>
          <w:color w:val="000000" w:themeColor="text1"/>
          <w:lang w:eastAsia="zh-CN"/>
          <w14:textFill>
            <w14:solidFill>
              <w14:schemeClr w14:val="tx1"/>
            </w14:solidFill>
          </w14:textFill>
        </w:rPr>
      </w:pPr>
      <w:r>
        <w:rPr>
          <w:rFonts w:ascii="Calibri"/>
          <w:color w:val="000000" w:themeColor="text1"/>
          <w:lang w:eastAsia="zh-CN"/>
          <w14:textFill>
            <w14:solidFill>
              <w14:schemeClr w14:val="tx1"/>
            </w14:solidFill>
          </w14:textFill>
        </w:rPr>
        <w:t>2.</w:t>
      </w:r>
    </w:p>
    <w:p>
      <w:pPr>
        <w:rPr>
          <w:rFonts w:cs="Calibri"/>
          <w:color w:val="000000" w:themeColor="text1"/>
          <w:sz w:val="24"/>
          <w:szCs w:val="24"/>
          <w:lang w:eastAsia="zh-CN"/>
          <w14:textFill>
            <w14:solidFill>
              <w14:schemeClr w14:val="tx1"/>
            </w14:solidFill>
          </w14:textFill>
        </w:rPr>
      </w:pPr>
    </w:p>
    <w:p>
      <w:pPr>
        <w:spacing w:before="1"/>
        <w:rPr>
          <w:rFonts w:cs="Calibri"/>
          <w:color w:val="000000" w:themeColor="text1"/>
          <w:sz w:val="24"/>
          <w:szCs w:val="24"/>
          <w:lang w:eastAsia="zh-CN"/>
          <w14:textFill>
            <w14:solidFill>
              <w14:schemeClr w14:val="tx1"/>
            </w14:solidFill>
          </w14:textFill>
        </w:rPr>
      </w:pPr>
    </w:p>
    <w:p>
      <w:pPr>
        <w:pStyle w:val="4"/>
        <w:spacing w:before="0"/>
        <w:ind w:left="0" w:right="6684"/>
        <w:jc w:val="center"/>
        <w:rPr>
          <w:rFonts w:ascii="Calibri" w:hAnsi="Calibri" w:eastAsia="Calibri" w:cs="Calibri"/>
          <w:color w:val="000000" w:themeColor="text1"/>
          <w:lang w:eastAsia="zh-CN"/>
          <w14:textFill>
            <w14:solidFill>
              <w14:schemeClr w14:val="tx1"/>
            </w14:solidFill>
          </w14:textFill>
        </w:rPr>
      </w:pPr>
      <w:r>
        <w:rPr>
          <w:rFonts w:ascii="Calibri"/>
          <w:color w:val="000000" w:themeColor="text1"/>
          <w:lang w:eastAsia="zh-CN"/>
          <w14:textFill>
            <w14:solidFill>
              <w14:schemeClr w14:val="tx1"/>
            </w14:solidFill>
          </w14:textFill>
        </w:rPr>
        <w:t>.....</w:t>
      </w:r>
    </w:p>
    <w:p>
      <w:pPr>
        <w:rPr>
          <w:rFonts w:cs="Calibri"/>
          <w:color w:val="000000" w:themeColor="text1"/>
          <w:sz w:val="24"/>
          <w:szCs w:val="24"/>
          <w:lang w:eastAsia="zh-CN"/>
          <w14:textFill>
            <w14:solidFill>
              <w14:schemeClr w14:val="tx1"/>
            </w14:solidFill>
          </w14:textFill>
        </w:rPr>
      </w:pPr>
    </w:p>
    <w:p>
      <w:pPr>
        <w:rPr>
          <w:rFonts w:cs="Calibri"/>
          <w:color w:val="000000" w:themeColor="text1"/>
          <w:sz w:val="24"/>
          <w:szCs w:val="24"/>
          <w:lang w:eastAsia="zh-CN"/>
          <w14:textFill>
            <w14:solidFill>
              <w14:schemeClr w14:val="tx1"/>
            </w14:solidFill>
          </w14:textFill>
        </w:rPr>
      </w:pPr>
    </w:p>
    <w:p>
      <w:pPr>
        <w:rPr>
          <w:rFonts w:cs="Calibri"/>
          <w:color w:val="000000" w:themeColor="text1"/>
          <w:sz w:val="24"/>
          <w:szCs w:val="24"/>
          <w:lang w:eastAsia="zh-CN"/>
          <w14:textFill>
            <w14:solidFill>
              <w14:schemeClr w14:val="tx1"/>
            </w14:solidFill>
          </w14:textFill>
        </w:rPr>
      </w:pPr>
    </w:p>
    <w:p>
      <w:pPr>
        <w:rPr>
          <w:rFonts w:cs="Calibri"/>
          <w:color w:val="000000" w:themeColor="text1"/>
          <w:sz w:val="24"/>
          <w:szCs w:val="24"/>
          <w:lang w:eastAsia="zh-CN"/>
          <w14:textFill>
            <w14:solidFill>
              <w14:schemeClr w14:val="tx1"/>
            </w14:solidFill>
          </w14:textFill>
        </w:rPr>
      </w:pPr>
    </w:p>
    <w:p>
      <w:pPr>
        <w:spacing w:before="12"/>
        <w:rPr>
          <w:rFonts w:cs="Calibri"/>
          <w:color w:val="000000" w:themeColor="text1"/>
          <w:sz w:val="19"/>
          <w:szCs w:val="19"/>
          <w:lang w:eastAsia="zh-CN"/>
          <w14:textFill>
            <w14:solidFill>
              <w14:schemeClr w14:val="tx1"/>
            </w14:solidFill>
          </w14:textFill>
        </w:rPr>
      </w:pPr>
    </w:p>
    <w:p>
      <w:pPr>
        <w:pStyle w:val="4"/>
        <w:spacing w:before="0" w:line="336" w:lineRule="auto"/>
        <w:ind w:right="225"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上述问题澄清或说明，不改变我方投标文件的实质性内容，构成我方投标文 </w:t>
      </w:r>
      <w:r>
        <w:rPr>
          <w:color w:val="000000" w:themeColor="text1"/>
          <w:lang w:eastAsia="zh-CN"/>
          <w14:textFill>
            <w14:solidFill>
              <w14:schemeClr w14:val="tx1"/>
            </w14:solidFill>
          </w14:textFill>
        </w:rPr>
        <w:t>件的组成部分。</w:t>
      </w: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spacing w:before="7"/>
        <w:rPr>
          <w:rFonts w:ascii="宋体" w:hAnsi="宋体" w:eastAsia="宋体" w:cs="宋体"/>
          <w:color w:val="000000" w:themeColor="text1"/>
          <w:sz w:val="21"/>
          <w:szCs w:val="21"/>
          <w:lang w:eastAsia="zh-CN"/>
          <w14:textFill>
            <w14:solidFill>
              <w14:schemeClr w14:val="tx1"/>
            </w14:solidFill>
          </w14:textFill>
        </w:rPr>
      </w:pPr>
    </w:p>
    <w:p>
      <w:pPr>
        <w:pStyle w:val="4"/>
        <w:tabs>
          <w:tab w:val="left" w:pos="6896"/>
          <w:tab w:val="left" w:pos="7585"/>
        </w:tabs>
        <w:spacing w:before="0" w:line="336" w:lineRule="auto"/>
        <w:ind w:left="3718" w:right="117"/>
        <w:rPr>
          <w:color w:val="000000" w:themeColor="text1"/>
          <w:lang w:eastAsia="zh-CN"/>
          <w14:textFill>
            <w14:solidFill>
              <w14:schemeClr w14:val="tx1"/>
            </w14:solidFill>
          </w14:textFill>
        </w:rPr>
      </w:pPr>
      <w:r>
        <w:rPr>
          <w:color w:val="000000" w:themeColor="text1"/>
          <w:spacing w:val="-9"/>
          <w:lang w:eastAsia="zh-CN"/>
          <w14:textFill>
            <w14:solidFill>
              <w14:schemeClr w14:val="tx1"/>
            </w14:solidFill>
          </w14:textFill>
        </w:rPr>
        <w:t>投标人：</w:t>
      </w:r>
      <w:r>
        <w:rPr>
          <w:rFonts w:ascii="Times New Roman" w:hAnsi="Times New Roman" w:eastAsia="Times New Roman"/>
          <w:color w:val="000000" w:themeColor="text1"/>
          <w:spacing w:val="-9"/>
          <w:u w:val="single" w:color="010101"/>
          <w:lang w:eastAsia="zh-CN"/>
          <w14:textFill>
            <w14:solidFill>
              <w14:schemeClr w14:val="tx1"/>
            </w14:solidFill>
          </w14:textFill>
        </w:rPr>
        <w:tab/>
      </w:r>
      <w:r>
        <w:rPr>
          <w:color w:val="000000" w:themeColor="text1"/>
          <w:spacing w:val="-5"/>
          <w:lang w:eastAsia="zh-CN"/>
          <w14:textFill>
            <w14:solidFill>
              <w14:schemeClr w14:val="tx1"/>
            </w14:solidFill>
          </w14:textFill>
        </w:rPr>
        <w:t>（盖单位章）</w:t>
      </w:r>
      <w:r>
        <w:rPr>
          <w:color w:val="000000" w:themeColor="text1"/>
          <w:spacing w:val="-5"/>
          <w:position w:val="12"/>
          <w:sz w:val="12"/>
          <w:szCs w:val="12"/>
          <w:lang w:eastAsia="zh-CN"/>
          <w14:textFill>
            <w14:solidFill>
              <w14:schemeClr w14:val="tx1"/>
            </w14:solidFill>
          </w14:textFill>
        </w:rPr>
        <w:t xml:space="preserve">① </w:t>
      </w:r>
      <w:r>
        <w:rPr>
          <w:color w:val="000000" w:themeColor="text1"/>
          <w:lang w:eastAsia="zh-CN"/>
          <w14:textFill>
            <w14:solidFill>
              <w14:schemeClr w14:val="tx1"/>
            </w14:solidFill>
          </w14:textFill>
        </w:rPr>
        <w:t>法定代表人或其委托代理人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签字）</w:t>
      </w:r>
    </w:p>
    <w:p>
      <w:pPr>
        <w:rPr>
          <w:rFonts w:ascii="宋体" w:hAnsi="宋体" w:eastAsia="宋体" w:cs="宋体"/>
          <w:color w:val="000000" w:themeColor="text1"/>
          <w:sz w:val="20"/>
          <w:szCs w:val="20"/>
          <w:lang w:eastAsia="zh-CN"/>
          <w14:textFill>
            <w14:solidFill>
              <w14:schemeClr w14:val="tx1"/>
            </w14:solidFill>
          </w14:textFill>
        </w:rPr>
      </w:pPr>
    </w:p>
    <w:p>
      <w:pPr>
        <w:spacing w:before="12"/>
        <w:rPr>
          <w:rFonts w:ascii="宋体" w:hAnsi="宋体" w:eastAsia="宋体" w:cs="宋体"/>
          <w:color w:val="000000" w:themeColor="text1"/>
          <w:sz w:val="13"/>
          <w:szCs w:val="13"/>
          <w:lang w:eastAsia="zh-CN"/>
          <w14:textFill>
            <w14:solidFill>
              <w14:schemeClr w14:val="tx1"/>
            </w14:solidFill>
          </w14:textFill>
        </w:rPr>
      </w:pPr>
    </w:p>
    <w:p>
      <w:pPr>
        <w:pStyle w:val="4"/>
        <w:tabs>
          <w:tab w:val="left" w:pos="5998"/>
          <w:tab w:val="left" w:pos="6718"/>
          <w:tab w:val="left" w:pos="7438"/>
        </w:tabs>
        <w:ind w:left="5038"/>
        <w:rPr>
          <w:color w:val="000000" w:themeColor="text1"/>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14:textFill>
            <w14:solidFill>
              <w14:schemeClr w14:val="tx1"/>
            </w14:solidFill>
          </w14:textFill>
        </w:rPr>
        <w:t>年</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月</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日</w:t>
      </w: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rPr>
          <w:rFonts w:ascii="宋体" w:hAnsi="宋体" w:eastAsia="宋体" w:cs="宋体"/>
          <w:color w:val="000000" w:themeColor="text1"/>
          <w:sz w:val="20"/>
          <w:szCs w:val="20"/>
          <w14:textFill>
            <w14:solidFill>
              <w14:schemeClr w14:val="tx1"/>
            </w14:solidFill>
          </w14:textFill>
        </w:rPr>
      </w:pPr>
    </w:p>
    <w:p>
      <w:pPr>
        <w:spacing w:before="8"/>
        <w:rPr>
          <w:rFonts w:ascii="宋体" w:hAnsi="宋体" w:eastAsia="宋体" w:cs="宋体"/>
          <w:color w:val="000000" w:themeColor="text1"/>
          <w:sz w:val="19"/>
          <w:szCs w:val="19"/>
          <w14:textFill>
            <w14:solidFill>
              <w14:schemeClr w14:val="tx1"/>
            </w14:solidFill>
          </w14:textFill>
        </w:rPr>
      </w:pPr>
    </w:p>
    <w:p>
      <w:pPr>
        <w:spacing w:line="20" w:lineRule="exact"/>
        <w:ind w:left="120" w:right="246"/>
        <w:rPr>
          <w:rFonts w:ascii="宋体" w:hAnsi="宋体" w:eastAsia="宋体" w:cs="宋体"/>
          <w:color w:val="000000" w:themeColor="text1"/>
          <w:sz w:val="2"/>
          <w:szCs w:val="2"/>
          <w14:textFill>
            <w14:solidFill>
              <w14:schemeClr w14:val="tx1"/>
            </w14:solidFill>
          </w14:textFill>
        </w:rPr>
      </w:pPr>
      <w:r>
        <w:rPr>
          <w:rFonts w:ascii="宋体" w:hAnsi="宋体" w:eastAsia="宋体" w:cs="宋体"/>
          <w:color w:val="000000" w:themeColor="text1"/>
          <w:sz w:val="2"/>
          <w:szCs w:val="2"/>
          <w:lang w:eastAsia="zh-CN"/>
          <w14:textFill>
            <w14:solidFill>
              <w14:schemeClr w14:val="tx1"/>
            </w14:solidFill>
          </w14:textFill>
        </w:rPr>
        <mc:AlternateContent>
          <mc:Choice Requires="wpg">
            <w:drawing>
              <wp:inline distT="0" distB="0" distL="114300" distR="114300">
                <wp:extent cx="1828800" cy="1270"/>
                <wp:effectExtent l="0" t="0" r="0" b="0"/>
                <wp:docPr id="9" name="Group 11"/>
                <wp:cNvGraphicFramePr/>
                <a:graphic xmlns:a="http://schemas.openxmlformats.org/drawingml/2006/main">
                  <a:graphicData uri="http://schemas.microsoft.com/office/word/2010/wordprocessingGroup">
                    <wpg:wgp>
                      <wpg:cNvGrpSpPr/>
                      <wpg:grpSpPr>
                        <a:xfrm>
                          <a:off x="0" y="0"/>
                          <a:ext cx="1828800" cy="1270"/>
                          <a:chOff x="0" y="0"/>
                          <a:chExt cx="2880" cy="2091764093"/>
                        </a:xfrm>
                        <a:effectLst/>
                      </wpg:grpSpPr>
                      <wpg:grpSp>
                        <wpg:cNvPr id="10" name="Group 12"/>
                        <wpg:cNvGrpSpPr/>
                        <wpg:grpSpPr>
                          <a:xfrm>
                            <a:off x="0" y="0"/>
                            <a:ext cx="2880" cy="2"/>
                            <a:chOff x="0" y="0"/>
                            <a:chExt cx="2880" cy="2"/>
                          </a:xfrm>
                          <a:effectLst/>
                        </wpg:grpSpPr>
                        <wps:wsp>
                          <wps:cNvPr id="11" name="AutoShape 13"/>
                          <wps:cNvSpPr>
                            <a:spLocks noChangeArrowheads="1"/>
                          </wps:cNvSpPr>
                          <wps:spPr bwMode="auto">
                            <a:xfrm>
                              <a:off x="0" y="0"/>
                              <a:ext cx="2880" cy="2"/>
                            </a:xfrm>
                            <a:custGeom>
                              <a:avLst/>
                              <a:gdLst>
                                <a:gd name="T0" fmla="*/ 0 w 2880"/>
                                <a:gd name="T1" fmla="*/ 0 h 1"/>
                                <a:gd name="T2" fmla="*/ 2880 w 2880"/>
                                <a:gd name="T3" fmla="*/ 0 h 1"/>
                              </a:gdLst>
                              <a:ahLst/>
                              <a:cxnLst>
                                <a:cxn ang="0">
                                  <a:pos x="T0" y="T1"/>
                                </a:cxn>
                                <a:cxn ang="0">
                                  <a:pos x="T2" y="T3"/>
                                </a:cxn>
                              </a:cxnLst>
                              <a:rect l="0" t="0" r="r" b="b"/>
                              <a:pathLst>
                                <a:path w="2880" h="1">
                                  <a:moveTo>
                                    <a:pt x="0" y="0"/>
                                  </a:moveTo>
                                  <a:lnTo>
                                    <a:pt x="2880" y="0"/>
                                  </a:lnTo>
                                </a:path>
                              </a:pathLst>
                            </a:custGeom>
                            <a:noFill/>
                            <a:ln w="0">
                              <a:solidFill>
                                <a:srgbClr val="010101"/>
                              </a:solidFill>
                              <a:round/>
                            </a:ln>
                            <a:effectLst/>
                          </wps:spPr>
                          <wps:bodyPr rot="0" vert="horz" wrap="square" lIns="91440" tIns="45720" rIns="91440" bIns="45720" anchor="t" anchorCtr="0" upright="1">
                            <a:noAutofit/>
                          </wps:bodyPr>
                        </wps:wsp>
                      </wpg:grpSp>
                    </wpg:wgp>
                  </a:graphicData>
                </a:graphic>
              </wp:inline>
            </w:drawing>
          </mc:Choice>
          <mc:Fallback>
            <w:pict>
              <v:group id="Group 11" o:spid="_x0000_s1026" o:spt="203" style="height:0.1pt;width:144pt;" coordsize="2880,2091764093" o:gfxdata="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GXAgtjSAAAAAgEAAA8AAAAAAAAAAQAgAAAA&#10;IgAAAGRycy9kb3ducmV2LnhtbFBLAQIUABQAAAAIAIdO4kBy7O7hLgMAAGMIAAAOAAAAAAAAAAEA&#10;IAAAACEBAABkcnMvZTJvRG9jLnhtbFBLBQYAAAAABgAGAFkBAADBBgAAAAA=&#10;">
                <o:lock v:ext="edit" aspectratio="f"/>
                <v:group id="Group 12" o:spid="_x0000_s1026" o:spt="203" style="position:absolute;left:0;top:0;height:2;width:2880;" coordsize="2880,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AutoShape 13" o:spid="_x0000_s1026" o:spt="100" style="position:absolute;left:0;top:0;height:2;width:2880;" filled="f" stroked="t" coordsize="2880,1" o:gfxdata="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aFUq8AAAA&#10;2wAAAA8AAAAAAAAAAQAgAAAAIgAAAGRycy9kb3ducmV2LnhtbFBLAQIUABQAAAAIAIdO4kAzLwWe&#10;OwAAADkAAAAQAAAAAAAAAAEAIAAAAAsBAABkcnMvc2hhcGV4bWwueG1sUEsFBgAAAAAGAAYAWwEA&#10;ALUDAAAAAA==&#10;" path="m0,0l2880,0e">
                    <v:path o:connectlocs="0,0;2880,0" o:connectangles="0,0"/>
                    <v:fill on="f" focussize="0,0"/>
                    <v:stroke weight="0pt" color="#010101" joinstyle="round"/>
                    <v:imagedata o:title=""/>
                    <o:lock v:ext="edit" aspectratio="f"/>
                  </v:shape>
                </v:group>
                <w10:wrap type="none"/>
                <w10:anchorlock/>
              </v:group>
            </w:pict>
          </mc:Fallback>
        </mc:AlternateContent>
      </w:r>
    </w:p>
    <w:p>
      <w:pPr>
        <w:spacing w:before="72"/>
        <w:ind w:left="118"/>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①投标人仅须在投标文件的澄清或说明上加盖单位章，或由法定代表人或其委托代理人签字。</w:t>
      </w:r>
    </w:p>
    <w:p>
      <w:pPr>
        <w:rPr>
          <w:rFonts w:ascii="宋体" w:hAnsi="宋体" w:eastAsia="宋体" w:cs="宋体"/>
          <w:color w:val="000000" w:themeColor="text1"/>
          <w:sz w:val="18"/>
          <w:szCs w:val="18"/>
          <w:lang w:eastAsia="zh-CN"/>
          <w14:textFill>
            <w14:solidFill>
              <w14:schemeClr w14:val="tx1"/>
            </w14:solidFill>
          </w14:textFill>
        </w:rPr>
        <w:sectPr>
          <w:type w:val="continuous"/>
          <w:pgSz w:w="11910" w:h="16840"/>
          <w:pgMar w:top="1600" w:right="1560" w:bottom="280" w:left="1680" w:header="720" w:footer="720" w:gutter="0"/>
          <w:cols w:space="720" w:num="1"/>
        </w:sectPr>
      </w:pPr>
    </w:p>
    <w:p>
      <w:pPr>
        <w:spacing w:before="3"/>
        <w:rPr>
          <w:rFonts w:ascii="宋体" w:hAnsi="宋体" w:eastAsia="宋体" w:cs="宋体"/>
          <w:color w:val="000000" w:themeColor="text1"/>
          <w:sz w:val="10"/>
          <w:szCs w:val="10"/>
          <w:lang w:eastAsia="zh-CN"/>
          <w14:textFill>
            <w14:solidFill>
              <w14:schemeClr w14:val="tx1"/>
            </w14:solidFill>
          </w14:textFill>
        </w:rPr>
      </w:pPr>
    </w:p>
    <w:p>
      <w:pPr>
        <w:pStyle w:val="4"/>
        <w:ind w:right="106"/>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附件四：中标通知书</w:t>
      </w:r>
    </w:p>
    <w:p>
      <w:pPr>
        <w:rPr>
          <w:rFonts w:ascii="黑体" w:hAnsi="黑体" w:eastAsia="黑体" w:cs="黑体"/>
          <w:color w:val="000000" w:themeColor="text1"/>
          <w:sz w:val="20"/>
          <w:szCs w:val="20"/>
          <w:lang w:eastAsia="zh-CN"/>
          <w14:textFill>
            <w14:solidFill>
              <w14:schemeClr w14:val="tx1"/>
            </w14:solidFill>
          </w14:textFill>
        </w:rPr>
      </w:pPr>
    </w:p>
    <w:p>
      <w:pPr>
        <w:spacing w:before="3"/>
        <w:rPr>
          <w:rFonts w:ascii="黑体" w:hAnsi="黑体" w:eastAsia="黑体" w:cs="黑体"/>
          <w:color w:val="000000" w:themeColor="text1"/>
          <w:sz w:val="17"/>
          <w:szCs w:val="17"/>
          <w:lang w:eastAsia="zh-CN"/>
          <w14:textFill>
            <w14:solidFill>
              <w14:schemeClr w14:val="tx1"/>
            </w14:solidFill>
          </w14:textFill>
        </w:rPr>
      </w:pPr>
    </w:p>
    <w:p>
      <w:pPr>
        <w:pStyle w:val="13"/>
        <w:ind w:left="1075" w:right="70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中标通知书</w:t>
      </w:r>
    </w:p>
    <w:p>
      <w:pPr>
        <w:rPr>
          <w:rFonts w:ascii="黑体" w:hAnsi="黑体" w:eastAsia="黑体" w:cs="黑体"/>
          <w:color w:val="000000" w:themeColor="text1"/>
          <w:sz w:val="28"/>
          <w:szCs w:val="28"/>
          <w:lang w:eastAsia="zh-CN"/>
          <w14:textFill>
            <w14:solidFill>
              <w14:schemeClr w14:val="tx1"/>
            </w14:solidFill>
          </w14:textFill>
        </w:rPr>
      </w:pPr>
    </w:p>
    <w:p>
      <w:pPr>
        <w:pStyle w:val="4"/>
        <w:tabs>
          <w:tab w:val="left" w:pos="2531"/>
        </w:tabs>
        <w:spacing w:before="193"/>
        <w:ind w:left="1452" w:right="10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采用公共资源交易中心或其它符合规定的的格式</w:t>
      </w:r>
    </w:p>
    <w:p>
      <w:pPr>
        <w:rPr>
          <w:color w:val="000000" w:themeColor="text1"/>
          <w:lang w:eastAsia="zh-CN"/>
          <w14:textFill>
            <w14:solidFill>
              <w14:schemeClr w14:val="tx1"/>
            </w14:solidFill>
          </w14:textFill>
        </w:rPr>
        <w:sectPr>
          <w:pgSz w:w="11910" w:h="16840"/>
          <w:pgMar w:top="1240" w:right="1680" w:bottom="1520" w:left="1680" w:header="968" w:footer="1338" w:gutter="0"/>
          <w:cols w:space="720" w:num="1"/>
        </w:sect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sectPr>
          <w:pgSz w:w="11910" w:h="16840"/>
          <w:pgMar w:top="1240" w:right="1560" w:bottom="1520" w:left="1680" w:header="968" w:footer="1338" w:gutter="0"/>
          <w:cols w:space="720" w:num="1"/>
        </w:sectPr>
      </w:pPr>
    </w:p>
    <w:p>
      <w:pPr>
        <w:pStyle w:val="4"/>
        <w:spacing w:before="174"/>
        <w:ind w:right="-20"/>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附件五：中标结果通知书</w:t>
      </w:r>
    </w:p>
    <w:p>
      <w:pPr>
        <w:rPr>
          <w:rFonts w:ascii="黑体" w:hAnsi="黑体" w:eastAsia="黑体" w:cs="黑体"/>
          <w:color w:val="000000" w:themeColor="text1"/>
          <w:sz w:val="28"/>
          <w:szCs w:val="28"/>
          <w:lang w:eastAsia="zh-CN"/>
          <w14:textFill>
            <w14:solidFill>
              <w14:schemeClr w14:val="tx1"/>
            </w14:solidFill>
          </w14:textFill>
        </w:rPr>
      </w:pPr>
      <w:r>
        <w:rPr>
          <w:color w:val="000000" w:themeColor="text1"/>
          <w:lang w:eastAsia="zh-CN"/>
          <w14:textFill>
            <w14:solidFill>
              <w14:schemeClr w14:val="tx1"/>
            </w14:solidFill>
          </w14:textFill>
        </w:rPr>
        <w:br w:type="column"/>
      </w:r>
    </w:p>
    <w:p>
      <w:pPr>
        <w:pStyle w:val="13"/>
        <w:spacing w:before="183"/>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中标结果通知书</w:t>
      </w:r>
    </w:p>
    <w:p>
      <w:pPr>
        <w:rPr>
          <w:color w:val="000000" w:themeColor="text1"/>
          <w:lang w:eastAsia="zh-CN"/>
          <w14:textFill>
            <w14:solidFill>
              <w14:schemeClr w14:val="tx1"/>
            </w14:solidFill>
          </w14:textFill>
        </w:rPr>
        <w:sectPr>
          <w:type w:val="continuous"/>
          <w:pgSz w:w="11910" w:h="16840"/>
          <w:pgMar w:top="1600" w:right="1560" w:bottom="280" w:left="1680" w:header="720" w:footer="720" w:gutter="0"/>
          <w:cols w:equalWidth="0" w:num="2">
            <w:col w:w="2759" w:space="413"/>
            <w:col w:w="5498"/>
          </w:cols>
        </w:sectPr>
      </w:pPr>
    </w:p>
    <w:p>
      <w:pPr>
        <w:rPr>
          <w:rFonts w:ascii="黑体" w:hAnsi="黑体" w:eastAsia="黑体" w:cs="黑体"/>
          <w:color w:val="000000" w:themeColor="text1"/>
          <w:sz w:val="20"/>
          <w:szCs w:val="20"/>
          <w:lang w:eastAsia="zh-CN"/>
          <w14:textFill>
            <w14:solidFill>
              <w14:schemeClr w14:val="tx1"/>
            </w14:solidFill>
          </w14:textFill>
        </w:rPr>
      </w:pPr>
    </w:p>
    <w:p>
      <w:pPr>
        <w:spacing w:before="11"/>
        <w:rPr>
          <w:rFonts w:ascii="黑体" w:hAnsi="黑体" w:eastAsia="黑体" w:cs="黑体"/>
          <w:color w:val="000000" w:themeColor="text1"/>
          <w:sz w:val="20"/>
          <w:szCs w:val="20"/>
          <w:lang w:eastAsia="zh-CN"/>
          <w14:textFill>
            <w14:solidFill>
              <w14:schemeClr w14:val="tx1"/>
            </w14:solidFill>
          </w14:textFill>
        </w:rPr>
      </w:pPr>
    </w:p>
    <w:p>
      <w:pPr>
        <w:pStyle w:val="4"/>
        <w:tabs>
          <w:tab w:val="left" w:pos="2398"/>
        </w:tabs>
        <w:ind w:left="238"/>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（未中标人名称）：</w:t>
      </w:r>
    </w:p>
    <w:p>
      <w:pPr>
        <w:rPr>
          <w:rFonts w:ascii="宋体" w:hAnsi="宋体" w:eastAsia="宋体" w:cs="宋体"/>
          <w:color w:val="000000" w:themeColor="text1"/>
          <w:sz w:val="24"/>
          <w:szCs w:val="24"/>
          <w:lang w:eastAsia="zh-CN"/>
          <w14:textFill>
            <w14:solidFill>
              <w14:schemeClr w14:val="tx1"/>
            </w14:solidFill>
          </w14:textFill>
        </w:rPr>
      </w:pPr>
    </w:p>
    <w:p>
      <w:pPr>
        <w:spacing w:before="4"/>
        <w:rPr>
          <w:rFonts w:ascii="宋体" w:hAnsi="宋体" w:eastAsia="宋体" w:cs="宋体"/>
          <w:color w:val="000000" w:themeColor="text1"/>
          <w:sz w:val="19"/>
          <w:szCs w:val="19"/>
          <w:lang w:eastAsia="zh-CN"/>
          <w14:textFill>
            <w14:solidFill>
              <w14:schemeClr w14:val="tx1"/>
            </w14:solidFill>
          </w14:textFill>
        </w:rPr>
      </w:pPr>
    </w:p>
    <w:p>
      <w:pPr>
        <w:pStyle w:val="4"/>
        <w:tabs>
          <w:tab w:val="left" w:pos="2518"/>
          <w:tab w:val="left" w:pos="3958"/>
          <w:tab w:val="left" w:pos="4318"/>
          <w:tab w:val="left" w:pos="7105"/>
          <w:tab w:val="left" w:pos="8425"/>
        </w:tabs>
        <w:spacing w:before="0" w:line="336" w:lineRule="auto"/>
        <w:ind w:right="117" w:firstLine="480"/>
        <w:rPr>
          <w:rFonts w:ascii="Times New Roman" w:hAns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我方已接受</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5"/>
          <w:lang w:eastAsia="zh-CN"/>
          <w14:textFill>
            <w14:solidFill>
              <w14:schemeClr w14:val="tx1"/>
            </w14:solidFill>
          </w14:textFill>
        </w:rPr>
        <w:t>（中标人名称）于</w:t>
      </w:r>
      <w:r>
        <w:rPr>
          <w:rFonts w:ascii="Times New Roman" w:hAnsi="Times New Roman" w:eastAsia="Times New Roman"/>
          <w:color w:val="000000" w:themeColor="text1"/>
          <w:spacing w:val="-5"/>
          <w:u w:val="single" w:color="010101"/>
          <w:lang w:eastAsia="zh-CN"/>
          <w14:textFill>
            <w14:solidFill>
              <w14:schemeClr w14:val="tx1"/>
            </w14:solidFill>
          </w14:textFill>
        </w:rPr>
        <w:tab/>
      </w:r>
      <w:r>
        <w:rPr>
          <w:color w:val="000000" w:themeColor="text1"/>
          <w:lang w:eastAsia="zh-CN"/>
          <w14:textFill>
            <w14:solidFill>
              <w14:schemeClr w14:val="tx1"/>
            </w14:solidFill>
          </w14:textFill>
        </w:rPr>
        <w:t>（投标日期） 所递交的</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（项目名称）</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标段勘察设计投标文件，确定</w:t>
      </w:r>
      <w:r>
        <w:rPr>
          <w:rFonts w:ascii="Times New Roman" w:hAnsi="Times New Roman" w:eastAsia="Times New Roman"/>
          <w:color w:val="000000" w:themeColor="text1"/>
          <w:u w:val="single" w:color="010101"/>
          <w:lang w:eastAsia="zh-CN"/>
          <w14:textFill>
            <w14:solidFill>
              <w14:schemeClr w14:val="tx1"/>
            </w14:solidFill>
          </w14:textFill>
        </w:rPr>
        <w:tab/>
      </w:r>
    </w:p>
    <w:p>
      <w:pPr>
        <w:pStyle w:val="4"/>
        <w:spacing w:before="30" w:line="672" w:lineRule="auto"/>
        <w:ind w:left="598" w:right="4700" w:hanging="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（中标人名称）为中标人。 </w:t>
      </w:r>
      <w:r>
        <w:rPr>
          <w:color w:val="000000" w:themeColor="text1"/>
          <w:spacing w:val="-1"/>
          <w:lang w:eastAsia="zh-CN"/>
          <w14:textFill>
            <w14:solidFill>
              <w14:schemeClr w14:val="tx1"/>
            </w14:solidFill>
          </w14:textFill>
        </w:rPr>
        <w:t>感谢你单位对招标项目的参与！</w:t>
      </w: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spacing w:before="1"/>
        <w:rPr>
          <w:rFonts w:ascii="宋体" w:hAnsi="宋体" w:eastAsia="宋体" w:cs="宋体"/>
          <w:color w:val="000000" w:themeColor="text1"/>
          <w:sz w:val="19"/>
          <w:szCs w:val="19"/>
          <w:lang w:eastAsia="zh-CN"/>
          <w14:textFill>
            <w14:solidFill>
              <w14:schemeClr w14:val="tx1"/>
            </w14:solidFill>
          </w14:textFill>
        </w:rPr>
      </w:pPr>
    </w:p>
    <w:p>
      <w:pPr>
        <w:pStyle w:val="4"/>
        <w:tabs>
          <w:tab w:val="left" w:pos="7105"/>
        </w:tabs>
        <w:spacing w:before="0" w:line="458" w:lineRule="auto"/>
        <w:ind w:left="3819" w:right="11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招标人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盖单位章） 招标代理机构</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盖单位章）</w:t>
      </w:r>
    </w:p>
    <w:p>
      <w:pPr>
        <w:pStyle w:val="4"/>
        <w:tabs>
          <w:tab w:val="left" w:pos="6118"/>
          <w:tab w:val="left" w:pos="6838"/>
          <w:tab w:val="left" w:pos="7558"/>
        </w:tabs>
        <w:spacing w:before="67"/>
        <w:ind w:left="5158"/>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p>
    <w:p>
      <w:pPr>
        <w:rPr>
          <w:color w:val="000000" w:themeColor="text1"/>
          <w:lang w:eastAsia="zh-CN"/>
          <w14:textFill>
            <w14:solidFill>
              <w14:schemeClr w14:val="tx1"/>
            </w14:solidFill>
          </w14:textFill>
        </w:rPr>
        <w:sectPr>
          <w:type w:val="continuous"/>
          <w:pgSz w:w="11910" w:h="16840"/>
          <w:pgMar w:top="1600" w:right="1560" w:bottom="280" w:left="1680" w:header="720" w:footer="720" w:gutter="0"/>
          <w:cols w:space="720" w:num="1"/>
        </w:sectPr>
      </w:pPr>
    </w:p>
    <w:p>
      <w:pPr>
        <w:spacing w:before="3"/>
        <w:rPr>
          <w:rFonts w:ascii="宋体" w:hAnsi="宋体" w:eastAsia="宋体" w:cs="宋体"/>
          <w:color w:val="000000" w:themeColor="text1"/>
          <w:sz w:val="10"/>
          <w:szCs w:val="10"/>
          <w:lang w:eastAsia="zh-CN"/>
          <w14:textFill>
            <w14:solidFill>
              <w14:schemeClr w14:val="tx1"/>
            </w14:solidFill>
          </w14:textFill>
        </w:rPr>
      </w:pPr>
    </w:p>
    <w:p>
      <w:pPr>
        <w:rPr>
          <w:rFonts w:ascii="宋体" w:hAnsi="宋体" w:eastAsia="宋体" w:cs="宋体"/>
          <w:color w:val="000000" w:themeColor="text1"/>
          <w:sz w:val="10"/>
          <w:szCs w:val="10"/>
          <w:lang w:eastAsia="zh-CN"/>
          <w14:textFill>
            <w14:solidFill>
              <w14:schemeClr w14:val="tx1"/>
            </w14:solidFill>
          </w14:textFill>
        </w:rPr>
        <w:sectPr>
          <w:pgSz w:w="11910" w:h="16840"/>
          <w:pgMar w:top="1240" w:right="1560" w:bottom="1520" w:left="1680" w:header="968" w:footer="1338" w:gutter="0"/>
          <w:cols w:space="720" w:num="1"/>
        </w:sectPr>
      </w:pPr>
    </w:p>
    <w:p>
      <w:pPr>
        <w:pStyle w:val="4"/>
        <w:ind w:right="-20"/>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附件六：确认通知</w:t>
      </w:r>
    </w:p>
    <w:p>
      <w:pPr>
        <w:spacing w:before="8"/>
        <w:rPr>
          <w:rFonts w:ascii="黑体" w:hAnsi="黑体" w:eastAsia="黑体" w:cs="黑体"/>
          <w:color w:val="000000" w:themeColor="text1"/>
          <w:sz w:val="30"/>
          <w:szCs w:val="30"/>
          <w:lang w:eastAsia="zh-CN"/>
          <w14:textFill>
            <w14:solidFill>
              <w14:schemeClr w14:val="tx1"/>
            </w14:solidFill>
          </w14:textFill>
        </w:rPr>
      </w:pPr>
      <w:r>
        <w:rPr>
          <w:color w:val="000000" w:themeColor="text1"/>
          <w:lang w:eastAsia="zh-CN"/>
          <w14:textFill>
            <w14:solidFill>
              <w14:schemeClr w14:val="tx1"/>
            </w14:solidFill>
          </w14:textFill>
        </w:rPr>
        <w:br w:type="column"/>
      </w:r>
    </w:p>
    <w:p>
      <w:pPr>
        <w:pStyle w:val="13"/>
        <w:spacing w:before="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确 认 通 知</w:t>
      </w:r>
    </w:p>
    <w:p>
      <w:pPr>
        <w:rPr>
          <w:color w:val="000000" w:themeColor="text1"/>
          <w:lang w:eastAsia="zh-CN"/>
          <w14:textFill>
            <w14:solidFill>
              <w14:schemeClr w14:val="tx1"/>
            </w14:solidFill>
          </w14:textFill>
        </w:rPr>
        <w:sectPr>
          <w:type w:val="continuous"/>
          <w:pgSz w:w="11910" w:h="16840"/>
          <w:pgMar w:top="1600" w:right="1560" w:bottom="280" w:left="1680" w:header="720" w:footer="720" w:gutter="0"/>
          <w:cols w:equalWidth="0" w:num="2">
            <w:col w:w="2039" w:space="1343"/>
            <w:col w:w="5288"/>
          </w:cols>
        </w:sectPr>
      </w:pPr>
    </w:p>
    <w:p>
      <w:pPr>
        <w:rPr>
          <w:rFonts w:ascii="黑体" w:hAnsi="黑体" w:eastAsia="黑体" w:cs="黑体"/>
          <w:color w:val="000000" w:themeColor="text1"/>
          <w:sz w:val="20"/>
          <w:szCs w:val="20"/>
          <w:lang w:eastAsia="zh-CN"/>
          <w14:textFill>
            <w14:solidFill>
              <w14:schemeClr w14:val="tx1"/>
            </w14:solidFill>
          </w14:textFill>
        </w:rPr>
      </w:pPr>
    </w:p>
    <w:p>
      <w:pPr>
        <w:spacing w:before="12"/>
        <w:rPr>
          <w:rFonts w:ascii="黑体" w:hAnsi="黑体" w:eastAsia="黑体" w:cs="黑体"/>
          <w:color w:val="000000" w:themeColor="text1"/>
          <w:sz w:val="20"/>
          <w:szCs w:val="20"/>
          <w:lang w:eastAsia="zh-CN"/>
          <w14:textFill>
            <w14:solidFill>
              <w14:schemeClr w14:val="tx1"/>
            </w14:solidFill>
          </w14:textFill>
        </w:rPr>
      </w:pPr>
    </w:p>
    <w:p>
      <w:pPr>
        <w:pStyle w:val="4"/>
        <w:tabs>
          <w:tab w:val="left" w:pos="1558"/>
        </w:tabs>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（招标人名称）：</w:t>
      </w:r>
    </w:p>
    <w:p>
      <w:pPr>
        <w:rPr>
          <w:rFonts w:ascii="宋体" w:hAnsi="宋体" w:eastAsia="宋体" w:cs="宋体"/>
          <w:color w:val="000000" w:themeColor="text1"/>
          <w:sz w:val="24"/>
          <w:szCs w:val="24"/>
          <w:lang w:eastAsia="zh-CN"/>
          <w14:textFill>
            <w14:solidFill>
              <w14:schemeClr w14:val="tx1"/>
            </w14:solidFill>
          </w14:textFill>
        </w:rPr>
      </w:pPr>
    </w:p>
    <w:p>
      <w:pPr>
        <w:spacing w:before="13"/>
        <w:rPr>
          <w:rFonts w:ascii="宋体" w:hAnsi="宋体" w:eastAsia="宋体" w:cs="宋体"/>
          <w:color w:val="000000" w:themeColor="text1"/>
          <w:sz w:val="32"/>
          <w:szCs w:val="32"/>
          <w:lang w:eastAsia="zh-CN"/>
          <w14:textFill>
            <w14:solidFill>
              <w14:schemeClr w14:val="tx1"/>
            </w14:solidFill>
          </w14:textFill>
        </w:rPr>
      </w:pPr>
    </w:p>
    <w:p>
      <w:pPr>
        <w:pStyle w:val="4"/>
        <w:tabs>
          <w:tab w:val="left" w:pos="2158"/>
          <w:tab w:val="left" w:pos="2878"/>
          <w:tab w:val="left" w:pos="3598"/>
          <w:tab w:val="left" w:pos="6478"/>
          <w:tab w:val="left" w:pos="8425"/>
        </w:tabs>
        <w:spacing w:before="0"/>
        <w:ind w:left="598"/>
        <w:rPr>
          <w:rFonts w:ascii="Times New Roman" w:hAns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你方于年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日发出的</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（项目名称）</w:t>
      </w:r>
      <w:r>
        <w:rPr>
          <w:rFonts w:ascii="Times New Roman" w:hAnsi="Times New Roman" w:eastAsia="Times New Roman"/>
          <w:color w:val="000000" w:themeColor="text1"/>
          <w:u w:val="single" w:color="010101"/>
          <w:lang w:eastAsia="zh-CN"/>
          <w14:textFill>
            <w14:solidFill>
              <w14:schemeClr w14:val="tx1"/>
            </w14:solidFill>
          </w14:textFill>
        </w:rPr>
        <w:tab/>
      </w:r>
    </w:p>
    <w:p>
      <w:pPr>
        <w:spacing w:before="5"/>
        <w:rPr>
          <w:rFonts w:ascii="Times New Roman" w:hAnsi="Times New Roman" w:eastAsia="Times New Roman"/>
          <w:color w:val="000000" w:themeColor="text1"/>
          <w:sz w:val="17"/>
          <w:szCs w:val="17"/>
          <w:lang w:eastAsia="zh-CN"/>
          <w14:textFill>
            <w14:solidFill>
              <w14:schemeClr w14:val="tx1"/>
            </w14:solidFill>
          </w14:textFill>
        </w:rPr>
      </w:pPr>
    </w:p>
    <w:p>
      <w:pPr>
        <w:pStyle w:val="4"/>
        <w:tabs>
          <w:tab w:val="left" w:pos="6211"/>
          <w:tab w:val="left" w:pos="8425"/>
        </w:tabs>
        <w:rPr>
          <w:rFonts w:ascii="Times New Roman" w:hAnsi="Times New Roman" w:eastAsia="Times New Roman"/>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标段勘察设计招标关于招标文件澄清</w:t>
      </w:r>
      <w:r>
        <w:rPr>
          <w:rFonts w:ascii="Calibri" w:hAnsi="Calibri" w:eastAsia="Calibri" w:cs="Calibri"/>
          <w:color w:val="000000" w:themeColor="text1"/>
          <w:spacing w:val="-1"/>
          <w:lang w:eastAsia="zh-CN"/>
          <w14:textFill>
            <w14:solidFill>
              <w14:schemeClr w14:val="tx1"/>
            </w14:solidFill>
          </w14:textFill>
        </w:rPr>
        <w:t>/</w:t>
      </w:r>
      <w:r>
        <w:rPr>
          <w:color w:val="000000" w:themeColor="text1"/>
          <w:spacing w:val="-1"/>
          <w:lang w:eastAsia="zh-CN"/>
          <w14:textFill>
            <w14:solidFill>
              <w14:schemeClr w14:val="tx1"/>
            </w14:solidFill>
          </w14:textFill>
        </w:rPr>
        <w:t>修改的通知（第</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号补遗书，正文共</w:t>
      </w:r>
      <w:r>
        <w:rPr>
          <w:rFonts w:ascii="Times New Roman" w:hAnsi="Times New Roman" w:eastAsia="Times New Roman"/>
          <w:color w:val="000000" w:themeColor="text1"/>
          <w:u w:val="single" w:color="010101"/>
          <w:lang w:eastAsia="zh-CN"/>
          <w14:textFill>
            <w14:solidFill>
              <w14:schemeClr w14:val="tx1"/>
            </w14:solidFill>
          </w14:textFill>
        </w:rPr>
        <w:tab/>
      </w:r>
    </w:p>
    <w:p>
      <w:pPr>
        <w:spacing w:before="8"/>
        <w:rPr>
          <w:rFonts w:ascii="Times New Roman" w:hAnsi="Times New Roman" w:eastAsia="Times New Roman"/>
          <w:color w:val="000000" w:themeColor="text1"/>
          <w:sz w:val="14"/>
          <w:szCs w:val="14"/>
          <w:lang w:eastAsia="zh-CN"/>
          <w14:textFill>
            <w14:solidFill>
              <w14:schemeClr w14:val="tx1"/>
            </w14:solidFill>
          </w14:textFill>
        </w:rPr>
      </w:pPr>
    </w:p>
    <w:p>
      <w:pPr>
        <w:pStyle w:val="4"/>
        <w:tabs>
          <w:tab w:val="left" w:pos="2278"/>
          <w:tab w:val="left" w:pos="2878"/>
          <w:tab w:val="left" w:pos="3478"/>
        </w:tabs>
        <w:spacing w:line="412" w:lineRule="auto"/>
        <w:ind w:left="598" w:right="4225" w:hanging="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页），我方已于</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 xml:space="preserve">日收到。 </w:t>
      </w:r>
      <w:r>
        <w:rPr>
          <w:color w:val="000000" w:themeColor="text1"/>
          <w:lang w:eastAsia="zh-CN"/>
          <w14:textFill>
            <w14:solidFill>
              <w14:schemeClr w14:val="tx1"/>
            </w14:solidFill>
          </w14:textFill>
        </w:rPr>
        <w:t>特此确认。</w:t>
      </w: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spacing w:before="10"/>
        <w:rPr>
          <w:rFonts w:ascii="宋体" w:hAnsi="宋体" w:eastAsia="宋体" w:cs="宋体"/>
          <w:color w:val="000000" w:themeColor="text1"/>
          <w:sz w:val="26"/>
          <w:szCs w:val="26"/>
          <w:lang w:eastAsia="zh-CN"/>
          <w14:textFill>
            <w14:solidFill>
              <w14:schemeClr w14:val="tx1"/>
            </w14:solidFill>
          </w14:textFill>
        </w:rPr>
      </w:pPr>
    </w:p>
    <w:p>
      <w:pPr>
        <w:pStyle w:val="4"/>
        <w:tabs>
          <w:tab w:val="left" w:pos="7105"/>
        </w:tabs>
        <w:spacing w:before="0"/>
        <w:ind w:left="371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投标人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盖单位章）</w:t>
      </w:r>
    </w:p>
    <w:p>
      <w:pPr>
        <w:rPr>
          <w:rFonts w:ascii="宋体" w:hAnsi="宋体" w:eastAsia="宋体" w:cs="宋体"/>
          <w:color w:val="000000" w:themeColor="text1"/>
          <w:sz w:val="20"/>
          <w:szCs w:val="20"/>
          <w:lang w:eastAsia="zh-CN"/>
          <w14:textFill>
            <w14:solidFill>
              <w14:schemeClr w14:val="tx1"/>
            </w14:solidFill>
          </w14:textFill>
        </w:rPr>
      </w:pPr>
    </w:p>
    <w:p>
      <w:pPr>
        <w:spacing w:before="4"/>
        <w:rPr>
          <w:rFonts w:ascii="宋体" w:hAnsi="宋体" w:eastAsia="宋体" w:cs="宋体"/>
          <w:color w:val="000000" w:themeColor="text1"/>
          <w:sz w:val="21"/>
          <w:szCs w:val="21"/>
          <w:lang w:eastAsia="zh-CN"/>
          <w14:textFill>
            <w14:solidFill>
              <w14:schemeClr w14:val="tx1"/>
            </w14:solidFill>
          </w14:textFill>
        </w:rPr>
      </w:pPr>
    </w:p>
    <w:p>
      <w:pPr>
        <w:pStyle w:val="4"/>
        <w:tabs>
          <w:tab w:val="left" w:pos="5638"/>
          <w:tab w:val="left" w:pos="6358"/>
          <w:tab w:val="left" w:pos="7078"/>
        </w:tabs>
        <w:ind w:left="4678"/>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p>
    <w:p>
      <w:pPr>
        <w:rPr>
          <w:color w:val="000000" w:themeColor="text1"/>
          <w:lang w:eastAsia="zh-CN"/>
          <w14:textFill>
            <w14:solidFill>
              <w14:schemeClr w14:val="tx1"/>
            </w14:solidFill>
          </w14:textFill>
        </w:rPr>
        <w:sectPr>
          <w:type w:val="continuous"/>
          <w:pgSz w:w="11910" w:h="16840"/>
          <w:pgMar w:top="1600" w:right="1560" w:bottom="280" w:left="1680" w:header="720" w:footer="720" w:gutter="0"/>
          <w:cols w:space="720" w:num="1"/>
        </w:sect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spacing w:before="2"/>
        <w:rPr>
          <w:rFonts w:ascii="宋体" w:hAnsi="宋体" w:eastAsia="宋体" w:cs="宋体"/>
          <w:color w:val="000000" w:themeColor="text1"/>
          <w:sz w:val="20"/>
          <w:szCs w:val="20"/>
          <w:lang w:eastAsia="zh-CN"/>
          <w14:textFill>
            <w14:solidFill>
              <w14:schemeClr w14:val="tx1"/>
            </w14:solidFill>
          </w14:textFill>
        </w:rPr>
      </w:pPr>
    </w:p>
    <w:p>
      <w:pPr>
        <w:pStyle w:val="8"/>
        <w:tabs>
          <w:tab w:val="left" w:pos="4273"/>
        </w:tabs>
        <w:spacing w:line="460" w:lineRule="exact"/>
        <w:ind w:left="2828" w:right="106"/>
        <w:rPr>
          <w:b w:val="0"/>
          <w:bCs w:val="0"/>
          <w:color w:val="000000" w:themeColor="text1"/>
          <w:lang w:eastAsia="zh-CN"/>
          <w14:textFill>
            <w14:solidFill>
              <w14:schemeClr w14:val="tx1"/>
            </w14:solidFill>
          </w14:textFill>
        </w:rPr>
      </w:pPr>
      <w:bookmarkStart w:id="2" w:name="_TOC_250003"/>
      <w:r>
        <w:rPr>
          <w:color w:val="000000" w:themeColor="text1"/>
          <w:w w:val="95"/>
          <w:lang w:eastAsia="zh-CN"/>
          <w14:textFill>
            <w14:solidFill>
              <w14:schemeClr w14:val="tx1"/>
            </w14:solidFill>
          </w14:textFill>
        </w:rPr>
        <w:t>第三章</w:t>
      </w:r>
      <w:r>
        <w:rPr>
          <w:color w:val="000000" w:themeColor="text1"/>
          <w:w w:val="95"/>
          <w:lang w:eastAsia="zh-CN"/>
          <w14:textFill>
            <w14:solidFill>
              <w14:schemeClr w14:val="tx1"/>
            </w14:solidFill>
          </w14:textFill>
        </w:rPr>
        <w:tab/>
      </w:r>
      <w:r>
        <w:rPr>
          <w:color w:val="000000" w:themeColor="text1"/>
          <w:lang w:eastAsia="zh-CN"/>
          <w14:textFill>
            <w14:solidFill>
              <w14:schemeClr w14:val="tx1"/>
            </w14:solidFill>
          </w14:textFill>
        </w:rPr>
        <w:t>评标办法</w:t>
      </w:r>
      <w:bookmarkEnd w:id="2"/>
    </w:p>
    <w:p>
      <w:pPr>
        <w:spacing w:line="460" w:lineRule="exact"/>
        <w:rPr>
          <w:color w:val="000000" w:themeColor="text1"/>
          <w:lang w:eastAsia="zh-CN"/>
          <w14:textFill>
            <w14:solidFill>
              <w14:schemeClr w14:val="tx1"/>
            </w14:solidFill>
          </w14:textFill>
        </w:rPr>
        <w:sectPr>
          <w:pgSz w:w="11910" w:h="16840"/>
          <w:pgMar w:top="1240" w:right="1680" w:bottom="1520" w:left="1680" w:header="968" w:footer="1338" w:gutter="0"/>
          <w:cols w:space="720" w:num="1"/>
        </w:sectPr>
      </w:pPr>
    </w:p>
    <w:p>
      <w:pPr>
        <w:pStyle w:val="9"/>
        <w:tabs>
          <w:tab w:val="left" w:pos="3223"/>
        </w:tabs>
        <w:spacing w:before="213"/>
        <w:jc w:val="center"/>
        <w:rPr>
          <w:color w:val="000000" w:themeColor="text1"/>
          <w:lang w:eastAsia="zh-CN"/>
          <w14:textFill>
            <w14:solidFill>
              <w14:schemeClr w14:val="tx1"/>
            </w14:solidFill>
          </w14:textFill>
        </w:rPr>
      </w:pPr>
      <w:r>
        <w:rPr>
          <w:rFonts w:ascii="宋体" w:hAnsi="宋体" w:eastAsia="宋体" w:cs="宋体"/>
          <w:color w:val="000000" w:themeColor="text1"/>
          <w:w w:val="95"/>
          <w:lang w:eastAsia="zh-CN"/>
          <w14:textFill>
            <w14:solidFill>
              <w14:schemeClr w14:val="tx1"/>
            </w14:solidFill>
          </w14:textFill>
        </w:rPr>
        <w:t>第三章</w:t>
      </w:r>
      <w:r>
        <w:rPr>
          <w:rFonts w:hint="eastAsia"/>
          <w:color w:val="000000" w:themeColor="text1"/>
          <w:lang w:eastAsia="zh-CN"/>
          <w14:textFill>
            <w14:solidFill>
              <w14:schemeClr w14:val="tx1"/>
            </w14:solidFill>
          </w14:textFill>
        </w:rPr>
        <w:t>评标办法（综合评估</w:t>
      </w:r>
      <w:r>
        <w:rPr>
          <w:rFonts w:hint="eastAsia"/>
          <w:color w:val="000000" w:themeColor="text1"/>
          <w:spacing w:val="3"/>
          <w:lang w:eastAsia="zh-CN"/>
          <w14:textFill>
            <w14:solidFill>
              <w14:schemeClr w14:val="tx1"/>
            </w14:solidFill>
          </w14:textFill>
        </w:rPr>
        <w:t>法</w:t>
      </w:r>
      <w:r>
        <w:rPr>
          <w:rFonts w:hint="eastAsia"/>
          <w:color w:val="000000" w:themeColor="text1"/>
          <w:lang w:eastAsia="zh-CN"/>
          <w14:textFill>
            <w14:solidFill>
              <w14:schemeClr w14:val="tx1"/>
            </w14:solidFill>
          </w14:textFill>
        </w:rPr>
        <w:t>）</w:t>
      </w:r>
    </w:p>
    <w:p>
      <w:pPr>
        <w:pStyle w:val="4"/>
        <w:rPr>
          <w:rFonts w:ascii="黑体" w:hAnsi="黑体" w:eastAsia="黑体"/>
          <w:color w:val="000000" w:themeColor="text1"/>
          <w14:textFill>
            <w14:solidFill>
              <w14:schemeClr w14:val="tx1"/>
            </w14:solidFill>
          </w14:textFill>
        </w:rPr>
      </w:pPr>
      <w:bookmarkStart w:id="3" w:name="_bookmark93"/>
      <w:bookmarkEnd w:id="3"/>
      <w:r>
        <w:rPr>
          <w:rFonts w:hint="eastAsia" w:ascii="黑体" w:hAnsi="黑体" w:eastAsia="黑体"/>
          <w:color w:val="000000" w:themeColor="text1"/>
          <w14:textFill>
            <w14:solidFill>
              <w14:schemeClr w14:val="tx1"/>
            </w14:solidFill>
          </w14:textFill>
        </w:rPr>
        <w:t>评标办法前附表</w:t>
      </w:r>
    </w:p>
    <w:tbl>
      <w:tblPr>
        <w:tblStyle w:val="23"/>
        <w:tblW w:w="10012"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70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512" w:type="dxa"/>
            <w:gridSpan w:val="2"/>
            <w:vAlign w:val="center"/>
          </w:tcPr>
          <w:p>
            <w:pPr>
              <w:wordWrap w:val="0"/>
              <w:spacing w:line="340" w:lineRule="exact"/>
              <w:jc w:val="center"/>
              <w:rPr>
                <w:rFonts w:ascii="Times New Roman" w:hAnsi="Times New Roman"/>
                <w:b/>
                <w:sz w:val="21"/>
                <w:szCs w:val="21"/>
              </w:rPr>
            </w:pPr>
            <w:r>
              <w:rPr>
                <w:rFonts w:hint="eastAsia" w:ascii="Times New Roman" w:hAnsi="Times New Roman"/>
                <w:b/>
                <w:sz w:val="21"/>
                <w:szCs w:val="21"/>
              </w:rPr>
              <w:t>条款号</w:t>
            </w:r>
          </w:p>
        </w:tc>
        <w:tc>
          <w:tcPr>
            <w:tcW w:w="7500" w:type="dxa"/>
            <w:vAlign w:val="center"/>
          </w:tcPr>
          <w:p>
            <w:pPr>
              <w:wordWrap w:val="0"/>
              <w:spacing w:line="340" w:lineRule="exact"/>
              <w:jc w:val="center"/>
              <w:rPr>
                <w:rFonts w:ascii="Times New Roman" w:hAnsi="Times New Roman"/>
                <w:b/>
                <w:sz w:val="21"/>
                <w:szCs w:val="21"/>
              </w:rPr>
            </w:pPr>
            <w:r>
              <w:rPr>
                <w:rFonts w:hint="eastAsia" w:ascii="Times New Roman" w:hAnsi="Times New Roman"/>
                <w:b/>
                <w:sz w:val="21"/>
                <w:szCs w:val="21"/>
              </w:rPr>
              <w:t>评审因素与评审标准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2" w:type="dxa"/>
            <w:vAlign w:val="center"/>
          </w:tcPr>
          <w:p>
            <w:pPr>
              <w:wordWrap w:val="0"/>
              <w:spacing w:line="340" w:lineRule="exact"/>
              <w:jc w:val="center"/>
              <w:rPr>
                <w:rFonts w:ascii="Times New Roman" w:hAnsi="Times New Roman"/>
                <w:sz w:val="21"/>
                <w:szCs w:val="21"/>
              </w:rPr>
            </w:pPr>
            <w:r>
              <w:rPr>
                <w:rFonts w:ascii="Times New Roman" w:hAnsi="Times New Roman"/>
                <w:sz w:val="21"/>
                <w:szCs w:val="21"/>
              </w:rPr>
              <w:t>1</w:t>
            </w:r>
          </w:p>
        </w:tc>
        <w:tc>
          <w:tcPr>
            <w:tcW w:w="1700" w:type="dxa"/>
            <w:vAlign w:val="center"/>
          </w:tcPr>
          <w:p>
            <w:pPr>
              <w:wordWrap w:val="0"/>
              <w:spacing w:line="340" w:lineRule="exact"/>
              <w:jc w:val="center"/>
              <w:rPr>
                <w:rFonts w:ascii="Times New Roman" w:hAnsi="Times New Roman"/>
                <w:sz w:val="21"/>
                <w:szCs w:val="21"/>
              </w:rPr>
            </w:pPr>
            <w:r>
              <w:rPr>
                <w:rFonts w:hint="eastAsia" w:ascii="Times New Roman" w:hAnsi="Times New Roman"/>
                <w:sz w:val="21"/>
                <w:szCs w:val="21"/>
              </w:rPr>
              <w:t>评标方法</w:t>
            </w:r>
          </w:p>
        </w:tc>
        <w:tc>
          <w:tcPr>
            <w:tcW w:w="7500" w:type="dxa"/>
            <w:vAlign w:val="center"/>
          </w:tcPr>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综合评分相等时，评标委员会依次按照以下优先顺序推荐中标候选人或确定中标人：</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w:t>
            </w:r>
            <w:r>
              <w:rPr>
                <w:rFonts w:hint="eastAsia" w:ascii="Times New Roman" w:hAnsi="Times New Roman"/>
                <w:sz w:val="21"/>
                <w:szCs w:val="21"/>
                <w:lang w:eastAsia="zh-CN"/>
              </w:rPr>
              <w:t>）评标价低的投标人优先；</w:t>
            </w:r>
          </w:p>
          <w:p>
            <w:pPr>
              <w:ind w:firstLine="420" w:firstLineChars="200"/>
              <w:rPr>
                <w:rFonts w:ascii="宋体" w:hAnsi="宋体" w:cs="宋体"/>
                <w:sz w:val="21"/>
                <w:szCs w:val="21"/>
                <w:lang w:eastAsia="zh-CN"/>
              </w:rPr>
            </w:pPr>
            <w:r>
              <w:rPr>
                <w:rFonts w:hint="eastAsia" w:ascii="宋体" w:hAnsi="宋体" w:cs="宋体"/>
                <w:sz w:val="21"/>
                <w:szCs w:val="21"/>
                <w:lang w:eastAsia="zh-CN"/>
              </w:rPr>
              <w:t>（</w:t>
            </w:r>
            <w:r>
              <w:rPr>
                <w:rFonts w:ascii="Times New Roman" w:hAnsi="Times New Roman"/>
                <w:sz w:val="21"/>
                <w:szCs w:val="21"/>
                <w:lang w:eastAsia="zh-CN"/>
              </w:rPr>
              <w:t>2</w:t>
            </w:r>
            <w:r>
              <w:rPr>
                <w:rFonts w:hint="eastAsia" w:ascii="宋体" w:hAnsi="宋体" w:cs="宋体"/>
                <w:sz w:val="21"/>
                <w:szCs w:val="21"/>
                <w:lang w:eastAsia="zh-CN"/>
              </w:rPr>
              <w:t>）按招标文件规定被认定为最新年度广东省公路工程从业单位（设计单位）信用评价等级较高的投标人优先；【采用如下的优先顺序：</w:t>
            </w:r>
            <w:r>
              <w:rPr>
                <w:rFonts w:ascii="Times New Roman" w:hAnsi="Times New Roman"/>
                <w:sz w:val="21"/>
                <w:szCs w:val="21"/>
                <w:lang w:eastAsia="zh-CN"/>
              </w:rPr>
              <w:t xml:space="preserve"> AA</w:t>
            </w:r>
            <w:r>
              <w:rPr>
                <w:rFonts w:hint="eastAsia" w:ascii="宋体" w:hAnsi="宋体" w:cs="宋体"/>
                <w:sz w:val="21"/>
                <w:szCs w:val="21"/>
                <w:lang w:eastAsia="zh-CN"/>
              </w:rPr>
              <w:t>级投标人、</w:t>
            </w:r>
            <w:r>
              <w:rPr>
                <w:rFonts w:ascii="Times New Roman" w:hAnsi="Times New Roman"/>
                <w:sz w:val="21"/>
                <w:szCs w:val="21"/>
                <w:lang w:eastAsia="zh-CN"/>
              </w:rPr>
              <w:t>A</w:t>
            </w:r>
            <w:r>
              <w:rPr>
                <w:rFonts w:hint="eastAsia" w:ascii="宋体" w:hAnsi="宋体" w:cs="宋体"/>
                <w:sz w:val="21"/>
                <w:szCs w:val="21"/>
                <w:lang w:eastAsia="zh-CN"/>
              </w:rPr>
              <w:t>级投标人、</w:t>
            </w:r>
            <w:r>
              <w:rPr>
                <w:rFonts w:ascii="Times New Roman" w:hAnsi="Times New Roman"/>
                <w:sz w:val="21"/>
                <w:szCs w:val="21"/>
                <w:lang w:eastAsia="zh-CN"/>
              </w:rPr>
              <w:t>B</w:t>
            </w:r>
            <w:r>
              <w:rPr>
                <w:rFonts w:hint="eastAsia" w:ascii="宋体" w:hAnsi="宋体" w:cs="宋体"/>
                <w:sz w:val="21"/>
                <w:szCs w:val="21"/>
                <w:lang w:eastAsia="zh-CN"/>
              </w:rPr>
              <w:t>级投标人、未参评且被确定为</w:t>
            </w:r>
            <w:r>
              <w:rPr>
                <w:rFonts w:ascii="Times New Roman" w:hAnsi="Times New Roman"/>
                <w:sz w:val="21"/>
                <w:szCs w:val="21"/>
                <w:lang w:eastAsia="zh-CN"/>
              </w:rPr>
              <w:t>B</w:t>
            </w:r>
            <w:r>
              <w:rPr>
                <w:rFonts w:hint="eastAsia" w:ascii="宋体" w:hAnsi="宋体" w:cs="宋体"/>
                <w:sz w:val="21"/>
                <w:szCs w:val="21"/>
                <w:lang w:eastAsia="zh-CN"/>
              </w:rPr>
              <w:t>级投标人】</w:t>
            </w:r>
          </w:p>
          <w:p>
            <w:pPr>
              <w:ind w:firstLine="315" w:firstLineChars="150"/>
              <w:rPr>
                <w:rFonts w:ascii="宋体" w:hAnsi="宋体" w:cs="宋体"/>
                <w:sz w:val="21"/>
                <w:szCs w:val="21"/>
                <w:lang w:eastAsia="zh-CN"/>
              </w:rPr>
            </w:pPr>
            <w:r>
              <w:rPr>
                <w:rFonts w:hint="eastAsia" w:ascii="宋体" w:hAnsi="宋体" w:cs="宋体"/>
                <w:sz w:val="21"/>
                <w:szCs w:val="21"/>
                <w:lang w:eastAsia="zh-CN"/>
              </w:rPr>
              <w:t>（</w:t>
            </w:r>
            <w:r>
              <w:rPr>
                <w:rFonts w:ascii="Times New Roman" w:hAnsi="Times New Roman"/>
                <w:sz w:val="21"/>
                <w:szCs w:val="21"/>
                <w:lang w:eastAsia="zh-CN"/>
              </w:rPr>
              <w:t>3</w:t>
            </w:r>
            <w:r>
              <w:rPr>
                <w:rFonts w:hint="eastAsia" w:ascii="宋体" w:hAnsi="宋体" w:cs="宋体"/>
                <w:sz w:val="21"/>
                <w:szCs w:val="21"/>
                <w:lang w:eastAsia="zh-CN"/>
              </w:rPr>
              <w:t xml:space="preserve">）商务和技术得分较高的投标人优先； </w:t>
            </w:r>
          </w:p>
          <w:p>
            <w:pPr>
              <w:wordWrap w:val="0"/>
              <w:spacing w:line="340" w:lineRule="exact"/>
              <w:ind w:firstLine="315" w:firstLineChars="150"/>
              <w:rPr>
                <w:rFonts w:ascii="Times New Roman" w:hAnsi="Times New Roman"/>
                <w:sz w:val="21"/>
                <w:szCs w:val="21"/>
                <w:lang w:eastAsia="zh-CN"/>
              </w:rPr>
            </w:pPr>
            <w:r>
              <w:rPr>
                <w:rFonts w:hint="eastAsia" w:ascii="宋体" w:hAnsi="宋体" w:cs="宋体"/>
                <w:sz w:val="21"/>
                <w:szCs w:val="21"/>
                <w:lang w:eastAsia="zh-CN"/>
              </w:rPr>
              <w:t>（</w:t>
            </w:r>
            <w:r>
              <w:rPr>
                <w:rFonts w:ascii="Times New Roman" w:hAnsi="Times New Roman"/>
                <w:sz w:val="21"/>
                <w:szCs w:val="21"/>
                <w:lang w:eastAsia="zh-CN"/>
              </w:rPr>
              <w:t>4</w:t>
            </w:r>
            <w:r>
              <w:rPr>
                <w:rFonts w:hint="eastAsia" w:ascii="宋体" w:hAnsi="宋体" w:cs="宋体"/>
                <w:sz w:val="21"/>
                <w:szCs w:val="21"/>
                <w:lang w:eastAsia="zh-CN"/>
              </w:rPr>
              <w:t>）评标委员会视投标人情况综合比较，投票确定其名次。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wordWrap w:val="0"/>
              <w:spacing w:line="340" w:lineRule="exact"/>
              <w:jc w:val="center"/>
              <w:rPr>
                <w:rFonts w:ascii="Times New Roman" w:hAnsi="Times New Roman"/>
                <w:sz w:val="21"/>
                <w:szCs w:val="21"/>
              </w:rPr>
            </w:pPr>
            <w:r>
              <w:rPr>
                <w:rFonts w:ascii="Times New Roman" w:hAnsi="Times New Roman"/>
                <w:sz w:val="21"/>
                <w:szCs w:val="21"/>
              </w:rPr>
              <w:t>2.1.1</w:t>
            </w:r>
          </w:p>
          <w:p>
            <w:pPr>
              <w:wordWrap w:val="0"/>
              <w:spacing w:line="340" w:lineRule="exact"/>
              <w:jc w:val="center"/>
              <w:rPr>
                <w:rFonts w:ascii="Times New Roman" w:hAnsi="Times New Roman"/>
                <w:sz w:val="21"/>
                <w:szCs w:val="21"/>
              </w:rPr>
            </w:pPr>
            <w:r>
              <w:rPr>
                <w:rFonts w:ascii="Times New Roman" w:hAnsi="Times New Roman"/>
                <w:sz w:val="21"/>
                <w:szCs w:val="21"/>
              </w:rPr>
              <w:t>2.1.3</w:t>
            </w:r>
          </w:p>
        </w:tc>
        <w:tc>
          <w:tcPr>
            <w:tcW w:w="1700" w:type="dxa"/>
            <w:vAlign w:val="center"/>
          </w:tcPr>
          <w:p>
            <w:pPr>
              <w:wordWrap w:val="0"/>
              <w:spacing w:line="340" w:lineRule="exact"/>
              <w:jc w:val="center"/>
              <w:rPr>
                <w:rFonts w:ascii="Times New Roman" w:hAnsi="Times New Roman"/>
                <w:sz w:val="21"/>
                <w:szCs w:val="21"/>
                <w:lang w:eastAsia="zh-CN"/>
              </w:rPr>
            </w:pPr>
            <w:r>
              <w:rPr>
                <w:rFonts w:hint="eastAsia" w:ascii="Times New Roman" w:hAnsi="Times New Roman"/>
                <w:sz w:val="21"/>
                <w:szCs w:val="21"/>
                <w:lang w:eastAsia="zh-CN"/>
              </w:rPr>
              <w:t>形式评审与响应性评审标准</w:t>
            </w:r>
          </w:p>
        </w:tc>
        <w:tc>
          <w:tcPr>
            <w:tcW w:w="7500" w:type="dxa"/>
            <w:vAlign w:val="center"/>
          </w:tcPr>
          <w:p>
            <w:pPr>
              <w:wordWrap w:val="0"/>
              <w:ind w:firstLine="420" w:firstLineChars="200"/>
              <w:rPr>
                <w:rFonts w:ascii="Times New Roman" w:hAnsi="Times New Roman"/>
                <w:b/>
                <w:sz w:val="21"/>
                <w:szCs w:val="21"/>
                <w:lang w:eastAsia="zh-CN"/>
              </w:rPr>
            </w:pPr>
            <w:r>
              <w:rPr>
                <w:rFonts w:hint="eastAsia" w:ascii="Times New Roman" w:hAnsi="Times New Roman"/>
                <w:b/>
                <w:sz w:val="21"/>
                <w:szCs w:val="21"/>
                <w:lang w:eastAsia="zh-CN"/>
              </w:rPr>
              <w:t>第一个信封（商务及技术文件）评审标准：</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w:t>
            </w:r>
            <w:r>
              <w:rPr>
                <w:rFonts w:hint="eastAsia" w:ascii="Times New Roman" w:hAnsi="Times New Roman"/>
                <w:sz w:val="21"/>
                <w:szCs w:val="21"/>
                <w:lang w:eastAsia="zh-CN"/>
              </w:rPr>
              <w:t>）投标文件按照招标文件规定的格式、内容填写，字迹清晰可辨：</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a.</w:t>
            </w:r>
            <w:r>
              <w:rPr>
                <w:rFonts w:hint="eastAsia" w:ascii="Times New Roman" w:hAnsi="Times New Roman"/>
                <w:sz w:val="21"/>
                <w:szCs w:val="21"/>
                <w:lang w:eastAsia="zh-CN"/>
              </w:rPr>
              <w:t>投标函按招标文件规定填报了项目名称、标段号、补遗书编号（如有）、勘察设计服务期限、工程质量要求及安全目标；</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b.</w:t>
            </w:r>
            <w:r>
              <w:rPr>
                <w:rFonts w:hint="eastAsia" w:ascii="Times New Roman" w:hAnsi="Times New Roman"/>
                <w:sz w:val="21"/>
                <w:szCs w:val="21"/>
                <w:lang w:eastAsia="zh-CN"/>
              </w:rPr>
              <w:t>投标文件组成齐全完整，内容均按规定填写。</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2</w:t>
            </w:r>
            <w:r>
              <w:rPr>
                <w:rFonts w:hint="eastAsia" w:ascii="Times New Roman" w:hAnsi="Times New Roman"/>
                <w:sz w:val="21"/>
                <w:szCs w:val="21"/>
                <w:lang w:eastAsia="zh-CN"/>
              </w:rPr>
              <w:t>）投标文件上法定代表人或其委托代理人的签字、投标人的单位章盖章齐全，符合招标文件规定。</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3</w:t>
            </w:r>
            <w:r>
              <w:rPr>
                <w:rFonts w:hint="eastAsia" w:ascii="Times New Roman" w:hAnsi="Times New Roman"/>
                <w:sz w:val="21"/>
                <w:szCs w:val="21"/>
                <w:lang w:eastAsia="zh-CN"/>
              </w:rPr>
              <w:t>）投标人按照招标文件的规定提供了投标保证金：</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a.</w:t>
            </w:r>
            <w:r>
              <w:rPr>
                <w:rFonts w:hint="eastAsia" w:ascii="Times New Roman" w:hAnsi="Times New Roman"/>
                <w:sz w:val="21"/>
                <w:szCs w:val="21"/>
                <w:lang w:eastAsia="zh-CN"/>
              </w:rPr>
              <w:t>投标保证金金额符合招标文件规定的金额，且投标保证金有效期不少于投标有效期；</w:t>
            </w:r>
          </w:p>
          <w:p>
            <w:pPr>
              <w:ind w:firstLine="420" w:firstLineChars="200"/>
              <w:rPr>
                <w:rFonts w:ascii="宋体" w:hAnsi="宋体" w:cs="宋体"/>
                <w:sz w:val="21"/>
                <w:szCs w:val="21"/>
                <w:lang w:eastAsia="zh-CN"/>
              </w:rPr>
            </w:pPr>
            <w:r>
              <w:rPr>
                <w:rFonts w:ascii="Times New Roman" w:hAnsi="Times New Roman"/>
                <w:sz w:val="21"/>
                <w:szCs w:val="21"/>
                <w:lang w:eastAsia="zh-CN"/>
              </w:rPr>
              <w:t>b.</w:t>
            </w:r>
            <w:r>
              <w:rPr>
                <w:rFonts w:hint="eastAsia" w:ascii="宋体" w:hAnsi="宋体" w:cs="宋体"/>
                <w:sz w:val="21"/>
                <w:szCs w:val="21"/>
                <w:lang w:eastAsia="zh-CN"/>
              </w:rPr>
              <w:t xml:space="preserve">若投标保证金采用现金或支票形式提交，投标人应在投标人须知前附表 </w:t>
            </w:r>
            <w:r>
              <w:rPr>
                <w:rFonts w:ascii="Times New Roman" w:hAnsi="Times New Roman"/>
                <w:sz w:val="21"/>
                <w:szCs w:val="21"/>
                <w:lang w:eastAsia="zh-CN"/>
              </w:rPr>
              <w:t>3.4.1</w:t>
            </w:r>
            <w:r>
              <w:rPr>
                <w:rFonts w:hint="eastAsia" w:ascii="宋体" w:hAnsi="宋体" w:cs="宋体"/>
                <w:sz w:val="21"/>
                <w:szCs w:val="21"/>
                <w:lang w:eastAsia="zh-CN"/>
              </w:rPr>
              <w:t xml:space="preserve">款规定的时间，将投标保证金由投标人的基本账户转入招标人指定账户； </w:t>
            </w:r>
          </w:p>
          <w:p>
            <w:pPr>
              <w:ind w:firstLine="420" w:firstLineChars="200"/>
              <w:rPr>
                <w:rFonts w:ascii="Times New Roman" w:hAnsi="Times New Roman"/>
                <w:sz w:val="21"/>
                <w:szCs w:val="21"/>
                <w:lang w:eastAsia="zh-CN"/>
              </w:rPr>
            </w:pPr>
            <w:r>
              <w:rPr>
                <w:rFonts w:ascii="Times New Roman" w:hAnsi="Times New Roman"/>
                <w:sz w:val="21"/>
                <w:szCs w:val="21"/>
                <w:lang w:eastAsia="zh-CN"/>
              </w:rPr>
              <w:t>c.</w:t>
            </w:r>
            <w:r>
              <w:rPr>
                <w:rFonts w:hint="eastAsia" w:ascii="宋体" w:hAnsi="宋体" w:cs="宋体"/>
                <w:sz w:val="21"/>
                <w:szCs w:val="21"/>
                <w:lang w:eastAsia="zh-CN"/>
              </w:rPr>
              <w:t>若投标保证金采用银行保函形式提交，银行保函的格式、开具保函的银行均满足招标文件要求，银行保函原件在递交投标文件时单独密封递交，其复印件装订在投标文件中。</w:t>
            </w:r>
          </w:p>
          <w:p>
            <w:pPr>
              <w:wordWrap w:val="0"/>
              <w:ind w:firstLine="420" w:firstLineChars="200"/>
              <w:rPr>
                <w:rFonts w:hint="eastAsia"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4</w:t>
            </w:r>
            <w:r>
              <w:rPr>
                <w:rFonts w:hint="eastAsia" w:ascii="Times New Roman" w:hAnsi="Times New Roman"/>
                <w:sz w:val="21"/>
                <w:szCs w:val="21"/>
                <w:lang w:eastAsia="zh-CN"/>
              </w:rPr>
              <w:t>）投标人法定代表人授权委托代理人签署投标文件的，须提交授权委托书，且授权人和被授权人均在授权委托书上签名，未使用印章、签名章或其他电子制版签名代替；</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5</w:t>
            </w:r>
            <w:r>
              <w:rPr>
                <w:rFonts w:hint="eastAsia" w:ascii="Times New Roman" w:hAnsi="Times New Roman"/>
                <w:sz w:val="21"/>
                <w:szCs w:val="21"/>
                <w:lang w:eastAsia="zh-CN"/>
              </w:rPr>
              <w:t>）投标人法定代表人亲自签署投标文件的，提供了法定代表人身份证明，且法定代表人在法定代表人身份证明上签名，未使用印章、签名章或其他电子制版签名代替。</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6</w:t>
            </w:r>
            <w:r>
              <w:rPr>
                <w:rFonts w:hint="eastAsia" w:ascii="Times New Roman" w:hAnsi="Times New Roman"/>
                <w:sz w:val="21"/>
                <w:szCs w:val="21"/>
                <w:lang w:eastAsia="zh-CN"/>
              </w:rPr>
              <w:t>）投标人无分包计划，符合招标文件第二章</w:t>
            </w:r>
            <w:r>
              <w:rPr>
                <w:rFonts w:ascii="Times New Roman" w:hAnsi="Times New Roman"/>
                <w:sz w:val="21"/>
                <w:szCs w:val="21"/>
                <w:lang w:eastAsia="zh-CN"/>
              </w:rPr>
              <w:t>“</w:t>
            </w:r>
            <w:r>
              <w:rPr>
                <w:rFonts w:hint="eastAsia" w:ascii="Times New Roman" w:hAnsi="Times New Roman"/>
                <w:sz w:val="21"/>
                <w:szCs w:val="21"/>
                <w:lang w:eastAsia="zh-CN"/>
              </w:rPr>
              <w:t>投标人须知</w:t>
            </w:r>
            <w:r>
              <w:rPr>
                <w:rFonts w:ascii="Times New Roman" w:hAnsi="Times New Roman"/>
                <w:sz w:val="21"/>
                <w:szCs w:val="21"/>
                <w:lang w:eastAsia="zh-CN"/>
              </w:rPr>
              <w:t>”</w:t>
            </w:r>
            <w:r>
              <w:rPr>
                <w:rFonts w:hint="eastAsia" w:ascii="Times New Roman" w:hAnsi="Times New Roman"/>
                <w:sz w:val="21"/>
                <w:szCs w:val="21"/>
                <w:lang w:eastAsia="zh-CN"/>
              </w:rPr>
              <w:t>第</w:t>
            </w:r>
            <w:r>
              <w:rPr>
                <w:rFonts w:ascii="Times New Roman" w:hAnsi="Times New Roman"/>
                <w:sz w:val="21"/>
                <w:szCs w:val="21"/>
                <w:lang w:eastAsia="zh-CN"/>
              </w:rPr>
              <w:t>1.11</w:t>
            </w:r>
            <w:r>
              <w:rPr>
                <w:rFonts w:hint="eastAsia" w:ascii="Times New Roman" w:hAnsi="Times New Roman"/>
                <w:sz w:val="21"/>
                <w:szCs w:val="21"/>
                <w:lang w:eastAsia="zh-CN"/>
              </w:rPr>
              <w:t>款规定，且按招标文件第六章</w:t>
            </w:r>
            <w:r>
              <w:rPr>
                <w:rFonts w:ascii="Times New Roman" w:hAnsi="Times New Roman"/>
                <w:sz w:val="21"/>
                <w:szCs w:val="21"/>
                <w:lang w:eastAsia="zh-CN"/>
              </w:rPr>
              <w:t>“</w:t>
            </w:r>
            <w:r>
              <w:rPr>
                <w:rFonts w:hint="eastAsia" w:ascii="Times New Roman" w:hAnsi="Times New Roman"/>
                <w:sz w:val="21"/>
                <w:szCs w:val="21"/>
                <w:lang w:eastAsia="zh-CN"/>
              </w:rPr>
              <w:t>投标文件格式</w:t>
            </w:r>
            <w:r>
              <w:rPr>
                <w:rFonts w:ascii="Times New Roman" w:hAnsi="Times New Roman"/>
                <w:sz w:val="21"/>
                <w:szCs w:val="21"/>
                <w:lang w:eastAsia="zh-CN"/>
              </w:rPr>
              <w:t>”</w:t>
            </w:r>
            <w:r>
              <w:rPr>
                <w:rFonts w:hint="eastAsia" w:ascii="Times New Roman" w:hAnsi="Times New Roman"/>
                <w:sz w:val="21"/>
                <w:szCs w:val="21"/>
                <w:lang w:eastAsia="zh-CN"/>
              </w:rPr>
              <w:t>的要求填写了</w:t>
            </w:r>
            <w:r>
              <w:rPr>
                <w:rFonts w:ascii="Times New Roman" w:hAnsi="Times New Roman"/>
                <w:sz w:val="21"/>
                <w:szCs w:val="21"/>
                <w:lang w:eastAsia="zh-CN"/>
              </w:rPr>
              <w:t>“</w:t>
            </w:r>
            <w:r>
              <w:rPr>
                <w:rFonts w:hint="eastAsia" w:ascii="Times New Roman" w:hAnsi="Times New Roman"/>
                <w:sz w:val="21"/>
                <w:szCs w:val="21"/>
                <w:lang w:eastAsia="zh-CN"/>
              </w:rPr>
              <w:t>拟分包项目情况表</w:t>
            </w:r>
            <w:r>
              <w:rPr>
                <w:rFonts w:ascii="Times New Roman" w:hAnsi="Times New Roman"/>
                <w:sz w:val="21"/>
                <w:szCs w:val="21"/>
                <w:lang w:eastAsia="zh-CN"/>
              </w:rPr>
              <w:t>”</w:t>
            </w:r>
            <w:r>
              <w:rPr>
                <w:rFonts w:hint="eastAsia" w:ascii="Times New Roman" w:hAnsi="Times New Roman"/>
                <w:sz w:val="21"/>
                <w:szCs w:val="21"/>
                <w:lang w:eastAsia="zh-CN"/>
              </w:rPr>
              <w:t>。</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7</w:t>
            </w:r>
            <w:r>
              <w:rPr>
                <w:rFonts w:hint="eastAsia" w:ascii="Times New Roman" w:hAnsi="Times New Roman"/>
                <w:sz w:val="21"/>
                <w:szCs w:val="21"/>
                <w:lang w:eastAsia="zh-CN"/>
              </w:rPr>
              <w:t>）同一投标人未提交两个以上不同的投标文件。</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8</w:t>
            </w:r>
            <w:r>
              <w:rPr>
                <w:rFonts w:hint="eastAsia" w:ascii="Times New Roman" w:hAnsi="Times New Roman"/>
                <w:sz w:val="21"/>
                <w:szCs w:val="21"/>
                <w:lang w:eastAsia="zh-CN"/>
              </w:rPr>
              <w:t>）第一信封投标文件中未出现有关投标报价的内容。</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9</w:t>
            </w:r>
            <w:r>
              <w:rPr>
                <w:rFonts w:hint="eastAsia" w:ascii="Times New Roman" w:hAnsi="Times New Roman"/>
                <w:sz w:val="21"/>
                <w:szCs w:val="21"/>
                <w:lang w:eastAsia="zh-CN"/>
              </w:rPr>
              <w:t>）投标文件载明的招标项目完成期限未超过招标文件规定的时限。</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10</w:t>
            </w:r>
            <w:r>
              <w:rPr>
                <w:rFonts w:hint="eastAsia" w:ascii="Times New Roman" w:hAnsi="Times New Roman"/>
                <w:sz w:val="21"/>
                <w:szCs w:val="21"/>
                <w:lang w:eastAsia="zh-CN"/>
              </w:rPr>
              <w:t>）投标文件对招标文件的实质性要求和条件作出响应。</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11</w:t>
            </w:r>
            <w:r>
              <w:rPr>
                <w:rFonts w:hint="eastAsia" w:ascii="Times New Roman" w:hAnsi="Times New Roman"/>
                <w:sz w:val="21"/>
                <w:szCs w:val="21"/>
                <w:lang w:eastAsia="zh-CN"/>
              </w:rPr>
              <w:t>）权利义务符合招标文件规定：</w:t>
            </w:r>
          </w:p>
          <w:p>
            <w:pPr>
              <w:ind w:firstLine="420" w:firstLineChars="200"/>
              <w:rPr>
                <w:rFonts w:ascii="宋体" w:hAnsi="宋体" w:cs="宋体"/>
                <w:sz w:val="21"/>
                <w:szCs w:val="21"/>
                <w:lang w:eastAsia="zh-CN"/>
              </w:rPr>
            </w:pPr>
            <w:r>
              <w:rPr>
                <w:rFonts w:ascii="Times New Roman" w:hAnsi="Times New Roman"/>
                <w:sz w:val="21"/>
                <w:szCs w:val="21"/>
                <w:lang w:eastAsia="zh-CN"/>
              </w:rPr>
              <w:t>a.</w:t>
            </w:r>
            <w:r>
              <w:rPr>
                <w:rFonts w:hint="eastAsia" w:ascii="宋体" w:hAnsi="宋体" w:cs="宋体"/>
                <w:sz w:val="21"/>
                <w:szCs w:val="21"/>
                <w:lang w:eastAsia="zh-CN"/>
              </w:rPr>
              <w:t xml:space="preserve">投标人应接受招标文件规定的风险划分原则，未提出新的风险划分办法； </w:t>
            </w:r>
          </w:p>
          <w:p>
            <w:pPr>
              <w:ind w:firstLine="420" w:firstLineChars="200"/>
              <w:rPr>
                <w:rFonts w:ascii="宋体" w:hAnsi="宋体" w:cs="宋体"/>
                <w:sz w:val="21"/>
                <w:szCs w:val="21"/>
                <w:lang w:eastAsia="zh-CN"/>
              </w:rPr>
            </w:pPr>
            <w:r>
              <w:rPr>
                <w:rFonts w:ascii="Times New Roman" w:hAnsi="Times New Roman"/>
                <w:sz w:val="21"/>
                <w:szCs w:val="21"/>
                <w:lang w:eastAsia="zh-CN"/>
              </w:rPr>
              <w:t>b.</w:t>
            </w:r>
            <w:r>
              <w:rPr>
                <w:rFonts w:hint="eastAsia" w:ascii="宋体" w:hAnsi="宋体" w:cs="宋体"/>
                <w:sz w:val="21"/>
                <w:szCs w:val="21"/>
                <w:lang w:eastAsia="zh-CN"/>
              </w:rPr>
              <w:t xml:space="preserve">投标人未增加发包人的责任范围，或减少投标人义务； </w:t>
            </w:r>
          </w:p>
          <w:p>
            <w:pPr>
              <w:ind w:firstLine="420" w:firstLineChars="200"/>
              <w:rPr>
                <w:rFonts w:ascii="宋体" w:hAnsi="宋体" w:cs="宋体"/>
                <w:sz w:val="21"/>
                <w:szCs w:val="21"/>
                <w:lang w:eastAsia="zh-CN"/>
              </w:rPr>
            </w:pPr>
            <w:r>
              <w:rPr>
                <w:rFonts w:ascii="Times New Roman" w:hAnsi="Times New Roman"/>
                <w:sz w:val="21"/>
                <w:szCs w:val="21"/>
                <w:lang w:eastAsia="zh-CN"/>
              </w:rPr>
              <w:t>c.</w:t>
            </w:r>
            <w:r>
              <w:rPr>
                <w:rFonts w:hint="eastAsia" w:ascii="宋体" w:hAnsi="宋体" w:cs="宋体"/>
                <w:sz w:val="21"/>
                <w:szCs w:val="21"/>
                <w:lang w:eastAsia="zh-CN"/>
              </w:rPr>
              <w:t xml:space="preserve">投标人未提出不同的支付办法； </w:t>
            </w:r>
          </w:p>
          <w:p>
            <w:pPr>
              <w:ind w:firstLine="420" w:firstLineChars="200"/>
              <w:rPr>
                <w:rFonts w:ascii="宋体" w:hAnsi="宋体" w:cs="宋体"/>
                <w:sz w:val="21"/>
                <w:szCs w:val="21"/>
                <w:lang w:eastAsia="zh-CN"/>
              </w:rPr>
            </w:pPr>
            <w:r>
              <w:rPr>
                <w:rFonts w:ascii="Times New Roman" w:hAnsi="Times New Roman"/>
                <w:sz w:val="21"/>
                <w:szCs w:val="21"/>
                <w:lang w:eastAsia="zh-CN"/>
              </w:rPr>
              <w:t>d.</w:t>
            </w:r>
            <w:r>
              <w:rPr>
                <w:rFonts w:hint="eastAsia" w:ascii="宋体" w:hAnsi="宋体" w:cs="宋体"/>
                <w:sz w:val="21"/>
                <w:szCs w:val="21"/>
                <w:lang w:eastAsia="zh-CN"/>
              </w:rPr>
              <w:t xml:space="preserve">投标人对合同纠纷、事故处理办法未提出异议； </w:t>
            </w:r>
          </w:p>
          <w:p>
            <w:pPr>
              <w:ind w:firstLine="420" w:firstLineChars="200"/>
              <w:rPr>
                <w:rFonts w:ascii="宋体" w:hAnsi="宋体" w:cs="宋体"/>
                <w:sz w:val="21"/>
                <w:szCs w:val="21"/>
                <w:lang w:eastAsia="zh-CN"/>
              </w:rPr>
            </w:pPr>
            <w:r>
              <w:rPr>
                <w:rFonts w:ascii="Times New Roman" w:hAnsi="Times New Roman"/>
                <w:sz w:val="21"/>
                <w:szCs w:val="21"/>
                <w:lang w:eastAsia="zh-CN"/>
              </w:rPr>
              <w:t>e.</w:t>
            </w:r>
            <w:r>
              <w:rPr>
                <w:rFonts w:hint="eastAsia" w:ascii="宋体" w:hAnsi="宋体" w:cs="宋体"/>
                <w:sz w:val="21"/>
                <w:szCs w:val="21"/>
                <w:lang w:eastAsia="zh-CN"/>
              </w:rPr>
              <w:t xml:space="preserve">投标人在投标活动中无欺诈行为； </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f.</w:t>
            </w:r>
            <w:r>
              <w:rPr>
                <w:rFonts w:hint="eastAsia" w:ascii="宋体" w:hAnsi="宋体" w:cs="宋体"/>
                <w:sz w:val="21"/>
                <w:szCs w:val="21"/>
                <w:lang w:eastAsia="zh-CN"/>
              </w:rPr>
              <w:t>投标人未对合同条款有重要保留。</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12</w:t>
            </w:r>
            <w:r>
              <w:rPr>
                <w:rFonts w:hint="eastAsia" w:ascii="Times New Roman" w:hAnsi="Times New Roman"/>
                <w:sz w:val="21"/>
                <w:szCs w:val="21"/>
                <w:lang w:eastAsia="zh-CN"/>
              </w:rPr>
              <w:t>）投标文件正、副本份数符合招标文件第二章</w:t>
            </w:r>
            <w:r>
              <w:rPr>
                <w:rFonts w:ascii="Times New Roman" w:hAnsi="Times New Roman"/>
                <w:sz w:val="21"/>
                <w:szCs w:val="21"/>
                <w:lang w:eastAsia="zh-CN"/>
              </w:rPr>
              <w:t>“</w:t>
            </w:r>
            <w:r>
              <w:rPr>
                <w:rFonts w:hint="eastAsia" w:ascii="Times New Roman" w:hAnsi="Times New Roman"/>
                <w:sz w:val="21"/>
                <w:szCs w:val="21"/>
                <w:lang w:eastAsia="zh-CN"/>
              </w:rPr>
              <w:t>投标人须知</w:t>
            </w:r>
            <w:r>
              <w:rPr>
                <w:rFonts w:ascii="Times New Roman" w:hAnsi="Times New Roman"/>
                <w:sz w:val="21"/>
                <w:szCs w:val="21"/>
                <w:lang w:eastAsia="zh-CN"/>
              </w:rPr>
              <w:t>”</w:t>
            </w:r>
            <w:r>
              <w:rPr>
                <w:rFonts w:hint="eastAsia" w:ascii="Times New Roman" w:hAnsi="Times New Roman"/>
                <w:sz w:val="21"/>
                <w:szCs w:val="21"/>
                <w:lang w:eastAsia="zh-CN"/>
              </w:rPr>
              <w:t>第</w:t>
            </w:r>
            <w:r>
              <w:rPr>
                <w:rFonts w:ascii="Times New Roman" w:hAnsi="Times New Roman"/>
                <w:sz w:val="21"/>
                <w:szCs w:val="21"/>
                <w:lang w:eastAsia="zh-CN"/>
              </w:rPr>
              <w:t>3.7.4</w:t>
            </w:r>
            <w:r>
              <w:rPr>
                <w:rFonts w:hint="eastAsia" w:ascii="Times New Roman" w:hAnsi="Times New Roman"/>
                <w:sz w:val="21"/>
                <w:szCs w:val="21"/>
                <w:lang w:eastAsia="zh-CN"/>
              </w:rPr>
              <w:t>项规定。</w:t>
            </w:r>
          </w:p>
          <w:p>
            <w:pPr>
              <w:wordWrap w:val="0"/>
              <w:ind w:firstLine="420" w:firstLineChars="200"/>
              <w:rPr>
                <w:rFonts w:ascii="Times New Roman" w:hAnsi="Times New Roman"/>
                <w:b/>
                <w:sz w:val="21"/>
                <w:szCs w:val="21"/>
                <w:lang w:eastAsia="zh-CN"/>
              </w:rPr>
            </w:pPr>
            <w:r>
              <w:rPr>
                <w:rFonts w:hint="eastAsia" w:ascii="Times New Roman" w:hAnsi="Times New Roman"/>
                <w:b/>
                <w:sz w:val="21"/>
                <w:szCs w:val="21"/>
                <w:lang w:eastAsia="zh-CN"/>
              </w:rPr>
              <w:t>第二个信封（报价文件）评审标准：</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w:t>
            </w:r>
            <w:r>
              <w:rPr>
                <w:rFonts w:hint="eastAsia" w:ascii="Times New Roman" w:hAnsi="Times New Roman"/>
                <w:sz w:val="21"/>
                <w:szCs w:val="21"/>
                <w:lang w:eastAsia="zh-CN"/>
              </w:rPr>
              <w:t>）投标文件按照招标文件规定的格式、内容填写，字迹清晰可辨，内容齐全完整：</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a.</w:t>
            </w:r>
            <w:r>
              <w:rPr>
                <w:rFonts w:hint="eastAsia" w:ascii="Times New Roman" w:hAnsi="Times New Roman"/>
                <w:sz w:val="21"/>
                <w:szCs w:val="21"/>
                <w:lang w:eastAsia="zh-CN"/>
              </w:rPr>
              <w:t>投标函按招标文件规定填报了项目名称、补遗书编号（如有）、投标价（包括大写金额和小写金额）；</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b.</w:t>
            </w:r>
            <w:r>
              <w:rPr>
                <w:rFonts w:hint="eastAsia" w:ascii="Times New Roman" w:hAnsi="Times New Roman"/>
                <w:sz w:val="21"/>
                <w:szCs w:val="21"/>
                <w:lang w:eastAsia="zh-CN"/>
              </w:rPr>
              <w:t>已标价报价清单说明文字与招标文件规定一致，未进行实质性修改和删减；</w:t>
            </w:r>
          </w:p>
          <w:p>
            <w:pPr>
              <w:wordWrap w:val="0"/>
              <w:ind w:firstLine="420" w:firstLineChars="200"/>
              <w:rPr>
                <w:rFonts w:ascii="Times New Roman" w:hAnsi="Times New Roman"/>
                <w:sz w:val="21"/>
                <w:szCs w:val="21"/>
                <w:lang w:eastAsia="zh-CN"/>
              </w:rPr>
            </w:pPr>
            <w:r>
              <w:rPr>
                <w:rFonts w:ascii="Times New Roman" w:hAnsi="Times New Roman"/>
                <w:sz w:val="21"/>
                <w:szCs w:val="21"/>
                <w:lang w:eastAsia="zh-CN"/>
              </w:rPr>
              <w:t>c.</w:t>
            </w:r>
            <w:r>
              <w:rPr>
                <w:rFonts w:hint="eastAsia" w:ascii="Times New Roman" w:hAnsi="Times New Roman"/>
                <w:sz w:val="21"/>
                <w:szCs w:val="21"/>
                <w:lang w:eastAsia="zh-CN"/>
              </w:rPr>
              <w:t>投标文件组成齐全完整，内容均按规定填写。</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2</w:t>
            </w:r>
            <w:r>
              <w:rPr>
                <w:rFonts w:hint="eastAsia" w:ascii="Times New Roman" w:hAnsi="Times New Roman"/>
                <w:sz w:val="21"/>
                <w:szCs w:val="21"/>
                <w:lang w:eastAsia="zh-CN"/>
              </w:rPr>
              <w:t>）投标文件上法定代表人或其委托代理人的签字、投标人的单位章盖章齐全，符合招标文件规定。</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3</w:t>
            </w:r>
            <w:r>
              <w:rPr>
                <w:rFonts w:hint="eastAsia" w:ascii="Times New Roman" w:hAnsi="Times New Roman"/>
                <w:sz w:val="21"/>
                <w:szCs w:val="21"/>
                <w:lang w:eastAsia="zh-CN"/>
              </w:rPr>
              <w:t>）投标报价未超过招标文件设定的最高投标限价（如有）。</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4</w:t>
            </w:r>
            <w:r>
              <w:rPr>
                <w:rFonts w:hint="eastAsia" w:ascii="Times New Roman" w:hAnsi="Times New Roman"/>
                <w:sz w:val="21"/>
                <w:szCs w:val="21"/>
                <w:lang w:eastAsia="zh-CN"/>
              </w:rPr>
              <w:t>）投标报价的大写金额能够确定具体数值。</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5</w:t>
            </w:r>
            <w:r>
              <w:rPr>
                <w:rFonts w:hint="eastAsia" w:ascii="Times New Roman" w:hAnsi="Times New Roman"/>
                <w:sz w:val="21"/>
                <w:szCs w:val="21"/>
                <w:lang w:eastAsia="zh-CN"/>
              </w:rPr>
              <w:t>）同一投标人未提交两个以上不同的投标报价。</w:t>
            </w:r>
          </w:p>
          <w:p>
            <w:pPr>
              <w:wordWrap w:val="0"/>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6</w:t>
            </w:r>
            <w:r>
              <w:rPr>
                <w:rFonts w:hint="eastAsia" w:ascii="Times New Roman" w:hAnsi="Times New Roman"/>
                <w:sz w:val="21"/>
                <w:szCs w:val="21"/>
                <w:lang w:eastAsia="zh-CN"/>
              </w:rPr>
              <w:t>）投标文件正、副本份数符合招标文件第二章</w:t>
            </w:r>
            <w:r>
              <w:rPr>
                <w:rFonts w:ascii="Times New Roman" w:hAnsi="Times New Roman"/>
                <w:sz w:val="21"/>
                <w:szCs w:val="21"/>
                <w:lang w:eastAsia="zh-CN"/>
              </w:rPr>
              <w:t>“</w:t>
            </w:r>
            <w:r>
              <w:rPr>
                <w:rFonts w:hint="eastAsia" w:ascii="Times New Roman" w:hAnsi="Times New Roman"/>
                <w:sz w:val="21"/>
                <w:szCs w:val="21"/>
                <w:lang w:eastAsia="zh-CN"/>
              </w:rPr>
              <w:t>投标人须知</w:t>
            </w:r>
            <w:r>
              <w:rPr>
                <w:rFonts w:ascii="Times New Roman" w:hAnsi="Times New Roman"/>
                <w:sz w:val="21"/>
                <w:szCs w:val="21"/>
                <w:lang w:eastAsia="zh-CN"/>
              </w:rPr>
              <w:t>”</w:t>
            </w:r>
            <w:r>
              <w:rPr>
                <w:rFonts w:hint="eastAsia" w:ascii="Times New Roman" w:hAnsi="Times New Roman"/>
                <w:sz w:val="21"/>
                <w:szCs w:val="21"/>
                <w:lang w:eastAsia="zh-CN"/>
              </w:rPr>
              <w:t>第</w:t>
            </w:r>
            <w:r>
              <w:rPr>
                <w:rFonts w:ascii="Times New Roman" w:hAnsi="Times New Roman"/>
                <w:sz w:val="21"/>
                <w:szCs w:val="21"/>
                <w:lang w:eastAsia="zh-CN"/>
              </w:rPr>
              <w:t>3.7.4</w:t>
            </w:r>
            <w:r>
              <w:rPr>
                <w:rFonts w:hint="eastAsia" w:ascii="Times New Roman" w:hAnsi="Times New Roman"/>
                <w:sz w:val="21"/>
                <w:szCs w:val="21"/>
                <w:lang w:eastAsia="zh-CN"/>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wordWrap w:val="0"/>
              <w:spacing w:line="340" w:lineRule="exact"/>
              <w:jc w:val="center"/>
              <w:rPr>
                <w:rFonts w:ascii="Times New Roman" w:hAnsi="Times New Roman"/>
                <w:sz w:val="21"/>
                <w:szCs w:val="21"/>
              </w:rPr>
            </w:pPr>
            <w:r>
              <w:rPr>
                <w:rFonts w:ascii="Times New Roman" w:hAnsi="Times New Roman"/>
                <w:sz w:val="21"/>
                <w:szCs w:val="21"/>
              </w:rPr>
              <w:t>2.1.2</w:t>
            </w:r>
          </w:p>
        </w:tc>
        <w:tc>
          <w:tcPr>
            <w:tcW w:w="1700" w:type="dxa"/>
            <w:vAlign w:val="center"/>
          </w:tcPr>
          <w:p>
            <w:pPr>
              <w:wordWrap w:val="0"/>
              <w:spacing w:line="340" w:lineRule="exact"/>
              <w:jc w:val="center"/>
              <w:rPr>
                <w:rFonts w:ascii="Times New Roman" w:hAnsi="Times New Roman"/>
                <w:sz w:val="21"/>
                <w:szCs w:val="21"/>
              </w:rPr>
            </w:pPr>
            <w:r>
              <w:rPr>
                <w:rFonts w:hint="eastAsia" w:ascii="Times New Roman" w:hAnsi="Times New Roman"/>
                <w:sz w:val="21"/>
                <w:szCs w:val="21"/>
              </w:rPr>
              <w:t>资格评审标准</w:t>
            </w:r>
          </w:p>
        </w:tc>
        <w:tc>
          <w:tcPr>
            <w:tcW w:w="7500" w:type="dxa"/>
            <w:vAlign w:val="center"/>
          </w:tcPr>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w:t>
            </w:r>
            <w:r>
              <w:rPr>
                <w:rFonts w:hint="eastAsia" w:ascii="Times New Roman" w:hAnsi="Times New Roman"/>
                <w:sz w:val="21"/>
                <w:szCs w:val="21"/>
                <w:lang w:eastAsia="zh-CN"/>
              </w:rPr>
              <w:t>）投标人具备有效的营业执照、组织机构代码证(如有)、勘察资质证书、设计资质证书和基本账户开户许可证或</w:t>
            </w:r>
            <w:r>
              <w:rPr>
                <w:rFonts w:hint="eastAsia" w:ascii="宋体" w:hAnsi="宋体"/>
                <w:sz w:val="21"/>
                <w:szCs w:val="21"/>
                <w:lang w:eastAsia="zh-CN"/>
              </w:rPr>
              <w:t>基本存款帐户信息</w:t>
            </w:r>
            <w:r>
              <w:rPr>
                <w:rFonts w:hint="eastAsia" w:ascii="Times New Roman" w:hAnsi="Times New Roman"/>
                <w:sz w:val="21"/>
                <w:szCs w:val="21"/>
                <w:lang w:eastAsia="zh-CN"/>
              </w:rPr>
              <w:t>。</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2</w:t>
            </w:r>
            <w:r>
              <w:rPr>
                <w:rFonts w:hint="eastAsia" w:ascii="Times New Roman" w:hAnsi="Times New Roman"/>
                <w:sz w:val="21"/>
                <w:szCs w:val="21"/>
                <w:lang w:eastAsia="zh-CN"/>
              </w:rPr>
              <w:t>）投标人的资质等级符合招标文件规定。</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3</w:t>
            </w:r>
            <w:r>
              <w:rPr>
                <w:rFonts w:hint="eastAsia" w:ascii="Times New Roman" w:hAnsi="Times New Roman"/>
                <w:sz w:val="21"/>
                <w:szCs w:val="21"/>
                <w:lang w:eastAsia="zh-CN"/>
              </w:rPr>
              <w:t>）投标人的类似项目业绩符合招标文件规定。</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4</w:t>
            </w:r>
            <w:r>
              <w:rPr>
                <w:rFonts w:hint="eastAsia" w:ascii="Times New Roman" w:hAnsi="Times New Roman"/>
                <w:sz w:val="21"/>
                <w:szCs w:val="21"/>
                <w:lang w:eastAsia="zh-CN"/>
              </w:rPr>
              <w:t>）投标人的信誉符合招标文件规定。</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5</w:t>
            </w:r>
            <w:r>
              <w:rPr>
                <w:rFonts w:hint="eastAsia" w:ascii="Times New Roman" w:hAnsi="Times New Roman"/>
                <w:sz w:val="21"/>
                <w:szCs w:val="21"/>
                <w:lang w:eastAsia="zh-CN"/>
              </w:rPr>
              <w:t>）投标人的项目负责人资格符合招标文件规定。</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6</w:t>
            </w:r>
            <w:r>
              <w:rPr>
                <w:rFonts w:hint="eastAsia" w:ascii="Times New Roman" w:hAnsi="Times New Roman"/>
                <w:sz w:val="21"/>
                <w:szCs w:val="21"/>
                <w:lang w:eastAsia="zh-CN"/>
              </w:rPr>
              <w:t>）投标人不存在第二章</w:t>
            </w:r>
            <w:r>
              <w:rPr>
                <w:rFonts w:ascii="Times New Roman" w:hAnsi="Times New Roman"/>
                <w:sz w:val="21"/>
                <w:szCs w:val="21"/>
                <w:lang w:eastAsia="zh-CN"/>
              </w:rPr>
              <w:t>“</w:t>
            </w:r>
            <w:r>
              <w:rPr>
                <w:rFonts w:hint="eastAsia" w:ascii="Times New Roman" w:hAnsi="Times New Roman"/>
                <w:sz w:val="21"/>
                <w:szCs w:val="21"/>
                <w:lang w:eastAsia="zh-CN"/>
              </w:rPr>
              <w:t>投标人须知</w:t>
            </w:r>
            <w:r>
              <w:rPr>
                <w:rFonts w:ascii="Times New Roman" w:hAnsi="Times New Roman"/>
                <w:sz w:val="21"/>
                <w:szCs w:val="21"/>
                <w:lang w:eastAsia="zh-CN"/>
              </w:rPr>
              <w:t>”</w:t>
            </w:r>
            <w:r>
              <w:rPr>
                <w:rFonts w:hint="eastAsia" w:ascii="Times New Roman" w:hAnsi="Times New Roman"/>
                <w:sz w:val="21"/>
                <w:szCs w:val="21"/>
                <w:lang w:eastAsia="zh-CN"/>
              </w:rPr>
              <w:t>第</w:t>
            </w:r>
            <w:r>
              <w:rPr>
                <w:rFonts w:ascii="Times New Roman" w:hAnsi="Times New Roman"/>
                <w:sz w:val="21"/>
                <w:szCs w:val="21"/>
                <w:lang w:eastAsia="zh-CN"/>
              </w:rPr>
              <w:t>1.4.3</w:t>
            </w:r>
            <w:r>
              <w:rPr>
                <w:rFonts w:hint="eastAsia" w:ascii="Times New Roman" w:hAnsi="Times New Roman"/>
                <w:sz w:val="21"/>
                <w:szCs w:val="21"/>
                <w:lang w:eastAsia="zh-CN"/>
              </w:rPr>
              <w:t>项或</w:t>
            </w:r>
            <w:r>
              <w:rPr>
                <w:rFonts w:ascii="Times New Roman" w:hAnsi="Times New Roman"/>
                <w:sz w:val="21"/>
                <w:szCs w:val="21"/>
                <w:lang w:eastAsia="zh-CN"/>
              </w:rPr>
              <w:t>“</w:t>
            </w:r>
            <w:r>
              <w:rPr>
                <w:rFonts w:hint="eastAsia" w:ascii="Times New Roman" w:hAnsi="Times New Roman"/>
                <w:sz w:val="21"/>
                <w:szCs w:val="21"/>
                <w:lang w:eastAsia="zh-CN"/>
              </w:rPr>
              <w:t>投标人须知</w:t>
            </w:r>
            <w:r>
              <w:rPr>
                <w:rFonts w:ascii="Times New Roman" w:hAnsi="Times New Roman"/>
                <w:sz w:val="21"/>
                <w:szCs w:val="21"/>
                <w:lang w:eastAsia="zh-CN"/>
              </w:rPr>
              <w:t>”</w:t>
            </w:r>
            <w:r>
              <w:rPr>
                <w:rFonts w:hint="eastAsia" w:ascii="Times New Roman" w:hAnsi="Times New Roman"/>
                <w:sz w:val="21"/>
                <w:szCs w:val="21"/>
                <w:lang w:eastAsia="zh-CN"/>
              </w:rPr>
              <w:t>前附表需要补充的其他内容第</w:t>
            </w:r>
            <w:r>
              <w:rPr>
                <w:rFonts w:ascii="Times New Roman" w:hAnsi="Times New Roman"/>
                <w:sz w:val="21"/>
                <w:szCs w:val="21"/>
                <w:lang w:eastAsia="zh-CN"/>
              </w:rPr>
              <w:t>1.4.4</w:t>
            </w:r>
            <w:r>
              <w:rPr>
                <w:rFonts w:hint="eastAsia" w:ascii="Times New Roman" w:hAnsi="Times New Roman"/>
                <w:sz w:val="21"/>
                <w:szCs w:val="21"/>
                <w:lang w:eastAsia="zh-CN"/>
              </w:rPr>
              <w:t>项规定的任何一种情形。</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highlight w:val="none"/>
                <w:lang w:eastAsia="zh-CN"/>
              </w:rPr>
              <w:t>（</w:t>
            </w:r>
            <w:r>
              <w:rPr>
                <w:rFonts w:ascii="Times New Roman" w:hAnsi="Times New Roman"/>
                <w:sz w:val="21"/>
                <w:szCs w:val="21"/>
                <w:highlight w:val="none"/>
                <w:lang w:eastAsia="zh-CN"/>
              </w:rPr>
              <w:t>7</w:t>
            </w:r>
            <w:r>
              <w:rPr>
                <w:rFonts w:hint="eastAsia" w:ascii="Times New Roman" w:hAnsi="Times New Roman"/>
                <w:sz w:val="21"/>
                <w:szCs w:val="21"/>
                <w:highlight w:val="none"/>
                <w:lang w:eastAsia="zh-CN"/>
              </w:rPr>
              <w:t>）投标人符合第二章</w:t>
            </w:r>
            <w:r>
              <w:rPr>
                <w:rFonts w:ascii="Times New Roman" w:hAnsi="Times New Roman"/>
                <w:sz w:val="21"/>
                <w:szCs w:val="21"/>
                <w:highlight w:val="none"/>
                <w:lang w:eastAsia="zh-CN"/>
              </w:rPr>
              <w:t>“</w:t>
            </w:r>
            <w:r>
              <w:rPr>
                <w:rFonts w:hint="eastAsia" w:ascii="Times New Roman" w:hAnsi="Times New Roman"/>
                <w:sz w:val="21"/>
                <w:szCs w:val="21"/>
                <w:highlight w:val="none"/>
                <w:lang w:eastAsia="zh-CN"/>
              </w:rPr>
              <w:t>投标人须知</w:t>
            </w:r>
            <w:r>
              <w:rPr>
                <w:rFonts w:ascii="Times New Roman" w:hAnsi="Times New Roman"/>
                <w:sz w:val="21"/>
                <w:szCs w:val="21"/>
                <w:highlight w:val="none"/>
                <w:lang w:eastAsia="zh-CN"/>
              </w:rPr>
              <w:t>”</w:t>
            </w:r>
            <w:r>
              <w:rPr>
                <w:rFonts w:hint="eastAsia" w:ascii="Times New Roman" w:hAnsi="Times New Roman"/>
                <w:sz w:val="21"/>
                <w:szCs w:val="21"/>
                <w:highlight w:val="none"/>
                <w:lang w:eastAsia="zh-CN"/>
              </w:rPr>
              <w:t>第</w:t>
            </w:r>
            <w:r>
              <w:rPr>
                <w:rFonts w:ascii="Times New Roman" w:hAnsi="Times New Roman"/>
                <w:sz w:val="21"/>
                <w:szCs w:val="21"/>
                <w:highlight w:val="none"/>
                <w:lang w:eastAsia="zh-CN"/>
              </w:rPr>
              <w:t>1.4.5</w:t>
            </w:r>
            <w:r>
              <w:rPr>
                <w:rFonts w:hint="eastAsia" w:ascii="Times New Roman" w:hAnsi="Times New Roman"/>
                <w:sz w:val="21"/>
                <w:szCs w:val="21"/>
                <w:highlight w:val="none"/>
                <w:lang w:eastAsia="zh-CN"/>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wordWrap w:val="0"/>
              <w:spacing w:line="340" w:lineRule="exact"/>
              <w:jc w:val="center"/>
              <w:rPr>
                <w:rFonts w:ascii="Times New Roman" w:hAnsi="Times New Roman"/>
                <w:sz w:val="21"/>
                <w:szCs w:val="21"/>
              </w:rPr>
            </w:pPr>
            <w:r>
              <w:rPr>
                <w:rFonts w:ascii="Times New Roman" w:hAnsi="Times New Roman"/>
                <w:sz w:val="21"/>
                <w:szCs w:val="21"/>
              </w:rPr>
              <w:t>2.2.1</w:t>
            </w:r>
          </w:p>
        </w:tc>
        <w:tc>
          <w:tcPr>
            <w:tcW w:w="1700" w:type="dxa"/>
            <w:vAlign w:val="center"/>
          </w:tcPr>
          <w:p>
            <w:pPr>
              <w:wordWrap w:val="0"/>
              <w:spacing w:line="340" w:lineRule="exact"/>
              <w:jc w:val="center"/>
              <w:rPr>
                <w:rFonts w:ascii="Times New Roman" w:hAnsi="Times New Roman"/>
                <w:sz w:val="21"/>
                <w:szCs w:val="21"/>
                <w:highlight w:val="none"/>
              </w:rPr>
            </w:pPr>
            <w:r>
              <w:rPr>
                <w:rFonts w:hint="eastAsia" w:ascii="Times New Roman" w:hAnsi="Times New Roman"/>
                <w:sz w:val="21"/>
                <w:szCs w:val="21"/>
                <w:highlight w:val="none"/>
              </w:rPr>
              <w:t>分值构成</w:t>
            </w:r>
          </w:p>
          <w:p>
            <w:pPr>
              <w:wordWrap w:val="0"/>
              <w:spacing w:line="340" w:lineRule="exact"/>
              <w:jc w:val="center"/>
              <w:rPr>
                <w:rFonts w:ascii="Times New Roman" w:hAnsi="Times New Roman"/>
                <w:sz w:val="21"/>
                <w:szCs w:val="21"/>
              </w:rPr>
            </w:pPr>
            <w:r>
              <w:rPr>
                <w:rFonts w:hint="eastAsia" w:ascii="Times New Roman" w:hAnsi="Times New Roman"/>
                <w:sz w:val="21"/>
                <w:szCs w:val="21"/>
                <w:highlight w:val="none"/>
              </w:rPr>
              <w:t>（总分</w:t>
            </w:r>
            <w:r>
              <w:rPr>
                <w:rFonts w:ascii="Times New Roman" w:hAnsi="Times New Roman"/>
                <w:sz w:val="21"/>
                <w:szCs w:val="21"/>
                <w:highlight w:val="none"/>
              </w:rPr>
              <w:t>100</w:t>
            </w:r>
            <w:r>
              <w:rPr>
                <w:rFonts w:hint="eastAsia" w:ascii="Times New Roman" w:hAnsi="Times New Roman"/>
                <w:sz w:val="21"/>
                <w:szCs w:val="21"/>
                <w:highlight w:val="none"/>
              </w:rPr>
              <w:t>分）</w:t>
            </w:r>
          </w:p>
          <w:p>
            <w:pPr>
              <w:wordWrap w:val="0"/>
              <w:spacing w:line="340" w:lineRule="exact"/>
              <w:jc w:val="center"/>
              <w:rPr>
                <w:rFonts w:ascii="Times New Roman" w:hAnsi="Times New Roman"/>
                <w:sz w:val="21"/>
                <w:szCs w:val="21"/>
              </w:rPr>
            </w:pPr>
          </w:p>
        </w:tc>
        <w:tc>
          <w:tcPr>
            <w:tcW w:w="7500" w:type="dxa"/>
            <w:vAlign w:val="center"/>
          </w:tcPr>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第一个信封（商务及技术文件）评分分值构成：</w:t>
            </w:r>
          </w:p>
          <w:p>
            <w:pPr>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技术建议书：</w:t>
            </w:r>
            <w:r>
              <w:rPr>
                <w:rFonts w:ascii="Times New Roman" w:hAnsi="Times New Roman"/>
                <w:sz w:val="21"/>
                <w:szCs w:val="21"/>
                <w:u w:val="single" w:color="000000"/>
                <w:lang w:eastAsia="zh-CN"/>
              </w:rPr>
              <w:t>35</w:t>
            </w:r>
            <w:r>
              <w:rPr>
                <w:rFonts w:hint="eastAsia" w:ascii="Times New Roman" w:hAnsi="Times New Roman"/>
                <w:sz w:val="21"/>
                <w:szCs w:val="21"/>
                <w:lang w:eastAsia="zh-CN"/>
              </w:rPr>
              <w:t>分</w:t>
            </w:r>
          </w:p>
          <w:p>
            <w:pPr>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主要人员：</w:t>
            </w:r>
            <w:r>
              <w:rPr>
                <w:rFonts w:hint="eastAsia" w:ascii="Times New Roman" w:hAnsi="Times New Roman"/>
                <w:sz w:val="21"/>
                <w:szCs w:val="21"/>
                <w:u w:val="single" w:color="000000"/>
                <w:lang w:eastAsia="zh-CN"/>
              </w:rPr>
              <w:t>20</w:t>
            </w:r>
            <w:r>
              <w:rPr>
                <w:rFonts w:hint="eastAsia" w:ascii="Times New Roman" w:hAnsi="Times New Roman"/>
                <w:sz w:val="21"/>
                <w:szCs w:val="21"/>
                <w:lang w:eastAsia="zh-CN"/>
              </w:rPr>
              <w:t>分</w:t>
            </w:r>
          </w:p>
          <w:p>
            <w:pPr>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业绩：</w:t>
            </w:r>
            <w:r>
              <w:rPr>
                <w:rFonts w:hint="eastAsia" w:ascii="Times New Roman" w:hAnsi="Times New Roman" w:eastAsiaTheme="minorEastAsia"/>
                <w:sz w:val="21"/>
                <w:szCs w:val="21"/>
                <w:u w:val="single" w:color="000000"/>
                <w:lang w:eastAsia="zh-CN"/>
              </w:rPr>
              <w:t>2</w:t>
            </w:r>
            <w:r>
              <w:rPr>
                <w:rFonts w:hint="eastAsia" w:ascii="Times New Roman" w:hAnsi="Times New Roman" w:eastAsiaTheme="minorEastAsia"/>
                <w:sz w:val="21"/>
                <w:szCs w:val="21"/>
                <w:u w:val="single" w:color="000000"/>
                <w:lang w:val="en-US" w:eastAsia="zh-CN"/>
              </w:rPr>
              <w:t>5</w:t>
            </w:r>
            <w:r>
              <w:rPr>
                <w:rFonts w:hint="eastAsia" w:ascii="Times New Roman" w:hAnsi="Times New Roman"/>
                <w:sz w:val="21"/>
                <w:szCs w:val="21"/>
                <w:lang w:eastAsia="zh-CN"/>
              </w:rPr>
              <w:t>分</w:t>
            </w:r>
          </w:p>
          <w:p>
            <w:pPr>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履约信誉：</w:t>
            </w:r>
            <w:r>
              <w:rPr>
                <w:rFonts w:hint="eastAsia" w:ascii="Times New Roman" w:hAnsi="Times New Roman" w:eastAsiaTheme="minorEastAsia"/>
                <w:sz w:val="21"/>
                <w:szCs w:val="21"/>
                <w:u w:val="single" w:color="000000"/>
                <w:lang w:eastAsia="zh-CN"/>
              </w:rPr>
              <w:t>10</w:t>
            </w:r>
            <w:r>
              <w:rPr>
                <w:rFonts w:hint="eastAsia" w:ascii="Times New Roman" w:hAnsi="Times New Roman"/>
                <w:sz w:val="21"/>
                <w:szCs w:val="21"/>
                <w:lang w:eastAsia="zh-CN"/>
              </w:rPr>
              <w:t>分</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第二个信封（报价文件）评分分值构成：</w:t>
            </w:r>
          </w:p>
          <w:p>
            <w:pPr>
              <w:wordWrap w:val="0"/>
              <w:spacing w:after="120" w:afterLines="50" w:line="340" w:lineRule="exact"/>
              <w:ind w:firstLine="420" w:firstLineChars="200"/>
              <w:rPr>
                <w:rFonts w:ascii="Times New Roman" w:hAnsi="Times New Roman"/>
                <w:sz w:val="21"/>
                <w:szCs w:val="21"/>
              </w:rPr>
            </w:pPr>
            <w:r>
              <w:rPr>
                <w:rFonts w:hint="eastAsia" w:ascii="Times New Roman" w:hAnsi="Times New Roman"/>
                <w:sz w:val="21"/>
                <w:szCs w:val="21"/>
              </w:rPr>
              <w:t>评标价：</w:t>
            </w:r>
            <w:r>
              <w:rPr>
                <w:rFonts w:ascii="Times New Roman" w:hAnsi="Times New Roman"/>
                <w:sz w:val="21"/>
                <w:szCs w:val="21"/>
                <w:u w:val="single"/>
              </w:rPr>
              <w:t>10</w:t>
            </w:r>
            <w:r>
              <w:rPr>
                <w:rFonts w:hint="eastAsia" w:ascii="Times New Roman" w:hAnsi="Times New Roman"/>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wordWrap w:val="0"/>
              <w:spacing w:line="340" w:lineRule="exact"/>
              <w:jc w:val="center"/>
              <w:rPr>
                <w:rFonts w:ascii="Times New Roman" w:hAnsi="Times New Roman"/>
                <w:sz w:val="21"/>
                <w:szCs w:val="21"/>
              </w:rPr>
            </w:pPr>
            <w:r>
              <w:rPr>
                <w:rFonts w:ascii="Times New Roman" w:hAnsi="Times New Roman"/>
                <w:sz w:val="21"/>
                <w:szCs w:val="21"/>
              </w:rPr>
              <w:t>2.2.2</w:t>
            </w:r>
          </w:p>
        </w:tc>
        <w:tc>
          <w:tcPr>
            <w:tcW w:w="1700" w:type="dxa"/>
            <w:vAlign w:val="center"/>
          </w:tcPr>
          <w:p>
            <w:pPr>
              <w:wordWrap w:val="0"/>
              <w:spacing w:line="340" w:lineRule="exact"/>
              <w:jc w:val="center"/>
              <w:rPr>
                <w:rFonts w:ascii="Times New Roman" w:hAnsi="Times New Roman"/>
                <w:sz w:val="21"/>
                <w:szCs w:val="21"/>
              </w:rPr>
            </w:pPr>
            <w:r>
              <w:rPr>
                <w:rFonts w:hint="eastAsia" w:ascii="Times New Roman" w:hAnsi="Times New Roman"/>
                <w:sz w:val="21"/>
                <w:szCs w:val="21"/>
              </w:rPr>
              <w:t>评标基准价计算方法</w:t>
            </w:r>
          </w:p>
        </w:tc>
        <w:tc>
          <w:tcPr>
            <w:tcW w:w="7500" w:type="dxa"/>
            <w:vAlign w:val="center"/>
          </w:tcPr>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评标基准价的计算：</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在开标现场，招标人将当场计算并宣布评标基准价。</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w:t>
            </w:r>
            <w:r>
              <w:rPr>
                <w:rFonts w:hint="eastAsia" w:ascii="Times New Roman" w:hAnsi="Times New Roman"/>
                <w:sz w:val="21"/>
                <w:szCs w:val="21"/>
                <w:lang w:eastAsia="zh-CN"/>
              </w:rPr>
              <w:t>）评标价的确定：</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评标价＝投标函文字报价</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2</w:t>
            </w:r>
            <w:r>
              <w:rPr>
                <w:rFonts w:hint="eastAsia" w:ascii="Times New Roman" w:hAnsi="Times New Roman"/>
                <w:sz w:val="21"/>
                <w:szCs w:val="21"/>
                <w:lang w:eastAsia="zh-CN"/>
              </w:rPr>
              <w:t>）评标价平均值的计算：</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①除按第二章“投标人须知”第5.2.4项规定开标现场被宣布为不进入评标基准价计算的投标报价之外，所有投标人的评标价去掉一个最高值和一个最低值后的算术平均值即为评标价平均值（如果参加评标价平均值计算的有效投标人少于5家时，则计算评标价平均值时不去掉最高值和最低值）；</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②参与评标价平均值计算的评标价的范围：最高投标限价的85%≤参与评标价平均值计算的评标价≤最高投标限价的100%；</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（注：小于最高投标限价的85%的评标价不参与评标价平均值的计算，但仍参与评标价的得分计算。）</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③投标人的评标价均小于最高投标限价的85%时，则以最高投标限价的85%为评标价平均值。</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3</w:t>
            </w:r>
            <w:r>
              <w:rPr>
                <w:rFonts w:hint="eastAsia" w:ascii="Times New Roman" w:hAnsi="Times New Roman"/>
                <w:sz w:val="21"/>
                <w:szCs w:val="21"/>
                <w:lang w:eastAsia="zh-CN"/>
              </w:rPr>
              <w:t>）评标基准价的确定：</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将评标价平均值直接作为评标基准价。</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在评标过程中，评标委员会应对招标人计算的评标基准价进行复核，存在计算错误的应予以修正并在评标报告中作出说明。除此之外，评标基准价在整个评标期间保持不变，不随任何因素发生变化。</w:t>
            </w:r>
          </w:p>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注：评标价平均值、最高评标限价、评标基准价的计算均四舍五入至个位整数。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wordWrap w:val="0"/>
              <w:spacing w:line="340" w:lineRule="exact"/>
              <w:jc w:val="center"/>
              <w:rPr>
                <w:rFonts w:ascii="Times New Roman" w:hAnsi="Times New Roman"/>
                <w:sz w:val="21"/>
                <w:szCs w:val="21"/>
              </w:rPr>
            </w:pPr>
            <w:r>
              <w:rPr>
                <w:rFonts w:ascii="Times New Roman" w:hAnsi="Times New Roman"/>
                <w:sz w:val="21"/>
                <w:szCs w:val="21"/>
              </w:rPr>
              <w:t>2.2.3</w:t>
            </w:r>
          </w:p>
        </w:tc>
        <w:tc>
          <w:tcPr>
            <w:tcW w:w="1700" w:type="dxa"/>
            <w:vAlign w:val="center"/>
          </w:tcPr>
          <w:p>
            <w:pPr>
              <w:wordWrap w:val="0"/>
              <w:spacing w:line="340" w:lineRule="exact"/>
              <w:jc w:val="center"/>
              <w:rPr>
                <w:rFonts w:ascii="Times New Roman" w:hAnsi="Times New Roman"/>
                <w:sz w:val="21"/>
                <w:szCs w:val="21"/>
                <w:lang w:eastAsia="zh-CN"/>
              </w:rPr>
            </w:pPr>
            <w:r>
              <w:rPr>
                <w:rFonts w:hint="eastAsia" w:ascii="Times New Roman" w:hAnsi="Times New Roman"/>
                <w:sz w:val="21"/>
                <w:szCs w:val="21"/>
                <w:lang w:eastAsia="zh-CN"/>
              </w:rPr>
              <w:t>评标价的偏差率计算公式</w:t>
            </w:r>
          </w:p>
        </w:tc>
        <w:tc>
          <w:tcPr>
            <w:tcW w:w="7500" w:type="dxa"/>
            <w:vAlign w:val="center"/>
          </w:tcPr>
          <w:p>
            <w:pPr>
              <w:wordWrap w:val="0"/>
              <w:spacing w:line="340" w:lineRule="exact"/>
              <w:ind w:firstLine="420" w:firstLineChars="200"/>
              <w:rPr>
                <w:rFonts w:ascii="Times New Roman" w:hAnsi="Times New Roman"/>
                <w:sz w:val="21"/>
                <w:szCs w:val="21"/>
                <w:lang w:eastAsia="zh-CN"/>
              </w:rPr>
            </w:pPr>
            <w:r>
              <w:rPr>
                <w:rFonts w:hint="eastAsia" w:ascii="Times New Roman" w:hAnsi="Times New Roman"/>
                <w:sz w:val="21"/>
                <w:szCs w:val="21"/>
                <w:lang w:eastAsia="zh-CN"/>
              </w:rPr>
              <w:t>偏差率</w:t>
            </w:r>
            <w:r>
              <w:rPr>
                <w:rFonts w:ascii="Times New Roman" w:hAnsi="Times New Roman"/>
                <w:sz w:val="21"/>
                <w:szCs w:val="21"/>
                <w:lang w:eastAsia="zh-CN"/>
              </w:rPr>
              <w:t>=100% ×</w:t>
            </w:r>
            <w:r>
              <w:rPr>
                <w:rFonts w:hint="eastAsia" w:ascii="Times New Roman" w:hAnsi="Times New Roman"/>
                <w:sz w:val="21"/>
                <w:szCs w:val="21"/>
                <w:lang w:eastAsia="zh-CN"/>
              </w:rPr>
              <w:t>（投标人评标价－评标基准价）</w:t>
            </w:r>
            <w:r>
              <w:rPr>
                <w:rFonts w:ascii="Times New Roman" w:hAnsi="Times New Roman"/>
                <w:sz w:val="21"/>
                <w:szCs w:val="21"/>
                <w:lang w:eastAsia="zh-CN"/>
              </w:rPr>
              <w:t>/</w:t>
            </w:r>
            <w:r>
              <w:rPr>
                <w:rFonts w:hint="eastAsia" w:ascii="Times New Roman" w:hAnsi="Times New Roman"/>
                <w:sz w:val="21"/>
                <w:szCs w:val="21"/>
                <w:lang w:eastAsia="zh-CN"/>
              </w:rPr>
              <w:t>评标基准价</w:t>
            </w:r>
          </w:p>
          <w:p>
            <w:pPr>
              <w:wordWrap w:val="0"/>
              <w:spacing w:line="340" w:lineRule="exact"/>
              <w:ind w:firstLine="420" w:firstLineChars="200"/>
              <w:rPr>
                <w:rFonts w:ascii="Times New Roman" w:hAnsi="Times New Roman"/>
                <w:sz w:val="21"/>
                <w:szCs w:val="21"/>
                <w:u w:val="single"/>
              </w:rPr>
            </w:pPr>
            <w:r>
              <w:rPr>
                <w:rFonts w:hint="eastAsia" w:ascii="Times New Roman" w:hAnsi="Times New Roman"/>
                <w:sz w:val="21"/>
                <w:szCs w:val="21"/>
              </w:rPr>
              <w:t>偏差率保留</w:t>
            </w:r>
            <w:r>
              <w:rPr>
                <w:rFonts w:hint="eastAsia" w:ascii="Times New Roman" w:hAnsi="Times New Roman"/>
                <w:sz w:val="21"/>
                <w:szCs w:val="21"/>
                <w:u w:val="single"/>
              </w:rPr>
              <w:t xml:space="preserve">  2  </w:t>
            </w:r>
            <w:r>
              <w:rPr>
                <w:rFonts w:hint="eastAsia" w:ascii="Times New Roman" w:hAnsi="Times New Roman"/>
                <w:sz w:val="21"/>
                <w:szCs w:val="21"/>
              </w:rPr>
              <w:t>小数</w:t>
            </w:r>
          </w:p>
        </w:tc>
      </w:tr>
    </w:tbl>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p>
    <w:p>
      <w:pPr>
        <w:wordWrap w:val="0"/>
        <w:rPr>
          <w:rFonts w:ascii="Times New Roman" w:hAnsi="Times New Roman"/>
        </w:rPr>
      </w:pPr>
      <w:r>
        <w:rPr>
          <w:rFonts w:ascii="Times New Roman" w:hAnsi="Times New Roman"/>
        </w:rPr>
        <w:br w:type="page"/>
      </w:r>
    </w:p>
    <w:tbl>
      <w:tblPr>
        <w:tblStyle w:val="23"/>
        <w:tblW w:w="10482" w:type="dxa"/>
        <w:tblInd w:w="-7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501"/>
        <w:gridCol w:w="486"/>
        <w:gridCol w:w="1438"/>
        <w:gridCol w:w="1550"/>
        <w:gridCol w:w="31"/>
        <w:gridCol w:w="1118"/>
        <w:gridCol w:w="59"/>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63" w:type="dxa"/>
            <w:vMerge w:val="restart"/>
            <w:vAlign w:val="center"/>
          </w:tcPr>
          <w:p>
            <w:pPr>
              <w:wordWrap w:val="0"/>
              <w:jc w:val="center"/>
              <w:rPr>
                <w:rFonts w:ascii="Times New Roman" w:hAnsi="Times New Roman"/>
                <w:b/>
                <w:sz w:val="21"/>
                <w:szCs w:val="21"/>
              </w:rPr>
            </w:pPr>
            <w:r>
              <w:rPr>
                <w:rFonts w:hint="eastAsia" w:ascii="Times New Roman" w:hAnsi="Times New Roman"/>
                <w:b/>
                <w:sz w:val="21"/>
                <w:szCs w:val="21"/>
              </w:rPr>
              <w:t>条</w:t>
            </w:r>
          </w:p>
          <w:p>
            <w:pPr>
              <w:wordWrap w:val="0"/>
              <w:jc w:val="center"/>
              <w:rPr>
                <w:rFonts w:ascii="Times New Roman" w:hAnsi="Times New Roman"/>
                <w:b/>
                <w:sz w:val="21"/>
                <w:szCs w:val="21"/>
              </w:rPr>
            </w:pPr>
            <w:r>
              <w:rPr>
                <w:rFonts w:hint="eastAsia" w:ascii="Times New Roman" w:hAnsi="Times New Roman"/>
                <w:b/>
                <w:sz w:val="21"/>
                <w:szCs w:val="21"/>
              </w:rPr>
              <w:t>款</w:t>
            </w:r>
          </w:p>
          <w:p>
            <w:pPr>
              <w:wordWrap w:val="0"/>
              <w:jc w:val="center"/>
              <w:rPr>
                <w:rFonts w:ascii="Times New Roman" w:hAnsi="Times New Roman"/>
                <w:b/>
                <w:sz w:val="21"/>
                <w:szCs w:val="21"/>
              </w:rPr>
            </w:pPr>
            <w:r>
              <w:rPr>
                <w:rFonts w:hint="eastAsia" w:ascii="Times New Roman" w:hAnsi="Times New Roman"/>
                <w:b/>
                <w:sz w:val="21"/>
                <w:szCs w:val="21"/>
              </w:rPr>
              <w:t>号</w:t>
            </w:r>
          </w:p>
        </w:tc>
        <w:tc>
          <w:tcPr>
            <w:tcW w:w="9719" w:type="dxa"/>
            <w:gridSpan w:val="8"/>
            <w:vAlign w:val="center"/>
          </w:tcPr>
          <w:p>
            <w:pPr>
              <w:wordWrap w:val="0"/>
              <w:jc w:val="center"/>
              <w:rPr>
                <w:rFonts w:ascii="Times New Roman" w:hAnsi="Times New Roman"/>
                <w:b/>
                <w:sz w:val="21"/>
                <w:szCs w:val="21"/>
              </w:rPr>
            </w:pPr>
            <w:r>
              <w:rPr>
                <w:rFonts w:hint="eastAsia" w:ascii="Times New Roman" w:hAnsi="Times New Roman"/>
                <w:b/>
                <w:sz w:val="21"/>
                <w:szCs w:val="21"/>
              </w:rPr>
              <w:t>评分因素与权重分值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63" w:type="dxa"/>
            <w:vMerge w:val="continue"/>
            <w:vAlign w:val="center"/>
          </w:tcPr>
          <w:p>
            <w:pPr>
              <w:wordWrap w:val="0"/>
              <w:jc w:val="center"/>
              <w:rPr>
                <w:rFonts w:ascii="Times New Roman" w:hAnsi="Times New Roman"/>
                <w:b/>
                <w:sz w:val="21"/>
                <w:szCs w:val="21"/>
              </w:rPr>
            </w:pPr>
          </w:p>
        </w:tc>
        <w:tc>
          <w:tcPr>
            <w:tcW w:w="987" w:type="dxa"/>
            <w:gridSpan w:val="2"/>
            <w:vAlign w:val="center"/>
          </w:tcPr>
          <w:p>
            <w:pPr>
              <w:wordWrap w:val="0"/>
              <w:jc w:val="center"/>
              <w:rPr>
                <w:rFonts w:ascii="Times New Roman" w:hAnsi="Times New Roman"/>
                <w:b/>
                <w:sz w:val="21"/>
                <w:szCs w:val="21"/>
              </w:rPr>
            </w:pPr>
            <w:r>
              <w:rPr>
                <w:rFonts w:hint="eastAsia" w:ascii="Times New Roman" w:hAnsi="Times New Roman"/>
                <w:b/>
                <w:sz w:val="21"/>
                <w:szCs w:val="21"/>
              </w:rPr>
              <w:t>评分因素</w:t>
            </w:r>
          </w:p>
        </w:tc>
        <w:tc>
          <w:tcPr>
            <w:tcW w:w="1438" w:type="dxa"/>
            <w:vAlign w:val="center"/>
          </w:tcPr>
          <w:p>
            <w:pPr>
              <w:wordWrap w:val="0"/>
              <w:jc w:val="center"/>
              <w:rPr>
                <w:rFonts w:ascii="Times New Roman" w:hAnsi="Times New Roman"/>
                <w:b/>
                <w:sz w:val="21"/>
                <w:szCs w:val="21"/>
              </w:rPr>
            </w:pPr>
            <w:r>
              <w:rPr>
                <w:rFonts w:hint="eastAsia" w:ascii="Times New Roman" w:hAnsi="Times New Roman"/>
                <w:b/>
                <w:sz w:val="21"/>
                <w:szCs w:val="21"/>
              </w:rPr>
              <w:t>评分因素权重分值</w:t>
            </w:r>
          </w:p>
        </w:tc>
        <w:tc>
          <w:tcPr>
            <w:tcW w:w="1550" w:type="dxa"/>
            <w:vAlign w:val="center"/>
          </w:tcPr>
          <w:p>
            <w:pPr>
              <w:wordWrap w:val="0"/>
              <w:jc w:val="center"/>
              <w:rPr>
                <w:rFonts w:ascii="Times New Roman" w:hAnsi="Times New Roman"/>
                <w:b/>
                <w:sz w:val="21"/>
                <w:szCs w:val="21"/>
              </w:rPr>
            </w:pPr>
            <w:r>
              <w:rPr>
                <w:rFonts w:hint="eastAsia" w:ascii="Times New Roman" w:hAnsi="Times New Roman"/>
                <w:b/>
                <w:sz w:val="21"/>
                <w:szCs w:val="21"/>
              </w:rPr>
              <w:t>各评分因素细分项</w:t>
            </w:r>
          </w:p>
        </w:tc>
        <w:tc>
          <w:tcPr>
            <w:tcW w:w="1208" w:type="dxa"/>
            <w:gridSpan w:val="3"/>
            <w:vAlign w:val="center"/>
          </w:tcPr>
          <w:p>
            <w:pPr>
              <w:wordWrap w:val="0"/>
              <w:jc w:val="center"/>
              <w:rPr>
                <w:rFonts w:ascii="Times New Roman" w:hAnsi="Times New Roman"/>
                <w:b/>
                <w:sz w:val="21"/>
                <w:szCs w:val="21"/>
              </w:rPr>
            </w:pPr>
            <w:r>
              <w:rPr>
                <w:rFonts w:hint="eastAsia" w:ascii="Times New Roman" w:hAnsi="Times New Roman"/>
                <w:b/>
                <w:sz w:val="21"/>
                <w:szCs w:val="21"/>
              </w:rPr>
              <w:t>分值</w:t>
            </w:r>
          </w:p>
        </w:tc>
        <w:tc>
          <w:tcPr>
            <w:tcW w:w="4536" w:type="dxa"/>
            <w:vAlign w:val="center"/>
          </w:tcPr>
          <w:p>
            <w:pPr>
              <w:wordWrap w:val="0"/>
              <w:jc w:val="center"/>
              <w:rPr>
                <w:rFonts w:ascii="Times New Roman" w:hAnsi="Times New Roman"/>
                <w:b/>
                <w:sz w:val="21"/>
                <w:szCs w:val="21"/>
              </w:rPr>
            </w:pPr>
            <w:r>
              <w:rPr>
                <w:rFonts w:hint="eastAsia" w:ascii="Times New Roman" w:hAnsi="Times New Roman"/>
                <w:b/>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restart"/>
            <w:vAlign w:val="center"/>
          </w:tcPr>
          <w:p>
            <w:pPr>
              <w:wordWrap w:val="0"/>
              <w:jc w:val="center"/>
              <w:rPr>
                <w:rFonts w:ascii="Times New Roman" w:hAnsi="Times New Roman"/>
                <w:sz w:val="21"/>
                <w:szCs w:val="21"/>
              </w:rPr>
            </w:pPr>
            <w:r>
              <w:rPr>
                <w:rFonts w:ascii="Times New Roman" w:hAnsi="Times New Roman"/>
                <w:sz w:val="21"/>
                <w:szCs w:val="21"/>
              </w:rPr>
              <w:t>2.2.4</w:t>
            </w:r>
            <w:r>
              <w:rPr>
                <w:rFonts w:hint="eastAsia" w:ascii="Times New Roman" w:hAnsi="Times New Roman"/>
                <w:sz w:val="21"/>
                <w:szCs w:val="21"/>
              </w:rPr>
              <w:t>（</w:t>
            </w:r>
            <w:r>
              <w:rPr>
                <w:rFonts w:ascii="Times New Roman" w:hAnsi="Times New Roman"/>
                <w:sz w:val="21"/>
                <w:szCs w:val="21"/>
              </w:rPr>
              <w:t>1</w:t>
            </w:r>
            <w:r>
              <w:rPr>
                <w:rFonts w:hint="eastAsia" w:ascii="Times New Roman" w:hAnsi="Times New Roman"/>
                <w:sz w:val="21"/>
                <w:szCs w:val="21"/>
              </w:rPr>
              <w:t>）</w:t>
            </w:r>
          </w:p>
        </w:tc>
        <w:tc>
          <w:tcPr>
            <w:tcW w:w="987" w:type="dxa"/>
            <w:gridSpan w:val="2"/>
            <w:vMerge w:val="restart"/>
            <w:vAlign w:val="center"/>
          </w:tcPr>
          <w:p>
            <w:pPr>
              <w:wordWrap w:val="0"/>
              <w:jc w:val="center"/>
              <w:rPr>
                <w:rFonts w:ascii="Times New Roman" w:hAnsi="Times New Roman"/>
                <w:sz w:val="21"/>
                <w:szCs w:val="21"/>
              </w:rPr>
            </w:pPr>
            <w:r>
              <w:rPr>
                <w:rFonts w:hint="eastAsia" w:ascii="Times New Roman" w:hAnsi="Times New Roman"/>
                <w:sz w:val="21"/>
                <w:szCs w:val="21"/>
              </w:rPr>
              <w:t>技术建议书</w:t>
            </w:r>
          </w:p>
        </w:tc>
        <w:tc>
          <w:tcPr>
            <w:tcW w:w="1438" w:type="dxa"/>
            <w:vMerge w:val="restart"/>
            <w:vAlign w:val="center"/>
          </w:tcPr>
          <w:p>
            <w:pPr>
              <w:wordWrap w:val="0"/>
              <w:jc w:val="center"/>
              <w:rPr>
                <w:rFonts w:ascii="Times New Roman" w:hAnsi="Times New Roman"/>
                <w:sz w:val="21"/>
                <w:szCs w:val="21"/>
                <w:u w:val="single"/>
              </w:rPr>
            </w:pPr>
            <w:r>
              <w:rPr>
                <w:rFonts w:ascii="Times New Roman" w:hAnsi="Times New Roman"/>
                <w:sz w:val="21"/>
                <w:szCs w:val="21"/>
                <w:u w:val="single"/>
              </w:rPr>
              <w:t>35</w:t>
            </w:r>
            <w:r>
              <w:rPr>
                <w:rFonts w:hint="eastAsia" w:ascii="Times New Roman" w:hAnsi="Times New Roman"/>
                <w:sz w:val="21"/>
                <w:szCs w:val="21"/>
              </w:rPr>
              <w:t>分</w:t>
            </w:r>
          </w:p>
          <w:p>
            <w:pPr>
              <w:wordWrap w:val="0"/>
              <w:jc w:val="center"/>
              <w:rPr>
                <w:rFonts w:ascii="Times New Roman" w:hAnsi="Times New Roman"/>
                <w:sz w:val="21"/>
                <w:szCs w:val="21"/>
                <w:u w:val="single"/>
              </w:rPr>
            </w:pPr>
          </w:p>
        </w:tc>
        <w:tc>
          <w:tcPr>
            <w:tcW w:w="1550" w:type="dxa"/>
            <w:vMerge w:val="restart"/>
            <w:vAlign w:val="center"/>
          </w:tcPr>
          <w:p>
            <w:pPr>
              <w:wordWrap w:val="0"/>
              <w:jc w:val="center"/>
              <w:rPr>
                <w:rFonts w:ascii="Times New Roman" w:hAnsi="Times New Roman"/>
                <w:sz w:val="21"/>
                <w:szCs w:val="21"/>
                <w:lang w:eastAsia="zh-CN"/>
              </w:rPr>
            </w:pPr>
            <w:r>
              <w:rPr>
                <w:rFonts w:hint="eastAsia" w:ascii="Times New Roman" w:hAnsi="Times New Roman"/>
                <w:sz w:val="21"/>
                <w:szCs w:val="21"/>
                <w:lang w:eastAsia="zh-CN"/>
              </w:rPr>
              <w:t>对招标项目的理解和总体设计思路</w:t>
            </w:r>
          </w:p>
        </w:tc>
        <w:tc>
          <w:tcPr>
            <w:tcW w:w="1208" w:type="dxa"/>
            <w:gridSpan w:val="3"/>
            <w:vMerge w:val="restart"/>
            <w:vAlign w:val="center"/>
          </w:tcPr>
          <w:p>
            <w:pPr>
              <w:wordWrap w:val="0"/>
              <w:jc w:val="center"/>
              <w:rPr>
                <w:rFonts w:ascii="Times New Roman" w:hAnsi="Times New Roman"/>
                <w:sz w:val="21"/>
                <w:szCs w:val="21"/>
                <w:u w:val="single"/>
              </w:rPr>
            </w:pPr>
            <w:r>
              <w:rPr>
                <w:rFonts w:hint="eastAsia" w:ascii="Times New Roman" w:hAnsi="Times New Roman"/>
                <w:sz w:val="21"/>
                <w:szCs w:val="21"/>
              </w:rPr>
              <w:t>10分</w:t>
            </w: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勘察设计工作规范和任务描述不够准确，总体思路不够清晰，得8分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勘察设计工作规范和任务描述基本准确，总体思路较清晰，得9分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勘察设计工作规范和任务描述准确，总体思路清晰，得10分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restart"/>
            <w:vAlign w:val="center"/>
          </w:tcPr>
          <w:p>
            <w:pPr>
              <w:wordWrap w:val="0"/>
              <w:jc w:val="center"/>
              <w:rPr>
                <w:rFonts w:ascii="Times New Roman" w:hAnsi="Times New Roman"/>
                <w:sz w:val="21"/>
                <w:szCs w:val="21"/>
                <w:lang w:eastAsia="zh-CN"/>
              </w:rPr>
            </w:pPr>
            <w:r>
              <w:rPr>
                <w:rFonts w:hint="eastAsia" w:ascii="Times New Roman" w:hAnsi="Times New Roman"/>
                <w:sz w:val="21"/>
                <w:szCs w:val="21"/>
                <w:lang w:eastAsia="zh-CN"/>
              </w:rPr>
              <w:t>招标项目勘察设计的特点、关键技术问题的认识及其对策措施</w:t>
            </w:r>
          </w:p>
        </w:tc>
        <w:tc>
          <w:tcPr>
            <w:tcW w:w="1208" w:type="dxa"/>
            <w:gridSpan w:val="3"/>
            <w:vMerge w:val="restart"/>
            <w:vAlign w:val="center"/>
          </w:tcPr>
          <w:p>
            <w:pPr>
              <w:wordWrap w:val="0"/>
              <w:jc w:val="center"/>
              <w:rPr>
                <w:rFonts w:ascii="Times New Roman" w:hAnsi="Times New Roman"/>
                <w:sz w:val="21"/>
                <w:szCs w:val="21"/>
                <w:u w:val="single"/>
              </w:rPr>
            </w:pPr>
            <w:r>
              <w:rPr>
                <w:rFonts w:hint="eastAsia" w:ascii="Times New Roman" w:hAnsi="Times New Roman"/>
                <w:sz w:val="21"/>
                <w:szCs w:val="21"/>
                <w:u w:val="single"/>
              </w:rPr>
              <w:t>10</w:t>
            </w:r>
            <w:r>
              <w:rPr>
                <w:rFonts w:ascii="Times New Roman" w:hAnsi="Times New Roman"/>
                <w:sz w:val="21"/>
                <w:szCs w:val="21"/>
                <w:u w:val="single"/>
              </w:rPr>
              <w:t xml:space="preserve"> </w:t>
            </w:r>
            <w:r>
              <w:rPr>
                <w:rFonts w:hint="eastAsia" w:ascii="Times New Roman" w:hAnsi="Times New Roman"/>
                <w:sz w:val="21"/>
                <w:szCs w:val="21"/>
              </w:rPr>
              <w:t>分</w:t>
            </w: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未针对本项目的特点、难点、重点进行分析并提出处理措施，或提出的处理措施可行性较差，得8分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对本项目的特点、难点、重点进行分析，提出的处理措施基本可行，得9分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对本项目的特点、难点、重点进行准确分析，提出的处理措施有效可行，得10分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restart"/>
            <w:vAlign w:val="center"/>
          </w:tcPr>
          <w:p>
            <w:pPr>
              <w:jc w:val="center"/>
              <w:rPr>
                <w:sz w:val="21"/>
                <w:szCs w:val="21"/>
                <w:lang w:eastAsia="zh-CN"/>
              </w:rPr>
            </w:pPr>
            <w:r>
              <w:rPr>
                <w:rFonts w:hint="eastAsia" w:ascii="Times New Roman" w:hAnsi="Times New Roman"/>
                <w:sz w:val="21"/>
                <w:szCs w:val="21"/>
                <w:lang w:eastAsia="zh-CN"/>
              </w:rPr>
              <w:t>勘察设计工作量及计划安排</w:t>
            </w:r>
          </w:p>
        </w:tc>
        <w:tc>
          <w:tcPr>
            <w:tcW w:w="1208" w:type="dxa"/>
            <w:gridSpan w:val="3"/>
            <w:vMerge w:val="restart"/>
            <w:vAlign w:val="center"/>
          </w:tcPr>
          <w:p>
            <w:pPr>
              <w:wordWrap w:val="0"/>
              <w:jc w:val="center"/>
              <w:rPr>
                <w:rFonts w:ascii="Times New Roman" w:hAnsi="Times New Roman"/>
                <w:sz w:val="21"/>
                <w:szCs w:val="21"/>
                <w:u w:val="single"/>
              </w:rPr>
            </w:pPr>
            <w:r>
              <w:rPr>
                <w:rFonts w:hint="eastAsia" w:ascii="Times New Roman" w:hAnsi="Times New Roman"/>
                <w:sz w:val="21"/>
                <w:szCs w:val="21"/>
                <w:u w:val="single"/>
              </w:rPr>
              <w:t>5</w:t>
            </w:r>
            <w:r>
              <w:rPr>
                <w:rFonts w:hint="eastAsia" w:ascii="Times New Roman" w:hAnsi="Times New Roman"/>
                <w:sz w:val="21"/>
                <w:szCs w:val="21"/>
              </w:rPr>
              <w:t>分</w:t>
            </w: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工作量划分合理的得3分，比较合理的得2.7分，一般的得2.4分；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工作计划合理的得</w:t>
            </w:r>
            <w:r>
              <w:rPr>
                <w:rFonts w:ascii="Times New Roman" w:hAnsi="Times New Roman"/>
                <w:sz w:val="21"/>
                <w:szCs w:val="21"/>
                <w:lang w:eastAsia="zh-CN"/>
              </w:rPr>
              <w:t>2</w:t>
            </w:r>
            <w:r>
              <w:rPr>
                <w:rFonts w:hint="eastAsia" w:ascii="Times New Roman" w:hAnsi="Times New Roman"/>
                <w:sz w:val="21"/>
                <w:szCs w:val="21"/>
                <w:lang w:eastAsia="zh-CN"/>
              </w:rPr>
              <w:t>分，比较合理的得</w:t>
            </w:r>
            <w:r>
              <w:rPr>
                <w:rFonts w:ascii="Times New Roman" w:hAnsi="Times New Roman"/>
                <w:sz w:val="21"/>
                <w:szCs w:val="21"/>
                <w:lang w:eastAsia="zh-CN"/>
              </w:rPr>
              <w:t>1.</w:t>
            </w:r>
            <w:r>
              <w:rPr>
                <w:rFonts w:hint="eastAsia" w:ascii="Times New Roman" w:hAnsi="Times New Roman"/>
                <w:sz w:val="21"/>
                <w:szCs w:val="21"/>
                <w:lang w:eastAsia="zh-CN"/>
              </w:rPr>
              <w:t>8分，一般的得1.6分；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restart"/>
            <w:vAlign w:val="center"/>
          </w:tcPr>
          <w:p>
            <w:pPr>
              <w:wordWrap w:val="0"/>
              <w:jc w:val="center"/>
              <w:rPr>
                <w:rFonts w:ascii="Times New Roman" w:hAnsi="Times New Roman"/>
                <w:sz w:val="21"/>
                <w:szCs w:val="21"/>
                <w:lang w:eastAsia="zh-CN"/>
              </w:rPr>
            </w:pPr>
            <w:r>
              <w:rPr>
                <w:rFonts w:hint="eastAsia" w:ascii="Times New Roman" w:hAnsi="Times New Roman"/>
                <w:sz w:val="21"/>
                <w:szCs w:val="21"/>
                <w:lang w:eastAsia="zh-CN"/>
              </w:rPr>
              <w:t>勘察设计的质量保证措施、进度保证措施</w:t>
            </w:r>
          </w:p>
        </w:tc>
        <w:tc>
          <w:tcPr>
            <w:tcW w:w="1208" w:type="dxa"/>
            <w:gridSpan w:val="3"/>
            <w:vMerge w:val="restart"/>
            <w:vAlign w:val="center"/>
          </w:tcPr>
          <w:p>
            <w:pPr>
              <w:wordWrap w:val="0"/>
              <w:jc w:val="center"/>
              <w:rPr>
                <w:rFonts w:ascii="Times New Roman" w:hAnsi="Times New Roman"/>
                <w:sz w:val="21"/>
                <w:szCs w:val="21"/>
                <w:u w:val="single"/>
              </w:rPr>
            </w:pPr>
            <w:r>
              <w:rPr>
                <w:rFonts w:ascii="Times New Roman" w:hAnsi="Times New Roman"/>
                <w:sz w:val="21"/>
                <w:szCs w:val="21"/>
                <w:u w:val="single"/>
              </w:rPr>
              <w:t>5</w:t>
            </w:r>
            <w:r>
              <w:rPr>
                <w:rFonts w:hint="eastAsia" w:ascii="Times New Roman" w:hAnsi="Times New Roman"/>
                <w:sz w:val="21"/>
                <w:szCs w:val="21"/>
              </w:rPr>
              <w:t>分</w:t>
            </w: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实施本项目的质量管理措施得力的得</w:t>
            </w:r>
            <w:r>
              <w:rPr>
                <w:rFonts w:ascii="Times New Roman" w:hAnsi="Times New Roman"/>
                <w:sz w:val="21"/>
                <w:szCs w:val="21"/>
                <w:lang w:eastAsia="zh-CN"/>
              </w:rPr>
              <w:t>3</w:t>
            </w:r>
            <w:r>
              <w:rPr>
                <w:rFonts w:hint="eastAsia" w:ascii="Times New Roman" w:hAnsi="Times New Roman"/>
                <w:sz w:val="21"/>
                <w:szCs w:val="21"/>
                <w:lang w:eastAsia="zh-CN"/>
              </w:rPr>
              <w:t>分，良好的得</w:t>
            </w:r>
            <w:r>
              <w:rPr>
                <w:rFonts w:ascii="Times New Roman" w:hAnsi="Times New Roman"/>
                <w:sz w:val="21"/>
                <w:szCs w:val="21"/>
                <w:lang w:eastAsia="zh-CN"/>
              </w:rPr>
              <w:t>2.</w:t>
            </w:r>
            <w:r>
              <w:rPr>
                <w:rFonts w:hint="eastAsia" w:ascii="Times New Roman" w:hAnsi="Times New Roman"/>
                <w:sz w:val="21"/>
                <w:szCs w:val="21"/>
                <w:lang w:eastAsia="zh-CN"/>
              </w:rPr>
              <w:t>7分，一般的得2.4分。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实施本项目的进度保证措施得力的得</w:t>
            </w:r>
            <w:r>
              <w:rPr>
                <w:rFonts w:ascii="Times New Roman" w:hAnsi="Times New Roman"/>
                <w:sz w:val="21"/>
                <w:szCs w:val="21"/>
                <w:lang w:eastAsia="zh-CN"/>
              </w:rPr>
              <w:t>2</w:t>
            </w:r>
            <w:r>
              <w:rPr>
                <w:rFonts w:hint="eastAsia" w:ascii="Times New Roman" w:hAnsi="Times New Roman"/>
                <w:sz w:val="21"/>
                <w:szCs w:val="21"/>
                <w:lang w:eastAsia="zh-CN"/>
              </w:rPr>
              <w:t>分，比较得力的得</w:t>
            </w:r>
            <w:r>
              <w:rPr>
                <w:rFonts w:ascii="Times New Roman" w:hAnsi="Times New Roman"/>
                <w:sz w:val="21"/>
                <w:szCs w:val="21"/>
                <w:lang w:eastAsia="zh-CN"/>
              </w:rPr>
              <w:t>1.</w:t>
            </w:r>
            <w:r>
              <w:rPr>
                <w:rFonts w:hint="eastAsia" w:ascii="Times New Roman" w:hAnsi="Times New Roman"/>
                <w:sz w:val="21"/>
                <w:szCs w:val="21"/>
                <w:lang w:eastAsia="zh-CN"/>
              </w:rPr>
              <w:t>8分，一般的得</w:t>
            </w:r>
            <w:r>
              <w:rPr>
                <w:rFonts w:ascii="Times New Roman" w:hAnsi="Times New Roman"/>
                <w:sz w:val="21"/>
                <w:szCs w:val="21"/>
                <w:lang w:eastAsia="zh-CN"/>
              </w:rPr>
              <w:t>1.</w:t>
            </w:r>
            <w:r>
              <w:rPr>
                <w:rFonts w:hint="eastAsia" w:ascii="Times New Roman" w:hAnsi="Times New Roman"/>
                <w:sz w:val="21"/>
                <w:szCs w:val="21"/>
                <w:lang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restart"/>
            <w:vAlign w:val="center"/>
          </w:tcPr>
          <w:p>
            <w:pPr>
              <w:wordWrap w:val="0"/>
              <w:jc w:val="center"/>
              <w:rPr>
                <w:rFonts w:ascii="Times New Roman" w:hAnsi="Times New Roman"/>
                <w:sz w:val="21"/>
                <w:szCs w:val="21"/>
                <w:lang w:eastAsia="zh-CN"/>
              </w:rPr>
            </w:pPr>
            <w:r>
              <w:rPr>
                <w:rFonts w:hint="eastAsia" w:ascii="Times New Roman" w:hAnsi="Times New Roman"/>
                <w:sz w:val="21"/>
                <w:szCs w:val="21"/>
                <w:lang w:eastAsia="zh-CN"/>
              </w:rPr>
              <w:t>后续服务的安排及保证措施</w:t>
            </w:r>
          </w:p>
        </w:tc>
        <w:tc>
          <w:tcPr>
            <w:tcW w:w="1208" w:type="dxa"/>
            <w:gridSpan w:val="3"/>
            <w:vMerge w:val="restart"/>
            <w:vAlign w:val="center"/>
          </w:tcPr>
          <w:p>
            <w:pPr>
              <w:wordWrap w:val="0"/>
              <w:jc w:val="center"/>
              <w:rPr>
                <w:rFonts w:ascii="Times New Roman" w:hAnsi="Times New Roman"/>
                <w:sz w:val="21"/>
                <w:szCs w:val="21"/>
                <w:u w:val="single"/>
              </w:rPr>
            </w:pPr>
            <w:r>
              <w:rPr>
                <w:rFonts w:hint="eastAsia" w:ascii="Times New Roman" w:hAnsi="Times New Roman"/>
                <w:sz w:val="21"/>
                <w:szCs w:val="21"/>
                <w:u w:val="single"/>
              </w:rPr>
              <w:t>5</w:t>
            </w:r>
            <w:r>
              <w:rPr>
                <w:rFonts w:hint="eastAsia" w:ascii="Times New Roman" w:hAnsi="Times New Roman"/>
                <w:sz w:val="21"/>
                <w:szCs w:val="21"/>
              </w:rPr>
              <w:t>分</w:t>
            </w: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服务机构人员的安排得力的，得3分，比较得力的得2.7分，一般的得2</w:t>
            </w:r>
            <w:r>
              <w:rPr>
                <w:rFonts w:ascii="Times New Roman" w:hAnsi="Times New Roman"/>
                <w:sz w:val="21"/>
                <w:szCs w:val="21"/>
                <w:lang w:eastAsia="zh-CN"/>
              </w:rPr>
              <w:t>.</w:t>
            </w:r>
            <w:r>
              <w:rPr>
                <w:rFonts w:hint="eastAsia" w:ascii="Times New Roman" w:hAnsi="Times New Roman"/>
                <w:sz w:val="21"/>
                <w:szCs w:val="21"/>
                <w:lang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wordWrap w:val="0"/>
              <w:jc w:val="center"/>
              <w:rPr>
                <w:rFonts w:ascii="Times New Roman" w:hAnsi="Times New Roman"/>
                <w:sz w:val="21"/>
                <w:szCs w:val="21"/>
                <w:lang w:eastAsia="zh-CN"/>
              </w:rPr>
            </w:pPr>
          </w:p>
        </w:tc>
        <w:tc>
          <w:tcPr>
            <w:tcW w:w="987" w:type="dxa"/>
            <w:gridSpan w:val="2"/>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u w:val="single"/>
                <w:lang w:eastAsia="zh-CN"/>
              </w:rPr>
            </w:pPr>
          </w:p>
        </w:tc>
        <w:tc>
          <w:tcPr>
            <w:tcW w:w="1550" w:type="dxa"/>
            <w:vMerge w:val="continue"/>
            <w:vAlign w:val="center"/>
          </w:tcPr>
          <w:p>
            <w:pPr>
              <w:wordWrap w:val="0"/>
              <w:jc w:val="center"/>
              <w:rPr>
                <w:rFonts w:ascii="Times New Roman" w:hAnsi="Times New Roman"/>
                <w:sz w:val="21"/>
                <w:szCs w:val="21"/>
                <w:lang w:eastAsia="zh-CN"/>
              </w:rPr>
            </w:pPr>
          </w:p>
        </w:tc>
        <w:tc>
          <w:tcPr>
            <w:tcW w:w="1208" w:type="dxa"/>
            <w:gridSpan w:val="3"/>
            <w:vMerge w:val="continue"/>
            <w:vAlign w:val="center"/>
          </w:tcPr>
          <w:p>
            <w:pPr>
              <w:wordWrap w:val="0"/>
              <w:jc w:val="center"/>
              <w:rPr>
                <w:rFonts w:ascii="Times New Roman" w:hAnsi="Times New Roman"/>
                <w:sz w:val="21"/>
                <w:szCs w:val="21"/>
                <w:u w:val="single"/>
                <w:lang w:eastAsia="zh-CN"/>
              </w:rPr>
            </w:pPr>
          </w:p>
        </w:tc>
        <w:tc>
          <w:tcPr>
            <w:tcW w:w="4536" w:type="dxa"/>
            <w:vAlign w:val="center"/>
          </w:tcPr>
          <w:p>
            <w:pPr>
              <w:wordWrap w:val="0"/>
              <w:rPr>
                <w:rFonts w:ascii="Times New Roman" w:hAnsi="Times New Roman"/>
                <w:sz w:val="21"/>
                <w:szCs w:val="21"/>
                <w:lang w:eastAsia="zh-CN"/>
              </w:rPr>
            </w:pPr>
            <w:r>
              <w:rPr>
                <w:rFonts w:hint="eastAsia" w:ascii="Times New Roman" w:hAnsi="Times New Roman"/>
                <w:sz w:val="21"/>
                <w:szCs w:val="21"/>
                <w:lang w:eastAsia="zh-CN"/>
              </w:rPr>
              <w:t>保证措施得力的，得</w:t>
            </w:r>
            <w:r>
              <w:rPr>
                <w:rFonts w:ascii="Times New Roman" w:hAnsi="Times New Roman"/>
                <w:sz w:val="21"/>
                <w:szCs w:val="21"/>
                <w:lang w:eastAsia="zh-CN"/>
              </w:rPr>
              <w:t>2</w:t>
            </w:r>
            <w:r>
              <w:rPr>
                <w:rFonts w:hint="eastAsia" w:ascii="Times New Roman" w:hAnsi="Times New Roman"/>
                <w:sz w:val="21"/>
                <w:szCs w:val="21"/>
                <w:lang w:eastAsia="zh-CN"/>
              </w:rPr>
              <w:t>分，比较得力的得</w:t>
            </w:r>
            <w:r>
              <w:rPr>
                <w:rFonts w:ascii="Times New Roman" w:hAnsi="Times New Roman"/>
                <w:sz w:val="21"/>
                <w:szCs w:val="21"/>
                <w:lang w:eastAsia="zh-CN"/>
              </w:rPr>
              <w:t>1.</w:t>
            </w:r>
            <w:r>
              <w:rPr>
                <w:rFonts w:hint="eastAsia" w:ascii="Times New Roman" w:hAnsi="Times New Roman"/>
                <w:sz w:val="21"/>
                <w:szCs w:val="21"/>
                <w:lang w:eastAsia="zh-CN"/>
              </w:rPr>
              <w:t>8分，基本可行的，得</w:t>
            </w:r>
            <w:r>
              <w:rPr>
                <w:rFonts w:ascii="Times New Roman" w:hAnsi="Times New Roman"/>
                <w:sz w:val="21"/>
                <w:szCs w:val="21"/>
                <w:lang w:eastAsia="zh-CN"/>
              </w:rPr>
              <w:t>1.</w:t>
            </w:r>
            <w:r>
              <w:rPr>
                <w:rFonts w:hint="eastAsia" w:ascii="Times New Roman" w:hAnsi="Times New Roman"/>
                <w:sz w:val="21"/>
                <w:szCs w:val="21"/>
                <w:lang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763" w:type="dxa"/>
            <w:vMerge w:val="restart"/>
            <w:vAlign w:val="center"/>
          </w:tcPr>
          <w:p>
            <w:pPr>
              <w:spacing w:line="320" w:lineRule="exact"/>
              <w:jc w:val="center"/>
              <w:rPr>
                <w:rFonts w:ascii="Times New Roman" w:hAnsi="Times New Roman"/>
                <w:sz w:val="21"/>
                <w:szCs w:val="21"/>
              </w:rPr>
            </w:pPr>
            <w:r>
              <w:rPr>
                <w:rFonts w:ascii="Times New Roman" w:hAnsi="Times New Roman"/>
                <w:sz w:val="21"/>
                <w:szCs w:val="21"/>
              </w:rPr>
              <w:t>2.2.4</w:t>
            </w:r>
            <w:r>
              <w:rPr>
                <w:rFonts w:hint="eastAsia" w:ascii="Times New Roman" w:hAnsi="Times New Roman"/>
                <w:sz w:val="21"/>
                <w:szCs w:val="21"/>
              </w:rPr>
              <w:t>（</w:t>
            </w:r>
            <w:r>
              <w:rPr>
                <w:rFonts w:ascii="Times New Roman" w:hAnsi="Times New Roman"/>
                <w:sz w:val="21"/>
                <w:szCs w:val="21"/>
              </w:rPr>
              <w:t>2</w:t>
            </w:r>
            <w:r>
              <w:rPr>
                <w:rFonts w:hint="eastAsia" w:ascii="Times New Roman" w:hAnsi="Times New Roman"/>
                <w:sz w:val="21"/>
                <w:szCs w:val="21"/>
              </w:rPr>
              <w:t>）</w:t>
            </w:r>
          </w:p>
        </w:tc>
        <w:tc>
          <w:tcPr>
            <w:tcW w:w="987" w:type="dxa"/>
            <w:gridSpan w:val="2"/>
            <w:vMerge w:val="restart"/>
            <w:vAlign w:val="center"/>
          </w:tcPr>
          <w:p>
            <w:pPr>
              <w:spacing w:line="320" w:lineRule="exact"/>
              <w:jc w:val="center"/>
              <w:rPr>
                <w:rFonts w:ascii="Times New Roman" w:hAnsi="Times New Roman"/>
                <w:sz w:val="21"/>
                <w:szCs w:val="21"/>
                <w:u w:val="single"/>
              </w:rPr>
            </w:pPr>
            <w:r>
              <w:rPr>
                <w:rFonts w:hint="eastAsia" w:ascii="Times New Roman" w:hAnsi="Times New Roman"/>
                <w:sz w:val="21"/>
                <w:szCs w:val="21"/>
              </w:rPr>
              <w:t>主要人员</w:t>
            </w:r>
          </w:p>
        </w:tc>
        <w:tc>
          <w:tcPr>
            <w:tcW w:w="1438" w:type="dxa"/>
            <w:vMerge w:val="restart"/>
            <w:vAlign w:val="center"/>
          </w:tcPr>
          <w:p>
            <w:pPr>
              <w:spacing w:line="320" w:lineRule="exact"/>
              <w:rPr>
                <w:rFonts w:ascii="Times New Roman" w:hAnsi="Times New Roman"/>
                <w:sz w:val="21"/>
                <w:szCs w:val="21"/>
              </w:rPr>
            </w:pPr>
            <w:r>
              <w:rPr>
                <w:rFonts w:hint="eastAsia" w:ascii="Times New Roman" w:hAnsi="Times New Roman"/>
                <w:sz w:val="21"/>
                <w:szCs w:val="21"/>
                <w:u w:val="single"/>
              </w:rPr>
              <w:t>20</w:t>
            </w:r>
            <w:r>
              <w:rPr>
                <w:rFonts w:hint="eastAsia" w:ascii="Times New Roman" w:hAnsi="Times New Roman"/>
                <w:sz w:val="21"/>
                <w:szCs w:val="21"/>
              </w:rPr>
              <w:t>分</w:t>
            </w:r>
          </w:p>
        </w:tc>
        <w:tc>
          <w:tcPr>
            <w:tcW w:w="1550" w:type="dxa"/>
            <w:vAlign w:val="center"/>
          </w:tcPr>
          <w:p>
            <w:pPr>
              <w:spacing w:line="320" w:lineRule="exact"/>
              <w:jc w:val="center"/>
              <w:rPr>
                <w:rFonts w:ascii="Times New Roman" w:hAnsi="Times New Roman"/>
                <w:sz w:val="21"/>
                <w:szCs w:val="21"/>
                <w:u w:val="single"/>
                <w:lang w:eastAsia="zh-CN"/>
              </w:rPr>
            </w:pPr>
            <w:r>
              <w:rPr>
                <w:rFonts w:hint="eastAsia" w:ascii="Times New Roman" w:hAnsi="Times New Roman"/>
                <w:sz w:val="21"/>
                <w:szCs w:val="21"/>
                <w:lang w:eastAsia="zh-CN"/>
              </w:rPr>
              <w:t>项目负责人任职资格与业绩</w:t>
            </w:r>
          </w:p>
        </w:tc>
        <w:tc>
          <w:tcPr>
            <w:tcW w:w="1208" w:type="dxa"/>
            <w:gridSpan w:val="3"/>
            <w:vAlign w:val="center"/>
          </w:tcPr>
          <w:p>
            <w:pPr>
              <w:spacing w:line="320" w:lineRule="exact"/>
              <w:ind w:firstLine="105" w:firstLineChars="50"/>
              <w:rPr>
                <w:rFonts w:ascii="Times New Roman" w:hAnsi="Times New Roman"/>
                <w:sz w:val="21"/>
                <w:szCs w:val="21"/>
              </w:rPr>
            </w:pPr>
            <w:r>
              <w:rPr>
                <w:rFonts w:hint="eastAsia" w:ascii="Times New Roman" w:hAnsi="Times New Roman"/>
                <w:sz w:val="21"/>
                <w:szCs w:val="21"/>
                <w:u w:val="single"/>
              </w:rPr>
              <w:t>10</w:t>
            </w:r>
            <w:r>
              <w:rPr>
                <w:rFonts w:hint="eastAsia" w:ascii="Times New Roman" w:hAnsi="Times New Roman"/>
                <w:sz w:val="21"/>
                <w:szCs w:val="21"/>
              </w:rPr>
              <w:t>分</w:t>
            </w:r>
          </w:p>
        </w:tc>
        <w:tc>
          <w:tcPr>
            <w:tcW w:w="4536" w:type="dxa"/>
            <w:vAlign w:val="center"/>
          </w:tcPr>
          <w:p>
            <w:pPr>
              <w:rPr>
                <w:rFonts w:ascii="宋体" w:hAnsi="宋体"/>
                <w:sz w:val="21"/>
                <w:szCs w:val="21"/>
                <w:lang w:eastAsia="zh-CN"/>
              </w:rPr>
            </w:pPr>
            <w:r>
              <w:rPr>
                <w:rFonts w:hint="eastAsia" w:ascii="宋体" w:hAnsi="宋体"/>
                <w:sz w:val="21"/>
                <w:szCs w:val="21"/>
                <w:lang w:eastAsia="zh-CN"/>
              </w:rPr>
              <w:t>满足资格审查条件（项目负责人最低要求）</w:t>
            </w:r>
          </w:p>
          <w:p>
            <w:pPr>
              <w:rPr>
                <w:rFonts w:ascii="宋体" w:hAnsi="宋体"/>
                <w:sz w:val="21"/>
                <w:szCs w:val="21"/>
                <w:lang w:eastAsia="zh-CN"/>
              </w:rPr>
            </w:pPr>
            <w:r>
              <w:rPr>
                <w:rFonts w:hint="eastAsia" w:ascii="宋体" w:hAnsi="宋体"/>
                <w:sz w:val="21"/>
                <w:szCs w:val="21"/>
                <w:lang w:eastAsia="zh-CN"/>
              </w:rPr>
              <w:t>得基本分 6分；此外，满足资格审查最低条件基础上：</w:t>
            </w:r>
          </w:p>
          <w:p>
            <w:pPr>
              <w:rPr>
                <w:rFonts w:ascii="宋体" w:hAnsi="宋体"/>
                <w:sz w:val="21"/>
                <w:szCs w:val="21"/>
                <w:lang w:eastAsia="zh-CN"/>
              </w:rPr>
            </w:pPr>
            <w:r>
              <w:rPr>
                <w:rFonts w:hint="eastAsia" w:ascii="宋体" w:hAnsi="宋体"/>
                <w:sz w:val="21"/>
                <w:szCs w:val="21"/>
                <w:lang w:eastAsia="zh-CN"/>
              </w:rPr>
              <w:t>1、项目负责人具有注册土木工程师（道路工程）执业资格的加2分，最多加2分；</w:t>
            </w:r>
          </w:p>
          <w:p>
            <w:pPr>
              <w:spacing w:line="320" w:lineRule="exact"/>
              <w:rPr>
                <w:rFonts w:ascii="Times New Roman" w:hAnsi="Times New Roman"/>
                <w:sz w:val="21"/>
                <w:szCs w:val="21"/>
                <w:lang w:eastAsia="zh-CN"/>
              </w:rPr>
            </w:pPr>
            <w:r>
              <w:rPr>
                <w:rFonts w:hint="eastAsia" w:ascii="宋体" w:hAnsi="宋体"/>
                <w:sz w:val="21"/>
                <w:szCs w:val="21"/>
                <w:lang w:eastAsia="zh-CN"/>
              </w:rPr>
              <w:t>2、项目负责人具有注册咨询工程师的加2分，最多加2分；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Merge w:val="continue"/>
            <w:vAlign w:val="center"/>
          </w:tcPr>
          <w:p>
            <w:pPr>
              <w:spacing w:line="320" w:lineRule="exact"/>
              <w:jc w:val="center"/>
              <w:rPr>
                <w:rFonts w:ascii="Times New Roman" w:hAnsi="Times New Roman"/>
                <w:sz w:val="21"/>
                <w:szCs w:val="21"/>
                <w:lang w:eastAsia="zh-CN"/>
              </w:rPr>
            </w:pPr>
          </w:p>
        </w:tc>
        <w:tc>
          <w:tcPr>
            <w:tcW w:w="987" w:type="dxa"/>
            <w:gridSpan w:val="2"/>
            <w:vMerge w:val="continue"/>
            <w:vAlign w:val="center"/>
          </w:tcPr>
          <w:p>
            <w:pPr>
              <w:spacing w:line="320" w:lineRule="exact"/>
              <w:jc w:val="center"/>
              <w:rPr>
                <w:rFonts w:ascii="Times New Roman" w:hAnsi="Times New Roman"/>
                <w:sz w:val="21"/>
                <w:szCs w:val="21"/>
                <w:lang w:eastAsia="zh-CN"/>
              </w:rPr>
            </w:pPr>
          </w:p>
        </w:tc>
        <w:tc>
          <w:tcPr>
            <w:tcW w:w="1438" w:type="dxa"/>
            <w:vMerge w:val="continue"/>
            <w:vAlign w:val="center"/>
          </w:tcPr>
          <w:p>
            <w:pPr>
              <w:spacing w:line="320" w:lineRule="exact"/>
              <w:rPr>
                <w:rFonts w:ascii="Times New Roman" w:hAnsi="Times New Roman"/>
                <w:sz w:val="21"/>
                <w:szCs w:val="21"/>
                <w:u w:val="single"/>
                <w:lang w:eastAsia="zh-CN"/>
              </w:rPr>
            </w:pPr>
          </w:p>
        </w:tc>
        <w:tc>
          <w:tcPr>
            <w:tcW w:w="1550" w:type="dxa"/>
            <w:vAlign w:val="center"/>
          </w:tcPr>
          <w:p>
            <w:pPr>
              <w:spacing w:line="320" w:lineRule="exact"/>
              <w:jc w:val="center"/>
              <w:rPr>
                <w:rFonts w:ascii="Times New Roman" w:hAnsi="Times New Roman"/>
                <w:sz w:val="21"/>
                <w:szCs w:val="21"/>
                <w:u w:val="single"/>
                <w:lang w:eastAsia="zh-CN"/>
              </w:rPr>
            </w:pPr>
            <w:r>
              <w:rPr>
                <w:rFonts w:hint="eastAsia" w:ascii="Times New Roman" w:hAnsi="Times New Roman"/>
                <w:sz w:val="21"/>
                <w:szCs w:val="21"/>
                <w:lang w:eastAsia="zh-CN"/>
              </w:rPr>
              <w:t>分项负责人任职资格与业绩</w:t>
            </w:r>
          </w:p>
        </w:tc>
        <w:tc>
          <w:tcPr>
            <w:tcW w:w="1208" w:type="dxa"/>
            <w:gridSpan w:val="3"/>
            <w:vAlign w:val="center"/>
          </w:tcPr>
          <w:p>
            <w:pPr>
              <w:spacing w:line="320" w:lineRule="exact"/>
              <w:ind w:firstLine="105" w:firstLineChars="50"/>
              <w:rPr>
                <w:rFonts w:ascii="Times New Roman" w:hAnsi="Times New Roman"/>
                <w:sz w:val="21"/>
                <w:szCs w:val="21"/>
              </w:rPr>
            </w:pPr>
            <w:r>
              <w:rPr>
                <w:rFonts w:hint="eastAsia" w:ascii="Times New Roman" w:hAnsi="Times New Roman"/>
                <w:sz w:val="21"/>
                <w:szCs w:val="21"/>
                <w:u w:val="single"/>
              </w:rPr>
              <w:t>10</w:t>
            </w:r>
            <w:r>
              <w:rPr>
                <w:rFonts w:hint="eastAsia" w:ascii="Times New Roman" w:hAnsi="Times New Roman"/>
                <w:sz w:val="21"/>
                <w:szCs w:val="21"/>
              </w:rPr>
              <w:t>分</w:t>
            </w:r>
          </w:p>
        </w:tc>
        <w:tc>
          <w:tcPr>
            <w:tcW w:w="4536" w:type="dxa"/>
            <w:vAlign w:val="center"/>
          </w:tcPr>
          <w:p>
            <w:pPr>
              <w:rPr>
                <w:rFonts w:ascii="宋体" w:hAnsi="宋体"/>
                <w:sz w:val="21"/>
                <w:szCs w:val="21"/>
                <w:lang w:eastAsia="zh-CN"/>
              </w:rPr>
            </w:pPr>
            <w:r>
              <w:rPr>
                <w:rFonts w:hint="eastAsia" w:ascii="宋体" w:hAnsi="宋体"/>
                <w:sz w:val="21"/>
                <w:szCs w:val="21"/>
                <w:lang w:eastAsia="zh-CN"/>
              </w:rPr>
              <w:t>满足资格审查条件（分项负责人最低要求）</w:t>
            </w:r>
          </w:p>
          <w:p>
            <w:pPr>
              <w:rPr>
                <w:rFonts w:ascii="宋体" w:hAnsi="宋体"/>
                <w:sz w:val="21"/>
                <w:szCs w:val="21"/>
                <w:lang w:eastAsia="zh-CN"/>
              </w:rPr>
            </w:pPr>
            <w:r>
              <w:rPr>
                <w:rFonts w:hint="eastAsia" w:ascii="宋体" w:hAnsi="宋体"/>
                <w:sz w:val="21"/>
                <w:szCs w:val="21"/>
                <w:lang w:eastAsia="zh-CN"/>
              </w:rPr>
              <w:t>得基本分6分；此外，满足资格审查最低条件基础上：</w:t>
            </w:r>
          </w:p>
          <w:p>
            <w:pPr>
              <w:rPr>
                <w:rFonts w:ascii="宋体" w:hAnsi="宋体"/>
                <w:sz w:val="21"/>
                <w:szCs w:val="21"/>
                <w:lang w:eastAsia="zh-CN"/>
              </w:rPr>
            </w:pPr>
            <w:r>
              <w:rPr>
                <w:rFonts w:hint="eastAsia" w:ascii="宋体" w:hAnsi="宋体"/>
                <w:sz w:val="21"/>
                <w:szCs w:val="21"/>
                <w:lang w:eastAsia="zh-CN"/>
              </w:rPr>
              <w:t>1、桥梁分项负责人注具有一级注册结构工程师执业资格的加2分，最多加2分；</w:t>
            </w:r>
          </w:p>
          <w:p>
            <w:pPr>
              <w:rPr>
                <w:rFonts w:ascii="宋体" w:hAnsi="宋体"/>
                <w:sz w:val="21"/>
                <w:szCs w:val="21"/>
                <w:lang w:eastAsia="zh-CN"/>
              </w:rPr>
            </w:pPr>
            <w:r>
              <w:rPr>
                <w:rFonts w:hint="eastAsia" w:ascii="宋体" w:hAnsi="宋体"/>
                <w:sz w:val="21"/>
                <w:szCs w:val="21"/>
                <w:lang w:eastAsia="zh-CN"/>
              </w:rPr>
              <w:t>2、工程地质勘察分项负责人具有注册土木工程师（岩土）执业资格的加2分，最多加2分；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 w:type="dxa"/>
            <w:vAlign w:val="center"/>
          </w:tcPr>
          <w:p>
            <w:pPr>
              <w:spacing w:line="320" w:lineRule="exact"/>
              <w:jc w:val="center"/>
              <w:rPr>
                <w:rFonts w:ascii="Times New Roman" w:hAnsi="Times New Roman"/>
                <w:sz w:val="21"/>
                <w:szCs w:val="21"/>
              </w:rPr>
            </w:pPr>
            <w:r>
              <w:rPr>
                <w:rFonts w:ascii="Times New Roman" w:hAnsi="Times New Roman"/>
                <w:sz w:val="21"/>
                <w:szCs w:val="21"/>
              </w:rPr>
              <w:t>2.2.4</w:t>
            </w:r>
            <w:r>
              <w:rPr>
                <w:rFonts w:hint="eastAsia" w:ascii="Times New Roman" w:hAnsi="Times New Roman"/>
                <w:sz w:val="21"/>
                <w:szCs w:val="21"/>
              </w:rPr>
              <w:t>（</w:t>
            </w:r>
            <w:r>
              <w:rPr>
                <w:rFonts w:ascii="Times New Roman" w:hAnsi="Times New Roman"/>
                <w:sz w:val="21"/>
                <w:szCs w:val="21"/>
              </w:rPr>
              <w:t>3</w:t>
            </w:r>
            <w:r>
              <w:rPr>
                <w:rFonts w:hint="eastAsia" w:ascii="Times New Roman" w:hAnsi="Times New Roman"/>
                <w:sz w:val="21"/>
                <w:szCs w:val="21"/>
              </w:rPr>
              <w:t>）</w:t>
            </w:r>
          </w:p>
        </w:tc>
        <w:tc>
          <w:tcPr>
            <w:tcW w:w="987" w:type="dxa"/>
            <w:gridSpan w:val="2"/>
            <w:vAlign w:val="center"/>
          </w:tcPr>
          <w:p>
            <w:pPr>
              <w:spacing w:line="320" w:lineRule="exact"/>
              <w:jc w:val="center"/>
              <w:rPr>
                <w:rFonts w:ascii="Times New Roman" w:hAnsi="Times New Roman"/>
                <w:sz w:val="21"/>
                <w:szCs w:val="21"/>
              </w:rPr>
            </w:pPr>
            <w:r>
              <w:rPr>
                <w:rFonts w:hint="eastAsia" w:ascii="Times New Roman" w:hAnsi="Times New Roman"/>
                <w:sz w:val="21"/>
                <w:szCs w:val="21"/>
              </w:rPr>
              <w:t>评标价</w:t>
            </w:r>
          </w:p>
        </w:tc>
        <w:tc>
          <w:tcPr>
            <w:tcW w:w="1438" w:type="dxa"/>
            <w:vAlign w:val="center"/>
          </w:tcPr>
          <w:p>
            <w:pPr>
              <w:spacing w:line="340" w:lineRule="exact"/>
              <w:rPr>
                <w:rFonts w:ascii="Times New Roman" w:hAnsi="Times New Roman"/>
                <w:sz w:val="21"/>
                <w:szCs w:val="21"/>
              </w:rPr>
            </w:pPr>
            <w:r>
              <w:rPr>
                <w:rFonts w:ascii="Times New Roman" w:hAnsi="Times New Roman"/>
                <w:sz w:val="21"/>
                <w:szCs w:val="21"/>
                <w:u w:val="single"/>
              </w:rPr>
              <w:t>10</w:t>
            </w:r>
            <w:r>
              <w:rPr>
                <w:rFonts w:hint="eastAsia" w:ascii="Times New Roman" w:hAnsi="Times New Roman"/>
                <w:sz w:val="21"/>
                <w:szCs w:val="21"/>
              </w:rPr>
              <w:t>分</w:t>
            </w:r>
          </w:p>
        </w:tc>
        <w:tc>
          <w:tcPr>
            <w:tcW w:w="7294" w:type="dxa"/>
            <w:gridSpan w:val="5"/>
            <w:vAlign w:val="center"/>
          </w:tcPr>
          <w:p>
            <w:pPr>
              <w:spacing w:line="340" w:lineRule="exact"/>
              <w:rPr>
                <w:rFonts w:ascii="Times New Roman" w:hAnsi="Times New Roman"/>
                <w:sz w:val="21"/>
                <w:szCs w:val="21"/>
                <w:lang w:eastAsia="zh-CN"/>
              </w:rPr>
            </w:pPr>
            <w:r>
              <w:rPr>
                <w:rFonts w:hint="eastAsia" w:ascii="Times New Roman" w:hAnsi="Times New Roman"/>
                <w:sz w:val="21"/>
                <w:szCs w:val="21"/>
                <w:lang w:eastAsia="zh-CN"/>
              </w:rPr>
              <w:t>评标价得分计算公式示例：</w:t>
            </w:r>
          </w:p>
          <w:p>
            <w:pPr>
              <w:spacing w:line="340" w:lineRule="exact"/>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1</w:t>
            </w:r>
            <w:r>
              <w:rPr>
                <w:rFonts w:hint="eastAsia" w:ascii="Times New Roman" w:hAnsi="Times New Roman"/>
                <w:sz w:val="21"/>
                <w:szCs w:val="21"/>
                <w:lang w:eastAsia="zh-CN"/>
              </w:rPr>
              <w:t>）如果投标人的评标价</w:t>
            </w:r>
            <w:r>
              <w:rPr>
                <w:rFonts w:ascii="Times New Roman" w:hAnsi="Times New Roman"/>
                <w:sz w:val="21"/>
                <w:szCs w:val="21"/>
                <w:lang w:eastAsia="zh-CN"/>
              </w:rPr>
              <w:t>&gt;</w:t>
            </w:r>
            <w:r>
              <w:rPr>
                <w:rFonts w:hint="eastAsia" w:ascii="Times New Roman" w:hAnsi="Times New Roman"/>
                <w:sz w:val="21"/>
                <w:szCs w:val="21"/>
                <w:lang w:eastAsia="zh-CN"/>
              </w:rPr>
              <w:t>评标基准价，则评标价得分＝</w:t>
            </w:r>
            <w:r>
              <w:rPr>
                <w:rFonts w:ascii="Times New Roman" w:hAnsi="Times New Roman"/>
                <w:sz w:val="21"/>
                <w:szCs w:val="21"/>
                <w:lang w:eastAsia="zh-CN"/>
              </w:rPr>
              <w:t>F</w:t>
            </w:r>
            <w:r>
              <w:rPr>
                <w:rFonts w:hint="eastAsia" w:ascii="Times New Roman" w:hAnsi="Times New Roman"/>
                <w:sz w:val="21"/>
                <w:szCs w:val="21"/>
                <w:lang w:eastAsia="zh-CN"/>
              </w:rPr>
              <w:t>－偏差率</w:t>
            </w:r>
            <w:r>
              <w:rPr>
                <w:rFonts w:ascii="Times New Roman" w:hAnsi="Times New Roman"/>
                <w:sz w:val="21"/>
                <w:szCs w:val="21"/>
                <w:lang w:eastAsia="zh-CN"/>
              </w:rPr>
              <w:t>×100×E</w:t>
            </w:r>
            <w:r>
              <w:rPr>
                <w:rFonts w:ascii="Times New Roman" w:hAnsi="Times New Roman"/>
                <w:sz w:val="21"/>
                <w:szCs w:val="21"/>
                <w:vertAlign w:val="subscript"/>
                <w:lang w:eastAsia="zh-CN"/>
              </w:rPr>
              <w:t>1</w:t>
            </w:r>
            <w:r>
              <w:rPr>
                <w:rFonts w:hint="eastAsia" w:ascii="Times New Roman" w:hAnsi="Times New Roman"/>
                <w:sz w:val="21"/>
                <w:szCs w:val="21"/>
                <w:lang w:eastAsia="zh-CN"/>
              </w:rPr>
              <w:t>；</w:t>
            </w:r>
          </w:p>
          <w:p>
            <w:pPr>
              <w:spacing w:line="340" w:lineRule="exact"/>
              <w:rPr>
                <w:rFonts w:ascii="Times New Roman" w:hAnsi="Times New Roman"/>
                <w:sz w:val="21"/>
                <w:szCs w:val="21"/>
                <w:lang w:eastAsia="zh-CN"/>
              </w:rPr>
            </w:pPr>
            <w:r>
              <w:rPr>
                <w:rFonts w:hint="eastAsia" w:ascii="Times New Roman" w:hAnsi="Times New Roman"/>
                <w:sz w:val="21"/>
                <w:szCs w:val="21"/>
                <w:lang w:eastAsia="zh-CN"/>
              </w:rPr>
              <w:t>（</w:t>
            </w:r>
            <w:r>
              <w:rPr>
                <w:rFonts w:ascii="Times New Roman" w:hAnsi="Times New Roman"/>
                <w:sz w:val="21"/>
                <w:szCs w:val="21"/>
                <w:lang w:eastAsia="zh-CN"/>
              </w:rPr>
              <w:t>2</w:t>
            </w:r>
            <w:r>
              <w:rPr>
                <w:rFonts w:hint="eastAsia" w:ascii="Times New Roman" w:hAnsi="Times New Roman"/>
                <w:sz w:val="21"/>
                <w:szCs w:val="21"/>
                <w:lang w:eastAsia="zh-CN"/>
              </w:rPr>
              <w:t>）如果投标人的评标价</w:t>
            </w:r>
            <w:r>
              <w:rPr>
                <w:rFonts w:ascii="Times New Roman" w:hAnsi="Times New Roman"/>
                <w:sz w:val="21"/>
                <w:szCs w:val="21"/>
                <w:lang w:eastAsia="zh-CN"/>
              </w:rPr>
              <w:t>≤</w:t>
            </w:r>
            <w:r>
              <w:rPr>
                <w:rFonts w:hint="eastAsia" w:ascii="Times New Roman" w:hAnsi="Times New Roman"/>
                <w:sz w:val="21"/>
                <w:szCs w:val="21"/>
                <w:lang w:eastAsia="zh-CN"/>
              </w:rPr>
              <w:t>评标基准价，则评标价得分＝</w:t>
            </w:r>
            <w:r>
              <w:rPr>
                <w:rFonts w:ascii="Times New Roman" w:hAnsi="Times New Roman"/>
                <w:sz w:val="21"/>
                <w:szCs w:val="21"/>
                <w:lang w:eastAsia="zh-CN"/>
              </w:rPr>
              <w:t>F</w:t>
            </w:r>
            <w:r>
              <w:rPr>
                <w:rFonts w:hint="eastAsia" w:ascii="Times New Roman" w:hAnsi="Times New Roman"/>
                <w:sz w:val="21"/>
                <w:szCs w:val="21"/>
                <w:lang w:eastAsia="zh-CN"/>
              </w:rPr>
              <w:t>＋偏差率</w:t>
            </w:r>
            <w:r>
              <w:rPr>
                <w:rFonts w:ascii="Times New Roman" w:hAnsi="Times New Roman"/>
                <w:sz w:val="21"/>
                <w:szCs w:val="21"/>
                <w:lang w:eastAsia="zh-CN"/>
              </w:rPr>
              <w:t>×100×E</w:t>
            </w:r>
            <w:r>
              <w:rPr>
                <w:rFonts w:ascii="Times New Roman" w:hAnsi="Times New Roman"/>
                <w:sz w:val="21"/>
                <w:szCs w:val="21"/>
                <w:vertAlign w:val="subscript"/>
                <w:lang w:eastAsia="zh-CN"/>
              </w:rPr>
              <w:t>2</w:t>
            </w:r>
            <w:r>
              <w:rPr>
                <w:rFonts w:hint="eastAsia" w:ascii="Times New Roman" w:hAnsi="Times New Roman"/>
                <w:sz w:val="21"/>
                <w:szCs w:val="21"/>
                <w:lang w:eastAsia="zh-CN"/>
              </w:rPr>
              <w:t>。</w:t>
            </w:r>
          </w:p>
          <w:p>
            <w:pPr>
              <w:spacing w:line="340" w:lineRule="exact"/>
              <w:rPr>
                <w:rFonts w:ascii="Times New Roman" w:hAnsi="Times New Roman"/>
                <w:sz w:val="21"/>
                <w:szCs w:val="21"/>
                <w:lang w:eastAsia="zh-CN"/>
              </w:rPr>
            </w:pPr>
            <w:r>
              <w:rPr>
                <w:rFonts w:hint="eastAsia" w:ascii="Times New Roman" w:hAnsi="Times New Roman"/>
                <w:sz w:val="21"/>
                <w:szCs w:val="21"/>
                <w:lang w:eastAsia="zh-CN"/>
              </w:rPr>
              <w:t>其中：</w:t>
            </w:r>
            <w:r>
              <w:rPr>
                <w:rFonts w:ascii="Times New Roman" w:hAnsi="Times New Roman"/>
                <w:sz w:val="21"/>
                <w:szCs w:val="21"/>
                <w:lang w:eastAsia="zh-CN"/>
              </w:rPr>
              <w:t>F</w:t>
            </w:r>
            <w:r>
              <w:rPr>
                <w:rFonts w:hint="eastAsia" w:ascii="Times New Roman" w:hAnsi="Times New Roman"/>
                <w:sz w:val="21"/>
                <w:szCs w:val="21"/>
                <w:lang w:eastAsia="zh-CN"/>
              </w:rPr>
              <w:t>是评标价所占的权重分值，本次招标</w:t>
            </w:r>
            <w:r>
              <w:rPr>
                <w:rFonts w:ascii="Times New Roman" w:hAnsi="Times New Roman"/>
                <w:sz w:val="21"/>
                <w:szCs w:val="21"/>
                <w:lang w:eastAsia="zh-CN"/>
              </w:rPr>
              <w:t>F=10</w:t>
            </w:r>
            <w:r>
              <w:rPr>
                <w:rFonts w:hint="eastAsia" w:ascii="Times New Roman" w:hAnsi="Times New Roman"/>
                <w:sz w:val="21"/>
                <w:szCs w:val="21"/>
                <w:lang w:eastAsia="zh-CN"/>
              </w:rPr>
              <w:t>分，</w:t>
            </w:r>
            <w:r>
              <w:rPr>
                <w:rFonts w:ascii="Times New Roman" w:hAnsi="Times New Roman"/>
                <w:sz w:val="21"/>
                <w:szCs w:val="21"/>
                <w:lang w:eastAsia="zh-CN"/>
              </w:rPr>
              <w:t>E</w:t>
            </w:r>
            <w:r>
              <w:rPr>
                <w:rFonts w:ascii="Times New Roman" w:hAnsi="Times New Roman"/>
                <w:sz w:val="21"/>
                <w:szCs w:val="21"/>
                <w:vertAlign w:val="subscript"/>
                <w:lang w:eastAsia="zh-CN"/>
              </w:rPr>
              <w:t>1</w:t>
            </w:r>
            <w:r>
              <w:rPr>
                <w:rFonts w:hint="eastAsia" w:ascii="Times New Roman" w:hAnsi="Times New Roman"/>
                <w:sz w:val="21"/>
                <w:szCs w:val="21"/>
                <w:lang w:eastAsia="zh-CN"/>
              </w:rPr>
              <w:t>是评标价每高于评标基准价一个百分点的扣分值，</w:t>
            </w:r>
            <w:r>
              <w:rPr>
                <w:rFonts w:ascii="Times New Roman" w:hAnsi="Times New Roman"/>
                <w:sz w:val="21"/>
                <w:szCs w:val="21"/>
                <w:lang w:eastAsia="zh-CN"/>
              </w:rPr>
              <w:t>E</w:t>
            </w:r>
            <w:r>
              <w:rPr>
                <w:rFonts w:ascii="Times New Roman" w:hAnsi="Times New Roman"/>
                <w:sz w:val="21"/>
                <w:szCs w:val="21"/>
                <w:vertAlign w:val="subscript"/>
                <w:lang w:eastAsia="zh-CN"/>
              </w:rPr>
              <w:t>2</w:t>
            </w:r>
            <w:r>
              <w:rPr>
                <w:rFonts w:hint="eastAsia" w:ascii="Times New Roman" w:hAnsi="Times New Roman"/>
                <w:sz w:val="21"/>
                <w:szCs w:val="21"/>
                <w:lang w:eastAsia="zh-CN"/>
              </w:rPr>
              <w:t>是评标价每低于评标基准价一个百分点的扣分值；本次招标</w:t>
            </w:r>
            <w:r>
              <w:rPr>
                <w:rFonts w:ascii="Times New Roman" w:hAnsi="Times New Roman"/>
                <w:sz w:val="21"/>
                <w:szCs w:val="21"/>
                <w:lang w:eastAsia="zh-CN"/>
              </w:rPr>
              <w:t>E</w:t>
            </w:r>
            <w:r>
              <w:rPr>
                <w:rFonts w:ascii="Times New Roman" w:hAnsi="Times New Roman"/>
                <w:sz w:val="21"/>
                <w:szCs w:val="21"/>
                <w:vertAlign w:val="subscript"/>
                <w:lang w:eastAsia="zh-CN"/>
              </w:rPr>
              <w:t>1</w:t>
            </w:r>
            <w:r>
              <w:rPr>
                <w:rFonts w:ascii="Times New Roman" w:hAnsi="Times New Roman"/>
                <w:sz w:val="21"/>
                <w:szCs w:val="21"/>
                <w:lang w:eastAsia="zh-CN"/>
              </w:rPr>
              <w:t>=</w:t>
            </w:r>
            <w:r>
              <w:rPr>
                <w:rFonts w:hint="eastAsia" w:ascii="Times New Roman" w:hAnsi="Times New Roman"/>
                <w:sz w:val="21"/>
                <w:szCs w:val="21"/>
                <w:lang w:eastAsia="zh-CN"/>
              </w:rPr>
              <w:t>0.</w:t>
            </w:r>
            <w:r>
              <w:rPr>
                <w:rFonts w:hint="eastAsia" w:ascii="Times New Roman" w:hAnsi="Times New Roman"/>
                <w:sz w:val="21"/>
                <w:szCs w:val="21"/>
                <w:lang w:val="en-US" w:eastAsia="zh-CN"/>
              </w:rPr>
              <w:t>6</w:t>
            </w:r>
            <w:r>
              <w:rPr>
                <w:rFonts w:hint="eastAsia" w:ascii="Times New Roman" w:hAnsi="Times New Roman"/>
                <w:sz w:val="21"/>
                <w:szCs w:val="21"/>
                <w:lang w:eastAsia="zh-CN"/>
              </w:rPr>
              <w:t>，</w:t>
            </w:r>
            <w:r>
              <w:rPr>
                <w:rFonts w:ascii="Times New Roman" w:hAnsi="Times New Roman"/>
                <w:sz w:val="21"/>
                <w:szCs w:val="21"/>
                <w:lang w:eastAsia="zh-CN"/>
              </w:rPr>
              <w:t>E</w:t>
            </w:r>
            <w:r>
              <w:rPr>
                <w:rFonts w:ascii="Times New Roman" w:hAnsi="Times New Roman"/>
                <w:sz w:val="21"/>
                <w:szCs w:val="21"/>
                <w:vertAlign w:val="subscript"/>
                <w:lang w:eastAsia="zh-CN"/>
              </w:rPr>
              <w:t>2</w:t>
            </w:r>
            <w:r>
              <w:rPr>
                <w:rFonts w:ascii="Times New Roman" w:hAnsi="Times New Roman"/>
                <w:sz w:val="21"/>
                <w:szCs w:val="21"/>
                <w:lang w:eastAsia="zh-CN"/>
              </w:rPr>
              <w:t>=</w:t>
            </w:r>
            <w:r>
              <w:rPr>
                <w:rFonts w:hint="eastAsia" w:ascii="Times New Roman" w:hAnsi="Times New Roman"/>
                <w:sz w:val="21"/>
                <w:szCs w:val="21"/>
                <w:lang w:eastAsia="zh-CN"/>
              </w:rPr>
              <w:t>0.</w:t>
            </w:r>
            <w:r>
              <w:rPr>
                <w:rFonts w:hint="eastAsia" w:ascii="Times New Roman" w:hAnsi="Times New Roman"/>
                <w:sz w:val="21"/>
                <w:szCs w:val="21"/>
                <w:lang w:val="en-US" w:eastAsia="zh-CN"/>
              </w:rPr>
              <w:t>3</w:t>
            </w:r>
            <w:r>
              <w:rPr>
                <w:rFonts w:hint="eastAsia" w:ascii="Times New Roman" w:hAnsi="Times New Roman"/>
                <w:sz w:val="21"/>
                <w:szCs w:val="21"/>
                <w:lang w:eastAsia="zh-CN"/>
              </w:rPr>
              <w:t>。</w:t>
            </w:r>
          </w:p>
          <w:p>
            <w:pPr>
              <w:spacing w:line="340" w:lineRule="exact"/>
              <w:rPr>
                <w:rFonts w:ascii="Times New Roman" w:hAnsi="Times New Roman"/>
                <w:sz w:val="21"/>
                <w:szCs w:val="21"/>
                <w:lang w:eastAsia="zh-CN"/>
              </w:rPr>
            </w:pPr>
            <w:r>
              <w:rPr>
                <w:rFonts w:hint="eastAsia" w:ascii="Times New Roman" w:hAnsi="Times New Roman"/>
                <w:sz w:val="21"/>
                <w:szCs w:val="21"/>
                <w:lang w:eastAsia="zh-CN"/>
              </w:rPr>
              <w:t>注：</w:t>
            </w:r>
            <w:r>
              <w:rPr>
                <w:rFonts w:ascii="宋体" w:hAnsi="宋体" w:cs="宋体"/>
                <w:sz w:val="21"/>
                <w:szCs w:val="21"/>
                <w:lang w:eastAsia="zh-CN"/>
              </w:rPr>
              <w:t>评标价得分四舍五入至小数点后四位。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763" w:type="dxa"/>
            <w:vMerge w:val="restart"/>
            <w:vAlign w:val="center"/>
          </w:tcPr>
          <w:p>
            <w:pPr>
              <w:spacing w:line="320" w:lineRule="exact"/>
              <w:jc w:val="center"/>
              <w:rPr>
                <w:rFonts w:ascii="Times New Roman" w:hAnsi="Times New Roman"/>
                <w:sz w:val="21"/>
                <w:szCs w:val="21"/>
                <w:lang w:eastAsia="zh-CN"/>
              </w:rPr>
            </w:pPr>
            <w:r>
              <w:rPr>
                <w:rFonts w:ascii="Times New Roman" w:hAnsi="Times New Roman"/>
                <w:sz w:val="21"/>
                <w:szCs w:val="21"/>
              </w:rPr>
              <w:t>2.2.4</w:t>
            </w:r>
            <w:r>
              <w:rPr>
                <w:rFonts w:hint="eastAsia" w:ascii="Times New Roman" w:hAnsi="Times New Roman"/>
                <w:sz w:val="21"/>
                <w:szCs w:val="21"/>
              </w:rPr>
              <w:t>（</w:t>
            </w:r>
            <w:r>
              <w:rPr>
                <w:rFonts w:ascii="Times New Roman" w:hAnsi="Times New Roman"/>
                <w:sz w:val="21"/>
                <w:szCs w:val="21"/>
              </w:rPr>
              <w:t>3</w:t>
            </w:r>
            <w:r>
              <w:rPr>
                <w:rFonts w:hint="eastAsia" w:ascii="Times New Roman" w:hAnsi="Times New Roman"/>
                <w:sz w:val="21"/>
                <w:szCs w:val="21"/>
              </w:rPr>
              <w:t>）</w:t>
            </w:r>
          </w:p>
        </w:tc>
        <w:tc>
          <w:tcPr>
            <w:tcW w:w="501" w:type="dxa"/>
            <w:vMerge w:val="restart"/>
            <w:vAlign w:val="center"/>
          </w:tcPr>
          <w:p>
            <w:pPr>
              <w:spacing w:line="320" w:lineRule="exact"/>
              <w:jc w:val="center"/>
              <w:rPr>
                <w:rFonts w:ascii="Times New Roman" w:hAnsi="Times New Roman"/>
                <w:sz w:val="21"/>
                <w:szCs w:val="21"/>
                <w:lang w:eastAsia="zh-CN"/>
              </w:rPr>
            </w:pPr>
            <w:r>
              <w:rPr>
                <w:rFonts w:hint="eastAsia" w:ascii="Times New Roman" w:hAnsi="Times New Roman"/>
                <w:sz w:val="21"/>
                <w:szCs w:val="21"/>
              </w:rPr>
              <w:t>其他因素</w:t>
            </w:r>
          </w:p>
        </w:tc>
        <w:tc>
          <w:tcPr>
            <w:tcW w:w="486" w:type="dxa"/>
            <w:vAlign w:val="center"/>
          </w:tcPr>
          <w:p>
            <w:pPr>
              <w:spacing w:line="32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业绩</w:t>
            </w:r>
          </w:p>
        </w:tc>
        <w:tc>
          <w:tcPr>
            <w:tcW w:w="1438" w:type="dxa"/>
            <w:vAlign w:val="center"/>
          </w:tcPr>
          <w:p>
            <w:pPr>
              <w:spacing w:line="320" w:lineRule="exact"/>
              <w:jc w:val="center"/>
              <w:rPr>
                <w:rFonts w:ascii="Times New Roman" w:hAnsi="Times New Roman"/>
                <w:color w:val="auto"/>
                <w:sz w:val="21"/>
                <w:szCs w:val="21"/>
                <w:highlight w:val="none"/>
              </w:rPr>
            </w:pPr>
            <w:r>
              <w:rPr>
                <w:rFonts w:hint="eastAsia" w:ascii="Times New Roman" w:hAnsi="Times New Roman" w:eastAsiaTheme="minorEastAsia"/>
                <w:color w:val="auto"/>
                <w:sz w:val="21"/>
                <w:szCs w:val="21"/>
                <w:highlight w:val="none"/>
                <w:u w:val="single"/>
                <w:lang w:val="en-US" w:eastAsia="zh-CN"/>
              </w:rPr>
              <w:t>25</w:t>
            </w:r>
            <w:r>
              <w:rPr>
                <w:rFonts w:hint="eastAsia" w:ascii="Times New Roman" w:hAnsi="Times New Roman"/>
                <w:color w:val="auto"/>
                <w:sz w:val="21"/>
                <w:szCs w:val="21"/>
                <w:highlight w:val="none"/>
              </w:rPr>
              <w:t>分</w:t>
            </w:r>
          </w:p>
        </w:tc>
        <w:tc>
          <w:tcPr>
            <w:tcW w:w="1581" w:type="dxa"/>
            <w:gridSpan w:val="2"/>
            <w:vAlign w:val="center"/>
          </w:tcPr>
          <w:p>
            <w:pPr>
              <w:spacing w:line="32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常规土建类</w:t>
            </w:r>
          </w:p>
        </w:tc>
        <w:tc>
          <w:tcPr>
            <w:tcW w:w="1118" w:type="dxa"/>
            <w:vAlign w:val="center"/>
          </w:tcPr>
          <w:p>
            <w:pPr>
              <w:spacing w:line="320" w:lineRule="exact"/>
              <w:ind w:firstLine="105" w:firstLineChars="50"/>
              <w:rPr>
                <w:rFonts w:ascii="Times New Roman" w:hAnsi="Times New Roman"/>
                <w:color w:val="auto"/>
                <w:sz w:val="21"/>
                <w:szCs w:val="21"/>
                <w:highlight w:val="none"/>
              </w:rPr>
            </w:pPr>
            <w:r>
              <w:rPr>
                <w:rFonts w:hint="eastAsia" w:ascii="Times New Roman" w:hAnsi="Times New Roman" w:eastAsiaTheme="minorEastAsia"/>
                <w:color w:val="auto"/>
                <w:sz w:val="21"/>
                <w:szCs w:val="21"/>
                <w:highlight w:val="none"/>
                <w:u w:val="single"/>
                <w:lang w:val="en-US" w:eastAsia="zh-CN"/>
              </w:rPr>
              <w:t>25</w:t>
            </w:r>
            <w:r>
              <w:rPr>
                <w:rFonts w:hint="eastAsia" w:ascii="Times New Roman" w:hAnsi="Times New Roman"/>
                <w:color w:val="auto"/>
                <w:sz w:val="21"/>
                <w:szCs w:val="21"/>
                <w:highlight w:val="none"/>
              </w:rPr>
              <w:t>分</w:t>
            </w:r>
          </w:p>
        </w:tc>
        <w:tc>
          <w:tcPr>
            <w:tcW w:w="4595" w:type="dxa"/>
            <w:gridSpan w:val="2"/>
            <w:vAlign w:val="center"/>
          </w:tcPr>
          <w:p>
            <w:pPr>
              <w:rPr>
                <w:color w:val="auto"/>
                <w:sz w:val="21"/>
                <w:szCs w:val="21"/>
                <w:highlight w:val="none"/>
                <w:lang w:eastAsia="zh-CN"/>
              </w:rPr>
            </w:pPr>
            <w:r>
              <w:rPr>
                <w:rFonts w:hint="eastAsia"/>
                <w:color w:val="auto"/>
                <w:sz w:val="21"/>
                <w:szCs w:val="21"/>
                <w:highlight w:val="none"/>
                <w:lang w:eastAsia="zh-CN"/>
              </w:rPr>
              <w:t>满足资格审查条件（业绩最低要求）得基本分</w:t>
            </w:r>
            <w:r>
              <w:rPr>
                <w:rFonts w:hint="eastAsia" w:eastAsiaTheme="minorEastAsia"/>
                <w:color w:val="auto"/>
                <w:sz w:val="21"/>
                <w:szCs w:val="21"/>
                <w:highlight w:val="none"/>
                <w:lang w:val="en-US" w:eastAsia="zh-CN"/>
              </w:rPr>
              <w:t>15</w:t>
            </w:r>
            <w:r>
              <w:rPr>
                <w:rFonts w:hint="eastAsia"/>
                <w:color w:val="auto"/>
                <w:sz w:val="21"/>
                <w:szCs w:val="21"/>
                <w:highlight w:val="none"/>
                <w:lang w:eastAsia="zh-CN"/>
              </w:rPr>
              <w:t>分；在此基础上，近5年（2018年1月1日至投标截止之日止）内：</w:t>
            </w:r>
          </w:p>
          <w:p>
            <w:pPr>
              <w:rPr>
                <w:rFonts w:hint="eastAsia"/>
                <w:color w:val="auto"/>
                <w:sz w:val="21"/>
                <w:szCs w:val="21"/>
                <w:highlight w:val="none"/>
                <w:lang w:eastAsia="zh-CN"/>
              </w:rPr>
            </w:pPr>
            <w:r>
              <w:rPr>
                <w:rFonts w:hint="eastAsia"/>
                <w:color w:val="auto"/>
                <w:sz w:val="21"/>
                <w:szCs w:val="21"/>
                <w:highlight w:val="none"/>
                <w:lang w:eastAsia="zh-CN"/>
              </w:rPr>
              <w:t>1、每累计增加完成过</w:t>
            </w:r>
            <w:r>
              <w:rPr>
                <w:rFonts w:hint="eastAsia" w:ascii="宋体" w:hAnsi="宋体" w:cs="宋体"/>
                <w:sz w:val="21"/>
                <w:szCs w:val="21"/>
                <w:lang w:eastAsia="zh-CN"/>
              </w:rPr>
              <w:t>1座公路桥梁（大桥或以上等级）的勘察设计工作业绩</w:t>
            </w:r>
            <w:r>
              <w:rPr>
                <w:rFonts w:hint="eastAsia"/>
                <w:color w:val="auto"/>
                <w:sz w:val="21"/>
                <w:szCs w:val="21"/>
                <w:highlight w:val="none"/>
                <w:lang w:eastAsia="zh-CN"/>
              </w:rPr>
              <w:t>的加</w:t>
            </w:r>
            <w:r>
              <w:rPr>
                <w:rFonts w:hint="eastAsia"/>
                <w:color w:val="auto"/>
                <w:sz w:val="21"/>
                <w:szCs w:val="21"/>
                <w:highlight w:val="none"/>
                <w:lang w:val="en-US" w:eastAsia="zh-CN"/>
              </w:rPr>
              <w:t>5</w:t>
            </w:r>
            <w:r>
              <w:rPr>
                <w:rFonts w:hint="eastAsia"/>
                <w:color w:val="auto"/>
                <w:sz w:val="21"/>
                <w:szCs w:val="21"/>
                <w:highlight w:val="none"/>
                <w:lang w:eastAsia="zh-CN"/>
              </w:rPr>
              <w:t>分，最多加</w:t>
            </w:r>
            <w:r>
              <w:rPr>
                <w:rFonts w:hint="eastAsia"/>
                <w:color w:val="auto"/>
                <w:sz w:val="21"/>
                <w:szCs w:val="21"/>
                <w:highlight w:val="none"/>
                <w:lang w:val="en-US" w:eastAsia="zh-CN"/>
              </w:rPr>
              <w:t>10</w:t>
            </w:r>
            <w:r>
              <w:rPr>
                <w:rFonts w:hint="eastAsia"/>
                <w:color w:val="auto"/>
                <w:sz w:val="21"/>
                <w:szCs w:val="21"/>
                <w:highlight w:val="none"/>
                <w:lang w:eastAsia="zh-CN"/>
              </w:rPr>
              <w:t>分。</w:t>
            </w:r>
          </w:p>
          <w:p>
            <w:pPr>
              <w:pStyle w:val="2"/>
              <w:ind w:left="440"/>
              <w:rPr>
                <w:color w:val="auto"/>
                <w:sz w:val="21"/>
                <w:szCs w:val="21"/>
                <w:highlight w:val="none"/>
                <w:lang w:eastAsia="zh-CN"/>
              </w:rPr>
            </w:pPr>
          </w:p>
          <w:p>
            <w:pPr>
              <w:rPr>
                <w:color w:val="auto"/>
                <w:sz w:val="21"/>
                <w:szCs w:val="21"/>
                <w:highlight w:val="none"/>
                <w:lang w:eastAsia="zh-CN"/>
              </w:rPr>
            </w:pPr>
            <w:r>
              <w:rPr>
                <w:rFonts w:hint="eastAsia"/>
                <w:color w:val="auto"/>
                <w:sz w:val="21"/>
                <w:szCs w:val="21"/>
                <w:highlight w:val="none"/>
                <w:lang w:eastAsia="zh-CN"/>
              </w:rPr>
              <w:t xml:space="preserve">注：1、若投标人提供的业绩证明为联合体业绩，则按交通运输部“全国公路建设市场信用信息管理系统” 业绩信息的网页截图）体现其完成的工作量认定，无法界定其完成的工作量的，此业绩不予认定。 </w:t>
            </w:r>
          </w:p>
          <w:p>
            <w:pPr>
              <w:rPr>
                <w:color w:val="auto"/>
                <w:sz w:val="21"/>
                <w:szCs w:val="21"/>
                <w:highlight w:val="none"/>
                <w:lang w:eastAsia="zh-CN"/>
              </w:rPr>
            </w:pPr>
            <w:r>
              <w:rPr>
                <w:rFonts w:hint="eastAsia"/>
                <w:color w:val="auto"/>
                <w:sz w:val="21"/>
                <w:szCs w:val="21"/>
                <w:highlight w:val="none"/>
                <w:lang w:eastAsia="zh-CN"/>
              </w:rPr>
              <w:t>2、近 5 年（自 2018年1月1日至投标文件递交之日止）内完成的类似项目，以已列入交通运输部“全国公路建设市场信用信息管理系统”并公开的”初步设计或施工图设计已批复”的主包业绩，业绩的计算时间以交通运输部“全国公路建设市场信用信息管理系统”中体现的该业绩的初步设计或施工图设计审查（批）时间为准。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63" w:type="dxa"/>
            <w:vMerge w:val="continue"/>
            <w:vAlign w:val="center"/>
          </w:tcPr>
          <w:p>
            <w:pPr>
              <w:spacing w:line="320" w:lineRule="exact"/>
              <w:jc w:val="center"/>
              <w:rPr>
                <w:rFonts w:ascii="Times New Roman" w:hAnsi="Times New Roman"/>
                <w:sz w:val="21"/>
                <w:szCs w:val="21"/>
                <w:lang w:eastAsia="zh-CN"/>
              </w:rPr>
            </w:pPr>
          </w:p>
        </w:tc>
        <w:tc>
          <w:tcPr>
            <w:tcW w:w="501" w:type="dxa"/>
            <w:vMerge w:val="continue"/>
            <w:vAlign w:val="center"/>
          </w:tcPr>
          <w:p>
            <w:pPr>
              <w:wordWrap w:val="0"/>
              <w:jc w:val="center"/>
              <w:rPr>
                <w:rFonts w:ascii="Times New Roman" w:hAnsi="Times New Roman"/>
                <w:sz w:val="21"/>
                <w:szCs w:val="21"/>
                <w:lang w:eastAsia="zh-CN"/>
              </w:rPr>
            </w:pPr>
          </w:p>
        </w:tc>
        <w:tc>
          <w:tcPr>
            <w:tcW w:w="486" w:type="dxa"/>
            <w:vMerge w:val="restart"/>
            <w:vAlign w:val="center"/>
          </w:tcPr>
          <w:p>
            <w:pPr>
              <w:wordWrap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履约信誉</w:t>
            </w:r>
          </w:p>
        </w:tc>
        <w:tc>
          <w:tcPr>
            <w:tcW w:w="1438" w:type="dxa"/>
            <w:vMerge w:val="restart"/>
            <w:vAlign w:val="center"/>
          </w:tcPr>
          <w:p>
            <w:pPr>
              <w:wordWrap w:val="0"/>
              <w:jc w:val="center"/>
              <w:rPr>
                <w:rFonts w:ascii="Times New Roman" w:hAnsi="Times New Roman"/>
                <w:color w:val="auto"/>
                <w:sz w:val="21"/>
                <w:szCs w:val="21"/>
                <w:highlight w:val="none"/>
              </w:rPr>
            </w:pPr>
            <w:r>
              <w:rPr>
                <w:rFonts w:hint="eastAsia" w:ascii="Times New Roman" w:hAnsi="Times New Roman" w:eastAsiaTheme="minorEastAsia"/>
                <w:color w:val="auto"/>
                <w:sz w:val="21"/>
                <w:szCs w:val="21"/>
                <w:highlight w:val="none"/>
                <w:u w:val="single"/>
                <w:lang w:eastAsia="zh-CN"/>
              </w:rPr>
              <w:t>10</w:t>
            </w:r>
            <w:r>
              <w:rPr>
                <w:rFonts w:hint="eastAsia" w:ascii="Times New Roman" w:hAnsi="Times New Roman"/>
                <w:color w:val="auto"/>
                <w:sz w:val="21"/>
                <w:szCs w:val="21"/>
                <w:highlight w:val="none"/>
              </w:rPr>
              <w:t>分</w:t>
            </w:r>
          </w:p>
        </w:tc>
        <w:tc>
          <w:tcPr>
            <w:tcW w:w="1581" w:type="dxa"/>
            <w:gridSpan w:val="2"/>
            <w:vAlign w:val="center"/>
          </w:tcPr>
          <w:p>
            <w:pPr>
              <w:spacing w:line="320" w:lineRule="exact"/>
              <w:jc w:val="center"/>
              <w:rPr>
                <w:rFonts w:ascii="Times New Roman" w:hAnsi="Times New Roman" w:eastAsia="Calibri" w:cs="Times New Roman"/>
                <w:color w:val="auto"/>
                <w:sz w:val="21"/>
                <w:szCs w:val="21"/>
                <w:highlight w:val="none"/>
                <w:lang w:val="en-US" w:eastAsia="en-US" w:bidi="ar-SA"/>
              </w:rPr>
            </w:pPr>
            <w:r>
              <w:rPr>
                <w:rFonts w:hint="eastAsia" w:ascii="Times New Roman" w:hAnsi="Times New Roman"/>
                <w:color w:val="auto"/>
                <w:sz w:val="21"/>
                <w:szCs w:val="21"/>
                <w:highlight w:val="none"/>
              </w:rPr>
              <w:t>认证证书</w:t>
            </w:r>
          </w:p>
        </w:tc>
        <w:tc>
          <w:tcPr>
            <w:tcW w:w="1118" w:type="dxa"/>
            <w:tcBorders>
              <w:left w:val="nil"/>
            </w:tcBorders>
            <w:vAlign w:val="center"/>
          </w:tcPr>
          <w:p>
            <w:pPr>
              <w:spacing w:line="320" w:lineRule="exact"/>
              <w:jc w:val="center"/>
              <w:rPr>
                <w:rFonts w:ascii="Times New Roman" w:hAnsi="Times New Roman" w:eastAsia="Calibri" w:cs="Times New Roman"/>
                <w:color w:val="auto"/>
                <w:sz w:val="21"/>
                <w:szCs w:val="21"/>
                <w:highlight w:val="none"/>
                <w:lang w:val="en-US" w:eastAsia="en-US" w:bidi="ar-SA"/>
              </w:rPr>
            </w:pPr>
            <w:r>
              <w:rPr>
                <w:rFonts w:hint="eastAsia" w:ascii="Times New Roman" w:hAnsi="Times New Roman" w:eastAsiaTheme="minorEastAsia"/>
                <w:color w:val="auto"/>
                <w:sz w:val="21"/>
                <w:szCs w:val="21"/>
                <w:highlight w:val="none"/>
                <w:u w:val="single"/>
                <w:lang w:eastAsia="zh-CN"/>
              </w:rPr>
              <w:t>3</w:t>
            </w:r>
            <w:r>
              <w:rPr>
                <w:rFonts w:hint="eastAsia" w:ascii="Times New Roman" w:hAnsi="Times New Roman"/>
                <w:color w:val="auto"/>
                <w:sz w:val="21"/>
                <w:szCs w:val="21"/>
                <w:highlight w:val="none"/>
              </w:rPr>
              <w:t>分</w:t>
            </w:r>
          </w:p>
        </w:tc>
        <w:tc>
          <w:tcPr>
            <w:tcW w:w="4595" w:type="dxa"/>
            <w:gridSpan w:val="2"/>
            <w:vAlign w:val="center"/>
          </w:tcPr>
          <w:p>
            <w:pPr>
              <w:pStyle w:val="34"/>
              <w:spacing w:line="340" w:lineRule="exact"/>
              <w:ind w:firstLine="0" w:firstLineChars="0"/>
              <w:contextualSpacing/>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投标人具有有效的质量管理体系升级版认证证书AAA+级的，得</w:t>
            </w:r>
            <w:r>
              <w:rPr>
                <w:rFonts w:hint="eastAsia" w:ascii="宋体" w:hAnsi="宋体" w:cs="宋体" w:eastAsiaTheme="minorEastAsia"/>
                <w:color w:val="auto"/>
                <w:sz w:val="21"/>
                <w:szCs w:val="21"/>
                <w:highlight w:val="none"/>
                <w:lang w:eastAsia="zh-CN"/>
              </w:rPr>
              <w:t>3</w:t>
            </w:r>
            <w:r>
              <w:rPr>
                <w:rFonts w:hint="eastAsia" w:ascii="宋体" w:hAnsi="宋体" w:cs="宋体"/>
                <w:color w:val="auto"/>
                <w:sz w:val="21"/>
                <w:szCs w:val="21"/>
                <w:highlight w:val="none"/>
                <w:lang w:eastAsia="zh-CN"/>
              </w:rPr>
              <w:t>分，其余情况不得分。</w:t>
            </w:r>
          </w:p>
          <w:p>
            <w:pPr>
              <w:spacing w:line="340" w:lineRule="exact"/>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注：1、需提供有效期内的相关证书复印件（或扫描件）并加盖公章，未能提供的不计分。</w:t>
            </w:r>
          </w:p>
          <w:p>
            <w:pPr>
              <w:spacing w:line="340" w:lineRule="exact"/>
              <w:rPr>
                <w:rFonts w:ascii="Calibri" w:hAnsi="Calibri" w:eastAsia="Calibri" w:cs="Times New Roman"/>
                <w:color w:val="auto"/>
                <w:sz w:val="21"/>
                <w:szCs w:val="21"/>
                <w:highlight w:val="none"/>
                <w:lang w:val="en-US" w:eastAsia="zh-CN" w:bidi="ar-SA"/>
              </w:rPr>
            </w:pPr>
            <w:r>
              <w:rPr>
                <w:rFonts w:hint="eastAsia" w:ascii="宋体" w:hAnsi="宋体" w:cs="宋体"/>
                <w:color w:val="auto"/>
                <w:sz w:val="21"/>
                <w:szCs w:val="21"/>
                <w:highlight w:val="none"/>
                <w:lang w:eastAsia="zh-CN"/>
              </w:rPr>
              <w:t>2、工程勘察设计行业质量管理体系升级版证书情况以中国勘察设计协会官网查询结果为准。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63" w:type="dxa"/>
            <w:vMerge w:val="continue"/>
            <w:vAlign w:val="center"/>
          </w:tcPr>
          <w:p>
            <w:pPr>
              <w:spacing w:line="320" w:lineRule="exact"/>
              <w:jc w:val="center"/>
              <w:rPr>
                <w:rFonts w:ascii="Times New Roman" w:hAnsi="Times New Roman"/>
                <w:sz w:val="21"/>
                <w:szCs w:val="21"/>
                <w:lang w:eastAsia="zh-CN"/>
              </w:rPr>
            </w:pPr>
          </w:p>
        </w:tc>
        <w:tc>
          <w:tcPr>
            <w:tcW w:w="501" w:type="dxa"/>
            <w:vMerge w:val="continue"/>
            <w:vAlign w:val="center"/>
          </w:tcPr>
          <w:p>
            <w:pPr>
              <w:wordWrap w:val="0"/>
              <w:jc w:val="center"/>
              <w:rPr>
                <w:rFonts w:ascii="Times New Roman" w:hAnsi="Times New Roman"/>
                <w:sz w:val="21"/>
                <w:szCs w:val="21"/>
                <w:lang w:eastAsia="zh-CN"/>
              </w:rPr>
            </w:pPr>
          </w:p>
        </w:tc>
        <w:tc>
          <w:tcPr>
            <w:tcW w:w="486" w:type="dxa"/>
            <w:vMerge w:val="continue"/>
            <w:vAlign w:val="center"/>
          </w:tcPr>
          <w:p>
            <w:pPr>
              <w:wordWrap w:val="0"/>
              <w:jc w:val="center"/>
              <w:rPr>
                <w:rFonts w:ascii="Times New Roman" w:hAnsi="Times New Roman"/>
                <w:color w:val="auto"/>
                <w:sz w:val="21"/>
                <w:szCs w:val="21"/>
                <w:lang w:eastAsia="zh-CN"/>
              </w:rPr>
            </w:pPr>
          </w:p>
        </w:tc>
        <w:tc>
          <w:tcPr>
            <w:tcW w:w="1438" w:type="dxa"/>
            <w:vMerge w:val="continue"/>
            <w:vAlign w:val="center"/>
          </w:tcPr>
          <w:p>
            <w:pPr>
              <w:wordWrap w:val="0"/>
              <w:jc w:val="center"/>
              <w:rPr>
                <w:rFonts w:ascii="Times New Roman" w:hAnsi="Times New Roman"/>
                <w:color w:val="auto"/>
                <w:sz w:val="21"/>
                <w:szCs w:val="21"/>
                <w:u w:val="single"/>
                <w:lang w:eastAsia="zh-CN"/>
              </w:rPr>
            </w:pPr>
          </w:p>
        </w:tc>
        <w:tc>
          <w:tcPr>
            <w:tcW w:w="1581" w:type="dxa"/>
            <w:gridSpan w:val="2"/>
            <w:vAlign w:val="center"/>
          </w:tcPr>
          <w:p>
            <w:pPr>
              <w:wordWrap w:val="0"/>
              <w:jc w:val="center"/>
              <w:rPr>
                <w:rFonts w:ascii="Times New Roman" w:hAnsi="Times New Roman" w:eastAsia="Calibri" w:cs="Times New Roman"/>
                <w:color w:val="auto"/>
                <w:sz w:val="21"/>
                <w:szCs w:val="21"/>
                <w:u w:val="single"/>
                <w:lang w:val="en-US" w:eastAsia="en-US" w:bidi="ar-SA"/>
              </w:rPr>
            </w:pPr>
            <w:r>
              <w:rPr>
                <w:rFonts w:hint="eastAsia" w:ascii="Times New Roman" w:hAnsi="Times New Roman"/>
                <w:color w:val="auto"/>
                <w:sz w:val="21"/>
                <w:szCs w:val="21"/>
              </w:rPr>
              <w:t>荣誉表彰</w:t>
            </w:r>
          </w:p>
        </w:tc>
        <w:tc>
          <w:tcPr>
            <w:tcW w:w="1118" w:type="dxa"/>
            <w:tcBorders>
              <w:left w:val="nil"/>
            </w:tcBorders>
            <w:vAlign w:val="center"/>
          </w:tcPr>
          <w:p>
            <w:pPr>
              <w:wordWrap w:val="0"/>
              <w:jc w:val="center"/>
              <w:rPr>
                <w:rFonts w:ascii="Times New Roman" w:hAnsi="Times New Roman" w:eastAsia="Calibri" w:cs="Times New Roman"/>
                <w:color w:val="auto"/>
                <w:sz w:val="21"/>
                <w:szCs w:val="21"/>
                <w:u w:val="single"/>
                <w:lang w:val="en-US" w:eastAsia="en-US" w:bidi="ar-SA"/>
              </w:rPr>
            </w:pPr>
            <w:r>
              <w:rPr>
                <w:rFonts w:hint="eastAsia" w:ascii="Times New Roman" w:hAnsi="Times New Roman" w:eastAsiaTheme="minorEastAsia"/>
                <w:color w:val="auto"/>
                <w:sz w:val="21"/>
                <w:szCs w:val="21"/>
                <w:u w:val="single"/>
                <w:lang w:eastAsia="zh-CN"/>
              </w:rPr>
              <w:t>3</w:t>
            </w:r>
            <w:r>
              <w:rPr>
                <w:rFonts w:hint="eastAsia" w:ascii="Times New Roman" w:hAnsi="Times New Roman"/>
                <w:color w:val="auto"/>
                <w:sz w:val="21"/>
                <w:szCs w:val="21"/>
              </w:rPr>
              <w:t>分</w:t>
            </w:r>
          </w:p>
        </w:tc>
        <w:tc>
          <w:tcPr>
            <w:tcW w:w="4595" w:type="dxa"/>
            <w:gridSpan w:val="2"/>
            <w:vAlign w:val="center"/>
          </w:tcPr>
          <w:p>
            <w:pPr>
              <w:pStyle w:val="34"/>
              <w:spacing w:line="340" w:lineRule="exact"/>
              <w:ind w:firstLine="0" w:firstLineChars="0"/>
              <w:contextualSpacing/>
              <w:rPr>
                <w:rFonts w:ascii="宋体" w:hAnsi="宋体" w:cs="宋体"/>
                <w:color w:val="auto"/>
                <w:sz w:val="21"/>
                <w:szCs w:val="21"/>
                <w:lang w:eastAsia="zh-CN"/>
              </w:rPr>
            </w:pPr>
            <w:r>
              <w:rPr>
                <w:rFonts w:hint="eastAsia" w:ascii="宋体" w:hAnsi="宋体" w:cs="宋体"/>
                <w:color w:val="auto"/>
                <w:sz w:val="21"/>
                <w:szCs w:val="21"/>
                <w:lang w:eastAsia="zh-CN"/>
              </w:rPr>
              <w:t>投标人</w:t>
            </w:r>
            <w:r>
              <w:rPr>
                <w:rFonts w:hint="eastAsia" w:ascii="宋体" w:hAnsi="宋体"/>
                <w:color w:val="auto"/>
                <w:sz w:val="21"/>
                <w:szCs w:val="21"/>
                <w:lang w:eastAsia="zh-CN"/>
              </w:rPr>
              <w:t>自</w:t>
            </w:r>
            <w:r>
              <w:rPr>
                <w:rFonts w:hint="eastAsia" w:ascii="宋体" w:hAnsi="宋体" w:cs="Plotter"/>
                <w:color w:val="auto"/>
                <w:sz w:val="21"/>
                <w:szCs w:val="21"/>
                <w:lang w:eastAsia="zh-CN"/>
              </w:rPr>
              <w:t>2018年1月1日至投标截止之日止</w:t>
            </w:r>
            <w:r>
              <w:rPr>
                <w:rFonts w:hint="eastAsia" w:ascii="宋体" w:hAnsi="宋体" w:cs="宋体"/>
                <w:color w:val="auto"/>
                <w:sz w:val="21"/>
                <w:szCs w:val="21"/>
                <w:lang w:eastAsia="zh-CN"/>
              </w:rPr>
              <w:t>（时间以获奖证书上的颁发日期为准），获得国家级 “全国交通运输系统先进称号”表彰的，得</w:t>
            </w:r>
            <w:r>
              <w:rPr>
                <w:rFonts w:hint="eastAsia" w:ascii="宋体" w:hAnsi="宋体" w:cs="宋体" w:eastAsiaTheme="minorEastAsia"/>
                <w:color w:val="auto"/>
                <w:sz w:val="21"/>
                <w:szCs w:val="21"/>
                <w:lang w:eastAsia="zh-CN"/>
              </w:rPr>
              <w:t>3</w:t>
            </w:r>
            <w:r>
              <w:rPr>
                <w:rFonts w:hint="eastAsia" w:ascii="宋体" w:hAnsi="宋体" w:cs="宋体"/>
                <w:color w:val="auto"/>
                <w:sz w:val="21"/>
                <w:szCs w:val="21"/>
                <w:lang w:eastAsia="zh-CN"/>
              </w:rPr>
              <w:t>分；</w:t>
            </w:r>
          </w:p>
          <w:p>
            <w:pPr>
              <w:spacing w:line="340" w:lineRule="exact"/>
              <w:rPr>
                <w:rFonts w:ascii="Times New Roman" w:hAnsi="Times New Roman" w:eastAsia="Calibri" w:cs="Times New Roman"/>
                <w:color w:val="auto"/>
                <w:sz w:val="21"/>
                <w:szCs w:val="21"/>
                <w:lang w:val="en-US" w:eastAsia="zh-CN" w:bidi="ar-SA"/>
              </w:rPr>
            </w:pPr>
            <w:r>
              <w:rPr>
                <w:rFonts w:hint="eastAsia" w:ascii="宋体" w:hAnsi="宋体" w:cs="宋体"/>
                <w:color w:val="auto"/>
                <w:sz w:val="21"/>
                <w:szCs w:val="21"/>
                <w:lang w:eastAsia="zh-CN"/>
              </w:rPr>
              <w:t>注：需提供相关证书复印件（或扫描件）并加盖公章，获奖证书中须含上述表彰内容，获奖单位名称须与投标人单位名称一致，否则不予计分。国家级表彰指的是国务院、交通运输部、住房和城乡建设部、人力资源和社会保障部等国家级的相关部门颁发的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63" w:type="dxa"/>
            <w:vMerge w:val="continue"/>
            <w:vAlign w:val="center"/>
          </w:tcPr>
          <w:p>
            <w:pPr>
              <w:wordWrap w:val="0"/>
              <w:jc w:val="center"/>
              <w:rPr>
                <w:rFonts w:ascii="Times New Roman" w:hAnsi="Times New Roman"/>
                <w:sz w:val="21"/>
                <w:szCs w:val="21"/>
                <w:lang w:eastAsia="zh-CN"/>
              </w:rPr>
            </w:pPr>
          </w:p>
        </w:tc>
        <w:tc>
          <w:tcPr>
            <w:tcW w:w="501" w:type="dxa"/>
            <w:vMerge w:val="continue"/>
            <w:vAlign w:val="center"/>
          </w:tcPr>
          <w:p>
            <w:pPr>
              <w:wordWrap w:val="0"/>
              <w:jc w:val="center"/>
              <w:rPr>
                <w:rFonts w:ascii="Times New Roman" w:hAnsi="Times New Roman"/>
                <w:sz w:val="21"/>
                <w:szCs w:val="21"/>
                <w:lang w:eastAsia="zh-CN"/>
              </w:rPr>
            </w:pPr>
          </w:p>
        </w:tc>
        <w:tc>
          <w:tcPr>
            <w:tcW w:w="486" w:type="dxa"/>
            <w:vMerge w:val="continue"/>
            <w:vAlign w:val="center"/>
          </w:tcPr>
          <w:p>
            <w:pPr>
              <w:wordWrap w:val="0"/>
              <w:jc w:val="center"/>
              <w:rPr>
                <w:rFonts w:ascii="Times New Roman" w:hAnsi="Times New Roman"/>
                <w:color w:val="auto"/>
                <w:sz w:val="21"/>
                <w:szCs w:val="21"/>
                <w:highlight w:val="none"/>
                <w:lang w:eastAsia="zh-CN"/>
              </w:rPr>
            </w:pPr>
          </w:p>
        </w:tc>
        <w:tc>
          <w:tcPr>
            <w:tcW w:w="1438" w:type="dxa"/>
            <w:vMerge w:val="continue"/>
            <w:vAlign w:val="center"/>
          </w:tcPr>
          <w:p>
            <w:pPr>
              <w:wordWrap w:val="0"/>
              <w:jc w:val="center"/>
              <w:rPr>
                <w:rFonts w:ascii="Times New Roman" w:hAnsi="Times New Roman"/>
                <w:color w:val="auto"/>
                <w:sz w:val="21"/>
                <w:szCs w:val="21"/>
                <w:highlight w:val="none"/>
                <w:lang w:eastAsia="zh-CN"/>
              </w:rPr>
            </w:pPr>
          </w:p>
        </w:tc>
        <w:tc>
          <w:tcPr>
            <w:tcW w:w="1581" w:type="dxa"/>
            <w:gridSpan w:val="2"/>
            <w:vAlign w:val="center"/>
          </w:tcPr>
          <w:p>
            <w:pPr>
              <w:wordWrap w:val="0"/>
              <w:jc w:val="center"/>
              <w:rPr>
                <w:rFonts w:ascii="Times New Roman" w:hAnsi="Times New Roman" w:eastAsia="Calibri" w:cs="Times New Roman"/>
                <w:color w:val="auto"/>
                <w:sz w:val="21"/>
                <w:szCs w:val="21"/>
                <w:highlight w:val="none"/>
                <w:u w:val="single"/>
                <w:lang w:val="en-US" w:eastAsia="en-US" w:bidi="ar-SA"/>
              </w:rPr>
            </w:pPr>
            <w:r>
              <w:rPr>
                <w:rFonts w:hint="eastAsia" w:ascii="Times New Roman" w:hAnsi="Times New Roman"/>
                <w:color w:val="auto"/>
                <w:sz w:val="21"/>
                <w:szCs w:val="21"/>
                <w:highlight w:val="none"/>
              </w:rPr>
              <w:t>诚信等级</w:t>
            </w:r>
          </w:p>
        </w:tc>
        <w:tc>
          <w:tcPr>
            <w:tcW w:w="1118" w:type="dxa"/>
            <w:vAlign w:val="center"/>
          </w:tcPr>
          <w:p>
            <w:pPr>
              <w:wordWrap w:val="0"/>
              <w:jc w:val="center"/>
              <w:rPr>
                <w:rFonts w:ascii="Times New Roman" w:hAnsi="Times New Roman" w:eastAsia="Calibri" w:cs="Times New Roman"/>
                <w:color w:val="auto"/>
                <w:sz w:val="21"/>
                <w:szCs w:val="21"/>
                <w:highlight w:val="none"/>
                <w:u w:val="single"/>
                <w:lang w:val="en-US" w:eastAsia="en-US" w:bidi="ar-SA"/>
              </w:rPr>
            </w:pPr>
            <w:r>
              <w:rPr>
                <w:rFonts w:hint="eastAsia" w:ascii="Times New Roman" w:hAnsi="Times New Roman" w:eastAsiaTheme="minorEastAsia"/>
                <w:color w:val="auto"/>
                <w:sz w:val="21"/>
                <w:szCs w:val="21"/>
                <w:highlight w:val="none"/>
                <w:u w:val="single"/>
                <w:lang w:eastAsia="zh-CN"/>
              </w:rPr>
              <w:t>2</w:t>
            </w:r>
            <w:r>
              <w:rPr>
                <w:rFonts w:hint="eastAsia" w:ascii="Times New Roman" w:hAnsi="Times New Roman"/>
                <w:color w:val="auto"/>
                <w:sz w:val="21"/>
                <w:szCs w:val="21"/>
                <w:highlight w:val="none"/>
              </w:rPr>
              <w:t>分</w:t>
            </w:r>
          </w:p>
        </w:tc>
        <w:tc>
          <w:tcPr>
            <w:tcW w:w="4595" w:type="dxa"/>
            <w:gridSpan w:val="2"/>
            <w:vAlign w:val="center"/>
          </w:tcPr>
          <w:p>
            <w:pPr>
              <w:pStyle w:val="34"/>
              <w:spacing w:line="340" w:lineRule="exact"/>
              <w:ind w:firstLine="0" w:firstLineChars="0"/>
              <w:contextualSpacing/>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投标人</w:t>
            </w:r>
            <w:r>
              <w:rPr>
                <w:rFonts w:hint="eastAsia" w:ascii="宋体" w:hAnsi="宋体"/>
                <w:color w:val="auto"/>
                <w:sz w:val="21"/>
                <w:szCs w:val="21"/>
                <w:highlight w:val="none"/>
                <w:lang w:eastAsia="zh-CN"/>
              </w:rPr>
              <w:t>自</w:t>
            </w:r>
            <w:r>
              <w:rPr>
                <w:rFonts w:hint="eastAsia" w:ascii="宋体" w:hAnsi="宋体" w:cs="Plotter"/>
                <w:color w:val="auto"/>
                <w:sz w:val="21"/>
                <w:szCs w:val="21"/>
                <w:highlight w:val="none"/>
                <w:lang w:eastAsia="zh-CN"/>
              </w:rPr>
              <w:t>2018年1月1日至投标截止之日止</w:t>
            </w:r>
            <w:r>
              <w:rPr>
                <w:rFonts w:hint="eastAsia" w:ascii="宋体" w:hAnsi="宋体" w:cs="宋体"/>
                <w:color w:val="auto"/>
                <w:sz w:val="21"/>
                <w:szCs w:val="21"/>
                <w:highlight w:val="none"/>
                <w:lang w:eastAsia="zh-CN"/>
              </w:rPr>
              <w:t>（时间以获奖证书上的颁发日期为准），获得省级（含直辖市、自治区）协会或国家级协会颁发的 “工程勘察行业诚信证书” AAA级表彰的，得</w:t>
            </w:r>
            <w:r>
              <w:rPr>
                <w:rFonts w:hint="eastAsia" w:ascii="宋体" w:hAnsi="宋体" w:cs="宋体" w:eastAsiaTheme="minorEastAsia"/>
                <w:color w:val="auto"/>
                <w:sz w:val="21"/>
                <w:szCs w:val="21"/>
                <w:highlight w:val="none"/>
                <w:lang w:eastAsia="zh-CN"/>
              </w:rPr>
              <w:t>2</w:t>
            </w:r>
            <w:r>
              <w:rPr>
                <w:rFonts w:hint="eastAsia" w:ascii="宋体" w:hAnsi="宋体" w:cs="宋体"/>
                <w:color w:val="auto"/>
                <w:sz w:val="21"/>
                <w:szCs w:val="21"/>
                <w:highlight w:val="none"/>
                <w:lang w:eastAsia="zh-CN"/>
              </w:rPr>
              <w:t>分，其余情况不得分。</w:t>
            </w:r>
          </w:p>
          <w:p>
            <w:pPr>
              <w:spacing w:line="340" w:lineRule="exact"/>
              <w:rPr>
                <w:rFonts w:ascii="Times New Roman" w:hAnsi="Times New Roman" w:eastAsia="Calibri" w:cs="Times New Roman"/>
                <w:color w:val="auto"/>
                <w:sz w:val="21"/>
                <w:szCs w:val="21"/>
                <w:highlight w:val="none"/>
                <w:lang w:val="en-US" w:eastAsia="zh-CN" w:bidi="ar-SA"/>
              </w:rPr>
            </w:pPr>
            <w:r>
              <w:rPr>
                <w:rFonts w:hint="eastAsia" w:ascii="宋体" w:hAnsi="宋体" w:cs="宋体"/>
                <w:color w:val="auto"/>
                <w:sz w:val="21"/>
                <w:szCs w:val="21"/>
                <w:highlight w:val="none"/>
                <w:lang w:eastAsia="zh-CN"/>
              </w:rPr>
              <w:t>注：需提供相关证书复印件（或扫描件）并加盖公章，获奖证书中须含上述表彰内容，获奖单位名称须与投标人单位名称一致，否则不予计分。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63" w:type="dxa"/>
            <w:vMerge w:val="continue"/>
            <w:vAlign w:val="center"/>
          </w:tcPr>
          <w:p>
            <w:pPr>
              <w:wordWrap w:val="0"/>
              <w:jc w:val="center"/>
              <w:rPr>
                <w:rFonts w:ascii="Times New Roman" w:hAnsi="Times New Roman"/>
                <w:sz w:val="21"/>
                <w:szCs w:val="21"/>
                <w:lang w:eastAsia="zh-CN"/>
              </w:rPr>
            </w:pPr>
          </w:p>
        </w:tc>
        <w:tc>
          <w:tcPr>
            <w:tcW w:w="501" w:type="dxa"/>
            <w:vMerge w:val="continue"/>
            <w:vAlign w:val="center"/>
          </w:tcPr>
          <w:p>
            <w:pPr>
              <w:wordWrap w:val="0"/>
              <w:jc w:val="center"/>
              <w:rPr>
                <w:rFonts w:ascii="Times New Roman" w:hAnsi="Times New Roman"/>
                <w:sz w:val="21"/>
                <w:szCs w:val="21"/>
                <w:lang w:eastAsia="zh-CN"/>
              </w:rPr>
            </w:pPr>
          </w:p>
        </w:tc>
        <w:tc>
          <w:tcPr>
            <w:tcW w:w="486" w:type="dxa"/>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highlight w:val="yellow"/>
                <w:lang w:eastAsia="zh-CN"/>
              </w:rPr>
            </w:pPr>
          </w:p>
        </w:tc>
        <w:tc>
          <w:tcPr>
            <w:tcW w:w="1581" w:type="dxa"/>
            <w:gridSpan w:val="2"/>
            <w:vAlign w:val="center"/>
          </w:tcPr>
          <w:p>
            <w:pPr>
              <w:wordWrap w:val="0"/>
              <w:jc w:val="center"/>
              <w:rPr>
                <w:rFonts w:ascii="Times New Roman" w:hAnsi="Times New Roman" w:eastAsia="Calibri" w:cs="Times New Roman"/>
                <w:color w:val="auto"/>
                <w:sz w:val="21"/>
                <w:szCs w:val="21"/>
                <w:u w:val="single"/>
                <w:lang w:val="en-US" w:eastAsia="en-US" w:bidi="ar-SA"/>
              </w:rPr>
            </w:pPr>
            <w:r>
              <w:rPr>
                <w:rFonts w:hint="eastAsia" w:ascii="Times New Roman" w:hAnsi="Times New Roman"/>
                <w:color w:val="auto"/>
                <w:sz w:val="21"/>
                <w:szCs w:val="21"/>
              </w:rPr>
              <w:t>履约情况</w:t>
            </w:r>
          </w:p>
        </w:tc>
        <w:tc>
          <w:tcPr>
            <w:tcW w:w="1118" w:type="dxa"/>
            <w:vAlign w:val="center"/>
          </w:tcPr>
          <w:p>
            <w:pPr>
              <w:wordWrap w:val="0"/>
              <w:jc w:val="center"/>
              <w:rPr>
                <w:rFonts w:ascii="Times New Roman" w:hAnsi="Times New Roman" w:eastAsia="Calibri" w:cs="Times New Roman"/>
                <w:color w:val="auto"/>
                <w:sz w:val="21"/>
                <w:szCs w:val="21"/>
                <w:u w:val="single"/>
                <w:lang w:val="en-US" w:eastAsia="en-US" w:bidi="ar-SA"/>
              </w:rPr>
            </w:pPr>
            <w:r>
              <w:rPr>
                <w:rFonts w:hint="eastAsia" w:ascii="Times New Roman" w:hAnsi="Times New Roman" w:eastAsiaTheme="minorEastAsia"/>
                <w:color w:val="auto"/>
                <w:sz w:val="21"/>
                <w:szCs w:val="21"/>
                <w:u w:val="single"/>
                <w:lang w:eastAsia="zh-CN"/>
              </w:rPr>
              <w:t>1</w:t>
            </w:r>
            <w:r>
              <w:rPr>
                <w:rFonts w:hint="eastAsia" w:ascii="Times New Roman" w:hAnsi="Times New Roman"/>
                <w:color w:val="auto"/>
                <w:sz w:val="21"/>
                <w:szCs w:val="21"/>
              </w:rPr>
              <w:t>分</w:t>
            </w:r>
          </w:p>
        </w:tc>
        <w:tc>
          <w:tcPr>
            <w:tcW w:w="4595" w:type="dxa"/>
            <w:gridSpan w:val="2"/>
            <w:vAlign w:val="center"/>
          </w:tcPr>
          <w:p>
            <w:pPr>
              <w:spacing w:line="340" w:lineRule="exact"/>
              <w:rPr>
                <w:rFonts w:ascii="Times New Roman" w:hAnsi="Times New Roman"/>
                <w:color w:val="auto"/>
                <w:sz w:val="21"/>
                <w:szCs w:val="21"/>
                <w:lang w:eastAsia="zh-CN"/>
              </w:rPr>
            </w:pPr>
            <w:r>
              <w:rPr>
                <w:rFonts w:hint="eastAsia" w:ascii="Times New Roman" w:hAnsi="Times New Roman"/>
                <w:color w:val="auto"/>
                <w:sz w:val="21"/>
                <w:szCs w:val="21"/>
                <w:lang w:eastAsia="zh-CN"/>
              </w:rPr>
              <w:t>若没出现下述情形得满分；自2018年1月1日至投标文件递交截止日（投标文件递交截止日前1年内），因公路工程（含附属设施）质量、安全、履约或招标投标问题等原因被：</w:t>
            </w:r>
          </w:p>
          <w:p>
            <w:pPr>
              <w:spacing w:line="340" w:lineRule="exact"/>
              <w:rPr>
                <w:rFonts w:ascii="Times New Roman" w:hAnsi="Times New Roman"/>
                <w:color w:val="auto"/>
                <w:sz w:val="21"/>
                <w:szCs w:val="21"/>
                <w:lang w:eastAsia="zh-CN"/>
              </w:rPr>
            </w:pPr>
            <w:r>
              <w:rPr>
                <w:rFonts w:hint="eastAsia" w:ascii="Times New Roman" w:hAnsi="Times New Roman"/>
                <w:color w:val="auto"/>
                <w:sz w:val="21"/>
                <w:szCs w:val="21"/>
                <w:lang w:eastAsia="zh-CN"/>
              </w:rPr>
              <w:t>（1）交通运输部通报批评的，扣1分/次；</w:t>
            </w:r>
          </w:p>
          <w:p>
            <w:pPr>
              <w:spacing w:line="340" w:lineRule="exact"/>
              <w:rPr>
                <w:rFonts w:ascii="Times New Roman" w:hAnsi="Times New Roman"/>
                <w:color w:val="auto"/>
                <w:sz w:val="21"/>
                <w:szCs w:val="21"/>
                <w:lang w:eastAsia="zh-CN"/>
              </w:rPr>
            </w:pPr>
            <w:r>
              <w:rPr>
                <w:rFonts w:hint="eastAsia" w:ascii="Times New Roman" w:hAnsi="Times New Roman"/>
                <w:color w:val="auto"/>
                <w:sz w:val="21"/>
                <w:szCs w:val="21"/>
                <w:lang w:eastAsia="zh-CN"/>
              </w:rPr>
              <w:t>（2）广东省交通运输厅通报批评的，扣0.8分/次；</w:t>
            </w:r>
          </w:p>
          <w:p>
            <w:pPr>
              <w:spacing w:line="340" w:lineRule="exact"/>
              <w:rPr>
                <w:rFonts w:ascii="Times New Roman" w:hAnsi="Times New Roman"/>
                <w:color w:val="auto"/>
                <w:sz w:val="21"/>
                <w:szCs w:val="21"/>
                <w:lang w:eastAsia="zh-CN"/>
              </w:rPr>
            </w:pPr>
            <w:r>
              <w:rPr>
                <w:rFonts w:hint="eastAsia" w:ascii="Times New Roman" w:hAnsi="Times New Roman"/>
                <w:color w:val="auto"/>
                <w:sz w:val="21"/>
                <w:szCs w:val="21"/>
                <w:lang w:eastAsia="zh-CN"/>
              </w:rPr>
              <w:t>（3）项目所在地地市级交通局（委）、本项目招标人或招标人上级管理单位通报批评扣0.5分/次。</w:t>
            </w:r>
          </w:p>
          <w:p>
            <w:pPr>
              <w:spacing w:line="340" w:lineRule="exact"/>
              <w:rPr>
                <w:rFonts w:ascii="Times New Roman" w:hAnsi="Times New Roman" w:eastAsia="Calibri" w:cs="Times New Roman"/>
                <w:color w:val="auto"/>
                <w:sz w:val="21"/>
                <w:szCs w:val="21"/>
                <w:lang w:val="en-US" w:eastAsia="zh-CN" w:bidi="ar-SA"/>
              </w:rPr>
            </w:pPr>
            <w:r>
              <w:rPr>
                <w:rFonts w:hint="eastAsia" w:ascii="Times New Roman" w:hAnsi="Times New Roman"/>
                <w:color w:val="auto"/>
                <w:sz w:val="21"/>
                <w:szCs w:val="21"/>
                <w:lang w:eastAsia="zh-CN"/>
              </w:rPr>
              <w:t>同一事项同时被多个部门通报批评只按最高的扣分计算1次。如果扣完本项分值，可以从总分中扣。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63" w:type="dxa"/>
            <w:vMerge w:val="continue"/>
            <w:vAlign w:val="center"/>
          </w:tcPr>
          <w:p>
            <w:pPr>
              <w:wordWrap w:val="0"/>
              <w:jc w:val="center"/>
              <w:rPr>
                <w:rFonts w:ascii="Times New Roman" w:hAnsi="Times New Roman"/>
                <w:sz w:val="21"/>
                <w:szCs w:val="21"/>
                <w:lang w:eastAsia="zh-CN"/>
              </w:rPr>
            </w:pPr>
          </w:p>
        </w:tc>
        <w:tc>
          <w:tcPr>
            <w:tcW w:w="501" w:type="dxa"/>
            <w:vMerge w:val="continue"/>
            <w:vAlign w:val="center"/>
          </w:tcPr>
          <w:p>
            <w:pPr>
              <w:wordWrap w:val="0"/>
              <w:jc w:val="center"/>
              <w:rPr>
                <w:rFonts w:ascii="Times New Roman" w:hAnsi="Times New Roman"/>
                <w:sz w:val="21"/>
                <w:szCs w:val="21"/>
                <w:lang w:eastAsia="zh-CN"/>
              </w:rPr>
            </w:pPr>
          </w:p>
        </w:tc>
        <w:tc>
          <w:tcPr>
            <w:tcW w:w="486" w:type="dxa"/>
            <w:vMerge w:val="continue"/>
            <w:vAlign w:val="center"/>
          </w:tcPr>
          <w:p>
            <w:pPr>
              <w:wordWrap w:val="0"/>
              <w:jc w:val="center"/>
              <w:rPr>
                <w:rFonts w:ascii="Times New Roman" w:hAnsi="Times New Roman"/>
                <w:sz w:val="21"/>
                <w:szCs w:val="21"/>
                <w:lang w:eastAsia="zh-CN"/>
              </w:rPr>
            </w:pPr>
          </w:p>
        </w:tc>
        <w:tc>
          <w:tcPr>
            <w:tcW w:w="1438" w:type="dxa"/>
            <w:vMerge w:val="continue"/>
            <w:vAlign w:val="center"/>
          </w:tcPr>
          <w:p>
            <w:pPr>
              <w:wordWrap w:val="0"/>
              <w:jc w:val="center"/>
              <w:rPr>
                <w:rFonts w:ascii="Times New Roman" w:hAnsi="Times New Roman"/>
                <w:sz w:val="21"/>
                <w:szCs w:val="21"/>
                <w:highlight w:val="yellow"/>
                <w:lang w:eastAsia="zh-CN"/>
              </w:rPr>
            </w:pPr>
          </w:p>
        </w:tc>
        <w:tc>
          <w:tcPr>
            <w:tcW w:w="1581" w:type="dxa"/>
            <w:gridSpan w:val="2"/>
            <w:vAlign w:val="center"/>
          </w:tcPr>
          <w:p>
            <w:pPr>
              <w:wordWrap w:val="0"/>
              <w:jc w:val="center"/>
              <w:rPr>
                <w:rFonts w:ascii="Times New Roman" w:hAnsi="Times New Roman" w:eastAsia="Calibri" w:cs="Times New Roman"/>
                <w:color w:val="auto"/>
                <w:sz w:val="21"/>
                <w:szCs w:val="21"/>
                <w:lang w:val="en-US" w:eastAsia="en-US" w:bidi="ar-SA"/>
              </w:rPr>
            </w:pPr>
            <w:r>
              <w:rPr>
                <w:rFonts w:hint="eastAsia" w:ascii="Times New Roman" w:hAnsi="Times New Roman"/>
                <w:color w:val="auto"/>
                <w:sz w:val="21"/>
                <w:szCs w:val="21"/>
              </w:rPr>
              <w:t>信用评价</w:t>
            </w:r>
          </w:p>
        </w:tc>
        <w:tc>
          <w:tcPr>
            <w:tcW w:w="1118" w:type="dxa"/>
            <w:vAlign w:val="center"/>
          </w:tcPr>
          <w:p>
            <w:pPr>
              <w:wordWrap w:val="0"/>
              <w:jc w:val="center"/>
              <w:rPr>
                <w:rFonts w:ascii="Times New Roman" w:hAnsi="Times New Roman" w:eastAsia="Calibri" w:cs="Times New Roman"/>
                <w:color w:val="auto"/>
                <w:sz w:val="21"/>
                <w:szCs w:val="21"/>
                <w:u w:val="single"/>
                <w:lang w:val="en-US" w:eastAsia="en-US" w:bidi="ar-SA"/>
              </w:rPr>
            </w:pPr>
            <w:r>
              <w:rPr>
                <w:rFonts w:hint="eastAsia" w:ascii="Times New Roman" w:hAnsi="Times New Roman" w:eastAsiaTheme="minorEastAsia"/>
                <w:color w:val="auto"/>
                <w:sz w:val="21"/>
                <w:szCs w:val="21"/>
                <w:u w:val="single"/>
                <w:lang w:eastAsia="zh-CN"/>
              </w:rPr>
              <w:t>1</w:t>
            </w:r>
            <w:r>
              <w:rPr>
                <w:rFonts w:hint="eastAsia" w:ascii="Times New Roman" w:hAnsi="Times New Roman"/>
                <w:color w:val="auto"/>
                <w:sz w:val="21"/>
                <w:szCs w:val="21"/>
              </w:rPr>
              <w:t>分</w:t>
            </w:r>
          </w:p>
        </w:tc>
        <w:tc>
          <w:tcPr>
            <w:tcW w:w="4595" w:type="dxa"/>
            <w:gridSpan w:val="2"/>
            <w:vAlign w:val="center"/>
          </w:tcPr>
          <w:p>
            <w:pPr>
              <w:spacing w:line="340" w:lineRule="exact"/>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信用等级分值（</w:t>
            </w:r>
            <w:r>
              <w:rPr>
                <w:rFonts w:hint="eastAsia" w:ascii="Times New Roman" w:hAnsi="Times New Roman" w:eastAsiaTheme="minorEastAsia"/>
                <w:color w:val="auto"/>
                <w:sz w:val="21"/>
                <w:szCs w:val="21"/>
                <w:u w:val="single"/>
                <w:lang w:eastAsia="zh-CN"/>
              </w:rPr>
              <w:t>1</w:t>
            </w:r>
            <w:r>
              <w:rPr>
                <w:rFonts w:hint="eastAsia" w:ascii="Times New Roman" w:hAnsi="Times New Roman"/>
                <w:color w:val="auto"/>
                <w:sz w:val="21"/>
                <w:szCs w:val="21"/>
                <w:lang w:eastAsia="zh-CN"/>
              </w:rPr>
              <w:t>分）</w:t>
            </w:r>
          </w:p>
          <w:p>
            <w:pPr>
              <w:spacing w:line="340" w:lineRule="exact"/>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信用等级为AA、A、B、C级单位的得分分别为</w:t>
            </w:r>
            <w:r>
              <w:rPr>
                <w:rFonts w:hint="eastAsia" w:ascii="Times New Roman" w:hAnsi="Times New Roman" w:eastAsiaTheme="minorEastAsia"/>
                <w:color w:val="auto"/>
                <w:sz w:val="21"/>
                <w:szCs w:val="21"/>
                <w:u w:val="single"/>
                <w:lang w:eastAsia="zh-CN"/>
              </w:rPr>
              <w:t>1.0</w:t>
            </w:r>
            <w:r>
              <w:rPr>
                <w:rFonts w:hint="eastAsia" w:ascii="Times New Roman" w:hAnsi="Times New Roman"/>
                <w:color w:val="auto"/>
                <w:sz w:val="21"/>
                <w:szCs w:val="21"/>
                <w:lang w:eastAsia="zh-CN"/>
              </w:rPr>
              <w:t>、</w:t>
            </w:r>
            <w:r>
              <w:rPr>
                <w:rFonts w:hint="eastAsia" w:ascii="Times New Roman" w:hAnsi="Times New Roman" w:eastAsiaTheme="minorEastAsia"/>
                <w:color w:val="auto"/>
                <w:sz w:val="21"/>
                <w:szCs w:val="21"/>
                <w:u w:val="single"/>
                <w:lang w:eastAsia="zh-CN"/>
              </w:rPr>
              <w:t>0.75</w:t>
            </w:r>
            <w:r>
              <w:rPr>
                <w:rFonts w:hint="eastAsia" w:ascii="Times New Roman" w:hAnsi="Times New Roman"/>
                <w:color w:val="auto"/>
                <w:sz w:val="21"/>
                <w:szCs w:val="21"/>
                <w:lang w:eastAsia="zh-CN"/>
              </w:rPr>
              <w:t>、</w:t>
            </w:r>
            <w:r>
              <w:rPr>
                <w:rFonts w:hint="eastAsia" w:ascii="Times New Roman" w:hAnsi="Times New Roman" w:eastAsiaTheme="minorEastAsia"/>
                <w:color w:val="auto"/>
                <w:sz w:val="21"/>
                <w:szCs w:val="21"/>
                <w:u w:val="single"/>
                <w:lang w:eastAsia="zh-CN"/>
              </w:rPr>
              <w:t>0.5</w:t>
            </w:r>
            <w:r>
              <w:rPr>
                <w:rFonts w:hint="eastAsia" w:ascii="Times New Roman" w:hAnsi="Times New Roman"/>
                <w:color w:val="auto"/>
                <w:sz w:val="21"/>
                <w:szCs w:val="21"/>
                <w:lang w:eastAsia="zh-CN"/>
              </w:rPr>
              <w:t>、</w:t>
            </w:r>
            <w:r>
              <w:rPr>
                <w:rFonts w:hint="eastAsia" w:ascii="Times New Roman" w:hAnsi="Times New Roman" w:eastAsiaTheme="minorEastAsia"/>
                <w:color w:val="auto"/>
                <w:sz w:val="21"/>
                <w:szCs w:val="21"/>
                <w:u w:val="single"/>
                <w:lang w:eastAsia="zh-CN"/>
              </w:rPr>
              <w:t>0.25</w:t>
            </w:r>
            <w:r>
              <w:rPr>
                <w:rFonts w:hint="eastAsia" w:ascii="Times New Roman" w:hAnsi="Times New Roman"/>
                <w:color w:val="auto"/>
                <w:sz w:val="21"/>
                <w:szCs w:val="21"/>
                <w:lang w:eastAsia="zh-CN"/>
              </w:rPr>
              <w:t>分。</w:t>
            </w:r>
          </w:p>
          <w:p>
            <w:pPr>
              <w:pStyle w:val="34"/>
              <w:spacing w:line="340" w:lineRule="exact"/>
              <w:ind w:firstLine="0" w:firstLineChars="0"/>
              <w:contextualSpacing/>
              <w:rPr>
                <w:rFonts w:ascii="Times New Roman" w:hAnsi="Times New Roman" w:eastAsia="Calibri" w:cs="Times New Roman"/>
                <w:color w:val="auto"/>
                <w:sz w:val="21"/>
                <w:szCs w:val="21"/>
                <w:lang w:val="en-US" w:eastAsia="zh-CN" w:bidi="ar-SA"/>
              </w:rPr>
            </w:pPr>
            <w:r>
              <w:rPr>
                <w:rFonts w:hint="eastAsia" w:ascii="Times New Roman" w:hAnsi="Times New Roman"/>
                <w:color w:val="auto"/>
                <w:sz w:val="21"/>
                <w:szCs w:val="21"/>
                <w:lang w:eastAsia="zh-CN"/>
              </w:rPr>
              <w:t>注：信用等级的确定原则遵循投标人须知前附表10.2款的规定。</w:t>
            </w:r>
          </w:p>
        </w:tc>
      </w:tr>
    </w:tbl>
    <w:p>
      <w:pPr>
        <w:rPr>
          <w:rFonts w:ascii="黑体" w:hAnsi="黑体" w:eastAsia="黑体"/>
          <w:color w:val="000000" w:themeColor="text1"/>
          <w:lang w:eastAsia="zh-CN"/>
          <w14:textFill>
            <w14:solidFill>
              <w14:schemeClr w14:val="tx1"/>
            </w14:solidFill>
          </w14:textFill>
        </w:rPr>
      </w:pPr>
      <w:r>
        <w:rPr>
          <w:rFonts w:hint="eastAsia" w:ascii="黑体" w:hAnsi="黑体" w:eastAsia="黑体"/>
          <w:color w:val="000000" w:themeColor="text1"/>
          <w:lang w:eastAsia="zh-CN"/>
          <w14:textFill>
            <w14:solidFill>
              <w14:schemeClr w14:val="tx1"/>
            </w14:solidFill>
          </w14:textFill>
        </w:rPr>
        <w:br w:type="page"/>
      </w:r>
    </w:p>
    <w:p>
      <w:pPr>
        <w:pStyle w:val="5"/>
      </w:pPr>
    </w:p>
    <w:p>
      <w:pPr>
        <w:numPr>
          <w:ilvl w:val="0"/>
          <w:numId w:val="3"/>
        </w:numPr>
        <w:tabs>
          <w:tab w:val="left" w:pos="845"/>
        </w:tabs>
        <w:spacing w:before="62" w:line="360" w:lineRule="auto"/>
        <w:rPr>
          <w:color w:val="000000" w:themeColor="text1"/>
          <w:sz w:val="24"/>
          <w:szCs w:val="24"/>
          <w14:textFill>
            <w14:solidFill>
              <w14:schemeClr w14:val="tx1"/>
            </w14:solidFill>
          </w14:textFill>
        </w:rPr>
      </w:pPr>
      <w:bookmarkStart w:id="4" w:name="_bookmark94"/>
      <w:bookmarkEnd w:id="4"/>
      <w:r>
        <w:rPr>
          <w:rFonts w:hint="eastAsia"/>
          <w:color w:val="000000" w:themeColor="text1"/>
          <w:sz w:val="24"/>
          <w:szCs w:val="24"/>
          <w14:textFill>
            <w14:solidFill>
              <w14:schemeClr w14:val="tx1"/>
            </w14:solidFill>
          </w14:textFill>
        </w:rPr>
        <w:t>评标方法</w:t>
      </w:r>
    </w:p>
    <w:p>
      <w:pPr>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1.1评标方法</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1.2评标组织</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1.2.1协助工作组</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（1）根据招标文件，编制评标使用的相应表格;</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（2）以评标标准和方法为依据，列出投标文件相对于招标文件的所有偏差，并进行归类汇总；</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（3）查询全国公路建设市场信用信息管理系统，对投标人的资质、业绩、信用等级进行核实。</w:t>
      </w:r>
    </w:p>
    <w:p>
      <w:pPr>
        <w:spacing w:line="360" w:lineRule="auto"/>
        <w:ind w:left="440" w:left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招标人不得对投标文件作出任何评价，不得故意遗漏或者片面摘录，不得在评标委员会</w:t>
      </w:r>
    </w:p>
    <w:p>
      <w:pPr>
        <w:spacing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对所有偏差定性之前透露存有偏差的投标人名称。</w:t>
      </w:r>
    </w:p>
    <w:p>
      <w:pPr>
        <w:spacing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1.2.2评标委员会</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评标委员会的组建按投标人须知第6.1.1项执行。评标委员会的主要工作内容包括:</w:t>
      </w:r>
    </w:p>
    <w:p>
      <w:pPr>
        <w:spacing w:line="360" w:lineRule="auto"/>
        <w:ind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（1）对协助工作组提供的评标工作用表和评标内容进行核查。</w:t>
      </w:r>
    </w:p>
    <w:p>
      <w:pPr>
        <w:spacing w:line="360" w:lineRule="auto"/>
        <w:ind w:right="743" w:firstLine="480" w:firstLineChars="20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eastAsia="宋体"/>
          <w:color w:val="000000" w:themeColor="text1"/>
          <w:sz w:val="24"/>
          <w:szCs w:val="24"/>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）按照评标程序进行各项评审工作。</w:t>
      </w:r>
    </w:p>
    <w:p>
      <w:pPr>
        <w:numPr>
          <w:ilvl w:val="0"/>
          <w:numId w:val="3"/>
        </w:numPr>
        <w:tabs>
          <w:tab w:val="left" w:pos="845"/>
        </w:tabs>
        <w:spacing w:line="360" w:lineRule="auto"/>
        <w:rPr>
          <w:color w:val="000000" w:themeColor="text1"/>
          <w:sz w:val="24"/>
          <w:szCs w:val="24"/>
          <w14:textFill>
            <w14:solidFill>
              <w14:schemeClr w14:val="tx1"/>
            </w14:solidFill>
          </w14:textFill>
        </w:rPr>
      </w:pPr>
      <w:bookmarkStart w:id="5" w:name="_bookmark95"/>
      <w:bookmarkEnd w:id="5"/>
      <w:r>
        <w:rPr>
          <w:rFonts w:hint="eastAsia"/>
          <w:color w:val="000000" w:themeColor="text1"/>
          <w:sz w:val="24"/>
          <w:szCs w:val="24"/>
          <w14:textFill>
            <w14:solidFill>
              <w14:schemeClr w14:val="tx1"/>
            </w14:solidFill>
          </w14:textFill>
        </w:rPr>
        <w:t>评审标准</w:t>
      </w:r>
    </w:p>
    <w:p>
      <w:pPr>
        <w:pStyle w:val="30"/>
        <w:numPr>
          <w:ilvl w:val="1"/>
          <w:numId w:val="3"/>
        </w:numPr>
        <w:tabs>
          <w:tab w:val="left" w:pos="905"/>
        </w:tabs>
        <w:spacing w:before="246" w:line="360" w:lineRule="auto"/>
        <w:rPr>
          <w:color w:val="000000" w:themeColor="text1"/>
          <w:sz w:val="24"/>
          <w:szCs w:val="24"/>
          <w14:textFill>
            <w14:solidFill>
              <w14:schemeClr w14:val="tx1"/>
            </w14:solidFill>
          </w14:textFill>
        </w:rPr>
      </w:pPr>
      <w:bookmarkStart w:id="6" w:name="_bookmark96"/>
      <w:bookmarkEnd w:id="6"/>
      <w:r>
        <w:rPr>
          <w:rFonts w:hint="eastAsia"/>
          <w:color w:val="000000" w:themeColor="text1"/>
          <w:sz w:val="24"/>
          <w:szCs w:val="24"/>
          <w14:textFill>
            <w14:solidFill>
              <w14:schemeClr w14:val="tx1"/>
            </w14:solidFill>
          </w14:textFill>
        </w:rPr>
        <w:t>初步评审标准</w:t>
      </w:r>
    </w:p>
    <w:p>
      <w:pPr>
        <w:pStyle w:val="30"/>
        <w:tabs>
          <w:tab w:val="left" w:pos="1505"/>
        </w:tabs>
        <w:spacing w:line="360" w:lineRule="auto"/>
        <w:ind w:left="0" w:firstLineChars="200"/>
        <w:rPr>
          <w:color w:val="000000" w:themeColor="text1"/>
          <w:sz w:val="24"/>
          <w:szCs w:val="24"/>
          <w:lang w:eastAsia="zh-CN"/>
          <w14:textFill>
            <w14:solidFill>
              <w14:schemeClr w14:val="tx1"/>
            </w14:solidFill>
          </w14:textFill>
        </w:rPr>
      </w:pPr>
      <w:r>
        <w:rPr>
          <w:color w:val="000000" w:themeColor="text1"/>
          <w:sz w:val="24"/>
          <w:szCs w:val="24"/>
          <w:lang w:eastAsia="zh-CN"/>
          <w14:textFill>
            <w14:solidFill>
              <w14:schemeClr w14:val="tx1"/>
            </w14:solidFill>
          </w14:textFill>
        </w:rPr>
        <w:t xml:space="preserve">2.1.1 </w:t>
      </w:r>
      <w:r>
        <w:rPr>
          <w:rFonts w:hint="eastAsia"/>
          <w:color w:val="000000" w:themeColor="text1"/>
          <w:sz w:val="24"/>
          <w:szCs w:val="24"/>
          <w:lang w:eastAsia="zh-CN"/>
          <w14:textFill>
            <w14:solidFill>
              <w14:schemeClr w14:val="tx1"/>
            </w14:solidFill>
          </w14:textFill>
        </w:rPr>
        <w:t>形式评审标准：见评标办法前附表。</w:t>
      </w:r>
    </w:p>
    <w:p>
      <w:pPr>
        <w:pStyle w:val="30"/>
        <w:tabs>
          <w:tab w:val="left" w:pos="1505"/>
        </w:tabs>
        <w:spacing w:before="93" w:line="360" w:lineRule="auto"/>
        <w:ind w:left="0" w:firstLine="448" w:firstLineChars="200"/>
        <w:rPr>
          <w:color w:val="000000" w:themeColor="text1"/>
          <w:sz w:val="24"/>
          <w:szCs w:val="24"/>
          <w:lang w:eastAsia="zh-CN"/>
          <w14:textFill>
            <w14:solidFill>
              <w14:schemeClr w14:val="tx1"/>
            </w14:solidFill>
          </w14:textFill>
        </w:rPr>
      </w:pPr>
      <w:r>
        <w:rPr>
          <w:color w:val="000000" w:themeColor="text1"/>
          <w:spacing w:val="-8"/>
          <w:sz w:val="24"/>
          <w:szCs w:val="24"/>
          <w:lang w:eastAsia="zh-CN"/>
          <w14:textFill>
            <w14:solidFill>
              <w14:schemeClr w14:val="tx1"/>
            </w14:solidFill>
          </w14:textFill>
        </w:rPr>
        <w:t xml:space="preserve">2.1.2 </w:t>
      </w:r>
      <w:r>
        <w:rPr>
          <w:rFonts w:hint="eastAsia"/>
          <w:color w:val="000000" w:themeColor="text1"/>
          <w:spacing w:val="-8"/>
          <w:sz w:val="24"/>
          <w:szCs w:val="24"/>
          <w:lang w:eastAsia="zh-CN"/>
          <w14:textFill>
            <w14:solidFill>
              <w14:schemeClr w14:val="tx1"/>
            </w14:solidFill>
          </w14:textFill>
        </w:rPr>
        <w:t>响应性评审标准：见评标办法前附表。</w:t>
      </w:r>
    </w:p>
    <w:p>
      <w:pPr>
        <w:pStyle w:val="30"/>
        <w:tabs>
          <w:tab w:val="left" w:pos="1505"/>
        </w:tabs>
        <w:spacing w:before="94" w:line="360" w:lineRule="auto"/>
        <w:ind w:left="0" w:right="864" w:firstLine="440" w:firstLineChars="200"/>
        <w:rPr>
          <w:color w:val="000000" w:themeColor="text1"/>
          <w:sz w:val="24"/>
          <w:szCs w:val="24"/>
          <w:lang w:eastAsia="zh-CN"/>
          <w14:textFill>
            <w14:solidFill>
              <w14:schemeClr w14:val="tx1"/>
            </w14:solidFill>
          </w14:textFill>
        </w:rPr>
      </w:pPr>
      <w:r>
        <w:rPr>
          <w:color w:val="000000" w:themeColor="text1"/>
          <w:spacing w:val="-10"/>
          <w:sz w:val="24"/>
          <w:szCs w:val="24"/>
          <w:lang w:eastAsia="zh-CN"/>
          <w14:textFill>
            <w14:solidFill>
              <w14:schemeClr w14:val="tx1"/>
            </w14:solidFill>
          </w14:textFill>
        </w:rPr>
        <w:t xml:space="preserve">2.1.3 </w:t>
      </w:r>
      <w:r>
        <w:rPr>
          <w:rFonts w:hint="eastAsia"/>
          <w:color w:val="000000" w:themeColor="text1"/>
          <w:spacing w:val="-10"/>
          <w:sz w:val="24"/>
          <w:szCs w:val="24"/>
          <w:lang w:eastAsia="zh-CN"/>
          <w14:textFill>
            <w14:solidFill>
              <w14:schemeClr w14:val="tx1"/>
            </w14:solidFill>
          </w14:textFill>
        </w:rPr>
        <w:t>资格评审标准：</w:t>
      </w:r>
      <w:r>
        <w:rPr>
          <w:rFonts w:hint="eastAsia"/>
          <w:color w:val="000000" w:themeColor="text1"/>
          <w:spacing w:val="-8"/>
          <w:sz w:val="24"/>
          <w:szCs w:val="24"/>
          <w:lang w:eastAsia="zh-CN"/>
          <w14:textFill>
            <w14:solidFill>
              <w14:schemeClr w14:val="tx1"/>
            </w14:solidFill>
          </w14:textFill>
        </w:rPr>
        <w:t>见评标办法前附表。</w:t>
      </w:r>
    </w:p>
    <w:p>
      <w:pPr>
        <w:pStyle w:val="30"/>
        <w:tabs>
          <w:tab w:val="left" w:pos="905"/>
        </w:tabs>
        <w:spacing w:line="360" w:lineRule="auto"/>
        <w:ind w:firstLine="0"/>
        <w:rPr>
          <w:color w:val="000000" w:themeColor="text1"/>
          <w:sz w:val="24"/>
          <w:szCs w:val="24"/>
          <w14:textFill>
            <w14:solidFill>
              <w14:schemeClr w14:val="tx1"/>
            </w14:solidFill>
          </w14:textFill>
        </w:rPr>
      </w:pPr>
      <w:bookmarkStart w:id="7" w:name="_bookmark97"/>
      <w:bookmarkEnd w:id="7"/>
      <w:r>
        <w:rPr>
          <w:rFonts w:hint="eastAsia"/>
          <w:color w:val="000000" w:themeColor="text1"/>
          <w:sz w:val="24"/>
          <w:szCs w:val="24"/>
          <w14:textFill>
            <w14:solidFill>
              <w14:schemeClr w14:val="tx1"/>
            </w14:solidFill>
          </w14:textFill>
        </w:rPr>
        <w:t>2.2 分值构成与评分标准</w:t>
      </w:r>
    </w:p>
    <w:p>
      <w:pPr>
        <w:pStyle w:val="30"/>
        <w:numPr>
          <w:ilvl w:val="2"/>
          <w:numId w:val="4"/>
        </w:numPr>
        <w:tabs>
          <w:tab w:val="left" w:pos="1505"/>
        </w:tabs>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分值构成</w:t>
      </w:r>
    </w:p>
    <w:p>
      <w:pPr>
        <w:pStyle w:val="30"/>
        <w:numPr>
          <w:ilvl w:val="0"/>
          <w:numId w:val="5"/>
        </w:numPr>
        <w:tabs>
          <w:tab w:val="left" w:pos="1506"/>
        </w:tabs>
        <w:spacing w:before="94"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技术文件：见评标办法前附表；</w:t>
      </w:r>
    </w:p>
    <w:p>
      <w:pPr>
        <w:pStyle w:val="30"/>
        <w:numPr>
          <w:ilvl w:val="0"/>
          <w:numId w:val="5"/>
        </w:numPr>
        <w:tabs>
          <w:tab w:val="left" w:pos="1506"/>
        </w:tabs>
        <w:spacing w:before="93"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主要人员：见评标办法前附表；</w:t>
      </w:r>
    </w:p>
    <w:p>
      <w:pPr>
        <w:pStyle w:val="30"/>
        <w:numPr>
          <w:ilvl w:val="0"/>
          <w:numId w:val="5"/>
        </w:numPr>
        <w:tabs>
          <w:tab w:val="left" w:pos="1506"/>
        </w:tabs>
        <w:spacing w:before="91"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评标价：见评标办法前附表；</w:t>
      </w:r>
    </w:p>
    <w:p>
      <w:pPr>
        <w:pStyle w:val="30"/>
        <w:numPr>
          <w:ilvl w:val="0"/>
          <w:numId w:val="5"/>
        </w:numPr>
        <w:tabs>
          <w:tab w:val="left" w:pos="1506"/>
        </w:tabs>
        <w:spacing w:before="93"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其他评分因素：见评标办法前附表。</w:t>
      </w:r>
    </w:p>
    <w:p>
      <w:pPr>
        <w:pStyle w:val="30"/>
        <w:numPr>
          <w:ilvl w:val="2"/>
          <w:numId w:val="4"/>
        </w:numPr>
        <w:tabs>
          <w:tab w:val="left" w:pos="1505"/>
        </w:tabs>
        <w:spacing w:before="94"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评标基准价计算</w:t>
      </w:r>
    </w:p>
    <w:p>
      <w:pPr>
        <w:pStyle w:val="4"/>
        <w:spacing w:before="91" w:line="360" w:lineRule="auto"/>
        <w:ind w:left="90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评标基准价计算方法：见评标办法前附表。</w:t>
      </w:r>
    </w:p>
    <w:p>
      <w:pPr>
        <w:pStyle w:val="30"/>
        <w:numPr>
          <w:ilvl w:val="2"/>
          <w:numId w:val="4"/>
        </w:numPr>
        <w:tabs>
          <w:tab w:val="left" w:pos="1505"/>
        </w:tabs>
        <w:spacing w:before="93"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评标价的偏差率计算</w:t>
      </w:r>
    </w:p>
    <w:p>
      <w:pPr>
        <w:pStyle w:val="4"/>
        <w:spacing w:before="94" w:line="360" w:lineRule="auto"/>
        <w:ind w:left="90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评标价的偏差率计算公式：见评标办法前附表。</w:t>
      </w:r>
    </w:p>
    <w:p>
      <w:pPr>
        <w:pStyle w:val="30"/>
        <w:numPr>
          <w:ilvl w:val="2"/>
          <w:numId w:val="4"/>
        </w:numPr>
        <w:tabs>
          <w:tab w:val="left" w:pos="1505"/>
        </w:tabs>
        <w:spacing w:before="91"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评分标准</w:t>
      </w:r>
    </w:p>
    <w:p>
      <w:pPr>
        <w:pStyle w:val="30"/>
        <w:numPr>
          <w:ilvl w:val="0"/>
          <w:numId w:val="6"/>
        </w:numPr>
        <w:tabs>
          <w:tab w:val="left" w:pos="1506"/>
        </w:tabs>
        <w:spacing w:before="93"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技术文件评分标准：见评标办法前附表；</w:t>
      </w:r>
    </w:p>
    <w:p>
      <w:pPr>
        <w:pStyle w:val="30"/>
        <w:numPr>
          <w:ilvl w:val="0"/>
          <w:numId w:val="6"/>
        </w:numPr>
        <w:tabs>
          <w:tab w:val="left" w:pos="1506"/>
        </w:tabs>
        <w:spacing w:before="93"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主要人员评分标准：见评标办法前附表；</w:t>
      </w:r>
    </w:p>
    <w:p>
      <w:pPr>
        <w:pStyle w:val="30"/>
        <w:numPr>
          <w:ilvl w:val="0"/>
          <w:numId w:val="6"/>
        </w:numPr>
        <w:tabs>
          <w:tab w:val="left" w:pos="1506"/>
        </w:tabs>
        <w:spacing w:before="91"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评标价评分标准：见评标办法前附表；</w:t>
      </w:r>
    </w:p>
    <w:p>
      <w:pPr>
        <w:pStyle w:val="30"/>
        <w:numPr>
          <w:ilvl w:val="0"/>
          <w:numId w:val="6"/>
        </w:numPr>
        <w:tabs>
          <w:tab w:val="left" w:pos="1506"/>
        </w:tabs>
        <w:spacing w:before="94"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其他因素评分标准：见评标办法前附表。</w:t>
      </w:r>
    </w:p>
    <w:p>
      <w:pPr>
        <w:numPr>
          <w:ilvl w:val="0"/>
          <w:numId w:val="3"/>
        </w:numPr>
        <w:tabs>
          <w:tab w:val="left" w:pos="845"/>
        </w:tabs>
        <w:spacing w:before="109" w:line="360" w:lineRule="auto"/>
        <w:rPr>
          <w:color w:val="000000" w:themeColor="text1"/>
          <w:sz w:val="24"/>
          <w:szCs w:val="24"/>
          <w14:textFill>
            <w14:solidFill>
              <w14:schemeClr w14:val="tx1"/>
            </w14:solidFill>
          </w14:textFill>
        </w:rPr>
      </w:pPr>
      <w:bookmarkStart w:id="8" w:name="_bookmark98"/>
      <w:bookmarkEnd w:id="8"/>
      <w:r>
        <w:rPr>
          <w:rFonts w:hint="eastAsia"/>
          <w:color w:val="000000" w:themeColor="text1"/>
          <w:sz w:val="24"/>
          <w:szCs w:val="24"/>
          <w14:textFill>
            <w14:solidFill>
              <w14:schemeClr w14:val="tx1"/>
            </w14:solidFill>
          </w14:textFill>
        </w:rPr>
        <w:t>评标程序</w:t>
      </w:r>
    </w:p>
    <w:p>
      <w:pPr>
        <w:pStyle w:val="30"/>
        <w:numPr>
          <w:ilvl w:val="1"/>
          <w:numId w:val="3"/>
        </w:numPr>
        <w:tabs>
          <w:tab w:val="left" w:pos="905"/>
        </w:tabs>
        <w:spacing w:before="243" w:line="360" w:lineRule="auto"/>
        <w:rPr>
          <w:color w:val="000000" w:themeColor="text1"/>
          <w:sz w:val="24"/>
          <w:szCs w:val="24"/>
          <w14:textFill>
            <w14:solidFill>
              <w14:schemeClr w14:val="tx1"/>
            </w14:solidFill>
          </w14:textFill>
        </w:rPr>
      </w:pPr>
      <w:bookmarkStart w:id="9" w:name="_bookmark99"/>
      <w:bookmarkEnd w:id="9"/>
      <w:r>
        <w:rPr>
          <w:rFonts w:hint="eastAsia"/>
          <w:color w:val="000000" w:themeColor="text1"/>
          <w:sz w:val="24"/>
          <w:szCs w:val="24"/>
          <w14:textFill>
            <w14:solidFill>
              <w14:schemeClr w14:val="tx1"/>
            </w14:solidFill>
          </w14:textFill>
        </w:rPr>
        <w:t>第一个信封初步评审</w:t>
      </w:r>
    </w:p>
    <w:p>
      <w:pPr>
        <w:pStyle w:val="4"/>
        <w:spacing w:line="360" w:lineRule="auto"/>
        <w:ind w:left="424" w:right="742" w:firstLine="479"/>
        <w:jc w:val="both"/>
        <w:rPr>
          <w:color w:val="000000" w:themeColor="text1"/>
          <w:spacing w:val="-8"/>
          <w:lang w:eastAsia="zh-CN"/>
          <w14:textFill>
            <w14:solidFill>
              <w14:schemeClr w14:val="tx1"/>
            </w14:solidFill>
          </w14:textFill>
        </w:rPr>
      </w:pPr>
      <w:r>
        <w:rPr>
          <w:rFonts w:hint="eastAsia"/>
          <w:color w:val="000000" w:themeColor="text1"/>
          <w:lang w:eastAsia="zh-CN"/>
          <w14:textFill>
            <w14:solidFill>
              <w14:schemeClr w14:val="tx1"/>
            </w14:solidFill>
          </w14:textFill>
        </w:rPr>
        <w:t>评标委员会可以要求投标人提交第二章“投标人须知”</w:t>
      </w:r>
      <w:r>
        <w:rPr>
          <w:rFonts w:hint="eastAsia"/>
          <w:color w:val="000000" w:themeColor="text1"/>
          <w:spacing w:val="-30"/>
          <w:lang w:eastAsia="zh-CN"/>
          <w14:textFill>
            <w14:solidFill>
              <w14:schemeClr w14:val="tx1"/>
            </w14:solidFill>
          </w14:textFill>
        </w:rPr>
        <w:t>第</w:t>
      </w:r>
      <w:r>
        <w:rPr>
          <w:rFonts w:hint="eastAsia"/>
          <w:color w:val="000000" w:themeColor="text1"/>
          <w:lang w:eastAsia="zh-CN"/>
          <w14:textFill>
            <w14:solidFill>
              <w14:schemeClr w14:val="tx1"/>
            </w14:solidFill>
          </w14:textFill>
        </w:rPr>
        <w:t>3.5.1</w:t>
      </w:r>
      <w:r>
        <w:rPr>
          <w:rFonts w:hint="eastAsia"/>
          <w:color w:val="000000" w:themeColor="text1"/>
          <w:spacing w:val="-15"/>
          <w:lang w:eastAsia="zh-CN"/>
          <w14:textFill>
            <w14:solidFill>
              <w14:schemeClr w14:val="tx1"/>
            </w14:solidFill>
          </w14:textFill>
        </w:rPr>
        <w:t>项至第</w:t>
      </w:r>
      <w:r>
        <w:rPr>
          <w:rFonts w:hint="eastAsia"/>
          <w:color w:val="000000" w:themeColor="text1"/>
          <w:spacing w:val="-3"/>
          <w:lang w:eastAsia="zh-CN"/>
          <w14:textFill>
            <w14:solidFill>
              <w14:schemeClr w14:val="tx1"/>
            </w14:solidFill>
          </w14:textFill>
        </w:rPr>
        <w:t xml:space="preserve">3.5.5 </w:t>
      </w:r>
      <w:r>
        <w:rPr>
          <w:rFonts w:hint="eastAsia"/>
          <w:color w:val="000000" w:themeColor="text1"/>
          <w:spacing w:val="-1"/>
          <w:lang w:eastAsia="zh-CN"/>
          <w14:textFill>
            <w14:solidFill>
              <w14:schemeClr w14:val="tx1"/>
            </w14:solidFill>
          </w14:textFill>
        </w:rPr>
        <w:t>项规定的有关证明和证件的原件，以便核验。评标委员会依据本章第</w:t>
      </w:r>
      <w:r>
        <w:rPr>
          <w:rFonts w:hint="eastAsia"/>
          <w:color w:val="000000" w:themeColor="text1"/>
          <w:lang w:eastAsia="zh-CN"/>
          <w14:textFill>
            <w14:solidFill>
              <w14:schemeClr w14:val="tx1"/>
            </w14:solidFill>
          </w14:textFill>
        </w:rPr>
        <w:t>2.1</w:t>
      </w:r>
      <w:r>
        <w:rPr>
          <w:rFonts w:hint="eastAsia"/>
          <w:color w:val="000000" w:themeColor="text1"/>
          <w:spacing w:val="-4"/>
          <w:lang w:eastAsia="zh-CN"/>
          <w14:textFill>
            <w14:solidFill>
              <w14:schemeClr w14:val="tx1"/>
            </w14:solidFill>
          </w14:textFill>
        </w:rPr>
        <w:t>款规定的</w:t>
      </w:r>
      <w:r>
        <w:rPr>
          <w:rFonts w:hint="eastAsia"/>
          <w:color w:val="000000" w:themeColor="text1"/>
          <w:lang w:eastAsia="zh-CN"/>
          <w14:textFill>
            <w14:solidFill>
              <w14:schemeClr w14:val="tx1"/>
            </w14:solidFill>
          </w14:textFill>
        </w:rPr>
        <w:t>标准对投标文件第一个信封（商务及技术文件）进行初步评审。有一项不符合评审</w:t>
      </w:r>
      <w:r>
        <w:rPr>
          <w:rFonts w:hint="eastAsia"/>
          <w:color w:val="000000" w:themeColor="text1"/>
          <w:spacing w:val="-8"/>
          <w:lang w:eastAsia="zh-CN"/>
          <w14:textFill>
            <w14:solidFill>
              <w14:schemeClr w14:val="tx1"/>
            </w14:solidFill>
          </w14:textFill>
        </w:rPr>
        <w:t>标准的，评标委员会应否决其投标。</w:t>
      </w:r>
    </w:p>
    <w:p>
      <w:pPr>
        <w:pStyle w:val="30"/>
        <w:numPr>
          <w:ilvl w:val="1"/>
          <w:numId w:val="3"/>
        </w:numPr>
        <w:tabs>
          <w:tab w:val="left" w:pos="905"/>
        </w:tabs>
        <w:spacing w:before="153" w:line="360" w:lineRule="auto"/>
        <w:rPr>
          <w:color w:val="000000" w:themeColor="text1"/>
          <w:sz w:val="24"/>
          <w:szCs w:val="24"/>
          <w14:textFill>
            <w14:solidFill>
              <w14:schemeClr w14:val="tx1"/>
            </w14:solidFill>
          </w14:textFill>
        </w:rPr>
      </w:pPr>
      <w:bookmarkStart w:id="10" w:name="_bookmark100"/>
      <w:bookmarkEnd w:id="10"/>
      <w:r>
        <w:rPr>
          <w:rFonts w:hint="eastAsia"/>
          <w:color w:val="000000" w:themeColor="text1"/>
          <w:sz w:val="24"/>
          <w:szCs w:val="24"/>
          <w14:textFill>
            <w14:solidFill>
              <w14:schemeClr w14:val="tx1"/>
            </w14:solidFill>
          </w14:textFill>
        </w:rPr>
        <w:t>第一个信封详细评审</w:t>
      </w:r>
    </w:p>
    <w:p>
      <w:pPr>
        <w:pStyle w:val="30"/>
        <w:numPr>
          <w:ilvl w:val="2"/>
          <w:numId w:val="3"/>
        </w:numPr>
        <w:tabs>
          <w:tab w:val="left" w:pos="1505"/>
        </w:tabs>
        <w:spacing w:line="360" w:lineRule="auto"/>
        <w:ind w:left="424" w:right="862" w:firstLine="480"/>
        <w:jc w:val="both"/>
        <w:rPr>
          <w:color w:val="000000" w:themeColor="text1"/>
          <w:sz w:val="24"/>
          <w:szCs w:val="24"/>
          <w:lang w:eastAsia="zh-CN"/>
          <w14:textFill>
            <w14:solidFill>
              <w14:schemeClr w14:val="tx1"/>
            </w14:solidFill>
          </w14:textFill>
        </w:rPr>
      </w:pPr>
      <w:r>
        <w:rPr>
          <w:rFonts w:hint="eastAsia"/>
          <w:color w:val="000000" w:themeColor="text1"/>
          <w:spacing w:val="-6"/>
          <w:sz w:val="24"/>
          <w:szCs w:val="24"/>
          <w:lang w:eastAsia="zh-CN"/>
          <w14:textFill>
            <w14:solidFill>
              <w14:schemeClr w14:val="tx1"/>
            </w14:solidFill>
          </w14:textFill>
        </w:rPr>
        <w:t>评标委员会按本章第</w:t>
      </w:r>
      <w:r>
        <w:rPr>
          <w:rFonts w:hint="eastAsia"/>
          <w:color w:val="000000" w:themeColor="text1"/>
          <w:sz w:val="24"/>
          <w:szCs w:val="24"/>
          <w:lang w:eastAsia="zh-CN"/>
          <w14:textFill>
            <w14:solidFill>
              <w14:schemeClr w14:val="tx1"/>
            </w14:solidFill>
          </w14:textFill>
        </w:rPr>
        <w:t>2.2</w:t>
      </w:r>
      <w:r>
        <w:rPr>
          <w:rFonts w:hint="eastAsia"/>
          <w:color w:val="000000" w:themeColor="text1"/>
          <w:spacing w:val="-3"/>
          <w:sz w:val="24"/>
          <w:szCs w:val="24"/>
          <w:lang w:eastAsia="zh-CN"/>
          <w14:textFill>
            <w14:solidFill>
              <w14:schemeClr w14:val="tx1"/>
            </w14:solidFill>
          </w14:textFill>
        </w:rPr>
        <w:t>款规定的量化因素和分值进行打分，并计算出各</w:t>
      </w:r>
      <w:r>
        <w:rPr>
          <w:rFonts w:hint="eastAsia"/>
          <w:color w:val="000000" w:themeColor="text1"/>
          <w:sz w:val="24"/>
          <w:szCs w:val="24"/>
          <w:lang w:eastAsia="zh-CN"/>
          <w14:textFill>
            <w14:solidFill>
              <w14:schemeClr w14:val="tx1"/>
            </w14:solidFill>
          </w14:textFill>
        </w:rPr>
        <w:t>投标人的商务和技术得分。</w:t>
      </w:r>
    </w:p>
    <w:p>
      <w:pPr>
        <w:pStyle w:val="30"/>
        <w:numPr>
          <w:ilvl w:val="0"/>
          <w:numId w:val="7"/>
        </w:numPr>
        <w:tabs>
          <w:tab w:val="left" w:pos="1506"/>
        </w:tabs>
        <w:spacing w:line="360" w:lineRule="auto"/>
        <w:ind w:right="864" w:firstLine="480"/>
        <w:jc w:val="both"/>
        <w:rPr>
          <w:color w:val="000000" w:themeColor="text1"/>
          <w:sz w:val="24"/>
          <w:szCs w:val="24"/>
          <w:lang w:eastAsia="zh-CN"/>
          <w14:textFill>
            <w14:solidFill>
              <w14:schemeClr w14:val="tx1"/>
            </w14:solidFill>
          </w14:textFill>
        </w:rPr>
      </w:pPr>
      <w:r>
        <w:rPr>
          <w:rFonts w:hint="eastAsia"/>
          <w:color w:val="000000" w:themeColor="text1"/>
          <w:spacing w:val="-12"/>
          <w:sz w:val="24"/>
          <w:szCs w:val="24"/>
          <w:lang w:eastAsia="zh-CN"/>
          <w14:textFill>
            <w14:solidFill>
              <w14:schemeClr w14:val="tx1"/>
            </w14:solidFill>
          </w14:textFill>
        </w:rPr>
        <w:t>按本章第</w:t>
      </w:r>
      <w:r>
        <w:rPr>
          <w:rFonts w:hint="eastAsia"/>
          <w:color w:val="000000" w:themeColor="text1"/>
          <w:sz w:val="24"/>
          <w:szCs w:val="24"/>
          <w:lang w:eastAsia="zh-CN"/>
          <w14:textFill>
            <w14:solidFill>
              <w14:schemeClr w14:val="tx1"/>
            </w14:solidFill>
          </w14:textFill>
        </w:rPr>
        <w:t xml:space="preserve">2.2.4 </w:t>
      </w:r>
      <w:r>
        <w:rPr>
          <w:rFonts w:hint="eastAsia"/>
          <w:color w:val="000000" w:themeColor="text1"/>
          <w:spacing w:val="-29"/>
          <w:sz w:val="24"/>
          <w:szCs w:val="24"/>
          <w:lang w:eastAsia="zh-CN"/>
          <w14:textFill>
            <w14:solidFill>
              <w14:schemeClr w14:val="tx1"/>
            </w14:solidFill>
          </w14:textFill>
        </w:rPr>
        <w:t>项</w:t>
      </w:r>
      <w:r>
        <w:rPr>
          <w:rFonts w:hint="eastAsia"/>
          <w:color w:val="000000" w:themeColor="text1"/>
          <w:spacing w:val="-10"/>
          <w:sz w:val="24"/>
          <w:szCs w:val="24"/>
          <w:lang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目规定的评审因素和分值对技术文件部分计算</w:t>
      </w:r>
      <w:r>
        <w:rPr>
          <w:rFonts w:hint="eastAsia"/>
          <w:color w:val="000000" w:themeColor="text1"/>
          <w:spacing w:val="-20"/>
          <w:sz w:val="24"/>
          <w:szCs w:val="24"/>
          <w:lang w:eastAsia="zh-CN"/>
          <w14:textFill>
            <w14:solidFill>
              <w14:schemeClr w14:val="tx1"/>
            </w14:solidFill>
          </w14:textFill>
        </w:rPr>
        <w:t>出得分</w:t>
      </w:r>
      <w:r>
        <w:rPr>
          <w:rFonts w:hint="eastAsia"/>
          <w:color w:val="000000" w:themeColor="text1"/>
          <w:sz w:val="24"/>
          <w:szCs w:val="24"/>
          <w:lang w:eastAsia="zh-CN"/>
          <w14:textFill>
            <w14:solidFill>
              <w14:schemeClr w14:val="tx1"/>
            </w14:solidFill>
          </w14:textFill>
        </w:rPr>
        <w:t>A；</w:t>
      </w:r>
    </w:p>
    <w:p>
      <w:pPr>
        <w:pStyle w:val="30"/>
        <w:numPr>
          <w:ilvl w:val="0"/>
          <w:numId w:val="7"/>
        </w:numPr>
        <w:tabs>
          <w:tab w:val="left" w:pos="1506"/>
        </w:tabs>
        <w:spacing w:line="360" w:lineRule="auto"/>
        <w:ind w:right="864" w:firstLine="480"/>
        <w:jc w:val="both"/>
        <w:rPr>
          <w:color w:val="000000" w:themeColor="text1"/>
          <w:sz w:val="24"/>
          <w:szCs w:val="24"/>
          <w:lang w:eastAsia="zh-CN"/>
          <w14:textFill>
            <w14:solidFill>
              <w14:schemeClr w14:val="tx1"/>
            </w14:solidFill>
          </w14:textFill>
        </w:rPr>
      </w:pPr>
      <w:r>
        <w:rPr>
          <w:rFonts w:hint="eastAsia"/>
          <w:color w:val="000000" w:themeColor="text1"/>
          <w:spacing w:val="-12"/>
          <w:sz w:val="24"/>
          <w:szCs w:val="24"/>
          <w:lang w:eastAsia="zh-CN"/>
          <w14:textFill>
            <w14:solidFill>
              <w14:schemeClr w14:val="tx1"/>
            </w14:solidFill>
          </w14:textFill>
        </w:rPr>
        <w:t>按本章第</w:t>
      </w:r>
      <w:r>
        <w:rPr>
          <w:rFonts w:hint="eastAsia"/>
          <w:color w:val="000000" w:themeColor="text1"/>
          <w:sz w:val="24"/>
          <w:szCs w:val="24"/>
          <w:lang w:eastAsia="zh-CN"/>
          <w14:textFill>
            <w14:solidFill>
              <w14:schemeClr w14:val="tx1"/>
            </w14:solidFill>
          </w14:textFill>
        </w:rPr>
        <w:t xml:space="preserve">2.2.4 </w:t>
      </w:r>
      <w:r>
        <w:rPr>
          <w:rFonts w:hint="eastAsia"/>
          <w:color w:val="000000" w:themeColor="text1"/>
          <w:spacing w:val="-29"/>
          <w:sz w:val="24"/>
          <w:szCs w:val="24"/>
          <w:lang w:eastAsia="zh-CN"/>
          <w14:textFill>
            <w14:solidFill>
              <w14:schemeClr w14:val="tx1"/>
            </w14:solidFill>
          </w14:textFill>
        </w:rPr>
        <w:t>项</w:t>
      </w:r>
      <w:r>
        <w:rPr>
          <w:rFonts w:hint="eastAsia"/>
          <w:color w:val="000000" w:themeColor="text1"/>
          <w:spacing w:val="-10"/>
          <w:sz w:val="24"/>
          <w:szCs w:val="24"/>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目规定的评审因素和分值对主要人员部分计算出</w:t>
      </w:r>
      <w:r>
        <w:rPr>
          <w:rFonts w:hint="eastAsia"/>
          <w:color w:val="000000" w:themeColor="text1"/>
          <w:spacing w:val="-25"/>
          <w:sz w:val="24"/>
          <w:szCs w:val="24"/>
          <w:lang w:eastAsia="zh-CN"/>
          <w14:textFill>
            <w14:solidFill>
              <w14:schemeClr w14:val="tx1"/>
            </w14:solidFill>
          </w14:textFill>
        </w:rPr>
        <w:t>得分</w:t>
      </w:r>
      <w:r>
        <w:rPr>
          <w:rFonts w:hint="eastAsia"/>
          <w:color w:val="000000" w:themeColor="text1"/>
          <w:sz w:val="24"/>
          <w:szCs w:val="24"/>
          <w:lang w:eastAsia="zh-CN"/>
          <w14:textFill>
            <w14:solidFill>
              <w14:schemeClr w14:val="tx1"/>
            </w14:solidFill>
          </w14:textFill>
        </w:rPr>
        <w:t>B；</w:t>
      </w:r>
    </w:p>
    <w:p>
      <w:pPr>
        <w:pStyle w:val="30"/>
        <w:numPr>
          <w:ilvl w:val="0"/>
          <w:numId w:val="7"/>
        </w:numPr>
        <w:tabs>
          <w:tab w:val="left" w:pos="1506"/>
        </w:tabs>
        <w:spacing w:before="2" w:line="360" w:lineRule="auto"/>
        <w:ind w:left="1505"/>
        <w:rPr>
          <w:color w:val="000000" w:themeColor="text1"/>
          <w:spacing w:val="-3"/>
          <w:sz w:val="24"/>
          <w:szCs w:val="24"/>
          <w:lang w:eastAsia="zh-CN"/>
          <w14:textFill>
            <w14:solidFill>
              <w14:schemeClr w14:val="tx1"/>
            </w14:solidFill>
          </w14:textFill>
        </w:rPr>
      </w:pPr>
      <w:r>
        <w:rPr>
          <w:rFonts w:hint="eastAsia"/>
          <w:color w:val="000000" w:themeColor="text1"/>
          <w:spacing w:val="-3"/>
          <w:sz w:val="24"/>
          <w:szCs w:val="24"/>
          <w:lang w:eastAsia="zh-CN"/>
          <w14:textFill>
            <w14:solidFill>
              <w14:schemeClr w14:val="tx1"/>
            </w14:solidFill>
          </w14:textFill>
        </w:rPr>
        <w:t>按本章第2.2.4 项（4）目规定的评审因素和分值对其他部分计算出得分D。</w:t>
      </w:r>
    </w:p>
    <w:p>
      <w:pPr>
        <w:pStyle w:val="30"/>
        <w:numPr>
          <w:ilvl w:val="2"/>
          <w:numId w:val="3"/>
        </w:numPr>
        <w:tabs>
          <w:tab w:val="left" w:pos="1510"/>
        </w:tabs>
        <w:spacing w:before="91" w:line="360" w:lineRule="auto"/>
        <w:ind w:left="1509" w:hanging="605"/>
        <w:rPr>
          <w:color w:val="000000" w:themeColor="text1"/>
          <w:lang w:eastAsia="zh-CN"/>
          <w14:textFill>
            <w14:solidFill>
              <w14:schemeClr w14:val="tx1"/>
            </w14:solidFill>
          </w14:textFill>
        </w:rPr>
      </w:pPr>
      <w:r>
        <w:rPr>
          <w:rFonts w:hint="eastAsia"/>
          <w:color w:val="000000" w:themeColor="text1"/>
          <w:spacing w:val="3"/>
          <w:sz w:val="24"/>
          <w:szCs w:val="24"/>
          <w:lang w:eastAsia="zh-CN"/>
          <w14:textFill>
            <w14:solidFill>
              <w14:schemeClr w14:val="tx1"/>
            </w14:solidFill>
          </w14:textFill>
        </w:rPr>
        <w:t>投标人的商务和技术得分分值计算保留小数点后两位，小数点后第三位</w:t>
      </w:r>
      <w:r>
        <w:rPr>
          <w:rFonts w:hint="eastAsia"/>
          <w:color w:val="000000" w:themeColor="text1"/>
          <w:lang w:eastAsia="zh-CN"/>
          <w14:textFill>
            <w14:solidFill>
              <w14:schemeClr w14:val="tx1"/>
            </w14:solidFill>
          </w14:textFill>
        </w:rPr>
        <w:t>“四舍五入”。</w:t>
      </w:r>
    </w:p>
    <w:p>
      <w:pPr>
        <w:pStyle w:val="30"/>
        <w:numPr>
          <w:ilvl w:val="2"/>
          <w:numId w:val="3"/>
        </w:numPr>
        <w:tabs>
          <w:tab w:val="left" w:pos="1505"/>
        </w:tabs>
        <w:spacing w:before="93" w:line="360" w:lineRule="auto"/>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投标人的商务和技术得分=A+B+D。</w:t>
      </w:r>
    </w:p>
    <w:p>
      <w:pPr>
        <w:pStyle w:val="30"/>
        <w:numPr>
          <w:ilvl w:val="1"/>
          <w:numId w:val="3"/>
        </w:numPr>
        <w:tabs>
          <w:tab w:val="left" w:pos="905"/>
        </w:tabs>
        <w:spacing w:line="360" w:lineRule="auto"/>
        <w:rPr>
          <w:color w:val="000000" w:themeColor="text1"/>
          <w:sz w:val="24"/>
          <w:szCs w:val="24"/>
          <w14:textFill>
            <w14:solidFill>
              <w14:schemeClr w14:val="tx1"/>
            </w14:solidFill>
          </w14:textFill>
        </w:rPr>
      </w:pPr>
      <w:bookmarkStart w:id="11" w:name="_bookmark101"/>
      <w:bookmarkEnd w:id="11"/>
      <w:r>
        <w:rPr>
          <w:rFonts w:hint="eastAsia"/>
          <w:color w:val="000000" w:themeColor="text1"/>
          <w:sz w:val="24"/>
          <w:szCs w:val="24"/>
          <w14:textFill>
            <w14:solidFill>
              <w14:schemeClr w14:val="tx1"/>
            </w14:solidFill>
          </w14:textFill>
        </w:rPr>
        <w:t>第二个信封开标</w:t>
      </w:r>
    </w:p>
    <w:p>
      <w:pPr>
        <w:pStyle w:val="30"/>
        <w:tabs>
          <w:tab w:val="left" w:pos="1505"/>
        </w:tabs>
        <w:spacing w:before="93" w:line="360" w:lineRule="auto"/>
        <w:ind w:right="-30" w:firstLine="1003" w:firstLineChars="418"/>
        <w:jc w:val="both"/>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第一个信封（商务及技术文件）评审结束后，招标人将按照第二章“投标人须知” 第5.1 款规定的时间和地点对通过投标文件第一个信封（商务及技术文件）评审的投标文件第二个信封（报价文件）进行开标。</w:t>
      </w:r>
    </w:p>
    <w:p>
      <w:pPr>
        <w:pStyle w:val="30"/>
        <w:numPr>
          <w:ilvl w:val="1"/>
          <w:numId w:val="3"/>
        </w:numPr>
        <w:tabs>
          <w:tab w:val="left" w:pos="905"/>
        </w:tabs>
        <w:spacing w:before="152" w:line="360" w:lineRule="auto"/>
        <w:rPr>
          <w:color w:val="000000" w:themeColor="text1"/>
          <w:sz w:val="24"/>
          <w:szCs w:val="24"/>
          <w14:textFill>
            <w14:solidFill>
              <w14:schemeClr w14:val="tx1"/>
            </w14:solidFill>
          </w14:textFill>
        </w:rPr>
      </w:pPr>
      <w:bookmarkStart w:id="12" w:name="_bookmark102"/>
      <w:bookmarkEnd w:id="12"/>
      <w:r>
        <w:rPr>
          <w:rFonts w:hint="eastAsia"/>
          <w:color w:val="000000" w:themeColor="text1"/>
          <w:sz w:val="24"/>
          <w:szCs w:val="24"/>
          <w14:textFill>
            <w14:solidFill>
              <w14:schemeClr w14:val="tx1"/>
            </w14:solidFill>
          </w14:textFill>
        </w:rPr>
        <w:t>第二个信封初步评审</w:t>
      </w:r>
    </w:p>
    <w:p>
      <w:pPr>
        <w:pStyle w:val="30"/>
        <w:numPr>
          <w:ilvl w:val="2"/>
          <w:numId w:val="3"/>
        </w:numPr>
        <w:tabs>
          <w:tab w:val="left" w:pos="1505"/>
        </w:tabs>
        <w:spacing w:line="360" w:lineRule="auto"/>
        <w:ind w:left="424" w:right="-250" w:firstLine="480"/>
        <w:jc w:val="both"/>
        <w:rPr>
          <w:color w:val="000000" w:themeColor="text1"/>
          <w:sz w:val="24"/>
          <w:szCs w:val="24"/>
          <w:lang w:eastAsia="zh-CN"/>
          <w14:textFill>
            <w14:solidFill>
              <w14:schemeClr w14:val="tx1"/>
            </w14:solidFill>
          </w14:textFill>
        </w:rPr>
      </w:pPr>
      <w:r>
        <w:rPr>
          <w:rFonts w:hint="eastAsia"/>
          <w:color w:val="000000" w:themeColor="text1"/>
          <w:spacing w:val="-6"/>
          <w:sz w:val="24"/>
          <w:szCs w:val="24"/>
          <w:lang w:eastAsia="zh-CN"/>
          <w14:textFill>
            <w14:solidFill>
              <w14:schemeClr w14:val="tx1"/>
            </w14:solidFill>
          </w14:textFill>
        </w:rPr>
        <w:t>评标委员会依据本章第</w:t>
      </w:r>
      <w:r>
        <w:rPr>
          <w:rFonts w:hint="eastAsia"/>
          <w:color w:val="000000" w:themeColor="text1"/>
          <w:sz w:val="24"/>
          <w:szCs w:val="24"/>
          <w:lang w:eastAsia="zh-CN"/>
          <w14:textFill>
            <w14:solidFill>
              <w14:schemeClr w14:val="tx1"/>
            </w14:solidFill>
          </w14:textFill>
        </w:rPr>
        <w:t xml:space="preserve">2.1.1 </w:t>
      </w:r>
      <w:r>
        <w:rPr>
          <w:rFonts w:hint="eastAsia"/>
          <w:color w:val="000000" w:themeColor="text1"/>
          <w:spacing w:val="-36"/>
          <w:sz w:val="24"/>
          <w:szCs w:val="24"/>
          <w:lang w:eastAsia="zh-CN"/>
          <w14:textFill>
            <w14:solidFill>
              <w14:schemeClr w14:val="tx1"/>
            </w14:solidFill>
          </w14:textFill>
        </w:rPr>
        <w:t>项、第</w:t>
      </w:r>
      <w:r>
        <w:rPr>
          <w:rFonts w:hint="eastAsia"/>
          <w:color w:val="000000" w:themeColor="text1"/>
          <w:sz w:val="24"/>
          <w:szCs w:val="24"/>
          <w:lang w:eastAsia="zh-CN"/>
          <w14:textFill>
            <w14:solidFill>
              <w14:schemeClr w14:val="tx1"/>
            </w14:solidFill>
          </w14:textFill>
        </w:rPr>
        <w:t xml:space="preserve">2.1.3 </w:t>
      </w:r>
      <w:r>
        <w:rPr>
          <w:rFonts w:hint="eastAsia"/>
          <w:color w:val="000000" w:themeColor="text1"/>
          <w:spacing w:val="-2"/>
          <w:sz w:val="24"/>
          <w:szCs w:val="24"/>
          <w:lang w:eastAsia="zh-CN"/>
          <w14:textFill>
            <w14:solidFill>
              <w14:schemeClr w14:val="tx1"/>
            </w14:solidFill>
          </w14:textFill>
        </w:rPr>
        <w:t>项规定的评审标准对投标文件第</w:t>
      </w:r>
      <w:r>
        <w:rPr>
          <w:rFonts w:hint="eastAsia"/>
          <w:color w:val="000000" w:themeColor="text1"/>
          <w:sz w:val="24"/>
          <w:szCs w:val="24"/>
          <w:lang w:eastAsia="zh-CN"/>
          <w14:textFill>
            <w14:solidFill>
              <w14:schemeClr w14:val="tx1"/>
            </w14:solidFill>
          </w14:textFill>
        </w:rPr>
        <w:t>二个信封（报价文件</w:t>
      </w:r>
      <w:r>
        <w:rPr>
          <w:rFonts w:hint="eastAsia"/>
          <w:color w:val="000000" w:themeColor="text1"/>
          <w:spacing w:val="3"/>
          <w:sz w:val="24"/>
          <w:szCs w:val="24"/>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进行初步评审。有一项不符合评审标准的，评标委员会应否决其投标。</w:t>
      </w:r>
    </w:p>
    <w:p>
      <w:pPr>
        <w:pStyle w:val="30"/>
        <w:numPr>
          <w:ilvl w:val="2"/>
          <w:numId w:val="3"/>
        </w:numPr>
        <w:tabs>
          <w:tab w:val="left" w:pos="1505"/>
        </w:tabs>
        <w:spacing w:before="1" w:line="360" w:lineRule="auto"/>
        <w:rPr>
          <w:color w:val="000000" w:themeColor="text1"/>
          <w:lang w:eastAsia="zh-CN"/>
          <w14:textFill>
            <w14:solidFill>
              <w14:schemeClr w14:val="tx1"/>
            </w14:solidFill>
          </w14:textFill>
        </w:rPr>
      </w:pPr>
      <w:r>
        <w:rPr>
          <w:rFonts w:hint="eastAsia"/>
          <w:color w:val="000000" w:themeColor="text1"/>
          <w:spacing w:val="-6"/>
          <w:sz w:val="24"/>
          <w:szCs w:val="24"/>
          <w:lang w:eastAsia="zh-CN"/>
          <w14:textFill>
            <w14:solidFill>
              <w14:schemeClr w14:val="tx1"/>
            </w14:solidFill>
          </w14:textFill>
        </w:rPr>
        <w:t>投标报价有算术错误的，评标委员会按以下原则对投标报价进行修正，修</w:t>
      </w:r>
      <w:r>
        <w:rPr>
          <w:rFonts w:hint="eastAsia"/>
          <w:color w:val="000000" w:themeColor="text1"/>
          <w:lang w:eastAsia="zh-CN"/>
          <w14:textFill>
            <w14:solidFill>
              <w14:schemeClr w14:val="tx1"/>
            </w14:solidFill>
          </w14:textFill>
        </w:rPr>
        <w:t>正的价格经投标人书面确认后具有约束力。投标人不接受修正价格的，评标委员会应否决其投标。</w:t>
      </w:r>
    </w:p>
    <w:p>
      <w:pPr>
        <w:pStyle w:val="30"/>
        <w:numPr>
          <w:ilvl w:val="0"/>
          <w:numId w:val="8"/>
        </w:numPr>
        <w:tabs>
          <w:tab w:val="left" w:pos="1506"/>
        </w:tabs>
        <w:spacing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投标文件中的大写金额与小写金额不一致的，以大写金额为准；</w:t>
      </w:r>
    </w:p>
    <w:p>
      <w:pPr>
        <w:pStyle w:val="30"/>
        <w:numPr>
          <w:ilvl w:val="0"/>
          <w:numId w:val="8"/>
        </w:numPr>
        <w:tabs>
          <w:tab w:val="left" w:pos="1507"/>
        </w:tabs>
        <w:spacing w:before="93" w:line="360" w:lineRule="auto"/>
        <w:ind w:left="424" w:right="-30" w:firstLine="480"/>
        <w:rPr>
          <w:color w:val="000000" w:themeColor="text1"/>
          <w:sz w:val="24"/>
          <w:szCs w:val="24"/>
          <w:lang w:eastAsia="zh-CN"/>
          <w14:textFill>
            <w14:solidFill>
              <w14:schemeClr w14:val="tx1"/>
            </w14:solidFill>
          </w14:textFill>
        </w:rPr>
      </w:pPr>
      <w:r>
        <w:rPr>
          <w:rFonts w:hint="eastAsia"/>
          <w:color w:val="000000" w:themeColor="text1"/>
          <w:spacing w:val="-1"/>
          <w:sz w:val="24"/>
          <w:szCs w:val="24"/>
          <w:lang w:eastAsia="zh-CN"/>
          <w14:textFill>
            <w14:solidFill>
              <w14:schemeClr w14:val="tx1"/>
            </w14:solidFill>
          </w14:textFill>
        </w:rPr>
        <w:t>总价金额与依据单价计算出的结果不一致的，以单价金额为准修正总价，</w:t>
      </w:r>
      <w:r>
        <w:rPr>
          <w:rFonts w:hint="eastAsia"/>
          <w:color w:val="000000" w:themeColor="text1"/>
          <w:sz w:val="24"/>
          <w:szCs w:val="24"/>
          <w:lang w:eastAsia="zh-CN"/>
          <w14:textFill>
            <w14:solidFill>
              <w14:schemeClr w14:val="tx1"/>
            </w14:solidFill>
          </w14:textFill>
        </w:rPr>
        <w:t>但单价金额小数点有明显错误的除外；</w:t>
      </w:r>
    </w:p>
    <w:p>
      <w:pPr>
        <w:pStyle w:val="30"/>
        <w:numPr>
          <w:ilvl w:val="0"/>
          <w:numId w:val="8"/>
        </w:numPr>
        <w:tabs>
          <w:tab w:val="left" w:pos="1506"/>
        </w:tabs>
        <w:spacing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4"/>
          <w:sz w:val="24"/>
          <w:szCs w:val="24"/>
          <w:lang w:eastAsia="zh-CN"/>
          <w14:textFill>
            <w14:solidFill>
              <w14:schemeClr w14:val="tx1"/>
            </w14:solidFill>
          </w14:textFill>
        </w:rPr>
        <w:t>当单价与数量相乘不等于合价时，以单价计算为准，如果单价有明显的小数点位置差错，应以标出的合价为准，同时对单价予以修正；</w:t>
      </w:r>
    </w:p>
    <w:p>
      <w:pPr>
        <w:pStyle w:val="30"/>
        <w:numPr>
          <w:ilvl w:val="0"/>
          <w:numId w:val="8"/>
        </w:numPr>
        <w:tabs>
          <w:tab w:val="left" w:pos="1506"/>
        </w:tabs>
        <w:spacing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3"/>
          <w:sz w:val="24"/>
          <w:szCs w:val="24"/>
          <w:lang w:eastAsia="zh-CN"/>
          <w14:textFill>
            <w14:solidFill>
              <w14:schemeClr w14:val="tx1"/>
            </w14:solidFill>
          </w14:textFill>
        </w:rPr>
        <w:t>当各子目的合价累计不等于总价时，应以各子目合价累计数为准，修正</w:t>
      </w:r>
      <w:r>
        <w:rPr>
          <w:rFonts w:hint="eastAsia"/>
          <w:color w:val="000000" w:themeColor="text1"/>
          <w:spacing w:val="-6"/>
          <w:sz w:val="24"/>
          <w:szCs w:val="24"/>
          <w:lang w:eastAsia="zh-CN"/>
          <w14:textFill>
            <w14:solidFill>
              <w14:schemeClr w14:val="tx1"/>
            </w14:solidFill>
          </w14:textFill>
        </w:rPr>
        <w:t>总价。</w:t>
      </w:r>
    </w:p>
    <w:p>
      <w:pPr>
        <w:pStyle w:val="30"/>
        <w:numPr>
          <w:ilvl w:val="2"/>
          <w:numId w:val="3"/>
        </w:numPr>
        <w:tabs>
          <w:tab w:val="left" w:pos="1505"/>
        </w:tabs>
        <w:spacing w:before="2"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修正后的最终投标报价若超过最高投标限价</w:t>
      </w:r>
      <w:r>
        <w:rPr>
          <w:rFonts w:hint="eastAsia"/>
          <w:color w:val="000000" w:themeColor="text1"/>
          <w:spacing w:val="2"/>
          <w:sz w:val="24"/>
          <w:szCs w:val="24"/>
          <w:lang w:eastAsia="zh-CN"/>
          <w14:textFill>
            <w14:solidFill>
              <w14:schemeClr w14:val="tx1"/>
            </w14:solidFill>
          </w14:textFill>
        </w:rPr>
        <w:t>（</w:t>
      </w:r>
      <w:r>
        <w:rPr>
          <w:rFonts w:hint="eastAsia"/>
          <w:color w:val="000000" w:themeColor="text1"/>
          <w:spacing w:val="1"/>
          <w:sz w:val="24"/>
          <w:szCs w:val="24"/>
          <w:lang w:eastAsia="zh-CN"/>
          <w14:textFill>
            <w14:solidFill>
              <w14:schemeClr w14:val="tx1"/>
            </w14:solidFill>
          </w14:textFill>
        </w:rPr>
        <w:t>如有</w:t>
      </w:r>
      <w:r>
        <w:rPr>
          <w:rFonts w:hint="eastAsia"/>
          <w:color w:val="000000" w:themeColor="text1"/>
          <w:spacing w:val="-120"/>
          <w:sz w:val="24"/>
          <w:szCs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，评标委员会应否决</w:t>
      </w:r>
      <w:r>
        <w:rPr>
          <w:rFonts w:hint="eastAsia"/>
          <w:color w:val="000000" w:themeColor="text1"/>
          <w:sz w:val="24"/>
          <w:szCs w:val="24"/>
          <w:lang w:eastAsia="zh-CN"/>
          <w14:textFill>
            <w14:solidFill>
              <w14:schemeClr w14:val="tx1"/>
            </w14:solidFill>
          </w14:textFill>
        </w:rPr>
        <w:t>其投标。</w:t>
      </w:r>
    </w:p>
    <w:p>
      <w:pPr>
        <w:pStyle w:val="30"/>
        <w:numPr>
          <w:ilvl w:val="2"/>
          <w:numId w:val="3"/>
        </w:numPr>
        <w:tabs>
          <w:tab w:val="left" w:pos="1505"/>
        </w:tabs>
        <w:spacing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5"/>
          <w:sz w:val="24"/>
          <w:szCs w:val="24"/>
          <w:lang w:eastAsia="zh-CN"/>
          <w14:textFill>
            <w14:solidFill>
              <w14:schemeClr w14:val="tx1"/>
            </w14:solidFill>
          </w14:textFill>
        </w:rPr>
        <w:t>修正后的最终投标报价仅作为签订合同的一个依据，不参与评标价得分的</w:t>
      </w:r>
      <w:r>
        <w:rPr>
          <w:rFonts w:hint="eastAsia"/>
          <w:color w:val="000000" w:themeColor="text1"/>
          <w:sz w:val="24"/>
          <w:szCs w:val="24"/>
          <w:lang w:eastAsia="zh-CN"/>
          <w14:textFill>
            <w14:solidFill>
              <w14:schemeClr w14:val="tx1"/>
            </w14:solidFill>
          </w14:textFill>
        </w:rPr>
        <w:t>计算。</w:t>
      </w:r>
    </w:p>
    <w:p>
      <w:pPr>
        <w:pStyle w:val="30"/>
        <w:numPr>
          <w:ilvl w:val="1"/>
          <w:numId w:val="3"/>
        </w:numPr>
        <w:tabs>
          <w:tab w:val="left" w:pos="905"/>
        </w:tabs>
        <w:spacing w:before="151" w:line="360" w:lineRule="auto"/>
        <w:rPr>
          <w:color w:val="000000" w:themeColor="text1"/>
          <w:sz w:val="24"/>
          <w:szCs w:val="24"/>
          <w14:textFill>
            <w14:solidFill>
              <w14:schemeClr w14:val="tx1"/>
            </w14:solidFill>
          </w14:textFill>
        </w:rPr>
      </w:pPr>
      <w:bookmarkStart w:id="13" w:name="_bookmark103"/>
      <w:bookmarkEnd w:id="13"/>
      <w:r>
        <w:rPr>
          <w:rFonts w:hint="eastAsia"/>
          <w:color w:val="000000" w:themeColor="text1"/>
          <w:sz w:val="24"/>
          <w:szCs w:val="24"/>
          <w14:textFill>
            <w14:solidFill>
              <w14:schemeClr w14:val="tx1"/>
            </w14:solidFill>
          </w14:textFill>
        </w:rPr>
        <w:t>第二个信封详细评审</w:t>
      </w:r>
    </w:p>
    <w:p>
      <w:pPr>
        <w:pStyle w:val="30"/>
        <w:numPr>
          <w:ilvl w:val="2"/>
          <w:numId w:val="3"/>
        </w:numPr>
        <w:tabs>
          <w:tab w:val="left" w:pos="1505"/>
        </w:tabs>
        <w:spacing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6"/>
          <w:sz w:val="24"/>
          <w:szCs w:val="24"/>
          <w:lang w:eastAsia="zh-CN"/>
          <w14:textFill>
            <w14:solidFill>
              <w14:schemeClr w14:val="tx1"/>
            </w14:solidFill>
          </w14:textFill>
        </w:rPr>
        <w:t>评标委员会按本章第</w:t>
      </w:r>
      <w:r>
        <w:rPr>
          <w:rFonts w:hint="eastAsia"/>
          <w:color w:val="000000" w:themeColor="text1"/>
          <w:sz w:val="24"/>
          <w:szCs w:val="24"/>
          <w:lang w:eastAsia="zh-CN"/>
          <w14:textFill>
            <w14:solidFill>
              <w14:schemeClr w14:val="tx1"/>
            </w14:solidFill>
          </w14:textFill>
        </w:rPr>
        <w:t>2.2.4</w:t>
      </w:r>
      <w:r>
        <w:rPr>
          <w:rFonts w:hint="eastAsia"/>
          <w:color w:val="000000" w:themeColor="text1"/>
          <w:spacing w:val="-44"/>
          <w:sz w:val="24"/>
          <w:szCs w:val="24"/>
          <w:lang w:eastAsia="zh-CN"/>
          <w14:textFill>
            <w14:solidFill>
              <w14:schemeClr w14:val="tx1"/>
            </w14:solidFill>
          </w14:textFill>
        </w:rPr>
        <w:t>项</w:t>
      </w:r>
      <w:r>
        <w:rPr>
          <w:rFonts w:hint="eastAsia"/>
          <w:color w:val="000000" w:themeColor="text1"/>
          <w:spacing w:val="-15"/>
          <w:sz w:val="24"/>
          <w:szCs w:val="24"/>
          <w:lang w:eastAsia="zh-CN"/>
          <w14:textFill>
            <w14:solidFill>
              <w14:schemeClr w14:val="tx1"/>
            </w14:solidFill>
          </w14:textFill>
        </w:rPr>
        <w:t>（3）</w:t>
      </w:r>
      <w:r>
        <w:rPr>
          <w:rFonts w:hint="eastAsia"/>
          <w:color w:val="000000" w:themeColor="text1"/>
          <w:spacing w:val="-1"/>
          <w:sz w:val="24"/>
          <w:szCs w:val="24"/>
          <w:lang w:eastAsia="zh-CN"/>
          <w14:textFill>
            <w14:solidFill>
              <w14:schemeClr w14:val="tx1"/>
            </w14:solidFill>
          </w14:textFill>
        </w:rPr>
        <w:t>目规定的评审因素和分值对评标价计算</w:t>
      </w:r>
      <w:r>
        <w:rPr>
          <w:rFonts w:hint="eastAsia"/>
          <w:color w:val="000000" w:themeColor="text1"/>
          <w:spacing w:val="-16"/>
          <w:sz w:val="24"/>
          <w:szCs w:val="24"/>
          <w:lang w:eastAsia="zh-CN"/>
          <w14:textFill>
            <w14:solidFill>
              <w14:schemeClr w14:val="tx1"/>
            </w14:solidFill>
          </w14:textFill>
        </w:rPr>
        <w:t>出得分</w:t>
      </w:r>
      <w:r>
        <w:rPr>
          <w:rFonts w:hint="eastAsia"/>
          <w:color w:val="000000" w:themeColor="text1"/>
          <w:sz w:val="24"/>
          <w:szCs w:val="24"/>
          <w:lang w:eastAsia="zh-CN"/>
          <w14:textFill>
            <w14:solidFill>
              <w14:schemeClr w14:val="tx1"/>
            </w14:solidFill>
          </w14:textFill>
        </w:rPr>
        <w:t>C。评标价得分分值计算保留小数点后两位，小数点后第三位“四舍五入”。</w:t>
      </w:r>
    </w:p>
    <w:p>
      <w:pPr>
        <w:pStyle w:val="30"/>
        <w:numPr>
          <w:ilvl w:val="2"/>
          <w:numId w:val="3"/>
        </w:numPr>
        <w:tabs>
          <w:tab w:val="left" w:pos="1505"/>
        </w:tabs>
        <w:spacing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投标人综合得分=投标人的商务和技术得分+C。</w:t>
      </w:r>
    </w:p>
    <w:p>
      <w:pPr>
        <w:pStyle w:val="30"/>
        <w:numPr>
          <w:ilvl w:val="2"/>
          <w:numId w:val="3"/>
        </w:numPr>
        <w:tabs>
          <w:tab w:val="left" w:pos="1505"/>
        </w:tabs>
        <w:spacing w:before="94"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5"/>
          <w:sz w:val="24"/>
          <w:szCs w:val="24"/>
          <w:lang w:eastAsia="zh-CN"/>
          <w14:textFill>
            <w14:solidFill>
              <w14:schemeClr w14:val="tx1"/>
            </w14:solidFill>
          </w14:textFill>
        </w:rPr>
        <w:t>评标委员会发现投标人的报价明显低于其他投标报价，使得其投标报价可</w:t>
      </w:r>
      <w:r>
        <w:rPr>
          <w:rFonts w:hint="eastAsia"/>
          <w:color w:val="000000" w:themeColor="text1"/>
          <w:sz w:val="24"/>
          <w:szCs w:val="24"/>
          <w:lang w:eastAsia="zh-CN"/>
          <w14:textFill>
            <w14:solidFill>
              <w14:schemeClr w14:val="tx1"/>
            </w14:solidFill>
          </w14:textFill>
        </w:rPr>
        <w:t>能低于其个别成本的，应要求该投标人作出书面说明并提供相应的证明材料。投标</w:t>
      </w:r>
      <w:r>
        <w:rPr>
          <w:rFonts w:hint="eastAsia"/>
          <w:color w:val="000000" w:themeColor="text1"/>
          <w:spacing w:val="-1"/>
          <w:sz w:val="24"/>
          <w:szCs w:val="24"/>
          <w:lang w:eastAsia="zh-CN"/>
          <w14:textFill>
            <w14:solidFill>
              <w14:schemeClr w14:val="tx1"/>
            </w14:solidFill>
          </w14:textFill>
        </w:rPr>
        <w:t>人不能合理说明或不能提供相应证明材料的，评标委员会应认定该投标人以低于成</w:t>
      </w:r>
      <w:r>
        <w:rPr>
          <w:rFonts w:hint="eastAsia"/>
          <w:color w:val="000000" w:themeColor="text1"/>
          <w:sz w:val="24"/>
          <w:szCs w:val="24"/>
          <w:lang w:eastAsia="zh-CN"/>
          <w14:textFill>
            <w14:solidFill>
              <w14:schemeClr w14:val="tx1"/>
            </w14:solidFill>
          </w14:textFill>
        </w:rPr>
        <w:t>本报价竞标，并否决其投标。</w:t>
      </w:r>
    </w:p>
    <w:p>
      <w:pPr>
        <w:pStyle w:val="30"/>
        <w:numPr>
          <w:ilvl w:val="1"/>
          <w:numId w:val="3"/>
        </w:numPr>
        <w:tabs>
          <w:tab w:val="left" w:pos="905"/>
        </w:tabs>
        <w:spacing w:before="153" w:line="360" w:lineRule="auto"/>
        <w:rPr>
          <w:color w:val="000000" w:themeColor="text1"/>
          <w:sz w:val="24"/>
          <w:szCs w:val="24"/>
          <w:lang w:eastAsia="zh-CN"/>
          <w14:textFill>
            <w14:solidFill>
              <w14:schemeClr w14:val="tx1"/>
            </w14:solidFill>
          </w14:textFill>
        </w:rPr>
      </w:pPr>
      <w:bookmarkStart w:id="14" w:name="_bookmark104"/>
      <w:bookmarkEnd w:id="14"/>
      <w:r>
        <w:rPr>
          <w:rFonts w:hint="eastAsia"/>
          <w:color w:val="000000" w:themeColor="text1"/>
          <w:sz w:val="24"/>
          <w:szCs w:val="24"/>
          <w:lang w:eastAsia="zh-CN"/>
          <w14:textFill>
            <w14:solidFill>
              <w14:schemeClr w14:val="tx1"/>
            </w14:solidFill>
          </w14:textFill>
        </w:rPr>
        <w:t>投标文件相关信息的核查</w:t>
      </w:r>
    </w:p>
    <w:p>
      <w:pPr>
        <w:pStyle w:val="30"/>
        <w:numPr>
          <w:ilvl w:val="2"/>
          <w:numId w:val="3"/>
        </w:numPr>
        <w:tabs>
          <w:tab w:val="left" w:pos="1505"/>
        </w:tabs>
        <w:spacing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10"/>
          <w:sz w:val="24"/>
          <w:szCs w:val="24"/>
          <w:lang w:eastAsia="zh-CN"/>
          <w14:textFill>
            <w14:solidFill>
              <w14:schemeClr w14:val="tx1"/>
            </w14:solidFill>
          </w14:textFill>
        </w:rPr>
        <w:t>在评标过程中，评标委员会应查询交通运输主管部门“公路建设市场信用</w:t>
      </w:r>
      <w:r>
        <w:rPr>
          <w:rFonts w:hint="eastAsia"/>
          <w:color w:val="000000" w:themeColor="text1"/>
          <w:spacing w:val="-16"/>
          <w:sz w:val="24"/>
          <w:szCs w:val="24"/>
          <w:lang w:eastAsia="zh-CN"/>
          <w14:textFill>
            <w14:solidFill>
              <w14:schemeClr w14:val="tx1"/>
            </w14:solidFill>
          </w14:textFill>
        </w:rPr>
        <w:t>信息管理系统”，对投标人的资质、业绩、主要人员资历和目前在岗情况、信用等级</w:t>
      </w:r>
      <w:r>
        <w:rPr>
          <w:rFonts w:hint="eastAsia"/>
          <w:color w:val="000000" w:themeColor="text1"/>
          <w:sz w:val="24"/>
          <w:szCs w:val="24"/>
          <w:lang w:eastAsia="zh-CN"/>
          <w14:textFill>
            <w14:solidFill>
              <w14:schemeClr w14:val="tx1"/>
            </w14:solidFill>
          </w14:textFill>
        </w:rPr>
        <w:t>等信息进行核实。若投标文件载明的信息与交通运输主管部门“公路建设市场信用</w:t>
      </w:r>
      <w:r>
        <w:rPr>
          <w:rFonts w:hint="eastAsia"/>
          <w:color w:val="000000" w:themeColor="text1"/>
          <w:spacing w:val="-1"/>
          <w:sz w:val="24"/>
          <w:szCs w:val="24"/>
          <w:lang w:eastAsia="zh-CN"/>
          <w14:textFill>
            <w14:solidFill>
              <w14:schemeClr w14:val="tx1"/>
            </w14:solidFill>
          </w14:textFill>
        </w:rPr>
        <w:t>信息管理系统”发布的信息不符，使得投标人的资格条件不符合招标文件规定的，</w:t>
      </w:r>
      <w:r>
        <w:rPr>
          <w:rFonts w:hint="eastAsia"/>
          <w:color w:val="000000" w:themeColor="text1"/>
          <w:sz w:val="24"/>
          <w:szCs w:val="24"/>
          <w:lang w:eastAsia="zh-CN"/>
          <w14:textFill>
            <w14:solidFill>
              <w14:schemeClr w14:val="tx1"/>
            </w14:solidFill>
          </w14:textFill>
        </w:rPr>
        <w:t>评标委员会应否决其投标。</w:t>
      </w:r>
    </w:p>
    <w:p>
      <w:pPr>
        <w:pStyle w:val="30"/>
        <w:numPr>
          <w:ilvl w:val="2"/>
          <w:numId w:val="3"/>
        </w:numPr>
        <w:tabs>
          <w:tab w:val="left" w:pos="1505"/>
        </w:tabs>
        <w:spacing w:before="3"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5"/>
          <w:sz w:val="24"/>
          <w:szCs w:val="24"/>
          <w:lang w:eastAsia="zh-CN"/>
          <w14:textFill>
            <w14:solidFill>
              <w14:schemeClr w14:val="tx1"/>
            </w14:solidFill>
          </w14:textFill>
        </w:rPr>
        <w:t>评标委员会应对在评标过程中发现的投标人与投标人之间、投标人与招标</w:t>
      </w:r>
      <w:r>
        <w:rPr>
          <w:rFonts w:hint="eastAsia"/>
          <w:color w:val="000000" w:themeColor="text1"/>
          <w:spacing w:val="-1"/>
          <w:sz w:val="24"/>
          <w:szCs w:val="24"/>
          <w:lang w:eastAsia="zh-CN"/>
          <w14:textFill>
            <w14:solidFill>
              <w14:schemeClr w14:val="tx1"/>
            </w14:solidFill>
          </w14:textFill>
        </w:rPr>
        <w:t>人之间存在的串通投标的情形进行评审和认定。投标人存在串通投标、弄虚作假、</w:t>
      </w:r>
      <w:r>
        <w:rPr>
          <w:rFonts w:hint="eastAsia"/>
          <w:color w:val="000000" w:themeColor="text1"/>
          <w:sz w:val="24"/>
          <w:szCs w:val="24"/>
          <w:lang w:eastAsia="zh-CN"/>
          <w14:textFill>
            <w14:solidFill>
              <w14:schemeClr w14:val="tx1"/>
            </w14:solidFill>
          </w14:textFill>
        </w:rPr>
        <w:t>行贿等违法行为的，评标委员会应否决其投标。</w:t>
      </w:r>
    </w:p>
    <w:p>
      <w:pPr>
        <w:pStyle w:val="30"/>
        <w:numPr>
          <w:ilvl w:val="0"/>
          <w:numId w:val="9"/>
        </w:numPr>
        <w:tabs>
          <w:tab w:val="left" w:pos="1506"/>
        </w:tabs>
        <w:spacing w:before="1"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有下列情形之一的，属于投标人相互串通投标：</w:t>
      </w:r>
    </w:p>
    <w:p>
      <w:pPr>
        <w:pStyle w:val="30"/>
        <w:numPr>
          <w:ilvl w:val="0"/>
          <w:numId w:val="10"/>
        </w:numPr>
        <w:tabs>
          <w:tab w:val="left" w:pos="1071"/>
        </w:tabs>
        <w:spacing w:before="91"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投标人之间协商投标报价等投标文件的实质性内容；</w:t>
      </w:r>
    </w:p>
    <w:p>
      <w:pPr>
        <w:pStyle w:val="30"/>
        <w:numPr>
          <w:ilvl w:val="0"/>
          <w:numId w:val="10"/>
        </w:numPr>
        <w:tabs>
          <w:tab w:val="left" w:pos="1086"/>
        </w:tabs>
        <w:spacing w:before="74"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投标人之间约定中标人；</w:t>
      </w:r>
    </w:p>
    <w:p>
      <w:pPr>
        <w:pStyle w:val="30"/>
        <w:numPr>
          <w:ilvl w:val="0"/>
          <w:numId w:val="10"/>
        </w:numPr>
        <w:tabs>
          <w:tab w:val="left" w:pos="1071"/>
        </w:tabs>
        <w:spacing w:before="91"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投标人之间约定部分投标人放弃投标或中标；</w:t>
      </w:r>
    </w:p>
    <w:p>
      <w:pPr>
        <w:pStyle w:val="30"/>
        <w:numPr>
          <w:ilvl w:val="0"/>
          <w:numId w:val="10"/>
        </w:numPr>
        <w:tabs>
          <w:tab w:val="left" w:pos="1086"/>
        </w:tabs>
        <w:spacing w:before="94"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属于同一集团、协会、商会等组织成员的投标人按照该组织要求协同投标；</w:t>
      </w:r>
    </w:p>
    <w:p>
      <w:pPr>
        <w:pStyle w:val="30"/>
        <w:numPr>
          <w:ilvl w:val="0"/>
          <w:numId w:val="10"/>
        </w:numPr>
        <w:tabs>
          <w:tab w:val="left" w:pos="1071"/>
        </w:tabs>
        <w:spacing w:before="93"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投标人之间为谋取中标或排斥特定投标人而采取的其他联合行动。</w:t>
      </w:r>
    </w:p>
    <w:p>
      <w:pPr>
        <w:pStyle w:val="30"/>
        <w:numPr>
          <w:ilvl w:val="0"/>
          <w:numId w:val="9"/>
        </w:numPr>
        <w:tabs>
          <w:tab w:val="left" w:pos="1506"/>
        </w:tabs>
        <w:spacing w:before="91"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有下列情形之一的，视为投标人相互串通投标：</w:t>
      </w:r>
    </w:p>
    <w:p>
      <w:pPr>
        <w:pStyle w:val="30"/>
        <w:numPr>
          <w:ilvl w:val="0"/>
          <w:numId w:val="11"/>
        </w:numPr>
        <w:tabs>
          <w:tab w:val="left" w:pos="1071"/>
        </w:tabs>
        <w:spacing w:before="93"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不同投标人的投标文件由同一单位或个人编制；</w:t>
      </w:r>
    </w:p>
    <w:p>
      <w:pPr>
        <w:pStyle w:val="30"/>
        <w:numPr>
          <w:ilvl w:val="0"/>
          <w:numId w:val="11"/>
        </w:numPr>
        <w:tabs>
          <w:tab w:val="left" w:pos="1086"/>
        </w:tabs>
        <w:spacing w:before="93"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不同投标人委托同一单位或个人办理投标事宜；</w:t>
      </w:r>
    </w:p>
    <w:p>
      <w:pPr>
        <w:pStyle w:val="30"/>
        <w:numPr>
          <w:ilvl w:val="0"/>
          <w:numId w:val="11"/>
        </w:numPr>
        <w:tabs>
          <w:tab w:val="left" w:pos="1071"/>
        </w:tabs>
        <w:spacing w:before="92"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不同投标人的投标文件载明的项目管理成员为同一人；</w:t>
      </w:r>
    </w:p>
    <w:p>
      <w:pPr>
        <w:pStyle w:val="30"/>
        <w:numPr>
          <w:ilvl w:val="0"/>
          <w:numId w:val="11"/>
        </w:numPr>
        <w:tabs>
          <w:tab w:val="left" w:pos="1086"/>
        </w:tabs>
        <w:spacing w:before="93"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不同投标人的投标文件异常一致或投标报价呈规律性差异；</w:t>
      </w:r>
    </w:p>
    <w:p>
      <w:pPr>
        <w:pStyle w:val="30"/>
        <w:numPr>
          <w:ilvl w:val="0"/>
          <w:numId w:val="11"/>
        </w:numPr>
        <w:tabs>
          <w:tab w:val="left" w:pos="1071"/>
        </w:tabs>
        <w:spacing w:before="94"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不同投标人的投标文件相互混装；</w:t>
      </w:r>
    </w:p>
    <w:p>
      <w:pPr>
        <w:pStyle w:val="30"/>
        <w:numPr>
          <w:ilvl w:val="0"/>
          <w:numId w:val="11"/>
        </w:numPr>
        <w:tabs>
          <w:tab w:val="left" w:pos="1045"/>
        </w:tabs>
        <w:spacing w:before="90" w:line="360" w:lineRule="auto"/>
        <w:ind w:left="1044" w:hanging="14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不同投标人的投标保证金从同一单位或个人的账户转出。</w:t>
      </w:r>
    </w:p>
    <w:p>
      <w:pPr>
        <w:pStyle w:val="30"/>
        <w:numPr>
          <w:ilvl w:val="0"/>
          <w:numId w:val="9"/>
        </w:numPr>
        <w:tabs>
          <w:tab w:val="left" w:pos="1506"/>
        </w:tabs>
        <w:spacing w:before="94"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有下列情形之一的，属于招标人与投标人串通投标：</w:t>
      </w:r>
    </w:p>
    <w:p>
      <w:pPr>
        <w:pStyle w:val="30"/>
        <w:numPr>
          <w:ilvl w:val="0"/>
          <w:numId w:val="12"/>
        </w:numPr>
        <w:tabs>
          <w:tab w:val="left" w:pos="1071"/>
        </w:tabs>
        <w:spacing w:before="93"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招标人在开标前开启投标文件并将有关信息泄露给其他投标人;</w:t>
      </w:r>
    </w:p>
    <w:p>
      <w:pPr>
        <w:pStyle w:val="30"/>
        <w:numPr>
          <w:ilvl w:val="0"/>
          <w:numId w:val="12"/>
        </w:numPr>
        <w:tabs>
          <w:tab w:val="left" w:pos="1086"/>
        </w:tabs>
        <w:spacing w:before="91"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招标人直接或间接向投标人泄露标底、评标委员会成员等信息；</w:t>
      </w:r>
    </w:p>
    <w:p>
      <w:pPr>
        <w:pStyle w:val="30"/>
        <w:numPr>
          <w:ilvl w:val="0"/>
          <w:numId w:val="12"/>
        </w:numPr>
        <w:tabs>
          <w:tab w:val="left" w:pos="1071"/>
        </w:tabs>
        <w:spacing w:before="93"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招标人明示或暗示投标人压低或抬高投标报价；</w:t>
      </w:r>
    </w:p>
    <w:p>
      <w:pPr>
        <w:pStyle w:val="30"/>
        <w:numPr>
          <w:ilvl w:val="0"/>
          <w:numId w:val="12"/>
        </w:numPr>
        <w:tabs>
          <w:tab w:val="left" w:pos="1086"/>
        </w:tabs>
        <w:spacing w:before="94"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招标人授意投标人撤换、修改投标文件；</w:t>
      </w:r>
    </w:p>
    <w:p>
      <w:pPr>
        <w:pStyle w:val="30"/>
        <w:numPr>
          <w:ilvl w:val="0"/>
          <w:numId w:val="12"/>
        </w:numPr>
        <w:tabs>
          <w:tab w:val="left" w:pos="1071"/>
        </w:tabs>
        <w:spacing w:before="91"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招标人明示或暗示投标人为特定投标人中标提供方便；</w:t>
      </w:r>
    </w:p>
    <w:p>
      <w:pPr>
        <w:pStyle w:val="30"/>
        <w:numPr>
          <w:ilvl w:val="0"/>
          <w:numId w:val="12"/>
        </w:numPr>
        <w:tabs>
          <w:tab w:val="left" w:pos="1045"/>
        </w:tabs>
        <w:spacing w:before="93" w:line="360" w:lineRule="auto"/>
        <w:ind w:left="1044" w:hanging="14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招标人与投标人为谋求特定投标人中标而采取的其他串通行为。</w:t>
      </w:r>
    </w:p>
    <w:p>
      <w:pPr>
        <w:pStyle w:val="30"/>
        <w:numPr>
          <w:ilvl w:val="0"/>
          <w:numId w:val="9"/>
        </w:numPr>
        <w:tabs>
          <w:tab w:val="left" w:pos="1506"/>
        </w:tabs>
        <w:spacing w:before="93"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投标人有下列情形之一的，属于弄虚作假的行为：</w:t>
      </w:r>
    </w:p>
    <w:p>
      <w:pPr>
        <w:pStyle w:val="30"/>
        <w:numPr>
          <w:ilvl w:val="0"/>
          <w:numId w:val="13"/>
        </w:numPr>
        <w:tabs>
          <w:tab w:val="left" w:pos="1071"/>
        </w:tabs>
        <w:spacing w:before="91" w:line="360" w:lineRule="auto"/>
        <w:ind w:hanging="166"/>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使用通过受让或租借等方式获取的资格、资质证书投标；</w:t>
      </w:r>
    </w:p>
    <w:p>
      <w:pPr>
        <w:pStyle w:val="30"/>
        <w:numPr>
          <w:ilvl w:val="0"/>
          <w:numId w:val="13"/>
        </w:numPr>
        <w:tabs>
          <w:tab w:val="left" w:pos="1086"/>
        </w:tabs>
        <w:spacing w:before="94"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使用伪造、变造的许可证件；</w:t>
      </w:r>
    </w:p>
    <w:p>
      <w:pPr>
        <w:pStyle w:val="30"/>
        <w:numPr>
          <w:ilvl w:val="0"/>
          <w:numId w:val="13"/>
        </w:numPr>
        <w:tabs>
          <w:tab w:val="left" w:pos="1071"/>
        </w:tabs>
        <w:spacing w:before="93" w:line="360" w:lineRule="auto"/>
        <w:ind w:hanging="16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提供虚假的业绩；</w:t>
      </w:r>
    </w:p>
    <w:p>
      <w:pPr>
        <w:pStyle w:val="30"/>
        <w:numPr>
          <w:ilvl w:val="0"/>
          <w:numId w:val="13"/>
        </w:numPr>
        <w:tabs>
          <w:tab w:val="left" w:pos="1086"/>
        </w:tabs>
        <w:spacing w:before="91" w:line="360" w:lineRule="auto"/>
        <w:ind w:left="1085" w:hanging="181"/>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提供虚假的项目负责人或主要技术人员简历、劳动关系证明；</w:t>
      </w:r>
    </w:p>
    <w:p>
      <w:pPr>
        <w:pStyle w:val="30"/>
        <w:numPr>
          <w:ilvl w:val="0"/>
          <w:numId w:val="13"/>
        </w:numPr>
        <w:tabs>
          <w:tab w:val="left" w:pos="1071"/>
        </w:tabs>
        <w:spacing w:before="94" w:line="360" w:lineRule="auto"/>
        <w:ind w:hanging="16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提供虚假的信用状况；</w:t>
      </w:r>
    </w:p>
    <w:p>
      <w:pPr>
        <w:pStyle w:val="30"/>
        <w:numPr>
          <w:ilvl w:val="0"/>
          <w:numId w:val="13"/>
        </w:numPr>
        <w:tabs>
          <w:tab w:val="left" w:pos="1045"/>
        </w:tabs>
        <w:spacing w:before="93" w:line="360" w:lineRule="auto"/>
        <w:ind w:left="1044" w:hanging="14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其他弄虚作假的行为。</w:t>
      </w:r>
    </w:p>
    <w:p>
      <w:pPr>
        <w:pStyle w:val="30"/>
        <w:tabs>
          <w:tab w:val="left" w:pos="1045"/>
        </w:tabs>
        <w:spacing w:before="93" w:line="360" w:lineRule="auto"/>
        <w:ind w:left="904" w:firstLineChars="20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3.6.3 依法必须进行招标的项目，除第一中标候选人或者中标人以外的其他投标人存在串通投标、弄虚作假、行贿情形且在评标过程中未被发现的，视为对中标结果没有造成实质性影响，招标人可以依法继续开展招标活动。</w:t>
      </w:r>
      <w:r>
        <w:rPr>
          <w:rFonts w:hint="eastAsia"/>
          <w:color w:val="000000" w:themeColor="text1"/>
          <w:sz w:val="24"/>
          <w:szCs w:val="24"/>
          <w14:textFill>
            <w14:solidFill>
              <w14:schemeClr w14:val="tx1"/>
            </w14:solidFill>
          </w14:textFill>
        </w:rPr>
        <w:t>投标人的违法行为由行政监督部门依法处理。</w:t>
      </w:r>
    </w:p>
    <w:p>
      <w:pPr>
        <w:pStyle w:val="30"/>
        <w:numPr>
          <w:ilvl w:val="1"/>
          <w:numId w:val="3"/>
        </w:numPr>
        <w:tabs>
          <w:tab w:val="left" w:pos="905"/>
        </w:tabs>
        <w:spacing w:before="1" w:line="360" w:lineRule="auto"/>
        <w:rPr>
          <w:color w:val="000000" w:themeColor="text1"/>
          <w:sz w:val="24"/>
          <w:szCs w:val="24"/>
          <w14:textFill>
            <w14:solidFill>
              <w14:schemeClr w14:val="tx1"/>
            </w14:solidFill>
          </w14:textFill>
        </w:rPr>
      </w:pPr>
      <w:bookmarkStart w:id="15" w:name="_bookmark105"/>
      <w:bookmarkEnd w:id="15"/>
      <w:r>
        <w:rPr>
          <w:rFonts w:hint="eastAsia"/>
          <w:color w:val="000000" w:themeColor="text1"/>
          <w:sz w:val="24"/>
          <w:szCs w:val="24"/>
          <w14:textFill>
            <w14:solidFill>
              <w14:schemeClr w14:val="tx1"/>
            </w14:solidFill>
          </w14:textFill>
        </w:rPr>
        <w:t>投标文件的澄清和说明</w:t>
      </w:r>
    </w:p>
    <w:p>
      <w:pPr>
        <w:pStyle w:val="30"/>
        <w:numPr>
          <w:ilvl w:val="2"/>
          <w:numId w:val="3"/>
        </w:numPr>
        <w:tabs>
          <w:tab w:val="left" w:pos="1505"/>
        </w:tabs>
        <w:spacing w:line="360" w:lineRule="auto"/>
        <w:ind w:left="424" w:right="-30" w:firstLine="480"/>
        <w:jc w:val="both"/>
        <w:rPr>
          <w:color w:val="000000" w:themeColor="text1"/>
          <w:sz w:val="24"/>
          <w:szCs w:val="24"/>
          <w:lang w:eastAsia="zh-CN"/>
          <w14:textFill>
            <w14:solidFill>
              <w14:schemeClr w14:val="tx1"/>
            </w14:solidFill>
          </w14:textFill>
        </w:rPr>
      </w:pPr>
      <w:r>
        <w:rPr>
          <w:rFonts w:hint="eastAsia"/>
          <w:color w:val="000000" w:themeColor="text1"/>
          <w:spacing w:val="-10"/>
          <w:sz w:val="24"/>
          <w:szCs w:val="24"/>
          <w:lang w:eastAsia="zh-CN"/>
          <w14:textFill>
            <w14:solidFill>
              <w14:schemeClr w14:val="tx1"/>
            </w14:solidFill>
          </w14:textFill>
        </w:rPr>
        <w:t>在评标过程中，评标委员会可以书面形式要求投标人对投标文件中含义不</w:t>
      </w:r>
      <w:r>
        <w:rPr>
          <w:rFonts w:hint="eastAsia"/>
          <w:color w:val="000000" w:themeColor="text1"/>
          <w:sz w:val="24"/>
          <w:szCs w:val="24"/>
          <w:lang w:eastAsia="zh-CN"/>
          <w14:textFill>
            <w14:solidFill>
              <w14:schemeClr w14:val="tx1"/>
            </w14:solidFill>
          </w14:textFill>
        </w:rPr>
        <w:t>明确的内容、明显文字或计算错误进行书面澄清或说明。评标委员会不接受投标人主动提出的澄清、说明。投标人不按评标委员会要求澄清或说明的，评标委员会应否决其投标。</w:t>
      </w:r>
    </w:p>
    <w:p>
      <w:pPr>
        <w:pStyle w:val="30"/>
        <w:numPr>
          <w:ilvl w:val="2"/>
          <w:numId w:val="3"/>
        </w:numPr>
        <w:tabs>
          <w:tab w:val="left" w:pos="1505"/>
        </w:tabs>
        <w:spacing w:before="2" w:line="360" w:lineRule="auto"/>
        <w:ind w:left="424" w:right="-30" w:firstLine="480"/>
        <w:rPr>
          <w:color w:val="000000" w:themeColor="text1"/>
          <w:sz w:val="24"/>
          <w:szCs w:val="24"/>
          <w:lang w:eastAsia="zh-CN"/>
          <w14:textFill>
            <w14:solidFill>
              <w14:schemeClr w14:val="tx1"/>
            </w14:solidFill>
          </w14:textFill>
        </w:rPr>
      </w:pPr>
      <w:r>
        <w:rPr>
          <w:rFonts w:hint="eastAsia"/>
          <w:color w:val="000000" w:themeColor="text1"/>
          <w:spacing w:val="-3"/>
          <w:sz w:val="24"/>
          <w:szCs w:val="24"/>
          <w:lang w:eastAsia="zh-CN"/>
          <w14:textFill>
            <w14:solidFill>
              <w14:schemeClr w14:val="tx1"/>
            </w14:solidFill>
          </w14:textFill>
        </w:rPr>
        <w:t>澄清和说明不得超出投标文件的范围或改变投标文件的实质性内容</w:t>
      </w:r>
      <w:r>
        <w:rPr>
          <w:rFonts w:hint="eastAsia"/>
          <w:color w:val="000000" w:themeColor="text1"/>
          <w:sz w:val="24"/>
          <w:szCs w:val="24"/>
          <w:lang w:eastAsia="zh-CN"/>
          <w14:textFill>
            <w14:solidFill>
              <w14:schemeClr w14:val="tx1"/>
            </w14:solidFill>
          </w14:textFill>
        </w:rPr>
        <w:t>（</w:t>
      </w:r>
      <w:r>
        <w:rPr>
          <w:rFonts w:hint="eastAsia"/>
          <w:color w:val="000000" w:themeColor="text1"/>
          <w:spacing w:val="-8"/>
          <w:sz w:val="24"/>
          <w:szCs w:val="24"/>
          <w:lang w:eastAsia="zh-CN"/>
          <w14:textFill>
            <w14:solidFill>
              <w14:schemeClr w14:val="tx1"/>
            </w14:solidFill>
          </w14:textFill>
        </w:rPr>
        <w:t>算术</w:t>
      </w:r>
      <w:r>
        <w:rPr>
          <w:rFonts w:hint="eastAsia"/>
          <w:color w:val="000000" w:themeColor="text1"/>
          <w:sz w:val="24"/>
          <w:szCs w:val="24"/>
          <w:lang w:eastAsia="zh-CN"/>
          <w14:textFill>
            <w14:solidFill>
              <w14:schemeClr w14:val="tx1"/>
            </w14:solidFill>
          </w14:textFill>
        </w:rPr>
        <w:t>性错误的修正除外</w:t>
      </w:r>
      <w:r>
        <w:rPr>
          <w:rFonts w:hint="eastAsia"/>
          <w:color w:val="000000" w:themeColor="text1"/>
          <w:spacing w:val="-120"/>
          <w:sz w:val="24"/>
          <w:szCs w:val="24"/>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。投标人的书面澄清、说明属于投标文件的组成部分。</w:t>
      </w:r>
    </w:p>
    <w:p>
      <w:pPr>
        <w:pStyle w:val="30"/>
        <w:numPr>
          <w:ilvl w:val="2"/>
          <w:numId w:val="3"/>
        </w:numPr>
        <w:tabs>
          <w:tab w:val="left" w:pos="1505"/>
        </w:tabs>
        <w:spacing w:line="360" w:lineRule="auto"/>
        <w:rPr>
          <w:color w:val="000000" w:themeColor="text1"/>
          <w:sz w:val="24"/>
          <w:szCs w:val="24"/>
          <w:lang w:eastAsia="zh-CN"/>
          <w14:textFill>
            <w14:solidFill>
              <w14:schemeClr w14:val="tx1"/>
            </w14:solidFill>
          </w14:textFill>
        </w:rPr>
      </w:pPr>
      <w:r>
        <w:rPr>
          <w:rFonts w:hint="eastAsia"/>
          <w:color w:val="000000" w:themeColor="text1"/>
          <w:spacing w:val="-11"/>
          <w:sz w:val="24"/>
          <w:szCs w:val="24"/>
          <w:lang w:eastAsia="zh-CN"/>
          <w14:textFill>
            <w14:solidFill>
              <w14:schemeClr w14:val="tx1"/>
            </w14:solidFill>
          </w14:textFill>
        </w:rPr>
        <w:t>评标委员会不得暗示或诱导投标人作出澄清、说明，对投标人提交的澄清、</w:t>
      </w:r>
    </w:p>
    <w:p>
      <w:pPr>
        <w:pStyle w:val="4"/>
        <w:spacing w:before="67" w:line="360" w:lineRule="auto"/>
        <w:ind w:left="42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说明有疑问的，可以要求投标人进一步澄清或说明，直至满足评标委员会的要求。</w:t>
      </w:r>
    </w:p>
    <w:p>
      <w:pPr>
        <w:pStyle w:val="30"/>
        <w:numPr>
          <w:ilvl w:val="2"/>
          <w:numId w:val="3"/>
        </w:numPr>
        <w:tabs>
          <w:tab w:val="left" w:pos="1505"/>
        </w:tabs>
        <w:spacing w:before="91" w:line="360" w:lineRule="auto"/>
        <w:ind w:left="424" w:right="-30" w:firstLine="480"/>
        <w:rPr>
          <w:color w:val="000000" w:themeColor="text1"/>
          <w:sz w:val="24"/>
          <w:szCs w:val="24"/>
          <w:lang w:eastAsia="zh-CN"/>
          <w14:textFill>
            <w14:solidFill>
              <w14:schemeClr w14:val="tx1"/>
            </w14:solidFill>
          </w14:textFill>
        </w:rPr>
      </w:pPr>
      <w:r>
        <w:rPr>
          <w:rFonts w:hint="eastAsia"/>
          <w:color w:val="000000" w:themeColor="text1"/>
          <w:spacing w:val="-4"/>
          <w:sz w:val="24"/>
          <w:szCs w:val="24"/>
          <w:lang w:eastAsia="zh-CN"/>
          <w14:textFill>
            <w14:solidFill>
              <w14:schemeClr w14:val="tx1"/>
            </w14:solidFill>
          </w14:textFill>
        </w:rPr>
        <w:t>凡超出招标文件规定的或给发包人带来未曾要求的利益的变化、偏差或其</w:t>
      </w:r>
      <w:r>
        <w:rPr>
          <w:rFonts w:hint="eastAsia"/>
          <w:color w:val="000000" w:themeColor="text1"/>
          <w:sz w:val="24"/>
          <w:szCs w:val="24"/>
          <w:lang w:eastAsia="zh-CN"/>
          <w14:textFill>
            <w14:solidFill>
              <w14:schemeClr w14:val="tx1"/>
            </w14:solidFill>
          </w14:textFill>
        </w:rPr>
        <w:t>他因素在评标时不予考虑。</w:t>
      </w:r>
    </w:p>
    <w:p>
      <w:pPr>
        <w:pStyle w:val="30"/>
        <w:numPr>
          <w:ilvl w:val="1"/>
          <w:numId w:val="3"/>
        </w:numPr>
        <w:tabs>
          <w:tab w:val="left" w:pos="905"/>
        </w:tabs>
        <w:spacing w:line="360" w:lineRule="auto"/>
        <w:rPr>
          <w:color w:val="000000" w:themeColor="text1"/>
          <w:sz w:val="24"/>
          <w:szCs w:val="24"/>
          <w14:textFill>
            <w14:solidFill>
              <w14:schemeClr w14:val="tx1"/>
            </w14:solidFill>
          </w14:textFill>
        </w:rPr>
      </w:pPr>
      <w:bookmarkStart w:id="16" w:name="_bookmark106"/>
      <w:bookmarkEnd w:id="16"/>
      <w:r>
        <w:rPr>
          <w:rFonts w:hint="eastAsia"/>
          <w:color w:val="000000" w:themeColor="text1"/>
          <w:sz w:val="24"/>
          <w:szCs w:val="24"/>
          <w14:textFill>
            <w14:solidFill>
              <w14:schemeClr w14:val="tx1"/>
            </w14:solidFill>
          </w14:textFill>
        </w:rPr>
        <w:t>不得否决投标的情形</w:t>
      </w:r>
    </w:p>
    <w:p>
      <w:pPr>
        <w:pStyle w:val="4"/>
        <w:spacing w:before="1" w:line="360" w:lineRule="auto"/>
        <w:ind w:firstLine="480" w:firstLineChars="20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投标文件存在第二章“投标人须知”第1.12.3 项所列情形的，均视为细微偏差，评标委员会不得否决投标人的投标，应按照第二章“投标人须知”第1.12.4 项规定的原则处理。</w:t>
      </w:r>
    </w:p>
    <w:p>
      <w:pPr>
        <w:pStyle w:val="30"/>
        <w:numPr>
          <w:ilvl w:val="1"/>
          <w:numId w:val="3"/>
        </w:numPr>
        <w:tabs>
          <w:tab w:val="left" w:pos="905"/>
        </w:tabs>
        <w:spacing w:before="145" w:line="360" w:lineRule="auto"/>
        <w:rPr>
          <w:color w:val="000000" w:themeColor="text1"/>
          <w:sz w:val="24"/>
          <w:szCs w:val="24"/>
          <w14:textFill>
            <w14:solidFill>
              <w14:schemeClr w14:val="tx1"/>
            </w14:solidFill>
          </w14:textFill>
        </w:rPr>
      </w:pPr>
      <w:bookmarkStart w:id="17" w:name="_bookmark107"/>
      <w:bookmarkEnd w:id="17"/>
      <w:r>
        <w:rPr>
          <w:rFonts w:hint="eastAsia"/>
          <w:color w:val="000000" w:themeColor="text1"/>
          <w:sz w:val="24"/>
          <w:szCs w:val="24"/>
          <w14:textFill>
            <w14:solidFill>
              <w14:schemeClr w14:val="tx1"/>
            </w14:solidFill>
          </w14:textFill>
        </w:rPr>
        <w:t>评标结果</w:t>
      </w:r>
    </w:p>
    <w:p>
      <w:pPr>
        <w:pStyle w:val="30"/>
        <w:numPr>
          <w:ilvl w:val="2"/>
          <w:numId w:val="3"/>
        </w:numPr>
        <w:tabs>
          <w:tab w:val="left" w:pos="1505"/>
        </w:tabs>
        <w:spacing w:line="360" w:lineRule="auto"/>
        <w:ind w:left="424" w:right="-30" w:firstLine="480"/>
        <w:rPr>
          <w:color w:val="000000" w:themeColor="text1"/>
          <w:sz w:val="24"/>
          <w:szCs w:val="24"/>
          <w:lang w:eastAsia="zh-CN"/>
          <w14:textFill>
            <w14:solidFill>
              <w14:schemeClr w14:val="tx1"/>
            </w14:solidFill>
          </w14:textFill>
        </w:rPr>
      </w:pPr>
      <w:r>
        <w:rPr>
          <w:rFonts w:hint="eastAsia"/>
          <w:color w:val="000000" w:themeColor="text1"/>
          <w:spacing w:val="-11"/>
          <w:sz w:val="24"/>
          <w:szCs w:val="24"/>
          <w:lang w:eastAsia="zh-CN"/>
          <w14:textFill>
            <w14:solidFill>
              <w14:schemeClr w14:val="tx1"/>
            </w14:solidFill>
          </w14:textFill>
        </w:rPr>
        <w:t>除第二章“投标人须知”前附表授权直接确定中标人外，评标委员会按照</w:t>
      </w:r>
      <w:r>
        <w:rPr>
          <w:rFonts w:hint="eastAsia"/>
          <w:color w:val="000000" w:themeColor="text1"/>
          <w:sz w:val="24"/>
          <w:szCs w:val="24"/>
          <w:lang w:eastAsia="zh-CN"/>
          <w14:textFill>
            <w14:solidFill>
              <w14:schemeClr w14:val="tx1"/>
            </w14:solidFill>
          </w14:textFill>
        </w:rPr>
        <w:t>得分由高到低的顺序推荐中标候选人，并标明排序。</w:t>
      </w:r>
    </w:p>
    <w:p>
      <w:pPr>
        <w:pStyle w:val="30"/>
        <w:numPr>
          <w:ilvl w:val="2"/>
          <w:numId w:val="3"/>
        </w:numPr>
        <w:tabs>
          <w:tab w:val="left" w:pos="1505"/>
        </w:tabs>
        <w:spacing w:line="360" w:lineRule="auto"/>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评标委员会完成评标后，应向招标人提交书面评标报告。</w:t>
      </w:r>
    </w:p>
    <w:p>
      <w:pPr>
        <w:pStyle w:val="30"/>
        <w:numPr>
          <w:ilvl w:val="2"/>
          <w:numId w:val="3"/>
        </w:numPr>
        <w:tabs>
          <w:tab w:val="left" w:pos="1505"/>
        </w:tabs>
        <w:spacing w:line="360" w:lineRule="auto"/>
        <w:ind w:left="424" w:right="-30" w:firstLine="48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推荐中标候选人方式:按各合同段最高投标限价高低顺序依次选定中标候选人。</w:t>
      </w:r>
    </w:p>
    <w:p>
      <w:pPr>
        <w:pStyle w:val="30"/>
        <w:numPr>
          <w:ilvl w:val="2"/>
          <w:numId w:val="3"/>
        </w:numPr>
        <w:tabs>
          <w:tab w:val="left" w:pos="1505"/>
        </w:tabs>
        <w:spacing w:line="360" w:lineRule="auto"/>
        <w:ind w:left="424" w:right="-30" w:firstLine="480"/>
        <w:rPr>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通过第一信封商务文件和技术文件评审的投标人少于3个的，评标委员会否决全部投标。</w:t>
      </w:r>
    </w:p>
    <w:p>
      <w:pPr>
        <w:pStyle w:val="4"/>
        <w:spacing w:line="360" w:lineRule="auto"/>
        <w:ind w:firstLine="872" w:firstLineChars="400"/>
        <w:rPr>
          <w:color w:val="000000" w:themeColor="text1"/>
          <w:spacing w:val="-11"/>
          <w:lang w:eastAsia="zh-CN"/>
          <w14:textFill>
            <w14:solidFill>
              <w14:schemeClr w14:val="tx1"/>
            </w14:solidFill>
          </w14:textFill>
        </w:rPr>
      </w:pPr>
      <w:r>
        <w:rPr>
          <w:rFonts w:hint="eastAsia"/>
          <w:color w:val="000000" w:themeColor="text1"/>
          <w:spacing w:val="-11"/>
          <w:lang w:eastAsia="zh-CN"/>
          <w14:textFill>
            <w14:solidFill>
              <w14:schemeClr w14:val="tx1"/>
            </w14:solidFill>
          </w14:textFill>
        </w:rPr>
        <w:t>3.9.5 通过第一信封商务文件和技术文件评审的投标人在3个及以上的，招标人应当按照招标文件规定的程序进行第二信封报价文件开标；在对报价文件进行评审后，有效投标不足3个的，评标委员会否决全部投标。</w:t>
      </w:r>
    </w:p>
    <w:p>
      <w:pPr>
        <w:pStyle w:val="4"/>
        <w:spacing w:line="360" w:lineRule="auto"/>
        <w:ind w:firstLine="872" w:firstLineChars="400"/>
        <w:rPr>
          <w:color w:val="000000" w:themeColor="text1"/>
          <w:lang w:eastAsia="zh-CN"/>
          <w14:textFill>
            <w14:solidFill>
              <w14:schemeClr w14:val="tx1"/>
            </w14:solidFill>
          </w14:textFill>
        </w:rPr>
      </w:pPr>
      <w:r>
        <w:rPr>
          <w:rFonts w:hint="eastAsia"/>
          <w:color w:val="000000" w:themeColor="text1"/>
          <w:spacing w:val="-11"/>
          <w:lang w:eastAsia="zh-CN"/>
          <w14:textFill>
            <w14:solidFill>
              <w14:schemeClr w14:val="tx1"/>
            </w14:solidFill>
          </w14:textFill>
        </w:rPr>
        <w:t>3.9.6如果发生无法确定推荐中标候选人的其它意外情况，评标委员会可建议招标人重新招标。</w:t>
      </w: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bookmarkStart w:id="18" w:name="_TOC_250002"/>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rPr>
          <w:color w:val="000000" w:themeColor="text1"/>
          <w:lang w:eastAsia="zh-CN"/>
          <w14:textFill>
            <w14:solidFill>
              <w14:schemeClr w14:val="tx1"/>
            </w14:solidFill>
          </w14:textFill>
        </w:rPr>
      </w:pPr>
    </w:p>
    <w:p>
      <w:pPr>
        <w:pStyle w:val="8"/>
        <w:spacing w:line="460" w:lineRule="exact"/>
        <w:ind w:left="2377" w:right="106"/>
        <w:rPr>
          <w:color w:val="000000" w:themeColor="text1"/>
          <w:lang w:eastAsia="zh-CN"/>
          <w14:textFill>
            <w14:solidFill>
              <w14:schemeClr w14:val="tx1"/>
            </w14:solidFill>
          </w14:textFill>
        </w:rPr>
      </w:pPr>
    </w:p>
    <w:p>
      <w:pPr>
        <w:pStyle w:val="8"/>
        <w:spacing w:line="460" w:lineRule="exact"/>
        <w:ind w:left="2377" w:right="106"/>
        <w:rPr>
          <w:color w:val="000000" w:themeColor="text1"/>
          <w:lang w:eastAsia="zh-CN"/>
          <w14:textFill>
            <w14:solidFill>
              <w14:schemeClr w14:val="tx1"/>
            </w14:solidFill>
          </w14:textFill>
        </w:rPr>
      </w:pPr>
    </w:p>
    <w:p>
      <w:pPr>
        <w:pStyle w:val="8"/>
        <w:spacing w:line="460" w:lineRule="exact"/>
        <w:ind w:left="2377" w:right="106"/>
        <w:rPr>
          <w:color w:val="000000" w:themeColor="text1"/>
          <w:lang w:eastAsia="zh-CN"/>
          <w14:textFill>
            <w14:solidFill>
              <w14:schemeClr w14:val="tx1"/>
            </w14:solidFill>
          </w14:textFill>
        </w:rPr>
      </w:pPr>
    </w:p>
    <w:p>
      <w:pPr>
        <w:pStyle w:val="8"/>
        <w:spacing w:line="460" w:lineRule="exact"/>
        <w:ind w:left="2377" w:right="106"/>
        <w:rPr>
          <w:b w:val="0"/>
          <w:bCs w:val="0"/>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第四章合同条款及格式</w:t>
      </w:r>
      <w:bookmarkEnd w:id="18"/>
    </w:p>
    <w:p>
      <w:pPr>
        <w:spacing w:line="460" w:lineRule="exact"/>
        <w:rPr>
          <w:color w:val="000000" w:themeColor="text1"/>
          <w:lang w:eastAsia="zh-CN"/>
          <w14:textFill>
            <w14:solidFill>
              <w14:schemeClr w14:val="tx1"/>
            </w14:solidFill>
          </w14:textFill>
        </w:rPr>
        <w:sectPr>
          <w:pgSz w:w="11910" w:h="16840"/>
          <w:pgMar w:top="1240" w:right="1680" w:bottom="1520" w:left="1680" w:header="968" w:footer="1338" w:gutter="0"/>
          <w:cols w:space="720" w:num="1"/>
        </w:sectPr>
      </w:pPr>
    </w:p>
    <w:p>
      <w:pPr>
        <w:rPr>
          <w:rFonts w:ascii="黑体" w:hAnsi="黑体" w:eastAsia="黑体" w:cs="黑体"/>
          <w:b/>
          <w:bCs/>
          <w:color w:val="000000" w:themeColor="text1"/>
          <w:sz w:val="20"/>
          <w:szCs w:val="20"/>
          <w:lang w:eastAsia="zh-CN"/>
          <w14:textFill>
            <w14:solidFill>
              <w14:schemeClr w14:val="tx1"/>
            </w14:solidFill>
          </w14:textFill>
        </w:rPr>
      </w:pPr>
    </w:p>
    <w:p>
      <w:pPr>
        <w:rPr>
          <w:rFonts w:ascii="黑体" w:hAnsi="黑体" w:eastAsia="黑体" w:cs="黑体"/>
          <w:b/>
          <w:bCs/>
          <w:color w:val="000000" w:themeColor="text1"/>
          <w:sz w:val="20"/>
          <w:szCs w:val="20"/>
          <w:lang w:eastAsia="zh-CN"/>
          <w14:textFill>
            <w14:solidFill>
              <w14:schemeClr w14:val="tx1"/>
            </w14:solidFill>
          </w14:textFill>
        </w:rPr>
      </w:pPr>
    </w:p>
    <w:p>
      <w:pPr>
        <w:spacing w:before="75" w:line="227" w:lineRule="auto"/>
        <w:rPr>
          <w:rFonts w:ascii="宋体" w:hAnsi="宋体" w:cs="宋体"/>
          <w:sz w:val="23"/>
          <w:szCs w:val="23"/>
          <w:lang w:eastAsia="zh-CN"/>
        </w:rPr>
      </w:pPr>
      <w:r>
        <w:rPr>
          <w:rFonts w:ascii="宋体" w:hAnsi="宋体" w:cs="宋体"/>
          <w:spacing w:val="12"/>
          <w:sz w:val="23"/>
          <w:szCs w:val="23"/>
          <w:lang w:eastAsia="zh-CN"/>
          <w14:textOutline w14:w="4356" w14:cap="sq" w14:cmpd="sng" w14:algn="ctr">
            <w14:solidFill>
              <w14:srgbClr w14:val="000000"/>
            </w14:solidFill>
            <w14:prstDash w14:val="solid"/>
            <w14:bevel/>
          </w14:textOutline>
        </w:rPr>
        <w:t>合</w:t>
      </w:r>
      <w:r>
        <w:rPr>
          <w:rFonts w:ascii="宋体" w:hAnsi="宋体" w:cs="宋体"/>
          <w:spacing w:val="7"/>
          <w:sz w:val="23"/>
          <w:szCs w:val="23"/>
          <w:lang w:eastAsia="zh-CN"/>
          <w14:textOutline w14:w="4356" w14:cap="sq" w14:cmpd="sng" w14:algn="ctr">
            <w14:solidFill>
              <w14:srgbClr w14:val="000000"/>
            </w14:solidFill>
            <w14:prstDash w14:val="solid"/>
            <w14:bevel/>
          </w14:textOutline>
        </w:rPr>
        <w:t>同登记编号：</w:t>
      </w:r>
    </w:p>
    <w:p>
      <w:pPr>
        <w:spacing w:line="253" w:lineRule="auto"/>
        <w:rPr>
          <w:lang w:eastAsia="zh-CN"/>
        </w:rPr>
      </w:pPr>
    </w:p>
    <w:p>
      <w:pPr>
        <w:spacing w:line="253" w:lineRule="auto"/>
        <w:rPr>
          <w:lang w:eastAsia="zh-CN"/>
        </w:rPr>
      </w:pPr>
    </w:p>
    <w:p>
      <w:pPr>
        <w:spacing w:line="253" w:lineRule="auto"/>
        <w:rPr>
          <w:lang w:eastAsia="zh-CN"/>
        </w:rPr>
      </w:pPr>
    </w:p>
    <w:p>
      <w:pPr>
        <w:spacing w:line="253" w:lineRule="auto"/>
        <w:rPr>
          <w:lang w:eastAsia="zh-CN"/>
        </w:rPr>
      </w:pPr>
    </w:p>
    <w:p>
      <w:pPr>
        <w:spacing w:line="253" w:lineRule="auto"/>
        <w:rPr>
          <w:lang w:eastAsia="zh-CN"/>
        </w:rPr>
      </w:pPr>
    </w:p>
    <w:p>
      <w:pPr>
        <w:spacing w:line="254" w:lineRule="auto"/>
        <w:rPr>
          <w:lang w:eastAsia="zh-CN"/>
        </w:rPr>
      </w:pPr>
    </w:p>
    <w:p>
      <w:pPr>
        <w:spacing w:line="254" w:lineRule="auto"/>
        <w:rPr>
          <w:lang w:eastAsia="zh-CN"/>
        </w:rPr>
      </w:pPr>
    </w:p>
    <w:p>
      <w:pPr>
        <w:spacing w:before="140" w:line="223" w:lineRule="auto"/>
        <w:ind w:left="2340"/>
        <w:rPr>
          <w:rFonts w:ascii="宋体" w:hAnsi="宋体" w:cs="宋体"/>
          <w:sz w:val="43"/>
          <w:szCs w:val="43"/>
          <w:lang w:eastAsia="zh-CN"/>
        </w:rPr>
      </w:pPr>
      <w:r>
        <w:rPr>
          <w:rFonts w:ascii="宋体" w:hAnsi="宋体" w:cs="宋体"/>
          <w:spacing w:val="9"/>
          <w:sz w:val="43"/>
          <w:szCs w:val="43"/>
          <w:lang w:eastAsia="zh-CN"/>
          <w14:textOutline w14:w="7975" w14:cap="sq" w14:cmpd="sng" w14:algn="ctr">
            <w14:solidFill>
              <w14:srgbClr w14:val="000000"/>
            </w14:solidFill>
            <w14:prstDash w14:val="solid"/>
            <w14:bevel/>
          </w14:textOutline>
        </w:rPr>
        <w:t>建设工程勘察设计合同</w:t>
      </w:r>
    </w:p>
    <w:p>
      <w:pPr>
        <w:spacing w:line="279" w:lineRule="auto"/>
        <w:rPr>
          <w:lang w:eastAsia="zh-CN"/>
        </w:rPr>
      </w:pPr>
    </w:p>
    <w:p>
      <w:pPr>
        <w:spacing w:line="280" w:lineRule="auto"/>
        <w:rPr>
          <w:lang w:eastAsia="zh-CN"/>
        </w:rPr>
      </w:pPr>
    </w:p>
    <w:p>
      <w:pPr>
        <w:spacing w:line="280" w:lineRule="auto"/>
        <w:rPr>
          <w:lang w:eastAsia="zh-CN"/>
        </w:rPr>
      </w:pPr>
    </w:p>
    <w:p>
      <w:pPr>
        <w:spacing w:before="33" w:line="220" w:lineRule="auto"/>
        <w:rPr>
          <w:rFonts w:ascii="宋体" w:hAnsi="宋体" w:cs="宋体"/>
          <w:sz w:val="28"/>
          <w:szCs w:val="28"/>
          <w:lang w:eastAsia="zh-CN"/>
        </w:rPr>
      </w:pPr>
      <w:r>
        <w:rPr>
          <w:rFonts w:ascii="宋体" w:hAnsi="宋体" w:cs="宋体"/>
          <w:spacing w:val="4"/>
          <w:sz w:val="28"/>
          <w:szCs w:val="28"/>
          <w:lang w:eastAsia="zh-CN"/>
        </w:rPr>
        <w:t>工程</w:t>
      </w:r>
      <w:r>
        <w:rPr>
          <w:rFonts w:ascii="宋体" w:hAnsi="宋体" w:cs="宋体"/>
          <w:spacing w:val="3"/>
          <w:sz w:val="28"/>
          <w:szCs w:val="28"/>
          <w:lang w:eastAsia="zh-CN"/>
        </w:rPr>
        <w:t>名</w:t>
      </w:r>
      <w:r>
        <w:rPr>
          <w:rFonts w:ascii="宋体" w:hAnsi="宋体" w:cs="宋体"/>
          <w:spacing w:val="2"/>
          <w:sz w:val="28"/>
          <w:szCs w:val="28"/>
          <w:lang w:eastAsia="zh-CN"/>
        </w:rPr>
        <w:t>称：</w:t>
      </w:r>
      <w:r>
        <w:rPr>
          <w:rFonts w:hint="eastAsia" w:ascii="宋体" w:hAnsi="宋体" w:cs="宋体"/>
          <w:spacing w:val="2"/>
          <w:sz w:val="28"/>
          <w:szCs w:val="28"/>
          <w:lang w:eastAsia="zh-CN"/>
        </w:rPr>
        <w:t xml:space="preserve"> </w:t>
      </w:r>
    </w:p>
    <w:p>
      <w:pPr>
        <w:spacing w:line="258" w:lineRule="auto"/>
        <w:rPr>
          <w:lang w:eastAsia="zh-CN"/>
        </w:rPr>
      </w:pPr>
    </w:p>
    <w:p>
      <w:pPr>
        <w:spacing w:line="258" w:lineRule="auto"/>
        <w:rPr>
          <w:lang w:eastAsia="zh-CN"/>
        </w:rPr>
      </w:pPr>
    </w:p>
    <w:p>
      <w:pPr>
        <w:spacing w:line="258" w:lineRule="auto"/>
        <w:rPr>
          <w:lang w:eastAsia="zh-CN"/>
        </w:rPr>
      </w:pPr>
    </w:p>
    <w:p>
      <w:pPr>
        <w:spacing w:before="92" w:line="221" w:lineRule="auto"/>
        <w:ind w:left="4"/>
        <w:rPr>
          <w:rFonts w:ascii="宋体" w:hAnsi="宋体" w:cs="宋体"/>
          <w:sz w:val="28"/>
          <w:szCs w:val="28"/>
          <w:lang w:eastAsia="zh-CN"/>
        </w:rPr>
      </w:pPr>
      <w:r>
        <w:rPr>
          <w:rFonts w:ascii="宋体" w:hAnsi="宋体" w:cs="宋体"/>
          <w:spacing w:val="-1"/>
          <w:sz w:val="28"/>
          <w:szCs w:val="28"/>
          <w:lang w:eastAsia="zh-CN"/>
        </w:rPr>
        <w:t>工程地点：</w:t>
      </w:r>
      <w:r>
        <w:rPr>
          <w:rFonts w:hint="eastAsia" w:ascii="宋体" w:hAnsi="宋体" w:cs="宋体"/>
          <w:spacing w:val="-1"/>
          <w:sz w:val="28"/>
          <w:szCs w:val="28"/>
          <w:lang w:eastAsia="zh-CN"/>
        </w:rPr>
        <w:t xml:space="preserve"> </w:t>
      </w:r>
    </w:p>
    <w:p>
      <w:pPr>
        <w:spacing w:line="276" w:lineRule="auto"/>
        <w:rPr>
          <w:lang w:eastAsia="zh-CN"/>
        </w:rPr>
      </w:pPr>
    </w:p>
    <w:p>
      <w:pPr>
        <w:spacing w:line="276" w:lineRule="auto"/>
        <w:rPr>
          <w:lang w:eastAsia="zh-CN"/>
        </w:rPr>
      </w:pPr>
    </w:p>
    <w:p>
      <w:pPr>
        <w:spacing w:line="276" w:lineRule="auto"/>
        <w:rPr>
          <w:lang w:eastAsia="zh-CN"/>
        </w:rPr>
      </w:pPr>
    </w:p>
    <w:p>
      <w:pPr>
        <w:spacing w:line="277" w:lineRule="auto"/>
        <w:rPr>
          <w:lang w:eastAsia="zh-CN"/>
        </w:rPr>
      </w:pPr>
    </w:p>
    <w:p>
      <w:pPr>
        <w:spacing w:line="277" w:lineRule="auto"/>
        <w:rPr>
          <w:lang w:eastAsia="zh-CN"/>
        </w:rPr>
      </w:pPr>
    </w:p>
    <w:p>
      <w:pPr>
        <w:spacing w:before="91" w:line="221" w:lineRule="auto"/>
        <w:ind w:left="5"/>
        <w:rPr>
          <w:rFonts w:ascii="宋体" w:hAnsi="宋体" w:cs="宋体"/>
          <w:sz w:val="28"/>
          <w:szCs w:val="28"/>
          <w:lang w:eastAsia="zh-CN"/>
        </w:rPr>
      </w:pPr>
      <w:r>
        <w:rPr>
          <w:rFonts w:ascii="宋体" w:hAnsi="宋体" w:cs="宋体"/>
          <w:spacing w:val="-2"/>
          <w:sz w:val="28"/>
          <w:szCs w:val="28"/>
          <w:lang w:eastAsia="zh-CN"/>
        </w:rPr>
        <w:t>发包人 (</w:t>
      </w:r>
      <w:r>
        <w:rPr>
          <w:rFonts w:ascii="宋体" w:hAnsi="宋体" w:cs="宋体"/>
          <w:spacing w:val="-1"/>
          <w:sz w:val="28"/>
          <w:szCs w:val="28"/>
          <w:lang w:eastAsia="zh-CN"/>
        </w:rPr>
        <w:t>甲方) ：</w:t>
      </w:r>
    </w:p>
    <w:p>
      <w:pPr>
        <w:spacing w:line="276" w:lineRule="auto"/>
        <w:rPr>
          <w:lang w:eastAsia="zh-CN"/>
        </w:rPr>
      </w:pPr>
    </w:p>
    <w:p>
      <w:pPr>
        <w:spacing w:line="276" w:lineRule="auto"/>
        <w:rPr>
          <w:lang w:eastAsia="zh-CN"/>
        </w:rPr>
      </w:pPr>
    </w:p>
    <w:p>
      <w:pPr>
        <w:spacing w:line="276" w:lineRule="auto"/>
        <w:rPr>
          <w:lang w:eastAsia="zh-CN"/>
        </w:rPr>
      </w:pPr>
    </w:p>
    <w:p>
      <w:pPr>
        <w:spacing w:line="276" w:lineRule="auto"/>
        <w:rPr>
          <w:lang w:eastAsia="zh-CN"/>
        </w:rPr>
      </w:pPr>
    </w:p>
    <w:p>
      <w:pPr>
        <w:spacing w:line="276" w:lineRule="auto"/>
        <w:rPr>
          <w:lang w:eastAsia="zh-CN"/>
        </w:rPr>
      </w:pPr>
    </w:p>
    <w:p>
      <w:pPr>
        <w:spacing w:before="92" w:line="221" w:lineRule="auto"/>
        <w:ind w:left="5"/>
        <w:rPr>
          <w:rFonts w:ascii="宋体" w:hAnsi="宋体" w:cs="宋体"/>
          <w:sz w:val="28"/>
          <w:szCs w:val="28"/>
          <w:lang w:eastAsia="zh-CN"/>
        </w:rPr>
      </w:pPr>
      <w:r>
        <w:rPr>
          <w:rFonts w:ascii="宋体" w:hAnsi="宋体" w:cs="宋体"/>
          <w:spacing w:val="-2"/>
          <w:sz w:val="28"/>
          <w:szCs w:val="28"/>
          <w:lang w:eastAsia="zh-CN"/>
        </w:rPr>
        <w:t>设计人 (</w:t>
      </w:r>
      <w:r>
        <w:rPr>
          <w:rFonts w:ascii="宋体" w:hAnsi="宋体" w:cs="宋体"/>
          <w:spacing w:val="-1"/>
          <w:sz w:val="28"/>
          <w:szCs w:val="28"/>
          <w:lang w:eastAsia="zh-CN"/>
        </w:rPr>
        <w:t>乙方) ：</w:t>
      </w:r>
    </w:p>
    <w:p>
      <w:pPr>
        <w:spacing w:line="276" w:lineRule="auto"/>
        <w:rPr>
          <w:lang w:eastAsia="zh-CN"/>
        </w:rPr>
      </w:pPr>
    </w:p>
    <w:p>
      <w:pPr>
        <w:spacing w:line="276" w:lineRule="auto"/>
        <w:rPr>
          <w:lang w:eastAsia="zh-CN"/>
        </w:rPr>
      </w:pPr>
    </w:p>
    <w:p>
      <w:pPr>
        <w:spacing w:line="276" w:lineRule="auto"/>
        <w:rPr>
          <w:lang w:eastAsia="zh-CN"/>
        </w:rPr>
      </w:pPr>
    </w:p>
    <w:p>
      <w:pPr>
        <w:spacing w:line="276" w:lineRule="auto"/>
        <w:rPr>
          <w:lang w:eastAsia="zh-CN"/>
        </w:rPr>
      </w:pPr>
    </w:p>
    <w:p>
      <w:pPr>
        <w:spacing w:line="277" w:lineRule="auto"/>
        <w:rPr>
          <w:lang w:eastAsia="zh-CN"/>
        </w:rPr>
      </w:pPr>
    </w:p>
    <w:p>
      <w:pPr>
        <w:spacing w:line="254" w:lineRule="auto"/>
        <w:rPr>
          <w:lang w:eastAsia="zh-CN"/>
        </w:rPr>
      </w:pPr>
    </w:p>
    <w:p>
      <w:pPr>
        <w:spacing w:line="255" w:lineRule="auto"/>
        <w:rPr>
          <w:lang w:eastAsia="zh-CN"/>
        </w:rPr>
      </w:pPr>
    </w:p>
    <w:p>
      <w:pPr>
        <w:spacing w:line="255" w:lineRule="auto"/>
        <w:rPr>
          <w:lang w:eastAsia="zh-CN"/>
        </w:rPr>
      </w:pPr>
    </w:p>
    <w:p>
      <w:pPr>
        <w:spacing w:before="92" w:line="220" w:lineRule="auto"/>
        <w:ind w:left="1"/>
        <w:rPr>
          <w:rFonts w:ascii="宋体" w:hAnsi="宋体" w:cs="宋体"/>
          <w:sz w:val="28"/>
          <w:szCs w:val="28"/>
          <w:lang w:eastAsia="zh-CN"/>
        </w:rPr>
      </w:pPr>
      <w:r>
        <w:rPr>
          <w:rFonts w:ascii="宋体" w:hAnsi="宋体" w:cs="宋体"/>
          <w:spacing w:val="-10"/>
          <w:sz w:val="28"/>
          <w:szCs w:val="28"/>
          <w:lang w:eastAsia="zh-CN"/>
        </w:rPr>
        <w:t>签订</w:t>
      </w:r>
      <w:r>
        <w:rPr>
          <w:rFonts w:ascii="宋体" w:hAnsi="宋体" w:cs="宋体"/>
          <w:spacing w:val="-7"/>
          <w:sz w:val="28"/>
          <w:szCs w:val="28"/>
          <w:lang w:eastAsia="zh-CN"/>
        </w:rPr>
        <w:t>日</w:t>
      </w:r>
      <w:r>
        <w:rPr>
          <w:rFonts w:ascii="宋体" w:hAnsi="宋体" w:cs="宋体"/>
          <w:spacing w:val="-5"/>
          <w:sz w:val="28"/>
          <w:szCs w:val="28"/>
          <w:lang w:eastAsia="zh-CN"/>
        </w:rPr>
        <w:t>期：    年  月  日</w:t>
      </w:r>
    </w:p>
    <w:p>
      <w:pPr>
        <w:rPr>
          <w:lang w:eastAsia="zh-CN"/>
        </w:rPr>
        <w:sectPr>
          <w:footerReference r:id="rId14" w:type="default"/>
          <w:pgSz w:w="11905" w:h="16838"/>
          <w:pgMar w:top="1440" w:right="1803" w:bottom="1440" w:left="1803" w:header="0" w:footer="992" w:gutter="0"/>
          <w:cols w:space="0" w:num="1"/>
        </w:sectPr>
      </w:pPr>
    </w:p>
    <w:p>
      <w:pPr>
        <w:spacing w:line="366" w:lineRule="exact"/>
        <w:ind w:right="-53"/>
        <w:jc w:val="center"/>
        <w:rPr>
          <w:color w:val="000000" w:themeColor="text1"/>
          <w:sz w:val="20"/>
          <w:szCs w:val="20"/>
          <w:lang w:eastAsia="zh-CN"/>
          <w14:textFill>
            <w14:solidFill>
              <w14:schemeClr w14:val="tx1"/>
            </w14:solidFill>
          </w14:textFill>
        </w:rPr>
      </w:pPr>
      <w:r>
        <w:rPr>
          <w:rFonts w:ascii="宋体" w:hAnsi="宋体" w:eastAsia="宋体" w:cs="宋体"/>
          <w:color w:val="000000" w:themeColor="text1"/>
          <w:sz w:val="32"/>
          <w:szCs w:val="32"/>
          <w:lang w:eastAsia="zh-CN"/>
          <w14:textFill>
            <w14:solidFill>
              <w14:schemeClr w14:val="tx1"/>
            </w14:solidFill>
          </w14:textFill>
        </w:rPr>
        <w:t>通用合同条款</w:t>
      </w:r>
    </w:p>
    <w:p>
      <w:pPr>
        <w:spacing w:line="261" w:lineRule="exact"/>
        <w:rPr>
          <w:color w:val="000000" w:themeColor="text1"/>
          <w:sz w:val="20"/>
          <w:szCs w:val="20"/>
          <w:lang w:eastAsia="zh-CN"/>
          <w14:textFill>
            <w14:solidFill>
              <w14:schemeClr w14:val="tx1"/>
            </w14:solidFill>
          </w14:textFill>
        </w:rPr>
      </w:pPr>
    </w:p>
    <w:p>
      <w:pPr>
        <w:numPr>
          <w:ilvl w:val="0"/>
          <w:numId w:val="14"/>
        </w:numPr>
        <w:tabs>
          <w:tab w:val="left" w:pos="773"/>
        </w:tabs>
        <w:spacing w:before="70"/>
        <w:jc w:val="both"/>
        <w:rPr>
          <w:rFonts w:ascii="黑体" w:eastAsia="黑体"/>
          <w:b/>
          <w:color w:val="000000" w:themeColor="text1"/>
          <w:sz w:val="28"/>
          <w14:textFill>
            <w14:solidFill>
              <w14:schemeClr w14:val="tx1"/>
            </w14:solidFill>
          </w14:textFill>
        </w:rPr>
      </w:pPr>
      <w:r>
        <w:rPr>
          <w:rFonts w:hint="eastAsia" w:ascii="黑体" w:eastAsia="黑体"/>
          <w:b/>
          <w:color w:val="000000" w:themeColor="text1"/>
          <w:sz w:val="28"/>
          <w14:textFill>
            <w14:solidFill>
              <w14:schemeClr w14:val="tx1"/>
            </w14:solidFill>
          </w14:textFill>
        </w:rPr>
        <w:t>一般约定</w:t>
      </w:r>
    </w:p>
    <w:p>
      <w:pPr>
        <w:pStyle w:val="4"/>
        <w:spacing w:before="3"/>
        <w:jc w:val="both"/>
        <w:rPr>
          <w:rFonts w:ascii="黑体"/>
          <w:b/>
          <w:color w:val="000000" w:themeColor="text1"/>
          <w:sz w:val="30"/>
          <w14:textFill>
            <w14:solidFill>
              <w14:schemeClr w14:val="tx1"/>
            </w14:solidFill>
          </w14:textFill>
        </w:rPr>
      </w:pPr>
    </w:p>
    <w:p>
      <w:pPr>
        <w:numPr>
          <w:ilvl w:val="1"/>
          <w:numId w:val="14"/>
        </w:numPr>
        <w:tabs>
          <w:tab w:val="left" w:pos="1327"/>
        </w:tabs>
        <w:ind w:left="1326" w:hanging="420"/>
        <w:jc w:val="both"/>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词语定义</w:t>
      </w:r>
    </w:p>
    <w:p>
      <w:pPr>
        <w:pStyle w:val="4"/>
        <w:spacing w:before="172"/>
        <w:ind w:left="904"/>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通用合同条款、专用合同条款中的下列词语应具有本款所赋予的含义。</w:t>
      </w:r>
    </w:p>
    <w:p>
      <w:pPr>
        <w:pStyle w:val="30"/>
        <w:numPr>
          <w:ilvl w:val="2"/>
          <w:numId w:val="14"/>
        </w:numPr>
        <w:tabs>
          <w:tab w:val="left" w:pos="1505"/>
        </w:tabs>
        <w:spacing w:before="173"/>
        <w:ind w:hanging="600"/>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w:t>
      </w:r>
    </w:p>
    <w:p>
      <w:pPr>
        <w:pStyle w:val="30"/>
        <w:tabs>
          <w:tab w:val="left" w:pos="1505"/>
        </w:tabs>
        <w:spacing w:before="173"/>
        <w:ind w:right="863" w:firstLineChars="20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1.1.1.1 合同文件（或称合同）：指合同协议书及各种合同附件、中标通知书、投标函、专用合同条款、通用合同条款、发包人要求、勘察设计费用清单，以及其他构成合同组成部分的文件。</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1.1.1.2 合同协议书：指发包人和设计人共同签署的合同协议书。</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1.1.1.3 中标通知书：指发包人通知设计人中标的函件。</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1.1.1.4 投标函：指由设计人填写并签署的，名为“投标函”的函件。</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1.1.1.5 发包人要求：指合同文件中名为“发包人要求”的文件。</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1.1.1.6 技术文件：指设计人投标文件中的技术文件。</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1.1.1.7 勘察设计费用清单：指设计人投标文件中的勘察设计费用清单。</w:t>
      </w:r>
    </w:p>
    <w:p>
      <w:pPr>
        <w:pStyle w:val="30"/>
        <w:tabs>
          <w:tab w:val="left" w:pos="1505"/>
        </w:tabs>
        <w:spacing w:before="173"/>
        <w:ind w:left="904" w:firstLine="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1.1.1.8 其他合同文件：指经合同双方当事人确认构成合同文件的其他文件。</w:t>
      </w:r>
    </w:p>
    <w:p>
      <w:pPr>
        <w:pStyle w:val="30"/>
        <w:tabs>
          <w:tab w:val="left" w:pos="1505"/>
        </w:tabs>
        <w:spacing w:before="173"/>
        <w:ind w:left="904" w:firstLine="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1.1.2 </w:t>
      </w:r>
      <w:r>
        <w:rPr>
          <w:rFonts w:hint="eastAsia"/>
          <w:color w:val="000000" w:themeColor="text1"/>
          <w:sz w:val="24"/>
          <w14:textFill>
            <w14:solidFill>
              <w14:schemeClr w14:val="tx1"/>
            </w14:solidFill>
          </w14:textFill>
        </w:rPr>
        <w:t>合同当事人和人员</w:t>
      </w:r>
    </w:p>
    <w:p>
      <w:pPr>
        <w:pStyle w:val="30"/>
        <w:numPr>
          <w:ilvl w:val="3"/>
          <w:numId w:val="15"/>
        </w:numPr>
        <w:tabs>
          <w:tab w:val="left" w:pos="1685"/>
        </w:tabs>
        <w:spacing w:before="172"/>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合同当事人：指发包人和（或）设计人。</w:t>
      </w:r>
    </w:p>
    <w:p>
      <w:pPr>
        <w:pStyle w:val="30"/>
        <w:numPr>
          <w:ilvl w:val="3"/>
          <w:numId w:val="15"/>
        </w:numPr>
        <w:tabs>
          <w:tab w:val="left" w:pos="1685"/>
        </w:tabs>
        <w:spacing w:before="173" w:line="374" w:lineRule="auto"/>
        <w:ind w:left="424" w:right="-61"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发包人：指与设计人签订合同协议书的当事人，以及取得该当事人资格</w:t>
      </w:r>
      <w:r>
        <w:rPr>
          <w:rFonts w:hint="eastAsia"/>
          <w:color w:val="000000" w:themeColor="text1"/>
          <w:sz w:val="24"/>
          <w:lang w:eastAsia="zh-CN"/>
          <w14:textFill>
            <w14:solidFill>
              <w14:schemeClr w14:val="tx1"/>
            </w14:solidFill>
          </w14:textFill>
        </w:rPr>
        <w:t>的合法继承人。</w:t>
      </w:r>
    </w:p>
    <w:p>
      <w:pPr>
        <w:pStyle w:val="30"/>
        <w:numPr>
          <w:ilvl w:val="3"/>
          <w:numId w:val="15"/>
        </w:numPr>
        <w:tabs>
          <w:tab w:val="left" w:pos="1685"/>
        </w:tabs>
        <w:spacing w:before="1" w:line="374" w:lineRule="auto"/>
        <w:ind w:left="424" w:right="-61"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设计人：指与发包人签订合同协议书的当事人，以及取得该当事人资格</w:t>
      </w:r>
      <w:r>
        <w:rPr>
          <w:rFonts w:hint="eastAsia"/>
          <w:color w:val="000000" w:themeColor="text1"/>
          <w:sz w:val="24"/>
          <w:lang w:eastAsia="zh-CN"/>
          <w14:textFill>
            <w14:solidFill>
              <w14:schemeClr w14:val="tx1"/>
            </w14:solidFill>
          </w14:textFill>
        </w:rPr>
        <w:t>的合法继承人。</w:t>
      </w:r>
    </w:p>
    <w:p>
      <w:pPr>
        <w:pStyle w:val="30"/>
        <w:numPr>
          <w:ilvl w:val="3"/>
          <w:numId w:val="15"/>
        </w:numPr>
        <w:tabs>
          <w:tab w:val="left" w:pos="1685"/>
        </w:tabs>
        <w:spacing w:before="1" w:line="374" w:lineRule="auto"/>
        <w:ind w:left="424" w:right="-61"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发包人代表：指由发包人任命，并在授权范围和期限内代表发包人行使</w:t>
      </w:r>
      <w:r>
        <w:rPr>
          <w:rFonts w:hint="eastAsia"/>
          <w:color w:val="000000" w:themeColor="text1"/>
          <w:sz w:val="24"/>
          <w:lang w:eastAsia="zh-CN"/>
          <w14:textFill>
            <w14:solidFill>
              <w14:schemeClr w14:val="tx1"/>
            </w14:solidFill>
          </w14:textFill>
        </w:rPr>
        <w:t>权利和履行义务的全权负责人。</w:t>
      </w:r>
    </w:p>
    <w:p>
      <w:pPr>
        <w:pStyle w:val="30"/>
        <w:numPr>
          <w:ilvl w:val="3"/>
          <w:numId w:val="15"/>
        </w:numPr>
        <w:tabs>
          <w:tab w:val="left" w:pos="1685"/>
        </w:tabs>
        <w:spacing w:line="374" w:lineRule="auto"/>
        <w:ind w:left="424" w:right="-61"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项目负责人：指由设计人任命，代表设计人行使权利和履行义务的全权</w:t>
      </w:r>
      <w:r>
        <w:rPr>
          <w:rFonts w:hint="eastAsia"/>
          <w:color w:val="000000" w:themeColor="text1"/>
          <w:sz w:val="24"/>
          <w:lang w:eastAsia="zh-CN"/>
          <w14:textFill>
            <w14:solidFill>
              <w14:schemeClr w14:val="tx1"/>
            </w14:solidFill>
          </w14:textFill>
        </w:rPr>
        <w:t>负责人。</w:t>
      </w:r>
    </w:p>
    <w:p>
      <w:pPr>
        <w:pStyle w:val="30"/>
        <w:numPr>
          <w:ilvl w:val="3"/>
          <w:numId w:val="15"/>
        </w:numPr>
        <w:tabs>
          <w:tab w:val="left" w:pos="1685"/>
        </w:tabs>
        <w:spacing w:before="1"/>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分项负责人：指由设计人任命，并经过发包人认可的各专业负责人。</w:t>
      </w:r>
    </w:p>
    <w:p>
      <w:pPr>
        <w:pStyle w:val="30"/>
        <w:numPr>
          <w:ilvl w:val="3"/>
          <w:numId w:val="15"/>
        </w:numPr>
        <w:tabs>
          <w:tab w:val="left" w:pos="1685"/>
        </w:tabs>
        <w:spacing w:before="74" w:line="374" w:lineRule="auto"/>
        <w:ind w:left="424" w:right="-61"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咨询单位：指受发包人委托对本工程勘察设计文件进行审查或提供咨询</w:t>
      </w:r>
      <w:r>
        <w:rPr>
          <w:rFonts w:hint="eastAsia"/>
          <w:color w:val="000000" w:themeColor="text1"/>
          <w:sz w:val="24"/>
          <w:lang w:eastAsia="zh-CN"/>
          <w14:textFill>
            <w14:solidFill>
              <w14:schemeClr w14:val="tx1"/>
            </w14:solidFill>
          </w14:textFill>
        </w:rPr>
        <w:t>意见的咨询机构。</w:t>
      </w:r>
    </w:p>
    <w:p>
      <w:pPr>
        <w:pStyle w:val="30"/>
        <w:numPr>
          <w:ilvl w:val="2"/>
          <w:numId w:val="16"/>
        </w:numPr>
        <w:tabs>
          <w:tab w:val="left" w:pos="1505"/>
        </w:tabs>
        <w:spacing w:before="1"/>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工程和勘察设计</w:t>
      </w:r>
    </w:p>
    <w:p>
      <w:pPr>
        <w:pStyle w:val="30"/>
        <w:numPr>
          <w:ilvl w:val="3"/>
          <w:numId w:val="16"/>
        </w:numPr>
        <w:tabs>
          <w:tab w:val="left" w:pos="1685"/>
        </w:tabs>
        <w:spacing w:before="173"/>
        <w:ind w:right="-279" w:rightChars="-127"/>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工程：指专用合同条款中指明进行勘察设计招标的工程。</w:t>
      </w:r>
    </w:p>
    <w:p>
      <w:pPr>
        <w:pStyle w:val="30"/>
        <w:numPr>
          <w:ilvl w:val="3"/>
          <w:numId w:val="16"/>
        </w:numPr>
        <w:tabs>
          <w:tab w:val="left" w:pos="1685"/>
        </w:tabs>
        <w:spacing w:before="172" w:line="374" w:lineRule="auto"/>
        <w:ind w:left="424" w:right="-281"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勘察设计服务：指设计人按照合同约定履行的服务，包括制订勘察设计</w:t>
      </w:r>
      <w:r>
        <w:rPr>
          <w:rFonts w:hint="eastAsia"/>
          <w:color w:val="000000" w:themeColor="text1"/>
          <w:sz w:val="24"/>
          <w:lang w:eastAsia="zh-CN"/>
          <w14:textFill>
            <w14:solidFill>
              <w14:schemeClr w14:val="tx1"/>
            </w14:solidFill>
          </w14:textFill>
        </w:rPr>
        <w:t>工作大纲，进行测绘、勘探、取样和试验等，查明、分析和评估地质特征和工程条件，编制勘察报告；编制设计文件和设计概算、预算，提供技术交底、招标与施工配合，参加交工验收、参加竣工验收或发包人委托的其他服务。</w:t>
      </w:r>
    </w:p>
    <w:p>
      <w:pPr>
        <w:pStyle w:val="30"/>
        <w:numPr>
          <w:ilvl w:val="3"/>
          <w:numId w:val="16"/>
        </w:numPr>
        <w:tabs>
          <w:tab w:val="left" w:pos="1685"/>
        </w:tabs>
        <w:spacing w:before="2" w:line="374" w:lineRule="auto"/>
        <w:ind w:left="424" w:right="-281" w:firstLine="480"/>
        <w:jc w:val="both"/>
        <w:rPr>
          <w:color w:val="000000" w:themeColor="text1"/>
          <w:sz w:val="24"/>
          <w:lang w:eastAsia="zh-CN"/>
          <w14:textFill>
            <w14:solidFill>
              <w14:schemeClr w14:val="tx1"/>
            </w14:solidFill>
          </w14:textFill>
        </w:rPr>
      </w:pPr>
      <w:r>
        <w:rPr>
          <w:rFonts w:hint="eastAsia"/>
          <w:color w:val="000000" w:themeColor="text1"/>
          <w:spacing w:val="-13"/>
          <w:sz w:val="24"/>
          <w:lang w:eastAsia="zh-CN"/>
          <w14:textFill>
            <w14:solidFill>
              <w14:schemeClr w14:val="tx1"/>
            </w14:solidFill>
          </w14:textFill>
        </w:rPr>
        <w:t>勘察设备：指为完成合同约定的各项工作所需的设备、器具和其他物品，</w:t>
      </w:r>
      <w:r>
        <w:rPr>
          <w:rFonts w:hint="eastAsia"/>
          <w:color w:val="000000" w:themeColor="text1"/>
          <w:sz w:val="24"/>
          <w:lang w:eastAsia="zh-CN"/>
          <w14:textFill>
            <w14:solidFill>
              <w14:schemeClr w14:val="tx1"/>
            </w14:solidFill>
          </w14:textFill>
        </w:rPr>
        <w:t>不包括临时工程和材料。</w:t>
      </w:r>
    </w:p>
    <w:p>
      <w:pPr>
        <w:pStyle w:val="30"/>
        <w:numPr>
          <w:ilvl w:val="3"/>
          <w:numId w:val="16"/>
        </w:numPr>
        <w:tabs>
          <w:tab w:val="left" w:pos="1685"/>
        </w:tabs>
        <w:spacing w:line="374" w:lineRule="auto"/>
        <w:ind w:left="424" w:right="-281"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勘探场地：指用于工程勘探的场所，以及在合同中指定作为勘探场地组</w:t>
      </w:r>
      <w:r>
        <w:rPr>
          <w:rFonts w:hint="eastAsia"/>
          <w:color w:val="000000" w:themeColor="text1"/>
          <w:sz w:val="24"/>
          <w:lang w:eastAsia="zh-CN"/>
          <w14:textFill>
            <w14:solidFill>
              <w14:schemeClr w14:val="tx1"/>
            </w14:solidFill>
          </w14:textFill>
        </w:rPr>
        <w:t>成的其他场所。</w:t>
      </w:r>
    </w:p>
    <w:p>
      <w:pPr>
        <w:pStyle w:val="30"/>
        <w:numPr>
          <w:ilvl w:val="3"/>
          <w:numId w:val="16"/>
        </w:numPr>
        <w:tabs>
          <w:tab w:val="left" w:pos="1685"/>
        </w:tabs>
        <w:spacing w:before="1" w:line="374" w:lineRule="auto"/>
        <w:ind w:left="424" w:right="-281"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勘察设计资料：指发包人按合同约定向设计人提供的、用于完成勘察设</w:t>
      </w:r>
      <w:r>
        <w:rPr>
          <w:rFonts w:hint="eastAsia"/>
          <w:color w:val="000000" w:themeColor="text1"/>
          <w:sz w:val="24"/>
          <w:lang w:eastAsia="zh-CN"/>
          <w14:textFill>
            <w14:solidFill>
              <w14:schemeClr w14:val="tx1"/>
            </w14:solidFill>
          </w14:textFill>
        </w:rPr>
        <w:t>计服务范围与内容所需的资料。</w:t>
      </w:r>
    </w:p>
    <w:p>
      <w:pPr>
        <w:pStyle w:val="30"/>
        <w:numPr>
          <w:ilvl w:val="3"/>
          <w:numId w:val="16"/>
        </w:numPr>
        <w:tabs>
          <w:tab w:val="left" w:pos="1685"/>
        </w:tabs>
        <w:spacing w:before="1" w:line="374" w:lineRule="auto"/>
        <w:ind w:left="424" w:right="-281"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勘察设计文件：指设计人按合同约定向发包人提交的工程勘察报告、服</w:t>
      </w:r>
      <w:r>
        <w:rPr>
          <w:rFonts w:hint="eastAsia"/>
          <w:color w:val="000000" w:themeColor="text1"/>
          <w:sz w:val="24"/>
          <w:lang w:eastAsia="zh-CN"/>
          <w14:textFill>
            <w14:solidFill>
              <w14:schemeClr w14:val="tx1"/>
            </w14:solidFill>
          </w14:textFill>
        </w:rPr>
        <w:t>务大纲、勘察方案、外业指导书、进度计划，设计说明、图纸、图板、模型、计算书、软件和其他文件等，包括阶段性文件和最终文件，且应采用合同中双方约定的格式和载体。</w:t>
      </w:r>
    </w:p>
    <w:p>
      <w:pPr>
        <w:pStyle w:val="30"/>
        <w:numPr>
          <w:ilvl w:val="2"/>
          <w:numId w:val="17"/>
        </w:numPr>
        <w:tabs>
          <w:tab w:val="left" w:pos="1505"/>
        </w:tabs>
        <w:spacing w:before="1"/>
        <w:jc w:val="both"/>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日期</w:t>
      </w:r>
    </w:p>
    <w:p>
      <w:pPr>
        <w:pStyle w:val="30"/>
        <w:tabs>
          <w:tab w:val="left" w:pos="1685"/>
        </w:tabs>
        <w:spacing w:before="173" w:line="374" w:lineRule="auto"/>
        <w:ind w:left="0" w:right="-61" w:firstLine="468" w:firstLineChars="200"/>
        <w:jc w:val="both"/>
        <w:rPr>
          <w:color w:val="000000" w:themeColor="text1"/>
          <w:sz w:val="24"/>
          <w:lang w:eastAsia="zh-CN"/>
          <w14:textFill>
            <w14:solidFill>
              <w14:schemeClr w14:val="tx1"/>
            </w14:solidFill>
          </w14:textFill>
        </w:rPr>
      </w:pPr>
      <w:r>
        <w:rPr>
          <w:color w:val="000000" w:themeColor="text1"/>
          <w:spacing w:val="-3"/>
          <w:sz w:val="24"/>
          <w:lang w:eastAsia="zh-CN"/>
          <w14:textFill>
            <w14:solidFill>
              <w14:schemeClr w14:val="tx1"/>
            </w14:solidFill>
          </w14:textFill>
        </w:rPr>
        <w:t xml:space="preserve">1.1.4.1 </w:t>
      </w:r>
      <w:r>
        <w:rPr>
          <w:rFonts w:hint="eastAsia"/>
          <w:color w:val="000000" w:themeColor="text1"/>
          <w:spacing w:val="-3"/>
          <w:sz w:val="24"/>
          <w:lang w:eastAsia="zh-CN"/>
          <w14:textFill>
            <w14:solidFill>
              <w14:schemeClr w14:val="tx1"/>
            </w14:solidFill>
          </w14:textFill>
        </w:rPr>
        <w:t>开始勘察设计通知：指发包人按第</w:t>
      </w:r>
      <w:r>
        <w:rPr>
          <w:rFonts w:ascii="Times New Roman" w:eastAsia="Times New Roman"/>
          <w:color w:val="000000" w:themeColor="text1"/>
          <w:sz w:val="24"/>
          <w:lang w:eastAsia="zh-CN"/>
          <w14:textFill>
            <w14:solidFill>
              <w14:schemeClr w14:val="tx1"/>
            </w14:solidFill>
          </w14:textFill>
        </w:rPr>
        <w:t>6.1</w:t>
      </w:r>
      <w:r>
        <w:rPr>
          <w:rFonts w:hint="eastAsia"/>
          <w:color w:val="000000" w:themeColor="text1"/>
          <w:spacing w:val="-1"/>
          <w:sz w:val="24"/>
          <w:lang w:eastAsia="zh-CN"/>
          <w14:textFill>
            <w14:solidFill>
              <w14:schemeClr w14:val="tx1"/>
            </w14:solidFill>
          </w14:textFill>
        </w:rPr>
        <w:t>款通知设计人开始勘察设计的函</w:t>
      </w:r>
      <w:r>
        <w:rPr>
          <w:rFonts w:hint="eastAsia"/>
          <w:color w:val="000000" w:themeColor="text1"/>
          <w:sz w:val="24"/>
          <w:lang w:eastAsia="zh-CN"/>
          <w14:textFill>
            <w14:solidFill>
              <w14:schemeClr w14:val="tx1"/>
            </w14:solidFill>
          </w14:textFill>
        </w:rPr>
        <w:t>件。</w:t>
      </w:r>
    </w:p>
    <w:p>
      <w:pPr>
        <w:pStyle w:val="30"/>
        <w:tabs>
          <w:tab w:val="left" w:pos="1685"/>
        </w:tabs>
        <w:spacing w:before="1" w:line="374" w:lineRule="auto"/>
        <w:ind w:left="0" w:right="-61" w:firstLine="468" w:firstLineChars="200"/>
        <w:jc w:val="both"/>
        <w:rPr>
          <w:color w:val="000000" w:themeColor="text1"/>
          <w:sz w:val="24"/>
          <w:lang w:eastAsia="zh-CN"/>
          <w14:textFill>
            <w14:solidFill>
              <w14:schemeClr w14:val="tx1"/>
            </w14:solidFill>
          </w14:textFill>
        </w:rPr>
      </w:pPr>
      <w:r>
        <w:rPr>
          <w:color w:val="000000" w:themeColor="text1"/>
          <w:spacing w:val="-3"/>
          <w:sz w:val="24"/>
          <w:lang w:eastAsia="zh-CN"/>
          <w14:textFill>
            <w14:solidFill>
              <w14:schemeClr w14:val="tx1"/>
            </w14:solidFill>
          </w14:textFill>
        </w:rPr>
        <w:t xml:space="preserve">1.1.4.2 </w:t>
      </w:r>
      <w:r>
        <w:rPr>
          <w:rFonts w:hint="eastAsia"/>
          <w:color w:val="000000" w:themeColor="text1"/>
          <w:spacing w:val="-3"/>
          <w:sz w:val="24"/>
          <w:lang w:eastAsia="zh-CN"/>
          <w14:textFill>
            <w14:solidFill>
              <w14:schemeClr w14:val="tx1"/>
            </w14:solidFill>
          </w14:textFill>
        </w:rPr>
        <w:t>开始勘察设计日期：指发包人按第</w:t>
      </w:r>
      <w:r>
        <w:rPr>
          <w:rFonts w:ascii="Times New Roman" w:eastAsia="Times New Roman"/>
          <w:color w:val="000000" w:themeColor="text1"/>
          <w:sz w:val="24"/>
          <w:lang w:eastAsia="zh-CN"/>
          <w14:textFill>
            <w14:solidFill>
              <w14:schemeClr w14:val="tx1"/>
            </w14:solidFill>
          </w14:textFill>
        </w:rPr>
        <w:t>6.1</w:t>
      </w:r>
      <w:r>
        <w:rPr>
          <w:rFonts w:hint="eastAsia"/>
          <w:color w:val="000000" w:themeColor="text1"/>
          <w:spacing w:val="-1"/>
          <w:sz w:val="24"/>
          <w:lang w:eastAsia="zh-CN"/>
          <w14:textFill>
            <w14:solidFill>
              <w14:schemeClr w14:val="tx1"/>
            </w14:solidFill>
          </w14:textFill>
        </w:rPr>
        <w:t>款发出的开始勘察设计通知中写</w:t>
      </w:r>
      <w:r>
        <w:rPr>
          <w:rFonts w:hint="eastAsia"/>
          <w:color w:val="000000" w:themeColor="text1"/>
          <w:sz w:val="24"/>
          <w:lang w:eastAsia="zh-CN"/>
          <w14:textFill>
            <w14:solidFill>
              <w14:schemeClr w14:val="tx1"/>
            </w14:solidFill>
          </w14:textFill>
        </w:rPr>
        <w:t>明的开始勘察设计日期。</w:t>
      </w:r>
    </w:p>
    <w:p>
      <w:pPr>
        <w:pStyle w:val="30"/>
        <w:tabs>
          <w:tab w:val="left" w:pos="1685"/>
        </w:tabs>
        <w:spacing w:before="1" w:line="374" w:lineRule="auto"/>
        <w:ind w:left="0" w:right="-61" w:firstLine="468" w:firstLineChars="200"/>
        <w:jc w:val="both"/>
        <w:rPr>
          <w:color w:val="000000" w:themeColor="text1"/>
          <w:sz w:val="24"/>
          <w:lang w:eastAsia="zh-CN"/>
          <w14:textFill>
            <w14:solidFill>
              <w14:schemeClr w14:val="tx1"/>
            </w14:solidFill>
          </w14:textFill>
        </w:rPr>
      </w:pPr>
      <w:r>
        <w:rPr>
          <w:color w:val="000000" w:themeColor="text1"/>
          <w:spacing w:val="-3"/>
          <w:sz w:val="24"/>
          <w:lang w:eastAsia="zh-CN"/>
          <w14:textFill>
            <w14:solidFill>
              <w14:schemeClr w14:val="tx1"/>
            </w14:solidFill>
          </w14:textFill>
        </w:rPr>
        <w:t xml:space="preserve">1.1.4.3 </w:t>
      </w:r>
      <w:r>
        <w:rPr>
          <w:rFonts w:hint="eastAsia"/>
          <w:color w:val="000000" w:themeColor="text1"/>
          <w:spacing w:val="-4"/>
          <w:sz w:val="24"/>
          <w:lang w:eastAsia="zh-CN"/>
          <w14:textFill>
            <w14:solidFill>
              <w14:schemeClr w14:val="tx1"/>
            </w14:solidFill>
          </w14:textFill>
        </w:rPr>
        <w:t>勘察设计服务期限：指设计人在投标函中承诺的完成合同勘察设计服务</w:t>
      </w:r>
      <w:r>
        <w:rPr>
          <w:rFonts w:hint="eastAsia"/>
          <w:color w:val="000000" w:themeColor="text1"/>
          <w:spacing w:val="-6"/>
          <w:sz w:val="24"/>
          <w:lang w:eastAsia="zh-CN"/>
          <w14:textFill>
            <w14:solidFill>
              <w14:schemeClr w14:val="tx1"/>
            </w14:solidFill>
          </w14:textFill>
        </w:rPr>
        <w:t>所需的期限，包括按第</w:t>
      </w:r>
      <w:r>
        <w:rPr>
          <w:rFonts w:ascii="Times New Roman" w:eastAsia="Times New Roman"/>
          <w:color w:val="000000" w:themeColor="text1"/>
          <w:sz w:val="24"/>
          <w:lang w:eastAsia="zh-CN"/>
          <w14:textFill>
            <w14:solidFill>
              <w14:schemeClr w14:val="tx1"/>
            </w14:solidFill>
          </w14:textFill>
        </w:rPr>
        <w:t xml:space="preserve">6.2 </w:t>
      </w:r>
      <w:r>
        <w:rPr>
          <w:rFonts w:hint="eastAsia"/>
          <w:color w:val="000000" w:themeColor="text1"/>
          <w:spacing w:val="-15"/>
          <w:sz w:val="24"/>
          <w:lang w:eastAsia="zh-CN"/>
          <w14:textFill>
            <w14:solidFill>
              <w14:schemeClr w14:val="tx1"/>
            </w14:solidFill>
          </w14:textFill>
        </w:rPr>
        <w:t>款、第</w:t>
      </w:r>
      <w:r>
        <w:rPr>
          <w:rFonts w:ascii="Times New Roman" w:eastAsia="Times New Roman"/>
          <w:color w:val="000000" w:themeColor="text1"/>
          <w:sz w:val="24"/>
          <w:lang w:eastAsia="zh-CN"/>
          <w14:textFill>
            <w14:solidFill>
              <w14:schemeClr w14:val="tx1"/>
            </w14:solidFill>
          </w14:textFill>
        </w:rPr>
        <w:t xml:space="preserve">6.4 </w:t>
      </w:r>
      <w:r>
        <w:rPr>
          <w:rFonts w:hint="eastAsia"/>
          <w:color w:val="000000" w:themeColor="text1"/>
          <w:spacing w:val="-15"/>
          <w:sz w:val="24"/>
          <w:lang w:eastAsia="zh-CN"/>
          <w14:textFill>
            <w14:solidFill>
              <w14:schemeClr w14:val="tx1"/>
            </w14:solidFill>
          </w14:textFill>
        </w:rPr>
        <w:t>款、第</w:t>
      </w:r>
      <w:r>
        <w:rPr>
          <w:rFonts w:ascii="Times New Roman" w:eastAsia="Times New Roman"/>
          <w:color w:val="000000" w:themeColor="text1"/>
          <w:sz w:val="24"/>
          <w:lang w:eastAsia="zh-CN"/>
          <w14:textFill>
            <w14:solidFill>
              <w14:schemeClr w14:val="tx1"/>
            </w14:solidFill>
          </w14:textFill>
        </w:rPr>
        <w:t xml:space="preserve">6.5 </w:t>
      </w:r>
      <w:r>
        <w:rPr>
          <w:rFonts w:hint="eastAsia"/>
          <w:color w:val="000000" w:themeColor="text1"/>
          <w:spacing w:val="-15"/>
          <w:sz w:val="24"/>
          <w:lang w:eastAsia="zh-CN"/>
          <w14:textFill>
            <w14:solidFill>
              <w14:schemeClr w14:val="tx1"/>
            </w14:solidFill>
          </w14:textFill>
        </w:rPr>
        <w:t>款和第</w:t>
      </w:r>
      <w:r>
        <w:rPr>
          <w:rFonts w:ascii="Times New Roman" w:eastAsia="Times New Roman"/>
          <w:color w:val="000000" w:themeColor="text1"/>
          <w:sz w:val="24"/>
          <w:lang w:eastAsia="zh-CN"/>
          <w14:textFill>
            <w14:solidFill>
              <w14:schemeClr w14:val="tx1"/>
            </w14:solidFill>
          </w14:textFill>
        </w:rPr>
        <w:t xml:space="preserve">6.7 </w:t>
      </w:r>
      <w:r>
        <w:rPr>
          <w:rFonts w:hint="eastAsia"/>
          <w:color w:val="000000" w:themeColor="text1"/>
          <w:sz w:val="24"/>
          <w:lang w:eastAsia="zh-CN"/>
          <w14:textFill>
            <w14:solidFill>
              <w14:schemeClr w14:val="tx1"/>
            </w14:solidFill>
          </w14:textFill>
        </w:rPr>
        <w:t>款约定所作的调整。</w:t>
      </w:r>
    </w:p>
    <w:p>
      <w:pPr>
        <w:pStyle w:val="30"/>
        <w:tabs>
          <w:tab w:val="left" w:pos="1685"/>
        </w:tabs>
        <w:spacing w:before="1"/>
        <w:ind w:left="0" w:firstLine="468" w:firstLineChars="200"/>
        <w:jc w:val="both"/>
        <w:rPr>
          <w:color w:val="000000" w:themeColor="text1"/>
          <w:sz w:val="24"/>
          <w:lang w:eastAsia="zh-CN"/>
          <w14:textFill>
            <w14:solidFill>
              <w14:schemeClr w14:val="tx1"/>
            </w14:solidFill>
          </w14:textFill>
        </w:rPr>
      </w:pPr>
      <w:r>
        <w:rPr>
          <w:color w:val="000000" w:themeColor="text1"/>
          <w:spacing w:val="-3"/>
          <w:sz w:val="24"/>
          <w:lang w:eastAsia="zh-CN"/>
          <w14:textFill>
            <w14:solidFill>
              <w14:schemeClr w14:val="tx1"/>
            </w14:solidFill>
          </w14:textFill>
        </w:rPr>
        <w:t xml:space="preserve">1.1.4.4 </w:t>
      </w:r>
      <w:r>
        <w:rPr>
          <w:rFonts w:hint="eastAsia"/>
          <w:color w:val="000000" w:themeColor="text1"/>
          <w:spacing w:val="-14"/>
          <w:sz w:val="24"/>
          <w:lang w:eastAsia="zh-CN"/>
          <w14:textFill>
            <w14:solidFill>
              <w14:schemeClr w14:val="tx1"/>
            </w14:solidFill>
          </w14:textFill>
        </w:rPr>
        <w:t>完成勘察设计日期：指第</w:t>
      </w:r>
      <w:r>
        <w:rPr>
          <w:rFonts w:ascii="Times New Roman" w:eastAsia="Times New Roman"/>
          <w:color w:val="000000" w:themeColor="text1"/>
          <w:sz w:val="24"/>
          <w:lang w:eastAsia="zh-CN"/>
          <w14:textFill>
            <w14:solidFill>
              <w14:schemeClr w14:val="tx1"/>
            </w14:solidFill>
          </w14:textFill>
        </w:rPr>
        <w:t xml:space="preserve">1.1.4.3 </w:t>
      </w:r>
      <w:r>
        <w:rPr>
          <w:rFonts w:hint="eastAsia"/>
          <w:color w:val="000000" w:themeColor="text1"/>
          <w:sz w:val="24"/>
          <w:lang w:eastAsia="zh-CN"/>
          <w14:textFill>
            <w14:solidFill>
              <w14:schemeClr w14:val="tx1"/>
            </w14:solidFill>
          </w14:textFill>
        </w:rPr>
        <w:t>目约定勘察设计服务期限届满时的日期。</w:t>
      </w:r>
    </w:p>
    <w:p>
      <w:pPr>
        <w:pStyle w:val="30"/>
        <w:tabs>
          <w:tab w:val="left" w:pos="1685"/>
        </w:tabs>
        <w:spacing w:before="172"/>
        <w:ind w:left="0" w:firstLine="468" w:firstLineChars="200"/>
        <w:jc w:val="both"/>
        <w:rPr>
          <w:color w:val="000000" w:themeColor="text1"/>
          <w:sz w:val="24"/>
          <w:lang w:eastAsia="zh-CN"/>
          <w14:textFill>
            <w14:solidFill>
              <w14:schemeClr w14:val="tx1"/>
            </w14:solidFill>
          </w14:textFill>
        </w:rPr>
      </w:pPr>
      <w:r>
        <w:rPr>
          <w:color w:val="000000" w:themeColor="text1"/>
          <w:spacing w:val="-3"/>
          <w:sz w:val="24"/>
          <w:lang w:eastAsia="zh-CN"/>
          <w14:textFill>
            <w14:solidFill>
              <w14:schemeClr w14:val="tx1"/>
            </w14:solidFill>
          </w14:textFill>
        </w:rPr>
        <w:t xml:space="preserve">1.1.4.5 </w:t>
      </w:r>
      <w:r>
        <w:rPr>
          <w:rFonts w:hint="eastAsia"/>
          <w:color w:val="000000" w:themeColor="text1"/>
          <w:spacing w:val="-5"/>
          <w:sz w:val="24"/>
          <w:lang w:eastAsia="zh-CN"/>
          <w14:textFill>
            <w14:solidFill>
              <w14:schemeClr w14:val="tx1"/>
            </w14:solidFill>
          </w14:textFill>
        </w:rPr>
        <w:t>基准日：指投标截止时间前</w:t>
      </w:r>
      <w:r>
        <w:rPr>
          <w:rFonts w:ascii="Times New Roman" w:eastAsia="Times New Roman"/>
          <w:color w:val="000000" w:themeColor="text1"/>
          <w:sz w:val="24"/>
          <w:lang w:eastAsia="zh-CN"/>
          <w14:textFill>
            <w14:solidFill>
              <w14:schemeClr w14:val="tx1"/>
            </w14:solidFill>
          </w14:textFill>
        </w:rPr>
        <w:t xml:space="preserve">28 </w:t>
      </w:r>
      <w:r>
        <w:rPr>
          <w:rFonts w:hint="eastAsia"/>
          <w:color w:val="000000" w:themeColor="text1"/>
          <w:sz w:val="24"/>
          <w:lang w:eastAsia="zh-CN"/>
          <w14:textFill>
            <w14:solidFill>
              <w14:schemeClr w14:val="tx1"/>
            </w14:solidFill>
          </w14:textFill>
        </w:rPr>
        <w:t>天的日期。</w:t>
      </w:r>
    </w:p>
    <w:p>
      <w:pPr>
        <w:pStyle w:val="4"/>
        <w:spacing w:after="1" w:line="360" w:lineRule="auto"/>
        <w:ind w:left="424" w:right="-281"/>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1.1.4.6 </w:t>
      </w:r>
      <w:r>
        <w:rPr>
          <w:rFonts w:hint="eastAsia"/>
          <w:color w:val="000000" w:themeColor="text1"/>
          <w:spacing w:val="-6"/>
          <w:lang w:eastAsia="zh-CN"/>
          <w14:textFill>
            <w14:solidFill>
              <w14:schemeClr w14:val="tx1"/>
            </w14:solidFill>
          </w14:textFill>
        </w:rPr>
        <w:t>天：除特别指明外，指日历天。合同中按天计算时间的，开始当天不计</w:t>
      </w:r>
      <w:r>
        <w:rPr>
          <w:rFonts w:hint="eastAsia"/>
          <w:color w:val="000000" w:themeColor="text1"/>
          <w:lang w:eastAsia="zh-CN"/>
          <w14:textFill>
            <w14:solidFill>
              <w14:schemeClr w14:val="tx1"/>
            </w14:solidFill>
          </w14:textFill>
        </w:rPr>
        <w:t>入，从次日开始计算。期限最后一天的截止时间为当天</w:t>
      </w:r>
      <w:r>
        <w:rPr>
          <w:rFonts w:ascii="Times New Roman" w:eastAsia="Times New Roman"/>
          <w:color w:val="000000" w:themeColor="text1"/>
          <w:lang w:eastAsia="zh-CN"/>
          <w14:textFill>
            <w14:solidFill>
              <w14:schemeClr w14:val="tx1"/>
            </w14:solidFill>
          </w14:textFill>
        </w:rPr>
        <w:t>24:00</w:t>
      </w:r>
      <w:r>
        <w:rPr>
          <w:rFonts w:hint="eastAsia"/>
          <w:color w:val="000000" w:themeColor="text1"/>
          <w:lang w:eastAsia="zh-CN"/>
          <w14:textFill>
            <w14:solidFill>
              <w14:schemeClr w14:val="tx1"/>
            </w14:solidFill>
          </w14:textFill>
        </w:rPr>
        <w:t>。</w:t>
      </w:r>
    </w:p>
    <w:p>
      <w:pPr>
        <w:pStyle w:val="30"/>
        <w:numPr>
          <w:ilvl w:val="2"/>
          <w:numId w:val="18"/>
        </w:numPr>
        <w:tabs>
          <w:tab w:val="left" w:pos="1505"/>
        </w:tabs>
        <w:spacing w:before="173"/>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合同价格和费用</w:t>
      </w:r>
    </w:p>
    <w:p>
      <w:pPr>
        <w:pStyle w:val="30"/>
        <w:numPr>
          <w:ilvl w:val="3"/>
          <w:numId w:val="18"/>
        </w:numPr>
        <w:tabs>
          <w:tab w:val="left" w:pos="1685"/>
        </w:tabs>
        <w:spacing w:before="172" w:line="374" w:lineRule="auto"/>
        <w:ind w:right="-61" w:firstLine="480"/>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签约合同价：指签订合同时合同协议书中写明的、包括暂列金额在内的</w:t>
      </w:r>
      <w:r>
        <w:rPr>
          <w:rFonts w:hint="eastAsia"/>
          <w:color w:val="000000" w:themeColor="text1"/>
          <w:sz w:val="24"/>
          <w:lang w:eastAsia="zh-CN"/>
          <w14:textFill>
            <w14:solidFill>
              <w14:schemeClr w14:val="tx1"/>
            </w14:solidFill>
          </w14:textFill>
        </w:rPr>
        <w:t>勘察设计费用总金额。</w:t>
      </w:r>
    </w:p>
    <w:p>
      <w:pPr>
        <w:pStyle w:val="30"/>
        <w:numPr>
          <w:ilvl w:val="3"/>
          <w:numId w:val="18"/>
        </w:numPr>
        <w:tabs>
          <w:tab w:val="left" w:pos="1685"/>
        </w:tabs>
        <w:spacing w:before="1" w:line="374" w:lineRule="auto"/>
        <w:ind w:right="-61" w:firstLine="480"/>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合同价格：指设计人按合同约定完成了全部勘察设计工作后，发包人应</w:t>
      </w:r>
      <w:r>
        <w:rPr>
          <w:rFonts w:hint="eastAsia"/>
          <w:color w:val="000000" w:themeColor="text1"/>
          <w:sz w:val="24"/>
          <w:lang w:eastAsia="zh-CN"/>
          <w14:textFill>
            <w14:solidFill>
              <w14:schemeClr w14:val="tx1"/>
            </w14:solidFill>
          </w14:textFill>
        </w:rPr>
        <w:t>付给设计人的金额，包括在履行合同过程中按合同约定进行的变更和调整。</w:t>
      </w:r>
    </w:p>
    <w:p>
      <w:pPr>
        <w:pStyle w:val="30"/>
        <w:numPr>
          <w:ilvl w:val="3"/>
          <w:numId w:val="18"/>
        </w:numPr>
        <w:tabs>
          <w:tab w:val="left" w:pos="1685"/>
        </w:tabs>
        <w:spacing w:before="1" w:line="374" w:lineRule="auto"/>
        <w:ind w:right="-281" w:firstLine="480"/>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费用：指为履行合同所发生的或将要发生的所有合理开支，包括管理费</w:t>
      </w:r>
      <w:r>
        <w:rPr>
          <w:rFonts w:hint="eastAsia"/>
          <w:color w:val="000000" w:themeColor="text1"/>
          <w:sz w:val="24"/>
          <w:lang w:eastAsia="zh-CN"/>
          <w14:textFill>
            <w14:solidFill>
              <w14:schemeClr w14:val="tx1"/>
            </w14:solidFill>
          </w14:textFill>
        </w:rPr>
        <w:t>和应分摊的其他费用，但不包括利润。</w:t>
      </w:r>
    </w:p>
    <w:p>
      <w:pPr>
        <w:pStyle w:val="30"/>
        <w:numPr>
          <w:ilvl w:val="3"/>
          <w:numId w:val="18"/>
        </w:numPr>
        <w:tabs>
          <w:tab w:val="left" w:pos="1685"/>
        </w:tabs>
        <w:spacing w:before="1" w:line="374" w:lineRule="auto"/>
        <w:ind w:right="-281"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暂列金额：指暂时未定的，包括在合同中，并在报价清单汇总表中以此</w:t>
      </w:r>
      <w:r>
        <w:rPr>
          <w:rFonts w:hint="eastAsia"/>
          <w:color w:val="000000" w:themeColor="text1"/>
          <w:sz w:val="24"/>
          <w:lang w:eastAsia="zh-CN"/>
          <w14:textFill>
            <w14:solidFill>
              <w14:schemeClr w14:val="tx1"/>
            </w14:solidFill>
          </w14:textFill>
        </w:rPr>
        <w:t>名称标明的金额，用于进行本工程可能发生的额外勘察设计工作或作为不可预见费</w:t>
      </w:r>
      <w:r>
        <w:rPr>
          <w:rFonts w:hint="eastAsia"/>
          <w:color w:val="000000" w:themeColor="text1"/>
          <w:spacing w:val="-6"/>
          <w:sz w:val="24"/>
          <w:lang w:eastAsia="zh-CN"/>
          <w14:textFill>
            <w14:solidFill>
              <w14:schemeClr w14:val="tx1"/>
            </w14:solidFill>
          </w14:textFill>
        </w:rPr>
        <w:t>用，按照合同条款第</w:t>
      </w:r>
      <w:r>
        <w:rPr>
          <w:rFonts w:ascii="Times New Roman" w:eastAsia="Times New Roman"/>
          <w:color w:val="000000" w:themeColor="text1"/>
          <w:sz w:val="24"/>
          <w:lang w:eastAsia="zh-CN"/>
          <w14:textFill>
            <w14:solidFill>
              <w14:schemeClr w14:val="tx1"/>
            </w14:solidFill>
          </w14:textFill>
        </w:rPr>
        <w:t xml:space="preserve">12.5 </w:t>
      </w:r>
      <w:r>
        <w:rPr>
          <w:rFonts w:hint="eastAsia"/>
          <w:color w:val="000000" w:themeColor="text1"/>
          <w:sz w:val="24"/>
          <w:lang w:eastAsia="zh-CN"/>
          <w14:textFill>
            <w14:solidFill>
              <w14:schemeClr w14:val="tx1"/>
            </w14:solidFill>
          </w14:textFill>
        </w:rPr>
        <w:t>款的规定使用。</w:t>
      </w:r>
    </w:p>
    <w:p>
      <w:pPr>
        <w:pStyle w:val="30"/>
        <w:numPr>
          <w:ilvl w:val="2"/>
          <w:numId w:val="19"/>
        </w:numPr>
        <w:tabs>
          <w:tab w:val="left" w:pos="1505"/>
        </w:tabs>
        <w:spacing w:before="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其他</w:t>
      </w:r>
    </w:p>
    <w:p>
      <w:pPr>
        <w:pStyle w:val="30"/>
        <w:numPr>
          <w:ilvl w:val="3"/>
          <w:numId w:val="19"/>
        </w:numPr>
        <w:tabs>
          <w:tab w:val="left" w:pos="1685"/>
        </w:tabs>
        <w:spacing w:before="173" w:line="374" w:lineRule="auto"/>
        <w:ind w:right="-61" w:firstLine="480"/>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书面形式：指合同文件、信件和数据电文</w:t>
      </w:r>
      <w:r>
        <w:rPr>
          <w:rFonts w:hint="eastAsia"/>
          <w:color w:val="000000" w:themeColor="text1"/>
          <w:sz w:val="24"/>
          <w:lang w:eastAsia="zh-CN"/>
          <w14:textFill>
            <w14:solidFill>
              <w14:schemeClr w14:val="tx1"/>
            </w14:solidFill>
          </w14:textFill>
        </w:rPr>
        <w:t>（</w:t>
      </w:r>
      <w:r>
        <w:rPr>
          <w:rFonts w:hint="eastAsia"/>
          <w:color w:val="000000" w:themeColor="text1"/>
          <w:spacing w:val="-4"/>
          <w:sz w:val="24"/>
          <w:lang w:eastAsia="zh-CN"/>
          <w14:textFill>
            <w14:solidFill>
              <w14:schemeClr w14:val="tx1"/>
            </w14:solidFill>
          </w14:textFill>
        </w:rPr>
        <w:t>包括电报、电传、传真、电</w:t>
      </w:r>
      <w:r>
        <w:rPr>
          <w:rFonts w:hint="eastAsia"/>
          <w:color w:val="000000" w:themeColor="text1"/>
          <w:sz w:val="24"/>
          <w:lang w:eastAsia="zh-CN"/>
          <w14:textFill>
            <w14:solidFill>
              <w14:schemeClr w14:val="tx1"/>
            </w14:solidFill>
          </w14:textFill>
        </w:rPr>
        <w:t>子数据交换和电子邮件）等可以有形地表现所载内容的形式。</w:t>
      </w:r>
    </w:p>
    <w:p>
      <w:pPr>
        <w:pStyle w:val="30"/>
        <w:numPr>
          <w:ilvl w:val="3"/>
          <w:numId w:val="19"/>
        </w:numPr>
        <w:tabs>
          <w:tab w:val="left" w:pos="1685"/>
        </w:tabs>
        <w:spacing w:line="374" w:lineRule="auto"/>
        <w:ind w:right="-61" w:firstLine="480"/>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勘察设计质量事故：指在缺陷责任期结束前，由于勘察设计原因使工程</w:t>
      </w:r>
      <w:r>
        <w:rPr>
          <w:rFonts w:hint="eastAsia"/>
          <w:color w:val="000000" w:themeColor="text1"/>
          <w:sz w:val="24"/>
          <w:lang w:eastAsia="zh-CN"/>
          <w14:textFill>
            <w14:solidFill>
              <w14:schemeClr w14:val="tx1"/>
            </w14:solidFill>
          </w14:textFill>
        </w:rPr>
        <w:t>不满足技术标准及设计要求，并造成结构损毁或一定直接经济损失的事故。</w:t>
      </w:r>
    </w:p>
    <w:p>
      <w:pPr>
        <w:pStyle w:val="4"/>
        <w:spacing w:before="1" w:line="374" w:lineRule="auto"/>
        <w:ind w:left="424" w:right="-281" w:firstLine="479"/>
        <w:jc w:val="both"/>
        <w:rPr>
          <w:color w:val="000000" w:themeColor="text1"/>
          <w:lang w:eastAsia="zh-CN"/>
          <w14:textFill>
            <w14:solidFill>
              <w14:schemeClr w14:val="tx1"/>
            </w14:solidFill>
          </w14:textFill>
        </w:rPr>
      </w:pPr>
      <w:r>
        <w:rPr>
          <w:rFonts w:hint="eastAsia"/>
          <w:color w:val="000000" w:themeColor="text1"/>
          <w:spacing w:val="-3"/>
          <w:lang w:eastAsia="zh-CN"/>
          <w14:textFill>
            <w14:solidFill>
              <w14:schemeClr w14:val="tx1"/>
            </w14:solidFill>
          </w14:textFill>
        </w:rPr>
        <w:t>根据直接经济损失或工程结构损毁情况</w:t>
      </w:r>
      <w:r>
        <w:rPr>
          <w:rFonts w:hint="eastAsia"/>
          <w:color w:val="000000" w:themeColor="text1"/>
          <w:lang w:eastAsia="zh-CN"/>
          <w14:textFill>
            <w14:solidFill>
              <w14:schemeClr w14:val="tx1"/>
            </w14:solidFill>
          </w14:textFill>
        </w:rPr>
        <w:t>（自然灾害所致除外</w:t>
      </w:r>
      <w:r>
        <w:rPr>
          <w:rFonts w:hint="eastAsia"/>
          <w:color w:val="000000" w:themeColor="text1"/>
          <w:spacing w:val="-82"/>
          <w:lang w:eastAsia="zh-CN"/>
          <w14:textFill>
            <w14:solidFill>
              <w14:schemeClr w14:val="tx1"/>
            </w14:solidFill>
          </w14:textFill>
        </w:rPr>
        <w:t>）</w:t>
      </w:r>
      <w:r>
        <w:rPr>
          <w:rFonts w:hint="eastAsia"/>
          <w:color w:val="000000" w:themeColor="text1"/>
          <w:spacing w:val="-13"/>
          <w:lang w:eastAsia="zh-CN"/>
          <w14:textFill>
            <w14:solidFill>
              <w14:schemeClr w14:val="tx1"/>
            </w14:solidFill>
          </w14:textFill>
        </w:rPr>
        <w:t>，勘察设计质量事</w:t>
      </w:r>
      <w:r>
        <w:rPr>
          <w:rFonts w:hint="eastAsia"/>
          <w:color w:val="000000" w:themeColor="text1"/>
          <w:spacing w:val="-15"/>
          <w:lang w:eastAsia="zh-CN"/>
          <w14:textFill>
            <w14:solidFill>
              <w14:schemeClr w14:val="tx1"/>
            </w14:solidFill>
          </w14:textFill>
        </w:rPr>
        <w:t>故分为特别重大质量事故、重大质量事故、较大质量事故和一般质量事故四个等级，</w:t>
      </w:r>
      <w:r>
        <w:rPr>
          <w:rFonts w:hint="eastAsia"/>
          <w:color w:val="000000" w:themeColor="text1"/>
          <w:lang w:eastAsia="zh-CN"/>
          <w14:textFill>
            <w14:solidFill>
              <w14:schemeClr w14:val="tx1"/>
            </w14:solidFill>
          </w14:textFill>
        </w:rPr>
        <w:t>上述质量事故的界定按交通运输部《公路水运建设工程质量事故等级划分和报告制度》规定执行。</w:t>
      </w:r>
    </w:p>
    <w:p>
      <w:pPr>
        <w:numPr>
          <w:ilvl w:val="1"/>
          <w:numId w:val="20"/>
        </w:numPr>
        <w:tabs>
          <w:tab w:val="left" w:pos="1327"/>
        </w:tabs>
        <w:spacing w:before="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语言文字</w:t>
      </w:r>
    </w:p>
    <w:p>
      <w:pPr>
        <w:pStyle w:val="4"/>
        <w:spacing w:before="172"/>
        <w:ind w:left="90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合同使用的语言文字为中文。专用术语使用外文的，应附有中文注释。</w:t>
      </w:r>
    </w:p>
    <w:p>
      <w:pPr>
        <w:numPr>
          <w:ilvl w:val="1"/>
          <w:numId w:val="20"/>
        </w:numPr>
        <w:tabs>
          <w:tab w:val="left" w:pos="1327"/>
        </w:tabs>
        <w:spacing w:before="173"/>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适用法律</w:t>
      </w:r>
    </w:p>
    <w:p>
      <w:pPr>
        <w:pStyle w:val="4"/>
        <w:spacing w:before="172" w:line="374" w:lineRule="auto"/>
        <w:ind w:left="424" w:right="-281"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适用于合同的法律包括中华人民共和国法律、行政法规、部门规章，以及工程所在地的地方法规、自治条例、单行条例和地方政府规章。</w:t>
      </w:r>
    </w:p>
    <w:p>
      <w:pPr>
        <w:pStyle w:val="4"/>
        <w:spacing w:before="1"/>
        <w:ind w:left="904"/>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本合同适用的其他规范性文件，可在专用合同条款中约定。</w:t>
      </w:r>
    </w:p>
    <w:p>
      <w:pPr>
        <w:numPr>
          <w:ilvl w:val="1"/>
          <w:numId w:val="20"/>
        </w:numPr>
        <w:tabs>
          <w:tab w:val="left" w:pos="1327"/>
        </w:tabs>
        <w:spacing w:before="173"/>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合同文件的优先顺序</w:t>
      </w:r>
    </w:p>
    <w:p>
      <w:pPr>
        <w:pStyle w:val="4"/>
        <w:spacing w:line="360" w:lineRule="auto"/>
        <w:ind w:left="424" w:firstLine="480" w:firstLineChars="200"/>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组成合同的各项文件应互相解释，互为说明。除专用合同条款另有约定外，解释合同文件的优先顺序如下：</w:t>
      </w:r>
    </w:p>
    <w:p>
      <w:pPr>
        <w:pStyle w:val="30"/>
        <w:numPr>
          <w:ilvl w:val="0"/>
          <w:numId w:val="21"/>
        </w:numPr>
        <w:tabs>
          <w:tab w:val="left" w:pos="1506"/>
        </w:tabs>
        <w:spacing w:before="172" w:line="374" w:lineRule="auto"/>
        <w:ind w:right="-281"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合同协议书及各种合同附件</w:t>
      </w:r>
      <w:r>
        <w:rPr>
          <w:rFonts w:hint="eastAsia"/>
          <w:color w:val="000000" w:themeColor="text1"/>
          <w:sz w:val="24"/>
          <w:lang w:eastAsia="zh-CN"/>
          <w14:textFill>
            <w14:solidFill>
              <w14:schemeClr w14:val="tx1"/>
            </w14:solidFill>
          </w14:textFill>
        </w:rPr>
        <w:t>（含评标期间和合同谈判过程中的澄清文件</w:t>
      </w:r>
      <w:r>
        <w:rPr>
          <w:rFonts w:hint="eastAsia"/>
          <w:color w:val="000000" w:themeColor="text1"/>
          <w:spacing w:val="-4"/>
          <w:sz w:val="24"/>
          <w:lang w:eastAsia="zh-CN"/>
          <w14:textFill>
            <w14:solidFill>
              <w14:schemeClr w14:val="tx1"/>
            </w14:solidFill>
          </w14:textFill>
        </w:rPr>
        <w:t>和补充资料；设计人提交的经发包人审核通过的勘察设计详细工作大纲及进度计划、专题研究详细工作大纲等</w:t>
      </w:r>
      <w:r>
        <w:rPr>
          <w:rFonts w:hint="eastAsia"/>
          <w:color w:val="000000" w:themeColor="text1"/>
          <w:spacing w:val="-120"/>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w:t>
      </w:r>
    </w:p>
    <w:p>
      <w:pPr>
        <w:pStyle w:val="30"/>
        <w:numPr>
          <w:ilvl w:val="0"/>
          <w:numId w:val="21"/>
        </w:numPr>
        <w:tabs>
          <w:tab w:val="left" w:pos="1506"/>
        </w:tabs>
        <w:spacing w:before="1"/>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中标通知书；</w:t>
      </w:r>
    </w:p>
    <w:p>
      <w:pPr>
        <w:pStyle w:val="30"/>
        <w:numPr>
          <w:ilvl w:val="0"/>
          <w:numId w:val="21"/>
        </w:numPr>
        <w:tabs>
          <w:tab w:val="left" w:pos="1506"/>
        </w:tabs>
        <w:spacing w:before="173"/>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投标函；</w:t>
      </w:r>
    </w:p>
    <w:p>
      <w:pPr>
        <w:pStyle w:val="30"/>
        <w:numPr>
          <w:ilvl w:val="0"/>
          <w:numId w:val="21"/>
        </w:numPr>
        <w:tabs>
          <w:tab w:val="left" w:pos="1506"/>
        </w:tabs>
        <w:spacing w:before="173"/>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专用合同条款；</w:t>
      </w:r>
    </w:p>
    <w:p>
      <w:pPr>
        <w:pStyle w:val="30"/>
        <w:numPr>
          <w:ilvl w:val="0"/>
          <w:numId w:val="21"/>
        </w:numPr>
        <w:tabs>
          <w:tab w:val="left" w:pos="1506"/>
        </w:tabs>
        <w:spacing w:before="172"/>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通用合同条款；</w:t>
      </w:r>
    </w:p>
    <w:p>
      <w:pPr>
        <w:pStyle w:val="30"/>
        <w:numPr>
          <w:ilvl w:val="0"/>
          <w:numId w:val="21"/>
        </w:numPr>
        <w:tabs>
          <w:tab w:val="left" w:pos="1506"/>
        </w:tabs>
        <w:spacing w:before="173"/>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发包人要求；</w:t>
      </w:r>
    </w:p>
    <w:p>
      <w:pPr>
        <w:pStyle w:val="30"/>
        <w:numPr>
          <w:ilvl w:val="0"/>
          <w:numId w:val="21"/>
        </w:numPr>
        <w:tabs>
          <w:tab w:val="left" w:pos="1506"/>
        </w:tabs>
        <w:spacing w:before="172"/>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勘察设计费用清单；</w:t>
      </w:r>
    </w:p>
    <w:p>
      <w:pPr>
        <w:pStyle w:val="30"/>
        <w:numPr>
          <w:ilvl w:val="0"/>
          <w:numId w:val="21"/>
        </w:numPr>
        <w:tabs>
          <w:tab w:val="left" w:pos="1506"/>
        </w:tabs>
        <w:spacing w:before="173"/>
        <w:ind w:left="1505"/>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设计人有关人员投入的承诺；</w:t>
      </w:r>
    </w:p>
    <w:p>
      <w:pPr>
        <w:pStyle w:val="30"/>
        <w:numPr>
          <w:ilvl w:val="0"/>
          <w:numId w:val="21"/>
        </w:numPr>
        <w:tabs>
          <w:tab w:val="left" w:pos="1506"/>
        </w:tabs>
        <w:spacing w:before="172"/>
        <w:ind w:left="150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其他合同文件。</w:t>
      </w:r>
    </w:p>
    <w:p>
      <w:pPr>
        <w:pStyle w:val="4"/>
        <w:spacing w:before="173" w:line="374" w:lineRule="auto"/>
        <w:ind w:left="424" w:right="-281"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合同当事人针对各类合同文件所作出的补充和修改亦属于合同文件的组成部分，属于同一类内容的文件，应以最新签署的为准。</w:t>
      </w:r>
    </w:p>
    <w:p>
      <w:pPr>
        <w:numPr>
          <w:ilvl w:val="1"/>
          <w:numId w:val="20"/>
        </w:numPr>
        <w:tabs>
          <w:tab w:val="left" w:pos="1327"/>
        </w:tabs>
        <w:spacing w:before="1"/>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合同协议书</w:t>
      </w:r>
    </w:p>
    <w:p>
      <w:pPr>
        <w:pStyle w:val="4"/>
        <w:spacing w:before="172" w:line="374" w:lineRule="auto"/>
        <w:ind w:left="424" w:right="-281"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设计人按中标通知书规定的时间与发包人签订合同协议书。除法律另有规定或合同另有约定外，发包人和设计人的法定代表人或其委托代理人在合同协议书上签字并盖单位章后，合同生效。</w:t>
      </w:r>
    </w:p>
    <w:p>
      <w:pPr>
        <w:numPr>
          <w:ilvl w:val="1"/>
          <w:numId w:val="20"/>
        </w:numPr>
        <w:tabs>
          <w:tab w:val="left" w:pos="1327"/>
        </w:tabs>
        <w:spacing w:before="1"/>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文件的提供和照管</w:t>
      </w:r>
    </w:p>
    <w:p>
      <w:pPr>
        <w:pStyle w:val="30"/>
        <w:numPr>
          <w:ilvl w:val="2"/>
          <w:numId w:val="20"/>
        </w:numPr>
        <w:tabs>
          <w:tab w:val="left" w:pos="1505"/>
        </w:tabs>
        <w:spacing w:before="173"/>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勘察设计文件的提供</w:t>
      </w:r>
    </w:p>
    <w:p>
      <w:pPr>
        <w:pStyle w:val="4"/>
        <w:tabs>
          <w:tab w:val="left" w:pos="8580"/>
        </w:tabs>
        <w:spacing w:before="173" w:line="374" w:lineRule="auto"/>
        <w:ind w:left="424" w:right="-281"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除专用合同条款另有约定外，设计人应在合理的期限内按照合同约定的数量向发包人提供勘察设计文件。合同约定勘察设计文件应经发包人批复的，发包人应在合同约定的期限内批复或提出修改意见。</w:t>
      </w:r>
    </w:p>
    <w:p>
      <w:pPr>
        <w:pStyle w:val="30"/>
        <w:numPr>
          <w:ilvl w:val="2"/>
          <w:numId w:val="20"/>
        </w:numPr>
        <w:tabs>
          <w:tab w:val="left" w:pos="1505"/>
        </w:tabs>
        <w:spacing w:before="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发包人提供的文件</w:t>
      </w:r>
    </w:p>
    <w:p>
      <w:pPr>
        <w:pStyle w:val="4"/>
        <w:spacing w:before="172" w:line="374" w:lineRule="auto"/>
        <w:ind w:left="424" w:right="-281" w:firstLine="479"/>
        <w:jc w:val="both"/>
        <w:rPr>
          <w:color w:val="000000" w:themeColor="text1"/>
          <w:lang w:eastAsia="zh-CN"/>
          <w14:textFill>
            <w14:solidFill>
              <w14:schemeClr w14:val="tx1"/>
            </w14:solidFill>
          </w14:textFill>
        </w:rPr>
      </w:pPr>
      <w:r>
        <w:rPr>
          <w:rFonts w:hint="eastAsia"/>
          <w:color w:val="000000" w:themeColor="text1"/>
          <w:spacing w:val="-11"/>
          <w:lang w:eastAsia="zh-CN"/>
          <w14:textFill>
            <w14:solidFill>
              <w14:schemeClr w14:val="tx1"/>
            </w14:solidFill>
          </w14:textFill>
        </w:rPr>
        <w:t>按专用合同条款约定由发包人提供的文件，包括基础资料、勘察设计任务书等，</w:t>
      </w:r>
      <w:r>
        <w:rPr>
          <w:rFonts w:hint="eastAsia"/>
          <w:color w:val="000000" w:themeColor="text1"/>
          <w:spacing w:val="-1"/>
          <w:lang w:eastAsia="zh-CN"/>
          <w14:textFill>
            <w14:solidFill>
              <w14:schemeClr w14:val="tx1"/>
            </w14:solidFill>
          </w14:textFill>
        </w:rPr>
        <w:t>发包人应按约定的数量和期限交给设计人。由于发包人未按时提供文件造成勘察设</w:t>
      </w:r>
      <w:r>
        <w:rPr>
          <w:rFonts w:hint="eastAsia"/>
          <w:color w:val="000000" w:themeColor="text1"/>
          <w:spacing w:val="-5"/>
          <w:lang w:eastAsia="zh-CN"/>
          <w14:textFill>
            <w14:solidFill>
              <w14:schemeClr w14:val="tx1"/>
            </w14:solidFill>
          </w14:textFill>
        </w:rPr>
        <w:t>计服务期限延误的，按第</w:t>
      </w:r>
      <w:r>
        <w:rPr>
          <w:rFonts w:ascii="Times New Roman" w:eastAsia="Times New Roman"/>
          <w:color w:val="000000" w:themeColor="text1"/>
          <w:lang w:eastAsia="zh-CN"/>
          <w14:textFill>
            <w14:solidFill>
              <w14:schemeClr w14:val="tx1"/>
            </w14:solidFill>
          </w14:textFill>
        </w:rPr>
        <w:t xml:space="preserve">6.2 </w:t>
      </w:r>
      <w:r>
        <w:rPr>
          <w:rFonts w:hint="eastAsia"/>
          <w:color w:val="000000" w:themeColor="text1"/>
          <w:lang w:eastAsia="zh-CN"/>
          <w14:textFill>
            <w14:solidFill>
              <w14:schemeClr w14:val="tx1"/>
            </w14:solidFill>
          </w14:textFill>
        </w:rPr>
        <w:t>款约定执行。</w:t>
      </w:r>
    </w:p>
    <w:p>
      <w:pPr>
        <w:pStyle w:val="30"/>
        <w:numPr>
          <w:ilvl w:val="2"/>
          <w:numId w:val="20"/>
        </w:numPr>
        <w:tabs>
          <w:tab w:val="left" w:pos="1505"/>
        </w:tabs>
        <w:spacing w:before="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文件错误的通知</w:t>
      </w:r>
    </w:p>
    <w:p>
      <w:pPr>
        <w:pStyle w:val="4"/>
        <w:spacing w:before="67" w:line="374" w:lineRule="auto"/>
        <w:ind w:left="424" w:right="-281"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任何一方当事人发现文件中存在的明显错误或疏忽，均应及时通知对方当事人，并应立即采取适当的措施防止损失扩大。</w:t>
      </w:r>
    </w:p>
    <w:p>
      <w:pPr>
        <w:numPr>
          <w:ilvl w:val="1"/>
          <w:numId w:val="22"/>
        </w:numPr>
        <w:tabs>
          <w:tab w:val="left" w:pos="1327"/>
        </w:tabs>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联络</w:t>
      </w:r>
    </w:p>
    <w:p>
      <w:pPr>
        <w:pStyle w:val="30"/>
        <w:tabs>
          <w:tab w:val="left" w:pos="1505"/>
        </w:tabs>
        <w:spacing w:before="173" w:line="374" w:lineRule="auto"/>
        <w:ind w:left="0" w:right="-61" w:firstLine="404" w:firstLineChars="200"/>
        <w:rPr>
          <w:color w:val="000000" w:themeColor="text1"/>
          <w:sz w:val="24"/>
          <w:lang w:eastAsia="zh-CN"/>
          <w14:textFill>
            <w14:solidFill>
              <w14:schemeClr w14:val="tx1"/>
            </w14:solidFill>
          </w14:textFill>
        </w:rPr>
      </w:pPr>
      <w:r>
        <w:rPr>
          <w:color w:val="000000" w:themeColor="text1"/>
          <w:spacing w:val="-19"/>
          <w:sz w:val="24"/>
          <w:lang w:eastAsia="zh-CN"/>
          <w14:textFill>
            <w14:solidFill>
              <w14:schemeClr w14:val="tx1"/>
            </w14:solidFill>
          </w14:textFill>
        </w:rPr>
        <w:t xml:space="preserve">1.7.1 </w:t>
      </w:r>
      <w:r>
        <w:rPr>
          <w:rFonts w:hint="eastAsia"/>
          <w:color w:val="000000" w:themeColor="text1"/>
          <w:spacing w:val="-19"/>
          <w:sz w:val="24"/>
          <w:lang w:eastAsia="zh-CN"/>
          <w14:textFill>
            <w14:solidFill>
              <w14:schemeClr w14:val="tx1"/>
            </w14:solidFill>
          </w14:textFill>
        </w:rPr>
        <w:t>与合同有关的通知、批准、证明、证书、指示、要求、请求、同意、意见、</w:t>
      </w:r>
      <w:r>
        <w:rPr>
          <w:rFonts w:hint="eastAsia"/>
          <w:color w:val="000000" w:themeColor="text1"/>
          <w:sz w:val="24"/>
          <w:lang w:eastAsia="zh-CN"/>
          <w14:textFill>
            <w14:solidFill>
              <w14:schemeClr w14:val="tx1"/>
            </w14:solidFill>
          </w14:textFill>
        </w:rPr>
        <w:t>确定和决定等，均应采用书面形式。</w:t>
      </w:r>
    </w:p>
    <w:p>
      <w:pPr>
        <w:pStyle w:val="30"/>
        <w:tabs>
          <w:tab w:val="left" w:pos="1505"/>
          <w:tab w:val="left" w:pos="7480"/>
        </w:tabs>
        <w:spacing w:line="374" w:lineRule="auto"/>
        <w:ind w:left="0" w:right="-281" w:firstLine="436" w:firstLineChars="200"/>
        <w:jc w:val="both"/>
        <w:rPr>
          <w:color w:val="000000" w:themeColor="text1"/>
          <w:sz w:val="24"/>
          <w:lang w:eastAsia="zh-CN"/>
          <w14:textFill>
            <w14:solidFill>
              <w14:schemeClr w14:val="tx1"/>
            </w14:solidFill>
          </w14:textFill>
        </w:rPr>
      </w:pPr>
      <w:r>
        <w:rPr>
          <w:color w:val="000000" w:themeColor="text1"/>
          <w:spacing w:val="-11"/>
          <w:sz w:val="24"/>
          <w:lang w:eastAsia="zh-CN"/>
          <w14:textFill>
            <w14:solidFill>
              <w14:schemeClr w14:val="tx1"/>
            </w14:solidFill>
          </w14:textFill>
        </w:rPr>
        <w:t xml:space="preserve">1.7.2 </w:t>
      </w:r>
      <w:r>
        <w:rPr>
          <w:rFonts w:hint="eastAsia"/>
          <w:color w:val="000000" w:themeColor="text1"/>
          <w:spacing w:val="-11"/>
          <w:sz w:val="24"/>
          <w:lang w:eastAsia="zh-CN"/>
          <w14:textFill>
            <w14:solidFill>
              <w14:schemeClr w14:val="tx1"/>
            </w14:solidFill>
          </w14:textFill>
        </w:rPr>
        <w:t>上述通知、批准、证明、证书、指示、要求、请求、同意、意见、确定和</w:t>
      </w:r>
      <w:r>
        <w:rPr>
          <w:rFonts w:hint="eastAsia"/>
          <w:color w:val="000000" w:themeColor="text1"/>
          <w:sz w:val="24"/>
          <w:lang w:eastAsia="zh-CN"/>
          <w14:textFill>
            <w14:solidFill>
              <w14:schemeClr w14:val="tx1"/>
            </w14:solidFill>
          </w14:textFill>
        </w:rPr>
        <w:t>决定等来往函件，均应在合同约定的期限内送达指定的地点和指定的接收人，并办理签收手续。</w:t>
      </w:r>
    </w:p>
    <w:p>
      <w:pPr>
        <w:numPr>
          <w:ilvl w:val="1"/>
          <w:numId w:val="23"/>
        </w:numPr>
        <w:tabs>
          <w:tab w:val="left" w:pos="1327"/>
        </w:tabs>
        <w:spacing w:before="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转让</w:t>
      </w:r>
    </w:p>
    <w:p>
      <w:pPr>
        <w:pStyle w:val="4"/>
        <w:spacing w:before="172"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除专用合同条款另有约定外，未经对方当事人同意，一方当事人不得将合同权利全部或部分转让给第三人，也不得全部或部分转移合同义务。</w:t>
      </w:r>
    </w:p>
    <w:p>
      <w:pPr>
        <w:numPr>
          <w:ilvl w:val="1"/>
          <w:numId w:val="23"/>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严禁贿赂</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合同双方当事人不得以贿赂或变相贿赂的方式，谋取不当利益或损害对方权益。因贿赂造成对方当事人损失的，行为人应赔偿损失，并承担相应的法律责任。</w:t>
      </w:r>
    </w:p>
    <w:p>
      <w:pPr>
        <w:numPr>
          <w:ilvl w:val="1"/>
          <w:numId w:val="23"/>
        </w:numPr>
        <w:tabs>
          <w:tab w:val="left" w:pos="1447"/>
        </w:tabs>
        <w:ind w:left="1446" w:right="-279" w:rightChars="-127" w:hanging="54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知识产权</w:t>
      </w:r>
    </w:p>
    <w:p>
      <w:pPr>
        <w:pStyle w:val="30"/>
        <w:numPr>
          <w:ilvl w:val="2"/>
          <w:numId w:val="23"/>
        </w:numPr>
        <w:tabs>
          <w:tab w:val="left" w:pos="1625"/>
        </w:tabs>
        <w:spacing w:before="173"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除专用合同条款另有约定外，设计人因受发包人委托进行的本项目勘察设计及专题研究而产生的成果均为双方所共同享有，其中任何一方向第三方转让时须经另一方同意，但若发包人因推进本项目的需要向第三者透露研究成果，则无须</w:t>
      </w:r>
      <w:r>
        <w:rPr>
          <w:rFonts w:hint="eastAsia"/>
          <w:color w:val="000000" w:themeColor="text1"/>
          <w:sz w:val="24"/>
          <w:lang w:eastAsia="zh-CN"/>
          <w14:textFill>
            <w14:solidFill>
              <w14:schemeClr w14:val="tx1"/>
            </w14:solidFill>
          </w14:textFill>
        </w:rPr>
        <w:t>经过设计人的同意。</w:t>
      </w:r>
    </w:p>
    <w:p>
      <w:pPr>
        <w:pStyle w:val="30"/>
        <w:numPr>
          <w:ilvl w:val="2"/>
          <w:numId w:val="23"/>
        </w:numPr>
        <w:tabs>
          <w:tab w:val="left" w:pos="1625"/>
        </w:tabs>
        <w:spacing w:before="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设计人在从事勘察设计活动时，不得侵犯他人的知识产权。因侵犯专利权或其他知识产权所引起的责任，由设计人自行承担。因发包人提供的勘察设计资</w:t>
      </w:r>
      <w:r>
        <w:rPr>
          <w:rFonts w:hint="eastAsia"/>
          <w:color w:val="000000" w:themeColor="text1"/>
          <w:sz w:val="24"/>
          <w:lang w:eastAsia="zh-CN"/>
          <w14:textFill>
            <w14:solidFill>
              <w14:schemeClr w14:val="tx1"/>
            </w14:solidFill>
          </w14:textFill>
        </w:rPr>
        <w:t>料导致侵权的，由发包人承担责任。</w:t>
      </w:r>
    </w:p>
    <w:p>
      <w:pPr>
        <w:pStyle w:val="30"/>
        <w:numPr>
          <w:ilvl w:val="2"/>
          <w:numId w:val="23"/>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设计人在投标文件中采用专利技术、专有技术的，相应的使用费视为已</w:t>
      </w:r>
      <w:r>
        <w:rPr>
          <w:rFonts w:hint="eastAsia"/>
          <w:color w:val="000000" w:themeColor="text1"/>
          <w:sz w:val="24"/>
          <w:lang w:eastAsia="zh-CN"/>
          <w14:textFill>
            <w14:solidFill>
              <w14:schemeClr w14:val="tx1"/>
            </w14:solidFill>
          </w14:textFill>
        </w:rPr>
        <w:t>包含在投标报价之中。</w:t>
      </w:r>
    </w:p>
    <w:p>
      <w:pPr>
        <w:numPr>
          <w:ilvl w:val="1"/>
          <w:numId w:val="24"/>
        </w:numPr>
        <w:tabs>
          <w:tab w:val="left" w:pos="1433"/>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文件及信息的保密</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未经对方同意，任何一方当事人不得将有关文件、技术秘密、需要保密的资料和信息泄露给他人或公开发表与引用。</w:t>
      </w:r>
    </w:p>
    <w:p>
      <w:pPr>
        <w:numPr>
          <w:ilvl w:val="1"/>
          <w:numId w:val="24"/>
        </w:numPr>
        <w:tabs>
          <w:tab w:val="left" w:pos="1447"/>
        </w:tabs>
        <w:spacing w:before="1"/>
        <w:ind w:left="1446" w:right="-279" w:rightChars="-127" w:hanging="54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发包人要求</w:t>
      </w:r>
    </w:p>
    <w:p>
      <w:pPr>
        <w:pStyle w:val="30"/>
        <w:tabs>
          <w:tab w:val="left" w:pos="1625"/>
        </w:tabs>
        <w:spacing w:before="74" w:line="374" w:lineRule="auto"/>
        <w:ind w:left="0" w:right="-279" w:rightChars="-127" w:firstLineChars="20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 xml:space="preserve">1.12.1 </w:t>
      </w:r>
      <w:r>
        <w:rPr>
          <w:rFonts w:hint="eastAsia"/>
          <w:color w:val="000000" w:themeColor="text1"/>
          <w:sz w:val="24"/>
          <w:lang w:eastAsia="zh-CN"/>
          <w14:textFill>
            <w14:solidFill>
              <w14:schemeClr w14:val="tx1"/>
            </w14:solidFill>
          </w14:textFill>
        </w:rPr>
        <w:t>设计人应认真阅读、复核发包人要求，发现错误的，应及时书面通知发</w:t>
      </w:r>
      <w:r>
        <w:rPr>
          <w:rFonts w:hint="eastAsia"/>
          <w:color w:val="000000" w:themeColor="text1"/>
          <w:spacing w:val="-2"/>
          <w:sz w:val="24"/>
          <w:lang w:eastAsia="zh-CN"/>
          <w14:textFill>
            <w14:solidFill>
              <w14:schemeClr w14:val="tx1"/>
            </w14:solidFill>
          </w14:textFill>
        </w:rPr>
        <w:t>包人。无论是否存在错误，发包人均有权修改发包人要求，并在修改后</w:t>
      </w:r>
      <w:r>
        <w:rPr>
          <w:rFonts w:ascii="Times New Roman" w:eastAsia="Times New Roman"/>
          <w:color w:val="000000" w:themeColor="text1"/>
          <w:sz w:val="24"/>
          <w:lang w:eastAsia="zh-CN"/>
          <w14:textFill>
            <w14:solidFill>
              <w14:schemeClr w14:val="tx1"/>
            </w14:solidFill>
          </w14:textFill>
        </w:rPr>
        <w:t>3</w:t>
      </w:r>
      <w:r>
        <w:rPr>
          <w:rFonts w:hint="eastAsia"/>
          <w:color w:val="000000" w:themeColor="text1"/>
          <w:spacing w:val="-4"/>
          <w:sz w:val="24"/>
          <w:lang w:eastAsia="zh-CN"/>
          <w14:textFill>
            <w14:solidFill>
              <w14:schemeClr w14:val="tx1"/>
            </w14:solidFill>
          </w14:textFill>
        </w:rPr>
        <w:t>天内通知</w:t>
      </w:r>
      <w:r>
        <w:rPr>
          <w:rFonts w:hint="eastAsia"/>
          <w:color w:val="000000" w:themeColor="text1"/>
          <w:sz w:val="24"/>
          <w:lang w:eastAsia="zh-CN"/>
          <w14:textFill>
            <w14:solidFill>
              <w14:schemeClr w14:val="tx1"/>
            </w14:solidFill>
          </w14:textFill>
        </w:rPr>
        <w:t>设计人。除专用合同条款另有约定外，由此导致设计人费用增加和</w:t>
      </w:r>
      <w:r>
        <w:rPr>
          <w:rFonts w:hint="eastAsia"/>
          <w:color w:val="000000" w:themeColor="text1"/>
          <w:spacing w:val="3"/>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或）</w:t>
      </w:r>
      <w:r>
        <w:rPr>
          <w:rFonts w:hint="eastAsia"/>
          <w:color w:val="000000" w:themeColor="text1"/>
          <w:spacing w:val="-3"/>
          <w:sz w:val="24"/>
          <w:lang w:eastAsia="zh-CN"/>
          <w14:textFill>
            <w14:solidFill>
              <w14:schemeClr w14:val="tx1"/>
            </w14:solidFill>
          </w14:textFill>
        </w:rPr>
        <w:t>周期延误</w:t>
      </w:r>
      <w:r>
        <w:rPr>
          <w:rFonts w:hint="eastAsia"/>
          <w:color w:val="000000" w:themeColor="text1"/>
          <w:sz w:val="24"/>
          <w:lang w:eastAsia="zh-CN"/>
          <w14:textFill>
            <w14:solidFill>
              <w14:schemeClr w14:val="tx1"/>
            </w14:solidFill>
          </w14:textFill>
        </w:rPr>
        <w:t>的，发包人应当相应地增加费用和（或）延长周期。</w:t>
      </w:r>
    </w:p>
    <w:p>
      <w:pPr>
        <w:pStyle w:val="30"/>
        <w:tabs>
          <w:tab w:val="left" w:pos="1625"/>
        </w:tabs>
        <w:spacing w:before="2" w:line="374" w:lineRule="auto"/>
        <w:ind w:left="0" w:right="-279" w:rightChars="-127" w:firstLine="452" w:firstLineChars="200"/>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1.12.2 </w:t>
      </w:r>
      <w:r>
        <w:rPr>
          <w:rFonts w:hint="eastAsia"/>
          <w:color w:val="000000" w:themeColor="text1"/>
          <w:spacing w:val="-7"/>
          <w:sz w:val="24"/>
          <w:lang w:eastAsia="zh-CN"/>
          <w14:textFill>
            <w14:solidFill>
              <w14:schemeClr w14:val="tx1"/>
            </w14:solidFill>
          </w14:textFill>
        </w:rPr>
        <w:t>如果发包人要求违反法律规定，设计人应在发现后及时书面通知发包人，</w:t>
      </w:r>
      <w:r>
        <w:rPr>
          <w:rFonts w:hint="eastAsia"/>
          <w:color w:val="000000" w:themeColor="text1"/>
          <w:sz w:val="24"/>
          <w:lang w:eastAsia="zh-CN"/>
          <w14:textFill>
            <w14:solidFill>
              <w14:schemeClr w14:val="tx1"/>
            </w14:solidFill>
          </w14:textFill>
        </w:rPr>
        <w:t>要求其改正。发包人收到通知书后不予改正或不予答复的，设计人有权拒绝履行合同义务，直至解除合同；由此引起的设计人的全部损失由发包人承担。</w:t>
      </w:r>
    </w:p>
    <w:p>
      <w:pPr>
        <w:pStyle w:val="30"/>
        <w:tabs>
          <w:tab w:val="left" w:pos="1625"/>
        </w:tabs>
        <w:spacing w:before="1" w:line="374" w:lineRule="auto"/>
        <w:ind w:left="0" w:right="-279" w:rightChars="-127" w:firstLine="476" w:firstLineChars="200"/>
        <w:jc w:val="both"/>
        <w:rPr>
          <w:color w:val="000000" w:themeColor="text1"/>
          <w:sz w:val="24"/>
          <w:lang w:eastAsia="zh-CN"/>
          <w14:textFill>
            <w14:solidFill>
              <w14:schemeClr w14:val="tx1"/>
            </w14:solidFill>
          </w14:textFill>
        </w:rPr>
      </w:pPr>
      <w:r>
        <w:rPr>
          <w:color w:val="000000" w:themeColor="text1"/>
          <w:spacing w:val="-1"/>
          <w:sz w:val="24"/>
          <w:lang w:eastAsia="zh-CN"/>
          <w14:textFill>
            <w14:solidFill>
              <w14:schemeClr w14:val="tx1"/>
            </w14:solidFill>
          </w14:textFill>
        </w:rPr>
        <w:t xml:space="preserve">1.12.3 </w:t>
      </w:r>
      <w:r>
        <w:rPr>
          <w:rFonts w:hint="eastAsia"/>
          <w:color w:val="000000" w:themeColor="text1"/>
          <w:spacing w:val="-1"/>
          <w:sz w:val="24"/>
          <w:lang w:eastAsia="zh-CN"/>
          <w14:textFill>
            <w14:solidFill>
              <w14:schemeClr w14:val="tx1"/>
            </w14:solidFill>
          </w14:textFill>
        </w:rPr>
        <w:t>发包人要求采用国外规范和标准进行勘察设计时，应由发包人负责提供该规范和标准的外国文本和中文译本，提供的时间、份数和其他要求在专用合同条</w:t>
      </w:r>
      <w:r>
        <w:rPr>
          <w:rFonts w:hint="eastAsia"/>
          <w:color w:val="000000" w:themeColor="text1"/>
          <w:sz w:val="24"/>
          <w:lang w:eastAsia="zh-CN"/>
          <w14:textFill>
            <w14:solidFill>
              <w14:schemeClr w14:val="tx1"/>
            </w14:solidFill>
          </w14:textFill>
        </w:rPr>
        <w:t>款中约定。</w:t>
      </w:r>
    </w:p>
    <w:p>
      <w:pPr>
        <w:spacing w:before="1"/>
        <w:ind w:left="906" w:right="-279" w:rightChars="-127"/>
        <w:rPr>
          <w:b/>
          <w:color w:val="000000" w:themeColor="text1"/>
          <w:sz w:val="24"/>
          <w:lang w:eastAsia="zh-CN"/>
          <w14:textFill>
            <w14:solidFill>
              <w14:schemeClr w14:val="tx1"/>
            </w14:solidFill>
          </w14:textFill>
        </w:rPr>
      </w:pPr>
      <w:r>
        <w:rPr>
          <w:rFonts w:ascii="Times New Roman" w:eastAsia="Times New Roman"/>
          <w:b/>
          <w:color w:val="000000" w:themeColor="text1"/>
          <w:sz w:val="24"/>
          <w:lang w:eastAsia="zh-CN"/>
          <w14:textFill>
            <w14:solidFill>
              <w14:schemeClr w14:val="tx1"/>
            </w14:solidFill>
          </w14:textFill>
        </w:rPr>
        <w:t xml:space="preserve">1.13 </w:t>
      </w:r>
      <w:r>
        <w:rPr>
          <w:rFonts w:hint="eastAsia"/>
          <w:b/>
          <w:color w:val="000000" w:themeColor="text1"/>
          <w:sz w:val="24"/>
          <w:lang w:eastAsia="zh-CN"/>
          <w14:textFill>
            <w14:solidFill>
              <w14:schemeClr w14:val="tx1"/>
            </w14:solidFill>
          </w14:textFill>
        </w:rPr>
        <w:t>避免利益冲突</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除专用合同条款另有约定外，设计人及其雇员不应接受本合同规定以外的与本工程有关的利益和报酬；设计人不得参与与发包人的利益相冲突的任何活动。</w:t>
      </w:r>
    </w:p>
    <w:p>
      <w:pPr>
        <w:numPr>
          <w:ilvl w:val="0"/>
          <w:numId w:val="14"/>
        </w:numPr>
        <w:tabs>
          <w:tab w:val="left" w:pos="773"/>
        </w:tabs>
        <w:spacing w:before="97"/>
        <w:ind w:right="-279" w:rightChars="-127"/>
        <w:rPr>
          <w:rFonts w:ascii="黑体" w:eastAsia="黑体"/>
          <w:b/>
          <w:color w:val="000000" w:themeColor="text1"/>
          <w:sz w:val="28"/>
          <w14:textFill>
            <w14:solidFill>
              <w14:schemeClr w14:val="tx1"/>
            </w14:solidFill>
          </w14:textFill>
        </w:rPr>
      </w:pPr>
      <w:bookmarkStart w:id="19" w:name="_bookmark111"/>
      <w:bookmarkEnd w:id="19"/>
      <w:r>
        <w:rPr>
          <w:rFonts w:hint="eastAsia" w:ascii="黑体" w:eastAsia="黑体"/>
          <w:b/>
          <w:color w:val="000000" w:themeColor="text1"/>
          <w:sz w:val="28"/>
          <w14:textFill>
            <w14:solidFill>
              <w14:schemeClr w14:val="tx1"/>
            </w14:solidFill>
          </w14:textFill>
        </w:rPr>
        <w:t>发包人义务</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遵守法律</w:t>
      </w:r>
    </w:p>
    <w:p>
      <w:pPr>
        <w:pStyle w:val="4"/>
        <w:spacing w:before="172"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发包人在履行合同过程中应遵守法律，并保证设计人免于承担因发包人违反法律而引起的任何责任。</w:t>
      </w:r>
    </w:p>
    <w:p>
      <w:pPr>
        <w:numPr>
          <w:ilvl w:val="1"/>
          <w:numId w:val="14"/>
        </w:numPr>
        <w:tabs>
          <w:tab w:val="left" w:pos="1327"/>
        </w:tabs>
        <w:spacing w:before="1"/>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发出开始勘察设计通知</w:t>
      </w:r>
    </w:p>
    <w:p>
      <w:pPr>
        <w:pStyle w:val="4"/>
        <w:spacing w:before="173"/>
        <w:ind w:left="90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发包人应按第</w:t>
      </w:r>
      <w:r>
        <w:rPr>
          <w:rFonts w:ascii="Times New Roman" w:eastAsia="Times New Roman"/>
          <w:color w:val="000000" w:themeColor="text1"/>
          <w:lang w:eastAsia="zh-CN"/>
          <w14:textFill>
            <w14:solidFill>
              <w14:schemeClr w14:val="tx1"/>
            </w14:solidFill>
          </w14:textFill>
        </w:rPr>
        <w:t xml:space="preserve">6.1 </w:t>
      </w:r>
      <w:r>
        <w:rPr>
          <w:rFonts w:hint="eastAsia"/>
          <w:color w:val="000000" w:themeColor="text1"/>
          <w:lang w:eastAsia="zh-CN"/>
          <w14:textFill>
            <w14:solidFill>
              <w14:schemeClr w14:val="tx1"/>
            </w14:solidFill>
          </w14:textFill>
        </w:rPr>
        <w:t>款的约定向设计人发出开始勘察设计通知。</w:t>
      </w:r>
    </w:p>
    <w:p>
      <w:pPr>
        <w:numPr>
          <w:ilvl w:val="1"/>
          <w:numId w:val="14"/>
        </w:numPr>
        <w:tabs>
          <w:tab w:val="left" w:pos="1327"/>
        </w:tabs>
        <w:spacing w:before="173"/>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办理证件和批件</w:t>
      </w:r>
    </w:p>
    <w:p>
      <w:pPr>
        <w:pStyle w:val="4"/>
        <w:spacing w:before="172"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法律规定和（或）合同约定由发包人负责办理的工程建设项目必须履行的各类审批、核准或备案手续，发包人应按时办理，设计人应给予必要的协助。</w:t>
      </w:r>
    </w:p>
    <w:p>
      <w:pPr>
        <w:pStyle w:val="4"/>
        <w:spacing w:before="1"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法律规定和（或）合同约定由设计人负责办理的勘察设计所需的证件和批件，发包人应给予必要的协助。</w:t>
      </w: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支付合同价款</w:t>
      </w:r>
    </w:p>
    <w:p>
      <w:pPr>
        <w:pStyle w:val="4"/>
        <w:spacing w:before="173"/>
        <w:ind w:left="90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发包人应按合同约定向设计人及时支付合同价款。</w:t>
      </w:r>
    </w:p>
    <w:p>
      <w:pPr>
        <w:numPr>
          <w:ilvl w:val="1"/>
          <w:numId w:val="14"/>
        </w:numPr>
        <w:tabs>
          <w:tab w:val="left" w:pos="1327"/>
        </w:tabs>
        <w:spacing w:before="173"/>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提供勘察设计资料</w:t>
      </w:r>
    </w:p>
    <w:p>
      <w:pPr>
        <w:pStyle w:val="4"/>
        <w:spacing w:before="74"/>
        <w:ind w:left="90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发包人应按第</w:t>
      </w:r>
      <w:r>
        <w:rPr>
          <w:rFonts w:ascii="Times New Roman" w:eastAsia="Times New Roman"/>
          <w:color w:val="000000" w:themeColor="text1"/>
          <w:lang w:eastAsia="zh-CN"/>
          <w14:textFill>
            <w14:solidFill>
              <w14:schemeClr w14:val="tx1"/>
            </w14:solidFill>
          </w14:textFill>
        </w:rPr>
        <w:t xml:space="preserve">1.6.2 </w:t>
      </w:r>
      <w:r>
        <w:rPr>
          <w:rFonts w:hint="eastAsia"/>
          <w:color w:val="000000" w:themeColor="text1"/>
          <w:lang w:eastAsia="zh-CN"/>
          <w14:textFill>
            <w14:solidFill>
              <w14:schemeClr w14:val="tx1"/>
            </w14:solidFill>
          </w14:textFill>
        </w:rPr>
        <w:t>项的约定向设计人提供勘察设计资料。</w:t>
      </w:r>
    </w:p>
    <w:p>
      <w:pPr>
        <w:numPr>
          <w:ilvl w:val="1"/>
          <w:numId w:val="14"/>
        </w:numPr>
        <w:tabs>
          <w:tab w:val="left" w:pos="1327"/>
        </w:tabs>
        <w:spacing w:before="173"/>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其他义务</w:t>
      </w:r>
    </w:p>
    <w:p>
      <w:pPr>
        <w:pStyle w:val="30"/>
        <w:numPr>
          <w:ilvl w:val="2"/>
          <w:numId w:val="14"/>
        </w:numPr>
        <w:tabs>
          <w:tab w:val="left" w:pos="150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发包人应严格履行基本建设程序，根据本工程的具体情况和技术要求，确</w:t>
      </w:r>
      <w:r>
        <w:rPr>
          <w:rFonts w:hint="eastAsia"/>
          <w:color w:val="000000" w:themeColor="text1"/>
          <w:sz w:val="24"/>
          <w:lang w:eastAsia="zh-CN"/>
          <w14:textFill>
            <w14:solidFill>
              <w14:schemeClr w14:val="tx1"/>
            </w14:solidFill>
          </w14:textFill>
        </w:rPr>
        <w:t>定合理的勘察设计工作量及合理的勘察设计服务期限。</w:t>
      </w:r>
    </w:p>
    <w:p>
      <w:pPr>
        <w:pStyle w:val="30"/>
        <w:numPr>
          <w:ilvl w:val="2"/>
          <w:numId w:val="14"/>
        </w:numPr>
        <w:tabs>
          <w:tab w:val="left" w:pos="1510"/>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发包人应组织专家或委托咨询单位对勘察设计文件和为了满足勘察设计</w:t>
      </w:r>
      <w:r>
        <w:rPr>
          <w:rFonts w:hint="eastAsia"/>
          <w:color w:val="000000" w:themeColor="text1"/>
          <w:spacing w:val="2"/>
          <w:sz w:val="24"/>
          <w:lang w:eastAsia="zh-CN"/>
          <w14:textFill>
            <w14:solidFill>
              <w14:schemeClr w14:val="tx1"/>
            </w14:solidFill>
          </w14:textFill>
        </w:rPr>
        <w:t>需要而进行的各种研究试验成果进行审查，并负责设计文件的报审工作，向设计人</w:t>
      </w:r>
      <w:r>
        <w:rPr>
          <w:rFonts w:hint="eastAsia"/>
          <w:color w:val="000000" w:themeColor="text1"/>
          <w:spacing w:val="-1"/>
          <w:sz w:val="24"/>
          <w:lang w:eastAsia="zh-CN"/>
          <w14:textFill>
            <w14:solidFill>
              <w14:schemeClr w14:val="tx1"/>
            </w14:solidFill>
          </w14:textFill>
        </w:rPr>
        <w:t>提供上级主管部门对设计文件进行审查后的批复意见。对设计人在贯彻落实审查意见时提出的有关问题应及时认真予以解答，但并不免除设计人根据本合同规定应负</w:t>
      </w:r>
      <w:r>
        <w:rPr>
          <w:rFonts w:hint="eastAsia"/>
          <w:color w:val="000000" w:themeColor="text1"/>
          <w:sz w:val="24"/>
          <w:lang w:eastAsia="zh-CN"/>
          <w14:textFill>
            <w14:solidFill>
              <w14:schemeClr w14:val="tx1"/>
            </w14:solidFill>
          </w14:textFill>
        </w:rPr>
        <w:t>的责任。</w:t>
      </w:r>
    </w:p>
    <w:p>
      <w:pPr>
        <w:pStyle w:val="30"/>
        <w:numPr>
          <w:ilvl w:val="2"/>
          <w:numId w:val="14"/>
        </w:numPr>
        <w:tabs>
          <w:tab w:val="left" w:pos="150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发包人不应向设计人提出不符合工程安全生产法律、法规和工程建设强制</w:t>
      </w:r>
      <w:r>
        <w:rPr>
          <w:rFonts w:hint="eastAsia"/>
          <w:color w:val="000000" w:themeColor="text1"/>
          <w:sz w:val="24"/>
          <w:lang w:eastAsia="zh-CN"/>
          <w14:textFill>
            <w14:solidFill>
              <w14:schemeClr w14:val="tx1"/>
            </w14:solidFill>
          </w14:textFill>
        </w:rPr>
        <w:t>性标准规定的要求。</w:t>
      </w:r>
    </w:p>
    <w:p>
      <w:pPr>
        <w:pStyle w:val="30"/>
        <w:numPr>
          <w:ilvl w:val="2"/>
          <w:numId w:val="14"/>
        </w:numPr>
        <w:tabs>
          <w:tab w:val="left" w:pos="1510"/>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由于执行发包人的书面指令而造成的勘察设计质量事故应由发包人承担责任。</w:t>
      </w:r>
    </w:p>
    <w:p>
      <w:pPr>
        <w:pStyle w:val="30"/>
        <w:numPr>
          <w:ilvl w:val="2"/>
          <w:numId w:val="14"/>
        </w:numPr>
        <w:tabs>
          <w:tab w:val="left" w:pos="1505"/>
        </w:tabs>
        <w:spacing w:before="1"/>
        <w:ind w:right="-279" w:rightChars="-127" w:hanging="6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发包人应履行专用合同条款约定的其他义务。</w:t>
      </w:r>
    </w:p>
    <w:p>
      <w:pPr>
        <w:pStyle w:val="4"/>
        <w:ind w:right="-279" w:rightChars="-127"/>
        <w:rPr>
          <w:color w:val="000000" w:themeColor="text1"/>
          <w:sz w:val="21"/>
          <w:lang w:eastAsia="zh-CN"/>
          <w14:textFill>
            <w14:solidFill>
              <w14:schemeClr w14:val="tx1"/>
            </w14:solidFill>
          </w14:textFill>
        </w:rPr>
      </w:pPr>
    </w:p>
    <w:p>
      <w:pPr>
        <w:numPr>
          <w:ilvl w:val="0"/>
          <w:numId w:val="14"/>
        </w:numPr>
        <w:tabs>
          <w:tab w:val="left" w:pos="773"/>
        </w:tabs>
        <w:ind w:right="-279" w:rightChars="-127"/>
        <w:rPr>
          <w:rFonts w:ascii="黑体" w:eastAsia="黑体"/>
          <w:b/>
          <w:color w:val="000000" w:themeColor="text1"/>
          <w:sz w:val="28"/>
          <w14:textFill>
            <w14:solidFill>
              <w14:schemeClr w14:val="tx1"/>
            </w14:solidFill>
          </w14:textFill>
        </w:rPr>
      </w:pPr>
      <w:bookmarkStart w:id="20" w:name="_bookmark112"/>
      <w:bookmarkEnd w:id="20"/>
      <w:r>
        <w:rPr>
          <w:rFonts w:hint="eastAsia" w:ascii="黑体" w:eastAsia="黑体"/>
          <w:b/>
          <w:color w:val="000000" w:themeColor="text1"/>
          <w:sz w:val="28"/>
          <w14:textFill>
            <w14:solidFill>
              <w14:schemeClr w14:val="tx1"/>
            </w14:solidFill>
          </w14:textFill>
        </w:rPr>
        <w:t>发包人管理</w:t>
      </w:r>
    </w:p>
    <w:p>
      <w:pPr>
        <w:pStyle w:val="4"/>
        <w:spacing w:before="2"/>
        <w:ind w:right="-279" w:rightChars="-127"/>
        <w:rPr>
          <w:rFonts w:ascii="黑体"/>
          <w:b/>
          <w:color w:val="000000" w:themeColor="text1"/>
          <w:sz w:val="30"/>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发包人代表</w:t>
      </w:r>
    </w:p>
    <w:p>
      <w:pPr>
        <w:pStyle w:val="30"/>
        <w:numPr>
          <w:ilvl w:val="2"/>
          <w:numId w:val="14"/>
        </w:numPr>
        <w:tabs>
          <w:tab w:val="left" w:pos="1476"/>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除专用合同条款另有约定外，发包人应在合同签订后</w:t>
      </w:r>
      <w:r>
        <w:rPr>
          <w:rFonts w:ascii="Times New Roman" w:eastAsia="Times New Roman"/>
          <w:color w:val="000000" w:themeColor="text1"/>
          <w:sz w:val="24"/>
          <w:lang w:eastAsia="zh-CN"/>
          <w14:textFill>
            <w14:solidFill>
              <w14:schemeClr w14:val="tx1"/>
            </w14:solidFill>
          </w14:textFill>
        </w:rPr>
        <w:t>14</w:t>
      </w:r>
      <w:r>
        <w:rPr>
          <w:rFonts w:hint="eastAsia"/>
          <w:color w:val="000000" w:themeColor="text1"/>
          <w:spacing w:val="-3"/>
          <w:sz w:val="24"/>
          <w:lang w:eastAsia="zh-CN"/>
          <w14:textFill>
            <w14:solidFill>
              <w14:schemeClr w14:val="tx1"/>
            </w14:solidFill>
          </w14:textFill>
        </w:rPr>
        <w:t>天内，将发包人</w:t>
      </w:r>
      <w:r>
        <w:rPr>
          <w:rFonts w:hint="eastAsia"/>
          <w:color w:val="000000" w:themeColor="text1"/>
          <w:sz w:val="24"/>
          <w:lang w:eastAsia="zh-CN"/>
          <w14:textFill>
            <w14:solidFill>
              <w14:schemeClr w14:val="tx1"/>
            </w14:solidFill>
          </w14:textFill>
        </w:rPr>
        <w:t>代表的姓名、职务、联系方式、授权范围和授权期限书面通知设计人，由发包人代表在其授权范围和授权期限内，代表发包人行使权利、履行义务和处理合同履行中的具体事宜。发包人代表在授权范围内的行为由发包人承担法律责任。</w:t>
      </w:r>
    </w:p>
    <w:p>
      <w:pPr>
        <w:pStyle w:val="30"/>
        <w:numPr>
          <w:ilvl w:val="2"/>
          <w:numId w:val="14"/>
        </w:numPr>
        <w:tabs>
          <w:tab w:val="left" w:pos="144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发包人代表违反法律法规、违背职业道德守则或不按合同约定履行职责及</w:t>
      </w:r>
      <w:r>
        <w:rPr>
          <w:rFonts w:hint="eastAsia"/>
          <w:color w:val="000000" w:themeColor="text1"/>
          <w:sz w:val="24"/>
          <w:lang w:eastAsia="zh-CN"/>
          <w14:textFill>
            <w14:solidFill>
              <w14:schemeClr w14:val="tx1"/>
            </w14:solidFill>
          </w14:textFill>
        </w:rPr>
        <w:t>义务，导致合同无法继续正常履行的，设计人有权通知发包人更换发包人代表。发</w:t>
      </w:r>
      <w:r>
        <w:rPr>
          <w:rFonts w:hint="eastAsia"/>
          <w:color w:val="000000" w:themeColor="text1"/>
          <w:spacing w:val="-8"/>
          <w:sz w:val="24"/>
          <w:lang w:eastAsia="zh-CN"/>
          <w14:textFill>
            <w14:solidFill>
              <w14:schemeClr w14:val="tx1"/>
            </w14:solidFill>
          </w14:textFill>
        </w:rPr>
        <w:t>包人收到通知后</w:t>
      </w:r>
      <w:r>
        <w:rPr>
          <w:rFonts w:ascii="Times New Roman" w:eastAsia="Times New Roman"/>
          <w:color w:val="000000" w:themeColor="text1"/>
          <w:sz w:val="24"/>
          <w:lang w:eastAsia="zh-CN"/>
          <w14:textFill>
            <w14:solidFill>
              <w14:schemeClr w14:val="tx1"/>
            </w14:solidFill>
          </w14:textFill>
        </w:rPr>
        <w:t xml:space="preserve">7 </w:t>
      </w:r>
      <w:r>
        <w:rPr>
          <w:rFonts w:hint="eastAsia"/>
          <w:color w:val="000000" w:themeColor="text1"/>
          <w:sz w:val="24"/>
          <w:lang w:eastAsia="zh-CN"/>
          <w14:textFill>
            <w14:solidFill>
              <w14:schemeClr w14:val="tx1"/>
            </w14:solidFill>
          </w14:textFill>
        </w:rPr>
        <w:t>天内，应核实完毕并将处理结果通知设计人。</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发包人更换发包人代表的，应提前</w:t>
      </w:r>
      <w:r>
        <w:rPr>
          <w:rFonts w:ascii="Times New Roman" w:eastAsia="Times New Roman"/>
          <w:color w:val="000000" w:themeColor="text1"/>
          <w:sz w:val="24"/>
          <w:lang w:eastAsia="zh-CN"/>
          <w14:textFill>
            <w14:solidFill>
              <w14:schemeClr w14:val="tx1"/>
            </w14:solidFill>
          </w14:textFill>
        </w:rPr>
        <w:t>14</w:t>
      </w:r>
      <w:r>
        <w:rPr>
          <w:rFonts w:hint="eastAsia"/>
          <w:color w:val="000000" w:themeColor="text1"/>
          <w:spacing w:val="-2"/>
          <w:sz w:val="24"/>
          <w:lang w:eastAsia="zh-CN"/>
          <w14:textFill>
            <w14:solidFill>
              <w14:schemeClr w14:val="tx1"/>
            </w14:solidFill>
          </w14:textFill>
        </w:rPr>
        <w:t>天将更换人员的姓名、职务、联系</w:t>
      </w:r>
      <w:r>
        <w:rPr>
          <w:rFonts w:hint="eastAsia"/>
          <w:color w:val="000000" w:themeColor="text1"/>
          <w:sz w:val="24"/>
          <w:lang w:eastAsia="zh-CN"/>
          <w14:textFill>
            <w14:solidFill>
              <w14:schemeClr w14:val="tx1"/>
            </w14:solidFill>
          </w14:textFill>
        </w:rPr>
        <w:t>方式、授权范围和授权期限书面通知设计人。</w:t>
      </w:r>
    </w:p>
    <w:p>
      <w:pPr>
        <w:pStyle w:val="4"/>
        <w:spacing w:line="374" w:lineRule="auto"/>
        <w:ind w:left="424" w:right="-279" w:rightChars="-127" w:firstLine="492" w:firstLineChars="200"/>
        <w:rPr>
          <w:color w:val="000000" w:themeColor="text1"/>
          <w:lang w:eastAsia="zh-CN"/>
          <w14:textFill>
            <w14:solidFill>
              <w14:schemeClr w14:val="tx1"/>
            </w14:solidFill>
          </w14:textFill>
        </w:rPr>
      </w:pPr>
      <w:r>
        <w:rPr>
          <w:rFonts w:hint="eastAsia"/>
          <w:color w:val="000000" w:themeColor="text1"/>
          <w:spacing w:val="3"/>
          <w:lang w:eastAsia="zh-CN"/>
          <w14:textFill>
            <w14:solidFill>
              <w14:schemeClr w14:val="tx1"/>
            </w14:solidFill>
          </w14:textFill>
        </w:rPr>
        <w:t>发包人代表可以授权发包人的其他人员负责执行其指派的一项或多项工</w:t>
      </w:r>
      <w:r>
        <w:rPr>
          <w:rFonts w:hint="eastAsia"/>
          <w:color w:val="000000" w:themeColor="text1"/>
          <w:spacing w:val="2"/>
          <w:lang w:eastAsia="zh-CN"/>
          <w14:textFill>
            <w14:solidFill>
              <w14:schemeClr w14:val="tx1"/>
            </w14:solidFill>
          </w14:textFill>
        </w:rPr>
        <w:t>作。发包人代表应将被授权人员的姓名及其授权范围通知设计人。被授权人员在授</w:t>
      </w:r>
      <w:r>
        <w:rPr>
          <w:rFonts w:hint="eastAsia"/>
          <w:color w:val="000000" w:themeColor="text1"/>
          <w:lang w:eastAsia="zh-CN"/>
          <w14:textFill>
            <w14:solidFill>
              <w14:schemeClr w14:val="tx1"/>
            </w14:solidFill>
          </w14:textFill>
        </w:rPr>
        <w:t>权范围内发出的指示视为已得到发包人代表的同意，与发包人代表发出的指示具有同等效力。</w:t>
      </w:r>
    </w:p>
    <w:p>
      <w:pPr>
        <w:numPr>
          <w:ilvl w:val="1"/>
          <w:numId w:val="25"/>
        </w:numPr>
        <w:tabs>
          <w:tab w:val="left" w:pos="1327"/>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监理人</w:t>
      </w:r>
    </w:p>
    <w:p>
      <w:pPr>
        <w:pStyle w:val="30"/>
        <w:tabs>
          <w:tab w:val="left" w:pos="1505"/>
        </w:tabs>
        <w:spacing w:before="173" w:line="374" w:lineRule="auto"/>
        <w:ind w:left="0" w:right="-279" w:rightChars="-127" w:firstLine="464" w:firstLineChars="200"/>
        <w:jc w:val="both"/>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3.2.1 </w:t>
      </w:r>
      <w:r>
        <w:rPr>
          <w:rFonts w:hint="eastAsia"/>
          <w:color w:val="000000" w:themeColor="text1"/>
          <w:spacing w:val="-4"/>
          <w:sz w:val="24"/>
          <w:lang w:eastAsia="zh-CN"/>
          <w14:textFill>
            <w14:solidFill>
              <w14:schemeClr w14:val="tx1"/>
            </w14:solidFill>
          </w14:textFill>
        </w:rPr>
        <w:t>发包人可以根据工程建设需要确定是否委托监理人进行勘察设计监理。如</w:t>
      </w:r>
      <w:r>
        <w:rPr>
          <w:rFonts w:hint="eastAsia"/>
          <w:color w:val="000000" w:themeColor="text1"/>
          <w:sz w:val="24"/>
          <w:lang w:eastAsia="zh-CN"/>
          <w14:textFill>
            <w14:solidFill>
              <w14:schemeClr w14:val="tx1"/>
            </w14:solidFill>
          </w14:textFill>
        </w:rPr>
        <w:t>果委托监理，则监理人享有合同约定的权力，其所发出的任何指示应视为已得到发包人的批准。监理人的监理范围、职责权限和总监理工程师信息，应在专用合同条款中指明。未经发包人批准，监理人无权修改合同。</w:t>
      </w:r>
    </w:p>
    <w:p>
      <w:pPr>
        <w:pStyle w:val="30"/>
        <w:tabs>
          <w:tab w:val="left" w:pos="1505"/>
        </w:tabs>
        <w:spacing w:before="2" w:line="374" w:lineRule="auto"/>
        <w:ind w:left="0" w:right="-279" w:rightChars="-127" w:firstLine="464" w:firstLineChars="200"/>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3.2.2 </w:t>
      </w:r>
      <w:r>
        <w:rPr>
          <w:rFonts w:hint="eastAsia"/>
          <w:color w:val="000000" w:themeColor="text1"/>
          <w:spacing w:val="-6"/>
          <w:sz w:val="24"/>
          <w:lang w:eastAsia="zh-CN"/>
          <w14:textFill>
            <w14:solidFill>
              <w14:schemeClr w14:val="tx1"/>
            </w14:solidFill>
          </w14:textFill>
        </w:rPr>
        <w:t>合同约定应由设计人承担的义务和责任，不因监理人对设计文件的审查或</w:t>
      </w:r>
      <w:r>
        <w:rPr>
          <w:rFonts w:hint="eastAsia"/>
          <w:color w:val="000000" w:themeColor="text1"/>
          <w:sz w:val="24"/>
          <w:lang w:eastAsia="zh-CN"/>
          <w14:textFill>
            <w14:solidFill>
              <w14:schemeClr w14:val="tx1"/>
            </w14:solidFill>
          </w14:textFill>
        </w:rPr>
        <w:t>批准，以及为实施监理作出的指示等职务行为而减轻或解除。</w:t>
      </w:r>
    </w:p>
    <w:p>
      <w:pPr>
        <w:numPr>
          <w:ilvl w:val="1"/>
          <w:numId w:val="25"/>
        </w:numPr>
        <w:tabs>
          <w:tab w:val="left" w:pos="1327"/>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发包人的指示</w:t>
      </w:r>
    </w:p>
    <w:p>
      <w:pPr>
        <w:pStyle w:val="30"/>
        <w:tabs>
          <w:tab w:val="left" w:pos="1505"/>
        </w:tabs>
        <w:spacing w:before="173" w:line="374" w:lineRule="auto"/>
        <w:ind w:left="0" w:right="-279" w:rightChars="-127" w:firstLine="472" w:firstLineChars="200"/>
        <w:rPr>
          <w:color w:val="000000" w:themeColor="text1"/>
          <w:spacing w:val="-2"/>
          <w:sz w:val="24"/>
          <w:lang w:eastAsia="zh-CN"/>
          <w14:textFill>
            <w14:solidFill>
              <w14:schemeClr w14:val="tx1"/>
            </w14:solidFill>
          </w14:textFill>
        </w:rPr>
      </w:pPr>
      <w:r>
        <w:rPr>
          <w:color w:val="000000" w:themeColor="text1"/>
          <w:spacing w:val="-2"/>
          <w:sz w:val="24"/>
          <w:lang w:val="zh-CN" w:eastAsia="zh-CN"/>
          <w14:textFill>
            <w14:solidFill>
              <w14:schemeClr w14:val="tx1"/>
            </w14:solidFill>
          </w14:textFill>
        </w:rPr>
        <w:t xml:space="preserve">3.3.1 </w:t>
      </w:r>
      <w:r>
        <w:rPr>
          <w:rFonts w:hint="eastAsia"/>
          <w:color w:val="000000" w:themeColor="text1"/>
          <w:spacing w:val="-2"/>
          <w:sz w:val="24"/>
          <w:lang w:eastAsia="zh-CN"/>
          <w14:textFill>
            <w14:solidFill>
              <w14:schemeClr w14:val="tx1"/>
            </w14:solidFill>
          </w14:textFill>
        </w:rPr>
        <w:t>发包人应按合同约定向设计人发出指示，发包人的指示应盖有发包人单位章，并由发包人代表签字确认。</w:t>
      </w:r>
    </w:p>
    <w:p>
      <w:pPr>
        <w:pStyle w:val="30"/>
        <w:tabs>
          <w:tab w:val="left" w:pos="1510"/>
        </w:tabs>
        <w:spacing w:before="173" w:line="374" w:lineRule="auto"/>
        <w:ind w:left="0" w:right="-279" w:rightChars="-127" w:firstLine="472" w:firstLineChars="200"/>
        <w:rPr>
          <w:color w:val="000000" w:themeColor="text1"/>
          <w:spacing w:val="-2"/>
          <w:sz w:val="24"/>
          <w:lang w:eastAsia="zh-CN"/>
          <w14:textFill>
            <w14:solidFill>
              <w14:schemeClr w14:val="tx1"/>
            </w14:solidFill>
          </w14:textFill>
        </w:rPr>
      </w:pPr>
      <w:r>
        <w:rPr>
          <w:color w:val="000000" w:themeColor="text1"/>
          <w:spacing w:val="-2"/>
          <w:sz w:val="24"/>
          <w:lang w:val="zh-CN" w:eastAsia="zh-CN"/>
          <w14:textFill>
            <w14:solidFill>
              <w14:schemeClr w14:val="tx1"/>
            </w14:solidFill>
          </w14:textFill>
        </w:rPr>
        <w:t xml:space="preserve">3.3.2 </w:t>
      </w:r>
      <w:r>
        <w:rPr>
          <w:rFonts w:hint="eastAsia"/>
          <w:color w:val="000000" w:themeColor="text1"/>
          <w:spacing w:val="-2"/>
          <w:sz w:val="24"/>
          <w:lang w:eastAsia="zh-CN"/>
          <w14:textFill>
            <w14:solidFill>
              <w14:schemeClr w14:val="tx1"/>
            </w14:solidFill>
          </w14:textFill>
        </w:rPr>
        <w:t>设计人收到发包人作出的指示后应遵照执行。指示构成变更的，应按第</w:t>
      </w:r>
      <w:r>
        <w:rPr>
          <w:rFonts w:ascii="宋体" w:eastAsia="宋体"/>
          <w:color w:val="000000" w:themeColor="text1"/>
          <w:spacing w:val="-2"/>
          <w:sz w:val="24"/>
          <w:lang w:eastAsia="zh-CN"/>
          <w14:textFill>
            <w14:solidFill>
              <w14:schemeClr w14:val="tx1"/>
            </w14:solidFill>
          </w14:textFill>
        </w:rPr>
        <w:t xml:space="preserve">11 </w:t>
      </w:r>
      <w:r>
        <w:rPr>
          <w:rFonts w:hint="eastAsia"/>
          <w:color w:val="000000" w:themeColor="text1"/>
          <w:spacing w:val="-2"/>
          <w:sz w:val="24"/>
          <w:lang w:eastAsia="zh-CN"/>
          <w14:textFill>
            <w14:solidFill>
              <w14:schemeClr w14:val="tx1"/>
            </w14:solidFill>
          </w14:textFill>
        </w:rPr>
        <w:t>条执行。</w:t>
      </w:r>
    </w:p>
    <w:p>
      <w:pPr>
        <w:pStyle w:val="30"/>
        <w:tabs>
          <w:tab w:val="left" w:pos="1505"/>
        </w:tabs>
        <w:spacing w:before="173"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3.3.3 </w:t>
      </w:r>
      <w:r>
        <w:rPr>
          <w:rFonts w:hint="eastAsia"/>
          <w:color w:val="000000" w:themeColor="text1"/>
          <w:spacing w:val="-9"/>
          <w:sz w:val="24"/>
          <w:lang w:eastAsia="zh-CN"/>
          <w14:textFill>
            <w14:solidFill>
              <w14:schemeClr w14:val="tx1"/>
            </w14:solidFill>
          </w14:textFill>
        </w:rPr>
        <w:t>在紧急情况下，发包人代表或其授权人员可以当场签发临时书面指示，设</w:t>
      </w:r>
      <w:r>
        <w:rPr>
          <w:rFonts w:hint="eastAsia"/>
          <w:color w:val="000000" w:themeColor="text1"/>
          <w:spacing w:val="-11"/>
          <w:sz w:val="24"/>
          <w:lang w:eastAsia="zh-CN"/>
          <w14:textFill>
            <w14:solidFill>
              <w14:schemeClr w14:val="tx1"/>
            </w14:solidFill>
          </w14:textFill>
        </w:rPr>
        <w:t>计人应遵照执行。发包人代表应在临时书面指示发出后</w:t>
      </w:r>
      <w:r>
        <w:rPr>
          <w:rFonts w:ascii="Times New Roman" w:eastAsia="Times New Roman"/>
          <w:color w:val="000000" w:themeColor="text1"/>
          <w:sz w:val="24"/>
          <w:lang w:eastAsia="zh-CN"/>
          <w14:textFill>
            <w14:solidFill>
              <w14:schemeClr w14:val="tx1"/>
            </w14:solidFill>
          </w14:textFill>
        </w:rPr>
        <w:t>24</w:t>
      </w:r>
      <w:r>
        <w:rPr>
          <w:rFonts w:hint="eastAsia"/>
          <w:color w:val="000000" w:themeColor="text1"/>
          <w:spacing w:val="-2"/>
          <w:sz w:val="24"/>
          <w:lang w:eastAsia="zh-CN"/>
          <w14:textFill>
            <w14:solidFill>
              <w14:schemeClr w14:val="tx1"/>
            </w14:solidFill>
          </w14:textFill>
        </w:rPr>
        <w:t>小时内发出书面确认函，</w:t>
      </w:r>
      <w:r>
        <w:rPr>
          <w:rFonts w:hint="eastAsia"/>
          <w:color w:val="000000" w:themeColor="text1"/>
          <w:sz w:val="24"/>
          <w:lang w:eastAsia="zh-CN"/>
          <w14:textFill>
            <w14:solidFill>
              <w14:schemeClr w14:val="tx1"/>
            </w14:solidFill>
          </w14:textFill>
        </w:rPr>
        <w:t>逾期未发出书面确认函的，该临时书面指示应被视为发包人的正式指示。</w:t>
      </w:r>
    </w:p>
    <w:p>
      <w:pPr>
        <w:pStyle w:val="30"/>
        <w:tabs>
          <w:tab w:val="left" w:pos="1505"/>
        </w:tabs>
        <w:spacing w:before="1"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3.3.4 </w:t>
      </w:r>
      <w:r>
        <w:rPr>
          <w:rFonts w:hint="eastAsia"/>
          <w:color w:val="000000" w:themeColor="text1"/>
          <w:spacing w:val="-2"/>
          <w:sz w:val="24"/>
          <w:lang w:eastAsia="zh-CN"/>
          <w14:textFill>
            <w14:solidFill>
              <w14:schemeClr w14:val="tx1"/>
            </w14:solidFill>
          </w14:textFill>
        </w:rPr>
        <w:t>除专用合同条款另有约定外，设计人只从发包人代表或按第</w:t>
      </w:r>
      <w:r>
        <w:rPr>
          <w:rFonts w:ascii="Times New Roman" w:eastAsia="Times New Roman"/>
          <w:color w:val="000000" w:themeColor="text1"/>
          <w:sz w:val="24"/>
          <w:lang w:eastAsia="zh-CN"/>
          <w14:textFill>
            <w14:solidFill>
              <w14:schemeClr w14:val="tx1"/>
            </w14:solidFill>
          </w14:textFill>
        </w:rPr>
        <w:t>3.1.4</w:t>
      </w:r>
      <w:r>
        <w:rPr>
          <w:rFonts w:hint="eastAsia"/>
          <w:color w:val="000000" w:themeColor="text1"/>
          <w:spacing w:val="-5"/>
          <w:sz w:val="24"/>
          <w:lang w:eastAsia="zh-CN"/>
          <w14:textFill>
            <w14:solidFill>
              <w14:schemeClr w14:val="tx1"/>
            </w14:solidFill>
          </w14:textFill>
        </w:rPr>
        <w:t>项约定</w:t>
      </w:r>
      <w:r>
        <w:rPr>
          <w:rFonts w:hint="eastAsia"/>
          <w:color w:val="000000" w:themeColor="text1"/>
          <w:sz w:val="24"/>
          <w:lang w:eastAsia="zh-CN"/>
          <w14:textFill>
            <w14:solidFill>
              <w14:schemeClr w14:val="tx1"/>
            </w14:solidFill>
          </w14:textFill>
        </w:rPr>
        <w:t>的被授权人员处取得指示。</w:t>
      </w:r>
    </w:p>
    <w:p>
      <w:pPr>
        <w:pStyle w:val="30"/>
        <w:tabs>
          <w:tab w:val="left" w:pos="1505"/>
        </w:tabs>
        <w:spacing w:before="1"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3.3.5 </w:t>
      </w:r>
      <w:r>
        <w:rPr>
          <w:rFonts w:hint="eastAsia"/>
          <w:color w:val="000000" w:themeColor="text1"/>
          <w:spacing w:val="-6"/>
          <w:sz w:val="24"/>
          <w:lang w:eastAsia="zh-CN"/>
          <w14:textFill>
            <w14:solidFill>
              <w14:schemeClr w14:val="tx1"/>
            </w14:solidFill>
          </w14:textFill>
        </w:rPr>
        <w:t>由于发包人未能按合同约定发出指示、指示延误或指示错误而导致设计人</w:t>
      </w:r>
      <w:r>
        <w:rPr>
          <w:rFonts w:hint="eastAsia"/>
          <w:color w:val="000000" w:themeColor="text1"/>
          <w:sz w:val="24"/>
          <w:lang w:eastAsia="zh-CN"/>
          <w14:textFill>
            <w14:solidFill>
              <w14:schemeClr w14:val="tx1"/>
            </w14:solidFill>
          </w14:textFill>
        </w:rPr>
        <w:t>费用增加和（或）周期延误的，发包人应承担由此增加的费用和（或）周期延误。</w:t>
      </w:r>
    </w:p>
    <w:p>
      <w:pPr>
        <w:numPr>
          <w:ilvl w:val="1"/>
          <w:numId w:val="26"/>
        </w:numPr>
        <w:tabs>
          <w:tab w:val="left" w:pos="1327"/>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决定或答复</w:t>
      </w:r>
    </w:p>
    <w:p>
      <w:pPr>
        <w:pStyle w:val="30"/>
        <w:tabs>
          <w:tab w:val="left" w:pos="1505"/>
        </w:tabs>
        <w:spacing w:before="173" w:line="374" w:lineRule="auto"/>
        <w:ind w:left="0" w:right="-279" w:rightChars="-127" w:firstLine="472" w:firstLineChars="200"/>
        <w:jc w:val="both"/>
        <w:rPr>
          <w:color w:val="000000" w:themeColor="text1"/>
          <w:sz w:val="24"/>
          <w:lang w:eastAsia="zh-CN"/>
          <w14:textFill>
            <w14:solidFill>
              <w14:schemeClr w14:val="tx1"/>
            </w14:solidFill>
          </w14:textFill>
        </w:rPr>
      </w:pPr>
      <w:r>
        <w:rPr>
          <w:color w:val="000000" w:themeColor="text1"/>
          <w:spacing w:val="-2"/>
          <w:sz w:val="24"/>
          <w:lang w:eastAsia="zh-CN"/>
          <w14:textFill>
            <w14:solidFill>
              <w14:schemeClr w14:val="tx1"/>
            </w14:solidFill>
          </w14:textFill>
        </w:rPr>
        <w:t xml:space="preserve">3.4.1 </w:t>
      </w:r>
      <w:r>
        <w:rPr>
          <w:rFonts w:hint="eastAsia"/>
          <w:color w:val="000000" w:themeColor="text1"/>
          <w:spacing w:val="-2"/>
          <w:sz w:val="24"/>
          <w:lang w:eastAsia="zh-CN"/>
          <w14:textFill>
            <w14:solidFill>
              <w14:schemeClr w14:val="tx1"/>
            </w14:solidFill>
          </w14:textFill>
        </w:rPr>
        <w:t>发包人在法律允许的范围内有权对设计人的勘察设计工作和</w:t>
      </w:r>
      <w:r>
        <w:rPr>
          <w:rFonts w:hint="eastAsia"/>
          <w:color w:val="000000" w:themeColor="text1"/>
          <w:sz w:val="24"/>
          <w:lang w:eastAsia="zh-CN"/>
          <w14:textFill>
            <w14:solidFill>
              <w14:schemeClr w14:val="tx1"/>
            </w14:solidFill>
          </w14:textFill>
        </w:rPr>
        <w:t>（或</w:t>
      </w:r>
      <w:r>
        <w:rPr>
          <w:rFonts w:hint="eastAsia"/>
          <w:color w:val="000000" w:themeColor="text1"/>
          <w:spacing w:val="-44"/>
          <w:sz w:val="24"/>
          <w:lang w:eastAsia="zh-CN"/>
          <w14:textFill>
            <w14:solidFill>
              <w14:schemeClr w14:val="tx1"/>
            </w14:solidFill>
          </w14:textFill>
        </w:rPr>
        <w:t>）</w:t>
      </w:r>
      <w:r>
        <w:rPr>
          <w:rFonts w:hint="eastAsia"/>
          <w:color w:val="000000" w:themeColor="text1"/>
          <w:spacing w:val="-5"/>
          <w:sz w:val="24"/>
          <w:lang w:eastAsia="zh-CN"/>
          <w14:textFill>
            <w14:solidFill>
              <w14:schemeClr w14:val="tx1"/>
            </w14:solidFill>
          </w14:textFill>
        </w:rPr>
        <w:t>勘察设</w:t>
      </w:r>
      <w:r>
        <w:rPr>
          <w:rFonts w:hint="eastAsia"/>
          <w:color w:val="000000" w:themeColor="text1"/>
          <w:spacing w:val="-1"/>
          <w:sz w:val="24"/>
          <w:lang w:eastAsia="zh-CN"/>
          <w14:textFill>
            <w14:solidFill>
              <w14:schemeClr w14:val="tx1"/>
            </w14:solidFill>
          </w14:textFill>
        </w:rPr>
        <w:t>计文件作出处理决定，设计人应按照发包人的决定执行，涉及勘察设计服务期限或</w:t>
      </w:r>
      <w:r>
        <w:rPr>
          <w:rFonts w:hint="eastAsia"/>
          <w:color w:val="000000" w:themeColor="text1"/>
          <w:spacing w:val="-6"/>
          <w:sz w:val="24"/>
          <w:lang w:eastAsia="zh-CN"/>
          <w14:textFill>
            <w14:solidFill>
              <w14:schemeClr w14:val="tx1"/>
            </w14:solidFill>
          </w14:textFill>
        </w:rPr>
        <w:t>勘察设计费用等问题按第</w:t>
      </w:r>
      <w:r>
        <w:rPr>
          <w:rFonts w:ascii="Times New Roman" w:eastAsia="Times New Roman"/>
          <w:color w:val="000000" w:themeColor="text1"/>
          <w:spacing w:val="-5"/>
          <w:sz w:val="24"/>
          <w:lang w:eastAsia="zh-CN"/>
          <w14:textFill>
            <w14:solidFill>
              <w14:schemeClr w14:val="tx1"/>
            </w14:solidFill>
          </w14:textFill>
        </w:rPr>
        <w:t>11</w:t>
      </w:r>
      <w:r>
        <w:rPr>
          <w:rFonts w:hint="eastAsia"/>
          <w:color w:val="000000" w:themeColor="text1"/>
          <w:sz w:val="24"/>
          <w:lang w:eastAsia="zh-CN"/>
          <w14:textFill>
            <w14:solidFill>
              <w14:schemeClr w14:val="tx1"/>
            </w14:solidFill>
          </w14:textFill>
        </w:rPr>
        <w:t>条的约定处理。</w:t>
      </w:r>
    </w:p>
    <w:p>
      <w:pPr>
        <w:pStyle w:val="30"/>
        <w:tabs>
          <w:tab w:val="left" w:pos="1505"/>
        </w:tabs>
        <w:spacing w:before="1" w:line="374" w:lineRule="auto"/>
        <w:ind w:left="0" w:right="-279" w:rightChars="-127" w:firstLine="472" w:firstLineChars="200"/>
        <w:rPr>
          <w:color w:val="000000" w:themeColor="text1"/>
          <w:sz w:val="24"/>
          <w:lang w:eastAsia="zh-CN"/>
          <w14:textFill>
            <w14:solidFill>
              <w14:schemeClr w14:val="tx1"/>
            </w14:solidFill>
          </w14:textFill>
        </w:rPr>
      </w:pPr>
      <w:r>
        <w:rPr>
          <w:color w:val="000000" w:themeColor="text1"/>
          <w:spacing w:val="-2"/>
          <w:sz w:val="24"/>
          <w:lang w:eastAsia="zh-CN"/>
          <w14:textFill>
            <w14:solidFill>
              <w14:schemeClr w14:val="tx1"/>
            </w14:solidFill>
          </w14:textFill>
        </w:rPr>
        <w:t xml:space="preserve">3.4.2 </w:t>
      </w:r>
      <w:r>
        <w:rPr>
          <w:rFonts w:hint="eastAsia"/>
          <w:color w:val="000000" w:themeColor="text1"/>
          <w:spacing w:val="-6"/>
          <w:sz w:val="24"/>
          <w:lang w:eastAsia="zh-CN"/>
          <w14:textFill>
            <w14:solidFill>
              <w14:schemeClr w14:val="tx1"/>
            </w14:solidFill>
          </w14:textFill>
        </w:rPr>
        <w:t>发包人应在专用合同条款约定的时间之内，对设计人书面提出的事项作出</w:t>
      </w:r>
      <w:r>
        <w:rPr>
          <w:rFonts w:hint="eastAsia"/>
          <w:color w:val="000000" w:themeColor="text1"/>
          <w:sz w:val="24"/>
          <w:lang w:eastAsia="zh-CN"/>
          <w14:textFill>
            <w14:solidFill>
              <w14:schemeClr w14:val="tx1"/>
            </w14:solidFill>
          </w14:textFill>
        </w:rPr>
        <w:t>书面答复；逾期没有作出答复的，视为已获得发包人的批准。</w:t>
      </w:r>
    </w:p>
    <w:p>
      <w:pPr>
        <w:numPr>
          <w:ilvl w:val="0"/>
          <w:numId w:val="14"/>
        </w:numPr>
        <w:tabs>
          <w:tab w:val="left" w:pos="773"/>
        </w:tabs>
        <w:spacing w:before="109"/>
        <w:ind w:right="-279" w:rightChars="-127"/>
        <w:rPr>
          <w:rFonts w:ascii="黑体" w:eastAsia="黑体"/>
          <w:b/>
          <w:color w:val="000000" w:themeColor="text1"/>
          <w:sz w:val="28"/>
          <w14:textFill>
            <w14:solidFill>
              <w14:schemeClr w14:val="tx1"/>
            </w14:solidFill>
          </w14:textFill>
        </w:rPr>
      </w:pPr>
      <w:bookmarkStart w:id="21" w:name="_bookmark113"/>
      <w:bookmarkEnd w:id="21"/>
      <w:r>
        <w:rPr>
          <w:rFonts w:hint="eastAsia" w:ascii="黑体" w:eastAsia="黑体"/>
          <w:b/>
          <w:color w:val="000000" w:themeColor="text1"/>
          <w:sz w:val="28"/>
          <w14:textFill>
            <w14:solidFill>
              <w14:schemeClr w14:val="tx1"/>
            </w14:solidFill>
          </w14:textFill>
        </w:rPr>
        <w:t>设计人义务</w:t>
      </w: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设计人的一般义务</w:t>
      </w:r>
    </w:p>
    <w:p>
      <w:pPr>
        <w:pStyle w:val="30"/>
        <w:numPr>
          <w:ilvl w:val="2"/>
          <w:numId w:val="14"/>
        </w:numPr>
        <w:tabs>
          <w:tab w:val="left" w:pos="1505"/>
        </w:tabs>
        <w:spacing w:before="173"/>
        <w:ind w:right="-279" w:rightChars="-127" w:hanging="6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遵守法律</w:t>
      </w:r>
    </w:p>
    <w:p>
      <w:pPr>
        <w:pStyle w:val="4"/>
        <w:spacing w:before="172"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设计人在履行合同过程中应遵守法律，并保证发包人免于承担因设计人违反法律而引起的任何责任。</w:t>
      </w:r>
    </w:p>
    <w:p>
      <w:pPr>
        <w:pStyle w:val="30"/>
        <w:numPr>
          <w:ilvl w:val="2"/>
          <w:numId w:val="14"/>
        </w:numPr>
        <w:tabs>
          <w:tab w:val="left" w:pos="1505"/>
        </w:tabs>
        <w:spacing w:before="1"/>
        <w:ind w:right="-279" w:rightChars="-127" w:hanging="6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依法纳税</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设计人应按有关法律规定纳税，应缴纳的税金（含增值税）包括在合同价格之中。</w:t>
      </w:r>
    </w:p>
    <w:p>
      <w:pPr>
        <w:pStyle w:val="30"/>
        <w:numPr>
          <w:ilvl w:val="2"/>
          <w:numId w:val="14"/>
        </w:numPr>
        <w:tabs>
          <w:tab w:val="left" w:pos="1505"/>
        </w:tabs>
        <w:spacing w:before="1"/>
        <w:ind w:right="-279" w:rightChars="-127" w:hanging="6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完成全部勘察设计工作</w:t>
      </w:r>
    </w:p>
    <w:p>
      <w:pPr>
        <w:pStyle w:val="4"/>
        <w:spacing w:before="172"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设计人应按合同约定以及发包人要求，完成合同约定的全部工作，并对工作中</w:t>
      </w:r>
      <w:r>
        <w:rPr>
          <w:rFonts w:hint="eastAsia"/>
          <w:color w:val="000000" w:themeColor="text1"/>
          <w:spacing w:val="-1"/>
          <w:lang w:eastAsia="zh-CN"/>
          <w14:textFill>
            <w14:solidFill>
              <w14:schemeClr w14:val="tx1"/>
            </w14:solidFill>
          </w14:textFill>
        </w:rPr>
        <w:t>的任何缺陷进行整改、完善和修补，使其满足合同约定的目的。设计人应按合同约定提供勘察设计文件和相关服务，以及为完成勘察设计服务所需的劳务、材料、勘</w:t>
      </w:r>
      <w:r>
        <w:rPr>
          <w:rFonts w:hint="eastAsia"/>
          <w:color w:val="000000" w:themeColor="text1"/>
          <w:spacing w:val="-16"/>
          <w:lang w:eastAsia="zh-CN"/>
          <w14:textFill>
            <w14:solidFill>
              <w14:schemeClr w14:val="tx1"/>
            </w14:solidFill>
          </w14:textFill>
        </w:rPr>
        <w:t>察设备、试验设施等，并应自行承担勘探场地临时设施的搭设、维护、管理和拆除。</w:t>
      </w:r>
    </w:p>
    <w:p>
      <w:pPr>
        <w:pStyle w:val="30"/>
        <w:numPr>
          <w:ilvl w:val="2"/>
          <w:numId w:val="14"/>
        </w:numPr>
        <w:tabs>
          <w:tab w:val="left" w:pos="1505"/>
        </w:tabs>
        <w:spacing w:before="2"/>
        <w:ind w:right="-279" w:rightChars="-127" w:hanging="6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保证勘察作业规范、安全和环保</w:t>
      </w:r>
    </w:p>
    <w:p>
      <w:pPr>
        <w:pStyle w:val="4"/>
        <w:spacing w:before="172"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应按法律、规范标准和发包人要求，采取各项有效措施，确保勘察作业操作规范、安全、文明和环保，在风险性较大的环境中作业时应编制安全防护方案并制定应急预案，防止因勘察作业造成的人身伤害和财产损失。</w:t>
      </w:r>
    </w:p>
    <w:p>
      <w:pPr>
        <w:pStyle w:val="4"/>
        <w:spacing w:before="1"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对于设计人在勘察设计过程中发生的人员伤亡或财产损失，或造成第三方的人员伤亡、财产损失，或由此而引起的其他一切损害和损失，发包人均不承担责任。</w:t>
      </w:r>
    </w:p>
    <w:p>
      <w:pPr>
        <w:pStyle w:val="30"/>
        <w:numPr>
          <w:ilvl w:val="2"/>
          <w:numId w:val="14"/>
        </w:numPr>
        <w:tabs>
          <w:tab w:val="left" w:pos="1505"/>
        </w:tabs>
        <w:spacing w:before="1"/>
        <w:ind w:right="-279" w:rightChars="-127" w:hanging="6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避免勘探对公众与他人的利益造成损害</w:t>
      </w:r>
    </w:p>
    <w:p>
      <w:pPr>
        <w:pStyle w:val="4"/>
        <w:spacing w:before="173"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在进行合同约定的各项工作时，不得侵害发包人与他人使用公用道路、水源、市政管网等公共设施的权利，避免对邻近的公共设施产生干扰，保证勘探场地的周边设施、建构筑物、地下管线、架空线和其他物体的安全运行。设计人占用或使用他人的施工场地，影响他人作业或生活的，应承担相应责任。</w:t>
      </w:r>
    </w:p>
    <w:p>
      <w:pPr>
        <w:pStyle w:val="30"/>
        <w:numPr>
          <w:ilvl w:val="2"/>
          <w:numId w:val="14"/>
        </w:numPr>
        <w:tabs>
          <w:tab w:val="left" w:pos="1505"/>
        </w:tabs>
        <w:spacing w:before="1"/>
        <w:ind w:right="-279" w:rightChars="-127" w:hanging="6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其他义务</w:t>
      </w:r>
    </w:p>
    <w:p>
      <w:pPr>
        <w:pStyle w:val="30"/>
        <w:tabs>
          <w:tab w:val="left" w:pos="1685"/>
        </w:tabs>
        <w:spacing w:before="173"/>
        <w:ind w:left="0" w:right="-279" w:rightChars="-127" w:firstLine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 xml:space="preserve">4.1.6.1 </w:t>
      </w:r>
      <w:r>
        <w:rPr>
          <w:rFonts w:hint="eastAsia"/>
          <w:color w:val="000000" w:themeColor="text1"/>
          <w:sz w:val="24"/>
          <w:lang w:eastAsia="zh-CN"/>
          <w14:textFill>
            <w14:solidFill>
              <w14:schemeClr w14:val="tx1"/>
            </w14:solidFill>
          </w14:textFill>
        </w:rPr>
        <w:t>设计人对本合同工程勘察设计质量承担设计使用年限内的终身责任。</w:t>
      </w:r>
    </w:p>
    <w:p>
      <w:pPr>
        <w:pStyle w:val="4"/>
        <w:spacing w:before="67" w:line="374" w:lineRule="auto"/>
        <w:ind w:left="424" w:right="-279" w:rightChars="-12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4.1.6.2 </w:t>
      </w:r>
      <w:r>
        <w:rPr>
          <w:rFonts w:hint="eastAsia"/>
          <w:color w:val="000000" w:themeColor="text1"/>
          <w:spacing w:val="-5"/>
          <w:lang w:eastAsia="zh-CN"/>
          <w14:textFill>
            <w14:solidFill>
              <w14:schemeClr w14:val="tx1"/>
            </w14:solidFill>
          </w14:textFill>
        </w:rPr>
        <w:t>在勘察设计过程中，设计人应与本项目相干扰的铁路、航道、水利、管</w:t>
      </w:r>
      <w:r>
        <w:rPr>
          <w:rFonts w:hint="eastAsia"/>
          <w:color w:val="000000" w:themeColor="text1"/>
          <w:spacing w:val="-1"/>
          <w:lang w:eastAsia="zh-CN"/>
          <w14:textFill>
            <w14:solidFill>
              <w14:schemeClr w14:val="tx1"/>
            </w14:solidFill>
          </w14:textFill>
        </w:rPr>
        <w:t>线、电力电信及其他相关建筑设施或特殊保护区域的主管部门进行协商，获得项目</w:t>
      </w:r>
      <w:r>
        <w:rPr>
          <w:rFonts w:hint="eastAsia"/>
          <w:color w:val="000000" w:themeColor="text1"/>
          <w:lang w:eastAsia="zh-CN"/>
          <w14:textFill>
            <w14:solidFill>
              <w14:schemeClr w14:val="tx1"/>
            </w14:solidFill>
          </w14:textFill>
        </w:rPr>
        <w:t>相干扰部门对推荐路线的认同意见、协议、批准文件或纪要等，以确保本项目顺利实施。</w:t>
      </w:r>
    </w:p>
    <w:p>
      <w:pPr>
        <w:pStyle w:val="30"/>
        <w:tabs>
          <w:tab w:val="left" w:pos="1685"/>
        </w:tabs>
        <w:spacing w:before="172" w:line="374" w:lineRule="auto"/>
        <w:ind w:left="0" w:right="-279" w:rightChars="-127" w:firstLine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4.1.6.3 设计人的勘察设计文件应接受发包人、咨询单位及发包人的上级主管部门的审查，凡审查意见中提出的问题，设计人应逐条给予认真贯彻落实，提交书面的反馈意见并免费修改勘察设计文件。</w:t>
      </w:r>
    </w:p>
    <w:p>
      <w:pPr>
        <w:pStyle w:val="30"/>
        <w:tabs>
          <w:tab w:val="left" w:pos="1685"/>
        </w:tabs>
        <w:spacing w:before="1" w:line="374" w:lineRule="auto"/>
        <w:ind w:left="0" w:right="-279" w:rightChars="-127" w:firstLineChars="20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 xml:space="preserve">4.1.6.4 </w:t>
      </w:r>
      <w:r>
        <w:rPr>
          <w:rFonts w:hint="eastAsia"/>
          <w:color w:val="000000" w:themeColor="text1"/>
          <w:spacing w:val="-1"/>
          <w:sz w:val="24"/>
          <w:lang w:eastAsia="zh-CN"/>
          <w14:textFill>
            <w14:solidFill>
              <w14:schemeClr w14:val="tx1"/>
            </w14:solidFill>
          </w14:textFill>
        </w:rPr>
        <w:t>设计人应按发包人要求的数量</w:t>
      </w:r>
      <w:r>
        <w:rPr>
          <w:rFonts w:hint="eastAsia"/>
          <w:color w:val="000000" w:themeColor="text1"/>
          <w:sz w:val="24"/>
          <w:lang w:eastAsia="zh-CN"/>
          <w14:textFill>
            <w14:solidFill>
              <w14:schemeClr w14:val="tx1"/>
            </w14:solidFill>
          </w14:textFill>
        </w:rPr>
        <w:t>（符合规范要求</w:t>
      </w:r>
      <w:r>
        <w:rPr>
          <w:rFonts w:hint="eastAsia"/>
          <w:color w:val="000000" w:themeColor="text1"/>
          <w:spacing w:val="-12"/>
          <w:sz w:val="24"/>
          <w:lang w:eastAsia="zh-CN"/>
          <w14:textFill>
            <w14:solidFill>
              <w14:schemeClr w14:val="tx1"/>
            </w14:solidFill>
          </w14:textFill>
        </w:rPr>
        <w:t>）</w:t>
      </w:r>
      <w:r>
        <w:rPr>
          <w:rFonts w:hint="eastAsia"/>
          <w:color w:val="000000" w:themeColor="text1"/>
          <w:spacing w:val="-2"/>
          <w:sz w:val="24"/>
          <w:lang w:eastAsia="zh-CN"/>
          <w14:textFill>
            <w14:solidFill>
              <w14:schemeClr w14:val="tx1"/>
            </w14:solidFill>
          </w14:textFill>
        </w:rPr>
        <w:t>提供所有为完成勘察设</w:t>
      </w:r>
      <w:r>
        <w:rPr>
          <w:rFonts w:hint="eastAsia"/>
          <w:color w:val="000000" w:themeColor="text1"/>
          <w:sz w:val="24"/>
          <w:lang w:eastAsia="zh-CN"/>
          <w14:textFill>
            <w14:solidFill>
              <w14:schemeClr w14:val="tx1"/>
            </w14:solidFill>
          </w14:textFill>
        </w:rPr>
        <w:t>计所必需的研究试验阶段性或成果性报告，接受发包人或上级主管部门的审查，并对相关问题作出澄清和解答。</w:t>
      </w:r>
    </w:p>
    <w:p>
      <w:pPr>
        <w:pStyle w:val="30"/>
        <w:tabs>
          <w:tab w:val="left" w:pos="1685"/>
        </w:tabs>
        <w:spacing w:before="2" w:line="374" w:lineRule="auto"/>
        <w:ind w:left="0" w:right="-279" w:rightChars="-127" w:firstLineChars="200"/>
        <w:jc w:val="both"/>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 xml:space="preserve">4.1.6.5 </w:t>
      </w:r>
      <w:r>
        <w:rPr>
          <w:rFonts w:hint="eastAsia"/>
          <w:color w:val="000000" w:themeColor="text1"/>
          <w:spacing w:val="-3"/>
          <w:sz w:val="24"/>
          <w:lang w:eastAsia="zh-CN"/>
          <w14:textFill>
            <w14:solidFill>
              <w14:schemeClr w14:val="tx1"/>
            </w14:solidFill>
          </w14:textFill>
        </w:rPr>
        <w:t>设计人应根据设计需要开展专题研究工作，提交相应专题研究报告，并</w:t>
      </w:r>
      <w:r>
        <w:rPr>
          <w:rFonts w:hint="eastAsia"/>
          <w:color w:val="000000" w:themeColor="text1"/>
          <w:sz w:val="24"/>
          <w:lang w:eastAsia="zh-CN"/>
          <w14:textFill>
            <w14:solidFill>
              <w14:schemeClr w14:val="tx1"/>
            </w14:solidFill>
          </w14:textFill>
        </w:rPr>
        <w:t>通过发包人或上级主管部门的审查。</w:t>
      </w:r>
    </w:p>
    <w:p>
      <w:pPr>
        <w:pStyle w:val="30"/>
        <w:tabs>
          <w:tab w:val="left" w:pos="1685"/>
        </w:tabs>
        <w:ind w:left="0" w:right="-279" w:rightChars="-127" w:firstLine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 xml:space="preserve">4.1.6.6 </w:t>
      </w:r>
      <w:r>
        <w:rPr>
          <w:rFonts w:hint="eastAsia"/>
          <w:color w:val="000000" w:themeColor="text1"/>
          <w:sz w:val="24"/>
          <w:lang w:eastAsia="zh-CN"/>
          <w14:textFill>
            <w14:solidFill>
              <w14:schemeClr w14:val="tx1"/>
            </w14:solidFill>
          </w14:textFill>
        </w:rPr>
        <w:t>设计人应履行合同约定的其他义务。</w:t>
      </w:r>
    </w:p>
    <w:p>
      <w:pPr>
        <w:numPr>
          <w:ilvl w:val="1"/>
          <w:numId w:val="27"/>
        </w:numPr>
        <w:tabs>
          <w:tab w:val="left" w:pos="1327"/>
        </w:tabs>
        <w:spacing w:before="173"/>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履约保证金</w:t>
      </w:r>
    </w:p>
    <w:p>
      <w:pPr>
        <w:pStyle w:val="30"/>
        <w:tabs>
          <w:tab w:val="left" w:pos="1505"/>
        </w:tabs>
        <w:spacing w:before="173"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4.2.1 </w:t>
      </w:r>
      <w:r>
        <w:rPr>
          <w:rFonts w:hint="eastAsia"/>
          <w:color w:val="000000" w:themeColor="text1"/>
          <w:spacing w:val="-6"/>
          <w:sz w:val="24"/>
          <w:lang w:eastAsia="zh-CN"/>
          <w14:textFill>
            <w14:solidFill>
              <w14:schemeClr w14:val="tx1"/>
            </w14:solidFill>
          </w14:textFill>
        </w:rPr>
        <w:t>除专用合同条款另有约定外，履约保证金自合同生效之日起生效，在最后一批勘察设计成果文件经上级主管部门批复且设计人按照合同约定缴纳质量保证金</w:t>
      </w:r>
      <w:r>
        <w:rPr>
          <w:rFonts w:hint="eastAsia"/>
          <w:color w:val="000000" w:themeColor="text1"/>
          <w:spacing w:val="-20"/>
          <w:sz w:val="24"/>
          <w:lang w:eastAsia="zh-CN"/>
          <w14:textFill>
            <w14:solidFill>
              <w14:schemeClr w14:val="tx1"/>
            </w14:solidFill>
          </w14:textFill>
        </w:rPr>
        <w:t>之日起</w:t>
      </w:r>
      <w:r>
        <w:rPr>
          <w:rFonts w:ascii="Times New Roman" w:eastAsia="Times New Roman"/>
          <w:color w:val="000000" w:themeColor="text1"/>
          <w:sz w:val="24"/>
          <w:lang w:eastAsia="zh-CN"/>
          <w14:textFill>
            <w14:solidFill>
              <w14:schemeClr w14:val="tx1"/>
            </w14:solidFill>
          </w14:textFill>
        </w:rPr>
        <w:t xml:space="preserve">28 </w:t>
      </w:r>
      <w:r>
        <w:rPr>
          <w:rFonts w:hint="eastAsia"/>
          <w:color w:val="000000" w:themeColor="text1"/>
          <w:spacing w:val="-11"/>
          <w:sz w:val="24"/>
          <w:lang w:eastAsia="zh-CN"/>
          <w14:textFill>
            <w14:solidFill>
              <w14:schemeClr w14:val="tx1"/>
            </w14:solidFill>
          </w14:textFill>
        </w:rPr>
        <w:t>天后失效。如果设计人不履行合同约定的义务或其履行不符合合同的约定，</w:t>
      </w:r>
      <w:r>
        <w:rPr>
          <w:rFonts w:hint="eastAsia"/>
          <w:color w:val="000000" w:themeColor="text1"/>
          <w:sz w:val="24"/>
          <w:lang w:eastAsia="zh-CN"/>
          <w14:textFill>
            <w14:solidFill>
              <w14:schemeClr w14:val="tx1"/>
            </w14:solidFill>
          </w14:textFill>
        </w:rPr>
        <w:t>发包人有权扣划相应金额的履约保证金。</w:t>
      </w:r>
    </w:p>
    <w:p>
      <w:pPr>
        <w:pStyle w:val="30"/>
        <w:tabs>
          <w:tab w:val="left" w:pos="1505"/>
        </w:tabs>
        <w:spacing w:before="1"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4.2.2 </w:t>
      </w:r>
      <w:r>
        <w:rPr>
          <w:rFonts w:hint="eastAsia"/>
          <w:color w:val="000000" w:themeColor="text1"/>
          <w:spacing w:val="-3"/>
          <w:sz w:val="24"/>
          <w:lang w:eastAsia="zh-CN"/>
          <w14:textFill>
            <w14:solidFill>
              <w14:schemeClr w14:val="tx1"/>
            </w14:solidFill>
          </w14:textFill>
        </w:rPr>
        <w:t>发包人应在收到设计人缴纳的质量保证金后</w:t>
      </w:r>
      <w:r>
        <w:rPr>
          <w:rFonts w:ascii="Times New Roman" w:eastAsia="Times New Roman"/>
          <w:color w:val="000000" w:themeColor="text1"/>
          <w:sz w:val="24"/>
          <w:lang w:eastAsia="zh-CN"/>
          <w14:textFill>
            <w14:solidFill>
              <w14:schemeClr w14:val="tx1"/>
            </w14:solidFill>
          </w14:textFill>
        </w:rPr>
        <w:t>28</w:t>
      </w:r>
      <w:r>
        <w:rPr>
          <w:rFonts w:hint="eastAsia"/>
          <w:color w:val="000000" w:themeColor="text1"/>
          <w:spacing w:val="-2"/>
          <w:sz w:val="24"/>
          <w:lang w:eastAsia="zh-CN"/>
          <w14:textFill>
            <w14:solidFill>
              <w14:schemeClr w14:val="tx1"/>
            </w14:solidFill>
          </w14:textFill>
        </w:rPr>
        <w:t>天内将履约保证金退还给</w:t>
      </w:r>
      <w:r>
        <w:rPr>
          <w:rFonts w:hint="eastAsia"/>
          <w:color w:val="000000" w:themeColor="text1"/>
          <w:sz w:val="24"/>
          <w:lang w:eastAsia="zh-CN"/>
          <w14:textFill>
            <w14:solidFill>
              <w14:schemeClr w14:val="tx1"/>
            </w14:solidFill>
          </w14:textFill>
        </w:rPr>
        <w:t>设计人。设计人拒绝按照本合同约定缴纳质量保证金的，发包人有权从勘察设计费中扣留相应金额作为质量保证金。</w:t>
      </w:r>
    </w:p>
    <w:p>
      <w:pPr>
        <w:pStyle w:val="30"/>
        <w:tabs>
          <w:tab w:val="left" w:pos="1505"/>
        </w:tabs>
        <w:spacing w:before="1"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4.2.3 </w:t>
      </w:r>
      <w:r>
        <w:rPr>
          <w:rFonts w:hint="eastAsia"/>
          <w:color w:val="000000" w:themeColor="text1"/>
          <w:spacing w:val="-6"/>
          <w:sz w:val="24"/>
          <w:lang w:eastAsia="zh-CN"/>
          <w14:textFill>
            <w14:solidFill>
              <w14:schemeClr w14:val="tx1"/>
            </w14:solidFill>
          </w14:textFill>
        </w:rPr>
        <w:t>发包人对履约保证金提出的任何索赔要求，均应在履约保证金有效期内提</w:t>
      </w:r>
      <w:r>
        <w:rPr>
          <w:rFonts w:hint="eastAsia"/>
          <w:color w:val="000000" w:themeColor="text1"/>
          <w:sz w:val="24"/>
          <w:lang w:eastAsia="zh-CN"/>
          <w14:textFill>
            <w14:solidFill>
              <w14:schemeClr w14:val="tx1"/>
            </w14:solidFill>
          </w14:textFill>
        </w:rPr>
        <w:t>出。</w:t>
      </w:r>
    </w:p>
    <w:p>
      <w:pPr>
        <w:numPr>
          <w:ilvl w:val="1"/>
          <w:numId w:val="28"/>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分包和不得转包</w:t>
      </w:r>
    </w:p>
    <w:p>
      <w:pPr>
        <w:pStyle w:val="30"/>
        <w:numPr>
          <w:ilvl w:val="2"/>
          <w:numId w:val="28"/>
        </w:numPr>
        <w:tabs>
          <w:tab w:val="left" w:pos="1505"/>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设计人不得将其勘察设计的全部工作转包给第三人。</w:t>
      </w:r>
    </w:p>
    <w:p>
      <w:pPr>
        <w:pStyle w:val="30"/>
        <w:numPr>
          <w:ilvl w:val="2"/>
          <w:numId w:val="28"/>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设计人不得将勘察设计的主体、关键性工作分包给第三人。除专用合同条</w:t>
      </w:r>
      <w:r>
        <w:rPr>
          <w:rFonts w:hint="eastAsia"/>
          <w:color w:val="000000" w:themeColor="text1"/>
          <w:spacing w:val="-16"/>
          <w:sz w:val="24"/>
          <w:lang w:eastAsia="zh-CN"/>
          <w14:textFill>
            <w14:solidFill>
              <w14:schemeClr w14:val="tx1"/>
            </w14:solidFill>
          </w14:textFill>
        </w:rPr>
        <w:t>款另有约定外，经发包人同意，设计人可将工程设计中跨专业或有特殊要求的勘察、</w:t>
      </w:r>
      <w:r>
        <w:rPr>
          <w:rFonts w:hint="eastAsia"/>
          <w:color w:val="000000" w:themeColor="text1"/>
          <w:sz w:val="24"/>
          <w:lang w:eastAsia="zh-CN"/>
          <w14:textFill>
            <w14:solidFill>
              <w14:schemeClr w14:val="tx1"/>
            </w14:solidFill>
          </w14:textFill>
        </w:rPr>
        <w:t>设计工作进行分包。未列入投标文件的勘察设计工作，设计人不得分包。</w:t>
      </w:r>
    </w:p>
    <w:p>
      <w:pPr>
        <w:numPr>
          <w:ilvl w:val="1"/>
          <w:numId w:val="29"/>
        </w:numPr>
        <w:tabs>
          <w:tab w:val="left" w:pos="1327"/>
        </w:tabs>
        <w:spacing w:before="17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项目负责人</w:t>
      </w:r>
    </w:p>
    <w:p>
      <w:pPr>
        <w:pStyle w:val="30"/>
        <w:tabs>
          <w:tab w:val="left" w:pos="1505"/>
        </w:tabs>
        <w:spacing w:before="173"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4.5.1 </w:t>
      </w:r>
      <w:r>
        <w:rPr>
          <w:rFonts w:hint="eastAsia"/>
          <w:color w:val="000000" w:themeColor="text1"/>
          <w:spacing w:val="-1"/>
          <w:sz w:val="24"/>
          <w:lang w:eastAsia="zh-CN"/>
          <w14:textFill>
            <w14:solidFill>
              <w14:schemeClr w14:val="tx1"/>
            </w14:solidFill>
          </w14:textFill>
        </w:rPr>
        <w:t>设计人应按合同协议书的约定指派项目负责人，并在约定的期限内到职。</w:t>
      </w:r>
      <w:r>
        <w:rPr>
          <w:rFonts w:hint="eastAsia"/>
          <w:color w:val="000000" w:themeColor="text1"/>
          <w:spacing w:val="-7"/>
          <w:sz w:val="24"/>
          <w:lang w:eastAsia="zh-CN"/>
          <w14:textFill>
            <w14:solidFill>
              <w14:schemeClr w14:val="tx1"/>
            </w14:solidFill>
          </w14:textFill>
        </w:rPr>
        <w:t>设计人更换项目负责人应事先征得发包人同意，并应在更换</w:t>
      </w:r>
      <w:r>
        <w:rPr>
          <w:rFonts w:ascii="Times New Roman" w:eastAsia="Times New Roman"/>
          <w:color w:val="000000" w:themeColor="text1"/>
          <w:sz w:val="24"/>
          <w:lang w:eastAsia="zh-CN"/>
          <w14:textFill>
            <w14:solidFill>
              <w14:schemeClr w14:val="tx1"/>
            </w14:solidFill>
          </w14:textFill>
        </w:rPr>
        <w:t xml:space="preserve">14 </w:t>
      </w:r>
      <w:r>
        <w:rPr>
          <w:rFonts w:hint="eastAsia"/>
          <w:color w:val="000000" w:themeColor="text1"/>
          <w:sz w:val="24"/>
          <w:lang w:eastAsia="zh-CN"/>
          <w14:textFill>
            <w14:solidFill>
              <w14:schemeClr w14:val="tx1"/>
            </w14:solidFill>
          </w14:textFill>
        </w:rPr>
        <w:t>天前将拟更换的项目负责人姓名和详细资料提交发包人，拟更换的项目负责人资历应不低于原项目负责</w:t>
      </w:r>
      <w:r>
        <w:rPr>
          <w:rFonts w:hint="eastAsia"/>
          <w:color w:val="000000" w:themeColor="text1"/>
          <w:spacing w:val="-6"/>
          <w:sz w:val="24"/>
          <w:lang w:eastAsia="zh-CN"/>
          <w14:textFill>
            <w14:solidFill>
              <w14:schemeClr w14:val="tx1"/>
            </w14:solidFill>
          </w14:textFill>
        </w:rPr>
        <w:t>人。项目负责人</w:t>
      </w:r>
      <w:r>
        <w:rPr>
          <w:rFonts w:ascii="Times New Roman" w:eastAsia="Times New Roman"/>
          <w:color w:val="000000" w:themeColor="text1"/>
          <w:sz w:val="24"/>
          <w:lang w:eastAsia="zh-CN"/>
          <w14:textFill>
            <w14:solidFill>
              <w14:schemeClr w14:val="tx1"/>
            </w14:solidFill>
          </w14:textFill>
        </w:rPr>
        <w:t>2</w:t>
      </w:r>
      <w:r>
        <w:rPr>
          <w:rFonts w:hint="eastAsia"/>
          <w:color w:val="000000" w:themeColor="text1"/>
          <w:sz w:val="24"/>
          <w:lang w:eastAsia="zh-CN"/>
          <w14:textFill>
            <w14:solidFill>
              <w14:schemeClr w14:val="tx1"/>
            </w14:solidFill>
          </w14:textFill>
        </w:rPr>
        <w:t>天内不能履行职责的，应事先征得发包人同意，并委派代表代行其职责。</w:t>
      </w:r>
    </w:p>
    <w:p>
      <w:pPr>
        <w:pStyle w:val="30"/>
        <w:tabs>
          <w:tab w:val="left" w:pos="1445"/>
        </w:tabs>
        <w:spacing w:before="2"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4.5.2 </w:t>
      </w:r>
      <w:r>
        <w:rPr>
          <w:rFonts w:hint="eastAsia"/>
          <w:color w:val="000000" w:themeColor="text1"/>
          <w:spacing w:val="-3"/>
          <w:sz w:val="24"/>
          <w:lang w:eastAsia="zh-CN"/>
          <w14:textFill>
            <w14:solidFill>
              <w14:schemeClr w14:val="tx1"/>
            </w14:solidFill>
          </w14:textFill>
        </w:rPr>
        <w:t>项目负责人应按合同约定以及发包人要求，负责组织合同工作的实施。在</w:t>
      </w:r>
      <w:r>
        <w:rPr>
          <w:rFonts w:hint="eastAsia"/>
          <w:color w:val="000000" w:themeColor="text1"/>
          <w:sz w:val="24"/>
          <w:lang w:eastAsia="zh-CN"/>
          <w14:textFill>
            <w14:solidFill>
              <w14:schemeClr w14:val="tx1"/>
            </w14:solidFill>
          </w14:textFill>
        </w:rPr>
        <w:t>情况紧急且无法与发包人取得联系时，可采取保证工程和人员生命财产安全的紧急</w:t>
      </w:r>
      <w:r>
        <w:rPr>
          <w:rFonts w:hint="eastAsia"/>
          <w:color w:val="000000" w:themeColor="text1"/>
          <w:spacing w:val="-6"/>
          <w:sz w:val="24"/>
          <w:lang w:eastAsia="zh-CN"/>
          <w14:textFill>
            <w14:solidFill>
              <w14:schemeClr w14:val="tx1"/>
            </w14:solidFill>
          </w14:textFill>
        </w:rPr>
        <w:t>措施，并在采取措施后</w:t>
      </w:r>
      <w:r>
        <w:rPr>
          <w:rFonts w:ascii="Times New Roman" w:eastAsia="Times New Roman"/>
          <w:color w:val="000000" w:themeColor="text1"/>
          <w:sz w:val="24"/>
          <w:lang w:eastAsia="zh-CN"/>
          <w14:textFill>
            <w14:solidFill>
              <w14:schemeClr w14:val="tx1"/>
            </w14:solidFill>
          </w14:textFill>
        </w:rPr>
        <w:t xml:space="preserve">24 </w:t>
      </w:r>
      <w:r>
        <w:rPr>
          <w:rFonts w:hint="eastAsia"/>
          <w:color w:val="000000" w:themeColor="text1"/>
          <w:sz w:val="24"/>
          <w:lang w:eastAsia="zh-CN"/>
          <w14:textFill>
            <w14:solidFill>
              <w14:schemeClr w14:val="tx1"/>
            </w14:solidFill>
          </w14:textFill>
        </w:rPr>
        <w:t>小时内向发包人提交书面报告。</w:t>
      </w:r>
    </w:p>
    <w:p>
      <w:pPr>
        <w:pStyle w:val="30"/>
        <w:tabs>
          <w:tab w:val="left" w:pos="1505"/>
        </w:tabs>
        <w:spacing w:before="1"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4.5.3 </w:t>
      </w:r>
      <w:r>
        <w:rPr>
          <w:rFonts w:hint="eastAsia"/>
          <w:color w:val="000000" w:themeColor="text1"/>
          <w:spacing w:val="-5"/>
          <w:sz w:val="24"/>
          <w:lang w:eastAsia="zh-CN"/>
          <w14:textFill>
            <w14:solidFill>
              <w14:schemeClr w14:val="tx1"/>
            </w14:solidFill>
          </w14:textFill>
        </w:rPr>
        <w:t>设计人为履行合同发出的一切函件均应盖有设计人单位章，并由设计人的</w:t>
      </w:r>
      <w:r>
        <w:rPr>
          <w:rFonts w:hint="eastAsia"/>
          <w:color w:val="000000" w:themeColor="text1"/>
          <w:sz w:val="24"/>
          <w:lang w:eastAsia="zh-CN"/>
          <w14:textFill>
            <w14:solidFill>
              <w14:schemeClr w14:val="tx1"/>
            </w14:solidFill>
          </w14:textFill>
        </w:rPr>
        <w:t>项目负责人签字确认。</w:t>
      </w:r>
    </w:p>
    <w:p>
      <w:pPr>
        <w:pStyle w:val="30"/>
        <w:tabs>
          <w:tab w:val="left" w:pos="1505"/>
        </w:tabs>
        <w:spacing w:before="1"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4.5.4 </w:t>
      </w:r>
      <w:r>
        <w:rPr>
          <w:rFonts w:hint="eastAsia"/>
          <w:color w:val="000000" w:themeColor="text1"/>
          <w:spacing w:val="-9"/>
          <w:sz w:val="24"/>
          <w:lang w:eastAsia="zh-CN"/>
          <w14:textFill>
            <w14:solidFill>
              <w14:schemeClr w14:val="tx1"/>
            </w14:solidFill>
          </w14:textFill>
        </w:rPr>
        <w:t>按照专用合同条款约定，项目负责人可以授权其下属人员履行其某项职责，</w:t>
      </w:r>
      <w:r>
        <w:rPr>
          <w:rFonts w:hint="eastAsia"/>
          <w:color w:val="000000" w:themeColor="text1"/>
          <w:sz w:val="24"/>
          <w:lang w:eastAsia="zh-CN"/>
          <w14:textFill>
            <w14:solidFill>
              <w14:schemeClr w14:val="tx1"/>
            </w14:solidFill>
          </w14:textFill>
        </w:rPr>
        <w:t>但事先应将这些人员的姓名和授权范围书面通知发包人。</w:t>
      </w:r>
    </w:p>
    <w:p>
      <w:pPr>
        <w:numPr>
          <w:ilvl w:val="1"/>
          <w:numId w:val="29"/>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w w:val="95"/>
          <w:sz w:val="24"/>
          <w14:textFill>
            <w14:solidFill>
              <w14:schemeClr w14:val="tx1"/>
            </w14:solidFill>
          </w14:textFill>
        </w:rPr>
        <w:t>勘察设计人员的管理</w:t>
      </w:r>
    </w:p>
    <w:p>
      <w:pPr>
        <w:pStyle w:val="30"/>
        <w:tabs>
          <w:tab w:val="left" w:pos="1505"/>
        </w:tabs>
        <w:spacing w:before="74" w:line="374" w:lineRule="auto"/>
        <w:ind w:left="0" w:right="-279" w:rightChars="-127" w:firstLine="464" w:firstLineChars="200"/>
        <w:jc w:val="both"/>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4.6.1 </w:t>
      </w:r>
      <w:r>
        <w:rPr>
          <w:rFonts w:hint="eastAsia"/>
          <w:color w:val="000000" w:themeColor="text1"/>
          <w:spacing w:val="-4"/>
          <w:sz w:val="24"/>
          <w:lang w:eastAsia="zh-CN"/>
          <w14:textFill>
            <w14:solidFill>
              <w14:schemeClr w14:val="tx1"/>
            </w14:solidFill>
          </w14:textFill>
        </w:rPr>
        <w:t>设计人应在接到开始勘察设计通知之日起</w:t>
      </w:r>
      <w:r>
        <w:rPr>
          <w:rFonts w:ascii="Times New Roman" w:eastAsia="Times New Roman"/>
          <w:color w:val="000000" w:themeColor="text1"/>
          <w:sz w:val="24"/>
          <w:lang w:eastAsia="zh-CN"/>
          <w14:textFill>
            <w14:solidFill>
              <w14:schemeClr w14:val="tx1"/>
            </w14:solidFill>
          </w14:textFill>
        </w:rPr>
        <w:t>7</w:t>
      </w:r>
      <w:r>
        <w:rPr>
          <w:rFonts w:hint="eastAsia"/>
          <w:color w:val="000000" w:themeColor="text1"/>
          <w:spacing w:val="-11"/>
          <w:sz w:val="24"/>
          <w:lang w:eastAsia="zh-CN"/>
          <w14:textFill>
            <w14:solidFill>
              <w14:schemeClr w14:val="tx1"/>
            </w14:solidFill>
          </w14:textFill>
        </w:rPr>
        <w:t>天内，向发包人提交勘察设计</w:t>
      </w:r>
      <w:r>
        <w:rPr>
          <w:rFonts w:hint="eastAsia"/>
          <w:color w:val="000000" w:themeColor="text1"/>
          <w:sz w:val="24"/>
          <w:lang w:eastAsia="zh-CN"/>
          <w14:textFill>
            <w14:solidFill>
              <w14:schemeClr w14:val="tx1"/>
            </w14:solidFill>
          </w14:textFill>
        </w:rPr>
        <w:t>项目机构以及人员安排的报告，其内容应包括项目机构设置、主要勘察设计人员和其他人员的名单及资格条件。主要勘察设计人员应相对稳定，更换主要勘察设计人员的，应取得发包人的同意，并向发包人提交继任人员的资格、管理经验等资料，</w:t>
      </w:r>
      <w:r>
        <w:rPr>
          <w:rFonts w:hint="eastAsia"/>
          <w:color w:val="000000" w:themeColor="text1"/>
          <w:spacing w:val="-7"/>
          <w:sz w:val="24"/>
          <w:lang w:eastAsia="zh-CN"/>
          <w14:textFill>
            <w14:solidFill>
              <w14:schemeClr w14:val="tx1"/>
            </w14:solidFill>
          </w14:textFill>
        </w:rPr>
        <w:t>继任人员的资历应不低于原设计人员。项目负责人的更换，应按照本章第</w:t>
      </w:r>
      <w:r>
        <w:rPr>
          <w:rFonts w:ascii="Times New Roman" w:eastAsia="Times New Roman"/>
          <w:color w:val="000000" w:themeColor="text1"/>
          <w:sz w:val="24"/>
          <w:lang w:eastAsia="zh-CN"/>
          <w14:textFill>
            <w14:solidFill>
              <w14:schemeClr w14:val="tx1"/>
            </w14:solidFill>
          </w14:textFill>
        </w:rPr>
        <w:t xml:space="preserve">4.5.1 </w:t>
      </w:r>
      <w:r>
        <w:rPr>
          <w:rFonts w:hint="eastAsia"/>
          <w:color w:val="000000" w:themeColor="text1"/>
          <w:spacing w:val="-6"/>
          <w:sz w:val="24"/>
          <w:lang w:eastAsia="zh-CN"/>
          <w14:textFill>
            <w14:solidFill>
              <w14:schemeClr w14:val="tx1"/>
            </w14:solidFill>
          </w14:textFill>
        </w:rPr>
        <w:t>项规</w:t>
      </w:r>
      <w:r>
        <w:rPr>
          <w:rFonts w:hint="eastAsia"/>
          <w:color w:val="000000" w:themeColor="text1"/>
          <w:sz w:val="24"/>
          <w:lang w:eastAsia="zh-CN"/>
          <w14:textFill>
            <w14:solidFill>
              <w14:schemeClr w14:val="tx1"/>
            </w14:solidFill>
          </w14:textFill>
        </w:rPr>
        <w:t>定执行。</w:t>
      </w:r>
    </w:p>
    <w:p>
      <w:pPr>
        <w:pStyle w:val="30"/>
        <w:tabs>
          <w:tab w:val="left" w:pos="1505"/>
        </w:tabs>
        <w:spacing w:before="3" w:line="374" w:lineRule="auto"/>
        <w:ind w:left="0" w:right="-279" w:rightChars="-127" w:firstLine="464" w:firstLineChars="200"/>
        <w:jc w:val="both"/>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4.6.2 </w:t>
      </w:r>
      <w:r>
        <w:rPr>
          <w:rFonts w:hint="eastAsia"/>
          <w:color w:val="000000" w:themeColor="text1"/>
          <w:spacing w:val="-7"/>
          <w:sz w:val="24"/>
          <w:lang w:eastAsia="zh-CN"/>
          <w14:textFill>
            <w14:solidFill>
              <w14:schemeClr w14:val="tx1"/>
            </w14:solidFill>
          </w14:textFill>
        </w:rPr>
        <w:t>除专用合同条款另有约定外，主要勘察设计人员包括项目负责人、专业负</w:t>
      </w:r>
      <w:r>
        <w:rPr>
          <w:rFonts w:hint="eastAsia"/>
          <w:color w:val="000000" w:themeColor="text1"/>
          <w:spacing w:val="-1"/>
          <w:sz w:val="24"/>
          <w:lang w:eastAsia="zh-CN"/>
          <w14:textFill>
            <w14:solidFill>
              <w14:schemeClr w14:val="tx1"/>
            </w14:solidFill>
          </w14:textFill>
        </w:rPr>
        <w:t>责人、审核人、审定人等；其他人员包括勘察作业人员、各专业的设计人员、管理</w:t>
      </w:r>
      <w:r>
        <w:rPr>
          <w:rFonts w:hint="eastAsia"/>
          <w:color w:val="000000" w:themeColor="text1"/>
          <w:sz w:val="24"/>
          <w:lang w:eastAsia="zh-CN"/>
          <w14:textFill>
            <w14:solidFill>
              <w14:schemeClr w14:val="tx1"/>
            </w14:solidFill>
          </w14:textFill>
        </w:rPr>
        <w:t>人员等。</w:t>
      </w:r>
    </w:p>
    <w:p>
      <w:pPr>
        <w:pStyle w:val="30"/>
        <w:tabs>
          <w:tab w:val="left" w:pos="1421"/>
        </w:tabs>
        <w:spacing w:before="1" w:line="374" w:lineRule="auto"/>
        <w:ind w:left="0" w:right="-279" w:rightChars="-127" w:firstLine="464" w:firstLineChars="200"/>
        <w:jc w:val="both"/>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4.6.3 </w:t>
      </w:r>
      <w:r>
        <w:rPr>
          <w:rFonts w:hint="eastAsia"/>
          <w:color w:val="000000" w:themeColor="text1"/>
          <w:spacing w:val="-8"/>
          <w:sz w:val="24"/>
          <w:lang w:eastAsia="zh-CN"/>
          <w14:textFill>
            <w14:solidFill>
              <w14:schemeClr w14:val="tx1"/>
            </w14:solidFill>
          </w14:textFill>
        </w:rPr>
        <w:t>设计人应保证其主要勘察设计人员</w:t>
      </w:r>
      <w:r>
        <w:rPr>
          <w:rFonts w:hint="eastAsia"/>
          <w:color w:val="000000" w:themeColor="text1"/>
          <w:spacing w:val="-2"/>
          <w:sz w:val="24"/>
          <w:lang w:eastAsia="zh-CN"/>
          <w14:textFill>
            <w14:solidFill>
              <w14:schemeClr w14:val="tx1"/>
            </w14:solidFill>
          </w14:textFill>
        </w:rPr>
        <w:t>在合同期限内的任何时候，</w:t>
      </w:r>
      <w:r>
        <w:rPr>
          <w:rFonts w:hint="eastAsia"/>
          <w:color w:val="000000" w:themeColor="text1"/>
          <w:sz w:val="24"/>
          <w:lang w:eastAsia="zh-CN"/>
          <w14:textFill>
            <w14:solidFill>
              <w14:schemeClr w14:val="tx1"/>
            </w14:solidFill>
          </w14:textFill>
        </w:rPr>
        <w:t>都能按时参加发包人组织的工作会议。</w:t>
      </w:r>
    </w:p>
    <w:p>
      <w:pPr>
        <w:pStyle w:val="30"/>
        <w:tabs>
          <w:tab w:val="left" w:pos="1505"/>
        </w:tabs>
        <w:spacing w:line="374" w:lineRule="auto"/>
        <w:ind w:left="0" w:right="-279" w:rightChars="-127" w:firstLine="464" w:firstLineChars="200"/>
        <w:jc w:val="both"/>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4.6.4 </w:t>
      </w:r>
      <w:r>
        <w:rPr>
          <w:rFonts w:hint="eastAsia"/>
          <w:color w:val="000000" w:themeColor="text1"/>
          <w:spacing w:val="-5"/>
          <w:sz w:val="24"/>
          <w:lang w:eastAsia="zh-CN"/>
          <w14:textFill>
            <w14:solidFill>
              <w14:schemeClr w14:val="tx1"/>
            </w14:solidFill>
          </w14:textFill>
        </w:rPr>
        <w:t>国家规定应当持证上岗的工作人员均应持有相应的资格证明，发包人有权</w:t>
      </w:r>
      <w:r>
        <w:rPr>
          <w:rFonts w:hint="eastAsia"/>
          <w:color w:val="000000" w:themeColor="text1"/>
          <w:sz w:val="24"/>
          <w:lang w:eastAsia="zh-CN"/>
          <w14:textFill>
            <w14:solidFill>
              <w14:schemeClr w14:val="tx1"/>
            </w14:solidFill>
          </w14:textFill>
        </w:rPr>
        <w:t>随时检查。发包人认为有必要时，可以进行现场考核。</w:t>
      </w:r>
    </w:p>
    <w:p>
      <w:pPr>
        <w:pStyle w:val="30"/>
        <w:tabs>
          <w:tab w:val="left" w:pos="1505"/>
        </w:tabs>
        <w:spacing w:before="1" w:line="374" w:lineRule="auto"/>
        <w:ind w:left="0" w:right="-279" w:rightChars="-127" w:firstLine="464" w:firstLineChars="200"/>
        <w:jc w:val="both"/>
        <w:rPr>
          <w:color w:val="000000" w:themeColor="text1"/>
          <w:sz w:val="24"/>
          <w:lang w:eastAsia="zh-CN"/>
          <w14:textFill>
            <w14:solidFill>
              <w14:schemeClr w14:val="tx1"/>
            </w14:solidFill>
          </w14:textFill>
        </w:rPr>
      </w:pPr>
      <w:r>
        <w:rPr>
          <w:color w:val="000000" w:themeColor="text1"/>
          <w:spacing w:val="-4"/>
          <w:sz w:val="24"/>
          <w:lang w:eastAsia="zh-CN"/>
          <w14:textFill>
            <w14:solidFill>
              <w14:schemeClr w14:val="tx1"/>
            </w14:solidFill>
          </w14:textFill>
        </w:rPr>
        <w:t xml:space="preserve">4.6.5 </w:t>
      </w:r>
      <w:r>
        <w:rPr>
          <w:rFonts w:hint="eastAsia"/>
          <w:color w:val="000000" w:themeColor="text1"/>
          <w:spacing w:val="-4"/>
          <w:sz w:val="24"/>
          <w:lang w:eastAsia="zh-CN"/>
          <w14:textFill>
            <w14:solidFill>
              <w14:schemeClr w14:val="tx1"/>
            </w14:solidFill>
          </w14:textFill>
        </w:rPr>
        <w:t>设计人的工作进度未达到设计人投标文件中承诺的进度计划时，发包人有</w:t>
      </w:r>
      <w:r>
        <w:rPr>
          <w:rFonts w:hint="eastAsia"/>
          <w:color w:val="000000" w:themeColor="text1"/>
          <w:sz w:val="24"/>
          <w:lang w:eastAsia="zh-CN"/>
          <w14:textFill>
            <w14:solidFill>
              <w14:schemeClr w14:val="tx1"/>
            </w14:solidFill>
          </w14:textFill>
        </w:rPr>
        <w:t>权要求设计人增加勘察设计人员，设计人应立即安排，其费用视为已包含在合同价格中。</w:t>
      </w:r>
    </w:p>
    <w:p>
      <w:pPr>
        <w:numPr>
          <w:ilvl w:val="1"/>
          <w:numId w:val="30"/>
        </w:numPr>
        <w:tabs>
          <w:tab w:val="left" w:pos="1327"/>
        </w:tabs>
        <w:spacing w:before="1"/>
        <w:ind w:right="-279" w:rightChars="-127"/>
        <w:rPr>
          <w:b/>
          <w:color w:val="000000" w:themeColor="text1"/>
          <w:sz w:val="24"/>
          <w:lang w:eastAsia="zh-CN"/>
          <w14:textFill>
            <w14:solidFill>
              <w14:schemeClr w14:val="tx1"/>
            </w14:solidFill>
          </w14:textFill>
        </w:rPr>
      </w:pPr>
      <w:r>
        <w:rPr>
          <w:rFonts w:hint="eastAsia"/>
          <w:b/>
          <w:color w:val="000000" w:themeColor="text1"/>
          <w:sz w:val="24"/>
          <w:lang w:eastAsia="zh-CN"/>
          <w14:textFill>
            <w14:solidFill>
              <w14:schemeClr w14:val="tx1"/>
            </w14:solidFill>
          </w14:textFill>
        </w:rPr>
        <w:t>撤换项目负责人和其他人员</w:t>
      </w:r>
    </w:p>
    <w:p>
      <w:pPr>
        <w:pStyle w:val="4"/>
        <w:spacing w:before="173"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设计人应对其项目负责人和其他人员进行有效管理。发包人要求撤换不能胜任本职工作、行为不端或玩忽职守的项目负责人和其他人员的，设计人应予以撤换。</w:t>
      </w:r>
    </w:p>
    <w:p>
      <w:pPr>
        <w:numPr>
          <w:ilvl w:val="1"/>
          <w:numId w:val="30"/>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保障人员的合法权益</w:t>
      </w:r>
    </w:p>
    <w:p>
      <w:pPr>
        <w:pStyle w:val="30"/>
        <w:numPr>
          <w:ilvl w:val="2"/>
          <w:numId w:val="30"/>
        </w:numPr>
        <w:tabs>
          <w:tab w:val="left" w:pos="1505"/>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设计人应与其雇用的人员签订劳动合同，并按时发放工资。</w:t>
      </w:r>
    </w:p>
    <w:p>
      <w:pPr>
        <w:pStyle w:val="30"/>
        <w:numPr>
          <w:ilvl w:val="2"/>
          <w:numId w:val="30"/>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设计人应按劳动法的规定安排工作时间，保证其雇用人员享有休息和休假</w:t>
      </w:r>
      <w:r>
        <w:rPr>
          <w:rFonts w:hint="eastAsia"/>
          <w:color w:val="000000" w:themeColor="text1"/>
          <w:spacing w:val="-15"/>
          <w:sz w:val="24"/>
          <w:lang w:eastAsia="zh-CN"/>
          <w14:textFill>
            <w14:solidFill>
              <w14:schemeClr w14:val="tx1"/>
            </w14:solidFill>
          </w14:textFill>
        </w:rPr>
        <w:t>的权利。因勘察设计需要占用休假日或延长工作时间的，应不超过法律规定的限度，</w:t>
      </w:r>
      <w:r>
        <w:rPr>
          <w:rFonts w:hint="eastAsia"/>
          <w:color w:val="000000" w:themeColor="text1"/>
          <w:sz w:val="24"/>
          <w:lang w:eastAsia="zh-CN"/>
          <w14:textFill>
            <w14:solidFill>
              <w14:schemeClr w14:val="tx1"/>
            </w14:solidFill>
          </w14:textFill>
        </w:rPr>
        <w:t>并按法律规定给予补休或付酬。</w:t>
      </w:r>
    </w:p>
    <w:p>
      <w:pPr>
        <w:pStyle w:val="30"/>
        <w:numPr>
          <w:ilvl w:val="2"/>
          <w:numId w:val="30"/>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设计人应为其现场人员提供必要的食宿条件，以及符合环境保护和卫生要</w:t>
      </w:r>
      <w:r>
        <w:rPr>
          <w:rFonts w:hint="eastAsia"/>
          <w:color w:val="000000" w:themeColor="text1"/>
          <w:sz w:val="24"/>
          <w:lang w:eastAsia="zh-CN"/>
          <w14:textFill>
            <w14:solidFill>
              <w14:schemeClr w14:val="tx1"/>
            </w14:solidFill>
          </w14:textFill>
        </w:rPr>
        <w:t>求的生活环境，在远离城镇的勘探场地，还应配备必要的伤病防治和急救设施。</w:t>
      </w:r>
    </w:p>
    <w:p>
      <w:pPr>
        <w:pStyle w:val="30"/>
        <w:numPr>
          <w:ilvl w:val="2"/>
          <w:numId w:val="30"/>
        </w:numPr>
        <w:tabs>
          <w:tab w:val="left" w:pos="1505"/>
        </w:tabs>
        <w:spacing w:before="1" w:line="374" w:lineRule="auto"/>
        <w:ind w:left="424" w:right="-279" w:rightChars="-127" w:firstLine="480"/>
        <w:rPr>
          <w:color w:val="000000" w:themeColor="text1"/>
          <w:sz w:val="24"/>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设计人应按国家有关劳动保护的规定，采取有效的防止粉尘、降低噪声、</w:t>
      </w:r>
      <w:r>
        <w:rPr>
          <w:rFonts w:hint="eastAsia"/>
          <w:color w:val="000000" w:themeColor="text1"/>
          <w:sz w:val="24"/>
          <w:lang w:eastAsia="zh-CN"/>
          <w14:textFill>
            <w14:solidFill>
              <w14:schemeClr w14:val="tx1"/>
            </w14:solidFill>
          </w14:textFill>
        </w:rPr>
        <w:t>控制有害气体和保障高温、高寒、高空作业安全等劳动保护措施。</w:t>
      </w:r>
      <w:r>
        <w:rPr>
          <w:rFonts w:hint="eastAsia"/>
          <w:color w:val="000000" w:themeColor="text1"/>
          <w:sz w:val="24"/>
          <w14:textFill>
            <w14:solidFill>
              <w14:schemeClr w14:val="tx1"/>
            </w14:solidFill>
          </w14:textFill>
        </w:rPr>
        <w:t>其雇用人员在勘</w:t>
      </w:r>
    </w:p>
    <w:p>
      <w:pPr>
        <w:pStyle w:val="4"/>
        <w:spacing w:before="67"/>
        <w:ind w:left="42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探作业中受到伤害的，设计人应立即采取有效措施进行抢救和治疗。</w:t>
      </w:r>
    </w:p>
    <w:p>
      <w:pPr>
        <w:pStyle w:val="30"/>
        <w:numPr>
          <w:ilvl w:val="2"/>
          <w:numId w:val="30"/>
        </w:numPr>
        <w:tabs>
          <w:tab w:val="left" w:pos="1505"/>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设计人应按有关法律规定和合同约定，为其雇用人员办理保险。</w:t>
      </w:r>
    </w:p>
    <w:p>
      <w:pPr>
        <w:spacing w:before="173"/>
        <w:ind w:left="906" w:right="-279" w:rightChars="-127"/>
        <w:rPr>
          <w:b/>
          <w:color w:val="000000" w:themeColor="text1"/>
          <w:sz w:val="24"/>
          <w:lang w:eastAsia="zh-CN"/>
          <w14:textFill>
            <w14:solidFill>
              <w14:schemeClr w14:val="tx1"/>
            </w14:solidFill>
          </w14:textFill>
        </w:rPr>
      </w:pPr>
      <w:r>
        <w:rPr>
          <w:rFonts w:ascii="Times New Roman" w:eastAsia="Times New Roman"/>
          <w:b/>
          <w:color w:val="000000" w:themeColor="text1"/>
          <w:sz w:val="24"/>
          <w:lang w:eastAsia="zh-CN"/>
          <w14:textFill>
            <w14:solidFill>
              <w14:schemeClr w14:val="tx1"/>
            </w14:solidFill>
          </w14:textFill>
        </w:rPr>
        <w:t>4.9</w:t>
      </w:r>
      <w:r>
        <w:rPr>
          <w:rFonts w:hint="eastAsia"/>
          <w:b/>
          <w:color w:val="000000" w:themeColor="text1"/>
          <w:sz w:val="24"/>
          <w:lang w:eastAsia="zh-CN"/>
          <w14:textFill>
            <w14:solidFill>
              <w14:schemeClr w14:val="tx1"/>
            </w14:solidFill>
          </w14:textFill>
        </w:rPr>
        <w:t>合同价款应专款专用</w:t>
      </w:r>
    </w:p>
    <w:p>
      <w:pPr>
        <w:pStyle w:val="4"/>
        <w:spacing w:before="172"/>
        <w:ind w:left="90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发包人按合同约定支付给设计人的各项价款，应专用于合同勘察设计工作。</w:t>
      </w:r>
    </w:p>
    <w:p>
      <w:pPr>
        <w:pStyle w:val="4"/>
        <w:ind w:right="-279" w:rightChars="-127"/>
        <w:rPr>
          <w:color w:val="000000" w:themeColor="text1"/>
          <w:sz w:val="21"/>
          <w:lang w:eastAsia="zh-CN"/>
          <w14:textFill>
            <w14:solidFill>
              <w14:schemeClr w14:val="tx1"/>
            </w14:solidFill>
          </w14:textFill>
        </w:rPr>
      </w:pPr>
    </w:p>
    <w:p>
      <w:pPr>
        <w:numPr>
          <w:ilvl w:val="0"/>
          <w:numId w:val="14"/>
        </w:numPr>
        <w:tabs>
          <w:tab w:val="left" w:pos="773"/>
        </w:tabs>
        <w:ind w:right="-279" w:rightChars="-127"/>
        <w:rPr>
          <w:rFonts w:ascii="黑体" w:eastAsia="黑体"/>
          <w:b/>
          <w:color w:val="000000" w:themeColor="text1"/>
          <w:sz w:val="28"/>
          <w14:textFill>
            <w14:solidFill>
              <w14:schemeClr w14:val="tx1"/>
            </w14:solidFill>
          </w14:textFill>
        </w:rPr>
      </w:pPr>
      <w:bookmarkStart w:id="22" w:name="_bookmark114"/>
      <w:bookmarkEnd w:id="22"/>
      <w:r>
        <w:rPr>
          <w:rFonts w:hint="eastAsia" w:ascii="黑体" w:eastAsia="黑体"/>
          <w:b/>
          <w:color w:val="000000" w:themeColor="text1"/>
          <w:sz w:val="28"/>
          <w14:textFill>
            <w14:solidFill>
              <w14:schemeClr w14:val="tx1"/>
            </w14:solidFill>
          </w14:textFill>
        </w:rPr>
        <w:t>勘察设计要求</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一般要求</w:t>
      </w:r>
    </w:p>
    <w:p>
      <w:pPr>
        <w:pStyle w:val="30"/>
        <w:numPr>
          <w:ilvl w:val="2"/>
          <w:numId w:val="14"/>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发包人应遵守法律和规范标准，不得以任何理由要求设计人违反法律和工</w:t>
      </w:r>
      <w:r>
        <w:rPr>
          <w:rFonts w:hint="eastAsia"/>
          <w:color w:val="000000" w:themeColor="text1"/>
          <w:sz w:val="24"/>
          <w:lang w:eastAsia="zh-CN"/>
          <w14:textFill>
            <w14:solidFill>
              <w14:schemeClr w14:val="tx1"/>
            </w14:solidFill>
          </w14:textFill>
        </w:rPr>
        <w:t>程质量、安全标准进行勘察设计服务，降低工程质量。</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8"/>
          <w:sz w:val="24"/>
          <w:lang w:eastAsia="zh-CN"/>
          <w14:textFill>
            <w14:solidFill>
              <w14:schemeClr w14:val="tx1"/>
            </w14:solidFill>
          </w14:textFill>
        </w:rPr>
        <w:t>设计人应按照法律规定，以及国家、行业和地方的规范和标准完成勘察设</w:t>
      </w:r>
      <w:r>
        <w:rPr>
          <w:rFonts w:hint="eastAsia"/>
          <w:color w:val="000000" w:themeColor="text1"/>
          <w:sz w:val="24"/>
          <w:lang w:eastAsia="zh-CN"/>
          <w14:textFill>
            <w14:solidFill>
              <w14:schemeClr w14:val="tx1"/>
            </w14:solidFill>
          </w14:textFill>
        </w:rPr>
        <w:t>计工作，并应符合发包人要求。各项规范、标准和发包人要求之间如对同一内容的描述不一致时，应以描述更为严格的内容为准。</w:t>
      </w:r>
    </w:p>
    <w:p>
      <w:pPr>
        <w:pStyle w:val="30"/>
        <w:numPr>
          <w:ilvl w:val="2"/>
          <w:numId w:val="14"/>
        </w:numPr>
        <w:tabs>
          <w:tab w:val="left" w:pos="1505"/>
        </w:tabs>
        <w:spacing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除专用合同条款另有约定外，设计人完成勘察设计工作所应遵守的法律规定，以及国家、行业和地方的规范和标准，均应视为在基准日适用的版本。基准日之后，前述版本发生重大变化，或者有新的法律，以及国家、行业和地方的规范和标准实施的，设计人应向发包人提出遵守新规定的建议。发包人应在收到建议后</w:t>
      </w:r>
      <w:r>
        <w:rPr>
          <w:rFonts w:ascii="Times New Roman" w:eastAsia="Times New Roman"/>
          <w:color w:val="000000" w:themeColor="text1"/>
          <w:sz w:val="24"/>
          <w:lang w:eastAsia="zh-CN"/>
          <w14:textFill>
            <w14:solidFill>
              <w14:schemeClr w14:val="tx1"/>
            </w14:solidFill>
          </w14:textFill>
        </w:rPr>
        <w:t xml:space="preserve">7 </w:t>
      </w:r>
      <w:r>
        <w:rPr>
          <w:rFonts w:hint="eastAsia"/>
          <w:color w:val="000000" w:themeColor="text1"/>
          <w:spacing w:val="-13"/>
          <w:sz w:val="24"/>
          <w:lang w:eastAsia="zh-CN"/>
          <w14:textFill>
            <w14:solidFill>
              <w14:schemeClr w14:val="tx1"/>
            </w14:solidFill>
          </w14:textFill>
        </w:rPr>
        <w:t>天内发出是否遵守新规定的指示。发包人指示遵守新规定的，按照第</w:t>
      </w:r>
      <w:r>
        <w:rPr>
          <w:rFonts w:ascii="Times New Roman" w:eastAsia="Times New Roman"/>
          <w:color w:val="000000" w:themeColor="text1"/>
          <w:spacing w:val="-5"/>
          <w:sz w:val="24"/>
          <w:lang w:eastAsia="zh-CN"/>
          <w14:textFill>
            <w14:solidFill>
              <w14:schemeClr w14:val="tx1"/>
            </w14:solidFill>
          </w14:textFill>
        </w:rPr>
        <w:t>11</w:t>
      </w:r>
      <w:r>
        <w:rPr>
          <w:rFonts w:hint="eastAsia"/>
          <w:color w:val="000000" w:themeColor="text1"/>
          <w:spacing w:val="-3"/>
          <w:sz w:val="24"/>
          <w:lang w:eastAsia="zh-CN"/>
          <w14:textFill>
            <w14:solidFill>
              <w14:schemeClr w14:val="tx1"/>
            </w14:solidFill>
          </w14:textFill>
        </w:rPr>
        <w:t>条约定执行。</w:t>
      </w:r>
    </w:p>
    <w:p>
      <w:pPr>
        <w:pStyle w:val="30"/>
        <w:numPr>
          <w:ilvl w:val="2"/>
          <w:numId w:val="14"/>
        </w:numPr>
        <w:tabs>
          <w:tab w:val="left" w:pos="150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设计人在勘察设计服务中选用的材料、设备，应注明其规格、型号、性能</w:t>
      </w:r>
      <w:r>
        <w:rPr>
          <w:rFonts w:hint="eastAsia"/>
          <w:color w:val="000000" w:themeColor="text1"/>
          <w:spacing w:val="-1"/>
          <w:sz w:val="24"/>
          <w:lang w:eastAsia="zh-CN"/>
          <w14:textFill>
            <w14:solidFill>
              <w14:schemeClr w14:val="tx1"/>
            </w14:solidFill>
          </w14:textFill>
        </w:rPr>
        <w:t>等技术指标及适应性，满足质量、安全、节能、环保等要求，但不得指定生产厂、</w:t>
      </w:r>
      <w:r>
        <w:rPr>
          <w:rFonts w:hint="eastAsia"/>
          <w:color w:val="000000" w:themeColor="text1"/>
          <w:sz w:val="24"/>
          <w:lang w:eastAsia="zh-CN"/>
          <w14:textFill>
            <w14:solidFill>
              <w14:schemeClr w14:val="tx1"/>
            </w14:solidFill>
          </w14:textFill>
        </w:rPr>
        <w:t>供应商和产品品牌。</w:t>
      </w:r>
    </w:p>
    <w:p>
      <w:pPr>
        <w:pStyle w:val="30"/>
        <w:numPr>
          <w:ilvl w:val="2"/>
          <w:numId w:val="14"/>
        </w:numPr>
        <w:tabs>
          <w:tab w:val="left" w:pos="150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9"/>
          <w:sz w:val="24"/>
          <w:lang w:eastAsia="zh-CN"/>
          <w14:textFill>
            <w14:solidFill>
              <w14:schemeClr w14:val="tx1"/>
            </w14:solidFill>
          </w14:textFill>
        </w:rPr>
        <w:t>设计人必须贯彻“技术先进、安全可靠、适用耐久、经济合理”的基本原</w:t>
      </w:r>
      <w:r>
        <w:rPr>
          <w:rFonts w:hint="eastAsia"/>
          <w:color w:val="000000" w:themeColor="text1"/>
          <w:sz w:val="24"/>
          <w:lang w:eastAsia="zh-CN"/>
          <w14:textFill>
            <w14:solidFill>
              <w14:schemeClr w14:val="tx1"/>
            </w14:solidFill>
          </w14:textFill>
        </w:rPr>
        <w:t>则，加强总体设计，重视与城镇建设总体规划、土地开发利用规划、农田水利、森林植被、水土保持、生态环境、特殊设施保护区、其他运输方式和其他建设工程的总体协调和配合，节约资源、保护环境、合理选用技术指标、树立全寿命周期成本的理念，充分发挥工程建设项目经济、社会和环境的综合效益。</w:t>
      </w:r>
    </w:p>
    <w:p>
      <w:pPr>
        <w:numPr>
          <w:ilvl w:val="1"/>
          <w:numId w:val="14"/>
        </w:numPr>
        <w:tabs>
          <w:tab w:val="left" w:pos="1327"/>
        </w:tabs>
        <w:spacing w:before="1"/>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勘察设计依据</w:t>
      </w:r>
    </w:p>
    <w:p>
      <w:pPr>
        <w:pStyle w:val="4"/>
        <w:spacing w:before="173"/>
        <w:ind w:left="90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除专用合同条款另有约定外，本工程的勘察设计依据如下：</w:t>
      </w:r>
    </w:p>
    <w:p>
      <w:pPr>
        <w:pStyle w:val="30"/>
        <w:numPr>
          <w:ilvl w:val="0"/>
          <w:numId w:val="31"/>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适用的法律、行政法规及部门规章；</w:t>
      </w:r>
    </w:p>
    <w:p>
      <w:pPr>
        <w:pStyle w:val="30"/>
        <w:numPr>
          <w:ilvl w:val="0"/>
          <w:numId w:val="31"/>
        </w:numPr>
        <w:tabs>
          <w:tab w:val="left" w:pos="1506"/>
        </w:tabs>
        <w:spacing w:before="74"/>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与工程有关的规范、标准、规程；</w:t>
      </w:r>
    </w:p>
    <w:p>
      <w:pPr>
        <w:pStyle w:val="30"/>
        <w:numPr>
          <w:ilvl w:val="0"/>
          <w:numId w:val="31"/>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工程基础资料及其他文件；</w:t>
      </w:r>
    </w:p>
    <w:p>
      <w:pPr>
        <w:pStyle w:val="30"/>
        <w:numPr>
          <w:ilvl w:val="0"/>
          <w:numId w:val="31"/>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本勘察设计服务合同及补充合同；</w:t>
      </w:r>
    </w:p>
    <w:p>
      <w:pPr>
        <w:pStyle w:val="30"/>
        <w:numPr>
          <w:ilvl w:val="0"/>
          <w:numId w:val="31"/>
        </w:numPr>
        <w:tabs>
          <w:tab w:val="left" w:pos="1506"/>
        </w:tabs>
        <w:spacing w:before="173"/>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本工程施工需求；</w:t>
      </w:r>
    </w:p>
    <w:p>
      <w:pPr>
        <w:pStyle w:val="30"/>
        <w:numPr>
          <w:ilvl w:val="0"/>
          <w:numId w:val="31"/>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合同履行中与勘察设计服务有关的来往函件；</w:t>
      </w:r>
    </w:p>
    <w:p>
      <w:pPr>
        <w:pStyle w:val="30"/>
        <w:numPr>
          <w:ilvl w:val="0"/>
          <w:numId w:val="31"/>
        </w:numPr>
        <w:tabs>
          <w:tab w:val="left" w:pos="1506"/>
        </w:tabs>
        <w:spacing w:before="173"/>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其他勘察设计依据。</w:t>
      </w:r>
    </w:p>
    <w:p>
      <w:pPr>
        <w:numPr>
          <w:ilvl w:val="1"/>
          <w:numId w:val="14"/>
        </w:numPr>
        <w:tabs>
          <w:tab w:val="left" w:pos="1327"/>
        </w:tabs>
        <w:spacing w:before="173"/>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勘察设计范围</w:t>
      </w:r>
    </w:p>
    <w:p>
      <w:pPr>
        <w:pStyle w:val="30"/>
        <w:numPr>
          <w:ilvl w:val="2"/>
          <w:numId w:val="14"/>
        </w:numPr>
        <w:tabs>
          <w:tab w:val="left" w:pos="1505"/>
        </w:tabs>
        <w:spacing w:before="173"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本合同的勘察设计范围包括工程范围、阶段范围和工作范围，具体勘察设</w:t>
      </w:r>
      <w:r>
        <w:rPr>
          <w:rFonts w:hint="eastAsia"/>
          <w:color w:val="000000" w:themeColor="text1"/>
          <w:sz w:val="24"/>
          <w:lang w:eastAsia="zh-CN"/>
          <w14:textFill>
            <w14:solidFill>
              <w14:schemeClr w14:val="tx1"/>
            </w14:solidFill>
          </w14:textFill>
        </w:rPr>
        <w:t>计范围应根据三者之间的关联内容进行确定。</w:t>
      </w:r>
    </w:p>
    <w:p>
      <w:pPr>
        <w:pStyle w:val="30"/>
        <w:numPr>
          <w:ilvl w:val="2"/>
          <w:numId w:val="14"/>
        </w:numPr>
        <w:tabs>
          <w:tab w:val="left" w:pos="1505"/>
        </w:tabs>
        <w:ind w:right="-279" w:rightChars="-127" w:hanging="6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工程范围指勘察设计工程的建设内容，具体范围在专用合同条款中约定。</w:t>
      </w:r>
    </w:p>
    <w:p>
      <w:pPr>
        <w:pStyle w:val="30"/>
        <w:numPr>
          <w:ilvl w:val="2"/>
          <w:numId w:val="14"/>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阶段范围指工程建设程序中的可行性研究勘察、初步勘察、详细勘察、施</w:t>
      </w:r>
      <w:r>
        <w:rPr>
          <w:rFonts w:hint="eastAsia"/>
          <w:color w:val="000000" w:themeColor="text1"/>
          <w:spacing w:val="-8"/>
          <w:sz w:val="24"/>
          <w:lang w:eastAsia="zh-CN"/>
          <w14:textFill>
            <w14:solidFill>
              <w14:schemeClr w14:val="tx1"/>
            </w14:solidFill>
          </w14:textFill>
        </w:rPr>
        <w:t>工勘察、方案设计、技术设计</w:t>
      </w:r>
      <w:r>
        <w:rPr>
          <w:rFonts w:hint="eastAsia"/>
          <w:color w:val="000000" w:themeColor="text1"/>
          <w:sz w:val="24"/>
          <w:lang w:eastAsia="zh-CN"/>
          <w14:textFill>
            <w14:solidFill>
              <w14:schemeClr w14:val="tx1"/>
            </w14:solidFill>
          </w14:textFill>
        </w:rPr>
        <w:t>（如有</w:t>
      </w:r>
      <w:r>
        <w:rPr>
          <w:rFonts w:hint="eastAsia"/>
          <w:color w:val="000000" w:themeColor="text1"/>
          <w:spacing w:val="-120"/>
          <w:sz w:val="24"/>
          <w:lang w:eastAsia="zh-CN"/>
          <w14:textFill>
            <w14:solidFill>
              <w14:schemeClr w14:val="tx1"/>
            </w14:solidFill>
          </w14:textFill>
        </w:rPr>
        <w:t>）</w:t>
      </w:r>
      <w:r>
        <w:rPr>
          <w:rFonts w:hint="eastAsia"/>
          <w:color w:val="000000" w:themeColor="text1"/>
          <w:spacing w:val="-5"/>
          <w:sz w:val="24"/>
          <w:lang w:eastAsia="zh-CN"/>
          <w14:textFill>
            <w14:solidFill>
              <w14:schemeClr w14:val="tx1"/>
            </w14:solidFill>
          </w14:textFill>
        </w:rPr>
        <w:t>、施工图设计等阶段中的一个或多</w:t>
      </w:r>
      <w:r>
        <w:rPr>
          <w:rFonts w:hint="eastAsia"/>
          <w:color w:val="000000" w:themeColor="text1"/>
          <w:sz w:val="24"/>
          <w:lang w:eastAsia="zh-CN"/>
          <w14:textFill>
            <w14:solidFill>
              <w14:schemeClr w14:val="tx1"/>
            </w14:solidFill>
          </w14:textFill>
        </w:rPr>
        <w:t>个阶段，具体范围在专用合同条款中约定。</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工作范围指工程测量、岩土工程勘察、岩土工程设计</w:t>
      </w:r>
      <w:r>
        <w:rPr>
          <w:rFonts w:hint="eastAsia"/>
          <w:color w:val="000000" w:themeColor="text1"/>
          <w:spacing w:val="2"/>
          <w:sz w:val="24"/>
          <w:lang w:eastAsia="zh-CN"/>
          <w14:textFill>
            <w14:solidFill>
              <w14:schemeClr w14:val="tx1"/>
            </w14:solidFill>
          </w14:textFill>
        </w:rPr>
        <w:t>（</w:t>
      </w:r>
      <w:r>
        <w:rPr>
          <w:rFonts w:hint="eastAsia"/>
          <w:color w:val="000000" w:themeColor="text1"/>
          <w:spacing w:val="1"/>
          <w:sz w:val="24"/>
          <w:lang w:eastAsia="zh-CN"/>
          <w14:textFill>
            <w14:solidFill>
              <w14:schemeClr w14:val="tx1"/>
            </w14:solidFill>
          </w14:textFill>
        </w:rPr>
        <w:t>如有</w:t>
      </w:r>
      <w:r>
        <w:rPr>
          <w:rFonts w:hint="eastAsia"/>
          <w:color w:val="000000" w:themeColor="text1"/>
          <w:spacing w:val="-114"/>
          <w:sz w:val="24"/>
          <w:lang w:eastAsia="zh-CN"/>
          <w14:textFill>
            <w14:solidFill>
              <w14:schemeClr w14:val="tx1"/>
            </w14:solidFill>
          </w14:textFill>
        </w:rPr>
        <w:t>）</w:t>
      </w:r>
      <w:r>
        <w:rPr>
          <w:rFonts w:hint="eastAsia"/>
          <w:color w:val="000000" w:themeColor="text1"/>
          <w:spacing w:val="-3"/>
          <w:sz w:val="24"/>
          <w:lang w:eastAsia="zh-CN"/>
          <w14:textFill>
            <w14:solidFill>
              <w14:schemeClr w14:val="tx1"/>
            </w14:solidFill>
          </w14:textFill>
        </w:rPr>
        <w:t>，编制设计</w:t>
      </w:r>
      <w:r>
        <w:rPr>
          <w:rFonts w:hint="eastAsia"/>
          <w:color w:val="000000" w:themeColor="text1"/>
          <w:sz w:val="24"/>
          <w:lang w:eastAsia="zh-CN"/>
          <w14:textFill>
            <w14:solidFill>
              <w14:schemeClr w14:val="tx1"/>
            </w14:solidFill>
          </w14:textFill>
        </w:rPr>
        <w:t>文件，编制设计概算、预算，提供技术交底、招标与施工配合，编制竣工图，参加交工验收、参加竣工验收和发包人委托的其他服务中的一项或多项工作，具体范围在专用合同条款中约定。</w:t>
      </w:r>
    </w:p>
    <w:p>
      <w:pPr>
        <w:numPr>
          <w:ilvl w:val="1"/>
          <w:numId w:val="32"/>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勘察作业要求</w:t>
      </w:r>
    </w:p>
    <w:p>
      <w:pPr>
        <w:pStyle w:val="30"/>
        <w:numPr>
          <w:ilvl w:val="2"/>
          <w:numId w:val="32"/>
        </w:numPr>
        <w:tabs>
          <w:tab w:val="left" w:pos="1505"/>
        </w:tabs>
        <w:spacing w:before="173"/>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测绘</w:t>
      </w:r>
    </w:p>
    <w:p>
      <w:pPr>
        <w:pStyle w:val="30"/>
        <w:numPr>
          <w:ilvl w:val="0"/>
          <w:numId w:val="33"/>
        </w:numPr>
        <w:tabs>
          <w:tab w:val="left" w:pos="1506"/>
        </w:tabs>
        <w:spacing w:before="173"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除专用合同条款另有约定外，发包人应在开始勘察前</w:t>
      </w:r>
      <w:r>
        <w:rPr>
          <w:rFonts w:ascii="Times New Roman" w:eastAsia="Times New Roman"/>
          <w:color w:val="000000" w:themeColor="text1"/>
          <w:sz w:val="24"/>
          <w:lang w:eastAsia="zh-CN"/>
          <w14:textFill>
            <w14:solidFill>
              <w14:schemeClr w14:val="tx1"/>
            </w14:solidFill>
          </w14:textFill>
        </w:rPr>
        <w:t xml:space="preserve">7 </w:t>
      </w:r>
      <w:r>
        <w:rPr>
          <w:rFonts w:hint="eastAsia"/>
          <w:color w:val="000000" w:themeColor="text1"/>
          <w:spacing w:val="-6"/>
          <w:sz w:val="24"/>
          <w:lang w:eastAsia="zh-CN"/>
          <w14:textFill>
            <w14:solidFill>
              <w14:schemeClr w14:val="tx1"/>
            </w14:solidFill>
          </w14:textFill>
        </w:rPr>
        <w:t>天内，向设计人</w:t>
      </w:r>
      <w:r>
        <w:rPr>
          <w:rFonts w:hint="eastAsia"/>
          <w:color w:val="000000" w:themeColor="text1"/>
          <w:spacing w:val="-4"/>
          <w:sz w:val="24"/>
          <w:lang w:eastAsia="zh-CN"/>
          <w14:textFill>
            <w14:solidFill>
              <w14:schemeClr w14:val="tx1"/>
            </w14:solidFill>
          </w14:textFill>
        </w:rPr>
        <w:t>提供测量基准点、水准点和书面资料等；设计人应根据国家测绘基准、测绘系统和工程测量技术规范，按发包人要求的基准点以及合同工程精度要求，进行测绘。</w:t>
      </w:r>
    </w:p>
    <w:p>
      <w:pPr>
        <w:pStyle w:val="30"/>
        <w:numPr>
          <w:ilvl w:val="0"/>
          <w:numId w:val="33"/>
        </w:numPr>
        <w:tabs>
          <w:tab w:val="left" w:pos="1506"/>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设计人测绘之前，应认真核对测绘数据，保证引用数据和原始数据准确</w:t>
      </w:r>
      <w:r>
        <w:rPr>
          <w:rFonts w:hint="eastAsia"/>
          <w:color w:val="000000" w:themeColor="text1"/>
          <w:spacing w:val="-4"/>
          <w:sz w:val="24"/>
          <w:lang w:eastAsia="zh-CN"/>
          <w14:textFill>
            <w14:solidFill>
              <w14:schemeClr w14:val="tx1"/>
            </w14:solidFill>
          </w14:textFill>
        </w:rPr>
        <w:t>无误。测绘工作应由测量人员如实记录，不得补记、涂改或损坏。</w:t>
      </w:r>
    </w:p>
    <w:p>
      <w:pPr>
        <w:pStyle w:val="30"/>
        <w:numPr>
          <w:ilvl w:val="0"/>
          <w:numId w:val="33"/>
        </w:numPr>
        <w:tabs>
          <w:tab w:val="left" w:pos="1506"/>
        </w:tabs>
        <w:spacing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工程勘探之前，设计人应严格按照勘察方案的孔位坐标，进行测量放线</w:t>
      </w:r>
      <w:r>
        <w:rPr>
          <w:rFonts w:hint="eastAsia"/>
          <w:color w:val="000000" w:themeColor="text1"/>
          <w:spacing w:val="-4"/>
          <w:sz w:val="24"/>
          <w:lang w:eastAsia="zh-CN"/>
          <w14:textFill>
            <w14:solidFill>
              <w14:schemeClr w14:val="tx1"/>
            </w14:solidFill>
          </w14:textFill>
        </w:rPr>
        <w:t>并在实地位置定位，埋设带有编号且不易移动的标志桩进行定位控制。</w:t>
      </w:r>
    </w:p>
    <w:p>
      <w:pPr>
        <w:pStyle w:val="30"/>
        <w:numPr>
          <w:ilvl w:val="2"/>
          <w:numId w:val="32"/>
        </w:numPr>
        <w:tabs>
          <w:tab w:val="left" w:pos="1505"/>
        </w:tabs>
        <w:spacing w:before="1"/>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勘探</w:t>
      </w:r>
    </w:p>
    <w:p>
      <w:pPr>
        <w:pStyle w:val="30"/>
        <w:numPr>
          <w:ilvl w:val="0"/>
          <w:numId w:val="34"/>
        </w:numPr>
        <w:tabs>
          <w:tab w:val="left" w:pos="1506"/>
        </w:tabs>
        <w:spacing w:before="1" w:line="374" w:lineRule="auto"/>
        <w:ind w:left="424" w:right="-279" w:rightChars="-127" w:firstLine="480"/>
        <w:rPr>
          <w:color w:val="000000" w:themeColor="text1"/>
          <w:spacing w:val="-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应根据公路基本建设程序各阶段要求的深度开展工作，结合现场地形地质条件、工程结构设置以及不同勘察手段的特性等，统筹考虑、综合确定勘察方法及勘察工作量，为完成合同约定的勘察设计任务创造条件。设计人对于勘察方法的正确性、适用性和可靠性完全负责。</w:t>
      </w:r>
    </w:p>
    <w:p>
      <w:pPr>
        <w:pStyle w:val="30"/>
        <w:numPr>
          <w:ilvl w:val="0"/>
          <w:numId w:val="34"/>
        </w:numPr>
        <w:tabs>
          <w:tab w:val="left" w:pos="1507"/>
        </w:tabs>
        <w:spacing w:before="1"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设计人布置勘探工作时，应充分考虑勘探方法对于自然环境、周边设施、</w:t>
      </w:r>
      <w:r>
        <w:rPr>
          <w:rFonts w:hint="eastAsia"/>
          <w:color w:val="000000" w:themeColor="text1"/>
          <w:sz w:val="24"/>
          <w:lang w:eastAsia="zh-CN"/>
          <w14:textFill>
            <w14:solidFill>
              <w14:schemeClr w14:val="tx1"/>
            </w14:solidFill>
          </w14:textFill>
        </w:rPr>
        <w:t>建构筑物、地下管线、架空线和其他物体的影响，采用切实有效的措施进行防范控制，不得造成损坏或中断运行，否则由此导致的费用增加和（或）周期延误由设计人自行承担。</w:t>
      </w:r>
    </w:p>
    <w:p>
      <w:pPr>
        <w:pStyle w:val="30"/>
        <w:numPr>
          <w:ilvl w:val="0"/>
          <w:numId w:val="34"/>
        </w:numPr>
        <w:tabs>
          <w:tab w:val="left" w:pos="1506"/>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设计人应在标定的孔位处进行勘探，不得随意改动位置。勘探方法、勘探</w:t>
      </w:r>
      <w:r>
        <w:rPr>
          <w:rFonts w:hint="eastAsia"/>
          <w:color w:val="000000" w:themeColor="text1"/>
          <w:spacing w:val="-1"/>
          <w:sz w:val="24"/>
          <w:lang w:eastAsia="zh-CN"/>
          <w14:textFill>
            <w14:solidFill>
              <w14:schemeClr w14:val="tx1"/>
            </w14:solidFill>
          </w14:textFill>
        </w:rPr>
        <w:t>机具、勘探记录、取样编录与描述，孔位标记、孔位封闭等事项，应严格执行规范</w:t>
      </w:r>
      <w:r>
        <w:rPr>
          <w:rFonts w:hint="eastAsia"/>
          <w:color w:val="000000" w:themeColor="text1"/>
          <w:sz w:val="24"/>
          <w:lang w:eastAsia="zh-CN"/>
          <w14:textFill>
            <w14:solidFill>
              <w14:schemeClr w14:val="tx1"/>
            </w14:solidFill>
          </w14:textFill>
        </w:rPr>
        <w:t>标准，按实填写勘探报表和勘探日志。</w:t>
      </w:r>
    </w:p>
    <w:p>
      <w:pPr>
        <w:pStyle w:val="30"/>
        <w:numPr>
          <w:ilvl w:val="0"/>
          <w:numId w:val="34"/>
        </w:numPr>
        <w:tabs>
          <w:tab w:val="left" w:pos="1506"/>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勘探工作完成后，设计人应按照规范要求及时封孔，并将封孔记录整理</w:t>
      </w:r>
      <w:r>
        <w:rPr>
          <w:rFonts w:hint="eastAsia"/>
          <w:color w:val="000000" w:themeColor="text1"/>
          <w:spacing w:val="-4"/>
          <w:sz w:val="24"/>
          <w:lang w:eastAsia="zh-CN"/>
          <w14:textFill>
            <w14:solidFill>
              <w14:schemeClr w14:val="tx1"/>
            </w14:solidFill>
          </w14:textFill>
        </w:rPr>
        <w:t>存档，勘探场地应地面平整、清洁卫生，并通知发包人、行政主管部门及使用维护单位进行现场验收。验收通过之后如果发生沉陷，设计人应及时进行二次封孔和现</w:t>
      </w:r>
      <w:r>
        <w:rPr>
          <w:rFonts w:hint="eastAsia"/>
          <w:color w:val="000000" w:themeColor="text1"/>
          <w:spacing w:val="-3"/>
          <w:sz w:val="24"/>
          <w:lang w:eastAsia="zh-CN"/>
          <w14:textFill>
            <w14:solidFill>
              <w14:schemeClr w14:val="tx1"/>
            </w14:solidFill>
          </w14:textFill>
        </w:rPr>
        <w:t>场验收。</w:t>
      </w:r>
    </w:p>
    <w:p>
      <w:pPr>
        <w:pStyle w:val="30"/>
        <w:numPr>
          <w:ilvl w:val="2"/>
          <w:numId w:val="32"/>
        </w:numPr>
        <w:tabs>
          <w:tab w:val="left" w:pos="1505"/>
        </w:tabs>
        <w:spacing w:before="2"/>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取样</w:t>
      </w:r>
    </w:p>
    <w:p>
      <w:pPr>
        <w:pStyle w:val="30"/>
        <w:numPr>
          <w:ilvl w:val="0"/>
          <w:numId w:val="35"/>
        </w:numPr>
        <w:tabs>
          <w:tab w:val="left" w:pos="1506"/>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设计人应针对不同的岩土地质，按照勘探取样规范规程中的相关规定，根据地层特征、取样深度、设备条件和试验项目的不同，合理选用取样方法和取样工具进行取样，包括并不限于土样、水样、岩芯等。</w:t>
      </w:r>
    </w:p>
    <w:p>
      <w:pPr>
        <w:pStyle w:val="30"/>
        <w:numPr>
          <w:ilvl w:val="0"/>
          <w:numId w:val="35"/>
        </w:numPr>
        <w:tabs>
          <w:tab w:val="left" w:pos="1506"/>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取样后的样品应根据其类别、性质和特点等进行封装、贮存和运输。样品</w:t>
      </w:r>
      <w:r>
        <w:rPr>
          <w:rFonts w:hint="eastAsia"/>
          <w:color w:val="000000" w:themeColor="text1"/>
          <w:spacing w:val="-1"/>
          <w:sz w:val="24"/>
          <w:lang w:eastAsia="zh-CN"/>
          <w14:textFill>
            <w14:solidFill>
              <w14:schemeClr w14:val="tx1"/>
            </w14:solidFill>
          </w14:textFill>
        </w:rPr>
        <w:t>搬运之前，宜用数码相机进行现场拍照；运输途中应采用柔软材料充填、尽量避免</w:t>
      </w:r>
      <w:r>
        <w:rPr>
          <w:rFonts w:hint="eastAsia"/>
          <w:color w:val="000000" w:themeColor="text1"/>
          <w:sz w:val="24"/>
          <w:lang w:eastAsia="zh-CN"/>
          <w14:textFill>
            <w14:solidFill>
              <w14:schemeClr w14:val="tx1"/>
            </w14:solidFill>
          </w14:textFill>
        </w:rPr>
        <w:t>震动和阳光曝晒；装卸之时尽量轻拿轻放，以免样品损坏。</w:t>
      </w:r>
    </w:p>
    <w:p>
      <w:pPr>
        <w:pStyle w:val="30"/>
        <w:numPr>
          <w:ilvl w:val="0"/>
          <w:numId w:val="35"/>
        </w:numPr>
        <w:tabs>
          <w:tab w:val="left" w:pos="1506"/>
        </w:tabs>
        <w:spacing w:before="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2"/>
          <w:sz w:val="24"/>
          <w:lang w:eastAsia="zh-CN"/>
          <w14:textFill>
            <w14:solidFill>
              <w14:schemeClr w14:val="tx1"/>
            </w14:solidFill>
          </w14:textFill>
        </w:rPr>
        <w:t>取样后的样品应填写和粘贴标签，标签内容包括并不限于工程名称、孔号</w:t>
      </w:r>
      <w:r>
        <w:rPr>
          <w:rFonts w:hint="eastAsia"/>
          <w:color w:val="000000" w:themeColor="text1"/>
          <w:spacing w:val="-4"/>
          <w:sz w:val="24"/>
          <w:lang w:eastAsia="zh-CN"/>
          <w14:textFill>
            <w14:solidFill>
              <w14:schemeClr w14:val="tx1"/>
            </w14:solidFill>
          </w14:textFill>
        </w:rPr>
        <w:t>、样品编号、取样深度、样品名称、取样日期、取样人姓名、施工机组等。</w:t>
      </w:r>
    </w:p>
    <w:p>
      <w:pPr>
        <w:pStyle w:val="30"/>
        <w:numPr>
          <w:ilvl w:val="2"/>
          <w:numId w:val="32"/>
        </w:numPr>
        <w:tabs>
          <w:tab w:val="left" w:pos="1505"/>
        </w:tabs>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试验</w:t>
      </w:r>
    </w:p>
    <w:p>
      <w:pPr>
        <w:pStyle w:val="30"/>
        <w:numPr>
          <w:ilvl w:val="0"/>
          <w:numId w:val="36"/>
        </w:numPr>
        <w:tabs>
          <w:tab w:val="left" w:pos="1506"/>
        </w:tabs>
        <w:spacing w:before="173"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设计人应根据岩土条件、设计要求、勘察经验和测试方法特点，选用合</w:t>
      </w:r>
      <w:r>
        <w:rPr>
          <w:rFonts w:hint="eastAsia"/>
          <w:color w:val="000000" w:themeColor="text1"/>
          <w:spacing w:val="-4"/>
          <w:sz w:val="24"/>
          <w:lang w:eastAsia="zh-CN"/>
          <w14:textFill>
            <w14:solidFill>
              <w14:schemeClr w14:val="tx1"/>
            </w14:solidFill>
          </w14:textFill>
        </w:rPr>
        <w:t>适的原位测试方法和勘察设备进行原位测试。原位测试成果应与室内试验数据进行对比分析，检验其可靠性。</w:t>
      </w:r>
    </w:p>
    <w:p>
      <w:pPr>
        <w:pStyle w:val="30"/>
        <w:numPr>
          <w:ilvl w:val="0"/>
          <w:numId w:val="36"/>
        </w:numPr>
        <w:tabs>
          <w:tab w:val="left" w:pos="1506"/>
        </w:tabs>
        <w:spacing w:before="172" w:line="374" w:lineRule="auto"/>
        <w:ind w:right="-279" w:rightChars="-127" w:firstLine="480"/>
        <w:jc w:val="both"/>
        <w:rPr>
          <w:color w:val="000000" w:themeColor="text1"/>
          <w:spacing w:val="-3"/>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设计人的试验室应通过行业管理部门认可的</w:t>
      </w:r>
      <w:r>
        <w:rPr>
          <w:color w:val="000000" w:themeColor="text1"/>
          <w:spacing w:val="-3"/>
          <w:sz w:val="24"/>
          <w:lang w:eastAsia="zh-CN"/>
          <w14:textFill>
            <w14:solidFill>
              <w14:schemeClr w14:val="tx1"/>
            </w14:solidFill>
          </w14:textFill>
        </w:rPr>
        <w:t xml:space="preserve">CMA </w:t>
      </w:r>
      <w:r>
        <w:rPr>
          <w:rFonts w:hint="eastAsia"/>
          <w:color w:val="000000" w:themeColor="text1"/>
          <w:spacing w:val="-3"/>
          <w:sz w:val="24"/>
          <w:lang w:eastAsia="zh-CN"/>
          <w14:textFill>
            <w14:solidFill>
              <w14:schemeClr w14:val="tx1"/>
            </w14:solidFill>
          </w14:textFill>
        </w:rPr>
        <w:t>计量认证，具有相应的资格证书、试验人员和试验条件，否则应委托第三方试验室进行室内试验。</w:t>
      </w:r>
    </w:p>
    <w:p>
      <w:pPr>
        <w:pStyle w:val="30"/>
        <w:numPr>
          <w:ilvl w:val="0"/>
          <w:numId w:val="36"/>
        </w:numPr>
        <w:tabs>
          <w:tab w:val="left" w:pos="1506"/>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设计人应在试验之前按照要求清点样品数目，认定取样质量及数量是否</w:t>
      </w:r>
      <w:r>
        <w:rPr>
          <w:rFonts w:hint="eastAsia"/>
          <w:color w:val="000000" w:themeColor="text1"/>
          <w:spacing w:val="-4"/>
          <w:sz w:val="24"/>
          <w:lang w:eastAsia="zh-CN"/>
          <w14:textFill>
            <w14:solidFill>
              <w14:schemeClr w14:val="tx1"/>
            </w14:solidFill>
          </w14:textFill>
        </w:rPr>
        <w:t>满足试验需要；勘察设备应检定合格，性能参数满足试验要求，严格按照规范标准</w:t>
      </w:r>
      <w:r>
        <w:rPr>
          <w:rFonts w:hint="eastAsia"/>
          <w:color w:val="000000" w:themeColor="text1"/>
          <w:spacing w:val="-16"/>
          <w:sz w:val="24"/>
          <w:lang w:eastAsia="zh-CN"/>
          <w14:textFill>
            <w14:solidFill>
              <w14:schemeClr w14:val="tx1"/>
            </w14:solidFill>
          </w14:textFill>
        </w:rPr>
        <w:t>的相应规定进行试验操作；试验之后应在有效期内保留备样，以备复核试验成果之用</w:t>
      </w:r>
      <w:r>
        <w:rPr>
          <w:rFonts w:hint="eastAsia"/>
          <w:color w:val="000000" w:themeColor="text1"/>
          <w:spacing w:val="-4"/>
          <w:sz w:val="24"/>
          <w:lang w:eastAsia="zh-CN"/>
          <w14:textFill>
            <w14:solidFill>
              <w14:schemeClr w14:val="tx1"/>
            </w14:solidFill>
          </w14:textFill>
        </w:rPr>
        <w:t>，并按规范标准规定处理余土和废液，符合环境保护、健康卫生等要求。</w:t>
      </w:r>
    </w:p>
    <w:p>
      <w:pPr>
        <w:pStyle w:val="30"/>
        <w:numPr>
          <w:ilvl w:val="0"/>
          <w:numId w:val="36"/>
        </w:numPr>
        <w:tabs>
          <w:tab w:val="left" w:pos="1506"/>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试验报告的格式应符合</w:t>
      </w:r>
      <w:r>
        <w:rPr>
          <w:rFonts w:ascii="Times New Roman" w:eastAsia="Times New Roman"/>
          <w:color w:val="000000" w:themeColor="text1"/>
          <w:sz w:val="24"/>
          <w:lang w:eastAsia="zh-CN"/>
          <w14:textFill>
            <w14:solidFill>
              <w14:schemeClr w14:val="tx1"/>
            </w14:solidFill>
          </w14:textFill>
        </w:rPr>
        <w:t>CMA</w:t>
      </w:r>
      <w:r>
        <w:rPr>
          <w:rFonts w:hint="eastAsia"/>
          <w:color w:val="000000" w:themeColor="text1"/>
          <w:spacing w:val="-5"/>
          <w:sz w:val="24"/>
          <w:lang w:eastAsia="zh-CN"/>
          <w14:textFill>
            <w14:solidFill>
              <w14:schemeClr w14:val="tx1"/>
            </w14:solidFill>
          </w14:textFill>
        </w:rPr>
        <w:t>计量认证体系要求，加盖</w:t>
      </w:r>
      <w:r>
        <w:rPr>
          <w:rFonts w:ascii="Times New Roman" w:eastAsia="Times New Roman"/>
          <w:color w:val="000000" w:themeColor="text1"/>
          <w:sz w:val="24"/>
          <w:lang w:eastAsia="zh-CN"/>
          <w14:textFill>
            <w14:solidFill>
              <w14:schemeClr w14:val="tx1"/>
            </w14:solidFill>
          </w14:textFill>
        </w:rPr>
        <w:t>CMA</w:t>
      </w:r>
      <w:r>
        <w:rPr>
          <w:rFonts w:hint="eastAsia"/>
          <w:color w:val="000000" w:themeColor="text1"/>
          <w:spacing w:val="-3"/>
          <w:sz w:val="24"/>
          <w:lang w:eastAsia="zh-CN"/>
          <w14:textFill>
            <w14:solidFill>
              <w14:schemeClr w14:val="tx1"/>
            </w14:solidFill>
          </w14:textFill>
        </w:rPr>
        <w:t>章并由试验</w:t>
      </w:r>
      <w:r>
        <w:rPr>
          <w:rFonts w:hint="eastAsia"/>
          <w:color w:val="000000" w:themeColor="text1"/>
          <w:sz w:val="24"/>
          <w:lang w:eastAsia="zh-CN"/>
          <w14:textFill>
            <w14:solidFill>
              <w14:schemeClr w14:val="tx1"/>
            </w14:solidFill>
          </w14:textFill>
        </w:rPr>
        <w:t>负责人签字确认；试验负责人应通过计量认证考核，并由项目负责人授权许可。</w:t>
      </w:r>
    </w:p>
    <w:p>
      <w:pPr>
        <w:pStyle w:val="30"/>
        <w:numPr>
          <w:ilvl w:val="2"/>
          <w:numId w:val="32"/>
        </w:numPr>
        <w:tabs>
          <w:tab w:val="left" w:pos="1505"/>
        </w:tabs>
        <w:spacing w:before="2"/>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其他要求</w:t>
      </w:r>
    </w:p>
    <w:p>
      <w:pPr>
        <w:pStyle w:val="30"/>
        <w:numPr>
          <w:ilvl w:val="0"/>
          <w:numId w:val="37"/>
        </w:numPr>
        <w:tabs>
          <w:tab w:val="left" w:pos="1506"/>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设计人应在勘察过程中重视地质环境对安全的影响，提交的勘察报告应</w:t>
      </w:r>
      <w:r>
        <w:rPr>
          <w:rFonts w:hint="eastAsia"/>
          <w:color w:val="000000" w:themeColor="text1"/>
          <w:spacing w:val="-4"/>
          <w:sz w:val="24"/>
          <w:lang w:eastAsia="zh-CN"/>
          <w14:textFill>
            <w14:solidFill>
              <w14:schemeClr w14:val="tx1"/>
            </w14:solidFill>
          </w14:textFill>
        </w:rPr>
        <w:t>真实、准确、可靠，满足工程安全生产的需要，并对勘察结论负责。</w:t>
      </w:r>
    </w:p>
    <w:p>
      <w:pPr>
        <w:pStyle w:val="30"/>
        <w:numPr>
          <w:ilvl w:val="0"/>
          <w:numId w:val="37"/>
        </w:numPr>
        <w:tabs>
          <w:tab w:val="left" w:pos="1506"/>
        </w:tabs>
        <w:spacing w:before="1"/>
        <w:ind w:left="1505"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设计人应对有可能引发公路工程安全隐患的地质灾害提出防治建议。</w:t>
      </w:r>
    </w:p>
    <w:p>
      <w:pPr>
        <w:pStyle w:val="30"/>
        <w:numPr>
          <w:ilvl w:val="0"/>
          <w:numId w:val="37"/>
        </w:numPr>
        <w:tabs>
          <w:tab w:val="left" w:pos="1506"/>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工程勘察布点应参考发包人提供的资料。勘探点的数量、深度和位置可根据地质情况和现场条件依据规范进行调整，但应经发包人同意和批准。</w:t>
      </w:r>
    </w:p>
    <w:p>
      <w:pPr>
        <w:pStyle w:val="30"/>
        <w:numPr>
          <w:ilvl w:val="0"/>
          <w:numId w:val="37"/>
        </w:numPr>
        <w:tabs>
          <w:tab w:val="left" w:pos="1506"/>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勘探过程中应认真记录每日工作内容，保存原始记录资料与数据，以供</w:t>
      </w:r>
      <w:r>
        <w:rPr>
          <w:rFonts w:hint="eastAsia"/>
          <w:color w:val="000000" w:themeColor="text1"/>
          <w:spacing w:val="-4"/>
          <w:sz w:val="24"/>
          <w:lang w:eastAsia="zh-CN"/>
          <w14:textFill>
            <w14:solidFill>
              <w14:schemeClr w14:val="tx1"/>
            </w14:solidFill>
          </w14:textFill>
        </w:rPr>
        <w:t>发包人检查和分析。</w:t>
      </w:r>
    </w:p>
    <w:p>
      <w:pPr>
        <w:pStyle w:val="30"/>
        <w:numPr>
          <w:ilvl w:val="0"/>
          <w:numId w:val="37"/>
        </w:numPr>
        <w:tabs>
          <w:tab w:val="left" w:pos="1507"/>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在钻探过程中，如发包人根据规范需要更改取样间距与现场试验的要求，</w:t>
      </w:r>
      <w:r>
        <w:rPr>
          <w:rFonts w:hint="eastAsia"/>
          <w:color w:val="000000" w:themeColor="text1"/>
          <w:sz w:val="24"/>
          <w:lang w:eastAsia="zh-CN"/>
          <w14:textFill>
            <w14:solidFill>
              <w14:schemeClr w14:val="tx1"/>
            </w14:solidFill>
          </w14:textFill>
        </w:rPr>
        <w:t>或更改钻孔深度，设计人应积极配合并安排实施。</w:t>
      </w:r>
    </w:p>
    <w:p>
      <w:pPr>
        <w:pStyle w:val="30"/>
        <w:numPr>
          <w:ilvl w:val="0"/>
          <w:numId w:val="37"/>
        </w:numPr>
        <w:tabs>
          <w:tab w:val="left" w:pos="1506"/>
        </w:tabs>
        <w:spacing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设计人在钻探过程中应对地下管线和构筑物进行相应保护，遇到地下文</w:t>
      </w:r>
      <w:r>
        <w:rPr>
          <w:rFonts w:hint="eastAsia"/>
          <w:color w:val="000000" w:themeColor="text1"/>
          <w:spacing w:val="-4"/>
          <w:sz w:val="24"/>
          <w:lang w:eastAsia="zh-CN"/>
          <w14:textFill>
            <w14:solidFill>
              <w14:schemeClr w14:val="tx1"/>
            </w14:solidFill>
          </w14:textFill>
        </w:rPr>
        <w:t>物时应及时向发包人和文物保护部门汇报并妥善保护。设计人在钻探过程中应采取有效的环境保护措施，避免对周围环境造成破坏或污染。</w:t>
      </w:r>
    </w:p>
    <w:p>
      <w:pPr>
        <w:pStyle w:val="30"/>
        <w:numPr>
          <w:ilvl w:val="0"/>
          <w:numId w:val="37"/>
        </w:numPr>
        <w:tabs>
          <w:tab w:val="left" w:pos="1506"/>
        </w:tabs>
        <w:spacing w:before="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设计人在进行外业勘察时，应采取有效措施避免对原有道路、桥梁、构造物及其他公共设施或地上附着物造成损坏或损伤。如造成损坏或损伤而引起的一切索赔、赔偿、诉讼费用和其他费用，由设计人自行承担。</w:t>
      </w:r>
    </w:p>
    <w:p>
      <w:pPr>
        <w:numPr>
          <w:ilvl w:val="1"/>
          <w:numId w:val="32"/>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勘察设备要求</w:t>
      </w:r>
    </w:p>
    <w:p>
      <w:pPr>
        <w:pStyle w:val="30"/>
        <w:numPr>
          <w:ilvl w:val="2"/>
          <w:numId w:val="32"/>
        </w:numPr>
        <w:tabs>
          <w:tab w:val="left" w:pos="150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设计人应按合同进度计划的要求，及时配置勘察设备进行作业。设计人更</w:t>
      </w:r>
      <w:r>
        <w:rPr>
          <w:rFonts w:hint="eastAsia"/>
          <w:color w:val="000000" w:themeColor="text1"/>
          <w:sz w:val="24"/>
          <w:lang w:eastAsia="zh-CN"/>
          <w14:textFill>
            <w14:solidFill>
              <w14:schemeClr w14:val="tx1"/>
            </w14:solidFill>
          </w14:textFill>
        </w:rPr>
        <w:t>换合同约定的勘察设备的，应报发包人批准。</w:t>
      </w:r>
    </w:p>
    <w:p>
      <w:pPr>
        <w:pStyle w:val="30"/>
        <w:numPr>
          <w:ilvl w:val="2"/>
          <w:numId w:val="32"/>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设计人应按照规范要求，及时维修、保养或更换勘察设备，包括并不限于</w:t>
      </w:r>
      <w:r>
        <w:rPr>
          <w:rFonts w:hint="eastAsia"/>
          <w:color w:val="000000" w:themeColor="text1"/>
          <w:sz w:val="24"/>
          <w:lang w:eastAsia="zh-CN"/>
          <w14:textFill>
            <w14:solidFill>
              <w14:schemeClr w14:val="tx1"/>
            </w14:solidFill>
          </w14:textFill>
        </w:rPr>
        <w:t>钻机、触探仪、全站仪、水准仪、探测仪、测井平台、天平、固结仪、振筛机、干</w:t>
      </w:r>
    </w:p>
    <w:p>
      <w:pPr>
        <w:pStyle w:val="4"/>
        <w:spacing w:before="67"/>
        <w:ind w:left="42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燥箱、直剪仪、收缩仪、膨胀仪、渗透仪等，保证勘察设备能够随时进场使用。</w:t>
      </w:r>
    </w:p>
    <w:p>
      <w:pPr>
        <w:pStyle w:val="30"/>
        <w:numPr>
          <w:ilvl w:val="2"/>
          <w:numId w:val="32"/>
        </w:numPr>
        <w:tabs>
          <w:tab w:val="left" w:pos="150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设计人使用的勘察设备不能满足合同进度计划和</w:t>
      </w:r>
      <w:r>
        <w:rPr>
          <w:rFonts w:hint="eastAsia"/>
          <w:color w:val="000000" w:themeColor="text1"/>
          <w:sz w:val="24"/>
          <w:lang w:eastAsia="zh-CN"/>
          <w14:textFill>
            <w14:solidFill>
              <w14:schemeClr w14:val="tx1"/>
            </w14:solidFill>
          </w14:textFill>
        </w:rPr>
        <w:t>（或</w:t>
      </w:r>
      <w:r>
        <w:rPr>
          <w:rFonts w:hint="eastAsia"/>
          <w:color w:val="000000" w:themeColor="text1"/>
          <w:spacing w:val="-29"/>
          <w:sz w:val="24"/>
          <w:lang w:eastAsia="zh-CN"/>
          <w14:textFill>
            <w14:solidFill>
              <w14:schemeClr w14:val="tx1"/>
            </w14:solidFill>
          </w14:textFill>
        </w:rPr>
        <w:t>）</w:t>
      </w:r>
      <w:r>
        <w:rPr>
          <w:rFonts w:hint="eastAsia"/>
          <w:color w:val="000000" w:themeColor="text1"/>
          <w:spacing w:val="-7"/>
          <w:sz w:val="24"/>
          <w:lang w:eastAsia="zh-CN"/>
          <w14:textFill>
            <w14:solidFill>
              <w14:schemeClr w14:val="tx1"/>
            </w14:solidFill>
          </w14:textFill>
        </w:rPr>
        <w:t>质量要求时，发包</w:t>
      </w:r>
      <w:r>
        <w:rPr>
          <w:rFonts w:hint="eastAsia"/>
          <w:color w:val="000000" w:themeColor="text1"/>
          <w:spacing w:val="-1"/>
          <w:sz w:val="24"/>
          <w:lang w:eastAsia="zh-CN"/>
          <w14:textFill>
            <w14:solidFill>
              <w14:schemeClr w14:val="tx1"/>
            </w14:solidFill>
          </w14:textFill>
        </w:rPr>
        <w:t>人有权要求设计人增加或更换勘察设备，设计人应及时增加或更换，由此增加的费</w:t>
      </w:r>
      <w:r>
        <w:rPr>
          <w:rFonts w:hint="eastAsia"/>
          <w:color w:val="000000" w:themeColor="text1"/>
          <w:sz w:val="24"/>
          <w:lang w:eastAsia="zh-CN"/>
          <w14:textFill>
            <w14:solidFill>
              <w14:schemeClr w14:val="tx1"/>
            </w14:solidFill>
          </w14:textFill>
        </w:rPr>
        <w:t>用和（或）周期延误由设计人自行承担。</w:t>
      </w:r>
    </w:p>
    <w:p>
      <w:pPr>
        <w:numPr>
          <w:ilvl w:val="1"/>
          <w:numId w:val="38"/>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临时占地和设施要求</w:t>
      </w:r>
    </w:p>
    <w:p>
      <w:pPr>
        <w:pStyle w:val="30"/>
        <w:numPr>
          <w:ilvl w:val="2"/>
          <w:numId w:val="38"/>
        </w:numPr>
        <w:tabs>
          <w:tab w:val="left" w:pos="1505"/>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设计人应根据勘察设计服务方案制订临时占地计划，报请发包人批准。</w:t>
      </w:r>
    </w:p>
    <w:p>
      <w:pPr>
        <w:pStyle w:val="30"/>
        <w:numPr>
          <w:ilvl w:val="2"/>
          <w:numId w:val="38"/>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位于本工程区域内的临时占地，由发包人协调提供。位于道路、绿化或者</w:t>
      </w:r>
      <w:r>
        <w:rPr>
          <w:rFonts w:hint="eastAsia"/>
          <w:color w:val="000000" w:themeColor="text1"/>
          <w:spacing w:val="-1"/>
          <w:sz w:val="24"/>
          <w:lang w:eastAsia="zh-CN"/>
          <w14:textFill>
            <w14:solidFill>
              <w14:schemeClr w14:val="tx1"/>
            </w14:solidFill>
          </w14:textFill>
        </w:rPr>
        <w:t>其他市政设施内的临时占地，由设计人向行政管理部门报建申请，按照要求制订占</w:t>
      </w:r>
      <w:r>
        <w:rPr>
          <w:rFonts w:hint="eastAsia"/>
          <w:color w:val="000000" w:themeColor="text1"/>
          <w:sz w:val="24"/>
          <w:lang w:eastAsia="zh-CN"/>
          <w14:textFill>
            <w14:solidFill>
              <w14:schemeClr w14:val="tx1"/>
            </w14:solidFill>
          </w14:textFill>
        </w:rPr>
        <w:t>地施工方案，并据此实施。</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0"/>
          <w:sz w:val="24"/>
          <w:lang w:eastAsia="zh-CN"/>
          <w14:textFill>
            <w14:solidFill>
              <w14:schemeClr w14:val="tx1"/>
            </w14:solidFill>
          </w14:textFill>
        </w:rPr>
        <w:t>临时占地使用完毕后，设计人应按照发包人要求或行政管理部门规定恢复</w:t>
      </w:r>
      <w:r>
        <w:rPr>
          <w:rFonts w:hint="eastAsia"/>
          <w:color w:val="000000" w:themeColor="text1"/>
          <w:sz w:val="24"/>
          <w:lang w:eastAsia="zh-CN"/>
          <w14:textFill>
            <w14:solidFill>
              <w14:schemeClr w14:val="tx1"/>
            </w14:solidFill>
          </w14:textFill>
        </w:rPr>
        <w:t>临时占地。如果恢复或清理标准不能满足要求的，发包人有权委托他人代为恢复或清理，由此发生的费用从拟支付给设计人的勘察设计费用中扣除。</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设计人应配备或搭设足够的临时设施，保证勘探工作能够正常开展。临时</w:t>
      </w:r>
      <w:r>
        <w:rPr>
          <w:rFonts w:hint="eastAsia"/>
          <w:color w:val="000000" w:themeColor="text1"/>
          <w:sz w:val="24"/>
          <w:lang w:eastAsia="zh-CN"/>
          <w14:textFill>
            <w14:solidFill>
              <w14:schemeClr w14:val="tx1"/>
            </w14:solidFill>
          </w14:textFill>
        </w:rPr>
        <w:t>设施包括并不限于施工围挡、交通疏导设施、安全防范设施、钻机防护设施、安全文明施工设施、办公生活用房、取样存放场所等。</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临时设施应满足规范标准、发包人要求和行政管理部门的规定等。除专用</w:t>
      </w:r>
      <w:r>
        <w:rPr>
          <w:rFonts w:hint="eastAsia"/>
          <w:color w:val="000000" w:themeColor="text1"/>
          <w:sz w:val="24"/>
          <w:lang w:eastAsia="zh-CN"/>
          <w14:textFill>
            <w14:solidFill>
              <w14:schemeClr w14:val="tx1"/>
            </w14:solidFill>
          </w14:textFill>
        </w:rPr>
        <w:t>合同条款另有约定外，临时设施的修建、拆除和恢复费用由设计人自行承担。</w:t>
      </w:r>
    </w:p>
    <w:p>
      <w:pPr>
        <w:numPr>
          <w:ilvl w:val="1"/>
          <w:numId w:val="38"/>
        </w:numPr>
        <w:tabs>
          <w:tab w:val="left" w:pos="1327"/>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安全作业要求</w:t>
      </w:r>
    </w:p>
    <w:p>
      <w:pPr>
        <w:pStyle w:val="30"/>
        <w:numPr>
          <w:ilvl w:val="2"/>
          <w:numId w:val="38"/>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设计人应按合同约定履行安全职责，执行发包人有关安全工作的指示，并</w:t>
      </w:r>
      <w:r>
        <w:rPr>
          <w:rFonts w:hint="eastAsia"/>
          <w:color w:val="000000" w:themeColor="text1"/>
          <w:spacing w:val="-1"/>
          <w:sz w:val="24"/>
          <w:lang w:eastAsia="zh-CN"/>
          <w14:textFill>
            <w14:solidFill>
              <w14:schemeClr w14:val="tx1"/>
            </w14:solidFill>
          </w14:textFill>
        </w:rPr>
        <w:t>在专用合同条款约定的期限内，按合同约定的安全工作内容，编制安全措施计划报</w:t>
      </w:r>
      <w:r>
        <w:rPr>
          <w:rFonts w:hint="eastAsia"/>
          <w:color w:val="000000" w:themeColor="text1"/>
          <w:sz w:val="24"/>
          <w:lang w:eastAsia="zh-CN"/>
          <w14:textFill>
            <w14:solidFill>
              <w14:schemeClr w14:val="tx1"/>
            </w14:solidFill>
          </w14:textFill>
        </w:rPr>
        <w:t>送发包人批准。</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设计人应严格执行操作规程，采取有效措施保证道路、桥梁、交通安全设</w:t>
      </w:r>
      <w:r>
        <w:rPr>
          <w:rFonts w:hint="eastAsia"/>
          <w:color w:val="000000" w:themeColor="text1"/>
          <w:sz w:val="24"/>
          <w:lang w:eastAsia="zh-CN"/>
          <w14:textFill>
            <w14:solidFill>
              <w14:schemeClr w14:val="tx1"/>
            </w14:solidFill>
          </w14:textFill>
        </w:rPr>
        <w:t>施、建构筑物、地下管线、架空线和其他周边设施等安全正常地运行。</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8"/>
          <w:sz w:val="24"/>
          <w:lang w:eastAsia="zh-CN"/>
          <w14:textFill>
            <w14:solidFill>
              <w14:schemeClr w14:val="tx1"/>
            </w14:solidFill>
          </w14:textFill>
        </w:rPr>
        <w:t>设计人应按照法律、法规和工程建设强制性标准进行勘察，加强勘察作业</w:t>
      </w:r>
      <w:r>
        <w:rPr>
          <w:rFonts w:hint="eastAsia"/>
          <w:color w:val="000000" w:themeColor="text1"/>
          <w:sz w:val="24"/>
          <w:lang w:eastAsia="zh-CN"/>
          <w14:textFill>
            <w14:solidFill>
              <w14:schemeClr w14:val="tx1"/>
            </w14:solidFill>
          </w14:textFill>
        </w:rPr>
        <w:t>安全管理，特别加强易燃、易爆材料、火工器材、有毒与腐蚀性材料和其他危险品的管理。</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设计人应严格按照国家安全标准制定施工安全操作规程，配备必要的安全</w:t>
      </w:r>
      <w:r>
        <w:rPr>
          <w:rFonts w:hint="eastAsia"/>
          <w:color w:val="000000" w:themeColor="text1"/>
          <w:sz w:val="24"/>
          <w:lang w:eastAsia="zh-CN"/>
          <w14:textFill>
            <w14:solidFill>
              <w14:schemeClr w14:val="tx1"/>
            </w14:solidFill>
          </w14:textFill>
        </w:rPr>
        <w:t>生产和劳动保护设施，加强对设计人人员的安全教育，并且发放安全工作手册和劳</w:t>
      </w:r>
    </w:p>
    <w:p>
      <w:pPr>
        <w:pStyle w:val="4"/>
        <w:spacing w:before="67"/>
        <w:ind w:left="424" w:right="-279" w:rightChars="-127"/>
        <w:rPr>
          <w:color w:val="000000" w:themeColor="text1"/>
          <w14:textFill>
            <w14:solidFill>
              <w14:schemeClr w14:val="tx1"/>
            </w14:solidFill>
          </w14:textFill>
        </w:rPr>
      </w:pPr>
      <w:r>
        <w:rPr>
          <w:rFonts w:hint="eastAsia"/>
          <w:color w:val="000000" w:themeColor="text1"/>
          <w14:textFill>
            <w14:solidFill>
              <w14:schemeClr w14:val="tx1"/>
            </w14:solidFill>
          </w14:textFill>
        </w:rPr>
        <w:t>动保护用具。</w:t>
      </w:r>
    </w:p>
    <w:p>
      <w:pPr>
        <w:pStyle w:val="30"/>
        <w:numPr>
          <w:ilvl w:val="2"/>
          <w:numId w:val="38"/>
        </w:numPr>
        <w:tabs>
          <w:tab w:val="left" w:pos="150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设计人应按发包人的指示制订应对灾害的紧急预案，报送发包人批准。设</w:t>
      </w:r>
      <w:r>
        <w:rPr>
          <w:rFonts w:hint="eastAsia"/>
          <w:color w:val="000000" w:themeColor="text1"/>
          <w:sz w:val="24"/>
          <w:lang w:eastAsia="zh-CN"/>
          <w14:textFill>
            <w14:solidFill>
              <w14:schemeClr w14:val="tx1"/>
            </w14:solidFill>
          </w14:textFill>
        </w:rPr>
        <w:t>计人还应按预案做好安全检查，配置必要的救助物资和器材，切实保护好有关人员的人身和财产安全。</w:t>
      </w:r>
    </w:p>
    <w:p>
      <w:pPr>
        <w:pStyle w:val="30"/>
        <w:numPr>
          <w:ilvl w:val="2"/>
          <w:numId w:val="38"/>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设计人应对其履行合同所雇用的全部人员</w:t>
      </w:r>
      <w:r>
        <w:rPr>
          <w:rFonts w:hint="eastAsia"/>
          <w:color w:val="000000" w:themeColor="text1"/>
          <w:sz w:val="24"/>
          <w:lang w:eastAsia="zh-CN"/>
          <w14:textFill>
            <w14:solidFill>
              <w14:schemeClr w14:val="tx1"/>
            </w14:solidFill>
          </w14:textFill>
        </w:rPr>
        <w:t>。</w:t>
      </w:r>
    </w:p>
    <w:p>
      <w:pPr>
        <w:pStyle w:val="30"/>
        <w:numPr>
          <w:ilvl w:val="2"/>
          <w:numId w:val="38"/>
        </w:numPr>
        <w:tabs>
          <w:tab w:val="left" w:pos="1510"/>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由于设计人原因在施工场地内及其毗邻地带造成的第三者人员伤亡和财产损失，由设计人负责赔偿。</w:t>
      </w:r>
    </w:p>
    <w:p>
      <w:pPr>
        <w:numPr>
          <w:ilvl w:val="1"/>
          <w:numId w:val="38"/>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环境保护要求</w:t>
      </w:r>
    </w:p>
    <w:p>
      <w:pPr>
        <w:pStyle w:val="30"/>
        <w:numPr>
          <w:ilvl w:val="2"/>
          <w:numId w:val="38"/>
        </w:numPr>
        <w:tabs>
          <w:tab w:val="left" w:pos="150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设计人在履行合同过程中，应遵守有关环境保护的法律，履行合同约定的</w:t>
      </w:r>
      <w:r>
        <w:rPr>
          <w:rFonts w:hint="eastAsia"/>
          <w:color w:val="000000" w:themeColor="text1"/>
          <w:sz w:val="24"/>
          <w:lang w:eastAsia="zh-CN"/>
          <w14:textFill>
            <w14:solidFill>
              <w14:schemeClr w14:val="tx1"/>
            </w14:solidFill>
          </w14:textFill>
        </w:rPr>
        <w:t>环境保护义务，并对违反法律和合同约定义务所造成的环境破坏、人身伤害和财产损失负责。</w:t>
      </w:r>
    </w:p>
    <w:p>
      <w:pPr>
        <w:pStyle w:val="30"/>
        <w:numPr>
          <w:ilvl w:val="2"/>
          <w:numId w:val="38"/>
        </w:numPr>
        <w:tabs>
          <w:tab w:val="left" w:pos="150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设计人应按合同约定的环保工作内容，编制环保措施计划，报送发包人批</w:t>
      </w:r>
      <w:r>
        <w:rPr>
          <w:rFonts w:hint="eastAsia"/>
          <w:color w:val="000000" w:themeColor="text1"/>
          <w:sz w:val="24"/>
          <w:lang w:eastAsia="zh-CN"/>
          <w14:textFill>
            <w14:solidFill>
              <w14:schemeClr w14:val="tx1"/>
            </w14:solidFill>
          </w14:textFill>
        </w:rPr>
        <w:t>准。</w:t>
      </w:r>
    </w:p>
    <w:p>
      <w:pPr>
        <w:pStyle w:val="30"/>
        <w:numPr>
          <w:ilvl w:val="2"/>
          <w:numId w:val="38"/>
        </w:numPr>
        <w:tabs>
          <w:tab w:val="left" w:pos="1505"/>
        </w:tabs>
        <w:spacing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设计人应确保勘探过程中产生的气体排放物、粉尘、噪声、地面排水及排</w:t>
      </w:r>
      <w:r>
        <w:rPr>
          <w:rFonts w:hint="eastAsia"/>
          <w:color w:val="000000" w:themeColor="text1"/>
          <w:sz w:val="24"/>
          <w:lang w:eastAsia="zh-CN"/>
          <w14:textFill>
            <w14:solidFill>
              <w14:schemeClr w14:val="tx1"/>
            </w14:solidFill>
          </w14:textFill>
        </w:rPr>
        <w:t>污等，符合法律规定和发包人要求。</w:t>
      </w:r>
    </w:p>
    <w:p>
      <w:pPr>
        <w:numPr>
          <w:ilvl w:val="1"/>
          <w:numId w:val="39"/>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事故处理要求</w:t>
      </w:r>
    </w:p>
    <w:p>
      <w:pPr>
        <w:pStyle w:val="30"/>
        <w:numPr>
          <w:ilvl w:val="2"/>
          <w:numId w:val="39"/>
        </w:numPr>
        <w:tabs>
          <w:tab w:val="left" w:pos="1505"/>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合同履行过程中发生事故的，设计人应立即通知发包人。</w:t>
      </w:r>
    </w:p>
    <w:p>
      <w:pPr>
        <w:pStyle w:val="30"/>
        <w:numPr>
          <w:ilvl w:val="2"/>
          <w:numId w:val="39"/>
        </w:numPr>
        <w:tabs>
          <w:tab w:val="left" w:pos="150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发包人和设计人应立即组织人员和设备进行紧急抢救和抢修，减少人员伤</w:t>
      </w:r>
      <w:r>
        <w:rPr>
          <w:rFonts w:hint="eastAsia"/>
          <w:color w:val="000000" w:themeColor="text1"/>
          <w:sz w:val="24"/>
          <w:lang w:eastAsia="zh-CN"/>
          <w14:textFill>
            <w14:solidFill>
              <w14:schemeClr w14:val="tx1"/>
            </w14:solidFill>
          </w14:textFill>
        </w:rPr>
        <w:t>亡和财产损失，防止事故扩大，并保护事故现场。需要移动现场物品时，应作出标记和书面记录，妥善保管有关证据。发包人和设计人应按国家有关规定，及时如实地向有关部门报告事故发生的情况，以及正在采取的紧急措施等。</w:t>
      </w:r>
    </w:p>
    <w:p>
      <w:pPr>
        <w:numPr>
          <w:ilvl w:val="1"/>
          <w:numId w:val="40"/>
        </w:numPr>
        <w:tabs>
          <w:tab w:val="left" w:pos="1447"/>
        </w:tabs>
        <w:spacing w:before="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勘察设计文件要求</w:t>
      </w:r>
    </w:p>
    <w:p>
      <w:pPr>
        <w:pStyle w:val="30"/>
        <w:numPr>
          <w:ilvl w:val="2"/>
          <w:numId w:val="40"/>
        </w:numPr>
        <w:tabs>
          <w:tab w:val="left" w:pos="1625"/>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勘察设计文件的编制应符合法律法规、规范标准的强制性规定和发包人要求，相关勘察设计依据应完整、准确、可靠，勘察设计方案论证充分，计算成果</w:t>
      </w:r>
      <w:r>
        <w:rPr>
          <w:rFonts w:hint="eastAsia"/>
          <w:color w:val="000000" w:themeColor="text1"/>
          <w:sz w:val="24"/>
          <w:lang w:eastAsia="zh-CN"/>
          <w14:textFill>
            <w14:solidFill>
              <w14:schemeClr w14:val="tx1"/>
            </w14:solidFill>
          </w14:textFill>
        </w:rPr>
        <w:t>规范可靠，并能够实施。</w:t>
      </w:r>
    </w:p>
    <w:p>
      <w:pPr>
        <w:pStyle w:val="30"/>
        <w:numPr>
          <w:ilvl w:val="2"/>
          <w:numId w:val="40"/>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勘察设计服务应根据法律、规范标准和发包人要求，保证工程的合理使</w:t>
      </w:r>
      <w:r>
        <w:rPr>
          <w:rFonts w:hint="eastAsia"/>
          <w:color w:val="000000" w:themeColor="text1"/>
          <w:sz w:val="24"/>
          <w:lang w:eastAsia="zh-CN"/>
          <w14:textFill>
            <w14:solidFill>
              <w14:schemeClr w14:val="tx1"/>
            </w14:solidFill>
          </w14:textFill>
        </w:rPr>
        <w:t>用寿命年限，并在设计文件中予以注明。</w:t>
      </w:r>
    </w:p>
    <w:p>
      <w:pPr>
        <w:pStyle w:val="30"/>
        <w:numPr>
          <w:ilvl w:val="2"/>
          <w:numId w:val="40"/>
        </w:numPr>
        <w:tabs>
          <w:tab w:val="left" w:pos="1625"/>
        </w:tabs>
        <w:spacing w:before="74"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勘察设计文件的深度应满足本合同相应勘察设计阶段的规定要求，满足</w:t>
      </w:r>
      <w:r>
        <w:rPr>
          <w:rFonts w:hint="eastAsia"/>
          <w:color w:val="000000" w:themeColor="text1"/>
          <w:sz w:val="24"/>
          <w:lang w:eastAsia="zh-CN"/>
          <w14:textFill>
            <w14:solidFill>
              <w14:schemeClr w14:val="tx1"/>
            </w14:solidFill>
          </w14:textFill>
        </w:rPr>
        <w:t>发包人的下步工作需要，并应符合国家和行业现行规定。</w:t>
      </w:r>
    </w:p>
    <w:p>
      <w:pPr>
        <w:pStyle w:val="30"/>
        <w:numPr>
          <w:ilvl w:val="2"/>
          <w:numId w:val="40"/>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勘察设计文件必须保证工程质量和施工安全等方面的要求，按照有关法律法规规定在勘察设计文件中提出保障施工作业人员安全和预防生产安全事故的措</w:t>
      </w:r>
      <w:r>
        <w:rPr>
          <w:rFonts w:hint="eastAsia"/>
          <w:color w:val="000000" w:themeColor="text1"/>
          <w:sz w:val="24"/>
          <w:lang w:eastAsia="zh-CN"/>
          <w14:textFill>
            <w14:solidFill>
              <w14:schemeClr w14:val="tx1"/>
            </w14:solidFill>
          </w14:textFill>
        </w:rPr>
        <w:t>施建议。</w:t>
      </w:r>
    </w:p>
    <w:p>
      <w:pPr>
        <w:pStyle w:val="30"/>
        <w:numPr>
          <w:ilvl w:val="2"/>
          <w:numId w:val="40"/>
        </w:numPr>
        <w:tabs>
          <w:tab w:val="left" w:pos="1625"/>
        </w:tabs>
        <w:spacing w:before="1"/>
        <w:ind w:left="1624"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勘察设计文件必须符合下列要求：</w:t>
      </w:r>
    </w:p>
    <w:p>
      <w:pPr>
        <w:pStyle w:val="30"/>
        <w:numPr>
          <w:ilvl w:val="0"/>
          <w:numId w:val="41"/>
        </w:numPr>
        <w:tabs>
          <w:tab w:val="left" w:pos="1506"/>
        </w:tabs>
        <w:spacing w:before="173"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勘察设计文件的编制必须严格执行国家基本建设程序、工程建设标准强</w:t>
      </w:r>
      <w:r>
        <w:rPr>
          <w:rFonts w:hint="eastAsia"/>
          <w:color w:val="000000" w:themeColor="text1"/>
          <w:spacing w:val="-4"/>
          <w:sz w:val="24"/>
          <w:lang w:eastAsia="zh-CN"/>
          <w14:textFill>
            <w14:solidFill>
              <w14:schemeClr w14:val="tx1"/>
            </w14:solidFill>
          </w14:textFill>
        </w:rPr>
        <w:t>制性条文及有关公路工程建设的法律、法规、规章、规范、标准、规程、定额和合同的要求。</w:t>
      </w:r>
    </w:p>
    <w:p>
      <w:pPr>
        <w:pStyle w:val="30"/>
        <w:numPr>
          <w:ilvl w:val="0"/>
          <w:numId w:val="41"/>
        </w:numPr>
        <w:tabs>
          <w:tab w:val="left" w:pos="1506"/>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勘察设计文件的编制须符合国民经济、社会发展规划和产业政策，贯彻</w:t>
      </w:r>
      <w:r>
        <w:rPr>
          <w:rFonts w:hint="eastAsia"/>
          <w:color w:val="000000" w:themeColor="text1"/>
          <w:spacing w:val="-4"/>
          <w:sz w:val="24"/>
          <w:lang w:eastAsia="zh-CN"/>
          <w14:textFill>
            <w14:solidFill>
              <w14:schemeClr w14:val="tx1"/>
            </w14:solidFill>
          </w14:textFill>
        </w:rPr>
        <w:t>提高社会经济效益和促进技术进步的方针，实行资源综合利用，节约资源和能源，</w:t>
      </w:r>
      <w:r>
        <w:rPr>
          <w:rFonts w:hint="eastAsia"/>
          <w:color w:val="000000" w:themeColor="text1"/>
          <w:spacing w:val="-3"/>
          <w:sz w:val="24"/>
          <w:lang w:eastAsia="zh-CN"/>
          <w14:textFill>
            <w14:solidFill>
              <w14:schemeClr w14:val="tx1"/>
            </w14:solidFill>
          </w14:textFill>
        </w:rPr>
        <w:t>符合国家自然风景区、城市、集镇、村庄规划和相关专业规划，符合国家有关劳动安全卫生、消防、抗震、人防规定。</w:t>
      </w:r>
    </w:p>
    <w:p>
      <w:pPr>
        <w:pStyle w:val="30"/>
        <w:numPr>
          <w:ilvl w:val="0"/>
          <w:numId w:val="41"/>
        </w:numPr>
        <w:tabs>
          <w:tab w:val="left" w:pos="1507"/>
        </w:tabs>
        <w:spacing w:before="2"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勘察设计文件必须保证工程质量和安全的要求，符合安全、适用、耐久、</w:t>
      </w:r>
      <w:r>
        <w:rPr>
          <w:rFonts w:hint="eastAsia"/>
          <w:color w:val="000000" w:themeColor="text1"/>
          <w:sz w:val="24"/>
          <w:lang w:eastAsia="zh-CN"/>
          <w14:textFill>
            <w14:solidFill>
              <w14:schemeClr w14:val="tx1"/>
            </w14:solidFill>
          </w14:textFill>
        </w:rPr>
        <w:t>经济、美观的综合要求；并应特别注意沿线景观及沿线设施的协调性和符合环境保护、水土保持的要求。</w:t>
      </w:r>
    </w:p>
    <w:p>
      <w:pPr>
        <w:pStyle w:val="30"/>
        <w:numPr>
          <w:ilvl w:val="2"/>
          <w:numId w:val="40"/>
        </w:numPr>
        <w:tabs>
          <w:tab w:val="left" w:pos="1625"/>
        </w:tabs>
        <w:spacing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设计人应根据批复的可行性研究报告和交通运输部《公路工程基本建设项目设计文件编制办法》规定的设计深度完成初步设计工作。初步设计文件经审查</w:t>
      </w:r>
      <w:r>
        <w:rPr>
          <w:rFonts w:hint="eastAsia"/>
          <w:color w:val="000000" w:themeColor="text1"/>
          <w:sz w:val="24"/>
          <w:lang w:eastAsia="zh-CN"/>
          <w14:textFill>
            <w14:solidFill>
              <w14:schemeClr w14:val="tx1"/>
            </w14:solidFill>
          </w14:textFill>
        </w:rPr>
        <w:t>批复后，作为编制施工图设计文件和控制建设项目投资的依据。</w:t>
      </w:r>
    </w:p>
    <w:p>
      <w:pPr>
        <w:pStyle w:val="30"/>
        <w:numPr>
          <w:ilvl w:val="2"/>
          <w:numId w:val="40"/>
        </w:numPr>
        <w:tabs>
          <w:tab w:val="left" w:pos="1625"/>
        </w:tabs>
        <w:spacing w:before="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若发包人或发包人上级主管部门认为需要进行技术设计，设计人应根据发包人要求，按交通运输部《公路工程基本建设项目设计文件编制办法》有关规定编制技术设计文件和修正概算，并通过发包人上级主管部门的审查。如果发包人在招标阶段已明确本项目包括技术设计并且在报价清单中已列有相应报价子目，则按设计人在报价清单中所报的相应费用支付；否则，对于发包人在项目实施过程中提</w:t>
      </w:r>
      <w:r>
        <w:rPr>
          <w:rFonts w:hint="eastAsia"/>
          <w:color w:val="000000" w:themeColor="text1"/>
          <w:sz w:val="24"/>
          <w:lang w:eastAsia="zh-CN"/>
          <w14:textFill>
            <w14:solidFill>
              <w14:schemeClr w14:val="tx1"/>
            </w14:solidFill>
          </w14:textFill>
        </w:rPr>
        <w:t>出的技术设计，发包人应另行支付费用。</w:t>
      </w:r>
    </w:p>
    <w:p>
      <w:pPr>
        <w:pStyle w:val="30"/>
        <w:numPr>
          <w:ilvl w:val="2"/>
          <w:numId w:val="40"/>
        </w:numPr>
        <w:tabs>
          <w:tab w:val="left" w:pos="1625"/>
        </w:tabs>
        <w:spacing w:before="67" w:line="374" w:lineRule="auto"/>
        <w:ind w:right="-279" w:rightChars="-127" w:firstLine="480"/>
        <w:jc w:val="both"/>
        <w:rPr>
          <w:color w:val="000000" w:themeColor="text1"/>
          <w:lang w:eastAsia="zh-CN"/>
          <w14:textFill>
            <w14:solidFill>
              <w14:schemeClr w14:val="tx1"/>
            </w14:solidFill>
          </w14:textFill>
        </w:rPr>
      </w:pPr>
      <w:r>
        <w:rPr>
          <w:rFonts w:hint="eastAsia" w:ascii="宋体" w:hAnsi="宋体" w:eastAsia="宋体" w:cs="宋体"/>
          <w:color w:val="000000" w:themeColor="text1"/>
          <w:spacing w:val="-1"/>
          <w:sz w:val="24"/>
          <w:lang w:eastAsia="zh-CN"/>
          <w14:textFill>
            <w14:solidFill>
              <w14:schemeClr w14:val="tx1"/>
            </w14:solidFill>
          </w14:textFill>
        </w:rPr>
        <w:t>设计人应按批准的初步设计完成施工图设计工作，并接受发包人、咨询单位及发包人上级主管部门对施工图设计文件的审查，按审查意见修改施工图设计文件。设计人应在发包人规定的时间内完成施工图预算的编制，施工图设计文件及</w:t>
      </w:r>
      <w:r>
        <w:rPr>
          <w:rFonts w:hint="eastAsia"/>
          <w:color w:val="000000" w:themeColor="text1"/>
          <w:lang w:eastAsia="zh-CN"/>
          <w14:textFill>
            <w14:solidFill>
              <w14:schemeClr w14:val="tx1"/>
            </w14:solidFill>
          </w14:textFill>
        </w:rPr>
        <w:t>施工图预算应按各施工标段进行编制。施工图设计文件批复后，则作为编制施工招标文件的依据。</w:t>
      </w:r>
    </w:p>
    <w:p>
      <w:pPr>
        <w:pStyle w:val="30"/>
        <w:numPr>
          <w:ilvl w:val="2"/>
          <w:numId w:val="40"/>
        </w:numPr>
        <w:tabs>
          <w:tab w:val="left" w:pos="1625"/>
        </w:tabs>
        <w:spacing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1"/>
          <w:sz w:val="24"/>
          <w:lang w:eastAsia="zh-CN"/>
          <w14:textFill>
            <w14:solidFill>
              <w14:schemeClr w14:val="tx1"/>
            </w14:solidFill>
          </w14:textFill>
        </w:rPr>
        <w:t>当发包人、咨询单位或上级主管部门认为需调用设计人的设计计算书时，</w:t>
      </w:r>
      <w:r>
        <w:rPr>
          <w:rFonts w:hint="eastAsia"/>
          <w:color w:val="000000" w:themeColor="text1"/>
          <w:sz w:val="24"/>
          <w:lang w:eastAsia="zh-CN"/>
          <w14:textFill>
            <w14:solidFill>
              <w14:schemeClr w14:val="tx1"/>
            </w14:solidFill>
          </w14:textFill>
        </w:rPr>
        <w:t>设计人必须及时提供。</w:t>
      </w:r>
    </w:p>
    <w:p>
      <w:pPr>
        <w:numPr>
          <w:ilvl w:val="0"/>
          <w:numId w:val="14"/>
        </w:numPr>
        <w:tabs>
          <w:tab w:val="left" w:pos="773"/>
        </w:tabs>
        <w:spacing w:before="98"/>
        <w:ind w:right="-279" w:rightChars="-127"/>
        <w:rPr>
          <w:rFonts w:ascii="黑体" w:eastAsia="黑体"/>
          <w:b/>
          <w:color w:val="000000" w:themeColor="text1"/>
          <w:sz w:val="28"/>
          <w:lang w:eastAsia="zh-CN"/>
          <w14:textFill>
            <w14:solidFill>
              <w14:schemeClr w14:val="tx1"/>
            </w14:solidFill>
          </w14:textFill>
        </w:rPr>
      </w:pPr>
      <w:bookmarkStart w:id="23" w:name="_bookmark115"/>
      <w:bookmarkEnd w:id="23"/>
      <w:r>
        <w:rPr>
          <w:rFonts w:hint="eastAsia" w:ascii="黑体" w:eastAsia="黑体"/>
          <w:b/>
          <w:color w:val="000000" w:themeColor="text1"/>
          <w:sz w:val="28"/>
          <w:lang w:eastAsia="zh-CN"/>
          <w14:textFill>
            <w14:solidFill>
              <w14:schemeClr w14:val="tx1"/>
            </w14:solidFill>
          </w14:textFill>
        </w:rPr>
        <w:t>开始勘察设计和完成勘察设计</w:t>
      </w:r>
    </w:p>
    <w:p>
      <w:pPr>
        <w:pStyle w:val="4"/>
        <w:spacing w:before="3"/>
        <w:ind w:right="-279" w:rightChars="-127"/>
        <w:rPr>
          <w:rFonts w:ascii="黑体"/>
          <w:b/>
          <w:color w:val="000000" w:themeColor="text1"/>
          <w:sz w:val="30"/>
          <w:lang w:eastAsia="zh-CN"/>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开始勘察设计</w:t>
      </w:r>
    </w:p>
    <w:p>
      <w:pPr>
        <w:pStyle w:val="30"/>
        <w:numPr>
          <w:ilvl w:val="2"/>
          <w:numId w:val="14"/>
        </w:numPr>
        <w:tabs>
          <w:tab w:val="left" w:pos="144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符合专用合同条款约定的开始勘察设计条件的，发包人应提前</w:t>
      </w:r>
      <w:r>
        <w:rPr>
          <w:rFonts w:ascii="Times New Roman" w:eastAsia="Times New Roman"/>
          <w:color w:val="000000" w:themeColor="text1"/>
          <w:sz w:val="24"/>
          <w:lang w:eastAsia="zh-CN"/>
          <w14:textFill>
            <w14:solidFill>
              <w14:schemeClr w14:val="tx1"/>
            </w14:solidFill>
          </w14:textFill>
        </w:rPr>
        <w:t xml:space="preserve">7 </w:t>
      </w:r>
      <w:r>
        <w:rPr>
          <w:rFonts w:hint="eastAsia"/>
          <w:color w:val="000000" w:themeColor="text1"/>
          <w:spacing w:val="-4"/>
          <w:sz w:val="24"/>
          <w:lang w:eastAsia="zh-CN"/>
          <w14:textFill>
            <w14:solidFill>
              <w14:schemeClr w14:val="tx1"/>
            </w14:solidFill>
          </w14:textFill>
        </w:rPr>
        <w:t>天向设计</w:t>
      </w:r>
      <w:r>
        <w:rPr>
          <w:rFonts w:hint="eastAsia"/>
          <w:color w:val="000000" w:themeColor="text1"/>
          <w:sz w:val="24"/>
          <w:lang w:eastAsia="zh-CN"/>
          <w14:textFill>
            <w14:solidFill>
              <w14:schemeClr w14:val="tx1"/>
            </w14:solidFill>
          </w14:textFill>
        </w:rPr>
        <w:t>人发出开始勘察设计通知。勘察设计服务期限自开始勘察设计通知中载明的开始勘察设计日期起计算。勘察设计服务周期安排在专用合同条款中约定。</w:t>
      </w:r>
    </w:p>
    <w:p>
      <w:pPr>
        <w:pStyle w:val="30"/>
        <w:numPr>
          <w:ilvl w:val="2"/>
          <w:numId w:val="14"/>
        </w:numPr>
        <w:tabs>
          <w:tab w:val="left" w:pos="1476"/>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除专用合同条款另有约定外，因发包人原因造成合同签订之日起</w:t>
      </w:r>
      <w:r>
        <w:rPr>
          <w:rFonts w:ascii="Times New Roman" w:eastAsia="Times New Roman"/>
          <w:color w:val="000000" w:themeColor="text1"/>
          <w:sz w:val="24"/>
          <w:lang w:eastAsia="zh-CN"/>
          <w14:textFill>
            <w14:solidFill>
              <w14:schemeClr w14:val="tx1"/>
            </w14:solidFill>
          </w14:textFill>
        </w:rPr>
        <w:t>90</w:t>
      </w:r>
      <w:r>
        <w:rPr>
          <w:rFonts w:hint="eastAsia"/>
          <w:color w:val="000000" w:themeColor="text1"/>
          <w:spacing w:val="-8"/>
          <w:sz w:val="24"/>
          <w:lang w:eastAsia="zh-CN"/>
          <w14:textFill>
            <w14:solidFill>
              <w14:schemeClr w14:val="tx1"/>
            </w14:solidFill>
          </w14:textFill>
        </w:rPr>
        <w:t>天内</w:t>
      </w:r>
      <w:r>
        <w:rPr>
          <w:rFonts w:hint="eastAsia"/>
          <w:color w:val="000000" w:themeColor="text1"/>
          <w:sz w:val="24"/>
          <w:lang w:eastAsia="zh-CN"/>
          <w14:textFill>
            <w14:solidFill>
              <w14:schemeClr w14:val="tx1"/>
            </w14:solidFill>
          </w14:textFill>
        </w:rPr>
        <w:t>未能发出开始勘察设计通知的，设计人有权提出价格调整要求，或者解除合同。发包人应承担由此增加的费用和（或）周期延误。</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设计人应在接到中标通知书后</w:t>
      </w:r>
      <w:r>
        <w:rPr>
          <w:rFonts w:ascii="Times New Roman" w:eastAsia="Times New Roman"/>
          <w:color w:val="000000" w:themeColor="text1"/>
          <w:sz w:val="24"/>
          <w:lang w:eastAsia="zh-CN"/>
          <w14:textFill>
            <w14:solidFill>
              <w14:schemeClr w14:val="tx1"/>
            </w14:solidFill>
          </w14:textFill>
        </w:rPr>
        <w:t>14</w:t>
      </w:r>
      <w:r>
        <w:rPr>
          <w:rFonts w:hint="eastAsia"/>
          <w:color w:val="000000" w:themeColor="text1"/>
          <w:spacing w:val="-1"/>
          <w:sz w:val="24"/>
          <w:lang w:eastAsia="zh-CN"/>
          <w14:textFill>
            <w14:solidFill>
              <w14:schemeClr w14:val="tx1"/>
            </w14:solidFill>
          </w14:textFill>
        </w:rPr>
        <w:t>天内，针对勘察设计各个阶段工作内容</w:t>
      </w:r>
      <w:r>
        <w:rPr>
          <w:rFonts w:hint="eastAsia"/>
          <w:color w:val="000000" w:themeColor="text1"/>
          <w:sz w:val="24"/>
          <w:lang w:eastAsia="zh-CN"/>
          <w14:textFill>
            <w14:solidFill>
              <w14:schemeClr w14:val="tx1"/>
            </w14:solidFill>
          </w14:textFill>
        </w:rPr>
        <w:t>向发包人提交具有可实施性、分项目的勘察设计详细工作大纲及进度计划，以及为</w:t>
      </w:r>
      <w:r>
        <w:rPr>
          <w:rFonts w:hint="eastAsia"/>
          <w:color w:val="000000" w:themeColor="text1"/>
          <w:spacing w:val="-3"/>
          <w:sz w:val="24"/>
          <w:lang w:eastAsia="zh-CN"/>
          <w14:textFill>
            <w14:solidFill>
              <w14:schemeClr w14:val="tx1"/>
            </w14:solidFill>
          </w14:textFill>
        </w:rPr>
        <w:t>完成本计划而建议采用的措施和说明</w:t>
      </w:r>
      <w:r>
        <w:rPr>
          <w:rFonts w:hint="eastAsia"/>
          <w:color w:val="000000" w:themeColor="text1"/>
          <w:sz w:val="24"/>
          <w:lang w:eastAsia="zh-CN"/>
          <w14:textFill>
            <w14:solidFill>
              <w14:schemeClr w14:val="tx1"/>
            </w14:solidFill>
          </w14:textFill>
        </w:rPr>
        <w:t>（含电子文件一份</w:t>
      </w:r>
      <w:r>
        <w:rPr>
          <w:rFonts w:hint="eastAsia"/>
          <w:color w:val="000000" w:themeColor="text1"/>
          <w:spacing w:val="-82"/>
          <w:sz w:val="24"/>
          <w:lang w:eastAsia="zh-CN"/>
          <w14:textFill>
            <w14:solidFill>
              <w14:schemeClr w14:val="tx1"/>
            </w14:solidFill>
          </w14:textFill>
        </w:rPr>
        <w:t>）</w:t>
      </w:r>
      <w:r>
        <w:rPr>
          <w:rFonts w:hint="eastAsia"/>
          <w:color w:val="000000" w:themeColor="text1"/>
          <w:spacing w:val="-11"/>
          <w:sz w:val="24"/>
          <w:lang w:eastAsia="zh-CN"/>
          <w14:textFill>
            <w14:solidFill>
              <w14:schemeClr w14:val="tx1"/>
            </w14:solidFill>
          </w14:textFill>
        </w:rPr>
        <w:t>，经批准后作为勘察设计合</w:t>
      </w:r>
      <w:r>
        <w:rPr>
          <w:rFonts w:hint="eastAsia"/>
          <w:color w:val="000000" w:themeColor="text1"/>
          <w:sz w:val="24"/>
          <w:lang w:eastAsia="zh-CN"/>
          <w14:textFill>
            <w14:solidFill>
              <w14:schemeClr w14:val="tx1"/>
            </w14:solidFill>
          </w14:textFill>
        </w:rPr>
        <w:t>同文件的组成部分，是发包人对勘察设计进行项目管理的依据之一。</w:t>
      </w:r>
    </w:p>
    <w:p>
      <w:pPr>
        <w:pStyle w:val="30"/>
        <w:numPr>
          <w:ilvl w:val="2"/>
          <w:numId w:val="14"/>
        </w:numPr>
        <w:tabs>
          <w:tab w:val="left" w:pos="150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8"/>
          <w:sz w:val="24"/>
          <w:lang w:eastAsia="zh-CN"/>
          <w14:textFill>
            <w14:solidFill>
              <w14:schemeClr w14:val="tx1"/>
            </w14:solidFill>
          </w14:textFill>
        </w:rPr>
        <w:t>设计人在开展专题研究之前，应针对专题研究的具体内容提交详细的工作</w:t>
      </w:r>
      <w:r>
        <w:rPr>
          <w:rFonts w:hint="eastAsia"/>
          <w:color w:val="000000" w:themeColor="text1"/>
          <w:spacing w:val="-15"/>
          <w:sz w:val="24"/>
          <w:lang w:eastAsia="zh-CN"/>
          <w14:textFill>
            <w14:solidFill>
              <w14:schemeClr w14:val="tx1"/>
            </w14:solidFill>
          </w14:textFill>
        </w:rPr>
        <w:t>大纲</w:t>
      </w:r>
      <w:r>
        <w:rPr>
          <w:rFonts w:hint="eastAsia"/>
          <w:color w:val="000000" w:themeColor="text1"/>
          <w:sz w:val="24"/>
          <w:lang w:eastAsia="zh-CN"/>
          <w14:textFill>
            <w14:solidFill>
              <w14:schemeClr w14:val="tx1"/>
            </w14:solidFill>
          </w14:textFill>
        </w:rPr>
        <w:t>（含电子文件一份</w:t>
      </w:r>
      <w:r>
        <w:rPr>
          <w:rFonts w:hint="eastAsia"/>
          <w:color w:val="000000" w:themeColor="text1"/>
          <w:spacing w:val="-75"/>
          <w:sz w:val="24"/>
          <w:lang w:eastAsia="zh-CN"/>
          <w14:textFill>
            <w14:solidFill>
              <w14:schemeClr w14:val="tx1"/>
            </w14:solidFill>
          </w14:textFill>
        </w:rPr>
        <w:t>）</w:t>
      </w:r>
      <w:r>
        <w:rPr>
          <w:rFonts w:hint="eastAsia"/>
          <w:color w:val="000000" w:themeColor="text1"/>
          <w:spacing w:val="-12"/>
          <w:sz w:val="24"/>
          <w:lang w:eastAsia="zh-CN"/>
          <w14:textFill>
            <w14:solidFill>
              <w14:schemeClr w14:val="tx1"/>
            </w14:solidFill>
          </w14:textFill>
        </w:rPr>
        <w:t>，报发包人审核后实施，并作为勘察设计合同文件的组成部</w:t>
      </w:r>
      <w:r>
        <w:rPr>
          <w:rFonts w:hint="eastAsia"/>
          <w:color w:val="000000" w:themeColor="text1"/>
          <w:sz w:val="24"/>
          <w:lang w:eastAsia="zh-CN"/>
          <w14:textFill>
            <w14:solidFill>
              <w14:schemeClr w14:val="tx1"/>
            </w14:solidFill>
          </w14:textFill>
        </w:rPr>
        <w:t>分。</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发包人对设计人勘察设计详细工作大纲及进度计划、专题研究详细工作大</w:t>
      </w:r>
      <w:r>
        <w:rPr>
          <w:rFonts w:hint="eastAsia"/>
          <w:color w:val="000000" w:themeColor="text1"/>
          <w:sz w:val="24"/>
          <w:lang w:eastAsia="zh-CN"/>
          <w14:textFill>
            <w14:solidFill>
              <w14:schemeClr w14:val="tx1"/>
            </w14:solidFill>
          </w14:textFill>
        </w:rPr>
        <w:t>纲的审查，并不免除设计人对本项目勘察设计（含专题研究）应承担的责任。</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设计人应在每月月底向发包人提供进度报告，说明该月工作进展情况及下</w:t>
      </w:r>
      <w:r>
        <w:rPr>
          <w:rFonts w:hint="eastAsia"/>
          <w:color w:val="000000" w:themeColor="text1"/>
          <w:sz w:val="24"/>
          <w:lang w:eastAsia="zh-CN"/>
          <w14:textFill>
            <w14:solidFill>
              <w14:schemeClr w14:val="tx1"/>
            </w14:solidFill>
          </w14:textFill>
        </w:rPr>
        <w:t>月计划安排，并根据发包人要求，参加发包人组织的月度工作例会。</w:t>
      </w: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发包人引起的周期延误</w:t>
      </w:r>
    </w:p>
    <w:p>
      <w:pPr>
        <w:pStyle w:val="4"/>
        <w:spacing w:before="173"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在履行合同过程中，由于发包人的下列原因造成勘察设计服务期限延误的，发包人应延长勘察设计服务期限并增加勘察设计费用，具体方法在专用合同条款中约定。</w:t>
      </w:r>
    </w:p>
    <w:p>
      <w:pPr>
        <w:pStyle w:val="30"/>
        <w:numPr>
          <w:ilvl w:val="0"/>
          <w:numId w:val="42"/>
        </w:numPr>
        <w:tabs>
          <w:tab w:val="left" w:pos="1506"/>
        </w:tabs>
        <w:spacing w:before="74"/>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合同变更；</w:t>
      </w:r>
    </w:p>
    <w:p>
      <w:pPr>
        <w:pStyle w:val="30"/>
        <w:numPr>
          <w:ilvl w:val="0"/>
          <w:numId w:val="42"/>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未按合同约定期限及时答复勘察设计事项；</w:t>
      </w:r>
    </w:p>
    <w:p>
      <w:pPr>
        <w:pStyle w:val="30"/>
        <w:numPr>
          <w:ilvl w:val="0"/>
          <w:numId w:val="42"/>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因发包人原因导致的暂停勘察设计；</w:t>
      </w:r>
    </w:p>
    <w:p>
      <w:pPr>
        <w:pStyle w:val="30"/>
        <w:numPr>
          <w:ilvl w:val="0"/>
          <w:numId w:val="42"/>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未按合同约定及时支付勘察设计费用；</w:t>
      </w:r>
    </w:p>
    <w:p>
      <w:pPr>
        <w:pStyle w:val="30"/>
        <w:numPr>
          <w:ilvl w:val="0"/>
          <w:numId w:val="42"/>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发包人提供的基准资料错误；</w:t>
      </w:r>
    </w:p>
    <w:p>
      <w:pPr>
        <w:pStyle w:val="30"/>
        <w:numPr>
          <w:ilvl w:val="0"/>
          <w:numId w:val="42"/>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未及时履行合同约定的相关义务；</w:t>
      </w:r>
    </w:p>
    <w:p>
      <w:pPr>
        <w:pStyle w:val="30"/>
        <w:numPr>
          <w:ilvl w:val="0"/>
          <w:numId w:val="42"/>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未能按照合同约定期限对勘察设计文件进行审查；</w:t>
      </w:r>
    </w:p>
    <w:p>
      <w:pPr>
        <w:pStyle w:val="30"/>
        <w:numPr>
          <w:ilvl w:val="0"/>
          <w:numId w:val="42"/>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发包人造成周期延误的其他原因。</w:t>
      </w:r>
    </w:p>
    <w:p>
      <w:pPr>
        <w:numPr>
          <w:ilvl w:val="1"/>
          <w:numId w:val="14"/>
        </w:numPr>
        <w:tabs>
          <w:tab w:val="left" w:pos="1327"/>
        </w:tabs>
        <w:spacing w:before="172"/>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设计人引起的周期延误</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spacing w:val="-1"/>
          <w:lang w:eastAsia="zh-CN"/>
          <w14:textFill>
            <w14:solidFill>
              <w14:schemeClr w14:val="tx1"/>
            </w14:solidFill>
          </w14:textFill>
        </w:rPr>
        <w:t>由于设计人原因造成周期延误，设计人应支付逾期违约金。逾期违约金的计算</w:t>
      </w:r>
      <w:r>
        <w:rPr>
          <w:rFonts w:hint="eastAsia"/>
          <w:color w:val="000000" w:themeColor="text1"/>
          <w:lang w:eastAsia="zh-CN"/>
          <w14:textFill>
            <w14:solidFill>
              <w14:schemeClr w14:val="tx1"/>
            </w14:solidFill>
          </w14:textFill>
        </w:rPr>
        <w:t>方法和最高限额在专用合同条款中约定。</w:t>
      </w:r>
    </w:p>
    <w:p>
      <w:pPr>
        <w:numPr>
          <w:ilvl w:val="1"/>
          <w:numId w:val="14"/>
        </w:numPr>
        <w:tabs>
          <w:tab w:val="left" w:pos="1327"/>
        </w:tabs>
        <w:ind w:left="1326" w:right="-279" w:rightChars="-127" w:hanging="420"/>
        <w:rPr>
          <w:rFonts w:ascii="Times New Roman" w:eastAsia="Times New Roman"/>
          <w:b/>
          <w:color w:val="000000" w:themeColor="text1"/>
          <w:sz w:val="24"/>
          <w:lang w:eastAsia="zh-CN"/>
          <w14:textFill>
            <w14:solidFill>
              <w14:schemeClr w14:val="tx1"/>
            </w14:solidFill>
          </w14:textFill>
        </w:rPr>
      </w:pPr>
      <w:r>
        <w:rPr>
          <w:rFonts w:hint="eastAsia"/>
          <w:b/>
          <w:color w:val="000000" w:themeColor="text1"/>
          <w:w w:val="95"/>
          <w:sz w:val="24"/>
          <w:lang w:eastAsia="zh-CN"/>
          <w14:textFill>
            <w14:solidFill>
              <w14:schemeClr w14:val="tx1"/>
            </w14:solidFill>
          </w14:textFill>
        </w:rPr>
        <w:t>行政管理部门引起的周期延误</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由于行政管理部门审查延迟原因造成费用增加和（或）周期延误的，由发包人承担。</w:t>
      </w:r>
    </w:p>
    <w:p>
      <w:pPr>
        <w:numPr>
          <w:ilvl w:val="1"/>
          <w:numId w:val="14"/>
        </w:numPr>
        <w:tabs>
          <w:tab w:val="left" w:pos="1327"/>
        </w:tabs>
        <w:spacing w:before="1"/>
        <w:ind w:left="1326" w:right="-279" w:rightChars="-127" w:hanging="420"/>
        <w:rPr>
          <w:rFonts w:ascii="Times New Roman" w:eastAsia="Times New Roman"/>
          <w:b/>
          <w:color w:val="000000" w:themeColor="text1"/>
          <w:sz w:val="24"/>
          <w:lang w:eastAsia="zh-CN"/>
          <w14:textFill>
            <w14:solidFill>
              <w14:schemeClr w14:val="tx1"/>
            </w14:solidFill>
          </w14:textFill>
        </w:rPr>
      </w:pPr>
      <w:r>
        <w:rPr>
          <w:rFonts w:hint="eastAsia"/>
          <w:b/>
          <w:color w:val="000000" w:themeColor="text1"/>
          <w:sz w:val="24"/>
          <w:lang w:eastAsia="zh-CN"/>
          <w14:textFill>
            <w14:solidFill>
              <w14:schemeClr w14:val="tx1"/>
            </w14:solidFill>
          </w14:textFill>
        </w:rPr>
        <w:t>非人为因素引起的周期延误</w:t>
      </w:r>
    </w:p>
    <w:p>
      <w:pPr>
        <w:pStyle w:val="30"/>
        <w:numPr>
          <w:ilvl w:val="2"/>
          <w:numId w:val="14"/>
        </w:numPr>
        <w:tabs>
          <w:tab w:val="left" w:pos="1505"/>
        </w:tabs>
        <w:spacing w:before="172"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由于出现专用合同条款规定的异常恶劣气候条件、不利物质条件等因素导</w:t>
      </w:r>
      <w:r>
        <w:rPr>
          <w:rFonts w:hint="eastAsia"/>
          <w:color w:val="000000" w:themeColor="text1"/>
          <w:sz w:val="24"/>
          <w:lang w:eastAsia="zh-CN"/>
          <w14:textFill>
            <w14:solidFill>
              <w14:schemeClr w14:val="tx1"/>
            </w14:solidFill>
          </w14:textFill>
        </w:rPr>
        <w:t>致周期延误的，设计人有权要求发包人延长周期和（或）增加费用。</w:t>
      </w:r>
    </w:p>
    <w:p>
      <w:pPr>
        <w:pStyle w:val="30"/>
        <w:numPr>
          <w:ilvl w:val="2"/>
          <w:numId w:val="14"/>
        </w:numPr>
        <w:tabs>
          <w:tab w:val="left" w:pos="1505"/>
        </w:tabs>
        <w:spacing w:before="1"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设计人发现地下文物或化石时，应按规定及时报告发包人和文物保护部门，</w:t>
      </w:r>
      <w:r>
        <w:rPr>
          <w:rFonts w:hint="eastAsia"/>
          <w:color w:val="000000" w:themeColor="text1"/>
          <w:sz w:val="24"/>
          <w:lang w:eastAsia="zh-CN"/>
          <w14:textFill>
            <w14:solidFill>
              <w14:schemeClr w14:val="tx1"/>
            </w14:solidFill>
          </w14:textFill>
        </w:rPr>
        <w:t>并采取有效措施进行保护；设计人有权要求发包人延长周期和（或）增加费用。</w:t>
      </w:r>
    </w:p>
    <w:p>
      <w:pPr>
        <w:numPr>
          <w:ilvl w:val="1"/>
          <w:numId w:val="43"/>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完成勘察设计</w:t>
      </w:r>
    </w:p>
    <w:p>
      <w:pPr>
        <w:pStyle w:val="30"/>
        <w:tabs>
          <w:tab w:val="left" w:pos="1505"/>
        </w:tabs>
        <w:spacing w:before="172" w:line="374" w:lineRule="auto"/>
        <w:ind w:left="0" w:right="-279" w:rightChars="-127" w:firstLine="452" w:firstLineChars="200"/>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6.6.1 </w:t>
      </w:r>
      <w:r>
        <w:rPr>
          <w:rFonts w:hint="eastAsia"/>
          <w:color w:val="000000" w:themeColor="text1"/>
          <w:spacing w:val="-7"/>
          <w:sz w:val="24"/>
          <w:lang w:eastAsia="zh-CN"/>
          <w14:textFill>
            <w14:solidFill>
              <w14:schemeClr w14:val="tx1"/>
            </w14:solidFill>
          </w14:textFill>
        </w:rPr>
        <w:t>设计人完成勘察设计服务之后，应根据法律、规范标准、合同约定和发包</w:t>
      </w:r>
      <w:r>
        <w:rPr>
          <w:rFonts w:hint="eastAsia"/>
          <w:color w:val="000000" w:themeColor="text1"/>
          <w:sz w:val="24"/>
          <w:lang w:eastAsia="zh-CN"/>
          <w14:textFill>
            <w14:solidFill>
              <w14:schemeClr w14:val="tx1"/>
            </w14:solidFill>
          </w14:textFill>
        </w:rPr>
        <w:t>人要求编制勘察设计文件。</w:t>
      </w:r>
    </w:p>
    <w:p>
      <w:pPr>
        <w:pStyle w:val="30"/>
        <w:tabs>
          <w:tab w:val="left" w:pos="1505"/>
        </w:tabs>
        <w:spacing w:before="1"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6.6.2 </w:t>
      </w:r>
      <w:r>
        <w:rPr>
          <w:rFonts w:hint="eastAsia"/>
          <w:color w:val="000000" w:themeColor="text1"/>
          <w:spacing w:val="-5"/>
          <w:sz w:val="24"/>
          <w:lang w:eastAsia="zh-CN"/>
          <w14:textFill>
            <w14:solidFill>
              <w14:schemeClr w14:val="tx1"/>
            </w14:solidFill>
          </w14:textFill>
        </w:rPr>
        <w:t>勘察设计文件是工程勘察设计的最终成果和施工的重要依据，应根据本工</w:t>
      </w:r>
      <w:r>
        <w:rPr>
          <w:rFonts w:hint="eastAsia"/>
          <w:color w:val="000000" w:themeColor="text1"/>
          <w:sz w:val="24"/>
          <w:lang w:eastAsia="zh-CN"/>
          <w14:textFill>
            <w14:solidFill>
              <w14:schemeClr w14:val="tx1"/>
            </w14:solidFill>
          </w14:textFill>
        </w:rPr>
        <w:t>程的勘察设计内容和不同阶段的勘察设计任务、目的和要求等进行编制。勘察设计文件的内容和深度应满足对应阶段的规范要求。</w:t>
      </w:r>
    </w:p>
    <w:p>
      <w:pPr>
        <w:pStyle w:val="30"/>
        <w:tabs>
          <w:tab w:val="left" w:pos="1505"/>
        </w:tabs>
        <w:spacing w:before="1" w:line="360" w:lineRule="auto"/>
        <w:ind w:left="0" w:right="-279" w:rightChars="-127" w:firstLine="452" w:firstLineChars="200"/>
        <w:jc w:val="both"/>
        <w:rPr>
          <w:color w:val="000000" w:themeColor="text1"/>
          <w:lang w:eastAsia="zh-CN"/>
          <w14:textFill>
            <w14:solidFill>
              <w14:schemeClr w14:val="tx1"/>
            </w14:solidFill>
          </w14:textFill>
        </w:rPr>
      </w:pPr>
      <w:r>
        <w:rPr>
          <w:color w:val="000000" w:themeColor="text1"/>
          <w:spacing w:val="-7"/>
          <w:sz w:val="24"/>
          <w:lang w:eastAsia="zh-CN"/>
          <w14:textFill>
            <w14:solidFill>
              <w14:schemeClr w14:val="tx1"/>
            </w14:solidFill>
          </w14:textFill>
        </w:rPr>
        <w:t>6.6.3 除专用合同条款另有约定外，勘察设计文件包括纸质文件和电子文件两种形式，两者若有不一致时，应以纸质文件为准。纸质文件一式八份，应加盖单位章和项目负责人注册执业印章；电子文件中的文字为 WORD 格式、图形为 CAD 格式，并应使用光盘和 U 盘分别贮存。</w:t>
      </w:r>
    </w:p>
    <w:p>
      <w:pPr>
        <w:numPr>
          <w:ilvl w:val="1"/>
          <w:numId w:val="44"/>
        </w:numPr>
        <w:tabs>
          <w:tab w:val="left" w:pos="1327"/>
        </w:tabs>
        <w:spacing w:before="173"/>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提前完成勘察设计</w:t>
      </w:r>
    </w:p>
    <w:p>
      <w:pPr>
        <w:pStyle w:val="30"/>
        <w:tabs>
          <w:tab w:val="left" w:pos="1505"/>
        </w:tabs>
        <w:spacing w:before="172"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6.7.1 </w:t>
      </w:r>
      <w:r>
        <w:rPr>
          <w:rFonts w:hint="eastAsia"/>
          <w:color w:val="000000" w:themeColor="text1"/>
          <w:spacing w:val="-6"/>
          <w:sz w:val="24"/>
          <w:lang w:eastAsia="zh-CN"/>
          <w14:textFill>
            <w14:solidFill>
              <w14:schemeClr w14:val="tx1"/>
            </w14:solidFill>
          </w14:textFill>
        </w:rPr>
        <w:t>根据发包人要求或者基于专业能力判断，设计人认为能够提前完成勘察设</w:t>
      </w:r>
      <w:r>
        <w:rPr>
          <w:rFonts w:hint="eastAsia"/>
          <w:color w:val="000000" w:themeColor="text1"/>
          <w:sz w:val="24"/>
          <w:lang w:eastAsia="zh-CN"/>
          <w14:textFill>
            <w14:solidFill>
              <w14:schemeClr w14:val="tx1"/>
            </w14:solidFill>
          </w14:textFill>
        </w:rPr>
        <w:t>计的，可向发包人递交一份提前完成勘察设计建议书，包括实施方案、提前时间、勘察设计费用变动等内容。除专用合同条款另有约定之外，发包人接受建议书的，不因提前完成勘察设计而减少勘察设计费用；增加勘察设计费用的，所增费用由发包人承担。</w:t>
      </w:r>
    </w:p>
    <w:p>
      <w:pPr>
        <w:pStyle w:val="30"/>
        <w:tabs>
          <w:tab w:val="left" w:pos="1505"/>
        </w:tabs>
        <w:spacing w:before="3"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6.7.2 </w:t>
      </w:r>
      <w:r>
        <w:rPr>
          <w:rFonts w:hint="eastAsia"/>
          <w:color w:val="000000" w:themeColor="text1"/>
          <w:spacing w:val="-5"/>
          <w:sz w:val="24"/>
          <w:lang w:eastAsia="zh-CN"/>
          <w14:textFill>
            <w14:solidFill>
              <w14:schemeClr w14:val="tx1"/>
            </w14:solidFill>
          </w14:textFill>
        </w:rPr>
        <w:t>发包人要求提前完成勘察设计但设计人认为无法实施的，应在收到发包人书面指示后</w:t>
      </w:r>
      <w:r>
        <w:rPr>
          <w:rFonts w:ascii="Times New Roman" w:eastAsia="Times New Roman"/>
          <w:color w:val="000000" w:themeColor="text1"/>
          <w:sz w:val="24"/>
          <w:lang w:eastAsia="zh-CN"/>
          <w14:textFill>
            <w14:solidFill>
              <w14:schemeClr w14:val="tx1"/>
            </w14:solidFill>
          </w14:textFill>
        </w:rPr>
        <w:t>7</w:t>
      </w:r>
      <w:r>
        <w:rPr>
          <w:rFonts w:hint="eastAsia"/>
          <w:color w:val="000000" w:themeColor="text1"/>
          <w:spacing w:val="-1"/>
          <w:sz w:val="24"/>
          <w:lang w:eastAsia="zh-CN"/>
          <w14:textFill>
            <w14:solidFill>
              <w14:schemeClr w14:val="tx1"/>
            </w14:solidFill>
          </w14:textFill>
        </w:rPr>
        <w:t>天内提出异议，说明不能提前完成的理由。发包人应在收到异议后</w:t>
      </w:r>
      <w:r>
        <w:rPr>
          <w:rFonts w:ascii="Times New Roman" w:eastAsia="Times New Roman"/>
          <w:color w:val="000000" w:themeColor="text1"/>
          <w:spacing w:val="-15"/>
          <w:sz w:val="24"/>
          <w:lang w:eastAsia="zh-CN"/>
          <w14:textFill>
            <w14:solidFill>
              <w14:schemeClr w14:val="tx1"/>
            </w14:solidFill>
          </w14:textFill>
        </w:rPr>
        <w:t xml:space="preserve">7 </w:t>
      </w:r>
      <w:r>
        <w:rPr>
          <w:rFonts w:hint="eastAsia"/>
          <w:color w:val="000000" w:themeColor="text1"/>
          <w:sz w:val="24"/>
          <w:lang w:eastAsia="zh-CN"/>
          <w14:textFill>
            <w14:solidFill>
              <w14:schemeClr w14:val="tx1"/>
            </w14:solidFill>
          </w14:textFill>
        </w:rPr>
        <w:t>天内予以答复。任何情况下，发包人不得压缩合理的勘察设计服务期限。</w:t>
      </w:r>
    </w:p>
    <w:p>
      <w:pPr>
        <w:pStyle w:val="30"/>
        <w:tabs>
          <w:tab w:val="left" w:pos="1505"/>
        </w:tabs>
        <w:spacing w:line="374" w:lineRule="auto"/>
        <w:ind w:left="0" w:right="-279" w:rightChars="-127" w:firstLine="456" w:firstLineChars="200"/>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6.7.3 </w:t>
      </w:r>
      <w:r>
        <w:rPr>
          <w:rFonts w:hint="eastAsia"/>
          <w:color w:val="000000" w:themeColor="text1"/>
          <w:spacing w:val="-5"/>
          <w:sz w:val="24"/>
          <w:lang w:eastAsia="zh-CN"/>
          <w14:textFill>
            <w14:solidFill>
              <w14:schemeClr w14:val="tx1"/>
            </w14:solidFill>
          </w14:textFill>
        </w:rPr>
        <w:t>由于设计人提前完成勘察设计而给发包人带来经济效益的，发包人可以在</w:t>
      </w:r>
      <w:r>
        <w:rPr>
          <w:rFonts w:hint="eastAsia"/>
          <w:color w:val="000000" w:themeColor="text1"/>
          <w:sz w:val="24"/>
          <w:lang w:eastAsia="zh-CN"/>
          <w14:textFill>
            <w14:solidFill>
              <w14:schemeClr w14:val="tx1"/>
            </w14:solidFill>
          </w14:textFill>
        </w:rPr>
        <w:t>专用合同条款中约定设计人因此获得的奖励内容。</w:t>
      </w:r>
    </w:p>
    <w:p>
      <w:pPr>
        <w:numPr>
          <w:ilvl w:val="0"/>
          <w:numId w:val="14"/>
        </w:numPr>
        <w:tabs>
          <w:tab w:val="left" w:pos="773"/>
        </w:tabs>
        <w:spacing w:before="98"/>
        <w:ind w:right="-279" w:rightChars="-127"/>
        <w:rPr>
          <w:rFonts w:ascii="黑体" w:eastAsia="黑体"/>
          <w:b/>
          <w:color w:val="000000" w:themeColor="text1"/>
          <w:sz w:val="28"/>
          <w14:textFill>
            <w14:solidFill>
              <w14:schemeClr w14:val="tx1"/>
            </w14:solidFill>
          </w14:textFill>
        </w:rPr>
      </w:pPr>
      <w:bookmarkStart w:id="24" w:name="_bookmark116"/>
      <w:bookmarkEnd w:id="24"/>
      <w:r>
        <w:rPr>
          <w:rFonts w:hint="eastAsia" w:ascii="黑体" w:eastAsia="黑体"/>
          <w:b/>
          <w:color w:val="000000" w:themeColor="text1"/>
          <w:sz w:val="28"/>
          <w14:textFill>
            <w14:solidFill>
              <w14:schemeClr w14:val="tx1"/>
            </w14:solidFill>
          </w14:textFill>
        </w:rPr>
        <w:t>暂停勘察设计</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lang w:eastAsia="zh-CN"/>
          <w14:textFill>
            <w14:solidFill>
              <w14:schemeClr w14:val="tx1"/>
            </w14:solidFill>
          </w14:textFill>
        </w:rPr>
      </w:pPr>
      <w:r>
        <w:rPr>
          <w:rFonts w:hint="eastAsia"/>
          <w:b/>
          <w:color w:val="000000" w:themeColor="text1"/>
          <w:sz w:val="24"/>
          <w:lang w:eastAsia="zh-CN"/>
          <w14:textFill>
            <w14:solidFill>
              <w14:schemeClr w14:val="tx1"/>
            </w14:solidFill>
          </w14:textFill>
        </w:rPr>
        <w:t>发包人原因暂停勘察设计</w:t>
      </w:r>
    </w:p>
    <w:p>
      <w:pPr>
        <w:pStyle w:val="4"/>
        <w:spacing w:before="172"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合同履行中发生下列情形之一的，设计人可向发包人发出通知，要求发包人采</w:t>
      </w:r>
      <w:r>
        <w:rPr>
          <w:rFonts w:hint="eastAsia"/>
          <w:color w:val="000000" w:themeColor="text1"/>
          <w:spacing w:val="-8"/>
          <w:lang w:eastAsia="zh-CN"/>
          <w14:textFill>
            <w14:solidFill>
              <w14:schemeClr w14:val="tx1"/>
            </w14:solidFill>
          </w14:textFill>
        </w:rPr>
        <w:t>取有效措施予以纠正。发包人收到设计人通知后的</w:t>
      </w:r>
      <w:r>
        <w:rPr>
          <w:rFonts w:ascii="Times New Roman" w:eastAsia="Times New Roman"/>
          <w:color w:val="000000" w:themeColor="text1"/>
          <w:lang w:eastAsia="zh-CN"/>
          <w14:textFill>
            <w14:solidFill>
              <w14:schemeClr w14:val="tx1"/>
            </w14:solidFill>
          </w14:textFill>
        </w:rPr>
        <w:t xml:space="preserve">28 </w:t>
      </w:r>
      <w:r>
        <w:rPr>
          <w:rFonts w:hint="eastAsia"/>
          <w:color w:val="000000" w:themeColor="text1"/>
          <w:spacing w:val="-5"/>
          <w:lang w:eastAsia="zh-CN"/>
          <w14:textFill>
            <w14:solidFill>
              <w14:schemeClr w14:val="tx1"/>
            </w14:solidFill>
          </w14:textFill>
        </w:rPr>
        <w:t>天内仍不履行合同义务时，设</w:t>
      </w:r>
      <w:r>
        <w:rPr>
          <w:rFonts w:hint="eastAsia"/>
          <w:color w:val="000000" w:themeColor="text1"/>
          <w:lang w:eastAsia="zh-CN"/>
          <w14:textFill>
            <w14:solidFill>
              <w14:schemeClr w14:val="tx1"/>
            </w14:solidFill>
          </w14:textFill>
        </w:rPr>
        <w:t>计人有权暂停勘察设计并通知发包人；发包人应承担由此导致的费用增加和（或）周期延误。</w:t>
      </w:r>
    </w:p>
    <w:p>
      <w:pPr>
        <w:pStyle w:val="30"/>
        <w:numPr>
          <w:ilvl w:val="0"/>
          <w:numId w:val="45"/>
        </w:numPr>
        <w:tabs>
          <w:tab w:val="left" w:pos="1506"/>
        </w:tabs>
        <w:spacing w:before="2"/>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发包人违约；</w:t>
      </w:r>
    </w:p>
    <w:p>
      <w:pPr>
        <w:pStyle w:val="30"/>
        <w:numPr>
          <w:ilvl w:val="0"/>
          <w:numId w:val="45"/>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发包人确定暂停勘察设计；</w:t>
      </w:r>
    </w:p>
    <w:p>
      <w:pPr>
        <w:pStyle w:val="30"/>
        <w:numPr>
          <w:ilvl w:val="0"/>
          <w:numId w:val="45"/>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合同约定由发包人承担责任的其他情形。</w:t>
      </w:r>
    </w:p>
    <w:p>
      <w:pPr>
        <w:numPr>
          <w:ilvl w:val="1"/>
          <w:numId w:val="14"/>
        </w:numPr>
        <w:tabs>
          <w:tab w:val="left" w:pos="1327"/>
        </w:tabs>
        <w:spacing w:before="173"/>
        <w:ind w:left="1326" w:right="-279" w:rightChars="-127" w:hanging="420"/>
        <w:rPr>
          <w:rFonts w:ascii="Times New Roman" w:eastAsia="Times New Roman"/>
          <w:b/>
          <w:color w:val="000000" w:themeColor="text1"/>
          <w:sz w:val="24"/>
          <w:lang w:eastAsia="zh-CN"/>
          <w14:textFill>
            <w14:solidFill>
              <w14:schemeClr w14:val="tx1"/>
            </w14:solidFill>
          </w14:textFill>
        </w:rPr>
      </w:pPr>
      <w:r>
        <w:rPr>
          <w:rFonts w:hint="eastAsia"/>
          <w:b/>
          <w:color w:val="000000" w:themeColor="text1"/>
          <w:sz w:val="24"/>
          <w:lang w:eastAsia="zh-CN"/>
          <w14:textFill>
            <w14:solidFill>
              <w14:schemeClr w14:val="tx1"/>
            </w14:solidFill>
          </w14:textFill>
        </w:rPr>
        <w:t>设计人原因暂停勘察设计</w:t>
      </w:r>
    </w:p>
    <w:p>
      <w:pPr>
        <w:pStyle w:val="4"/>
        <w:spacing w:before="172"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合同履行中发生下列情形之一的，发包人可向设计人发出通知暂停勘察设计，由此造成费用的增加和（或）周期延误由设计人承担：</w:t>
      </w:r>
    </w:p>
    <w:p>
      <w:pPr>
        <w:pStyle w:val="30"/>
        <w:numPr>
          <w:ilvl w:val="0"/>
          <w:numId w:val="46"/>
        </w:numPr>
        <w:tabs>
          <w:tab w:val="left" w:pos="1506"/>
        </w:tabs>
        <w:spacing w:before="1"/>
        <w:ind w:right="-279" w:rightChars="-12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设计人违约；</w:t>
      </w:r>
    </w:p>
    <w:p>
      <w:pPr>
        <w:pStyle w:val="30"/>
        <w:numPr>
          <w:ilvl w:val="0"/>
          <w:numId w:val="46"/>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设计人擅自暂停勘察设计；</w:t>
      </w:r>
    </w:p>
    <w:p>
      <w:pPr>
        <w:pStyle w:val="30"/>
        <w:numPr>
          <w:ilvl w:val="0"/>
          <w:numId w:val="46"/>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合同约定由设计人承担责任的其他情形。</w:t>
      </w:r>
    </w:p>
    <w:p>
      <w:pPr>
        <w:pStyle w:val="4"/>
        <w:spacing w:before="11"/>
        <w:ind w:right="-279" w:rightChars="-127"/>
        <w:rPr>
          <w:color w:val="000000" w:themeColor="text1"/>
          <w:sz w:val="13"/>
          <w:lang w:eastAsia="zh-CN"/>
          <w14:textFill>
            <w14:solidFill>
              <w14:schemeClr w14:val="tx1"/>
            </w14:solidFill>
          </w14:textFill>
        </w:rPr>
      </w:pPr>
    </w:p>
    <w:p>
      <w:pPr>
        <w:numPr>
          <w:ilvl w:val="1"/>
          <w:numId w:val="14"/>
        </w:numPr>
        <w:tabs>
          <w:tab w:val="left" w:pos="1327"/>
        </w:tabs>
        <w:spacing w:before="74"/>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暂停期间的文件照管</w:t>
      </w:r>
    </w:p>
    <w:p>
      <w:pPr>
        <w:pStyle w:val="4"/>
        <w:spacing w:before="173"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不论由于何种原因引起暂停勘察设计的，暂停期间设计人应负责妥善保护已完部分的勘察设计文件，由此增加的费用由责任方承担。</w:t>
      </w:r>
    </w:p>
    <w:p>
      <w:pPr>
        <w:numPr>
          <w:ilvl w:val="0"/>
          <w:numId w:val="14"/>
        </w:numPr>
        <w:tabs>
          <w:tab w:val="left" w:pos="773"/>
        </w:tabs>
        <w:spacing w:before="97"/>
        <w:ind w:right="-279" w:rightChars="-127"/>
        <w:rPr>
          <w:rFonts w:ascii="黑体" w:eastAsia="黑体"/>
          <w:b/>
          <w:color w:val="000000" w:themeColor="text1"/>
          <w:sz w:val="28"/>
          <w14:textFill>
            <w14:solidFill>
              <w14:schemeClr w14:val="tx1"/>
            </w14:solidFill>
          </w14:textFill>
        </w:rPr>
      </w:pPr>
      <w:bookmarkStart w:id="25" w:name="_bookmark117"/>
      <w:bookmarkEnd w:id="25"/>
      <w:r>
        <w:rPr>
          <w:rFonts w:hint="eastAsia" w:ascii="黑体" w:eastAsia="黑体"/>
          <w:b/>
          <w:color w:val="000000" w:themeColor="text1"/>
          <w:sz w:val="28"/>
          <w14:textFill>
            <w14:solidFill>
              <w14:schemeClr w14:val="tx1"/>
            </w14:solidFill>
          </w14:textFill>
        </w:rPr>
        <w:t>勘察设计文件</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w w:val="95"/>
          <w:sz w:val="24"/>
          <w14:textFill>
            <w14:solidFill>
              <w14:schemeClr w14:val="tx1"/>
            </w14:solidFill>
          </w14:textFill>
        </w:rPr>
        <w:t>勘察设计文件接收</w:t>
      </w:r>
    </w:p>
    <w:p>
      <w:pPr>
        <w:pStyle w:val="30"/>
        <w:numPr>
          <w:ilvl w:val="2"/>
          <w:numId w:val="14"/>
        </w:numPr>
        <w:tabs>
          <w:tab w:val="left" w:pos="1505"/>
        </w:tabs>
        <w:spacing w:before="173"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发包人应及时接收设计人提交的勘察设计文件。如无正当理由拒收的，视</w:t>
      </w:r>
      <w:r>
        <w:rPr>
          <w:rFonts w:hint="eastAsia"/>
          <w:color w:val="000000" w:themeColor="text1"/>
          <w:sz w:val="24"/>
          <w:lang w:eastAsia="zh-CN"/>
          <w14:textFill>
            <w14:solidFill>
              <w14:schemeClr w14:val="tx1"/>
            </w14:solidFill>
          </w14:textFill>
        </w:rPr>
        <w:t>为发包人已经接收勘察设计文件。</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发包人接收勘察设计文件时，应向设计人出具文件签收凭证，凭证内容包</w:t>
      </w:r>
      <w:r>
        <w:rPr>
          <w:rFonts w:hint="eastAsia"/>
          <w:color w:val="000000" w:themeColor="text1"/>
          <w:sz w:val="24"/>
          <w:lang w:eastAsia="zh-CN"/>
          <w14:textFill>
            <w14:solidFill>
              <w14:schemeClr w14:val="tx1"/>
            </w14:solidFill>
          </w14:textFill>
        </w:rPr>
        <w:t>括文件名称、文件内容、文件形式、份数、提交和接收日期、提交人与接收人的亲笔签名等。</w:t>
      </w:r>
    </w:p>
    <w:p>
      <w:pPr>
        <w:pStyle w:val="30"/>
        <w:numPr>
          <w:ilvl w:val="2"/>
          <w:numId w:val="14"/>
        </w:numPr>
        <w:tabs>
          <w:tab w:val="left" w:pos="1505"/>
        </w:tabs>
        <w:spacing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8"/>
          <w:sz w:val="24"/>
          <w:lang w:eastAsia="zh-CN"/>
          <w14:textFill>
            <w14:solidFill>
              <w14:schemeClr w14:val="tx1"/>
            </w14:solidFill>
          </w14:textFill>
        </w:rPr>
        <w:t>勘察设计文件提交的份数、内容、纸幅、装订格式、电子文件、展板、模</w:t>
      </w:r>
      <w:r>
        <w:rPr>
          <w:rFonts w:hint="eastAsia"/>
          <w:color w:val="000000" w:themeColor="text1"/>
          <w:sz w:val="24"/>
          <w:lang w:eastAsia="zh-CN"/>
          <w14:textFill>
            <w14:solidFill>
              <w14:schemeClr w14:val="tx1"/>
            </w14:solidFill>
          </w14:textFill>
        </w:rPr>
        <w:t>型、沙盘、动画等要求，在专用合同条款中约定。</w:t>
      </w:r>
    </w:p>
    <w:p>
      <w:pPr>
        <w:numPr>
          <w:ilvl w:val="1"/>
          <w:numId w:val="47"/>
        </w:numPr>
        <w:tabs>
          <w:tab w:val="left" w:pos="1327"/>
        </w:tabs>
        <w:spacing w:before="1"/>
        <w:ind w:right="-279" w:rightChars="-127"/>
        <w:rPr>
          <w:b/>
          <w:color w:val="000000" w:themeColor="text1"/>
          <w:sz w:val="24"/>
          <w:lang w:eastAsia="zh-CN"/>
          <w14:textFill>
            <w14:solidFill>
              <w14:schemeClr w14:val="tx1"/>
            </w14:solidFill>
          </w14:textFill>
        </w:rPr>
      </w:pPr>
      <w:r>
        <w:rPr>
          <w:rFonts w:hint="eastAsia"/>
          <w:b/>
          <w:color w:val="000000" w:themeColor="text1"/>
          <w:w w:val="95"/>
          <w:sz w:val="24"/>
          <w:lang w:eastAsia="zh-CN"/>
          <w14:textFill>
            <w14:solidFill>
              <w14:schemeClr w14:val="tx1"/>
            </w14:solidFill>
          </w14:textFill>
        </w:rPr>
        <w:t>发包人审查勘察设计文件</w:t>
      </w:r>
    </w:p>
    <w:p>
      <w:pPr>
        <w:pStyle w:val="30"/>
        <w:tabs>
          <w:tab w:val="left" w:pos="1505"/>
        </w:tabs>
        <w:spacing w:before="173"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8.2.1 </w:t>
      </w:r>
      <w:r>
        <w:rPr>
          <w:rFonts w:hint="eastAsia"/>
          <w:color w:val="000000" w:themeColor="text1"/>
          <w:spacing w:val="-7"/>
          <w:sz w:val="24"/>
          <w:lang w:eastAsia="zh-CN"/>
          <w14:textFill>
            <w14:solidFill>
              <w14:schemeClr w14:val="tx1"/>
            </w14:solidFill>
          </w14:textFill>
        </w:rPr>
        <w:t>发包人接收勘察设计文件之后，可以自行或者组织专家会进行审查，设计</w:t>
      </w:r>
      <w:r>
        <w:rPr>
          <w:rFonts w:hint="eastAsia"/>
          <w:color w:val="000000" w:themeColor="text1"/>
          <w:sz w:val="24"/>
          <w:lang w:eastAsia="zh-CN"/>
          <w14:textFill>
            <w14:solidFill>
              <w14:schemeClr w14:val="tx1"/>
            </w14:solidFill>
          </w14:textFill>
        </w:rPr>
        <w:t>人应给予配合。审查标准应符合法律、规范标准、合同约定和发包人要求等；审查的具体范围、明细内容和费用分担原则，在专用合同条款中约定。</w:t>
      </w:r>
    </w:p>
    <w:p>
      <w:pPr>
        <w:pStyle w:val="30"/>
        <w:tabs>
          <w:tab w:val="left" w:pos="1505"/>
        </w:tabs>
        <w:spacing w:before="1"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8.2.2 </w:t>
      </w:r>
      <w:r>
        <w:rPr>
          <w:rFonts w:hint="eastAsia"/>
          <w:color w:val="000000" w:themeColor="text1"/>
          <w:spacing w:val="-7"/>
          <w:sz w:val="24"/>
          <w:lang w:eastAsia="zh-CN"/>
          <w14:textFill>
            <w14:solidFill>
              <w14:schemeClr w14:val="tx1"/>
            </w14:solidFill>
          </w14:textFill>
        </w:rPr>
        <w:t>除专用合同条款另有约定外，发包人对于勘察设计文件的审查期限，自文</w:t>
      </w:r>
      <w:r>
        <w:rPr>
          <w:rFonts w:hint="eastAsia"/>
          <w:color w:val="000000" w:themeColor="text1"/>
          <w:spacing w:val="-6"/>
          <w:sz w:val="24"/>
          <w:lang w:eastAsia="zh-CN"/>
          <w14:textFill>
            <w14:solidFill>
              <w14:schemeClr w14:val="tx1"/>
            </w14:solidFill>
          </w14:textFill>
        </w:rPr>
        <w:t>件接收之日起不应超过</w:t>
      </w:r>
      <w:r>
        <w:rPr>
          <w:rFonts w:ascii="Times New Roman" w:eastAsia="Times New Roman"/>
          <w:color w:val="000000" w:themeColor="text1"/>
          <w:sz w:val="24"/>
          <w:lang w:eastAsia="zh-CN"/>
          <w14:textFill>
            <w14:solidFill>
              <w14:schemeClr w14:val="tx1"/>
            </w14:solidFill>
          </w14:textFill>
        </w:rPr>
        <w:t xml:space="preserve">14 </w:t>
      </w:r>
      <w:r>
        <w:rPr>
          <w:rFonts w:hint="eastAsia"/>
          <w:color w:val="000000" w:themeColor="text1"/>
          <w:spacing w:val="-10"/>
          <w:sz w:val="24"/>
          <w:lang w:eastAsia="zh-CN"/>
          <w14:textFill>
            <w14:solidFill>
              <w14:schemeClr w14:val="tx1"/>
            </w14:solidFill>
          </w14:textFill>
        </w:rPr>
        <w:t>天。发包人逾期未作出审查结论且未提出异议的，视为设</w:t>
      </w:r>
      <w:r>
        <w:rPr>
          <w:rFonts w:hint="eastAsia"/>
          <w:color w:val="000000" w:themeColor="text1"/>
          <w:sz w:val="24"/>
          <w:lang w:eastAsia="zh-CN"/>
          <w14:textFill>
            <w14:solidFill>
              <w14:schemeClr w14:val="tx1"/>
            </w14:solidFill>
          </w14:textFill>
        </w:rPr>
        <w:t>计人的勘察设计文件已经通过发包人审查。</w:t>
      </w:r>
    </w:p>
    <w:p>
      <w:pPr>
        <w:pStyle w:val="30"/>
        <w:tabs>
          <w:tab w:val="left" w:pos="1505"/>
        </w:tabs>
        <w:spacing w:before="1"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8.2.3 </w:t>
      </w:r>
      <w:r>
        <w:rPr>
          <w:rFonts w:hint="eastAsia"/>
          <w:color w:val="000000" w:themeColor="text1"/>
          <w:spacing w:val="-6"/>
          <w:sz w:val="24"/>
          <w:lang w:eastAsia="zh-CN"/>
          <w14:textFill>
            <w14:solidFill>
              <w14:schemeClr w14:val="tx1"/>
            </w14:solidFill>
          </w14:textFill>
        </w:rPr>
        <w:t>发包人审查后不同意勘察设计文件的，应以书面形式通知设计人，说明审</w:t>
      </w:r>
      <w:r>
        <w:rPr>
          <w:rFonts w:hint="eastAsia"/>
          <w:color w:val="000000" w:themeColor="text1"/>
          <w:spacing w:val="-1"/>
          <w:sz w:val="24"/>
          <w:lang w:eastAsia="zh-CN"/>
          <w14:textFill>
            <w14:solidFill>
              <w14:schemeClr w14:val="tx1"/>
            </w14:solidFill>
          </w14:textFill>
        </w:rPr>
        <w:t>查不通过的理由及其具体内容。设计人应根据发包人的审查意见修改完善勘察设计</w:t>
      </w:r>
      <w:r>
        <w:rPr>
          <w:rFonts w:hint="eastAsia"/>
          <w:color w:val="000000" w:themeColor="text1"/>
          <w:sz w:val="24"/>
          <w:lang w:eastAsia="zh-CN"/>
          <w14:textFill>
            <w14:solidFill>
              <w14:schemeClr w14:val="tx1"/>
            </w14:solidFill>
          </w14:textFill>
        </w:rPr>
        <w:t>文件，并重新报送发包人审查，审查期限重新起算。</w:t>
      </w:r>
    </w:p>
    <w:p>
      <w:pPr>
        <w:numPr>
          <w:ilvl w:val="1"/>
          <w:numId w:val="48"/>
        </w:numPr>
        <w:tabs>
          <w:tab w:val="left" w:pos="1327"/>
        </w:tabs>
        <w:spacing w:before="1"/>
        <w:ind w:right="-279" w:rightChars="-127"/>
        <w:rPr>
          <w:b/>
          <w:color w:val="000000" w:themeColor="text1"/>
          <w:sz w:val="24"/>
          <w:lang w:eastAsia="zh-CN"/>
          <w14:textFill>
            <w14:solidFill>
              <w14:schemeClr w14:val="tx1"/>
            </w14:solidFill>
          </w14:textFill>
        </w:rPr>
      </w:pPr>
      <w:r>
        <w:rPr>
          <w:rFonts w:hint="eastAsia"/>
          <w:b/>
          <w:color w:val="000000" w:themeColor="text1"/>
          <w:sz w:val="24"/>
          <w:lang w:eastAsia="zh-CN"/>
          <w14:textFill>
            <w14:solidFill>
              <w14:schemeClr w14:val="tx1"/>
            </w14:solidFill>
          </w14:textFill>
        </w:rPr>
        <w:t>审查机构审查勘察设计文件</w:t>
      </w:r>
    </w:p>
    <w:p>
      <w:pPr>
        <w:pStyle w:val="30"/>
        <w:numPr>
          <w:ilvl w:val="2"/>
          <w:numId w:val="48"/>
        </w:numPr>
        <w:tabs>
          <w:tab w:val="left" w:pos="1505"/>
        </w:tabs>
        <w:spacing w:before="173"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勘察设计文件需经政府有关部门审查或批准的，发包人应在审查同意后，</w:t>
      </w:r>
      <w:r>
        <w:rPr>
          <w:rFonts w:hint="eastAsia"/>
          <w:color w:val="000000" w:themeColor="text1"/>
          <w:sz w:val="24"/>
          <w:lang w:eastAsia="zh-CN"/>
          <w14:textFill>
            <w14:solidFill>
              <w14:schemeClr w14:val="tx1"/>
            </w14:solidFill>
          </w14:textFill>
        </w:rPr>
        <w:t>按照有关主管部门要求，将勘察设计文件和相关资料报送审查机构进行审查。发包人的审查和审查机构的审查不减免设计人因为质量问题而应承担的勘察设计责任。</w:t>
      </w:r>
    </w:p>
    <w:p>
      <w:pPr>
        <w:pStyle w:val="30"/>
        <w:numPr>
          <w:ilvl w:val="2"/>
          <w:numId w:val="48"/>
        </w:numPr>
        <w:tabs>
          <w:tab w:val="left" w:pos="1505"/>
        </w:tabs>
        <w:spacing w:line="374" w:lineRule="auto"/>
        <w:ind w:right="-279" w:rightChars="-127" w:firstLine="480"/>
        <w:jc w:val="both"/>
        <w:rPr>
          <w:color w:val="000000" w:themeColor="text1"/>
          <w:lang w:eastAsia="zh-CN"/>
          <w14:textFill>
            <w14:solidFill>
              <w14:schemeClr w14:val="tx1"/>
            </w14:solidFill>
          </w14:textFill>
        </w:rPr>
      </w:pPr>
      <w:r>
        <w:rPr>
          <w:rFonts w:hint="eastAsia" w:ascii="宋体" w:hAnsi="宋体" w:eastAsia="宋体" w:cs="宋体"/>
          <w:color w:val="000000" w:themeColor="text1"/>
          <w:spacing w:val="-6"/>
          <w:sz w:val="24"/>
          <w:lang w:eastAsia="zh-CN"/>
          <w14:textFill>
            <w14:solidFill>
              <w14:schemeClr w14:val="tx1"/>
            </w14:solidFill>
          </w14:textFill>
        </w:rPr>
        <w:t>对于审查机构的审查意见，如不需要修改发包人要求的，应由设计人按照</w:t>
      </w:r>
      <w:r>
        <w:rPr>
          <w:rFonts w:hint="eastAsia"/>
          <w:color w:val="000000" w:themeColor="text1"/>
          <w:lang w:eastAsia="zh-CN"/>
          <w14:textFill>
            <w14:solidFill>
              <w14:schemeClr w14:val="tx1"/>
            </w14:solidFill>
          </w14:textFill>
        </w:rPr>
        <w:t>审查意见修改完善勘察设计文件；如需修改发包人要求的，则由发包人重新修改和提出发包人要求，再由设计人根据新的发包人要求修改完善勘察设计文件。</w:t>
      </w:r>
    </w:p>
    <w:p>
      <w:pPr>
        <w:pStyle w:val="30"/>
        <w:numPr>
          <w:ilvl w:val="2"/>
          <w:numId w:val="48"/>
        </w:numPr>
        <w:tabs>
          <w:tab w:val="left" w:pos="1505"/>
        </w:tabs>
        <w:spacing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由于自身原因造成勘察设计文件未通过审查机构审查的，设计人应承担违</w:t>
      </w:r>
      <w:r>
        <w:rPr>
          <w:rFonts w:hint="eastAsia"/>
          <w:color w:val="000000" w:themeColor="text1"/>
          <w:sz w:val="24"/>
          <w:lang w:eastAsia="zh-CN"/>
          <w14:textFill>
            <w14:solidFill>
              <w14:schemeClr w14:val="tx1"/>
            </w14:solidFill>
          </w14:textFill>
        </w:rPr>
        <w:t>约责任，采取补救措施直至达到合同约定的质量标准，并自行承担由此导致的费用增加和（或）周期延误。</w:t>
      </w:r>
    </w:p>
    <w:p>
      <w:pPr>
        <w:numPr>
          <w:ilvl w:val="0"/>
          <w:numId w:val="14"/>
        </w:numPr>
        <w:tabs>
          <w:tab w:val="left" w:pos="773"/>
        </w:tabs>
        <w:spacing w:before="98"/>
        <w:ind w:right="-279" w:rightChars="-127"/>
        <w:rPr>
          <w:rFonts w:ascii="黑体" w:eastAsia="黑体"/>
          <w:b/>
          <w:color w:val="000000" w:themeColor="text1"/>
          <w:sz w:val="28"/>
          <w14:textFill>
            <w14:solidFill>
              <w14:schemeClr w14:val="tx1"/>
            </w14:solidFill>
          </w14:textFill>
        </w:rPr>
      </w:pPr>
      <w:bookmarkStart w:id="26" w:name="_bookmark118"/>
      <w:bookmarkEnd w:id="26"/>
      <w:r>
        <w:rPr>
          <w:rFonts w:hint="eastAsia" w:ascii="黑体" w:eastAsia="黑体"/>
          <w:b/>
          <w:color w:val="000000" w:themeColor="text1"/>
          <w:sz w:val="28"/>
          <w14:textFill>
            <w14:solidFill>
              <w14:schemeClr w14:val="tx1"/>
            </w14:solidFill>
          </w14:textFill>
        </w:rPr>
        <w:t>勘察设计责任与保险</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327"/>
        </w:tabs>
        <w:ind w:left="1326" w:right="-279" w:rightChars="-127" w:hanging="420"/>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工作质量责任</w:t>
      </w:r>
    </w:p>
    <w:p>
      <w:pPr>
        <w:pStyle w:val="30"/>
        <w:numPr>
          <w:ilvl w:val="2"/>
          <w:numId w:val="14"/>
        </w:numPr>
        <w:tabs>
          <w:tab w:val="left" w:pos="1505"/>
        </w:tabs>
        <w:spacing w:before="173"/>
        <w:ind w:right="-279" w:rightChars="-127" w:hanging="600"/>
        <w:rPr>
          <w:color w:val="000000" w:themeColor="text1"/>
          <w:sz w:val="24"/>
          <w:lang w:eastAsia="zh-CN"/>
          <w14:textFill>
            <w14:solidFill>
              <w14:schemeClr w14:val="tx1"/>
            </w14:solidFill>
          </w14:textFill>
        </w:rPr>
      </w:pPr>
      <w:r>
        <w:rPr>
          <w:rFonts w:hint="eastAsia"/>
          <w:color w:val="000000" w:themeColor="text1"/>
          <w:spacing w:val="-12"/>
          <w:sz w:val="24"/>
          <w:lang w:eastAsia="zh-CN"/>
          <w14:textFill>
            <w14:solidFill>
              <w14:schemeClr w14:val="tx1"/>
            </w14:solidFill>
          </w14:textFill>
        </w:rPr>
        <w:t>勘察设计工作质量应满足法律规定、规范标准、合同约定和发包人要求等。</w:t>
      </w:r>
    </w:p>
    <w:p>
      <w:pPr>
        <w:pStyle w:val="30"/>
        <w:numPr>
          <w:ilvl w:val="2"/>
          <w:numId w:val="14"/>
        </w:numPr>
        <w:tabs>
          <w:tab w:val="left" w:pos="150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设计人应做好勘察设计服务的质量与技术管理工作，建立健全内部质量管</w:t>
      </w:r>
      <w:r>
        <w:rPr>
          <w:rFonts w:hint="eastAsia"/>
          <w:color w:val="000000" w:themeColor="text1"/>
          <w:sz w:val="24"/>
          <w:lang w:eastAsia="zh-CN"/>
          <w14:textFill>
            <w14:solidFill>
              <w14:schemeClr w14:val="tx1"/>
            </w14:solidFill>
          </w14:textFill>
        </w:rPr>
        <w:t>理体系和质量责任制度，加强勘察设计服务全过程的质量控制，建立完整的勘察设计文件的设计、复核、审核、会签和批准制度，明确各阶段的责任人。</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设计人应强化现场作业质量和试验工作管理，保证原始记录和试验数据的</w:t>
      </w:r>
      <w:r>
        <w:rPr>
          <w:rFonts w:hint="eastAsia"/>
          <w:color w:val="000000" w:themeColor="text1"/>
          <w:sz w:val="24"/>
          <w:lang w:eastAsia="zh-CN"/>
          <w14:textFill>
            <w14:solidFill>
              <w14:schemeClr w14:val="tx1"/>
            </w14:solidFill>
          </w14:textFill>
        </w:rPr>
        <w:t>可靠性、真实性和完整性，严禁离开现场进行追记、补记和修改记录。</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设计人应按合同约定对勘察设计服务进行全过程的质量检查和检验，并作</w:t>
      </w:r>
      <w:r>
        <w:rPr>
          <w:rFonts w:hint="eastAsia"/>
          <w:color w:val="000000" w:themeColor="text1"/>
          <w:sz w:val="24"/>
          <w:lang w:eastAsia="zh-CN"/>
          <w14:textFill>
            <w14:solidFill>
              <w14:schemeClr w14:val="tx1"/>
            </w14:solidFill>
          </w14:textFill>
        </w:rPr>
        <w:t>详细记录，编制勘察设计工作质量报表，报送发包人审查。</w:t>
      </w:r>
    </w:p>
    <w:p>
      <w:pPr>
        <w:pStyle w:val="30"/>
        <w:numPr>
          <w:ilvl w:val="2"/>
          <w:numId w:val="14"/>
        </w:numPr>
        <w:tabs>
          <w:tab w:val="left" w:pos="150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发包人有权对勘察设计工作质量进行检查和审核。设计人应为发包人的检</w:t>
      </w:r>
      <w:r>
        <w:rPr>
          <w:rFonts w:hint="eastAsia"/>
          <w:color w:val="000000" w:themeColor="text1"/>
          <w:sz w:val="24"/>
          <w:lang w:eastAsia="zh-CN"/>
          <w14:textFill>
            <w14:solidFill>
              <w14:schemeClr w14:val="tx1"/>
            </w14:solidFill>
          </w14:textFill>
        </w:rPr>
        <w:t>查和检验提供方便，包括发包人到勘察设计场地、试验室或合同约定的其他地方进行察看，查阅、审核勘察设计的原始记录和其他文件。发包人的检查和审核，不免除设计人按合同约定应负的责任。</w:t>
      </w:r>
    </w:p>
    <w:p>
      <w:pPr>
        <w:numPr>
          <w:ilvl w:val="1"/>
          <w:numId w:val="49"/>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勘察设计文件错误责任</w:t>
      </w:r>
    </w:p>
    <w:p>
      <w:pPr>
        <w:pStyle w:val="30"/>
        <w:tabs>
          <w:tab w:val="left" w:pos="1505"/>
        </w:tabs>
        <w:spacing w:before="173" w:line="374" w:lineRule="auto"/>
        <w:ind w:left="0" w:right="-279" w:rightChars="-127" w:firstLine="448" w:firstLineChars="200"/>
        <w:jc w:val="both"/>
        <w:rPr>
          <w:color w:val="000000" w:themeColor="text1"/>
          <w:sz w:val="24"/>
          <w:lang w:eastAsia="zh-CN"/>
          <w14:textFill>
            <w14:solidFill>
              <w14:schemeClr w14:val="tx1"/>
            </w14:solidFill>
          </w14:textFill>
        </w:rPr>
      </w:pPr>
      <w:r>
        <w:rPr>
          <w:color w:val="000000" w:themeColor="text1"/>
          <w:spacing w:val="-8"/>
          <w:sz w:val="24"/>
          <w:lang w:eastAsia="zh-CN"/>
          <w14:textFill>
            <w14:solidFill>
              <w14:schemeClr w14:val="tx1"/>
            </w14:solidFill>
          </w14:textFill>
        </w:rPr>
        <w:t xml:space="preserve">9.2.1 </w:t>
      </w:r>
      <w:r>
        <w:rPr>
          <w:rFonts w:hint="eastAsia"/>
          <w:color w:val="000000" w:themeColor="text1"/>
          <w:spacing w:val="-8"/>
          <w:sz w:val="24"/>
          <w:lang w:eastAsia="zh-CN"/>
          <w14:textFill>
            <w14:solidFill>
              <w14:schemeClr w14:val="tx1"/>
            </w14:solidFill>
          </w14:textFill>
        </w:rPr>
        <w:t>勘察设计文件存在错误、遗漏、含混、矛盾、不充分之处或其他缺陷，无</w:t>
      </w:r>
      <w:r>
        <w:rPr>
          <w:rFonts w:hint="eastAsia"/>
          <w:color w:val="000000" w:themeColor="text1"/>
          <w:sz w:val="24"/>
          <w:lang w:eastAsia="zh-CN"/>
          <w14:textFill>
            <w14:solidFill>
              <w14:schemeClr w14:val="tx1"/>
            </w14:solidFill>
          </w14:textFill>
        </w:rPr>
        <w:t>论设计人是否通过了发包人审查或审查机构审查，设计人均应自费对前述问题带来</w:t>
      </w:r>
      <w:r>
        <w:rPr>
          <w:rFonts w:hint="eastAsia"/>
          <w:color w:val="000000" w:themeColor="text1"/>
          <w:spacing w:val="-11"/>
          <w:sz w:val="24"/>
          <w:lang w:eastAsia="zh-CN"/>
          <w14:textFill>
            <w14:solidFill>
              <w14:schemeClr w14:val="tx1"/>
            </w14:solidFill>
          </w14:textFill>
        </w:rPr>
        <w:t>的缺陷和工程问题进行改正，但因第</w:t>
      </w:r>
      <w:r>
        <w:rPr>
          <w:rFonts w:ascii="Times New Roman" w:eastAsia="Times New Roman"/>
          <w:color w:val="000000" w:themeColor="text1"/>
          <w:sz w:val="24"/>
          <w:lang w:eastAsia="zh-CN"/>
          <w14:textFill>
            <w14:solidFill>
              <w14:schemeClr w14:val="tx1"/>
            </w14:solidFill>
          </w14:textFill>
        </w:rPr>
        <w:t xml:space="preserve">1.6.2 </w:t>
      </w:r>
      <w:r>
        <w:rPr>
          <w:rFonts w:hint="eastAsia"/>
          <w:color w:val="000000" w:themeColor="text1"/>
          <w:spacing w:val="-1"/>
          <w:sz w:val="24"/>
          <w:lang w:eastAsia="zh-CN"/>
          <w14:textFill>
            <w14:solidFill>
              <w14:schemeClr w14:val="tx1"/>
            </w14:solidFill>
          </w14:textFill>
        </w:rPr>
        <w:t>项约定由发包人提供的文件错误导致的除</w:t>
      </w:r>
      <w:r>
        <w:rPr>
          <w:rFonts w:hint="eastAsia"/>
          <w:color w:val="000000" w:themeColor="text1"/>
          <w:sz w:val="24"/>
          <w:lang w:eastAsia="zh-CN"/>
          <w14:textFill>
            <w14:solidFill>
              <w14:schemeClr w14:val="tx1"/>
            </w14:solidFill>
          </w14:textFill>
        </w:rPr>
        <w:t>外。</w:t>
      </w:r>
    </w:p>
    <w:p>
      <w:pPr>
        <w:pStyle w:val="30"/>
        <w:tabs>
          <w:tab w:val="left" w:pos="1505"/>
        </w:tabs>
        <w:spacing w:before="1" w:line="374" w:lineRule="auto"/>
        <w:ind w:left="0" w:right="-279" w:rightChars="-127" w:firstLine="448" w:firstLineChars="200"/>
        <w:jc w:val="both"/>
        <w:rPr>
          <w:color w:val="000000" w:themeColor="text1"/>
          <w:sz w:val="24"/>
          <w:lang w:eastAsia="zh-CN"/>
          <w14:textFill>
            <w14:solidFill>
              <w14:schemeClr w14:val="tx1"/>
            </w14:solidFill>
          </w14:textFill>
        </w:rPr>
      </w:pPr>
      <w:r>
        <w:rPr>
          <w:color w:val="000000" w:themeColor="text1"/>
          <w:spacing w:val="-8"/>
          <w:sz w:val="24"/>
          <w:lang w:eastAsia="zh-CN"/>
          <w14:textFill>
            <w14:solidFill>
              <w14:schemeClr w14:val="tx1"/>
            </w14:solidFill>
          </w14:textFill>
        </w:rPr>
        <w:t xml:space="preserve">9.2.2 </w:t>
      </w:r>
      <w:r>
        <w:rPr>
          <w:rFonts w:hint="eastAsia"/>
          <w:color w:val="000000" w:themeColor="text1"/>
          <w:spacing w:val="-6"/>
          <w:sz w:val="24"/>
          <w:lang w:eastAsia="zh-CN"/>
          <w14:textFill>
            <w14:solidFill>
              <w14:schemeClr w14:val="tx1"/>
            </w14:solidFill>
          </w14:textFill>
        </w:rPr>
        <w:t>因设计人原因造成勘察设计文件不合格的，发包人有权要求设计人采取补</w:t>
      </w:r>
      <w:r>
        <w:rPr>
          <w:rFonts w:hint="eastAsia"/>
          <w:color w:val="000000" w:themeColor="text1"/>
          <w:spacing w:val="-3"/>
          <w:sz w:val="24"/>
          <w:lang w:eastAsia="zh-CN"/>
          <w14:textFill>
            <w14:solidFill>
              <w14:schemeClr w14:val="tx1"/>
            </w14:solidFill>
          </w14:textFill>
        </w:rPr>
        <w:t>救措施，直至达到合同要求的质量标准，并按第</w:t>
      </w:r>
      <w:r>
        <w:rPr>
          <w:rFonts w:ascii="Times New Roman" w:eastAsia="Times New Roman"/>
          <w:color w:val="000000" w:themeColor="text1"/>
          <w:sz w:val="24"/>
          <w:lang w:eastAsia="zh-CN"/>
          <w14:textFill>
            <w14:solidFill>
              <w14:schemeClr w14:val="tx1"/>
            </w14:solidFill>
          </w14:textFill>
        </w:rPr>
        <w:t xml:space="preserve">14.1 </w:t>
      </w:r>
      <w:r>
        <w:rPr>
          <w:rFonts w:hint="eastAsia"/>
          <w:color w:val="000000" w:themeColor="text1"/>
          <w:sz w:val="24"/>
          <w:lang w:eastAsia="zh-CN"/>
          <w14:textFill>
            <w14:solidFill>
              <w14:schemeClr w14:val="tx1"/>
            </w14:solidFill>
          </w14:textFill>
        </w:rPr>
        <w:t>款的约定承担责任。</w:t>
      </w:r>
    </w:p>
    <w:p>
      <w:pPr>
        <w:pStyle w:val="30"/>
        <w:tabs>
          <w:tab w:val="left" w:pos="1505"/>
        </w:tabs>
        <w:spacing w:before="1" w:line="374" w:lineRule="auto"/>
        <w:ind w:left="0" w:right="-279" w:rightChars="-127" w:firstLine="448" w:firstLineChars="200"/>
        <w:jc w:val="both"/>
        <w:rPr>
          <w:color w:val="000000" w:themeColor="text1"/>
          <w:sz w:val="24"/>
          <w:szCs w:val="24"/>
          <w:lang w:eastAsia="zh-CN"/>
          <w14:textFill>
            <w14:solidFill>
              <w14:schemeClr w14:val="tx1"/>
            </w14:solidFill>
          </w14:textFill>
        </w:rPr>
      </w:pPr>
      <w:r>
        <w:rPr>
          <w:color w:val="000000" w:themeColor="text1"/>
          <w:spacing w:val="-8"/>
          <w:sz w:val="24"/>
          <w:szCs w:val="24"/>
          <w:lang w:eastAsia="zh-CN"/>
          <w14:textFill>
            <w14:solidFill>
              <w14:schemeClr w14:val="tx1"/>
            </w14:solidFill>
          </w14:textFill>
        </w:rPr>
        <w:t xml:space="preserve">9.2.3 </w:t>
      </w:r>
      <w:r>
        <w:rPr>
          <w:rFonts w:hint="eastAsia"/>
          <w:color w:val="000000" w:themeColor="text1"/>
          <w:spacing w:val="-5"/>
          <w:sz w:val="24"/>
          <w:szCs w:val="24"/>
          <w:lang w:eastAsia="zh-CN"/>
          <w14:textFill>
            <w14:solidFill>
              <w14:schemeClr w14:val="tx1"/>
            </w14:solidFill>
          </w14:textFill>
        </w:rPr>
        <w:t>因发包人原因造成勘察设计文件不合格的，设计人应当采取补救措施，直</w:t>
      </w:r>
      <w:r>
        <w:rPr>
          <w:rFonts w:hint="eastAsia"/>
          <w:color w:val="000000" w:themeColor="text1"/>
          <w:sz w:val="24"/>
          <w:szCs w:val="24"/>
          <w:lang w:eastAsia="zh-CN"/>
          <w14:textFill>
            <w14:solidFill>
              <w14:schemeClr w14:val="tx1"/>
            </w14:solidFill>
          </w14:textFill>
        </w:rPr>
        <w:t>至达到合同要求的质量标准，由此造成的勘察设计费用增加和（或）勘察设计服务期限延误由发包人承担。</w:t>
      </w:r>
    </w:p>
    <w:p>
      <w:pPr>
        <w:numPr>
          <w:ilvl w:val="1"/>
          <w:numId w:val="50"/>
        </w:numPr>
        <w:tabs>
          <w:tab w:val="left" w:pos="1327"/>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勘察设计责任主体</w:t>
      </w:r>
    </w:p>
    <w:p>
      <w:pPr>
        <w:pStyle w:val="30"/>
        <w:tabs>
          <w:tab w:val="left" w:pos="1505"/>
        </w:tabs>
        <w:spacing w:before="173"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9.3.1 </w:t>
      </w:r>
      <w:r>
        <w:rPr>
          <w:rFonts w:hint="eastAsia"/>
          <w:color w:val="000000" w:themeColor="text1"/>
          <w:spacing w:val="-6"/>
          <w:sz w:val="24"/>
          <w:lang w:eastAsia="zh-CN"/>
          <w14:textFill>
            <w14:solidFill>
              <w14:schemeClr w14:val="tx1"/>
            </w14:solidFill>
          </w14:textFill>
        </w:rPr>
        <w:t>设计人应运用一切合理的专业技术、知识技能和项目经验，按照职业道德</w:t>
      </w:r>
      <w:r>
        <w:rPr>
          <w:rFonts w:hint="eastAsia"/>
          <w:color w:val="000000" w:themeColor="text1"/>
          <w:sz w:val="24"/>
          <w:lang w:eastAsia="zh-CN"/>
          <w14:textFill>
            <w14:solidFill>
              <w14:schemeClr w14:val="tx1"/>
            </w14:solidFill>
          </w14:textFill>
        </w:rPr>
        <w:t>准则和行业公认标准尽其全部职责，勤勉、谨慎、公正地履行其在本合同项下的责任和义务。</w:t>
      </w:r>
    </w:p>
    <w:p>
      <w:pPr>
        <w:pStyle w:val="30"/>
        <w:tabs>
          <w:tab w:val="left" w:pos="1505"/>
        </w:tabs>
        <w:spacing w:before="1"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9.3.2 </w:t>
      </w:r>
      <w:r>
        <w:rPr>
          <w:rFonts w:hint="eastAsia"/>
          <w:color w:val="000000" w:themeColor="text1"/>
          <w:spacing w:val="-8"/>
          <w:sz w:val="24"/>
          <w:lang w:eastAsia="zh-CN"/>
          <w14:textFill>
            <w14:solidFill>
              <w14:schemeClr w14:val="tx1"/>
            </w14:solidFill>
          </w14:textFill>
        </w:rPr>
        <w:t>本工程施行质量责任终身制。设计人应书面明确相应的项目负责人和质量</w:t>
      </w:r>
      <w:r>
        <w:rPr>
          <w:rFonts w:hint="eastAsia"/>
          <w:color w:val="000000" w:themeColor="text1"/>
          <w:sz w:val="24"/>
          <w:lang w:eastAsia="zh-CN"/>
          <w14:textFill>
            <w14:solidFill>
              <w14:schemeClr w14:val="tx1"/>
            </w14:solidFill>
          </w14:textFill>
        </w:rPr>
        <w:t>负责人。设计人的相关人员按照国家法律法规和有关规定在工程合理使用年限内承担相应的质量责任。</w:t>
      </w:r>
    </w:p>
    <w:p>
      <w:pPr>
        <w:pStyle w:val="30"/>
        <w:tabs>
          <w:tab w:val="left" w:pos="1505"/>
        </w:tabs>
        <w:spacing w:before="1"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9.3.3 </w:t>
      </w:r>
      <w:r>
        <w:rPr>
          <w:rFonts w:hint="eastAsia"/>
          <w:color w:val="000000" w:themeColor="text1"/>
          <w:spacing w:val="-7"/>
          <w:sz w:val="24"/>
          <w:lang w:eastAsia="zh-CN"/>
          <w14:textFill>
            <w14:solidFill>
              <w14:schemeClr w14:val="tx1"/>
            </w14:solidFill>
          </w14:textFill>
        </w:rPr>
        <w:t>设计人应按照相关规定，做好设计交底、设计变更和后续服务工作，保障</w:t>
      </w:r>
      <w:r>
        <w:rPr>
          <w:rFonts w:hint="eastAsia"/>
          <w:color w:val="000000" w:themeColor="text1"/>
          <w:sz w:val="24"/>
          <w:lang w:eastAsia="zh-CN"/>
          <w14:textFill>
            <w14:solidFill>
              <w14:schemeClr w14:val="tx1"/>
            </w14:solidFill>
          </w14:textFill>
        </w:rPr>
        <w:t>设计意图在施工中得以贯彻落实，及时处理施工中与设计相关的质量技术问题。</w:t>
      </w:r>
    </w:p>
    <w:p>
      <w:pPr>
        <w:pStyle w:val="30"/>
        <w:tabs>
          <w:tab w:val="left" w:pos="1505"/>
        </w:tabs>
        <w:spacing w:before="1" w:line="374" w:lineRule="auto"/>
        <w:ind w:left="0" w:right="-279" w:rightChars="-127" w:firstLine="456" w:firstLineChars="200"/>
        <w:jc w:val="both"/>
        <w:rPr>
          <w:color w:val="000000" w:themeColor="text1"/>
          <w:sz w:val="24"/>
          <w:lang w:eastAsia="zh-CN"/>
          <w14:textFill>
            <w14:solidFill>
              <w14:schemeClr w14:val="tx1"/>
            </w14:solidFill>
          </w14:textFill>
        </w:rPr>
      </w:pPr>
      <w:r>
        <w:rPr>
          <w:color w:val="000000" w:themeColor="text1"/>
          <w:spacing w:val="-6"/>
          <w:sz w:val="24"/>
          <w:lang w:eastAsia="zh-CN"/>
          <w14:textFill>
            <w14:solidFill>
              <w14:schemeClr w14:val="tx1"/>
            </w14:solidFill>
          </w14:textFill>
        </w:rPr>
        <w:t xml:space="preserve">9.3.4 </w:t>
      </w:r>
      <w:r>
        <w:rPr>
          <w:rFonts w:hint="eastAsia"/>
          <w:color w:val="000000" w:themeColor="text1"/>
          <w:spacing w:val="-8"/>
          <w:sz w:val="24"/>
          <w:lang w:eastAsia="zh-CN"/>
          <w14:textFill>
            <w14:solidFill>
              <w14:schemeClr w14:val="tx1"/>
            </w14:solidFill>
          </w14:textFill>
        </w:rPr>
        <w:t>本工程交工验收前，设计人应对工程建设内容是否满足设计要求、是否达</w:t>
      </w:r>
      <w:r>
        <w:rPr>
          <w:rFonts w:hint="eastAsia"/>
          <w:color w:val="000000" w:themeColor="text1"/>
          <w:sz w:val="24"/>
          <w:lang w:eastAsia="zh-CN"/>
          <w14:textFill>
            <w14:solidFill>
              <w14:schemeClr w14:val="tx1"/>
            </w14:solidFill>
          </w14:textFill>
        </w:rPr>
        <w:t>到使用功能等方面进行综合检查和分析评价，向发包人出具工程设计符合性评价意见。</w:t>
      </w:r>
    </w:p>
    <w:p>
      <w:pPr>
        <w:numPr>
          <w:ilvl w:val="1"/>
          <w:numId w:val="51"/>
        </w:numPr>
        <w:tabs>
          <w:tab w:val="left" w:pos="132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勘察设计责任保险</w:t>
      </w:r>
    </w:p>
    <w:p>
      <w:pPr>
        <w:pStyle w:val="30"/>
        <w:tabs>
          <w:tab w:val="left" w:pos="1505"/>
        </w:tabs>
        <w:spacing w:before="172"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9.4.1 </w:t>
      </w:r>
      <w:r>
        <w:rPr>
          <w:rFonts w:hint="eastAsia"/>
          <w:color w:val="000000" w:themeColor="text1"/>
          <w:spacing w:val="-7"/>
          <w:sz w:val="24"/>
          <w:lang w:eastAsia="zh-CN"/>
          <w14:textFill>
            <w14:solidFill>
              <w14:schemeClr w14:val="tx1"/>
            </w14:solidFill>
          </w14:textFill>
        </w:rPr>
        <w:t>除专用合同条款另有约定外，设计人应具有发包人认可的、履行本合同所</w:t>
      </w:r>
      <w:r>
        <w:rPr>
          <w:rFonts w:hint="eastAsia"/>
          <w:color w:val="000000" w:themeColor="text1"/>
          <w:spacing w:val="-10"/>
          <w:sz w:val="24"/>
          <w:lang w:eastAsia="zh-CN"/>
          <w14:textFill>
            <w14:solidFill>
              <w14:schemeClr w14:val="tx1"/>
            </w14:solidFill>
          </w14:textFill>
        </w:rPr>
        <w:t>需要的工程勘察设计责任险，于合同签订后</w:t>
      </w:r>
      <w:r>
        <w:rPr>
          <w:rFonts w:ascii="Times New Roman" w:eastAsia="Times New Roman"/>
          <w:color w:val="000000" w:themeColor="text1"/>
          <w:sz w:val="24"/>
          <w:lang w:eastAsia="zh-CN"/>
          <w14:textFill>
            <w14:solidFill>
              <w14:schemeClr w14:val="tx1"/>
            </w14:solidFill>
          </w14:textFill>
        </w:rPr>
        <w:t xml:space="preserve">28 </w:t>
      </w:r>
      <w:r>
        <w:rPr>
          <w:rFonts w:hint="eastAsia"/>
          <w:color w:val="000000" w:themeColor="text1"/>
          <w:spacing w:val="-1"/>
          <w:sz w:val="24"/>
          <w:lang w:eastAsia="zh-CN"/>
          <w14:textFill>
            <w14:solidFill>
              <w14:schemeClr w14:val="tx1"/>
            </w14:solidFill>
          </w14:textFill>
        </w:rPr>
        <w:t>天内向发包人提交工程勘察设计责任</w:t>
      </w:r>
      <w:r>
        <w:rPr>
          <w:rFonts w:hint="eastAsia"/>
          <w:color w:val="000000" w:themeColor="text1"/>
          <w:sz w:val="24"/>
          <w:lang w:eastAsia="zh-CN"/>
          <w14:textFill>
            <w14:solidFill>
              <w14:schemeClr w14:val="tx1"/>
            </w14:solidFill>
          </w14:textFill>
        </w:rPr>
        <w:t>险的保险单副本或者其他有效证明，并在合同履行期间保持足额、有效。</w:t>
      </w:r>
    </w:p>
    <w:p>
      <w:pPr>
        <w:pStyle w:val="30"/>
        <w:tabs>
          <w:tab w:val="left" w:pos="1505"/>
        </w:tabs>
        <w:spacing w:before="2"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9.4.2 </w:t>
      </w:r>
      <w:r>
        <w:rPr>
          <w:rFonts w:hint="eastAsia"/>
          <w:color w:val="000000" w:themeColor="text1"/>
          <w:spacing w:val="-7"/>
          <w:sz w:val="24"/>
          <w:lang w:eastAsia="zh-CN"/>
          <w14:textFill>
            <w14:solidFill>
              <w14:schemeClr w14:val="tx1"/>
            </w14:solidFill>
          </w14:textFill>
        </w:rPr>
        <w:t>工程勘察设计责任险的保险范围，应当包括由于设计人的疏忽或过失而造</w:t>
      </w:r>
      <w:r>
        <w:rPr>
          <w:rFonts w:hint="eastAsia"/>
          <w:color w:val="000000" w:themeColor="text1"/>
          <w:sz w:val="24"/>
          <w:lang w:eastAsia="zh-CN"/>
          <w14:textFill>
            <w14:solidFill>
              <w14:schemeClr w14:val="tx1"/>
            </w14:solidFill>
          </w14:textFill>
        </w:rPr>
        <w:t>成的工程质量事故损失，以及由于事故引发的第三者人身伤亡、财产损失或费用赔偿等。</w:t>
      </w:r>
    </w:p>
    <w:p>
      <w:pPr>
        <w:pStyle w:val="30"/>
        <w:tabs>
          <w:tab w:val="left" w:pos="1505"/>
        </w:tabs>
        <w:spacing w:before="1" w:line="374" w:lineRule="auto"/>
        <w:ind w:left="0" w:right="-279" w:rightChars="-127" w:firstLine="452" w:firstLineChars="20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 xml:space="preserve">9.4.3 </w:t>
      </w:r>
      <w:r>
        <w:rPr>
          <w:rFonts w:hint="eastAsia"/>
          <w:color w:val="000000" w:themeColor="text1"/>
          <w:spacing w:val="-7"/>
          <w:sz w:val="24"/>
          <w:lang w:eastAsia="zh-CN"/>
          <w14:textFill>
            <w14:solidFill>
              <w14:schemeClr w14:val="tx1"/>
            </w14:solidFill>
          </w14:textFill>
        </w:rPr>
        <w:t>发生工程勘察设计保险事故后，设计人应按保险人要求进行报告，并负责</w:t>
      </w:r>
      <w:r>
        <w:rPr>
          <w:rFonts w:hint="eastAsia"/>
          <w:color w:val="000000" w:themeColor="text1"/>
          <w:sz w:val="24"/>
          <w:lang w:eastAsia="zh-CN"/>
          <w14:textFill>
            <w14:solidFill>
              <w14:schemeClr w14:val="tx1"/>
            </w14:solidFill>
          </w14:textFill>
        </w:rPr>
        <w:t>办理保险理赔业务；保险金不足以补偿损失的，由设计人自行补偿。</w:t>
      </w:r>
    </w:p>
    <w:p>
      <w:pPr>
        <w:numPr>
          <w:ilvl w:val="0"/>
          <w:numId w:val="14"/>
        </w:numPr>
        <w:tabs>
          <w:tab w:val="left" w:pos="914"/>
        </w:tabs>
        <w:spacing w:before="97"/>
        <w:ind w:left="914" w:right="-279" w:rightChars="-127" w:hanging="490"/>
        <w:rPr>
          <w:rFonts w:ascii="黑体" w:eastAsia="黑体"/>
          <w:b/>
          <w:color w:val="000000" w:themeColor="text1"/>
          <w:sz w:val="28"/>
          <w14:textFill>
            <w14:solidFill>
              <w14:schemeClr w14:val="tx1"/>
            </w14:solidFill>
          </w14:textFill>
        </w:rPr>
      </w:pPr>
      <w:bookmarkStart w:id="27" w:name="_bookmark119"/>
      <w:bookmarkEnd w:id="27"/>
      <w:r>
        <w:rPr>
          <w:rFonts w:hint="eastAsia" w:ascii="黑体" w:eastAsia="黑体"/>
          <w:b/>
          <w:color w:val="000000" w:themeColor="text1"/>
          <w:sz w:val="28"/>
          <w14:textFill>
            <w14:solidFill>
              <w14:schemeClr w14:val="tx1"/>
            </w14:solidFill>
          </w14:textFill>
        </w:rPr>
        <w:t>招标和施工期间配合</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447"/>
        </w:tabs>
        <w:ind w:left="1446" w:right="-279" w:rightChars="-127"/>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招标期间配合</w:t>
      </w:r>
    </w:p>
    <w:p>
      <w:pPr>
        <w:pStyle w:val="30"/>
        <w:numPr>
          <w:ilvl w:val="2"/>
          <w:numId w:val="14"/>
        </w:numPr>
        <w:tabs>
          <w:tab w:val="left" w:pos="1625"/>
        </w:tabs>
        <w:spacing w:before="74"/>
        <w:ind w:left="1624" w:right="-279" w:rightChars="-127" w:hanging="72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招标配合指设计人配合发包人进行各项招标工作。</w:t>
      </w:r>
    </w:p>
    <w:p>
      <w:pPr>
        <w:pStyle w:val="30"/>
        <w:numPr>
          <w:ilvl w:val="2"/>
          <w:numId w:val="14"/>
        </w:numPr>
        <w:tabs>
          <w:tab w:val="left" w:pos="162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招标人应按发包人规定的时间提供各标段施工招标资格预审所需的工程数量和工程说明；按发包人规定的时间提供各标段的施工招标图纸、工程量清单和</w:t>
      </w:r>
      <w:r>
        <w:rPr>
          <w:rFonts w:hint="eastAsia"/>
          <w:color w:val="000000" w:themeColor="text1"/>
          <w:sz w:val="24"/>
          <w:lang w:eastAsia="zh-CN"/>
          <w14:textFill>
            <w14:solidFill>
              <w14:schemeClr w14:val="tx1"/>
            </w14:solidFill>
          </w14:textFill>
        </w:rPr>
        <w:t>参考资料；按发包人要求安排相关人员参加标前会，就有关设计问题进行答疑。</w:t>
      </w:r>
    </w:p>
    <w:p>
      <w:pPr>
        <w:numPr>
          <w:ilvl w:val="1"/>
          <w:numId w:val="52"/>
        </w:numPr>
        <w:tabs>
          <w:tab w:val="left" w:pos="144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施工期间配合</w:t>
      </w:r>
    </w:p>
    <w:p>
      <w:pPr>
        <w:pStyle w:val="30"/>
        <w:numPr>
          <w:ilvl w:val="2"/>
          <w:numId w:val="52"/>
        </w:numPr>
        <w:tabs>
          <w:tab w:val="left" w:pos="1625"/>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施工配合指设计人配合施工承包人，在施工期间提供的补充勘察、设计</w:t>
      </w:r>
      <w:r>
        <w:rPr>
          <w:rFonts w:hint="eastAsia"/>
          <w:color w:val="000000" w:themeColor="text1"/>
          <w:sz w:val="24"/>
          <w:lang w:eastAsia="zh-CN"/>
          <w14:textFill>
            <w14:solidFill>
              <w14:schemeClr w14:val="tx1"/>
            </w14:solidFill>
          </w14:textFill>
        </w:rPr>
        <w:t>服务或其他配合工作，直至工程通过竣工验收为止。</w:t>
      </w:r>
    </w:p>
    <w:p>
      <w:pPr>
        <w:pStyle w:val="30"/>
        <w:numPr>
          <w:ilvl w:val="2"/>
          <w:numId w:val="52"/>
        </w:numPr>
        <w:tabs>
          <w:tab w:val="left" w:pos="1625"/>
        </w:tabs>
        <w:spacing w:before="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除专用合同条款另有约定外，发包人应为设计人派赴施工现场的工作人员，在施工期间提供办公房间、办公桌椅、互联网接口、冷暖设施、生活设施、进</w:t>
      </w:r>
      <w:r>
        <w:rPr>
          <w:rFonts w:hint="eastAsia"/>
          <w:color w:val="000000" w:themeColor="text1"/>
          <w:sz w:val="24"/>
          <w:lang w:eastAsia="zh-CN"/>
          <w14:textFill>
            <w14:solidFill>
              <w14:schemeClr w14:val="tx1"/>
            </w14:solidFill>
          </w14:textFill>
        </w:rPr>
        <w:t>出现场交通服务和其他便利条件。</w:t>
      </w:r>
    </w:p>
    <w:p>
      <w:pPr>
        <w:pStyle w:val="30"/>
        <w:numPr>
          <w:ilvl w:val="2"/>
          <w:numId w:val="52"/>
        </w:numPr>
        <w:tabs>
          <w:tab w:val="left" w:pos="1625"/>
        </w:tabs>
        <w:spacing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设计人应在本工程的施工期间，积极提供勘察设计配合服务，包括并不限于设计技术交底、施工现场服务、参与施工过程验收、参与工程交工验收、参与</w:t>
      </w:r>
      <w:r>
        <w:rPr>
          <w:rFonts w:hint="eastAsia"/>
          <w:color w:val="000000" w:themeColor="text1"/>
          <w:sz w:val="24"/>
          <w:lang w:eastAsia="zh-CN"/>
          <w14:textFill>
            <w14:solidFill>
              <w14:schemeClr w14:val="tx1"/>
            </w14:solidFill>
          </w14:textFill>
        </w:rPr>
        <w:t>工程竣工验收等工作。</w:t>
      </w:r>
    </w:p>
    <w:p>
      <w:pPr>
        <w:pStyle w:val="30"/>
        <w:numPr>
          <w:ilvl w:val="2"/>
          <w:numId w:val="52"/>
        </w:numPr>
        <w:tabs>
          <w:tab w:val="left" w:pos="1625"/>
        </w:tabs>
        <w:spacing w:before="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发包人应当组织设计技术交底会，由设计人向发包人、监理人和施工承包人等进行设计交底，对本工程的设计意图、设计文件和施工要求等进行系统的说</w:t>
      </w:r>
      <w:r>
        <w:rPr>
          <w:rFonts w:hint="eastAsia"/>
          <w:color w:val="000000" w:themeColor="text1"/>
          <w:sz w:val="24"/>
          <w:lang w:eastAsia="zh-CN"/>
          <w14:textFill>
            <w14:solidFill>
              <w14:schemeClr w14:val="tx1"/>
            </w14:solidFill>
          </w14:textFill>
        </w:rPr>
        <w:t>明和解释。</w:t>
      </w:r>
    </w:p>
    <w:p>
      <w:pPr>
        <w:pStyle w:val="30"/>
        <w:numPr>
          <w:ilvl w:val="2"/>
          <w:numId w:val="52"/>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工程施工完毕后，发包人应当按有关规定组织工程交工验收和工程竣工验收，设计人参加验收并出具本单位的验收结论。如因勘察设计原因致使工程不合</w:t>
      </w:r>
      <w:r>
        <w:rPr>
          <w:rFonts w:hint="eastAsia"/>
          <w:color w:val="000000" w:themeColor="text1"/>
          <w:sz w:val="24"/>
          <w:lang w:eastAsia="zh-CN"/>
          <w14:textFill>
            <w14:solidFill>
              <w14:schemeClr w14:val="tx1"/>
            </w14:solidFill>
          </w14:textFill>
        </w:rPr>
        <w:t>格的，设计人应当承担违约责任，免费修改勘察设计文件和赔偿发包人由此产生的经济损失。</w:t>
      </w:r>
    </w:p>
    <w:p>
      <w:pPr>
        <w:pStyle w:val="30"/>
        <w:numPr>
          <w:ilvl w:val="2"/>
          <w:numId w:val="52"/>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设计人应在施工现场设立代表处或派驻经验丰富的设计代表常驻施工现</w:t>
      </w:r>
      <w:r>
        <w:rPr>
          <w:rFonts w:hint="eastAsia"/>
          <w:color w:val="000000" w:themeColor="text1"/>
          <w:sz w:val="24"/>
          <w:lang w:eastAsia="zh-CN"/>
          <w14:textFill>
            <w14:solidFill>
              <w14:schemeClr w14:val="tx1"/>
            </w14:solidFill>
          </w14:textFill>
        </w:rPr>
        <w:t>场，做好施工现场服务，并负责解决施工过程中出现的设计问题：</w:t>
      </w:r>
    </w:p>
    <w:p>
      <w:pPr>
        <w:pStyle w:val="30"/>
        <w:numPr>
          <w:ilvl w:val="0"/>
          <w:numId w:val="53"/>
        </w:numPr>
        <w:tabs>
          <w:tab w:val="left" w:pos="1506"/>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开工前在发包人指定的时间内，做好设计文件的技术交底工作和现场控制点的交接工作</w:t>
      </w:r>
      <w:r>
        <w:rPr>
          <w:rFonts w:hint="eastAsia"/>
          <w:color w:val="000000" w:themeColor="text1"/>
          <w:sz w:val="24"/>
          <w:lang w:eastAsia="zh-CN"/>
          <w14:textFill>
            <w14:solidFill>
              <w14:schemeClr w14:val="tx1"/>
            </w14:solidFill>
          </w14:textFill>
        </w:rPr>
        <w:t>（交桩</w:t>
      </w:r>
      <w:r>
        <w:rPr>
          <w:rFonts w:hint="eastAsia"/>
          <w:color w:val="000000" w:themeColor="text1"/>
          <w:spacing w:val="-120"/>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w:t>
      </w:r>
    </w:p>
    <w:p>
      <w:pPr>
        <w:pStyle w:val="30"/>
        <w:numPr>
          <w:ilvl w:val="0"/>
          <w:numId w:val="53"/>
        </w:numPr>
        <w:tabs>
          <w:tab w:val="left" w:pos="1506"/>
        </w:tabs>
        <w:spacing w:before="1"/>
        <w:ind w:left="1505"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在发包人规定的时间内，及时处理与解决施工中与设计有关的问题；</w:t>
      </w:r>
    </w:p>
    <w:p>
      <w:pPr>
        <w:pStyle w:val="30"/>
        <w:numPr>
          <w:ilvl w:val="0"/>
          <w:numId w:val="53"/>
        </w:numPr>
        <w:tabs>
          <w:tab w:val="left" w:pos="1506"/>
        </w:tabs>
        <w:spacing w:before="173"/>
        <w:ind w:left="1505" w:right="-279" w:rightChars="-127"/>
        <w:rPr>
          <w:color w:val="000000" w:themeColor="text1"/>
          <w:sz w:val="24"/>
          <w:lang w:eastAsia="zh-CN"/>
          <w14:textFill>
            <w14:solidFill>
              <w14:schemeClr w14:val="tx1"/>
            </w14:solidFill>
          </w14:textFill>
        </w:rPr>
      </w:pPr>
      <w:r>
        <w:rPr>
          <w:rFonts w:hint="eastAsia"/>
          <w:color w:val="000000" w:themeColor="text1"/>
          <w:spacing w:val="-10"/>
          <w:sz w:val="24"/>
          <w:lang w:eastAsia="zh-CN"/>
          <w14:textFill>
            <w14:solidFill>
              <w14:schemeClr w14:val="tx1"/>
            </w14:solidFill>
          </w14:textFill>
        </w:rPr>
        <w:t>在发包人规定的时间内，积极配合发包人对施工及设计方案进行优化设计；</w:t>
      </w:r>
    </w:p>
    <w:p>
      <w:pPr>
        <w:pStyle w:val="30"/>
        <w:numPr>
          <w:ilvl w:val="0"/>
          <w:numId w:val="53"/>
        </w:numPr>
        <w:tabs>
          <w:tab w:val="left" w:pos="1506"/>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参与工程质量事故分析，并对因设计造成的质量事故，提出相应的技术</w:t>
      </w:r>
      <w:r>
        <w:rPr>
          <w:rFonts w:hint="eastAsia"/>
          <w:color w:val="000000" w:themeColor="text1"/>
          <w:spacing w:val="-4"/>
          <w:sz w:val="24"/>
          <w:lang w:eastAsia="zh-CN"/>
          <w14:textFill>
            <w14:solidFill>
              <w14:schemeClr w14:val="tx1"/>
            </w14:solidFill>
          </w14:textFill>
        </w:rPr>
        <w:t>处理方案；</w:t>
      </w:r>
    </w:p>
    <w:p>
      <w:pPr>
        <w:pStyle w:val="30"/>
        <w:numPr>
          <w:ilvl w:val="0"/>
          <w:numId w:val="53"/>
        </w:numPr>
        <w:tabs>
          <w:tab w:val="left" w:pos="1506"/>
        </w:tabs>
        <w:spacing w:before="74"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参加本工程的交工、竣工验收，提交设计工作报告，并配合质量监督部</w:t>
      </w:r>
      <w:r>
        <w:rPr>
          <w:rFonts w:hint="eastAsia"/>
          <w:color w:val="000000" w:themeColor="text1"/>
          <w:spacing w:val="-4"/>
          <w:sz w:val="24"/>
          <w:lang w:eastAsia="zh-CN"/>
          <w14:textFill>
            <w14:solidFill>
              <w14:schemeClr w14:val="tx1"/>
            </w14:solidFill>
          </w14:textFill>
        </w:rPr>
        <w:t>门校核工程是否按施工图设计施工。</w:t>
      </w:r>
    </w:p>
    <w:p>
      <w:pPr>
        <w:pStyle w:val="4"/>
        <w:spacing w:before="1"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发包人对设计代表的数量和资历条件有特定要求的，在专用合同条款中约定。设计人应按发包人提出的要求派驻设计代表，否则按违约处理。</w:t>
      </w:r>
    </w:p>
    <w:p>
      <w:pPr>
        <w:pStyle w:val="4"/>
        <w:spacing w:before="1" w:line="374" w:lineRule="auto"/>
        <w:ind w:left="424" w:right="-279" w:rightChars="-127"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若发包人在工作中发现设计代表不称职或有违法行为时，有权提出更换，设计人应在发包人提出更换通知的</w:t>
      </w:r>
      <w:r>
        <w:rPr>
          <w:rFonts w:ascii="Times New Roman" w:eastAsia="Times New Roman"/>
          <w:color w:val="000000" w:themeColor="text1"/>
          <w:lang w:eastAsia="zh-CN"/>
          <w14:textFill>
            <w14:solidFill>
              <w14:schemeClr w14:val="tx1"/>
            </w14:solidFill>
          </w14:textFill>
        </w:rPr>
        <w:t xml:space="preserve">7 </w:t>
      </w:r>
      <w:r>
        <w:rPr>
          <w:rFonts w:hint="eastAsia"/>
          <w:color w:val="000000" w:themeColor="text1"/>
          <w:lang w:eastAsia="zh-CN"/>
          <w14:textFill>
            <w14:solidFill>
              <w14:schemeClr w14:val="tx1"/>
            </w14:solidFill>
          </w14:textFill>
        </w:rPr>
        <w:t>天内完成更换工作并使发包人满意。</w:t>
      </w:r>
    </w:p>
    <w:p>
      <w:pPr>
        <w:pStyle w:val="30"/>
        <w:numPr>
          <w:ilvl w:val="2"/>
          <w:numId w:val="52"/>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本项目设计变更的勘察设计由设计人承担，设计人应及时完成勘察设计，</w:t>
      </w:r>
      <w:r>
        <w:rPr>
          <w:rFonts w:hint="eastAsia"/>
          <w:color w:val="000000" w:themeColor="text1"/>
          <w:spacing w:val="-9"/>
          <w:sz w:val="24"/>
          <w:lang w:eastAsia="zh-CN"/>
          <w14:textFill>
            <w14:solidFill>
              <w14:schemeClr w14:val="tx1"/>
            </w14:solidFill>
          </w14:textFill>
        </w:rPr>
        <w:t>提交设计变更文件，并对设计变更文件承担相应责任。除本合同第</w:t>
      </w:r>
      <w:r>
        <w:rPr>
          <w:rFonts w:ascii="Times New Roman" w:eastAsia="Times New Roman"/>
          <w:color w:val="000000" w:themeColor="text1"/>
          <w:spacing w:val="-4"/>
          <w:sz w:val="24"/>
          <w:lang w:eastAsia="zh-CN"/>
          <w14:textFill>
            <w14:solidFill>
              <w14:schemeClr w14:val="tx1"/>
            </w14:solidFill>
          </w14:textFill>
        </w:rPr>
        <w:t>11</w:t>
      </w:r>
      <w:r>
        <w:rPr>
          <w:rFonts w:hint="eastAsia"/>
          <w:color w:val="000000" w:themeColor="text1"/>
          <w:sz w:val="24"/>
          <w:lang w:eastAsia="zh-CN"/>
          <w14:textFill>
            <w14:solidFill>
              <w14:schemeClr w14:val="tx1"/>
            </w14:solidFill>
          </w14:textFill>
        </w:rPr>
        <w:t>条规定之外的设计变更，其勘察设计费用应视为已含入合同价格中，发包人不再另行支付。所有设计变更必须提供预算金额并由设计代表签字确认。</w:t>
      </w:r>
    </w:p>
    <w:p>
      <w:pPr>
        <w:numPr>
          <w:ilvl w:val="0"/>
          <w:numId w:val="14"/>
        </w:numPr>
        <w:tabs>
          <w:tab w:val="left" w:pos="914"/>
        </w:tabs>
        <w:spacing w:before="98"/>
        <w:ind w:left="914" w:right="-279" w:rightChars="-127" w:hanging="490"/>
        <w:rPr>
          <w:rFonts w:ascii="黑体" w:eastAsia="黑体"/>
          <w:b/>
          <w:color w:val="000000" w:themeColor="text1"/>
          <w:sz w:val="28"/>
          <w14:textFill>
            <w14:solidFill>
              <w14:schemeClr w14:val="tx1"/>
            </w14:solidFill>
          </w14:textFill>
        </w:rPr>
      </w:pPr>
      <w:bookmarkStart w:id="28" w:name="_bookmark120"/>
      <w:bookmarkEnd w:id="28"/>
      <w:r>
        <w:rPr>
          <w:rFonts w:hint="eastAsia" w:ascii="黑体" w:eastAsia="黑体"/>
          <w:b/>
          <w:color w:val="000000" w:themeColor="text1"/>
          <w:sz w:val="28"/>
          <w14:textFill>
            <w14:solidFill>
              <w14:schemeClr w14:val="tx1"/>
            </w14:solidFill>
          </w14:textFill>
        </w:rPr>
        <w:t>合同变更</w:t>
      </w:r>
    </w:p>
    <w:p>
      <w:pPr>
        <w:pStyle w:val="4"/>
        <w:spacing w:before="2"/>
        <w:ind w:right="-279" w:rightChars="-127"/>
        <w:rPr>
          <w:rFonts w:ascii="黑体"/>
          <w:b/>
          <w:color w:val="000000" w:themeColor="text1"/>
          <w:sz w:val="30"/>
          <w14:textFill>
            <w14:solidFill>
              <w14:schemeClr w14:val="tx1"/>
            </w14:solidFill>
          </w14:textFill>
        </w:rPr>
      </w:pPr>
    </w:p>
    <w:p>
      <w:pPr>
        <w:numPr>
          <w:ilvl w:val="1"/>
          <w:numId w:val="14"/>
        </w:numPr>
        <w:tabs>
          <w:tab w:val="left" w:pos="1433"/>
        </w:tabs>
        <w:ind w:left="1432" w:right="-279" w:rightChars="-127" w:hanging="526"/>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变更情形</w:t>
      </w:r>
    </w:p>
    <w:p>
      <w:pPr>
        <w:pStyle w:val="30"/>
        <w:numPr>
          <w:ilvl w:val="2"/>
          <w:numId w:val="14"/>
        </w:numPr>
        <w:tabs>
          <w:tab w:val="left" w:pos="1618"/>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合同履行中发生下述情形时，合同一方均可向对方提出变更请求，经双方协商一致后进行变更，勘察设计服务期限和勘察设计费用的调整方法在专用合同</w:t>
      </w:r>
      <w:r>
        <w:rPr>
          <w:rFonts w:hint="eastAsia"/>
          <w:color w:val="000000" w:themeColor="text1"/>
          <w:sz w:val="24"/>
          <w:lang w:eastAsia="zh-CN"/>
          <w14:textFill>
            <w14:solidFill>
              <w14:schemeClr w14:val="tx1"/>
            </w14:solidFill>
          </w14:textFill>
        </w:rPr>
        <w:t>条款中约定。</w:t>
      </w:r>
    </w:p>
    <w:p>
      <w:pPr>
        <w:pStyle w:val="30"/>
        <w:numPr>
          <w:ilvl w:val="0"/>
          <w:numId w:val="54"/>
        </w:numPr>
        <w:tabs>
          <w:tab w:val="left" w:pos="1506"/>
        </w:tabs>
        <w:spacing w:before="1"/>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勘察设计范围发生变化；</w:t>
      </w:r>
    </w:p>
    <w:p>
      <w:pPr>
        <w:pStyle w:val="30"/>
        <w:numPr>
          <w:ilvl w:val="0"/>
          <w:numId w:val="54"/>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除不可抗力外，非设计人的原因引起的周期延误；</w:t>
      </w:r>
    </w:p>
    <w:p>
      <w:pPr>
        <w:pStyle w:val="30"/>
        <w:numPr>
          <w:ilvl w:val="0"/>
          <w:numId w:val="54"/>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非设计人的原因，对工程同一部分重复进行勘察设计；</w:t>
      </w:r>
    </w:p>
    <w:p>
      <w:pPr>
        <w:pStyle w:val="30"/>
        <w:numPr>
          <w:ilvl w:val="0"/>
          <w:numId w:val="54"/>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非设计人的原因，对工程暂停勘察设计及恢复勘察设计。</w:t>
      </w:r>
    </w:p>
    <w:p>
      <w:pPr>
        <w:pStyle w:val="30"/>
        <w:numPr>
          <w:ilvl w:val="2"/>
          <w:numId w:val="14"/>
        </w:numPr>
        <w:tabs>
          <w:tab w:val="left" w:pos="1618"/>
        </w:tabs>
        <w:spacing w:before="173"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基准日后，因颁布新的或修订原有法律、法规、规范和标准等引发合同</w:t>
      </w:r>
      <w:r>
        <w:rPr>
          <w:rFonts w:hint="eastAsia"/>
          <w:color w:val="000000" w:themeColor="text1"/>
          <w:sz w:val="24"/>
          <w:lang w:eastAsia="zh-CN"/>
          <w14:textFill>
            <w14:solidFill>
              <w14:schemeClr w14:val="tx1"/>
            </w14:solidFill>
          </w14:textFill>
        </w:rPr>
        <w:t>变更情形的，按照上述约定进行调整。</w:t>
      </w:r>
    </w:p>
    <w:p>
      <w:pPr>
        <w:numPr>
          <w:ilvl w:val="1"/>
          <w:numId w:val="55"/>
        </w:numPr>
        <w:tabs>
          <w:tab w:val="left" w:pos="1433"/>
        </w:tabs>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合理化建议</w:t>
      </w:r>
    </w:p>
    <w:p>
      <w:pPr>
        <w:pStyle w:val="30"/>
        <w:tabs>
          <w:tab w:val="left" w:pos="1618"/>
        </w:tabs>
        <w:spacing w:before="173" w:line="374" w:lineRule="auto"/>
        <w:ind w:left="0" w:right="-279" w:rightChars="-127" w:firstLine="476" w:firstLineChars="200"/>
        <w:rPr>
          <w:color w:val="000000" w:themeColor="text1"/>
          <w:sz w:val="24"/>
          <w:lang w:eastAsia="zh-CN"/>
          <w14:textFill>
            <w14:solidFill>
              <w14:schemeClr w14:val="tx1"/>
            </w14:solidFill>
          </w14:textFill>
        </w:rPr>
      </w:pPr>
      <w:r>
        <w:rPr>
          <w:color w:val="000000" w:themeColor="text1"/>
          <w:spacing w:val="-1"/>
          <w:sz w:val="24"/>
          <w:lang w:eastAsia="zh-CN"/>
          <w14:textFill>
            <w14:solidFill>
              <w14:schemeClr w14:val="tx1"/>
            </w14:solidFill>
          </w14:textFill>
        </w:rPr>
        <w:t xml:space="preserve">11.2.1 </w:t>
      </w:r>
      <w:r>
        <w:rPr>
          <w:rFonts w:hint="eastAsia"/>
          <w:color w:val="000000" w:themeColor="text1"/>
          <w:spacing w:val="-1"/>
          <w:sz w:val="24"/>
          <w:lang w:eastAsia="zh-CN"/>
          <w14:textFill>
            <w14:solidFill>
              <w14:schemeClr w14:val="tx1"/>
            </w14:solidFill>
          </w14:textFill>
        </w:rPr>
        <w:t>合同履行中，设计人可对发包人要求提出合理化建议。合理化建议应以</w:t>
      </w:r>
      <w:r>
        <w:rPr>
          <w:rFonts w:hint="eastAsia"/>
          <w:color w:val="000000" w:themeColor="text1"/>
          <w:spacing w:val="-3"/>
          <w:sz w:val="24"/>
          <w:lang w:eastAsia="zh-CN"/>
          <w14:textFill>
            <w14:solidFill>
              <w14:schemeClr w14:val="tx1"/>
            </w14:solidFill>
          </w14:textFill>
        </w:rPr>
        <w:t>书面形式提交发包人，被发包人采纳并构成变更的，执行第</w:t>
      </w:r>
      <w:r>
        <w:rPr>
          <w:rFonts w:ascii="Times New Roman" w:eastAsia="Times New Roman"/>
          <w:color w:val="000000" w:themeColor="text1"/>
          <w:spacing w:val="-3"/>
          <w:sz w:val="24"/>
          <w:lang w:eastAsia="zh-CN"/>
          <w14:textFill>
            <w14:solidFill>
              <w14:schemeClr w14:val="tx1"/>
            </w14:solidFill>
          </w14:textFill>
        </w:rPr>
        <w:t>11.1</w:t>
      </w:r>
      <w:r>
        <w:rPr>
          <w:rFonts w:hint="eastAsia"/>
          <w:color w:val="000000" w:themeColor="text1"/>
          <w:sz w:val="24"/>
          <w:lang w:eastAsia="zh-CN"/>
          <w14:textFill>
            <w14:solidFill>
              <w14:schemeClr w14:val="tx1"/>
            </w14:solidFill>
          </w14:textFill>
        </w:rPr>
        <w:t>款约定。</w:t>
      </w:r>
    </w:p>
    <w:p>
      <w:pPr>
        <w:pStyle w:val="30"/>
        <w:tabs>
          <w:tab w:val="left" w:pos="1618"/>
        </w:tabs>
        <w:spacing w:line="374" w:lineRule="auto"/>
        <w:ind w:left="0" w:right="-279" w:rightChars="-127" w:firstLine="476" w:firstLineChars="200"/>
        <w:rPr>
          <w:color w:val="000000" w:themeColor="text1"/>
          <w:sz w:val="24"/>
          <w:lang w:eastAsia="zh-CN"/>
          <w14:textFill>
            <w14:solidFill>
              <w14:schemeClr w14:val="tx1"/>
            </w14:solidFill>
          </w14:textFill>
        </w:rPr>
      </w:pPr>
      <w:r>
        <w:rPr>
          <w:color w:val="000000" w:themeColor="text1"/>
          <w:spacing w:val="-1"/>
          <w:sz w:val="24"/>
          <w:lang w:eastAsia="zh-CN"/>
          <w14:textFill>
            <w14:solidFill>
              <w14:schemeClr w14:val="tx1"/>
            </w14:solidFill>
          </w14:textFill>
        </w:rPr>
        <w:t xml:space="preserve">11.2.2 </w:t>
      </w:r>
      <w:r>
        <w:rPr>
          <w:rFonts w:hint="eastAsia"/>
          <w:color w:val="000000" w:themeColor="text1"/>
          <w:spacing w:val="-1"/>
          <w:sz w:val="24"/>
          <w:lang w:eastAsia="zh-CN"/>
          <w14:textFill>
            <w14:solidFill>
              <w14:schemeClr w14:val="tx1"/>
            </w14:solidFill>
          </w14:textFill>
        </w:rPr>
        <w:t>设计人提出的合理化建议降低了工程投资、缩短了施工期限或者提高了</w:t>
      </w:r>
      <w:r>
        <w:rPr>
          <w:rFonts w:hint="eastAsia"/>
          <w:color w:val="000000" w:themeColor="text1"/>
          <w:sz w:val="24"/>
          <w:lang w:eastAsia="zh-CN"/>
          <w14:textFill>
            <w14:solidFill>
              <w14:schemeClr w14:val="tx1"/>
            </w14:solidFill>
          </w14:textFill>
        </w:rPr>
        <w:t>工程经济效益的，发包人应按专用合同条款中的约定给予奖励。</w:t>
      </w:r>
    </w:p>
    <w:p>
      <w:pPr>
        <w:numPr>
          <w:ilvl w:val="0"/>
          <w:numId w:val="14"/>
        </w:numPr>
        <w:tabs>
          <w:tab w:val="left" w:pos="914"/>
        </w:tabs>
        <w:spacing w:before="109"/>
        <w:ind w:left="914" w:right="-279" w:rightChars="-127" w:hanging="490"/>
        <w:rPr>
          <w:rFonts w:ascii="黑体" w:eastAsia="黑体"/>
          <w:b/>
          <w:color w:val="000000" w:themeColor="text1"/>
          <w:sz w:val="28"/>
          <w14:textFill>
            <w14:solidFill>
              <w14:schemeClr w14:val="tx1"/>
            </w14:solidFill>
          </w14:textFill>
        </w:rPr>
      </w:pPr>
      <w:bookmarkStart w:id="29" w:name="_bookmark121"/>
      <w:bookmarkEnd w:id="29"/>
      <w:r>
        <w:rPr>
          <w:rFonts w:hint="eastAsia" w:ascii="黑体" w:eastAsia="黑体"/>
          <w:b/>
          <w:color w:val="000000" w:themeColor="text1"/>
          <w:sz w:val="28"/>
          <w14:textFill>
            <w14:solidFill>
              <w14:schemeClr w14:val="tx1"/>
            </w14:solidFill>
          </w14:textFill>
        </w:rPr>
        <w:t>合同价格与支付</w:t>
      </w:r>
    </w:p>
    <w:p>
      <w:pPr>
        <w:pStyle w:val="4"/>
        <w:spacing w:before="2"/>
        <w:ind w:right="-279" w:rightChars="-127"/>
        <w:rPr>
          <w:rFonts w:ascii="黑体"/>
          <w:b/>
          <w:color w:val="000000" w:themeColor="text1"/>
          <w:sz w:val="30"/>
          <w14:textFill>
            <w14:solidFill>
              <w14:schemeClr w14:val="tx1"/>
            </w14:solidFill>
          </w14:textFill>
        </w:rPr>
      </w:pPr>
    </w:p>
    <w:p>
      <w:pPr>
        <w:numPr>
          <w:ilvl w:val="1"/>
          <w:numId w:val="14"/>
        </w:numPr>
        <w:tabs>
          <w:tab w:val="left" w:pos="1447"/>
        </w:tabs>
        <w:ind w:left="1446" w:right="-279" w:rightChars="-127"/>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合同价格</w:t>
      </w:r>
    </w:p>
    <w:p>
      <w:pPr>
        <w:pStyle w:val="30"/>
        <w:numPr>
          <w:ilvl w:val="2"/>
          <w:numId w:val="14"/>
        </w:numPr>
        <w:tabs>
          <w:tab w:val="left" w:pos="162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本合同的报价方式、价格调整方式和风险范围划分，在专用合同条款中</w:t>
      </w:r>
      <w:r>
        <w:rPr>
          <w:rFonts w:hint="eastAsia"/>
          <w:color w:val="000000" w:themeColor="text1"/>
          <w:sz w:val="24"/>
          <w:lang w:eastAsia="zh-CN"/>
          <w14:textFill>
            <w14:solidFill>
              <w14:schemeClr w14:val="tx1"/>
            </w14:solidFill>
          </w14:textFill>
        </w:rPr>
        <w:t>约定。</w:t>
      </w:r>
    </w:p>
    <w:p>
      <w:pPr>
        <w:pStyle w:val="30"/>
        <w:numPr>
          <w:ilvl w:val="2"/>
          <w:numId w:val="14"/>
        </w:numPr>
        <w:tabs>
          <w:tab w:val="left" w:pos="1625"/>
        </w:tabs>
        <w:spacing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勘察设计费用实行发包人签证制度，即设计人完成勘察设计项目后通知发包人进行验收，通过验收后由发包人代表对实施的勘察设计项目、数量、质量和</w:t>
      </w:r>
      <w:r>
        <w:rPr>
          <w:rFonts w:hint="eastAsia"/>
          <w:color w:val="000000" w:themeColor="text1"/>
          <w:sz w:val="24"/>
          <w:lang w:eastAsia="zh-CN"/>
          <w14:textFill>
            <w14:solidFill>
              <w14:schemeClr w14:val="tx1"/>
            </w14:solidFill>
          </w14:textFill>
        </w:rPr>
        <w:t>实施时间签字确认，以此作为计算勘察设计费用的依据之一。</w:t>
      </w:r>
    </w:p>
    <w:p>
      <w:pPr>
        <w:pStyle w:val="30"/>
        <w:numPr>
          <w:ilvl w:val="2"/>
          <w:numId w:val="14"/>
        </w:numPr>
        <w:tabs>
          <w:tab w:val="left" w:pos="1625"/>
        </w:tabs>
        <w:spacing w:before="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除专用合同条款另有约定外，合同价格应当包括收集资料，踏勘现场，制订纲要，进行测绘、勘探、取样、试验、测试、分析、设计、评估、审查等，编</w:t>
      </w:r>
      <w:r>
        <w:rPr>
          <w:rFonts w:hint="eastAsia"/>
          <w:color w:val="000000" w:themeColor="text1"/>
          <w:sz w:val="24"/>
          <w:lang w:eastAsia="zh-CN"/>
          <w14:textFill>
            <w14:solidFill>
              <w14:schemeClr w14:val="tx1"/>
            </w14:solidFill>
          </w14:textFill>
        </w:rPr>
        <w:t>制勘察设计文件，招标与施工配合等全部费用和国家规定的各项税费。</w:t>
      </w:r>
    </w:p>
    <w:p>
      <w:pPr>
        <w:pStyle w:val="30"/>
        <w:numPr>
          <w:ilvl w:val="2"/>
          <w:numId w:val="14"/>
        </w:numPr>
        <w:tabs>
          <w:tab w:val="left" w:pos="162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发包人要求设计人进行外出考察、试验检测、专项咨询或专家评审时，</w:t>
      </w:r>
      <w:r>
        <w:rPr>
          <w:rFonts w:hint="eastAsia"/>
          <w:color w:val="000000" w:themeColor="text1"/>
          <w:sz w:val="24"/>
          <w:lang w:eastAsia="zh-CN"/>
          <w14:textFill>
            <w14:solidFill>
              <w14:schemeClr w14:val="tx1"/>
            </w14:solidFill>
          </w14:textFill>
        </w:rPr>
        <w:t>相应费用不含在合同价格之中，由发包人另行支付。</w:t>
      </w:r>
    </w:p>
    <w:p>
      <w:pPr>
        <w:pStyle w:val="30"/>
        <w:numPr>
          <w:ilvl w:val="2"/>
          <w:numId w:val="14"/>
        </w:numPr>
        <w:tabs>
          <w:tab w:val="left" w:pos="1625"/>
        </w:tabs>
        <w:spacing w:before="1"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发包人向设计人实际支付的勘察设计费，将不高于初步设计审批概算中相应勘察设计费的审批额，除非勘察设计费审批额依法予以调整。勘察设计费超出</w:t>
      </w:r>
      <w:r>
        <w:rPr>
          <w:rFonts w:hint="eastAsia"/>
          <w:color w:val="000000" w:themeColor="text1"/>
          <w:spacing w:val="-14"/>
          <w:sz w:val="24"/>
          <w:lang w:eastAsia="zh-CN"/>
          <w14:textFill>
            <w14:solidFill>
              <w14:schemeClr w14:val="tx1"/>
            </w14:solidFill>
          </w14:textFill>
        </w:rPr>
        <w:t>审批额部分发包人将予以扣除，合同价格相应变更，不足部分发包人将不另行支付。</w:t>
      </w:r>
    </w:p>
    <w:p>
      <w:pPr>
        <w:numPr>
          <w:ilvl w:val="1"/>
          <w:numId w:val="56"/>
        </w:numPr>
        <w:tabs>
          <w:tab w:val="left" w:pos="1447"/>
        </w:tabs>
        <w:spacing w:before="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预付款</w:t>
      </w:r>
    </w:p>
    <w:p>
      <w:pPr>
        <w:pStyle w:val="30"/>
        <w:numPr>
          <w:ilvl w:val="2"/>
          <w:numId w:val="56"/>
        </w:numPr>
        <w:tabs>
          <w:tab w:val="left" w:pos="1625"/>
        </w:tabs>
        <w:spacing w:before="172"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预付款应专用于本工程的勘察设计。预付款的额度、支付方式在专用合同条款中约定。设计人无须向发包人提交预付款保函，但设计人提交的履约保证金</w:t>
      </w:r>
      <w:r>
        <w:rPr>
          <w:rFonts w:hint="eastAsia"/>
          <w:color w:val="000000" w:themeColor="text1"/>
          <w:sz w:val="24"/>
          <w:lang w:eastAsia="zh-CN"/>
          <w14:textFill>
            <w14:solidFill>
              <w14:schemeClr w14:val="tx1"/>
            </w14:solidFill>
          </w14:textFill>
        </w:rPr>
        <w:t>对预付款的正常使用承担保证责任。</w:t>
      </w:r>
    </w:p>
    <w:p>
      <w:pPr>
        <w:pStyle w:val="30"/>
        <w:numPr>
          <w:ilvl w:val="2"/>
          <w:numId w:val="56"/>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发包人应在收到预付款支付申请后</w:t>
      </w:r>
      <w:r>
        <w:rPr>
          <w:rFonts w:ascii="Times New Roman" w:eastAsia="Times New Roman"/>
          <w:color w:val="000000" w:themeColor="text1"/>
          <w:sz w:val="24"/>
          <w:lang w:eastAsia="zh-CN"/>
          <w14:textFill>
            <w14:solidFill>
              <w14:schemeClr w14:val="tx1"/>
            </w14:solidFill>
          </w14:textFill>
        </w:rPr>
        <w:t xml:space="preserve">28 </w:t>
      </w:r>
      <w:r>
        <w:rPr>
          <w:rFonts w:hint="eastAsia"/>
          <w:color w:val="000000" w:themeColor="text1"/>
          <w:spacing w:val="-11"/>
          <w:sz w:val="24"/>
          <w:lang w:eastAsia="zh-CN"/>
          <w14:textFill>
            <w14:solidFill>
              <w14:schemeClr w14:val="tx1"/>
            </w14:solidFill>
          </w14:textFill>
        </w:rPr>
        <w:t>天内，将预付款支付给设计人；设</w:t>
      </w:r>
      <w:r>
        <w:rPr>
          <w:rFonts w:hint="eastAsia"/>
          <w:color w:val="000000" w:themeColor="text1"/>
          <w:sz w:val="24"/>
          <w:lang w:eastAsia="zh-CN"/>
          <w14:textFill>
            <w14:solidFill>
              <w14:schemeClr w14:val="tx1"/>
            </w14:solidFill>
          </w14:textFill>
        </w:rPr>
        <w:t>计人应当提供等额的增值税专用发票。</w:t>
      </w:r>
    </w:p>
    <w:p>
      <w:pPr>
        <w:numPr>
          <w:ilvl w:val="1"/>
          <w:numId w:val="56"/>
        </w:numPr>
        <w:tabs>
          <w:tab w:val="left" w:pos="144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中期支付</w:t>
      </w:r>
    </w:p>
    <w:p>
      <w:pPr>
        <w:pStyle w:val="30"/>
        <w:numPr>
          <w:ilvl w:val="2"/>
          <w:numId w:val="56"/>
        </w:numPr>
        <w:tabs>
          <w:tab w:val="left" w:pos="1625"/>
        </w:tabs>
        <w:spacing w:before="172" w:line="374" w:lineRule="auto"/>
        <w:ind w:right="-279" w:rightChars="-127" w:firstLine="480"/>
        <w:rPr>
          <w:color w:val="000000" w:themeColor="text1"/>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设计人应按发包人批准或专用合同条款约定的格式及份数，向发包人提</w:t>
      </w:r>
      <w:r>
        <w:rPr>
          <w:rFonts w:hint="eastAsia"/>
          <w:color w:val="000000" w:themeColor="text1"/>
          <w:lang w:eastAsia="zh-CN"/>
          <w14:textFill>
            <w14:solidFill>
              <w14:schemeClr w14:val="tx1"/>
            </w14:solidFill>
          </w14:textFill>
        </w:rPr>
        <w:t>交中期支付申请，并附相应的支持性证明文件。</w:t>
      </w:r>
    </w:p>
    <w:p>
      <w:pPr>
        <w:pStyle w:val="30"/>
        <w:numPr>
          <w:ilvl w:val="2"/>
          <w:numId w:val="56"/>
        </w:numPr>
        <w:tabs>
          <w:tab w:val="left" w:pos="1625"/>
        </w:tabs>
        <w:spacing w:before="172"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发包人应在收到中期支付申请后的</w:t>
      </w:r>
      <w:r>
        <w:rPr>
          <w:rFonts w:ascii="Times New Roman" w:eastAsia="Times New Roman"/>
          <w:color w:val="000000" w:themeColor="text1"/>
          <w:sz w:val="24"/>
          <w:lang w:eastAsia="zh-CN"/>
          <w14:textFill>
            <w14:solidFill>
              <w14:schemeClr w14:val="tx1"/>
            </w14:solidFill>
          </w14:textFill>
        </w:rPr>
        <w:t>28</w:t>
      </w:r>
      <w:r>
        <w:rPr>
          <w:rFonts w:hint="eastAsia"/>
          <w:color w:val="000000" w:themeColor="text1"/>
          <w:spacing w:val="-2"/>
          <w:sz w:val="24"/>
          <w:lang w:eastAsia="zh-CN"/>
          <w14:textFill>
            <w14:solidFill>
              <w14:schemeClr w14:val="tx1"/>
            </w14:solidFill>
          </w14:textFill>
        </w:rPr>
        <w:t>天内，将应付款项支付给设计人；</w:t>
      </w:r>
      <w:r>
        <w:rPr>
          <w:rFonts w:hint="eastAsia"/>
          <w:color w:val="000000" w:themeColor="text1"/>
          <w:sz w:val="24"/>
          <w:lang w:eastAsia="zh-CN"/>
          <w14:textFill>
            <w14:solidFill>
              <w14:schemeClr w14:val="tx1"/>
            </w14:solidFill>
          </w14:textFill>
        </w:rPr>
        <w:t>设计人应当提供等额的增值税专用发票。发包人未能在前述时间内完成审批或不予答复的，视为发包人同意中期支付申请。发包人不按期支付的，按专用合同条款的约定支付逾期付款违约金。</w:t>
      </w:r>
    </w:p>
    <w:p>
      <w:pPr>
        <w:pStyle w:val="30"/>
        <w:numPr>
          <w:ilvl w:val="2"/>
          <w:numId w:val="56"/>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中期支付涉及政府投资资金的，按照国库集中支付等国家相关规定和专</w:t>
      </w:r>
      <w:r>
        <w:rPr>
          <w:rFonts w:hint="eastAsia"/>
          <w:color w:val="000000" w:themeColor="text1"/>
          <w:sz w:val="24"/>
          <w:lang w:eastAsia="zh-CN"/>
          <w14:textFill>
            <w14:solidFill>
              <w14:schemeClr w14:val="tx1"/>
            </w14:solidFill>
          </w14:textFill>
        </w:rPr>
        <w:t>用合同条款的约定执行。</w:t>
      </w:r>
    </w:p>
    <w:p>
      <w:pPr>
        <w:numPr>
          <w:ilvl w:val="1"/>
          <w:numId w:val="56"/>
        </w:numPr>
        <w:tabs>
          <w:tab w:val="left" w:pos="1447"/>
        </w:tabs>
        <w:spacing w:before="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费用结算</w:t>
      </w:r>
    </w:p>
    <w:p>
      <w:pPr>
        <w:pStyle w:val="30"/>
        <w:numPr>
          <w:ilvl w:val="2"/>
          <w:numId w:val="56"/>
        </w:numPr>
        <w:tabs>
          <w:tab w:val="left" w:pos="1625"/>
        </w:tabs>
        <w:spacing w:before="172"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合同工作完成后，设计人应按专用合同条款约定的份数和期限，向发包</w:t>
      </w:r>
      <w:r>
        <w:rPr>
          <w:rFonts w:hint="eastAsia"/>
          <w:color w:val="000000" w:themeColor="text1"/>
          <w:sz w:val="24"/>
          <w:lang w:eastAsia="zh-CN"/>
          <w14:textFill>
            <w14:solidFill>
              <w14:schemeClr w14:val="tx1"/>
            </w14:solidFill>
          </w14:textFill>
        </w:rPr>
        <w:t>人提交勘察设计费用结算申请，并提供相关证明材料。</w:t>
      </w:r>
    </w:p>
    <w:p>
      <w:pPr>
        <w:pStyle w:val="30"/>
        <w:numPr>
          <w:ilvl w:val="2"/>
          <w:numId w:val="56"/>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发包人应在收到费用结算申请后的</w:t>
      </w:r>
      <w:r>
        <w:rPr>
          <w:rFonts w:ascii="Times New Roman" w:eastAsia="Times New Roman"/>
          <w:color w:val="000000" w:themeColor="text1"/>
          <w:sz w:val="24"/>
          <w:lang w:eastAsia="zh-CN"/>
          <w14:textFill>
            <w14:solidFill>
              <w14:schemeClr w14:val="tx1"/>
            </w14:solidFill>
          </w14:textFill>
        </w:rPr>
        <w:t>28</w:t>
      </w:r>
      <w:r>
        <w:rPr>
          <w:rFonts w:hint="eastAsia"/>
          <w:color w:val="000000" w:themeColor="text1"/>
          <w:spacing w:val="-1"/>
          <w:sz w:val="24"/>
          <w:lang w:eastAsia="zh-CN"/>
          <w14:textFill>
            <w14:solidFill>
              <w14:schemeClr w14:val="tx1"/>
            </w14:solidFill>
          </w14:textFill>
        </w:rPr>
        <w:t>天内，将应付款项支付给设计人；</w:t>
      </w:r>
      <w:r>
        <w:rPr>
          <w:rFonts w:hint="eastAsia"/>
          <w:color w:val="000000" w:themeColor="text1"/>
          <w:sz w:val="24"/>
          <w:lang w:eastAsia="zh-CN"/>
          <w14:textFill>
            <w14:solidFill>
              <w14:schemeClr w14:val="tx1"/>
            </w14:solidFill>
          </w14:textFill>
        </w:rPr>
        <w:t>设计人应当提供等额的增值税专用发票。发包人未能在前述时间内完成审批或不予答复的，视为发包人同意费用结算申请。发包人不按期支付的，按专用合同条款的约定支付逾期付款违约金。</w:t>
      </w:r>
    </w:p>
    <w:p>
      <w:pPr>
        <w:pStyle w:val="30"/>
        <w:numPr>
          <w:ilvl w:val="2"/>
          <w:numId w:val="56"/>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发包人对费用结算申请内容有异议的，有权要求设计人进行修正和提供</w:t>
      </w:r>
      <w:r>
        <w:rPr>
          <w:rFonts w:hint="eastAsia"/>
          <w:color w:val="000000" w:themeColor="text1"/>
          <w:spacing w:val="-3"/>
          <w:sz w:val="24"/>
          <w:lang w:eastAsia="zh-CN"/>
          <w14:textFill>
            <w14:solidFill>
              <w14:schemeClr w14:val="tx1"/>
            </w14:solidFill>
          </w14:textFill>
        </w:rPr>
        <w:t>补充资料，由设计人重新提交。设计人对此有异议的，按第</w:t>
      </w:r>
      <w:r>
        <w:rPr>
          <w:rFonts w:ascii="Times New Roman" w:eastAsia="Times New Roman"/>
          <w:color w:val="000000" w:themeColor="text1"/>
          <w:sz w:val="24"/>
          <w:lang w:eastAsia="zh-CN"/>
          <w14:textFill>
            <w14:solidFill>
              <w14:schemeClr w14:val="tx1"/>
            </w14:solidFill>
          </w14:textFill>
        </w:rPr>
        <w:t xml:space="preserve">15 </w:t>
      </w:r>
      <w:r>
        <w:rPr>
          <w:rFonts w:hint="eastAsia"/>
          <w:color w:val="000000" w:themeColor="text1"/>
          <w:sz w:val="24"/>
          <w:lang w:eastAsia="zh-CN"/>
          <w14:textFill>
            <w14:solidFill>
              <w14:schemeClr w14:val="tx1"/>
            </w14:solidFill>
          </w14:textFill>
        </w:rPr>
        <w:t>条的约定执行。</w:t>
      </w:r>
    </w:p>
    <w:p>
      <w:pPr>
        <w:pStyle w:val="30"/>
        <w:numPr>
          <w:ilvl w:val="2"/>
          <w:numId w:val="56"/>
        </w:numPr>
        <w:tabs>
          <w:tab w:val="left" w:pos="1625"/>
        </w:tabs>
        <w:spacing w:before="1"/>
        <w:ind w:left="1624" w:right="-279" w:rightChars="-127"/>
        <w:rPr>
          <w:color w:val="000000" w:themeColor="text1"/>
          <w:sz w:val="24"/>
          <w:lang w:eastAsia="zh-CN"/>
          <w14:textFill>
            <w14:solidFill>
              <w14:schemeClr w14:val="tx1"/>
            </w14:solidFill>
          </w14:textFill>
        </w:rPr>
      </w:pPr>
      <w:r>
        <w:rPr>
          <w:rFonts w:hint="eastAsia"/>
          <w:color w:val="000000" w:themeColor="text1"/>
          <w:spacing w:val="-4"/>
          <w:sz w:val="24"/>
          <w:lang w:eastAsia="zh-CN"/>
          <w14:textFill>
            <w14:solidFill>
              <w14:schemeClr w14:val="tx1"/>
            </w14:solidFill>
          </w14:textFill>
        </w:rPr>
        <w:t>最终结清付款涉及政府投资资金的，按第</w:t>
      </w:r>
      <w:r>
        <w:rPr>
          <w:rFonts w:ascii="Times New Roman" w:eastAsia="Times New Roman"/>
          <w:color w:val="000000" w:themeColor="text1"/>
          <w:sz w:val="24"/>
          <w:lang w:eastAsia="zh-CN"/>
          <w14:textFill>
            <w14:solidFill>
              <w14:schemeClr w14:val="tx1"/>
            </w14:solidFill>
          </w14:textFill>
        </w:rPr>
        <w:t xml:space="preserve">12.3.3 </w:t>
      </w:r>
      <w:r>
        <w:rPr>
          <w:rFonts w:hint="eastAsia"/>
          <w:color w:val="000000" w:themeColor="text1"/>
          <w:sz w:val="24"/>
          <w:lang w:eastAsia="zh-CN"/>
          <w14:textFill>
            <w14:solidFill>
              <w14:schemeClr w14:val="tx1"/>
            </w14:solidFill>
          </w14:textFill>
        </w:rPr>
        <w:t>项的约定执行。</w:t>
      </w:r>
    </w:p>
    <w:p>
      <w:pPr>
        <w:numPr>
          <w:ilvl w:val="1"/>
          <w:numId w:val="56"/>
        </w:numPr>
        <w:tabs>
          <w:tab w:val="left" w:pos="1447"/>
        </w:tabs>
        <w:spacing w:before="17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暂列金额</w:t>
      </w:r>
    </w:p>
    <w:p>
      <w:pPr>
        <w:pStyle w:val="30"/>
        <w:numPr>
          <w:ilvl w:val="2"/>
          <w:numId w:val="56"/>
        </w:numPr>
        <w:tabs>
          <w:tab w:val="left" w:pos="1625"/>
        </w:tabs>
        <w:spacing w:before="173"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本合同的暂列金额在专用合同条款中约定。暂列金额应按发包人的书面</w:t>
      </w:r>
      <w:r>
        <w:rPr>
          <w:rFonts w:hint="eastAsia"/>
          <w:color w:val="000000" w:themeColor="text1"/>
          <w:sz w:val="24"/>
          <w:lang w:eastAsia="zh-CN"/>
          <w14:textFill>
            <w14:solidFill>
              <w14:schemeClr w14:val="tx1"/>
            </w14:solidFill>
          </w14:textFill>
        </w:rPr>
        <w:t>指示全部或部分地使用，或根本不予动用。</w:t>
      </w:r>
    </w:p>
    <w:p>
      <w:pPr>
        <w:pStyle w:val="30"/>
        <w:numPr>
          <w:ilvl w:val="2"/>
          <w:numId w:val="56"/>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如果使用暂列金额进行某项额外勘察设计工作、专题研究、审查和会务工作，其费用应按设计人投标报价中相应项目的基本单价和实际发生的工作量经发</w:t>
      </w:r>
      <w:r>
        <w:rPr>
          <w:rFonts w:hint="eastAsia"/>
          <w:color w:val="000000" w:themeColor="text1"/>
          <w:sz w:val="24"/>
          <w:lang w:eastAsia="zh-CN"/>
          <w14:textFill>
            <w14:solidFill>
              <w14:schemeClr w14:val="tx1"/>
            </w14:solidFill>
          </w14:textFill>
        </w:rPr>
        <w:t>包人核定后支付，或者按实际发生的工作费用经发包人核实后支付。</w:t>
      </w:r>
    </w:p>
    <w:p>
      <w:pPr>
        <w:spacing w:before="1"/>
        <w:ind w:left="906" w:right="-279" w:rightChars="-127"/>
        <w:rPr>
          <w:b/>
          <w:color w:val="000000" w:themeColor="text1"/>
          <w:sz w:val="24"/>
          <w:lang w:eastAsia="zh-CN"/>
          <w14:textFill>
            <w14:solidFill>
              <w14:schemeClr w14:val="tx1"/>
            </w14:solidFill>
          </w14:textFill>
        </w:rPr>
      </w:pPr>
      <w:r>
        <w:rPr>
          <w:rFonts w:ascii="Times New Roman" w:eastAsia="Times New Roman"/>
          <w:b/>
          <w:color w:val="000000" w:themeColor="text1"/>
          <w:sz w:val="24"/>
          <w:lang w:eastAsia="zh-CN"/>
          <w14:textFill>
            <w14:solidFill>
              <w14:schemeClr w14:val="tx1"/>
            </w14:solidFill>
          </w14:textFill>
        </w:rPr>
        <w:t>12.6</w:t>
      </w:r>
      <w:r>
        <w:rPr>
          <w:rFonts w:hint="eastAsia"/>
          <w:b/>
          <w:color w:val="000000" w:themeColor="text1"/>
          <w:sz w:val="24"/>
          <w:lang w:eastAsia="zh-CN"/>
          <w14:textFill>
            <w14:solidFill>
              <w14:schemeClr w14:val="tx1"/>
            </w14:solidFill>
          </w14:textFill>
        </w:rPr>
        <w:t>质量保证金</w:t>
      </w:r>
    </w:p>
    <w:p>
      <w:pPr>
        <w:pStyle w:val="4"/>
        <w:spacing w:before="172"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spacing w:val="-1"/>
          <w:lang w:eastAsia="zh-CN"/>
          <w14:textFill>
            <w14:solidFill>
              <w14:schemeClr w14:val="tx1"/>
            </w14:solidFill>
          </w14:textFill>
        </w:rPr>
        <w:t>为保证设计人的设计质量和设计服务，最后一批勘察设计成果文件经上级主管</w:t>
      </w:r>
      <w:r>
        <w:rPr>
          <w:rFonts w:hint="eastAsia"/>
          <w:color w:val="000000" w:themeColor="text1"/>
          <w:spacing w:val="-9"/>
          <w:lang w:eastAsia="zh-CN"/>
          <w14:textFill>
            <w14:solidFill>
              <w14:schemeClr w14:val="tx1"/>
            </w14:solidFill>
          </w14:textFill>
        </w:rPr>
        <w:t>部门批复之后</w:t>
      </w:r>
      <w:r>
        <w:rPr>
          <w:rFonts w:ascii="Times New Roman" w:eastAsia="Times New Roman"/>
          <w:color w:val="000000" w:themeColor="text1"/>
          <w:lang w:eastAsia="zh-CN"/>
          <w14:textFill>
            <w14:solidFill>
              <w14:schemeClr w14:val="tx1"/>
            </w14:solidFill>
          </w14:textFill>
        </w:rPr>
        <w:t xml:space="preserve">28 </w:t>
      </w:r>
      <w:r>
        <w:rPr>
          <w:rFonts w:hint="eastAsia"/>
          <w:color w:val="000000" w:themeColor="text1"/>
          <w:spacing w:val="-10"/>
          <w:lang w:eastAsia="zh-CN"/>
          <w14:textFill>
            <w14:solidFill>
              <w14:schemeClr w14:val="tx1"/>
            </w14:solidFill>
          </w14:textFill>
        </w:rPr>
        <w:t>天内，设计人应向发包人缴纳质量保证金。质量保证金可采用银行</w:t>
      </w:r>
      <w:r>
        <w:rPr>
          <w:rFonts w:hint="eastAsia"/>
          <w:color w:val="000000" w:themeColor="text1"/>
          <w:spacing w:val="-1"/>
          <w:lang w:eastAsia="zh-CN"/>
          <w14:textFill>
            <w14:solidFill>
              <w14:schemeClr w14:val="tx1"/>
            </w14:solidFill>
          </w14:textFill>
        </w:rPr>
        <w:t>保函或现金、支票形式，金额应符合专用合同条款的规定。采用银行保函时，出具保函的银行须具有相应担保能力，且按照发包人批准的格式出具，所需费用由设计</w:t>
      </w:r>
    </w:p>
    <w:p>
      <w:pPr>
        <w:pStyle w:val="4"/>
        <w:spacing w:before="74"/>
        <w:ind w:left="424" w:right="-279" w:rightChars="-127"/>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人承担，待项目交工证书签发后</w:t>
      </w:r>
      <w:r>
        <w:rPr>
          <w:rFonts w:ascii="Times New Roman" w:eastAsia="Times New Roman"/>
          <w:color w:val="000000" w:themeColor="text1"/>
          <w:lang w:eastAsia="zh-CN"/>
          <w14:textFill>
            <w14:solidFill>
              <w14:schemeClr w14:val="tx1"/>
            </w14:solidFill>
          </w14:textFill>
        </w:rPr>
        <w:t xml:space="preserve">28 </w:t>
      </w:r>
      <w:r>
        <w:rPr>
          <w:rFonts w:hint="eastAsia"/>
          <w:color w:val="000000" w:themeColor="text1"/>
          <w:lang w:eastAsia="zh-CN"/>
          <w14:textFill>
            <w14:solidFill>
              <w14:schemeClr w14:val="tx1"/>
            </w14:solidFill>
          </w14:textFill>
        </w:rPr>
        <w:t>天内返还给设计人。</w:t>
      </w:r>
    </w:p>
    <w:p>
      <w:pPr>
        <w:pStyle w:val="4"/>
        <w:ind w:right="-279" w:rightChars="-127"/>
        <w:rPr>
          <w:color w:val="000000" w:themeColor="text1"/>
          <w:sz w:val="21"/>
          <w:lang w:eastAsia="zh-CN"/>
          <w14:textFill>
            <w14:solidFill>
              <w14:schemeClr w14:val="tx1"/>
            </w14:solidFill>
          </w14:textFill>
        </w:rPr>
      </w:pPr>
    </w:p>
    <w:p>
      <w:pPr>
        <w:numPr>
          <w:ilvl w:val="0"/>
          <w:numId w:val="14"/>
        </w:numPr>
        <w:tabs>
          <w:tab w:val="left" w:pos="917"/>
        </w:tabs>
        <w:spacing w:before="1"/>
        <w:ind w:left="916" w:right="-279" w:rightChars="-127" w:hanging="492"/>
        <w:rPr>
          <w:rFonts w:ascii="黑体" w:eastAsia="黑体"/>
          <w:b/>
          <w:color w:val="000000" w:themeColor="text1"/>
          <w:sz w:val="28"/>
          <w14:textFill>
            <w14:solidFill>
              <w14:schemeClr w14:val="tx1"/>
            </w14:solidFill>
          </w14:textFill>
        </w:rPr>
      </w:pPr>
      <w:bookmarkStart w:id="30" w:name="_bookmark122"/>
      <w:bookmarkEnd w:id="30"/>
      <w:r>
        <w:rPr>
          <w:rFonts w:hint="eastAsia" w:ascii="黑体" w:eastAsia="黑体"/>
          <w:b/>
          <w:color w:val="000000" w:themeColor="text1"/>
          <w:sz w:val="28"/>
          <w14:textFill>
            <w14:solidFill>
              <w14:schemeClr w14:val="tx1"/>
            </w14:solidFill>
          </w14:textFill>
        </w:rPr>
        <w:t>不可抗力</w:t>
      </w:r>
    </w:p>
    <w:p>
      <w:pPr>
        <w:pStyle w:val="4"/>
        <w:spacing w:before="2"/>
        <w:ind w:right="-279" w:rightChars="-127"/>
        <w:rPr>
          <w:rFonts w:ascii="黑体"/>
          <w:b/>
          <w:color w:val="000000" w:themeColor="text1"/>
          <w:sz w:val="30"/>
          <w14:textFill>
            <w14:solidFill>
              <w14:schemeClr w14:val="tx1"/>
            </w14:solidFill>
          </w14:textFill>
        </w:rPr>
      </w:pPr>
    </w:p>
    <w:p>
      <w:pPr>
        <w:numPr>
          <w:ilvl w:val="1"/>
          <w:numId w:val="14"/>
        </w:numPr>
        <w:tabs>
          <w:tab w:val="left" w:pos="1447"/>
        </w:tabs>
        <w:ind w:left="1446" w:right="-279" w:rightChars="-127"/>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不可抗力的确认</w:t>
      </w:r>
    </w:p>
    <w:p>
      <w:pPr>
        <w:pStyle w:val="30"/>
        <w:numPr>
          <w:ilvl w:val="2"/>
          <w:numId w:val="14"/>
        </w:numPr>
        <w:tabs>
          <w:tab w:val="left" w:pos="162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不可抗力是指设计人和发包人在订立合同时不可预见，在履行合同过程中不可避免发生并不能克服的自然灾害和社会性突发事件，如地震、海啸、瘟疫、</w:t>
      </w:r>
      <w:r>
        <w:rPr>
          <w:rFonts w:hint="eastAsia"/>
          <w:color w:val="000000" w:themeColor="text1"/>
          <w:sz w:val="24"/>
          <w:lang w:eastAsia="zh-CN"/>
          <w14:textFill>
            <w14:solidFill>
              <w14:schemeClr w14:val="tx1"/>
            </w14:solidFill>
          </w14:textFill>
        </w:rPr>
        <w:t>水灾、骚乱、暴动、战争和专用合同条款约定的其他情形。</w:t>
      </w:r>
    </w:p>
    <w:p>
      <w:pPr>
        <w:pStyle w:val="30"/>
        <w:numPr>
          <w:ilvl w:val="2"/>
          <w:numId w:val="14"/>
        </w:numPr>
        <w:tabs>
          <w:tab w:val="left" w:pos="1625"/>
        </w:tabs>
        <w:spacing w:before="1"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不可抗力发生后，发包人和设计人应及时认真统计所造成的损失，收集</w:t>
      </w:r>
      <w:r>
        <w:rPr>
          <w:rFonts w:hint="eastAsia"/>
          <w:color w:val="000000" w:themeColor="text1"/>
          <w:spacing w:val="-9"/>
          <w:sz w:val="24"/>
          <w:lang w:eastAsia="zh-CN"/>
          <w14:textFill>
            <w14:solidFill>
              <w14:schemeClr w14:val="tx1"/>
            </w14:solidFill>
          </w14:textFill>
        </w:rPr>
        <w:t>不可抗力造成损失的证据。合同双方对是否属于不可抗力或其损失的意见不一致的，</w:t>
      </w:r>
      <w:r>
        <w:rPr>
          <w:rFonts w:hint="eastAsia"/>
          <w:color w:val="000000" w:themeColor="text1"/>
          <w:sz w:val="24"/>
          <w:lang w:eastAsia="zh-CN"/>
          <w14:textFill>
            <w14:solidFill>
              <w14:schemeClr w14:val="tx1"/>
            </w14:solidFill>
          </w14:textFill>
        </w:rPr>
        <w:t>由合同双方协商确定。</w:t>
      </w:r>
    </w:p>
    <w:p>
      <w:pPr>
        <w:numPr>
          <w:ilvl w:val="1"/>
          <w:numId w:val="57"/>
        </w:numPr>
        <w:tabs>
          <w:tab w:val="left" w:pos="144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不可抗力的通知</w:t>
      </w:r>
    </w:p>
    <w:p>
      <w:pPr>
        <w:pStyle w:val="30"/>
        <w:numPr>
          <w:ilvl w:val="2"/>
          <w:numId w:val="57"/>
        </w:numPr>
        <w:tabs>
          <w:tab w:val="left" w:pos="1625"/>
        </w:tabs>
        <w:spacing w:before="173"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合同一方当事人遇到不可抗力事件，使其履行合同义务受到阻碍时，应立即通知合同另一方当事人，书面说明不可抗力和受阻碍的详细情况，并提供必要</w:t>
      </w:r>
      <w:r>
        <w:rPr>
          <w:rFonts w:hint="eastAsia"/>
          <w:color w:val="000000" w:themeColor="text1"/>
          <w:sz w:val="24"/>
          <w:lang w:eastAsia="zh-CN"/>
          <w14:textFill>
            <w14:solidFill>
              <w14:schemeClr w14:val="tx1"/>
            </w14:solidFill>
          </w14:textFill>
        </w:rPr>
        <w:t>的证明。</w:t>
      </w:r>
    </w:p>
    <w:p>
      <w:pPr>
        <w:pStyle w:val="30"/>
        <w:numPr>
          <w:ilvl w:val="2"/>
          <w:numId w:val="57"/>
        </w:numPr>
        <w:tabs>
          <w:tab w:val="left" w:pos="1625"/>
        </w:tabs>
        <w:spacing w:before="1" w:line="374" w:lineRule="auto"/>
        <w:ind w:right="-279" w:rightChars="-127"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如不可抗力持续发生，合同一方当事人应及时向合同另一方当事人提交</w:t>
      </w:r>
      <w:r>
        <w:rPr>
          <w:rFonts w:hint="eastAsia"/>
          <w:color w:val="000000" w:themeColor="text1"/>
          <w:spacing w:val="-11"/>
          <w:sz w:val="24"/>
          <w:lang w:eastAsia="zh-CN"/>
          <w14:textFill>
            <w14:solidFill>
              <w14:schemeClr w14:val="tx1"/>
            </w14:solidFill>
          </w14:textFill>
        </w:rPr>
        <w:t>中间报告，说明不可抗力和履行合同受阻的情况，并于不可抗力事件结束后</w:t>
      </w:r>
      <w:r>
        <w:rPr>
          <w:rFonts w:ascii="Times New Roman" w:eastAsia="Times New Roman"/>
          <w:color w:val="000000" w:themeColor="text1"/>
          <w:sz w:val="24"/>
          <w:lang w:eastAsia="zh-CN"/>
          <w14:textFill>
            <w14:solidFill>
              <w14:schemeClr w14:val="tx1"/>
            </w14:solidFill>
          </w14:textFill>
        </w:rPr>
        <w:t xml:space="preserve">28 </w:t>
      </w:r>
      <w:r>
        <w:rPr>
          <w:rFonts w:hint="eastAsia"/>
          <w:color w:val="000000" w:themeColor="text1"/>
          <w:spacing w:val="-8"/>
          <w:sz w:val="24"/>
          <w:lang w:eastAsia="zh-CN"/>
          <w14:textFill>
            <w14:solidFill>
              <w14:schemeClr w14:val="tx1"/>
            </w14:solidFill>
          </w14:textFill>
        </w:rPr>
        <w:t>天内</w:t>
      </w:r>
      <w:r>
        <w:rPr>
          <w:rFonts w:hint="eastAsia"/>
          <w:color w:val="000000" w:themeColor="text1"/>
          <w:sz w:val="24"/>
          <w:lang w:eastAsia="zh-CN"/>
          <w14:textFill>
            <w14:solidFill>
              <w14:schemeClr w14:val="tx1"/>
            </w14:solidFill>
          </w14:textFill>
        </w:rPr>
        <w:t>提交最终报告及有关资料。</w:t>
      </w:r>
    </w:p>
    <w:p>
      <w:pPr>
        <w:numPr>
          <w:ilvl w:val="1"/>
          <w:numId w:val="57"/>
        </w:numPr>
        <w:tabs>
          <w:tab w:val="left" w:pos="144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不可抗力后果及其处理</w:t>
      </w:r>
    </w:p>
    <w:p>
      <w:pPr>
        <w:pStyle w:val="30"/>
        <w:numPr>
          <w:ilvl w:val="2"/>
          <w:numId w:val="57"/>
        </w:numPr>
        <w:tabs>
          <w:tab w:val="left" w:pos="1625"/>
        </w:tabs>
        <w:spacing w:before="172"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7"/>
          <w:sz w:val="24"/>
          <w:lang w:eastAsia="zh-CN"/>
          <w14:textFill>
            <w14:solidFill>
              <w14:schemeClr w14:val="tx1"/>
            </w14:solidFill>
          </w14:textFill>
        </w:rPr>
        <w:t>不可抗力引起的后果及其损失，应由合同当事人依据法律规定各自承担。</w:t>
      </w:r>
      <w:r>
        <w:rPr>
          <w:rFonts w:hint="eastAsia"/>
          <w:color w:val="000000" w:themeColor="text1"/>
          <w:sz w:val="24"/>
          <w:lang w:eastAsia="zh-CN"/>
          <w14:textFill>
            <w14:solidFill>
              <w14:schemeClr w14:val="tx1"/>
            </w14:solidFill>
          </w14:textFill>
        </w:rPr>
        <w:t>不可抗力发生前已完成的勘察设计工作，应当按照合同约定进行支付。</w:t>
      </w:r>
    </w:p>
    <w:p>
      <w:pPr>
        <w:pStyle w:val="30"/>
        <w:numPr>
          <w:ilvl w:val="2"/>
          <w:numId w:val="57"/>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不可抗力发生后，合同当事人应当采取有效措施避免损失进一步扩大，</w:t>
      </w:r>
      <w:r>
        <w:rPr>
          <w:rFonts w:hint="eastAsia"/>
          <w:color w:val="000000" w:themeColor="text1"/>
          <w:sz w:val="24"/>
          <w:lang w:eastAsia="zh-CN"/>
          <w14:textFill>
            <w14:solidFill>
              <w14:schemeClr w14:val="tx1"/>
            </w14:solidFill>
          </w14:textFill>
        </w:rPr>
        <w:t>如未采取有效措施致使损失扩大的，应当自行承担扩大部分的损失。</w:t>
      </w:r>
    </w:p>
    <w:p>
      <w:pPr>
        <w:pStyle w:val="30"/>
        <w:numPr>
          <w:ilvl w:val="2"/>
          <w:numId w:val="57"/>
        </w:numPr>
        <w:tabs>
          <w:tab w:val="left" w:pos="1625"/>
        </w:tabs>
        <w:spacing w:before="1" w:line="374" w:lineRule="auto"/>
        <w:ind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因一方当事人迟延履行合同义务，致使迟延履行期间遭遇不可抗力的，</w:t>
      </w:r>
      <w:r>
        <w:rPr>
          <w:rFonts w:hint="eastAsia"/>
          <w:color w:val="000000" w:themeColor="text1"/>
          <w:sz w:val="24"/>
          <w:lang w:eastAsia="zh-CN"/>
          <w14:textFill>
            <w14:solidFill>
              <w14:schemeClr w14:val="tx1"/>
            </w14:solidFill>
          </w14:textFill>
        </w:rPr>
        <w:t>应由该当事人承担全部损失。</w:t>
      </w:r>
    </w:p>
    <w:p>
      <w:pPr>
        <w:numPr>
          <w:ilvl w:val="0"/>
          <w:numId w:val="14"/>
        </w:numPr>
        <w:tabs>
          <w:tab w:val="left" w:pos="914"/>
        </w:tabs>
        <w:spacing w:before="97"/>
        <w:ind w:left="914" w:right="-279" w:rightChars="-127" w:hanging="490"/>
        <w:rPr>
          <w:rFonts w:ascii="黑体" w:eastAsia="黑体"/>
          <w:b/>
          <w:color w:val="000000" w:themeColor="text1"/>
          <w:sz w:val="28"/>
          <w14:textFill>
            <w14:solidFill>
              <w14:schemeClr w14:val="tx1"/>
            </w14:solidFill>
          </w14:textFill>
        </w:rPr>
      </w:pPr>
      <w:bookmarkStart w:id="31" w:name="_bookmark123"/>
      <w:bookmarkEnd w:id="31"/>
      <w:r>
        <w:rPr>
          <w:rFonts w:hint="eastAsia" w:ascii="黑体" w:eastAsia="黑体"/>
          <w:b/>
          <w:color w:val="000000" w:themeColor="text1"/>
          <w:sz w:val="28"/>
          <w14:textFill>
            <w14:solidFill>
              <w14:schemeClr w14:val="tx1"/>
            </w14:solidFill>
          </w14:textFill>
        </w:rPr>
        <w:t>违约</w:t>
      </w:r>
    </w:p>
    <w:p>
      <w:pPr>
        <w:pStyle w:val="4"/>
        <w:spacing w:before="3"/>
        <w:ind w:right="-279" w:rightChars="-127"/>
        <w:rPr>
          <w:rFonts w:ascii="黑体"/>
          <w:b/>
          <w:color w:val="000000" w:themeColor="text1"/>
          <w:sz w:val="30"/>
          <w14:textFill>
            <w14:solidFill>
              <w14:schemeClr w14:val="tx1"/>
            </w14:solidFill>
          </w14:textFill>
        </w:rPr>
      </w:pPr>
    </w:p>
    <w:p>
      <w:pPr>
        <w:numPr>
          <w:ilvl w:val="1"/>
          <w:numId w:val="14"/>
        </w:numPr>
        <w:tabs>
          <w:tab w:val="left" w:pos="1447"/>
        </w:tabs>
        <w:ind w:left="1446" w:right="-279" w:rightChars="-127"/>
        <w:rPr>
          <w:rFonts w:ascii="Times New Roman" w:eastAsia="Times New Roman"/>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设计人违约</w:t>
      </w:r>
    </w:p>
    <w:p>
      <w:pPr>
        <w:pStyle w:val="30"/>
        <w:numPr>
          <w:ilvl w:val="2"/>
          <w:numId w:val="14"/>
        </w:numPr>
        <w:tabs>
          <w:tab w:val="left" w:pos="1565"/>
        </w:tabs>
        <w:spacing w:before="173"/>
        <w:ind w:left="1564" w:right="-279" w:rightChars="-127" w:hanging="66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合同履行中发生下列情况之一的，属设计人违约：</w:t>
      </w:r>
    </w:p>
    <w:p>
      <w:pPr>
        <w:pStyle w:val="30"/>
        <w:numPr>
          <w:ilvl w:val="0"/>
          <w:numId w:val="58"/>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勘察设计文件不符合法律以及合同约定；</w:t>
      </w:r>
    </w:p>
    <w:p>
      <w:pPr>
        <w:pStyle w:val="30"/>
        <w:numPr>
          <w:ilvl w:val="0"/>
          <w:numId w:val="58"/>
        </w:numPr>
        <w:tabs>
          <w:tab w:val="left" w:pos="1506"/>
        </w:tabs>
        <w:spacing w:before="74"/>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设计人转包、违法分包或者未经发包人同意擅自分包；</w:t>
      </w:r>
    </w:p>
    <w:p>
      <w:pPr>
        <w:pStyle w:val="30"/>
        <w:numPr>
          <w:ilvl w:val="0"/>
          <w:numId w:val="58"/>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设计人未按合同计划完成勘察设计（发包人同意延期的除外</w:t>
      </w:r>
      <w:r>
        <w:rPr>
          <w:rFonts w:hint="eastAsia"/>
          <w:color w:val="000000" w:themeColor="text1"/>
          <w:spacing w:val="-120"/>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w:t>
      </w:r>
    </w:p>
    <w:p>
      <w:pPr>
        <w:pStyle w:val="30"/>
        <w:numPr>
          <w:ilvl w:val="0"/>
          <w:numId w:val="58"/>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设计人无法履行或停止履行合同；</w:t>
      </w:r>
    </w:p>
    <w:p>
      <w:pPr>
        <w:pStyle w:val="30"/>
        <w:numPr>
          <w:ilvl w:val="0"/>
          <w:numId w:val="58"/>
        </w:numPr>
        <w:tabs>
          <w:tab w:val="left" w:pos="1506"/>
        </w:tabs>
        <w:spacing w:before="173"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在收到发包人或咨询单位或上级主管部门提出的审查意见后，设计人未</w:t>
      </w:r>
      <w:r>
        <w:rPr>
          <w:rFonts w:hint="eastAsia"/>
          <w:color w:val="000000" w:themeColor="text1"/>
          <w:spacing w:val="-4"/>
          <w:sz w:val="24"/>
          <w:lang w:eastAsia="zh-CN"/>
          <w14:textFill>
            <w14:solidFill>
              <w14:schemeClr w14:val="tx1"/>
            </w14:solidFill>
          </w14:textFill>
        </w:rPr>
        <w:t>在专用合同条款规定的期限内完成对勘察设计文件的修改；</w:t>
      </w:r>
    </w:p>
    <w:p>
      <w:pPr>
        <w:pStyle w:val="30"/>
        <w:numPr>
          <w:ilvl w:val="0"/>
          <w:numId w:val="58"/>
        </w:numPr>
        <w:tabs>
          <w:tab w:val="left" w:pos="1506"/>
        </w:tabs>
        <w:spacing w:before="1"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设计人在投标文件中承诺的或按合同文件约定的投入本项目的主要勘察</w:t>
      </w:r>
      <w:r>
        <w:rPr>
          <w:rFonts w:hint="eastAsia"/>
          <w:color w:val="000000" w:themeColor="text1"/>
          <w:spacing w:val="-4"/>
          <w:sz w:val="24"/>
          <w:lang w:eastAsia="zh-CN"/>
          <w14:textFill>
            <w14:solidFill>
              <w14:schemeClr w14:val="tx1"/>
            </w14:solidFill>
          </w14:textFill>
        </w:rPr>
        <w:t>设计人员发生变化</w:t>
      </w:r>
      <w:r>
        <w:rPr>
          <w:rFonts w:hint="eastAsia"/>
          <w:color w:val="000000" w:themeColor="text1"/>
          <w:sz w:val="24"/>
          <w:lang w:eastAsia="zh-CN"/>
          <w14:textFill>
            <w14:solidFill>
              <w14:schemeClr w14:val="tx1"/>
            </w14:solidFill>
          </w14:textFill>
        </w:rPr>
        <w:t>（因不可抗力引起的人员变动除外；</w:t>
      </w:r>
    </w:p>
    <w:p>
      <w:pPr>
        <w:pStyle w:val="30"/>
        <w:numPr>
          <w:ilvl w:val="0"/>
          <w:numId w:val="58"/>
        </w:numPr>
        <w:tabs>
          <w:tab w:val="left" w:pos="1506"/>
        </w:tabs>
        <w:spacing w:before="1"/>
        <w:ind w:right="-279" w:rightChars="-127"/>
        <w:rPr>
          <w:color w:val="000000" w:themeColor="text1"/>
          <w:sz w:val="24"/>
          <w:lang w:eastAsia="zh-CN"/>
          <w14:textFill>
            <w14:solidFill>
              <w14:schemeClr w14:val="tx1"/>
            </w14:solidFill>
          </w14:textFill>
        </w:rPr>
      </w:pPr>
      <w:r>
        <w:rPr>
          <w:rFonts w:hint="eastAsia"/>
          <w:color w:val="000000" w:themeColor="text1"/>
          <w:spacing w:val="-6"/>
          <w:sz w:val="24"/>
          <w:lang w:eastAsia="zh-CN"/>
          <w14:textFill>
            <w14:solidFill>
              <w14:schemeClr w14:val="tx1"/>
            </w14:solidFill>
          </w14:textFill>
        </w:rPr>
        <w:t>设计人未按照本合同第</w:t>
      </w:r>
      <w:r>
        <w:rPr>
          <w:rFonts w:ascii="Times New Roman" w:eastAsia="Times New Roman"/>
          <w:color w:val="000000" w:themeColor="text1"/>
          <w:sz w:val="24"/>
          <w:lang w:eastAsia="zh-CN"/>
          <w14:textFill>
            <w14:solidFill>
              <w14:schemeClr w14:val="tx1"/>
            </w14:solidFill>
          </w14:textFill>
        </w:rPr>
        <w:t xml:space="preserve">10.1 </w:t>
      </w:r>
      <w:r>
        <w:rPr>
          <w:rFonts w:hint="eastAsia"/>
          <w:color w:val="000000" w:themeColor="text1"/>
          <w:sz w:val="24"/>
          <w:lang w:eastAsia="zh-CN"/>
          <w14:textFill>
            <w14:solidFill>
              <w14:schemeClr w14:val="tx1"/>
            </w14:solidFill>
          </w14:textFill>
        </w:rPr>
        <w:t>款规定提供招标期间的配合服务；</w:t>
      </w:r>
    </w:p>
    <w:p>
      <w:pPr>
        <w:pStyle w:val="30"/>
        <w:numPr>
          <w:ilvl w:val="0"/>
          <w:numId w:val="58"/>
        </w:numPr>
        <w:tabs>
          <w:tab w:val="left" w:pos="1506"/>
        </w:tabs>
        <w:spacing w:before="172" w:line="374" w:lineRule="auto"/>
        <w:ind w:left="424" w:right="-279" w:rightChars="-127" w:firstLine="480"/>
        <w:rPr>
          <w:color w:val="auto"/>
          <w:sz w:val="24"/>
          <w:highlight w:val="none"/>
          <w:lang w:eastAsia="zh-CN"/>
        </w:rPr>
      </w:pPr>
      <w:r>
        <w:rPr>
          <w:rFonts w:hint="eastAsia"/>
          <w:color w:val="auto"/>
          <w:sz w:val="24"/>
          <w:highlight w:val="none"/>
          <w:lang w:eastAsia="zh-CN"/>
        </w:rPr>
        <w:t>设计人未及时安排合格的专职人员跟踪处理施工中可能出现的设计问题，或未能在发包人和设计人约定的时间内给予答复、完成变更设计；</w:t>
      </w:r>
    </w:p>
    <w:p>
      <w:pPr>
        <w:pStyle w:val="30"/>
        <w:numPr>
          <w:ilvl w:val="0"/>
          <w:numId w:val="58"/>
        </w:numPr>
        <w:tabs>
          <w:tab w:val="left" w:pos="1506"/>
        </w:tabs>
        <w:spacing w:before="1"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因勘察设计深度不够、资料不足、方案缺陷以及勘察设计质量低劣而被</w:t>
      </w:r>
      <w:r>
        <w:rPr>
          <w:rFonts w:hint="eastAsia"/>
          <w:color w:val="000000" w:themeColor="text1"/>
          <w:spacing w:val="-4"/>
          <w:sz w:val="24"/>
          <w:lang w:eastAsia="zh-CN"/>
          <w14:textFill>
            <w14:solidFill>
              <w14:schemeClr w14:val="tx1"/>
            </w14:solidFill>
          </w14:textFill>
        </w:rPr>
        <w:t>要求返工；</w:t>
      </w:r>
    </w:p>
    <w:p>
      <w:pPr>
        <w:pStyle w:val="30"/>
        <w:numPr>
          <w:ilvl w:val="0"/>
          <w:numId w:val="58"/>
        </w:numPr>
        <w:tabs>
          <w:tab w:val="left" w:pos="1627"/>
        </w:tabs>
        <w:spacing w:before="1"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因勘察设计深度不够、资料不足、方案缺陷或质量低劣导致未通过上级</w:t>
      </w:r>
      <w:r>
        <w:rPr>
          <w:rFonts w:hint="eastAsia"/>
          <w:color w:val="000000" w:themeColor="text1"/>
          <w:sz w:val="24"/>
          <w:lang w:eastAsia="zh-CN"/>
          <w14:textFill>
            <w14:solidFill>
              <w14:schemeClr w14:val="tx1"/>
            </w14:solidFill>
          </w14:textFill>
        </w:rPr>
        <w:t>主管部门的审查，或导致本项目造价调整率超过专用合同条款中约定的比例；</w:t>
      </w:r>
    </w:p>
    <w:p>
      <w:pPr>
        <w:pStyle w:val="30"/>
        <w:numPr>
          <w:ilvl w:val="0"/>
          <w:numId w:val="58"/>
        </w:numPr>
        <w:tabs>
          <w:tab w:val="left" w:pos="1622"/>
        </w:tabs>
        <w:spacing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由于设计人的过失或责任引起本项目发生重大设计变更、较大设计变更</w:t>
      </w:r>
      <w:r>
        <w:rPr>
          <w:rFonts w:hint="eastAsia"/>
          <w:color w:val="000000" w:themeColor="text1"/>
          <w:sz w:val="24"/>
          <w:lang w:eastAsia="zh-CN"/>
          <w14:textFill>
            <w14:solidFill>
              <w14:schemeClr w14:val="tx1"/>
            </w14:solidFill>
          </w14:textFill>
        </w:rPr>
        <w:t>或单个合同段因变更引起的工程费用调整累计超过专用合同条款中约定的比例，导致施工工期拖延或者给发包人造成经济损失。重大设计变更及较大设计变更的划分标准参照《公路工程设计变更管理办法》的规定执行；</w:t>
      </w:r>
    </w:p>
    <w:p>
      <w:pPr>
        <w:pStyle w:val="30"/>
        <w:numPr>
          <w:ilvl w:val="0"/>
          <w:numId w:val="58"/>
        </w:numPr>
        <w:tabs>
          <w:tab w:val="left" w:pos="1626"/>
        </w:tabs>
        <w:spacing w:before="2"/>
        <w:ind w:left="1625" w:right="-279" w:rightChars="-127" w:hanging="721"/>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由于设计人的过失或责任导致勘察设计质量事故；</w:t>
      </w:r>
    </w:p>
    <w:p>
      <w:pPr>
        <w:pStyle w:val="30"/>
        <w:numPr>
          <w:ilvl w:val="0"/>
          <w:numId w:val="58"/>
        </w:numPr>
        <w:tabs>
          <w:tab w:val="left" w:pos="1626"/>
        </w:tabs>
        <w:spacing w:before="173"/>
        <w:ind w:left="1625" w:right="-279" w:rightChars="-127" w:hanging="721"/>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设计人不履行合同约定的其他义务。</w:t>
      </w:r>
    </w:p>
    <w:p>
      <w:pPr>
        <w:pStyle w:val="30"/>
        <w:numPr>
          <w:ilvl w:val="2"/>
          <w:numId w:val="14"/>
        </w:numPr>
        <w:tabs>
          <w:tab w:val="left" w:pos="1625"/>
        </w:tabs>
        <w:spacing w:before="172"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设计人发生违约情况时，发包人可向设计人发出整改通知，要求其在限定期限内纠正；逾期仍不纠正的，发包人有权解除合同并向设计人发出解除合同通知。设计人应当承担由于违约所造成的费用增加、周期延误和发包人损失等。发包人有权向设计人课以专用合同条款中约定的违约金，并由发包人将其违约行为上报</w:t>
      </w:r>
      <w:r>
        <w:rPr>
          <w:rFonts w:hint="eastAsia"/>
          <w:color w:val="000000" w:themeColor="text1"/>
          <w:sz w:val="24"/>
          <w:lang w:eastAsia="zh-CN"/>
          <w14:textFill>
            <w14:solidFill>
              <w14:schemeClr w14:val="tx1"/>
            </w14:solidFill>
          </w14:textFill>
        </w:rPr>
        <w:t>省级交通运输主管部门，作为不良记录纳入公路建设市场信用信息管理系统。</w:t>
      </w:r>
    </w:p>
    <w:p>
      <w:pPr>
        <w:numPr>
          <w:ilvl w:val="1"/>
          <w:numId w:val="59"/>
        </w:numPr>
        <w:tabs>
          <w:tab w:val="left" w:pos="1447"/>
        </w:tabs>
        <w:spacing w:before="2"/>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发包人违约</w:t>
      </w:r>
    </w:p>
    <w:p>
      <w:pPr>
        <w:pStyle w:val="30"/>
        <w:numPr>
          <w:ilvl w:val="2"/>
          <w:numId w:val="59"/>
        </w:numPr>
        <w:tabs>
          <w:tab w:val="left" w:pos="1565"/>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合同履行中发生下列情况之一的，属发包人违约：</w:t>
      </w:r>
    </w:p>
    <w:p>
      <w:pPr>
        <w:pStyle w:val="30"/>
        <w:numPr>
          <w:ilvl w:val="0"/>
          <w:numId w:val="60"/>
        </w:numPr>
        <w:tabs>
          <w:tab w:val="left" w:pos="1506"/>
        </w:tabs>
        <w:spacing w:before="172"/>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发包人未按合同约定支付勘察设计费用；</w:t>
      </w:r>
    </w:p>
    <w:p>
      <w:pPr>
        <w:pStyle w:val="30"/>
        <w:numPr>
          <w:ilvl w:val="0"/>
          <w:numId w:val="60"/>
        </w:numPr>
        <w:tabs>
          <w:tab w:val="left" w:pos="1506"/>
        </w:tabs>
        <w:spacing w:before="74"/>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发包人原因造成勘察设计停止；</w:t>
      </w:r>
    </w:p>
    <w:p>
      <w:pPr>
        <w:pStyle w:val="30"/>
        <w:numPr>
          <w:ilvl w:val="0"/>
          <w:numId w:val="60"/>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发包人无法履行或停止履行合同；</w:t>
      </w:r>
    </w:p>
    <w:p>
      <w:pPr>
        <w:pStyle w:val="30"/>
        <w:numPr>
          <w:ilvl w:val="0"/>
          <w:numId w:val="60"/>
        </w:numPr>
        <w:tabs>
          <w:tab w:val="left" w:pos="1506"/>
        </w:tabs>
        <w:spacing w:before="172" w:line="374" w:lineRule="auto"/>
        <w:ind w:left="424" w:right="-279" w:rightChars="-127" w:firstLine="480"/>
        <w:rPr>
          <w:color w:val="000000" w:themeColor="text1"/>
          <w:sz w:val="24"/>
          <w:lang w:eastAsia="zh-CN"/>
          <w14:textFill>
            <w14:solidFill>
              <w14:schemeClr w14:val="tx1"/>
            </w14:solidFill>
          </w14:textFill>
        </w:rPr>
      </w:pPr>
      <w:r>
        <w:rPr>
          <w:rFonts w:hint="eastAsia"/>
          <w:color w:val="000000" w:themeColor="text1"/>
          <w:spacing w:val="-5"/>
          <w:sz w:val="24"/>
          <w:lang w:eastAsia="zh-CN"/>
          <w14:textFill>
            <w14:solidFill>
              <w14:schemeClr w14:val="tx1"/>
            </w14:solidFill>
          </w14:textFill>
        </w:rPr>
        <w:t>由于发包人变更勘察设计项目、规模、条件，或未按合同约定提供勘察</w:t>
      </w:r>
      <w:r>
        <w:rPr>
          <w:rFonts w:hint="eastAsia"/>
          <w:color w:val="000000" w:themeColor="text1"/>
          <w:spacing w:val="-4"/>
          <w:sz w:val="24"/>
          <w:lang w:eastAsia="zh-CN"/>
          <w14:textFill>
            <w14:solidFill>
              <w14:schemeClr w14:val="tx1"/>
            </w14:solidFill>
          </w14:textFill>
        </w:rPr>
        <w:t>设计必需的资料，造成勘察设计的返工、停工、窝工或修改设计；</w:t>
      </w:r>
    </w:p>
    <w:p>
      <w:pPr>
        <w:pStyle w:val="30"/>
        <w:numPr>
          <w:ilvl w:val="0"/>
          <w:numId w:val="60"/>
        </w:numPr>
        <w:tabs>
          <w:tab w:val="left" w:pos="1506"/>
        </w:tabs>
        <w:spacing w:before="1"/>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发包人无正当理由不按时返还履约保证金、质量保证金；</w:t>
      </w:r>
    </w:p>
    <w:p>
      <w:pPr>
        <w:pStyle w:val="30"/>
        <w:numPr>
          <w:ilvl w:val="0"/>
          <w:numId w:val="60"/>
        </w:numPr>
        <w:tabs>
          <w:tab w:val="left" w:pos="1506"/>
        </w:tabs>
        <w:spacing w:before="173"/>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发包人不履行合同约定的其他义务。</w:t>
      </w:r>
    </w:p>
    <w:p>
      <w:pPr>
        <w:pStyle w:val="30"/>
        <w:numPr>
          <w:ilvl w:val="2"/>
          <w:numId w:val="59"/>
        </w:numPr>
        <w:tabs>
          <w:tab w:val="left" w:pos="1625"/>
        </w:tabs>
        <w:spacing w:before="173" w:line="374" w:lineRule="auto"/>
        <w:ind w:left="424" w:right="-279" w:rightChars="-127" w:firstLine="480"/>
        <w:jc w:val="both"/>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发包人发生违约情况时，设计人可向发包人发出暂停勘察设计通知，要</w:t>
      </w:r>
      <w:r>
        <w:rPr>
          <w:rFonts w:hint="eastAsia"/>
          <w:color w:val="000000" w:themeColor="text1"/>
          <w:sz w:val="24"/>
          <w:lang w:eastAsia="zh-CN"/>
          <w14:textFill>
            <w14:solidFill>
              <w14:schemeClr w14:val="tx1"/>
            </w14:solidFill>
          </w14:textFill>
        </w:rPr>
        <w:t>求其在限定期限内纠正；逾期仍不纠正的，设计人有权解除合同并向发包人发出解除合同通知。发包人应当承担由于违约所造成的费用增加、周期延误和设计人损失等。设计人有权向发包人课以专用合同条款中约定的违约金。</w:t>
      </w:r>
    </w:p>
    <w:p>
      <w:pPr>
        <w:numPr>
          <w:ilvl w:val="1"/>
          <w:numId w:val="59"/>
        </w:numPr>
        <w:tabs>
          <w:tab w:val="left" w:pos="1447"/>
        </w:tabs>
        <w:spacing w:before="1"/>
        <w:ind w:right="-279" w:rightChars="-127"/>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第三人造成的违约</w:t>
      </w:r>
    </w:p>
    <w:p>
      <w:pPr>
        <w:pStyle w:val="4"/>
        <w:spacing w:before="172" w:line="374" w:lineRule="auto"/>
        <w:ind w:left="424" w:right="-279" w:rightChars="-127" w:firstLine="479"/>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在履行合同过程中，一方当事人因第三人的原因造成违约的，应当向对方当事人承担违约责任。一方当事人和第三人之间的纠纷，依照法律规定或者按照约定解决。</w:t>
      </w:r>
    </w:p>
    <w:p>
      <w:pPr>
        <w:numPr>
          <w:ilvl w:val="0"/>
          <w:numId w:val="14"/>
        </w:numPr>
        <w:tabs>
          <w:tab w:val="left" w:pos="914"/>
        </w:tabs>
        <w:spacing w:before="98"/>
        <w:ind w:left="914" w:right="-279" w:rightChars="-127" w:hanging="490"/>
        <w:rPr>
          <w:rFonts w:ascii="黑体" w:eastAsia="黑体"/>
          <w:b/>
          <w:color w:val="000000" w:themeColor="text1"/>
          <w:sz w:val="28"/>
          <w14:textFill>
            <w14:solidFill>
              <w14:schemeClr w14:val="tx1"/>
            </w14:solidFill>
          </w14:textFill>
        </w:rPr>
      </w:pPr>
      <w:bookmarkStart w:id="32" w:name="_bookmark124"/>
      <w:bookmarkEnd w:id="32"/>
      <w:r>
        <w:rPr>
          <w:rFonts w:hint="eastAsia" w:ascii="黑体" w:eastAsia="黑体"/>
          <w:b/>
          <w:color w:val="000000" w:themeColor="text1"/>
          <w:sz w:val="28"/>
          <w14:textFill>
            <w14:solidFill>
              <w14:schemeClr w14:val="tx1"/>
            </w14:solidFill>
          </w14:textFill>
        </w:rPr>
        <w:t>争议的解决</w:t>
      </w:r>
    </w:p>
    <w:p>
      <w:pPr>
        <w:pStyle w:val="4"/>
        <w:spacing w:before="3"/>
        <w:ind w:right="-279" w:rightChars="-127"/>
        <w:rPr>
          <w:rFonts w:ascii="黑体"/>
          <w:b/>
          <w:color w:val="000000" w:themeColor="text1"/>
          <w:sz w:val="30"/>
          <w14:textFill>
            <w14:solidFill>
              <w14:schemeClr w14:val="tx1"/>
            </w14:solidFill>
          </w14:textFill>
        </w:rPr>
      </w:pPr>
    </w:p>
    <w:p>
      <w:pPr>
        <w:pStyle w:val="30"/>
        <w:numPr>
          <w:ilvl w:val="1"/>
          <w:numId w:val="14"/>
        </w:numPr>
        <w:tabs>
          <w:tab w:val="left" w:pos="1445"/>
        </w:tabs>
        <w:spacing w:line="374" w:lineRule="auto"/>
        <w:ind w:right="-279" w:rightChars="-127" w:firstLine="480"/>
        <w:rPr>
          <w:rFonts w:ascii="Times New Roman" w:eastAsia="Times New Roman"/>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发包人和设计人在履行合同中发生争议的，可以友好协商解决。合同当事</w:t>
      </w:r>
      <w:r>
        <w:rPr>
          <w:rFonts w:hint="eastAsia"/>
          <w:color w:val="000000" w:themeColor="text1"/>
          <w:sz w:val="24"/>
          <w:lang w:eastAsia="zh-CN"/>
          <w14:textFill>
            <w14:solidFill>
              <w14:schemeClr w14:val="tx1"/>
            </w14:solidFill>
          </w14:textFill>
        </w:rPr>
        <w:t>人友好协商解决不成的，可在专用合同条款中约定按下列一种方式解决：</w:t>
      </w:r>
    </w:p>
    <w:p>
      <w:pPr>
        <w:pStyle w:val="30"/>
        <w:numPr>
          <w:ilvl w:val="0"/>
          <w:numId w:val="61"/>
        </w:numPr>
        <w:tabs>
          <w:tab w:val="left" w:pos="1506"/>
        </w:tabs>
        <w:spacing w:before="1" w:line="360" w:lineRule="auto"/>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向约定的仲裁委员会申请仲裁；</w:t>
      </w:r>
    </w:p>
    <w:p>
      <w:pPr>
        <w:pStyle w:val="30"/>
        <w:numPr>
          <w:ilvl w:val="0"/>
          <w:numId w:val="61"/>
        </w:numPr>
        <w:tabs>
          <w:tab w:val="left" w:pos="1506"/>
        </w:tabs>
        <w:spacing w:before="173" w:line="360" w:lineRule="auto"/>
        <w:ind w:right="-279" w:rightChars="-127"/>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向有管辖权的人民法院提起诉讼。</w:t>
      </w:r>
    </w:p>
    <w:p>
      <w:pPr>
        <w:pStyle w:val="30"/>
        <w:numPr>
          <w:ilvl w:val="1"/>
          <w:numId w:val="14"/>
        </w:numPr>
        <w:tabs>
          <w:tab w:val="left" w:pos="1445"/>
        </w:tabs>
        <w:spacing w:line="374" w:lineRule="auto"/>
        <w:ind w:right="-279" w:rightChars="-127" w:firstLine="480"/>
        <w:rPr>
          <w:color w:val="000000" w:themeColor="text1"/>
          <w:spacing w:val="-3"/>
          <w:sz w:val="24"/>
          <w:lang w:eastAsia="zh-CN"/>
          <w14:textFill>
            <w14:solidFill>
              <w14:schemeClr w14:val="tx1"/>
            </w14:solidFill>
          </w14:textFill>
        </w:rPr>
        <w:sectPr>
          <w:footerReference r:id="rId15" w:type="default"/>
          <w:pgSz w:w="11905" w:h="16838"/>
          <w:pgMar w:top="1440" w:right="1803" w:bottom="1440" w:left="1803" w:header="0" w:footer="992" w:gutter="0"/>
          <w:cols w:space="0" w:num="1"/>
        </w:sectPr>
      </w:pPr>
      <w:r>
        <w:rPr>
          <w:rFonts w:hint="eastAsia"/>
          <w:color w:val="000000" w:themeColor="text1"/>
          <w:spacing w:val="-3"/>
          <w:sz w:val="24"/>
          <w:lang w:eastAsia="zh-CN"/>
          <w14:textFill>
            <w14:solidFill>
              <w14:schemeClr w14:val="tx1"/>
            </w14:solidFill>
          </w14:textFill>
        </w:rPr>
        <w:t>采用仲裁方式最终解决争议的项目，仲裁裁决是终局性的并对发包人和设计人双方均具有约束力。全部仲裁费用应由败诉方承担，或按仲裁委员会裁决的比例分担。</w:t>
      </w:r>
    </w:p>
    <w:p>
      <w:pPr>
        <w:pStyle w:val="10"/>
        <w:ind w:left="2751" w:right="86"/>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第二节专用合同条款</w:t>
      </w:r>
    </w:p>
    <w:p>
      <w:pPr>
        <w:spacing w:before="11"/>
        <w:rPr>
          <w:rFonts w:ascii="黑体" w:hAnsi="黑体" w:eastAsia="黑体" w:cs="黑体"/>
          <w:color w:val="000000" w:themeColor="text1"/>
          <w:sz w:val="26"/>
          <w:szCs w:val="26"/>
          <w:lang w:eastAsia="zh-CN"/>
          <w14:textFill>
            <w14:solidFill>
              <w14:schemeClr w14:val="tx1"/>
            </w14:solidFill>
          </w14:textFill>
        </w:rPr>
      </w:pPr>
    </w:p>
    <w:p>
      <w:pPr>
        <w:pStyle w:val="4"/>
        <w:tabs>
          <w:tab w:val="left" w:pos="1078"/>
        </w:tabs>
        <w:ind w:left="598" w:right="8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说</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明：</w:t>
      </w:r>
    </w:p>
    <w:p>
      <w:pPr>
        <w:spacing w:before="13"/>
        <w:rPr>
          <w:rFonts w:ascii="宋体" w:hAnsi="宋体" w:eastAsia="宋体" w:cs="宋体"/>
          <w:color w:val="000000" w:themeColor="text1"/>
          <w:sz w:val="27"/>
          <w:szCs w:val="27"/>
          <w:lang w:eastAsia="zh-CN"/>
          <w14:textFill>
            <w14:solidFill>
              <w14:schemeClr w14:val="tx1"/>
            </w14:solidFill>
          </w14:textFill>
        </w:rPr>
      </w:pPr>
    </w:p>
    <w:p>
      <w:pPr>
        <w:pStyle w:val="4"/>
        <w:spacing w:before="0" w:line="360" w:lineRule="auto"/>
        <w:ind w:right="103" w:firstLine="480" w:firstLineChars="20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招标人在根据《公路工程标准勘察设计招标文件》编制项目招标文 件中的</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专用合同条款</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时，可根据招标项目的具体特点和实际需要，对</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通 用合同条款</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进行补充、细化。在</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专用合同条款</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中补充或细化的内容，不 得违反法律、行政法规的强制性规定和平等、自愿、公平和诚实信用原则。</w:t>
      </w:r>
    </w:p>
    <w:p>
      <w:pPr>
        <w:pStyle w:val="4"/>
        <w:spacing w:before="0" w:line="360" w:lineRule="auto"/>
        <w:ind w:right="103" w:firstLine="480" w:firstLineChars="200"/>
        <w:jc w:val="both"/>
        <w:rPr>
          <w:rFonts w:cs="宋体"/>
          <w:sz w:val="23"/>
          <w:szCs w:val="23"/>
          <w:lang w:eastAsia="zh-CN"/>
        </w:rPr>
      </w:pPr>
      <w:r>
        <w:rPr>
          <w:rFonts w:ascii="Times New Roman" w:hAnsi="Times New Roman" w:eastAsia="Times New Roman"/>
          <w:color w:val="000000" w:themeColor="text1"/>
          <w:lang w:eastAsia="zh-CN"/>
          <w14:textFill>
            <w14:solidFill>
              <w14:schemeClr w14:val="tx1"/>
            </w14:solidFill>
          </w14:textFill>
        </w:rPr>
        <w:t>2.</w:t>
      </w:r>
      <w:r>
        <w:rPr>
          <w:color w:val="000000" w:themeColor="text1"/>
          <w:lang w:eastAsia="zh-CN"/>
          <w14:textFill>
            <w14:solidFill>
              <w14:schemeClr w14:val="tx1"/>
            </w14:solidFill>
          </w14:textFill>
        </w:rPr>
        <w:t>专用合同条款的编号应与通用合同条款一致。</w:t>
      </w:r>
      <w:r>
        <w:rPr>
          <w:rFonts w:cs="宋体"/>
          <w:sz w:val="23"/>
          <w:szCs w:val="23"/>
          <w:lang w:eastAsia="zh-CN"/>
        </w:rPr>
        <w:br w:type="page"/>
      </w:r>
    </w:p>
    <w:p>
      <w:pPr>
        <w:pStyle w:val="4"/>
        <w:ind w:left="59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根据本项目的具体情况，对通用合同条款的内容做如下补充、细化：</w:t>
      </w:r>
    </w:p>
    <w:p>
      <w:pPr>
        <w:rPr>
          <w:rFonts w:ascii="宋体" w:hAnsi="宋体" w:eastAsia="宋体" w:cs="宋体"/>
          <w:color w:val="000000" w:themeColor="text1"/>
          <w:sz w:val="29"/>
          <w:szCs w:val="29"/>
          <w:lang w:eastAsia="zh-CN"/>
          <w14:textFill>
            <w14:solidFill>
              <w14:schemeClr w14:val="tx1"/>
            </w14:solidFill>
          </w14:textFill>
        </w:rPr>
      </w:pPr>
    </w:p>
    <w:p>
      <w:pPr>
        <w:pStyle w:val="13"/>
        <w:spacing w:before="0"/>
        <w:ind w:left="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1.  1.  </w:t>
      </w:r>
      <w:r>
        <w:rPr>
          <w:color w:val="000000" w:themeColor="text1"/>
          <w:lang w:eastAsia="zh-CN"/>
          <w14:textFill>
            <w14:solidFill>
              <w14:schemeClr w14:val="tx1"/>
            </w14:solidFill>
          </w14:textFill>
        </w:rPr>
        <w:t>一般约定</w:t>
      </w:r>
    </w:p>
    <w:p>
      <w:pPr>
        <w:spacing w:before="244"/>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1.1</w:t>
      </w:r>
      <w:r>
        <w:rPr>
          <w:b/>
          <w:bCs/>
          <w:color w:val="000000" w:themeColor="text1"/>
          <w:sz w:val="24"/>
          <w:szCs w:val="24"/>
          <w:lang w:eastAsia="zh-CN"/>
          <w14:textFill>
            <w14:solidFill>
              <w14:schemeClr w14:val="tx1"/>
            </w14:solidFill>
          </w14:textFill>
        </w:rPr>
        <w:t>词语定义</w:t>
      </w:r>
    </w:p>
    <w:p>
      <w:pPr>
        <w:pStyle w:val="4"/>
        <w:tabs>
          <w:tab w:val="left" w:pos="5698"/>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1.1.2.2</w:t>
      </w:r>
      <w:r>
        <w:rPr>
          <w:color w:val="000000" w:themeColor="text1"/>
          <w:lang w:eastAsia="zh-CN"/>
          <w14:textFill>
            <w14:solidFill>
              <w14:schemeClr w14:val="tx1"/>
            </w14:solidFill>
          </w14:textFill>
        </w:rPr>
        <w:t>发包人：</w:t>
      </w:r>
      <w:r>
        <w:rPr>
          <w:rFonts w:hint="eastAsia"/>
          <w:color w:val="000000" w:themeColor="text1"/>
          <w:u w:val="single"/>
          <w:lang w:eastAsia="zh-CN"/>
          <w14:textFill>
            <w14:solidFill>
              <w14:schemeClr w14:val="tx1"/>
            </w14:solidFill>
          </w14:textFill>
        </w:rPr>
        <w:t>阳西县交通运输局地方公路管理站</w:t>
      </w:r>
      <w:r>
        <w:rPr>
          <w:color w:val="000000" w:themeColor="text1"/>
          <w:lang w:eastAsia="zh-CN"/>
          <w14:textFill>
            <w14:solidFill>
              <w14:schemeClr w14:val="tx1"/>
            </w14:solidFill>
          </w14:textFill>
        </w:rPr>
        <w:t>。</w:t>
      </w:r>
    </w:p>
    <w:p>
      <w:pPr>
        <w:pStyle w:val="4"/>
        <w:tabs>
          <w:tab w:val="left" w:pos="6898"/>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1.1.3.1  </w:t>
      </w:r>
      <w:r>
        <w:rPr>
          <w:color w:val="000000" w:themeColor="text1"/>
          <w:lang w:eastAsia="zh-CN"/>
          <w14:textFill>
            <w14:solidFill>
              <w14:schemeClr w14:val="tx1"/>
            </w14:solidFill>
          </w14:textFill>
        </w:rPr>
        <w:t>本次进行勘察设计招标的项目为</w:t>
      </w:r>
      <w:r>
        <w:rPr>
          <w:rFonts w:hint="eastAsia"/>
          <w:color w:val="000000" w:themeColor="text1"/>
          <w:u w:val="single"/>
          <w:lang w:eastAsia="zh-CN"/>
          <w14:textFill>
            <w14:solidFill>
              <w14:schemeClr w14:val="tx1"/>
            </w14:solidFill>
          </w14:textFill>
        </w:rPr>
        <w:t>阳西县儒洞镇边海村进村大桥工程</w:t>
      </w:r>
      <w:r>
        <w:rPr>
          <w:rFonts w:hint="eastAsia"/>
          <w:color w:val="000000" w:themeColor="text1"/>
          <w:lang w:eastAsia="zh-CN"/>
          <w14:textFill>
            <w14:solidFill>
              <w14:schemeClr w14:val="tx1"/>
            </w14:solidFill>
          </w14:textFill>
        </w:rPr>
        <w:t>。</w:t>
      </w:r>
    </w:p>
    <w:p>
      <w:pPr>
        <w:pStyle w:val="4"/>
        <w:tabs>
          <w:tab w:val="left" w:pos="6059"/>
          <w:tab w:val="left" w:pos="7978"/>
        </w:tabs>
        <w:spacing w:before="147"/>
        <w:ind w:left="142" w:firstLine="456" w:firstLineChars="190"/>
        <w:rPr>
          <w:color w:val="000000" w:themeColor="text1"/>
          <w:u w:val="single"/>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1.1.3.2 </w:t>
      </w:r>
      <w:r>
        <w:rPr>
          <w:color w:val="000000" w:themeColor="text1"/>
          <w:spacing w:val="-1"/>
          <w:lang w:eastAsia="zh-CN"/>
          <w14:textFill>
            <w14:solidFill>
              <w14:schemeClr w14:val="tx1"/>
            </w14:solidFill>
          </w14:textFill>
        </w:rPr>
        <w:t>本合同包括的具体勘察设计服务内容：</w:t>
      </w:r>
      <w:r>
        <w:rPr>
          <w:rFonts w:hint="eastAsia"/>
          <w:color w:val="000000" w:themeColor="text1"/>
          <w:u w:val="single"/>
          <w:lang w:eastAsia="zh-CN"/>
          <w14:textFill>
            <w14:solidFill>
              <w14:schemeClr w14:val="tx1"/>
            </w14:solidFill>
          </w14:textFill>
        </w:rPr>
        <w:t>工程测量、地质钻探、初步设计、施工图设计、预算编制、施工现场跟踪服务等。</w:t>
      </w:r>
    </w:p>
    <w:p>
      <w:pPr>
        <w:spacing w:before="60"/>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1.6</w:t>
      </w:r>
      <w:r>
        <w:rPr>
          <w:b/>
          <w:bCs/>
          <w:color w:val="000000" w:themeColor="text1"/>
          <w:sz w:val="24"/>
          <w:szCs w:val="24"/>
          <w:lang w:eastAsia="zh-CN"/>
          <w14:textFill>
            <w14:solidFill>
              <w14:schemeClr w14:val="tx1"/>
            </w14:solidFill>
          </w14:textFill>
        </w:rPr>
        <w:t>文件的提供和照管</w:t>
      </w:r>
    </w:p>
    <w:p>
      <w:pPr>
        <w:pStyle w:val="4"/>
        <w:tabs>
          <w:tab w:val="left" w:pos="1678"/>
          <w:tab w:val="left" w:pos="4198"/>
          <w:tab w:val="left" w:pos="7391"/>
          <w:tab w:val="left" w:pos="8647"/>
        </w:tabs>
        <w:spacing w:before="147" w:line="345" w:lineRule="auto"/>
        <w:ind w:right="23"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1.6.2 </w:t>
      </w:r>
      <w:r>
        <w:rPr>
          <w:color w:val="000000" w:themeColor="text1"/>
          <w:spacing w:val="21"/>
          <w:lang w:eastAsia="zh-CN"/>
          <w14:textFill>
            <w14:solidFill>
              <w14:schemeClr w14:val="tx1"/>
            </w14:solidFill>
          </w14:textFill>
        </w:rPr>
        <w:t>发包人负责提供的文件包括：</w:t>
      </w:r>
      <w:r>
        <w:rPr>
          <w:color w:val="000000" w:themeColor="text1"/>
          <w:u w:val="single"/>
          <w:lang w:eastAsia="zh-CN"/>
          <w14:textFill>
            <w14:solidFill>
              <w14:schemeClr w14:val="tx1"/>
            </w14:solidFill>
          </w14:textFill>
        </w:rPr>
        <w:t>提供开展勘察设计工作所需要的经省、市有关部门审查批准的前一阶段的文件</w:t>
      </w:r>
      <w:r>
        <w:rPr>
          <w:color w:val="000000" w:themeColor="text1"/>
          <w:spacing w:val="18"/>
          <w:lang w:eastAsia="zh-CN"/>
          <w14:textFill>
            <w14:solidFill>
              <w14:schemeClr w14:val="tx1"/>
            </w14:solidFill>
          </w14:textFill>
        </w:rPr>
        <w:t>，</w:t>
      </w:r>
      <w:r>
        <w:rPr>
          <w:color w:val="000000" w:themeColor="text1"/>
          <w:u w:val="single"/>
          <w:lang w:eastAsia="zh-CN"/>
          <w14:textFill>
            <w14:solidFill>
              <w14:schemeClr w14:val="tx1"/>
            </w14:solidFill>
          </w14:textFill>
        </w:rPr>
        <w:t>提供数量</w:t>
      </w:r>
      <w:r>
        <w:rPr>
          <w:color w:val="000000" w:themeColor="text1"/>
          <w:lang w:eastAsia="zh-CN"/>
          <w14:textFill>
            <w14:solidFill>
              <w14:schemeClr w14:val="tx1"/>
            </w14:solidFill>
          </w14:textFill>
        </w:rPr>
        <w:t>：</w:t>
      </w:r>
      <w:r>
        <w:rPr>
          <w:rFonts w:ascii="Times New Roman" w:eastAsia="Times New Roman"/>
          <w:color w:val="000000" w:themeColor="text1"/>
          <w:u w:val="single"/>
          <w:lang w:eastAsia="zh-CN"/>
          <w14:textFill>
            <w14:solidFill>
              <w14:schemeClr w14:val="tx1"/>
            </w14:solidFill>
          </w14:textFill>
        </w:rPr>
        <w:t xml:space="preserve">1 </w:t>
      </w:r>
      <w:r>
        <w:rPr>
          <w:color w:val="000000" w:themeColor="text1"/>
          <w:u w:val="single"/>
          <w:lang w:eastAsia="zh-CN"/>
          <w14:textFill>
            <w14:solidFill>
              <w14:schemeClr w14:val="tx1"/>
            </w14:solidFill>
          </w14:textFill>
        </w:rPr>
        <w:t>套</w:t>
      </w:r>
      <w:r>
        <w:rPr>
          <w:color w:val="000000" w:themeColor="text1"/>
          <w:lang w:eastAsia="zh-CN"/>
          <w14:textFill>
            <w14:solidFill>
              <w14:schemeClr w14:val="tx1"/>
            </w14:solidFill>
          </w14:textFill>
        </w:rPr>
        <w:t>，提供期限：</w:t>
      </w:r>
      <w:r>
        <w:rPr>
          <w:color w:val="000000" w:themeColor="text1"/>
          <w:spacing w:val="-10"/>
          <w:u w:val="single"/>
          <w:lang w:eastAsia="zh-CN"/>
          <w14:textFill>
            <w14:solidFill>
              <w14:schemeClr w14:val="tx1"/>
            </w14:solidFill>
          </w14:textFill>
        </w:rPr>
        <w:t xml:space="preserve">签订合同后 </w:t>
      </w:r>
      <w:r>
        <w:rPr>
          <w:rFonts w:ascii="Times New Roman" w:eastAsia="Times New Roman"/>
          <w:color w:val="000000" w:themeColor="text1"/>
          <w:u w:val="single"/>
          <w:lang w:eastAsia="zh-CN"/>
          <w14:textFill>
            <w14:solidFill>
              <w14:schemeClr w14:val="tx1"/>
            </w14:solidFill>
          </w14:textFill>
        </w:rPr>
        <w:t xml:space="preserve">7 </w:t>
      </w:r>
      <w:r>
        <w:rPr>
          <w:color w:val="000000" w:themeColor="text1"/>
          <w:u w:val="single"/>
          <w:lang w:eastAsia="zh-CN"/>
          <w14:textFill>
            <w14:solidFill>
              <w14:schemeClr w14:val="tx1"/>
            </w14:solidFill>
          </w14:textFill>
        </w:rPr>
        <w:t>天内</w:t>
      </w:r>
      <w:r>
        <w:rPr>
          <w:color w:val="000000" w:themeColor="text1"/>
          <w:lang w:eastAsia="zh-CN"/>
          <w14:textFill>
            <w14:solidFill>
              <w14:schemeClr w14:val="tx1"/>
            </w14:solidFill>
          </w14:textFill>
        </w:rPr>
        <w:t>。</w:t>
      </w:r>
    </w:p>
    <w:p>
      <w:pPr>
        <w:pStyle w:val="13"/>
        <w:spacing w:before="148"/>
        <w:ind w:left="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3.  </w:t>
      </w:r>
      <w:r>
        <w:rPr>
          <w:color w:val="000000" w:themeColor="text1"/>
          <w:lang w:eastAsia="zh-CN"/>
          <w14:textFill>
            <w14:solidFill>
              <w14:schemeClr w14:val="tx1"/>
            </w14:solidFill>
          </w14:textFill>
        </w:rPr>
        <w:t>发包人管理</w:t>
      </w:r>
    </w:p>
    <w:p>
      <w:pPr>
        <w:spacing w:before="244"/>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 xml:space="preserve">3.2  </w:t>
      </w:r>
      <w:r>
        <w:rPr>
          <w:b/>
          <w:bCs/>
          <w:color w:val="000000" w:themeColor="text1"/>
          <w:sz w:val="24"/>
          <w:szCs w:val="24"/>
          <w:lang w:eastAsia="zh-CN"/>
          <w14:textFill>
            <w14:solidFill>
              <w14:schemeClr w14:val="tx1"/>
            </w14:solidFill>
          </w14:textFill>
        </w:rPr>
        <w:t>监理人</w:t>
      </w:r>
    </w:p>
    <w:p>
      <w:pPr>
        <w:pStyle w:val="4"/>
        <w:tabs>
          <w:tab w:val="left" w:pos="6238"/>
        </w:tabs>
        <w:spacing w:before="147"/>
        <w:ind w:left="59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本工程是否委托监理人进行勘察设计监理：否</w:t>
      </w:r>
    </w:p>
    <w:p>
      <w:pPr>
        <w:spacing w:before="244"/>
        <w:ind w:left="598"/>
        <w:rPr>
          <w:b/>
          <w:bCs/>
          <w:color w:val="000000" w:themeColor="text1"/>
          <w:sz w:val="24"/>
          <w:szCs w:val="24"/>
          <w:lang w:eastAsia="zh-CN"/>
          <w14:textFill>
            <w14:solidFill>
              <w14:schemeClr w14:val="tx1"/>
            </w14:solidFill>
          </w14:textFill>
        </w:rPr>
      </w:pPr>
      <w:r>
        <w:rPr>
          <w:b/>
          <w:bCs/>
          <w:color w:val="000000" w:themeColor="text1"/>
          <w:sz w:val="24"/>
          <w:szCs w:val="24"/>
          <w:lang w:eastAsia="zh-CN"/>
          <w14:textFill>
            <w14:solidFill>
              <w14:schemeClr w14:val="tx1"/>
            </w14:solidFill>
          </w14:textFill>
        </w:rPr>
        <w:t>3.4决定或答复</w:t>
      </w:r>
    </w:p>
    <w:p>
      <w:pPr>
        <w:pStyle w:val="4"/>
        <w:tabs>
          <w:tab w:val="left" w:pos="6238"/>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3.4.1  </w:t>
      </w:r>
      <w:r>
        <w:rPr>
          <w:color w:val="000000" w:themeColor="text1"/>
          <w:lang w:eastAsia="zh-CN"/>
          <w14:textFill>
            <w14:solidFill>
              <w14:schemeClr w14:val="tx1"/>
            </w14:solidFill>
          </w14:textFill>
        </w:rPr>
        <w:t>发包人应在收到设计人书面提出的事项后</w:t>
      </w:r>
      <w:r>
        <w:rPr>
          <w:rFonts w:hint="eastAsia" w:ascii="Times New Roman" w:hAnsi="Times New Roman" w:eastAsia="Times New Roman"/>
          <w:color w:val="000000" w:themeColor="text1"/>
          <w:u w:val="single" w:color="010101"/>
          <w:lang w:eastAsia="zh-CN"/>
          <w14:textFill>
            <w14:solidFill>
              <w14:schemeClr w14:val="tx1"/>
            </w14:solidFill>
          </w14:textFill>
        </w:rPr>
        <w:t xml:space="preserve">  /  </w:t>
      </w:r>
      <w:r>
        <w:rPr>
          <w:color w:val="000000" w:themeColor="text1"/>
          <w:lang w:eastAsia="zh-CN"/>
          <w14:textFill>
            <w14:solidFill>
              <w14:schemeClr w14:val="tx1"/>
            </w14:solidFill>
          </w14:textFill>
        </w:rPr>
        <w:t>天内作出书面答复。</w:t>
      </w:r>
    </w:p>
    <w:p>
      <w:pPr>
        <w:pStyle w:val="13"/>
        <w:spacing w:before="148"/>
        <w:ind w:left="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4.设计人义务</w:t>
      </w:r>
    </w:p>
    <w:p>
      <w:pPr>
        <w:pStyle w:val="4"/>
        <w:spacing w:before="3"/>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4.1.6.3</w:t>
      </w:r>
      <w:r>
        <w:rPr>
          <w:color w:val="000000" w:themeColor="text1"/>
          <w:lang w:eastAsia="zh-CN"/>
          <w14:textFill>
            <w14:solidFill>
              <w14:schemeClr w14:val="tx1"/>
            </w14:solidFill>
          </w14:textFill>
        </w:rPr>
        <w:t>款末增加以下内容：同时不应损害发包人的利益。</w:t>
      </w:r>
    </w:p>
    <w:p>
      <w:pPr>
        <w:spacing w:before="134"/>
        <w:ind w:left="118" w:firstLine="480" w:firstLineChars="200"/>
        <w:rPr>
          <w:b/>
          <w:bCs/>
          <w:color w:val="000000" w:themeColor="text1"/>
          <w:sz w:val="10"/>
          <w:szCs w:val="10"/>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4.1.6.6</w:t>
      </w:r>
      <w:r>
        <w:rPr>
          <w:b/>
          <w:bCs/>
          <w:color w:val="000000" w:themeColor="text1"/>
          <w:sz w:val="24"/>
          <w:szCs w:val="24"/>
          <w:lang w:eastAsia="zh-CN"/>
          <w14:textFill>
            <w14:solidFill>
              <w14:schemeClr w14:val="tx1"/>
            </w14:solidFill>
          </w14:textFill>
        </w:rPr>
        <w:t>款后增加</w:t>
      </w:r>
      <w:r>
        <w:rPr>
          <w:rFonts w:ascii="Times New Roman" w:hAnsi="Times New Roman" w:eastAsia="Times New Roman"/>
          <w:b/>
          <w:bCs/>
          <w:color w:val="000000" w:themeColor="text1"/>
          <w:sz w:val="24"/>
          <w:szCs w:val="24"/>
          <w:lang w:eastAsia="zh-CN"/>
          <w14:textFill>
            <w14:solidFill>
              <w14:schemeClr w14:val="tx1"/>
            </w14:solidFill>
          </w14:textFill>
        </w:rPr>
        <w:t>4.1.6.7~4.1.6.</w:t>
      </w:r>
      <w:r>
        <w:rPr>
          <w:rFonts w:hint="eastAsia" w:ascii="Times New Roman" w:hAnsi="Times New Roman" w:eastAsiaTheme="minorEastAsia"/>
          <w:b/>
          <w:bCs/>
          <w:color w:val="000000" w:themeColor="text1"/>
          <w:sz w:val="24"/>
          <w:szCs w:val="24"/>
          <w:lang w:eastAsia="zh-CN"/>
          <w14:textFill>
            <w14:solidFill>
              <w14:schemeClr w14:val="tx1"/>
            </w14:solidFill>
          </w14:textFill>
        </w:rPr>
        <w:t>16</w:t>
      </w:r>
      <w:r>
        <w:rPr>
          <w:b/>
          <w:bCs/>
          <w:color w:val="000000" w:themeColor="text1"/>
          <w:sz w:val="24"/>
          <w:szCs w:val="24"/>
          <w:lang w:eastAsia="zh-CN"/>
          <w14:textFill>
            <w14:solidFill>
              <w14:schemeClr w14:val="tx1"/>
            </w14:solidFill>
          </w14:textFill>
        </w:rPr>
        <w:t>条款。</w:t>
      </w:r>
    </w:p>
    <w:p>
      <w:pPr>
        <w:pStyle w:val="4"/>
        <w:spacing w:line="345" w:lineRule="auto"/>
        <w:ind w:right="237"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4.1.6.7 </w:t>
      </w:r>
      <w:r>
        <w:rPr>
          <w:color w:val="000000" w:themeColor="text1"/>
          <w:spacing w:val="-4"/>
          <w:lang w:eastAsia="zh-CN"/>
          <w14:textFill>
            <w14:solidFill>
              <w14:schemeClr w14:val="tx1"/>
            </w14:solidFill>
          </w14:textFill>
        </w:rPr>
        <w:t xml:space="preserve">如发包人根据工程需要和政府要求，将本项目中的一部分工点或构造 </w:t>
      </w:r>
      <w:r>
        <w:rPr>
          <w:color w:val="000000" w:themeColor="text1"/>
          <w:spacing w:val="-3"/>
          <w:lang w:eastAsia="zh-CN"/>
          <w14:textFill>
            <w14:solidFill>
              <w14:schemeClr w14:val="tx1"/>
            </w14:solidFill>
          </w14:textFill>
        </w:rPr>
        <w:t xml:space="preserve">物另行委托设计时，设计人必须向发包人提交已有的原始资料和已完成的设计资 </w:t>
      </w:r>
      <w:r>
        <w:rPr>
          <w:color w:val="000000" w:themeColor="text1"/>
          <w:lang w:eastAsia="zh-CN"/>
          <w14:textFill>
            <w14:solidFill>
              <w14:schemeClr w14:val="tx1"/>
            </w14:solidFill>
          </w14:textFill>
        </w:rPr>
        <w:t>料，其费用按已完成的工作量核定。</w:t>
      </w:r>
    </w:p>
    <w:p>
      <w:pPr>
        <w:pStyle w:val="4"/>
        <w:spacing w:before="47" w:line="348" w:lineRule="auto"/>
        <w:ind w:right="126"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4.1.6.8 </w:t>
      </w:r>
      <w:r>
        <w:rPr>
          <w:color w:val="000000" w:themeColor="text1"/>
          <w:lang w:eastAsia="zh-CN"/>
          <w14:textFill>
            <w14:solidFill>
              <w14:schemeClr w14:val="tx1"/>
            </w14:solidFill>
          </w14:textFill>
        </w:rPr>
        <w:t xml:space="preserve">设计人签署合同后每开展一阶段的工作，需将该阶段工作详细内容、 </w:t>
      </w:r>
      <w:r>
        <w:rPr>
          <w:color w:val="000000" w:themeColor="text1"/>
          <w:spacing w:val="-3"/>
          <w:lang w:eastAsia="zh-CN"/>
          <w14:textFill>
            <w14:solidFill>
              <w14:schemeClr w14:val="tx1"/>
            </w14:solidFill>
          </w14:textFill>
        </w:rPr>
        <w:t xml:space="preserve">进度等上报给发包人，经发包人书面允许后方可开展该阶段工作；且在每个阶段 </w:t>
      </w:r>
      <w:r>
        <w:rPr>
          <w:color w:val="000000" w:themeColor="text1"/>
          <w:lang w:eastAsia="zh-CN"/>
          <w14:textFill>
            <w14:solidFill>
              <w14:schemeClr w14:val="tx1"/>
            </w14:solidFill>
          </w14:textFill>
        </w:rPr>
        <w:t>结束后，须由发包人或发包人上级主管单位进行验收。</w:t>
      </w:r>
    </w:p>
    <w:p>
      <w:pPr>
        <w:pStyle w:val="4"/>
        <w:spacing w:before="44" w:line="357" w:lineRule="auto"/>
        <w:ind w:right="117" w:firstLine="480"/>
        <w:jc w:val="both"/>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设计人必须按照合同规定进行初步设计和施工图设计，并进行交叉作业。当 设计主管部门对前一段设计进行批复后，其结果影响后一段工作内容时，设计人 </w:t>
      </w:r>
      <w:r>
        <w:rPr>
          <w:color w:val="000000" w:themeColor="text1"/>
          <w:spacing w:val="-6"/>
          <w:lang w:eastAsia="zh-CN"/>
          <w14:textFill>
            <w14:solidFill>
              <w14:schemeClr w14:val="tx1"/>
            </w14:solidFill>
          </w14:textFill>
        </w:rPr>
        <w:t>必须无条件执行批复内容。所有修改的费用，均含入报价中，发包人不另行支付。</w:t>
      </w:r>
    </w:p>
    <w:p>
      <w:pPr>
        <w:pStyle w:val="4"/>
        <w:spacing w:before="35" w:line="352" w:lineRule="auto"/>
        <w:ind w:right="126"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4.1.6.9 </w:t>
      </w:r>
      <w:r>
        <w:rPr>
          <w:color w:val="000000" w:themeColor="text1"/>
          <w:spacing w:val="-4"/>
          <w:lang w:eastAsia="zh-CN"/>
          <w14:textFill>
            <w14:solidFill>
              <w14:schemeClr w14:val="tx1"/>
            </w14:solidFill>
          </w14:textFill>
        </w:rPr>
        <w:t xml:space="preserve">设计人应充分利用广东省高速公路设计标准化既有成果，根据设计标 准化的相关文件（含有可能在设计周期内颁布的文件）要求，推行设计标准化在 </w:t>
      </w:r>
      <w:r>
        <w:rPr>
          <w:color w:val="000000" w:themeColor="text1"/>
          <w:lang w:eastAsia="zh-CN"/>
          <w14:textFill>
            <w14:solidFill>
              <w14:schemeClr w14:val="tx1"/>
            </w14:solidFill>
          </w14:textFill>
        </w:rPr>
        <w:t xml:space="preserve">本项目的应用，设计人在使用标准图和参考图时，必须结合具体工程项目特点， </w:t>
      </w:r>
      <w:r>
        <w:rPr>
          <w:color w:val="000000" w:themeColor="text1"/>
          <w:spacing w:val="-3"/>
          <w:lang w:eastAsia="zh-CN"/>
          <w14:textFill>
            <w14:solidFill>
              <w14:schemeClr w14:val="tx1"/>
            </w14:solidFill>
          </w14:textFill>
        </w:rPr>
        <w:t xml:space="preserve">认真负责地把握其可靠性、适用性、综合性、科学性，严禁生搬硬套和超范围使 用。特别是采用单体构件或部件标准图和参考图时，应对工程结构或构造物进行 </w:t>
      </w:r>
      <w:r>
        <w:rPr>
          <w:color w:val="000000" w:themeColor="text1"/>
          <w:lang w:eastAsia="zh-CN"/>
          <w14:textFill>
            <w14:solidFill>
              <w14:schemeClr w14:val="tx1"/>
            </w14:solidFill>
          </w14:textFill>
        </w:rPr>
        <w:t>系统分析、检算，确保整体工程的安全性。</w:t>
      </w:r>
    </w:p>
    <w:p>
      <w:pPr>
        <w:pStyle w:val="4"/>
        <w:spacing w:before="41" w:line="357" w:lineRule="auto"/>
        <w:ind w:right="237" w:firstLine="480"/>
        <w:jc w:val="both"/>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同时设计人应根据项目特点，科学论证、合理选择桥涵结构物建设方案，树 立全寿命设计理念，重视桥涵结构物耐久性设计，延长桥涵结构物使用寿命；推 广应用先进可靠的新技术、新工艺和新装备，提高桥梁施工的精细化和标准化水 </w:t>
      </w:r>
      <w:r>
        <w:rPr>
          <w:color w:val="000000" w:themeColor="text1"/>
          <w:lang w:eastAsia="zh-CN"/>
          <w14:textFill>
            <w14:solidFill>
              <w14:schemeClr w14:val="tx1"/>
            </w14:solidFill>
          </w14:textFill>
        </w:rPr>
        <w:t>平，以达到缩短工期，节约工程造价的目的。</w:t>
      </w:r>
    </w:p>
    <w:p>
      <w:pPr>
        <w:pStyle w:val="4"/>
        <w:spacing w:before="35" w:line="350" w:lineRule="auto"/>
        <w:ind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4.1.6.10 </w:t>
      </w:r>
      <w:r>
        <w:rPr>
          <w:color w:val="000000" w:themeColor="text1"/>
          <w:spacing w:val="-4"/>
          <w:lang w:eastAsia="zh-CN"/>
          <w14:textFill>
            <w14:solidFill>
              <w14:schemeClr w14:val="tx1"/>
            </w14:solidFill>
          </w14:textFill>
        </w:rPr>
        <w:t xml:space="preserve">设计人应结合项目具体情况，贯彻落实广东省高速公路设计标准化、 造价标准化（含设计工程量编制标准化）编制实施细则。设计人在设计标准化成 </w:t>
      </w:r>
      <w:r>
        <w:rPr>
          <w:color w:val="000000" w:themeColor="text1"/>
          <w:spacing w:val="-3"/>
          <w:lang w:eastAsia="zh-CN"/>
          <w14:textFill>
            <w14:solidFill>
              <w14:schemeClr w14:val="tx1"/>
            </w14:solidFill>
          </w14:textFill>
        </w:rPr>
        <w:t xml:space="preserve">果使用中发现存在安全质量问题时，应立即采取有效措施，并及时报告，并负责 </w:t>
      </w:r>
      <w:r>
        <w:rPr>
          <w:color w:val="000000" w:themeColor="text1"/>
          <w:lang w:eastAsia="zh-CN"/>
          <w14:textFill>
            <w14:solidFill>
              <w14:schemeClr w14:val="tx1"/>
            </w14:solidFill>
          </w14:textFill>
        </w:rPr>
        <w:t>对相关图纸在本项目的修改完善。</w:t>
      </w:r>
    </w:p>
    <w:p>
      <w:pPr>
        <w:pStyle w:val="4"/>
        <w:spacing w:before="42" w:line="348" w:lineRule="auto"/>
        <w:ind w:right="236"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spacing w:val="-1"/>
          <w:lang w:eastAsia="zh-CN"/>
          <w14:textFill>
            <w14:solidFill>
              <w14:schemeClr w14:val="tx1"/>
            </w14:solidFill>
          </w14:textFill>
        </w:rPr>
        <w:t>4.1.6.11</w:t>
      </w:r>
      <w:r>
        <w:rPr>
          <w:color w:val="000000" w:themeColor="text1"/>
          <w:spacing w:val="-8"/>
          <w:lang w:eastAsia="zh-CN"/>
          <w14:textFill>
            <w14:solidFill>
              <w14:schemeClr w14:val="tx1"/>
            </w14:solidFill>
          </w14:textFill>
        </w:rPr>
        <w:t>发包人将视情况选择某一段作为先行工程开工（如有），各设计人必</w:t>
      </w:r>
      <w:r>
        <w:rPr>
          <w:color w:val="000000" w:themeColor="text1"/>
          <w:spacing w:val="-4"/>
          <w:lang w:eastAsia="zh-CN"/>
          <w14:textFill>
            <w14:solidFill>
              <w14:schemeClr w14:val="tx1"/>
            </w14:solidFill>
          </w14:textFill>
        </w:rPr>
        <w:t xml:space="preserve">须根据发包人的相关要求按时提交先行工程的相关设计文件（图纸、清单、预算 </w:t>
      </w:r>
      <w:r>
        <w:rPr>
          <w:color w:val="000000" w:themeColor="text1"/>
          <w:spacing w:val="-6"/>
          <w:lang w:eastAsia="zh-CN"/>
          <w14:textFill>
            <w14:solidFill>
              <w14:schemeClr w14:val="tx1"/>
            </w14:solidFill>
          </w14:textFill>
        </w:rPr>
        <w:t>等），相关费用已包含在合同报价中，发包人不再另行支付。</w:t>
      </w:r>
    </w:p>
    <w:p>
      <w:pPr>
        <w:pStyle w:val="4"/>
        <w:spacing w:before="44" w:line="348" w:lineRule="auto"/>
        <w:ind w:right="102" w:firstLine="480"/>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 xml:space="preserve">4.1.6.12 </w:t>
      </w:r>
      <w:r>
        <w:rPr>
          <w:rFonts w:hint="eastAsia"/>
          <w:color w:val="000000" w:themeColor="text1"/>
          <w:spacing w:val="-4"/>
          <w:lang w:eastAsia="zh-CN"/>
          <w14:textFill>
            <w14:solidFill>
              <w14:schemeClr w14:val="tx1"/>
            </w14:solidFill>
          </w14:textFill>
        </w:rPr>
        <w:t>设计人应组成设计项目组进行设计直至设计文件获得评审通过，设计人员组成需获得发包人同意。设计期间，发包人对项目组人员进行考核，发包人有权对考核不达标设计人进行罚款处罚（累计罚款金额不高于设计费的5%）。在本项目施工各阶段期间安排专职人员跟踪处理施工中可能出现的设计问题，专职人员满足项目开展要求，及时配合解决有关问题，保障工程顺利进行。</w:t>
      </w:r>
    </w:p>
    <w:p>
      <w:pPr>
        <w:pStyle w:val="4"/>
        <w:spacing w:before="56" w:line="348" w:lineRule="auto"/>
        <w:ind w:right="126"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4.1.6.13 </w:t>
      </w:r>
      <w:r>
        <w:rPr>
          <w:color w:val="000000" w:themeColor="text1"/>
          <w:lang w:eastAsia="zh-CN"/>
          <w14:textFill>
            <w14:solidFill>
              <w14:schemeClr w14:val="tx1"/>
            </w14:solidFill>
          </w14:textFill>
        </w:rPr>
        <w:t>广东省交通运输厅已全面推行高速公路设计标准化工作，各标段的 设计人应按有关规定在本项目设计中充分应用我省公路设计标准化的技术成果。 此费用已综合考虑在投标报价中</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不另行支付。</w:t>
      </w:r>
    </w:p>
    <w:p>
      <w:pPr>
        <w:pStyle w:val="4"/>
        <w:spacing w:before="15" w:line="352" w:lineRule="auto"/>
        <w:ind w:right="102"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4.1.6.14 </w:t>
      </w:r>
      <w:r>
        <w:rPr>
          <w:color w:val="000000" w:themeColor="text1"/>
          <w:lang w:eastAsia="zh-CN"/>
          <w14:textFill>
            <w14:solidFill>
              <w14:schemeClr w14:val="tx1"/>
            </w14:solidFill>
          </w14:textFill>
        </w:rPr>
        <w:t xml:space="preserve">对国内设计经验不足或有特殊要求的单位工程或分部工程，若发包 </w:t>
      </w:r>
      <w:r>
        <w:rPr>
          <w:color w:val="000000" w:themeColor="text1"/>
          <w:spacing w:val="-3"/>
          <w:lang w:eastAsia="zh-CN"/>
          <w14:textFill>
            <w14:solidFill>
              <w14:schemeClr w14:val="tx1"/>
            </w14:solidFill>
          </w14:textFill>
        </w:rPr>
        <w:t xml:space="preserve">人或其上级主管单位认为需要另行单独委托设计，而设计人又尚未开展此项设计 </w:t>
      </w:r>
      <w:r>
        <w:rPr>
          <w:color w:val="000000" w:themeColor="text1"/>
          <w:spacing w:val="-6"/>
          <w:lang w:eastAsia="zh-CN"/>
          <w14:textFill>
            <w14:solidFill>
              <w14:schemeClr w14:val="tx1"/>
            </w14:solidFill>
          </w14:textFill>
        </w:rPr>
        <w:t>工作，发包人将提前通知设计人取消该项设计内容，并合理扣除设计人的设计费，</w:t>
      </w:r>
      <w:r>
        <w:rPr>
          <w:color w:val="000000" w:themeColor="text1"/>
          <w:spacing w:val="-3"/>
          <w:lang w:eastAsia="zh-CN"/>
          <w14:textFill>
            <w14:solidFill>
              <w14:schemeClr w14:val="tx1"/>
            </w14:solidFill>
          </w14:textFill>
        </w:rPr>
        <w:t xml:space="preserve">设计人需无条件接受。另行委托的其他设计人承担的设计在提交正式成果前原则 上应得到原设计人的同意。设计人为履行上述义务而可能发生的一切费用均视为 </w:t>
      </w:r>
      <w:r>
        <w:rPr>
          <w:color w:val="000000" w:themeColor="text1"/>
          <w:lang w:eastAsia="zh-CN"/>
          <w14:textFill>
            <w14:solidFill>
              <w14:schemeClr w14:val="tx1"/>
            </w14:solidFill>
          </w14:textFill>
        </w:rPr>
        <w:t>计入投标报价中，发包人将不另行支付。</w:t>
      </w:r>
    </w:p>
    <w:p>
      <w:pPr>
        <w:pStyle w:val="4"/>
        <w:spacing w:before="40" w:line="348" w:lineRule="auto"/>
        <w:ind w:right="102"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4.1.6.15 </w:t>
      </w:r>
      <w:r>
        <w:rPr>
          <w:color w:val="000000" w:themeColor="text1"/>
          <w:lang w:eastAsia="zh-CN"/>
          <w14:textFill>
            <w14:solidFill>
              <w14:schemeClr w14:val="tx1"/>
            </w14:solidFill>
          </w14:textFill>
        </w:rPr>
        <w:t xml:space="preserve">两阶段设计必须于发包人规定的时段内，在认可的地方进行集中设 </w:t>
      </w:r>
      <w:r>
        <w:rPr>
          <w:color w:val="000000" w:themeColor="text1"/>
          <w:spacing w:val="-6"/>
          <w:lang w:eastAsia="zh-CN"/>
          <w14:textFill>
            <w14:solidFill>
              <w14:schemeClr w14:val="tx1"/>
            </w14:solidFill>
          </w14:textFill>
        </w:rPr>
        <w:t xml:space="preserve">计。由此而产生的费用已包含在报价中，发包人不另行支付。如果设计人不执行， </w:t>
      </w:r>
      <w:r>
        <w:rPr>
          <w:color w:val="000000" w:themeColor="text1"/>
          <w:lang w:eastAsia="zh-CN"/>
          <w14:textFill>
            <w14:solidFill>
              <w14:schemeClr w14:val="tx1"/>
            </w14:solidFill>
          </w14:textFill>
        </w:rPr>
        <w:t>则视为设计人违约处理。</w:t>
      </w:r>
    </w:p>
    <w:p>
      <w:pPr>
        <w:pStyle w:val="4"/>
        <w:spacing w:before="54" w:line="350" w:lineRule="auto"/>
        <w:ind w:right="237"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4.1.6.</w:t>
      </w:r>
      <w:r>
        <w:rPr>
          <w:rFonts w:hint="eastAsia" w:ascii="Times New Roman" w:hAnsi="Times New Roman" w:eastAsiaTheme="minorEastAsia"/>
          <w:color w:val="000000" w:themeColor="text1"/>
          <w:lang w:eastAsia="zh-CN"/>
          <w14:textFill>
            <w14:solidFill>
              <w14:schemeClr w14:val="tx1"/>
            </w14:solidFill>
          </w14:textFill>
        </w:rPr>
        <w:t>16</w:t>
      </w:r>
      <w:r>
        <w:rPr>
          <w:color w:val="000000" w:themeColor="text1"/>
          <w:lang w:eastAsia="zh-CN"/>
          <w14:textFill>
            <w14:solidFill>
              <w14:schemeClr w14:val="tx1"/>
            </w14:solidFill>
          </w14:textFill>
        </w:rPr>
        <w:t>对于发包人向政府部门申报的前期专项工作，设计人应积极配合发</w:t>
      </w:r>
      <w:r>
        <w:rPr>
          <w:color w:val="000000" w:themeColor="text1"/>
          <w:spacing w:val="-3"/>
          <w:lang w:eastAsia="zh-CN"/>
          <w14:textFill>
            <w14:solidFill>
              <w14:schemeClr w14:val="tx1"/>
            </w14:solidFill>
          </w14:textFill>
        </w:rPr>
        <w:t xml:space="preserve">包人和前期专项编制单位，同时，设计人应充分考虑到政府部门审批可能导致的时间延误，合理调配好各阶段的设计工作，努力降低所产生的影响，由此可能产 </w:t>
      </w:r>
      <w:r>
        <w:rPr>
          <w:color w:val="000000" w:themeColor="text1"/>
          <w:lang w:eastAsia="zh-CN"/>
          <w14:textFill>
            <w14:solidFill>
              <w14:schemeClr w14:val="tx1"/>
            </w14:solidFill>
          </w14:textFill>
        </w:rPr>
        <w:t>生的费用已包含在投标报价中，发包人不另行支付。</w:t>
      </w:r>
    </w:p>
    <w:p>
      <w:pPr>
        <w:pStyle w:val="13"/>
        <w:spacing w:before="0"/>
        <w:ind w:left="0" w:right="103"/>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5.  </w:t>
      </w:r>
      <w:r>
        <w:rPr>
          <w:color w:val="000000" w:themeColor="text1"/>
          <w:lang w:eastAsia="zh-CN"/>
          <w14:textFill>
            <w14:solidFill>
              <w14:schemeClr w14:val="tx1"/>
            </w14:solidFill>
          </w14:textFill>
        </w:rPr>
        <w:t>勘察设计要求</w:t>
      </w:r>
    </w:p>
    <w:p>
      <w:pPr>
        <w:spacing w:before="244"/>
        <w:ind w:left="598" w:right="103"/>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5.1</w:t>
      </w:r>
      <w:r>
        <w:rPr>
          <w:b/>
          <w:bCs/>
          <w:color w:val="000000" w:themeColor="text1"/>
          <w:sz w:val="24"/>
          <w:szCs w:val="24"/>
          <w:lang w:eastAsia="zh-CN"/>
          <w14:textFill>
            <w14:solidFill>
              <w14:schemeClr w14:val="tx1"/>
            </w14:solidFill>
          </w14:textFill>
        </w:rPr>
        <w:t>一般要求</w:t>
      </w:r>
    </w:p>
    <w:p>
      <w:pPr>
        <w:pStyle w:val="4"/>
        <w:spacing w:before="5"/>
        <w:ind w:left="598" w:right="103"/>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5.1.1款细化如下：</w:t>
      </w:r>
    </w:p>
    <w:p>
      <w:pPr>
        <w:pStyle w:val="4"/>
        <w:spacing w:before="35" w:line="348" w:lineRule="auto"/>
        <w:ind w:right="131"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5.1.1发包人应遵守法律、规范标准以及发包人颁发的勘察设计实施方案、细则、标准图及通用图等，不得以任何理由要求设计人违反法律和工程质量、安全标准进行勘察设计服务，降低工程质量。</w:t>
      </w:r>
    </w:p>
    <w:p>
      <w:pPr>
        <w:pStyle w:val="4"/>
        <w:spacing w:before="37"/>
        <w:ind w:left="59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增加5.1.6款~5.1.8款</w:t>
      </w:r>
    </w:p>
    <w:p>
      <w:pPr>
        <w:pStyle w:val="4"/>
        <w:spacing w:before="152" w:line="357" w:lineRule="auto"/>
        <w:ind w:right="221" w:firstLine="54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5.1.6</w:t>
      </w:r>
      <w:r>
        <w:rPr>
          <w:color w:val="000000" w:themeColor="text1"/>
          <w:spacing w:val="-4"/>
          <w:lang w:eastAsia="zh-CN"/>
          <w14:textFill>
            <w14:solidFill>
              <w14:schemeClr w14:val="tx1"/>
            </w14:solidFill>
          </w14:textFill>
        </w:rPr>
        <w:t>设计人提供的勘察设计成果必须满足工程施工的需要，若由于设计人</w:t>
      </w:r>
      <w:r>
        <w:rPr>
          <w:color w:val="000000" w:themeColor="text1"/>
          <w:spacing w:val="-3"/>
          <w:lang w:eastAsia="zh-CN"/>
          <w14:textFill>
            <w14:solidFill>
              <w14:schemeClr w14:val="tx1"/>
            </w14:solidFill>
          </w14:textFill>
        </w:rPr>
        <w:t>勘察深度不足(包括勘察不准确、地质地形不符等)、设计调查不全面或设计方案 欠妥等设计人原因造成需要补勘、完善、修改或变更设计的，设计人在收到发包</w:t>
      </w:r>
      <w:r>
        <w:rPr>
          <w:color w:val="000000" w:themeColor="text1"/>
          <w:lang w:eastAsia="zh-CN"/>
          <w14:textFill>
            <w14:solidFill>
              <w14:schemeClr w14:val="tx1"/>
            </w14:solidFill>
          </w14:textFill>
        </w:rPr>
        <w:t>人的通知后必须2</w:t>
      </w:r>
      <w:r>
        <w:rPr>
          <w:color w:val="000000" w:themeColor="text1"/>
          <w:spacing w:val="-4"/>
          <w:lang w:eastAsia="zh-CN"/>
          <w14:textFill>
            <w14:solidFill>
              <w14:schemeClr w14:val="tx1"/>
            </w14:solidFill>
          </w14:textFill>
        </w:rPr>
        <w:t>天内到达现场开展补勘或加密勘探，否则发包人有权委托其他</w:t>
      </w:r>
      <w:r>
        <w:rPr>
          <w:color w:val="000000" w:themeColor="text1"/>
          <w:spacing w:val="-3"/>
          <w:lang w:eastAsia="zh-CN"/>
          <w14:textFill>
            <w14:solidFill>
              <w14:schemeClr w14:val="tx1"/>
            </w14:solidFill>
          </w14:textFill>
        </w:rPr>
        <w:t>有资质的单位完成本项工作而无须设计人同意，其实际发生地质勘察费用与设计</w:t>
      </w:r>
      <w:r>
        <w:rPr>
          <w:color w:val="000000" w:themeColor="text1"/>
          <w:lang w:eastAsia="zh-CN"/>
          <w14:textFill>
            <w14:solidFill>
              <w14:schemeClr w14:val="tx1"/>
            </w14:solidFill>
          </w14:textFill>
        </w:rPr>
        <w:t>合同中相关费用的差额及变更的设计费由设计人承担，并按合同条款课以违约金。</w:t>
      </w:r>
    </w:p>
    <w:p>
      <w:pPr>
        <w:pStyle w:val="4"/>
        <w:spacing w:before="35" w:line="357" w:lineRule="auto"/>
        <w:ind w:right="102" w:firstLine="60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5.1.7 设计人应结合项目是否穿越或邻近水源保护区、森林公园、石油天</w:t>
      </w:r>
      <w:r>
        <w:rPr>
          <w:color w:val="000000" w:themeColor="text1"/>
          <w:spacing w:val="-3"/>
          <w:lang w:eastAsia="zh-CN"/>
          <w14:textFill>
            <w14:solidFill>
              <w14:schemeClr w14:val="tx1"/>
            </w14:solidFill>
          </w14:textFill>
        </w:rPr>
        <w:t>然气管道、铁路，是否与高速公路交叉互通等特点，在进行相关设计方案时，应 充分考虑施工可行性，并对上述工程的临时工程和设施进行专项设计，临时工程</w:t>
      </w:r>
      <w:r>
        <w:rPr>
          <w:color w:val="000000" w:themeColor="text1"/>
          <w:spacing w:val="-6"/>
          <w:lang w:eastAsia="zh-CN"/>
          <w14:textFill>
            <w14:solidFill>
              <w14:schemeClr w14:val="tx1"/>
            </w14:solidFill>
          </w14:textFill>
        </w:rPr>
        <w:t>和设施包括但不限于跨越或邻近水源保护区、森林公园、石油天然气管道、铁路，</w:t>
      </w:r>
      <w:r>
        <w:rPr>
          <w:color w:val="000000" w:themeColor="text1"/>
          <w:spacing w:val="-3"/>
          <w:lang w:eastAsia="zh-CN"/>
          <w14:textFill>
            <w14:solidFill>
              <w14:schemeClr w14:val="tx1"/>
            </w14:solidFill>
          </w14:textFill>
        </w:rPr>
        <w:t>并与高速公路交叉互通的防护设计、重要工点的临时措施方案设计，并将费用纳</w:t>
      </w:r>
      <w:r>
        <w:rPr>
          <w:color w:val="000000" w:themeColor="text1"/>
          <w:lang w:eastAsia="zh-CN"/>
          <w14:textFill>
            <w14:solidFill>
              <w14:schemeClr w14:val="tx1"/>
            </w14:solidFill>
          </w14:textFill>
        </w:rPr>
        <w:t>入概、预算和工程量清单中，避免设计施工方案和费用脱节。</w:t>
      </w:r>
    </w:p>
    <w:p>
      <w:pPr>
        <w:pStyle w:val="4"/>
        <w:spacing w:before="82" w:line="391" w:lineRule="auto"/>
        <w:ind w:left="125" w:right="358" w:firstLine="480"/>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5.1.8</w:t>
      </w:r>
      <w:r>
        <w:rPr>
          <w:color w:val="000000" w:themeColor="text1"/>
          <w:spacing w:val="2"/>
          <w:lang w:eastAsia="zh-CN"/>
          <w14:textFill>
            <w14:solidFill>
              <w14:schemeClr w14:val="tx1"/>
            </w14:solidFill>
          </w14:textFill>
        </w:rPr>
        <w:t>设计人在编制项目概算时，应对项目建设所需主要材料价格、征地</w:t>
      </w:r>
      <w:r>
        <w:rPr>
          <w:color w:val="000000" w:themeColor="text1"/>
          <w:lang w:eastAsia="zh-CN"/>
          <w14:textFill>
            <w14:solidFill>
              <w14:schemeClr w14:val="tx1"/>
            </w14:solidFill>
          </w14:textFill>
        </w:rPr>
        <w:t>拆迁政策、新技术应用等主要造价影响因素进行调查分析，并充分考虑拆迁的政策性调整、工期延长、方案变更等影响，同时结合“双标管理”就临建标准化、“优质优价”、“优监优酬”、奖金、反击破碎石、借土资源及远运、跨水源安保防护等要求，计算合理的费用。</w:t>
      </w:r>
    </w:p>
    <w:p>
      <w:pPr>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 xml:space="preserve">5.3  </w:t>
      </w:r>
      <w:r>
        <w:rPr>
          <w:b/>
          <w:bCs/>
          <w:color w:val="000000" w:themeColor="text1"/>
          <w:sz w:val="24"/>
          <w:szCs w:val="24"/>
          <w:lang w:eastAsia="zh-CN"/>
          <w14:textFill>
            <w14:solidFill>
              <w14:schemeClr w14:val="tx1"/>
            </w14:solidFill>
          </w14:textFill>
        </w:rPr>
        <w:t>勘察设计范围</w:t>
      </w:r>
    </w:p>
    <w:p>
      <w:pPr>
        <w:pStyle w:val="4"/>
        <w:tabs>
          <w:tab w:val="left" w:pos="5038"/>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5.3.2</w:t>
      </w:r>
      <w:r>
        <w:rPr>
          <w:color w:val="000000" w:themeColor="text1"/>
          <w:lang w:eastAsia="zh-CN"/>
          <w14:textFill>
            <w14:solidFill>
              <w14:schemeClr w14:val="tx1"/>
            </w14:solidFill>
          </w14:textFill>
        </w:rPr>
        <w:t>工程范围包括：</w:t>
      </w:r>
      <w:r>
        <w:rPr>
          <w:rFonts w:hint="eastAsia"/>
          <w:color w:val="000000" w:themeColor="text1"/>
          <w:u w:val="single" w:color="010101"/>
          <w:lang w:eastAsia="zh-CN"/>
          <w14:textFill>
            <w14:solidFill>
              <w14:schemeClr w14:val="tx1"/>
            </w14:solidFill>
          </w14:textFill>
        </w:rPr>
        <w:t>阳西县儒洞镇边海村进村大桥工程</w:t>
      </w:r>
      <w:r>
        <w:rPr>
          <w:color w:val="000000" w:themeColor="text1"/>
          <w:lang w:eastAsia="zh-CN"/>
          <w14:textFill>
            <w14:solidFill>
              <w14:schemeClr w14:val="tx1"/>
            </w14:solidFill>
          </w14:textFill>
        </w:rPr>
        <w:t>。</w:t>
      </w:r>
    </w:p>
    <w:p>
      <w:pPr>
        <w:pStyle w:val="4"/>
        <w:tabs>
          <w:tab w:val="left" w:pos="5038"/>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5.3.3</w:t>
      </w:r>
      <w:r>
        <w:rPr>
          <w:color w:val="000000" w:themeColor="text1"/>
          <w:lang w:eastAsia="zh-CN"/>
          <w14:textFill>
            <w14:solidFill>
              <w14:schemeClr w14:val="tx1"/>
            </w14:solidFill>
          </w14:textFill>
        </w:rPr>
        <w:t>阶段范围包括：</w:t>
      </w:r>
      <w:r>
        <w:rPr>
          <w:rFonts w:hint="eastAsia"/>
          <w:color w:val="000000" w:themeColor="text1"/>
          <w:lang w:eastAsia="zh-CN"/>
          <w14:textFill>
            <w14:solidFill>
              <w14:schemeClr w14:val="tx1"/>
            </w14:solidFill>
          </w14:textFill>
        </w:rPr>
        <w:t>两阶段</w:t>
      </w:r>
      <w:r>
        <w:rPr>
          <w:color w:val="000000" w:themeColor="text1"/>
          <w:lang w:eastAsia="zh-CN"/>
          <w14:textFill>
            <w14:solidFill>
              <w14:schemeClr w14:val="tx1"/>
            </w14:solidFill>
          </w14:textFill>
        </w:rPr>
        <w:t>。</w:t>
      </w:r>
    </w:p>
    <w:p>
      <w:pPr>
        <w:pStyle w:val="4"/>
        <w:tabs>
          <w:tab w:val="left" w:pos="5038"/>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5.3.4</w:t>
      </w:r>
      <w:r>
        <w:rPr>
          <w:color w:val="000000" w:themeColor="text1"/>
          <w:lang w:eastAsia="zh-CN"/>
          <w14:textFill>
            <w14:solidFill>
              <w14:schemeClr w14:val="tx1"/>
            </w14:solidFill>
          </w14:textFill>
        </w:rPr>
        <w:t>工作范围包括：</w:t>
      </w:r>
      <w:r>
        <w:rPr>
          <w:rFonts w:hint="eastAsia"/>
          <w:color w:val="000000" w:themeColor="text1"/>
          <w:lang w:eastAsia="zh-CN"/>
          <w14:textFill>
            <w14:solidFill>
              <w14:schemeClr w14:val="tx1"/>
            </w14:solidFill>
          </w14:textFill>
        </w:rPr>
        <w:t>勘察、设计</w:t>
      </w:r>
      <w:r>
        <w:rPr>
          <w:color w:val="000000" w:themeColor="text1"/>
          <w:lang w:eastAsia="zh-CN"/>
          <w14:textFill>
            <w14:solidFill>
              <w14:schemeClr w14:val="tx1"/>
            </w14:solidFill>
          </w14:textFill>
        </w:rPr>
        <w:t>。</w:t>
      </w:r>
    </w:p>
    <w:p>
      <w:pPr>
        <w:spacing w:before="5"/>
        <w:ind w:left="53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 xml:space="preserve">5.4  </w:t>
      </w:r>
      <w:r>
        <w:rPr>
          <w:b/>
          <w:bCs/>
          <w:color w:val="000000" w:themeColor="text1"/>
          <w:sz w:val="24"/>
          <w:szCs w:val="24"/>
          <w:lang w:eastAsia="zh-CN"/>
          <w14:textFill>
            <w14:solidFill>
              <w14:schemeClr w14:val="tx1"/>
            </w14:solidFill>
          </w14:textFill>
        </w:rPr>
        <w:t>勘察作业要求</w:t>
      </w:r>
    </w:p>
    <w:p>
      <w:pPr>
        <w:pStyle w:val="4"/>
        <w:spacing w:before="134" w:line="357" w:lineRule="auto"/>
        <w:ind w:left="538" w:right="45"/>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5.4.2 勘探增加以下内容：</w:t>
      </w:r>
    </w:p>
    <w:p>
      <w:pPr>
        <w:pStyle w:val="4"/>
        <w:spacing w:line="355" w:lineRule="auto"/>
        <w:ind w:left="238" w:right="111" w:firstLine="420"/>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（5）设计人应设立勘测、勘察现场机构，负责现场勘测、勘察工作及发包人</w:t>
      </w:r>
      <w:r>
        <w:rPr>
          <w:color w:val="000000" w:themeColor="text1"/>
          <w:lang w:eastAsia="zh-CN"/>
          <w14:textFill>
            <w14:solidFill>
              <w14:schemeClr w14:val="tx1"/>
            </w14:solidFill>
          </w14:textFill>
        </w:rPr>
        <w:t>管理工作。具体要求如下：</w:t>
      </w:r>
    </w:p>
    <w:p>
      <w:pPr>
        <w:pStyle w:val="4"/>
        <w:spacing w:before="37" w:line="357" w:lineRule="auto"/>
        <w:ind w:left="238" w:right="220" w:firstLine="60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①设计人开展地质勘察前，需将该阶段的工作内容、实施方案、详细的计</w:t>
      </w:r>
      <w:r>
        <w:rPr>
          <w:color w:val="000000" w:themeColor="text1"/>
          <w:spacing w:val="-3"/>
          <w:lang w:eastAsia="zh-CN"/>
          <w14:textFill>
            <w14:solidFill>
              <w14:schemeClr w14:val="tx1"/>
            </w14:solidFill>
          </w14:textFill>
        </w:rPr>
        <w:t>划进度表、及投入的机械和人员上报给发包人；</w:t>
      </w:r>
      <w:r>
        <w:rPr>
          <w:color w:val="000000" w:themeColor="text1"/>
          <w:spacing w:val="-1"/>
          <w:lang w:eastAsia="zh-CN"/>
          <w14:textFill>
            <w14:solidFill>
              <w14:schemeClr w14:val="tx1"/>
            </w14:solidFill>
          </w14:textFill>
        </w:rPr>
        <w:t>发包人将组织对设计人上报内容进行审查。且设计人须得到发包人以书面</w:t>
      </w:r>
      <w:r>
        <w:rPr>
          <w:color w:val="000000" w:themeColor="text1"/>
          <w:lang w:eastAsia="zh-CN"/>
          <w14:textFill>
            <w14:solidFill>
              <w14:schemeClr w14:val="tx1"/>
            </w14:solidFill>
          </w14:textFill>
        </w:rPr>
        <w:t>的形式允许后方可实施。</w:t>
      </w:r>
    </w:p>
    <w:p>
      <w:pPr>
        <w:pStyle w:val="4"/>
        <w:spacing w:before="35" w:line="357" w:lineRule="auto"/>
        <w:ind w:left="238" w:right="306" w:firstLine="60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②</w:t>
      </w:r>
      <w:r>
        <w:rPr>
          <w:color w:val="000000" w:themeColor="text1"/>
          <w:spacing w:val="-1"/>
          <w:lang w:eastAsia="zh-CN"/>
          <w14:textFill>
            <w14:solidFill>
              <w14:schemeClr w14:val="tx1"/>
            </w14:solidFill>
          </w14:textFill>
        </w:rPr>
        <w:t>若设计人根据现场情况需变更地质勘察的方案，需经发包人签字确认后</w:t>
      </w:r>
      <w:r>
        <w:rPr>
          <w:color w:val="000000" w:themeColor="text1"/>
          <w:lang w:eastAsia="zh-CN"/>
          <w14:textFill>
            <w14:solidFill>
              <w14:schemeClr w14:val="tx1"/>
            </w14:solidFill>
          </w14:textFill>
        </w:rPr>
        <w:t>方可实施；</w:t>
      </w:r>
    </w:p>
    <w:p>
      <w:pPr>
        <w:pStyle w:val="4"/>
        <w:spacing w:before="35" w:line="357" w:lineRule="auto"/>
        <w:ind w:left="238" w:right="246" w:firstLine="600"/>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③</w:t>
      </w:r>
      <w:r>
        <w:rPr>
          <w:color w:val="000000" w:themeColor="text1"/>
          <w:lang w:eastAsia="zh-CN"/>
          <w14:textFill>
            <w14:solidFill>
              <w14:schemeClr w14:val="tx1"/>
            </w14:solidFill>
          </w14:textFill>
        </w:rPr>
        <w:t>设计人的地质勘察报告必须经发包人审查确认后（勘察监理人退场后的钻探除外），才能作为设计依据，且作为发包人该阶段计量支付的依据。</w:t>
      </w:r>
    </w:p>
    <w:p>
      <w:pPr>
        <w:spacing w:before="179"/>
        <w:ind w:left="718" w:right="246"/>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 xml:space="preserve">5.7  </w:t>
      </w:r>
      <w:r>
        <w:rPr>
          <w:b/>
          <w:bCs/>
          <w:color w:val="000000" w:themeColor="text1"/>
          <w:sz w:val="24"/>
          <w:szCs w:val="24"/>
          <w:lang w:eastAsia="zh-CN"/>
          <w14:textFill>
            <w14:solidFill>
              <w14:schemeClr w14:val="tx1"/>
            </w14:solidFill>
          </w14:textFill>
        </w:rPr>
        <w:t>安全作业要求</w:t>
      </w:r>
    </w:p>
    <w:p>
      <w:pPr>
        <w:pStyle w:val="4"/>
        <w:spacing w:before="147"/>
        <w:ind w:left="718" w:right="111"/>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5.7.1 </w:t>
      </w:r>
      <w:r>
        <w:rPr>
          <w:color w:val="000000" w:themeColor="text1"/>
          <w:lang w:eastAsia="zh-CN"/>
          <w14:textFill>
            <w14:solidFill>
              <w14:schemeClr w14:val="tx1"/>
            </w14:solidFill>
          </w14:textFill>
        </w:rPr>
        <w:t>设计人编制安全措施计划的期限：</w:t>
      </w:r>
      <w:r>
        <w:rPr>
          <w:color w:val="000000" w:themeColor="text1"/>
          <w:u w:val="single" w:color="010101"/>
          <w:lang w:eastAsia="zh-CN"/>
          <w14:textFill>
            <w14:solidFill>
              <w14:schemeClr w14:val="tx1"/>
            </w14:solidFill>
          </w14:textFill>
        </w:rPr>
        <w:t xml:space="preserve">签订合同协议书后 </w:t>
      </w:r>
      <w:r>
        <w:rPr>
          <w:rFonts w:ascii="Times New Roman" w:hAnsi="Times New Roman" w:eastAsia="Times New Roman"/>
          <w:color w:val="000000" w:themeColor="text1"/>
          <w:u w:val="single" w:color="010101"/>
          <w:lang w:eastAsia="zh-CN"/>
          <w14:textFill>
            <w14:solidFill>
              <w14:schemeClr w14:val="tx1"/>
            </w14:solidFill>
          </w14:textFill>
        </w:rPr>
        <w:t xml:space="preserve">28 </w:t>
      </w:r>
      <w:r>
        <w:rPr>
          <w:color w:val="000000" w:themeColor="text1"/>
          <w:u w:val="single" w:color="010101"/>
          <w:lang w:eastAsia="zh-CN"/>
          <w14:textFill>
            <w14:solidFill>
              <w14:schemeClr w14:val="tx1"/>
            </w14:solidFill>
          </w14:textFill>
        </w:rPr>
        <w:t>天之内</w:t>
      </w:r>
      <w:r>
        <w:rPr>
          <w:color w:val="000000" w:themeColor="text1"/>
          <w:lang w:eastAsia="zh-CN"/>
          <w14:textFill>
            <w14:solidFill>
              <w14:schemeClr w14:val="tx1"/>
            </w14:solidFill>
          </w14:textFill>
        </w:rPr>
        <w:t>。</w:t>
      </w:r>
    </w:p>
    <w:p>
      <w:pPr>
        <w:spacing w:before="13"/>
        <w:rPr>
          <w:color w:val="000000" w:themeColor="text1"/>
          <w:sz w:val="17"/>
          <w:szCs w:val="17"/>
          <w:lang w:eastAsia="zh-CN"/>
          <w14:textFill>
            <w14:solidFill>
              <w14:schemeClr w14:val="tx1"/>
            </w14:solidFill>
          </w14:textFill>
        </w:rPr>
      </w:pPr>
    </w:p>
    <w:p>
      <w:pPr>
        <w:pStyle w:val="13"/>
        <w:spacing w:before="0"/>
        <w:ind w:left="0" w:right="103"/>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6.开始勘察设计和完成勘察设计</w:t>
      </w:r>
    </w:p>
    <w:p>
      <w:pPr>
        <w:spacing w:before="244"/>
        <w:ind w:left="718" w:right="246"/>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 xml:space="preserve">6.1  </w:t>
      </w:r>
      <w:r>
        <w:rPr>
          <w:b/>
          <w:bCs/>
          <w:color w:val="000000" w:themeColor="text1"/>
          <w:sz w:val="24"/>
          <w:szCs w:val="24"/>
          <w:lang w:eastAsia="zh-CN"/>
          <w14:textFill>
            <w14:solidFill>
              <w14:schemeClr w14:val="tx1"/>
            </w14:solidFill>
          </w14:textFill>
        </w:rPr>
        <w:t>开始勘察设计</w:t>
      </w:r>
    </w:p>
    <w:p>
      <w:pPr>
        <w:pStyle w:val="4"/>
        <w:spacing w:before="147" w:line="345" w:lineRule="auto"/>
        <w:ind w:left="0" w:right="306" w:firstLine="717" w:firstLineChars="299"/>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6.1.1 </w:t>
      </w:r>
      <w:r>
        <w:rPr>
          <w:color w:val="000000" w:themeColor="text1"/>
          <w:lang w:eastAsia="zh-CN"/>
          <w14:textFill>
            <w14:solidFill>
              <w14:schemeClr w14:val="tx1"/>
            </w14:solidFill>
          </w14:textFill>
        </w:rPr>
        <w:t>满足以下条件时，设计人应开始勘察设计工作：</w:t>
      </w:r>
      <w:r>
        <w:rPr>
          <w:color w:val="000000" w:themeColor="text1"/>
          <w:u w:val="single" w:color="010101"/>
          <w:lang w:eastAsia="zh-CN"/>
          <w14:textFill>
            <w14:solidFill>
              <w14:schemeClr w14:val="tx1"/>
            </w14:solidFill>
          </w14:textFill>
        </w:rPr>
        <w:t>签订合同后</w:t>
      </w:r>
      <w:r>
        <w:rPr>
          <w:color w:val="000000" w:themeColor="text1"/>
          <w:lang w:eastAsia="zh-CN"/>
          <w14:textFill>
            <w14:solidFill>
              <w14:schemeClr w14:val="tx1"/>
            </w14:solidFill>
          </w14:textFill>
        </w:rPr>
        <w:t>。勘察设计服务周期安排：</w:t>
      </w:r>
      <w:r>
        <w:rPr>
          <w:color w:val="000000" w:themeColor="text1"/>
          <w:u w:val="single" w:color="010101"/>
          <w:lang w:eastAsia="zh-CN"/>
          <w14:textFill>
            <w14:solidFill>
              <w14:schemeClr w14:val="tx1"/>
            </w14:solidFill>
          </w14:textFill>
        </w:rPr>
        <w:t xml:space="preserve">详见专用合同条款 </w:t>
      </w:r>
      <w:r>
        <w:rPr>
          <w:rFonts w:ascii="Times New Roman" w:hAnsi="Times New Roman" w:eastAsia="Times New Roman"/>
          <w:color w:val="000000" w:themeColor="text1"/>
          <w:u w:val="single" w:color="010101"/>
          <w:lang w:eastAsia="zh-CN"/>
          <w14:textFill>
            <w14:solidFill>
              <w14:schemeClr w14:val="tx1"/>
            </w14:solidFill>
          </w14:textFill>
        </w:rPr>
        <w:t xml:space="preserve">8.1.3 </w:t>
      </w:r>
      <w:r>
        <w:rPr>
          <w:color w:val="000000" w:themeColor="text1"/>
          <w:u w:val="single" w:color="010101"/>
          <w:lang w:eastAsia="zh-CN"/>
          <w14:textFill>
            <w14:solidFill>
              <w14:schemeClr w14:val="tx1"/>
            </w14:solidFill>
          </w14:textFill>
        </w:rPr>
        <w:t>款的时间要求</w:t>
      </w:r>
      <w:r>
        <w:rPr>
          <w:color w:val="000000" w:themeColor="text1"/>
          <w:lang w:eastAsia="zh-CN"/>
          <w14:textFill>
            <w14:solidFill>
              <w14:schemeClr w14:val="tx1"/>
            </w14:solidFill>
          </w14:textFill>
        </w:rPr>
        <w:t xml:space="preserve">。 </w:t>
      </w:r>
    </w:p>
    <w:p>
      <w:pPr>
        <w:pStyle w:val="4"/>
        <w:spacing w:before="147" w:line="345" w:lineRule="auto"/>
        <w:ind w:left="0" w:right="306" w:firstLine="713" w:firstLineChars="297"/>
        <w:jc w:val="both"/>
        <w:rPr>
          <w:color w:val="000000" w:themeColor="text1"/>
          <w:spacing w:val="-2"/>
          <w:lang w:eastAsia="zh-CN"/>
          <w14:textFill>
            <w14:solidFill>
              <w14:schemeClr w14:val="tx1"/>
            </w14:solidFill>
          </w14:textFill>
        </w:rPr>
      </w:pPr>
      <w:r>
        <w:rPr>
          <w:rFonts w:ascii="Times New Roman" w:hAnsi="Times New Roman" w:eastAsia="Times New Roman"/>
          <w:b/>
          <w:bCs/>
          <w:color w:val="000000" w:themeColor="text1"/>
          <w:lang w:eastAsia="zh-CN"/>
          <w14:textFill>
            <w14:solidFill>
              <w14:schemeClr w14:val="tx1"/>
            </w14:solidFill>
          </w14:textFill>
        </w:rPr>
        <w:t>6.2</w:t>
      </w:r>
      <w:r>
        <w:rPr>
          <w:b/>
          <w:bCs/>
          <w:color w:val="000000" w:themeColor="text1"/>
          <w:lang w:eastAsia="zh-CN"/>
          <w14:textFill>
            <w14:solidFill>
              <w14:schemeClr w14:val="tx1"/>
            </w14:solidFill>
          </w14:textFill>
        </w:rPr>
        <w:t>发包人引起的周期延误</w:t>
      </w:r>
      <w:r>
        <w:rPr>
          <w:color w:val="000000" w:themeColor="text1"/>
          <w:spacing w:val="-2"/>
          <w:lang w:eastAsia="zh-CN"/>
          <w14:textFill>
            <w14:solidFill>
              <w14:schemeClr w14:val="tx1"/>
            </w14:solidFill>
          </w14:textFill>
        </w:rPr>
        <w:t>由于发包人原因造成勘察设计服务期限延误的，延长勘察设计服务期限的计算方法：根据具体的延误原因由发包人与设计人协商确定延长的服务期限；增加勘察设计费用的计算方法：</w:t>
      </w:r>
      <w:r>
        <w:rPr>
          <w:rFonts w:hint="eastAsia"/>
          <w:color w:val="000000" w:themeColor="text1"/>
          <w:spacing w:val="-2"/>
          <w:lang w:eastAsia="zh-CN"/>
          <w14:textFill>
            <w14:solidFill>
              <w14:schemeClr w14:val="tx1"/>
            </w14:solidFill>
          </w14:textFill>
        </w:rPr>
        <w:t>不增加勘察设计费</w:t>
      </w:r>
      <w:r>
        <w:rPr>
          <w:color w:val="000000" w:themeColor="text1"/>
          <w:spacing w:val="-2"/>
          <w:lang w:eastAsia="zh-CN"/>
          <w14:textFill>
            <w14:solidFill>
              <w14:schemeClr w14:val="tx1"/>
            </w14:solidFill>
          </w14:textFill>
        </w:rPr>
        <w:t>。</w:t>
      </w:r>
    </w:p>
    <w:p>
      <w:pPr>
        <w:spacing w:before="38"/>
        <w:ind w:left="718" w:right="246"/>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6.3</w:t>
      </w:r>
      <w:r>
        <w:rPr>
          <w:b/>
          <w:bCs/>
          <w:color w:val="000000" w:themeColor="text1"/>
          <w:sz w:val="24"/>
          <w:szCs w:val="24"/>
          <w:lang w:eastAsia="zh-CN"/>
          <w14:textFill>
            <w14:solidFill>
              <w14:schemeClr w14:val="tx1"/>
            </w14:solidFill>
          </w14:textFill>
        </w:rPr>
        <w:t>设计人引起的周期延误</w:t>
      </w:r>
    </w:p>
    <w:p>
      <w:pPr>
        <w:pStyle w:val="4"/>
        <w:spacing w:before="147" w:line="345" w:lineRule="auto"/>
        <w:ind w:left="0" w:right="306" w:firstLine="700" w:firstLineChars="297"/>
        <w:jc w:val="both"/>
        <w:rPr>
          <w:color w:val="000000" w:themeColor="text1"/>
          <w:spacing w:val="-2"/>
          <w:lang w:eastAsia="zh-CN"/>
          <w14:textFill>
            <w14:solidFill>
              <w14:schemeClr w14:val="tx1"/>
            </w14:solidFill>
          </w14:textFill>
        </w:rPr>
      </w:pPr>
      <w:r>
        <w:rPr>
          <w:color w:val="000000" w:themeColor="text1"/>
          <w:spacing w:val="-2"/>
          <w:lang w:eastAsia="zh-CN"/>
          <w14:textFill>
            <w14:solidFill>
              <w14:schemeClr w14:val="tx1"/>
            </w14:solidFill>
          </w14:textFill>
        </w:rPr>
        <w:t>逾期违约金的计算方法：</w:t>
      </w:r>
      <w:r>
        <w:rPr>
          <w:color w:val="000000" w:themeColor="text1"/>
          <w:spacing w:val="-2"/>
          <w:u w:val="single"/>
          <w:lang w:eastAsia="zh-CN"/>
          <w14:textFill>
            <w14:solidFill>
              <w14:schemeClr w14:val="tx1"/>
            </w14:solidFill>
          </w14:textFill>
        </w:rPr>
        <w:t>10000元/天</w:t>
      </w:r>
      <w:r>
        <w:rPr>
          <w:color w:val="000000" w:themeColor="text1"/>
          <w:spacing w:val="-2"/>
          <w:lang w:eastAsia="zh-CN"/>
          <w14:textFill>
            <w14:solidFill>
              <w14:schemeClr w14:val="tx1"/>
            </w14:solidFill>
          </w14:textFill>
        </w:rPr>
        <w:t>；逾期违约金的最高限额：</w:t>
      </w:r>
      <w:r>
        <w:rPr>
          <w:color w:val="000000" w:themeColor="text1"/>
          <w:spacing w:val="-2"/>
          <w:u w:val="single"/>
          <w:lang w:eastAsia="zh-CN"/>
          <w14:textFill>
            <w14:solidFill>
              <w14:schemeClr w14:val="tx1"/>
            </w14:solidFill>
          </w14:textFill>
        </w:rPr>
        <w:t>10%签约合同价。</w:t>
      </w:r>
    </w:p>
    <w:p>
      <w:pPr>
        <w:spacing w:before="166"/>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6.5</w:t>
      </w:r>
      <w:r>
        <w:rPr>
          <w:b/>
          <w:bCs/>
          <w:color w:val="000000" w:themeColor="text1"/>
          <w:sz w:val="24"/>
          <w:szCs w:val="24"/>
          <w:lang w:eastAsia="zh-CN"/>
          <w14:textFill>
            <w14:solidFill>
              <w14:schemeClr w14:val="tx1"/>
            </w14:solidFill>
          </w14:textFill>
        </w:rPr>
        <w:t>非人为因素引起的周期延误</w:t>
      </w:r>
    </w:p>
    <w:p>
      <w:pPr>
        <w:pStyle w:val="4"/>
        <w:spacing w:before="147" w:line="362" w:lineRule="auto"/>
        <w:ind w:right="236"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6.5.1 </w:t>
      </w:r>
      <w:r>
        <w:rPr>
          <w:color w:val="000000" w:themeColor="text1"/>
          <w:lang w:eastAsia="zh-CN"/>
          <w14:textFill>
            <w14:solidFill>
              <w14:schemeClr w14:val="tx1"/>
            </w14:solidFill>
          </w14:textFill>
        </w:rPr>
        <w:t xml:space="preserve">异常恶劣气候条件包括： </w:t>
      </w:r>
      <w:r>
        <w:rPr>
          <w:color w:val="000000" w:themeColor="text1"/>
          <w:u w:val="single" w:color="010101"/>
          <w:lang w:eastAsia="zh-CN"/>
          <w14:textFill>
            <w14:solidFill>
              <w14:schemeClr w14:val="tx1"/>
            </w14:solidFill>
          </w14:textFill>
        </w:rPr>
        <w:t>六级以上地震、十级以上强风暴、龙卷风或五十年一遇以上洪水造成重大破坏等情况无法施工持续 30 天以上者等</w:t>
      </w:r>
      <w:r>
        <w:rPr>
          <w:color w:val="000000" w:themeColor="text1"/>
          <w:lang w:eastAsia="zh-CN"/>
          <w14:textFill>
            <w14:solidFill>
              <w14:schemeClr w14:val="tx1"/>
            </w14:solidFill>
          </w14:textFill>
        </w:rPr>
        <w:t xml:space="preserve">；不利物质条件包括： </w:t>
      </w:r>
      <w:r>
        <w:rPr>
          <w:color w:val="000000" w:themeColor="text1"/>
          <w:u w:val="single" w:color="010101"/>
          <w:lang w:eastAsia="zh-CN"/>
          <w14:textFill>
            <w14:solidFill>
              <w14:schemeClr w14:val="tx1"/>
            </w14:solidFill>
          </w14:textFill>
        </w:rPr>
        <w:t>承包人在施工场地遇到的不可预见的自然物质条件、非自然</w:t>
      </w:r>
      <w:r>
        <w:rPr>
          <w:color w:val="000000" w:themeColor="text1"/>
          <w:spacing w:val="-3"/>
          <w:u w:val="single" w:color="010101"/>
          <w:lang w:eastAsia="zh-CN"/>
          <w14:textFill>
            <w14:solidFill>
              <w14:schemeClr w14:val="tx1"/>
            </w14:solidFill>
          </w14:textFill>
        </w:rPr>
        <w:t>的物质障碍和污染物，包括地下和水文条件，如遇见废弃的地下管道、隧道掘进</w:t>
      </w:r>
      <w:r>
        <w:rPr>
          <w:color w:val="000000" w:themeColor="text1"/>
          <w:u w:val="single" w:color="010101"/>
          <w:lang w:eastAsia="zh-CN"/>
          <w14:textFill>
            <w14:solidFill>
              <w14:schemeClr w14:val="tx1"/>
            </w14:solidFill>
          </w14:textFill>
        </w:rPr>
        <w:t xml:space="preserve">遇瓦斯突出等 </w:t>
      </w:r>
      <w:r>
        <w:rPr>
          <w:color w:val="000000" w:themeColor="text1"/>
          <w:lang w:eastAsia="zh-CN"/>
          <w14:textFill>
            <w14:solidFill>
              <w14:schemeClr w14:val="tx1"/>
            </w14:solidFill>
          </w14:textFill>
        </w:rPr>
        <w:t>。</w:t>
      </w:r>
    </w:p>
    <w:p>
      <w:pPr>
        <w:spacing w:before="43"/>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6.7</w:t>
      </w:r>
      <w:r>
        <w:rPr>
          <w:b/>
          <w:bCs/>
          <w:color w:val="000000" w:themeColor="text1"/>
          <w:sz w:val="24"/>
          <w:szCs w:val="24"/>
          <w:lang w:eastAsia="zh-CN"/>
          <w14:textFill>
            <w14:solidFill>
              <w14:schemeClr w14:val="tx1"/>
            </w14:solidFill>
          </w14:textFill>
        </w:rPr>
        <w:t>提前完成勘察设计</w:t>
      </w:r>
    </w:p>
    <w:p>
      <w:pPr>
        <w:pStyle w:val="4"/>
        <w:tabs>
          <w:tab w:val="left" w:pos="2758"/>
          <w:tab w:val="left" w:pos="6478"/>
        </w:tabs>
        <w:spacing w:before="147" w:line="345" w:lineRule="auto"/>
        <w:ind w:right="248"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6.7.3 </w:t>
      </w:r>
      <w:r>
        <w:rPr>
          <w:color w:val="000000" w:themeColor="text1"/>
          <w:lang w:eastAsia="zh-CN"/>
          <w14:textFill>
            <w14:solidFill>
              <w14:schemeClr w14:val="tx1"/>
            </w14:solidFill>
          </w14:textFill>
        </w:rPr>
        <w:t>由于设计人提前完成勘察设计而给发包人带来经济效益的，发包人给予设计人如下奖励：</w:t>
      </w:r>
      <w:r>
        <w:rPr>
          <w:rFonts w:hint="eastAsia"/>
          <w:color w:val="000000" w:themeColor="text1"/>
          <w:u w:val="single" w:color="010101"/>
          <w:lang w:eastAsia="zh-CN"/>
          <w14:textFill>
            <w14:solidFill>
              <w14:schemeClr w14:val="tx1"/>
            </w14:solidFill>
          </w14:textFill>
        </w:rPr>
        <w:t xml:space="preserve">不奖励 </w:t>
      </w:r>
      <w:r>
        <w:rPr>
          <w:color w:val="000000" w:themeColor="text1"/>
          <w:lang w:eastAsia="zh-CN"/>
          <w14:textFill>
            <w14:solidFill>
              <w14:schemeClr w14:val="tx1"/>
            </w14:solidFill>
          </w14:textFill>
        </w:rPr>
        <w:t>。</w:t>
      </w:r>
    </w:p>
    <w:p>
      <w:pPr>
        <w:pStyle w:val="13"/>
        <w:spacing w:before="148"/>
        <w:ind w:left="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8.  </w:t>
      </w:r>
      <w:r>
        <w:rPr>
          <w:color w:val="000000" w:themeColor="text1"/>
          <w:lang w:eastAsia="zh-CN"/>
          <w14:textFill>
            <w14:solidFill>
              <w14:schemeClr w14:val="tx1"/>
            </w14:solidFill>
          </w14:textFill>
        </w:rPr>
        <w:t>勘察设计文件</w:t>
      </w:r>
    </w:p>
    <w:p>
      <w:pPr>
        <w:spacing w:before="244"/>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8.1</w:t>
      </w:r>
      <w:r>
        <w:rPr>
          <w:b/>
          <w:bCs/>
          <w:color w:val="000000" w:themeColor="text1"/>
          <w:sz w:val="24"/>
          <w:szCs w:val="24"/>
          <w:lang w:eastAsia="zh-CN"/>
          <w14:textFill>
            <w14:solidFill>
              <w14:schemeClr w14:val="tx1"/>
            </w14:solidFill>
          </w14:textFill>
        </w:rPr>
        <w:t>勘察设计文件接收</w:t>
      </w:r>
    </w:p>
    <w:p>
      <w:pPr>
        <w:pStyle w:val="4"/>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8.1.3  </w:t>
      </w:r>
      <w:r>
        <w:rPr>
          <w:color w:val="000000" w:themeColor="text1"/>
          <w:lang w:eastAsia="zh-CN"/>
          <w14:textFill>
            <w14:solidFill>
              <w14:schemeClr w14:val="tx1"/>
            </w14:solidFill>
          </w14:textFill>
        </w:rPr>
        <w:t>勘察设计文件提交要求：</w:t>
      </w:r>
    </w:p>
    <w:p>
      <w:pPr>
        <w:spacing w:before="184" w:line="227" w:lineRule="auto"/>
        <w:ind w:left="481"/>
        <w:rPr>
          <w:rFonts w:ascii="宋体" w:hAnsi="宋体" w:cs="宋体"/>
          <w:sz w:val="23"/>
          <w:szCs w:val="23"/>
          <w:lang w:eastAsia="zh-CN"/>
        </w:rPr>
      </w:pPr>
      <w:r>
        <w:rPr>
          <w:rFonts w:ascii="宋体" w:hAnsi="宋体" w:cs="宋体"/>
          <w:spacing w:val="9"/>
          <w:sz w:val="23"/>
          <w:szCs w:val="23"/>
          <w:lang w:eastAsia="zh-CN"/>
        </w:rPr>
        <w:t>本</w:t>
      </w:r>
      <w:r>
        <w:rPr>
          <w:rFonts w:ascii="宋体" w:hAnsi="宋体" w:cs="宋体"/>
          <w:spacing w:val="5"/>
          <w:sz w:val="23"/>
          <w:szCs w:val="23"/>
          <w:lang w:eastAsia="zh-CN"/>
        </w:rPr>
        <w:t>工程勘察设计工期为</w:t>
      </w:r>
      <w:r>
        <w:rPr>
          <w:rFonts w:hint="eastAsia" w:ascii="宋体" w:hAnsi="宋体" w:eastAsia="宋体" w:cs="宋体"/>
          <w:spacing w:val="5"/>
          <w:sz w:val="23"/>
          <w:szCs w:val="23"/>
          <w:lang w:eastAsia="zh-CN"/>
        </w:rPr>
        <w:t>100</w:t>
      </w:r>
      <w:r>
        <w:rPr>
          <w:rFonts w:ascii="宋体" w:hAnsi="宋体" w:cs="宋体"/>
          <w:spacing w:val="5"/>
          <w:sz w:val="23"/>
          <w:szCs w:val="23"/>
          <w:lang w:eastAsia="zh-CN"/>
        </w:rPr>
        <w:t>天，具体如下：</w:t>
      </w:r>
    </w:p>
    <w:p>
      <w:pPr>
        <w:spacing w:before="183" w:line="375" w:lineRule="auto"/>
        <w:ind w:left="2" w:right="80" w:firstLine="489"/>
        <w:rPr>
          <w:rFonts w:ascii="宋体" w:hAnsi="宋体" w:eastAsia="宋体"/>
          <w:spacing w:val="-1"/>
          <w:sz w:val="24"/>
          <w:szCs w:val="24"/>
          <w:lang w:eastAsia="zh-CN"/>
        </w:rPr>
      </w:pPr>
      <w:r>
        <w:rPr>
          <w:rFonts w:ascii="宋体" w:hAnsi="宋体" w:eastAsia="宋体"/>
          <w:spacing w:val="-1"/>
          <w:sz w:val="24"/>
          <w:szCs w:val="24"/>
          <w:lang w:eastAsia="zh-CN"/>
        </w:rPr>
        <w:t>(1) 合同签订之日起</w:t>
      </w:r>
      <w:r>
        <w:rPr>
          <w:rFonts w:hint="eastAsia" w:ascii="宋体" w:hAnsi="宋体" w:eastAsia="宋体"/>
          <w:spacing w:val="-1"/>
          <w:sz w:val="24"/>
          <w:szCs w:val="24"/>
          <w:lang w:eastAsia="zh-CN"/>
        </w:rPr>
        <w:t>25</w:t>
      </w:r>
      <w:r>
        <w:rPr>
          <w:rFonts w:ascii="宋体" w:hAnsi="宋体" w:eastAsia="宋体"/>
          <w:spacing w:val="-1"/>
          <w:sz w:val="24"/>
          <w:szCs w:val="24"/>
          <w:lang w:eastAsia="zh-CN"/>
        </w:rPr>
        <w:t>天内，提交勘察成果文件及初步设计文件送审稿；</w:t>
      </w:r>
    </w:p>
    <w:p>
      <w:pPr>
        <w:spacing w:before="2" w:line="383" w:lineRule="auto"/>
        <w:ind w:left="2" w:right="80" w:firstLine="489"/>
        <w:rPr>
          <w:rFonts w:ascii="宋体" w:hAnsi="宋体" w:eastAsia="宋体"/>
          <w:spacing w:val="-1"/>
          <w:sz w:val="24"/>
          <w:szCs w:val="24"/>
          <w:lang w:eastAsia="zh-CN"/>
        </w:rPr>
      </w:pPr>
      <w:r>
        <w:rPr>
          <w:rFonts w:ascii="宋体" w:hAnsi="宋体" w:eastAsia="宋体"/>
          <w:spacing w:val="-1"/>
          <w:sz w:val="24"/>
          <w:szCs w:val="24"/>
          <w:lang w:eastAsia="zh-CN"/>
        </w:rPr>
        <w:t>(2) 初步设计通过评审之日起</w:t>
      </w:r>
      <w:r>
        <w:rPr>
          <w:rFonts w:hint="eastAsia" w:ascii="宋体" w:hAnsi="宋体" w:eastAsia="宋体"/>
          <w:spacing w:val="-1"/>
          <w:sz w:val="24"/>
          <w:szCs w:val="24"/>
          <w:lang w:eastAsia="zh-CN"/>
        </w:rPr>
        <w:t>25</w:t>
      </w:r>
      <w:r>
        <w:rPr>
          <w:rFonts w:ascii="宋体" w:hAnsi="宋体" w:eastAsia="宋体"/>
          <w:spacing w:val="-1"/>
          <w:sz w:val="24"/>
          <w:szCs w:val="24"/>
          <w:lang w:eastAsia="zh-CN"/>
        </w:rPr>
        <w:t>天内，提交初步设计报批稿</w:t>
      </w:r>
      <w:r>
        <w:rPr>
          <w:rFonts w:hint="eastAsia" w:ascii="宋体" w:hAnsi="宋体" w:eastAsia="宋体"/>
          <w:spacing w:val="-1"/>
          <w:sz w:val="24"/>
          <w:szCs w:val="24"/>
          <w:lang w:eastAsia="zh-CN"/>
        </w:rPr>
        <w:t>；</w:t>
      </w:r>
    </w:p>
    <w:p>
      <w:pPr>
        <w:spacing w:before="2" w:line="383" w:lineRule="auto"/>
        <w:ind w:left="2" w:right="80" w:firstLine="489"/>
        <w:rPr>
          <w:rFonts w:ascii="宋体" w:hAnsi="宋体" w:eastAsia="宋体"/>
          <w:spacing w:val="-1"/>
          <w:sz w:val="24"/>
          <w:szCs w:val="24"/>
          <w:lang w:eastAsia="zh-CN"/>
        </w:rPr>
      </w:pPr>
      <w:r>
        <w:rPr>
          <w:rFonts w:ascii="宋体" w:hAnsi="宋体" w:eastAsia="宋体"/>
          <w:spacing w:val="-1"/>
          <w:sz w:val="24"/>
          <w:szCs w:val="24"/>
          <w:lang w:eastAsia="zh-CN"/>
        </w:rPr>
        <w:t>(</w:t>
      </w:r>
      <w:r>
        <w:rPr>
          <w:rFonts w:hint="eastAsia" w:ascii="宋体" w:hAnsi="宋体" w:eastAsia="宋体"/>
          <w:spacing w:val="-1"/>
          <w:sz w:val="24"/>
          <w:szCs w:val="24"/>
          <w:lang w:eastAsia="zh-CN"/>
        </w:rPr>
        <w:t>3</w:t>
      </w:r>
      <w:r>
        <w:rPr>
          <w:rFonts w:ascii="宋体" w:hAnsi="宋体" w:eastAsia="宋体"/>
          <w:spacing w:val="-1"/>
          <w:sz w:val="24"/>
          <w:szCs w:val="24"/>
          <w:lang w:eastAsia="zh-CN"/>
        </w:rPr>
        <w:t>)自收到初步设计确认文件后</w:t>
      </w:r>
      <w:r>
        <w:rPr>
          <w:rFonts w:hint="eastAsia" w:ascii="宋体" w:hAnsi="宋体" w:eastAsia="宋体"/>
          <w:spacing w:val="-1"/>
          <w:sz w:val="24"/>
          <w:szCs w:val="24"/>
          <w:lang w:eastAsia="zh-CN"/>
        </w:rPr>
        <w:t>25</w:t>
      </w:r>
      <w:r>
        <w:rPr>
          <w:rFonts w:ascii="宋体" w:hAnsi="宋体" w:eastAsia="宋体"/>
          <w:spacing w:val="-1"/>
          <w:sz w:val="24"/>
          <w:szCs w:val="24"/>
          <w:lang w:eastAsia="zh-CN"/>
        </w:rPr>
        <w:t>天内，提交施工图设计文件送审稿</w:t>
      </w:r>
      <w:r>
        <w:rPr>
          <w:rFonts w:hint="eastAsia" w:ascii="宋体" w:hAnsi="宋体" w:eastAsia="宋体"/>
          <w:spacing w:val="-1"/>
          <w:sz w:val="24"/>
          <w:szCs w:val="24"/>
          <w:lang w:eastAsia="zh-CN"/>
        </w:rPr>
        <w:t>；</w:t>
      </w:r>
    </w:p>
    <w:p>
      <w:pPr>
        <w:spacing w:before="2" w:line="383" w:lineRule="auto"/>
        <w:ind w:left="2" w:right="80" w:firstLine="489"/>
        <w:rPr>
          <w:rFonts w:ascii="宋体" w:hAnsi="宋体" w:eastAsia="宋体"/>
          <w:spacing w:val="-1"/>
          <w:sz w:val="24"/>
          <w:szCs w:val="24"/>
          <w:lang w:eastAsia="zh-CN"/>
        </w:rPr>
      </w:pPr>
      <w:r>
        <w:rPr>
          <w:rFonts w:ascii="宋体" w:hAnsi="宋体" w:eastAsia="宋体"/>
          <w:spacing w:val="-1"/>
          <w:sz w:val="24"/>
          <w:szCs w:val="24"/>
          <w:lang w:eastAsia="zh-CN"/>
        </w:rPr>
        <w:t>(</w:t>
      </w:r>
      <w:r>
        <w:rPr>
          <w:rFonts w:hint="eastAsia" w:ascii="宋体" w:hAnsi="宋体" w:eastAsia="宋体"/>
          <w:spacing w:val="-1"/>
          <w:sz w:val="24"/>
          <w:szCs w:val="24"/>
          <w:lang w:eastAsia="zh-CN"/>
        </w:rPr>
        <w:t>4</w:t>
      </w:r>
      <w:r>
        <w:rPr>
          <w:rFonts w:ascii="宋体" w:hAnsi="宋体" w:eastAsia="宋体"/>
          <w:spacing w:val="-1"/>
          <w:sz w:val="24"/>
          <w:szCs w:val="24"/>
          <w:lang w:eastAsia="zh-CN"/>
        </w:rPr>
        <w:t>) 施工图设计通过评审之日起</w:t>
      </w:r>
      <w:r>
        <w:rPr>
          <w:rFonts w:hint="eastAsia" w:ascii="宋体" w:hAnsi="宋体" w:eastAsia="宋体"/>
          <w:spacing w:val="-1"/>
          <w:sz w:val="24"/>
          <w:szCs w:val="24"/>
          <w:lang w:eastAsia="zh-CN"/>
        </w:rPr>
        <w:t>25</w:t>
      </w:r>
      <w:r>
        <w:rPr>
          <w:rFonts w:ascii="宋体" w:hAnsi="宋体" w:eastAsia="宋体"/>
          <w:spacing w:val="-1"/>
          <w:sz w:val="24"/>
          <w:szCs w:val="24"/>
          <w:lang w:eastAsia="zh-CN"/>
        </w:rPr>
        <w:t>天内，提交施工图设计报批稿</w:t>
      </w:r>
      <w:r>
        <w:rPr>
          <w:rFonts w:hint="eastAsia" w:ascii="宋体" w:hAnsi="宋体" w:eastAsia="宋体"/>
          <w:spacing w:val="-1"/>
          <w:sz w:val="24"/>
          <w:szCs w:val="24"/>
          <w:lang w:eastAsia="zh-CN"/>
        </w:rPr>
        <w:t>。</w:t>
      </w:r>
    </w:p>
    <w:p>
      <w:pPr>
        <w:spacing w:before="2" w:line="383" w:lineRule="auto"/>
        <w:ind w:left="2" w:right="80" w:firstLine="489"/>
        <w:rPr>
          <w:rFonts w:ascii="宋体" w:hAnsi="宋体" w:eastAsia="宋体"/>
          <w:spacing w:val="-1"/>
          <w:sz w:val="24"/>
          <w:szCs w:val="24"/>
          <w:lang w:eastAsia="zh-CN"/>
        </w:rPr>
      </w:pPr>
      <w:r>
        <w:rPr>
          <w:rFonts w:ascii="宋体" w:hAnsi="宋体" w:eastAsia="宋体"/>
          <w:spacing w:val="-1"/>
          <w:sz w:val="24"/>
          <w:szCs w:val="24"/>
          <w:lang w:eastAsia="zh-CN"/>
        </w:rPr>
        <w:t>（</w:t>
      </w:r>
      <w:r>
        <w:rPr>
          <w:rFonts w:hint="eastAsia" w:ascii="宋体" w:hAnsi="宋体" w:eastAsia="宋体"/>
          <w:spacing w:val="-1"/>
          <w:sz w:val="24"/>
          <w:szCs w:val="24"/>
          <w:lang w:eastAsia="zh-CN"/>
        </w:rPr>
        <w:t>5</w:t>
      </w:r>
      <w:r>
        <w:rPr>
          <w:rFonts w:ascii="宋体" w:hAnsi="宋体" w:eastAsia="宋体"/>
          <w:spacing w:val="-1"/>
          <w:sz w:val="24"/>
          <w:szCs w:val="24"/>
          <w:lang w:eastAsia="zh-CN"/>
        </w:rPr>
        <w:t>）施工现场配合服务：从项目开工至项目竣工验收，施工期暂定</w:t>
      </w:r>
      <w:r>
        <w:rPr>
          <w:rFonts w:hint="eastAsia" w:ascii="宋体" w:hAnsi="宋体" w:eastAsia="宋体"/>
          <w:spacing w:val="-1"/>
          <w:sz w:val="24"/>
          <w:szCs w:val="24"/>
          <w:u w:val="single"/>
          <w:lang w:eastAsia="zh-CN"/>
        </w:rPr>
        <w:t>1</w:t>
      </w:r>
      <w:r>
        <w:rPr>
          <w:rFonts w:ascii="宋体" w:hAnsi="宋体" w:eastAsia="宋体"/>
          <w:spacing w:val="-1"/>
          <w:sz w:val="24"/>
          <w:szCs w:val="24"/>
          <w:lang w:eastAsia="zh-CN"/>
        </w:rPr>
        <w:t>年； 缺陷责任期</w:t>
      </w:r>
      <w:r>
        <w:rPr>
          <w:rFonts w:ascii="宋体" w:hAnsi="宋体" w:eastAsia="宋体"/>
          <w:spacing w:val="-1"/>
          <w:sz w:val="24"/>
          <w:szCs w:val="24"/>
          <w:u w:val="single"/>
          <w:lang w:eastAsia="zh-CN"/>
        </w:rPr>
        <w:t>2</w:t>
      </w:r>
      <w:r>
        <w:rPr>
          <w:rFonts w:ascii="宋体" w:hAnsi="宋体" w:eastAsia="宋体"/>
          <w:spacing w:val="-1"/>
          <w:sz w:val="24"/>
          <w:szCs w:val="24"/>
          <w:lang w:eastAsia="zh-CN"/>
        </w:rPr>
        <w:t>年。</w:t>
      </w:r>
    </w:p>
    <w:p>
      <w:pPr>
        <w:pStyle w:val="4"/>
        <w:spacing w:before="31" w:line="367" w:lineRule="auto"/>
        <w:ind w:right="305"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设计人还应向发包人提交最终成果的书面计算书一份，各阶段勘察报告、设 </w:t>
      </w:r>
      <w:r>
        <w:rPr>
          <w:color w:val="000000" w:themeColor="text1"/>
          <w:lang w:eastAsia="zh-CN"/>
          <w14:textFill>
            <w14:solidFill>
              <w14:schemeClr w14:val="tx1"/>
            </w14:solidFill>
          </w14:textFill>
        </w:rPr>
        <w:t>计文件的电子版一份</w:t>
      </w:r>
      <w:r>
        <w:rPr>
          <w:rFonts w:hint="eastAsia"/>
          <w:color w:val="000000" w:themeColor="text1"/>
          <w:lang w:eastAsia="zh-CN"/>
          <w14:textFill>
            <w14:solidFill>
              <w14:schemeClr w14:val="tx1"/>
            </w14:solidFill>
          </w14:textFill>
        </w:rPr>
        <w:t>（电子版包括CAD、PDF、WORD格式,并应使用光盘和 U盘分别贮存）</w:t>
      </w:r>
      <w:r>
        <w:rPr>
          <w:color w:val="000000" w:themeColor="text1"/>
          <w:lang w:eastAsia="zh-CN"/>
          <w14:textFill>
            <w14:solidFill>
              <w14:schemeClr w14:val="tx1"/>
            </w14:solidFill>
          </w14:textFill>
        </w:rPr>
        <w:t>，应同时提交且数据一致。</w:t>
      </w:r>
    </w:p>
    <w:p>
      <w:pPr>
        <w:spacing w:before="38"/>
        <w:ind w:left="598" w:right="84"/>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8.2</w:t>
      </w:r>
      <w:r>
        <w:rPr>
          <w:b/>
          <w:bCs/>
          <w:color w:val="000000" w:themeColor="text1"/>
          <w:sz w:val="24"/>
          <w:szCs w:val="24"/>
          <w:lang w:eastAsia="zh-CN"/>
          <w14:textFill>
            <w14:solidFill>
              <w14:schemeClr w14:val="tx1"/>
            </w14:solidFill>
          </w14:textFill>
        </w:rPr>
        <w:t>发包人审查勘察设计文件</w:t>
      </w:r>
    </w:p>
    <w:p>
      <w:pPr>
        <w:pStyle w:val="4"/>
        <w:spacing w:before="147" w:line="362" w:lineRule="auto"/>
        <w:ind w:right="84" w:firstLine="480"/>
        <w:rPr>
          <w:color w:val="000000" w:themeColor="text1"/>
          <w:u w:val="single" w:color="01010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8.2.1 </w:t>
      </w:r>
      <w:r>
        <w:rPr>
          <w:color w:val="000000" w:themeColor="text1"/>
          <w:lang w:eastAsia="zh-CN"/>
          <w14:textFill>
            <w14:solidFill>
              <w14:schemeClr w14:val="tx1"/>
            </w14:solidFill>
          </w14:textFill>
        </w:rPr>
        <w:t xml:space="preserve">发包人审查勘察设计文件的具体范围： </w:t>
      </w:r>
      <w:r>
        <w:rPr>
          <w:color w:val="000000" w:themeColor="text1"/>
          <w:u w:val="single" w:color="010101"/>
          <w:lang w:eastAsia="zh-CN"/>
          <w14:textFill>
            <w14:solidFill>
              <w14:schemeClr w14:val="tx1"/>
            </w14:solidFill>
          </w14:textFill>
        </w:rPr>
        <w:t>招标范围内各专业工程的勘察</w:t>
      </w:r>
      <w:r>
        <w:rPr>
          <w:color w:val="000000" w:themeColor="text1"/>
          <w:spacing w:val="-4"/>
          <w:u w:val="single" w:color="010101"/>
          <w:lang w:eastAsia="zh-CN"/>
          <w14:textFill>
            <w14:solidFill>
              <w14:schemeClr w14:val="tx1"/>
            </w14:solidFill>
          </w14:textFill>
        </w:rPr>
        <w:t>成</w:t>
      </w:r>
      <w:r>
        <w:rPr>
          <w:color w:val="000000" w:themeColor="text1"/>
          <w:u w:val="single" w:color="010101"/>
          <w:lang w:eastAsia="zh-CN"/>
          <w14:textFill>
            <w14:solidFill>
              <w14:schemeClr w14:val="tx1"/>
            </w14:solidFill>
          </w14:textFill>
        </w:rPr>
        <w:t>果</w:t>
      </w:r>
      <w:r>
        <w:rPr>
          <w:rFonts w:hint="eastAsia"/>
          <w:color w:val="000000" w:themeColor="text1"/>
          <w:u w:val="single" w:color="010101"/>
          <w:lang w:eastAsia="zh-CN"/>
          <w14:textFill>
            <w14:solidFill>
              <w14:schemeClr w14:val="tx1"/>
            </w14:solidFill>
          </w14:textFill>
        </w:rPr>
        <w:t>报告</w:t>
      </w:r>
      <w:r>
        <w:rPr>
          <w:color w:val="000000" w:themeColor="text1"/>
          <w:u w:val="single" w:color="010101"/>
          <w:lang w:eastAsia="zh-CN"/>
          <w14:textFill>
            <w14:solidFill>
              <w14:schemeClr w14:val="tx1"/>
            </w14:solidFill>
          </w14:textFill>
        </w:rPr>
        <w:t>、设计文件和为了满足勘察设计需要而进行的各种研究试验成果（如需要）； 明细内容：初勘、初测、初步设计（含技术设计，如有）、详勘、定测、施工图设计、概预算</w:t>
      </w:r>
      <w:r>
        <w:rPr>
          <w:rFonts w:hint="eastAsia"/>
          <w:color w:val="000000" w:themeColor="text1"/>
          <w:u w:val="single" w:color="010101"/>
          <w:lang w:eastAsia="zh-CN"/>
          <w14:textFill>
            <w14:solidFill>
              <w14:schemeClr w14:val="tx1"/>
            </w14:solidFill>
          </w14:textFill>
        </w:rPr>
        <w:t>编制</w:t>
      </w:r>
      <w:r>
        <w:rPr>
          <w:color w:val="000000" w:themeColor="text1"/>
          <w:u w:val="single" w:color="010101"/>
          <w:lang w:eastAsia="zh-CN"/>
          <w14:textFill>
            <w14:solidFill>
              <w14:schemeClr w14:val="tx1"/>
            </w14:solidFill>
          </w14:textFill>
        </w:rPr>
        <w:t>；费用分担原则：设计范围内的由设计人支付。</w:t>
      </w:r>
    </w:p>
    <w:p>
      <w:pPr>
        <w:pStyle w:val="13"/>
        <w:spacing w:before="131"/>
        <w:ind w:left="5" w:right="103"/>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10.  </w:t>
      </w:r>
      <w:r>
        <w:rPr>
          <w:color w:val="000000" w:themeColor="text1"/>
          <w:lang w:eastAsia="zh-CN"/>
          <w14:textFill>
            <w14:solidFill>
              <w14:schemeClr w14:val="tx1"/>
            </w14:solidFill>
          </w14:textFill>
        </w:rPr>
        <w:t>招标和施工期间配合</w:t>
      </w:r>
    </w:p>
    <w:p>
      <w:pPr>
        <w:pStyle w:val="4"/>
        <w:spacing w:before="102" w:line="355" w:lineRule="auto"/>
        <w:ind w:right="311" w:firstLine="480"/>
        <w:rPr>
          <w:color w:val="000000" w:themeColor="text1"/>
          <w:highlight w:val="none"/>
          <w:lang w:eastAsia="zh-CN"/>
          <w14:textFill>
            <w14:solidFill>
              <w14:schemeClr w14:val="tx1"/>
            </w14:solidFill>
          </w14:textFill>
        </w:rPr>
      </w:pPr>
      <w:r>
        <w:rPr>
          <w:color w:val="000000" w:themeColor="text1"/>
          <w:lang w:eastAsia="zh-CN"/>
          <w14:textFill>
            <w14:solidFill>
              <w14:schemeClr w14:val="tx1"/>
            </w14:solidFill>
          </w14:textFill>
        </w:rPr>
        <w:t xml:space="preserve">10.1.2 款末增加以下内容：设计人应保证工程量清单的编制质量，在施工 </w:t>
      </w:r>
      <w:r>
        <w:rPr>
          <w:color w:val="000000" w:themeColor="text1"/>
          <w:spacing w:val="-3"/>
          <w:lang w:eastAsia="zh-CN"/>
          <w14:textFill>
            <w14:solidFill>
              <w14:schemeClr w14:val="tx1"/>
            </w14:solidFill>
          </w14:textFill>
        </w:rPr>
        <w:t>招标完成后，发包人将组织对工程量清单进行复核，出现明显差、错、漏的，</w:t>
      </w:r>
      <w:r>
        <w:rPr>
          <w:color w:val="000000" w:themeColor="text1"/>
          <w:spacing w:val="-3"/>
          <w:highlight w:val="none"/>
          <w:lang w:eastAsia="zh-CN"/>
          <w14:textFill>
            <w14:solidFill>
              <w14:schemeClr w14:val="tx1"/>
            </w14:solidFill>
          </w14:textFill>
        </w:rPr>
        <w:t xml:space="preserve">按 </w:t>
      </w:r>
      <w:r>
        <w:rPr>
          <w:color w:val="000000" w:themeColor="text1"/>
          <w:highlight w:val="none"/>
          <w:lang w:eastAsia="zh-CN"/>
          <w14:textFill>
            <w14:solidFill>
              <w14:schemeClr w14:val="tx1"/>
            </w14:solidFill>
          </w14:textFill>
        </w:rPr>
        <w:t>设计人违约处理。</w:t>
      </w:r>
    </w:p>
    <w:p>
      <w:pPr>
        <w:spacing w:before="181"/>
        <w:ind w:left="598" w:right="84"/>
        <w:rPr>
          <w:color w:val="000000" w:themeColor="text1"/>
          <w:sz w:val="24"/>
          <w:szCs w:val="24"/>
          <w:highlight w:val="none"/>
          <w:lang w:eastAsia="zh-CN"/>
          <w14:textFill>
            <w14:solidFill>
              <w14:schemeClr w14:val="tx1"/>
            </w14:solidFill>
          </w14:textFill>
        </w:rPr>
      </w:pPr>
      <w:r>
        <w:rPr>
          <w:rFonts w:ascii="Times New Roman" w:hAnsi="Times New Roman" w:eastAsia="Times New Roman"/>
          <w:b/>
          <w:bCs/>
          <w:color w:val="000000" w:themeColor="text1"/>
          <w:sz w:val="24"/>
          <w:szCs w:val="24"/>
          <w:highlight w:val="none"/>
          <w:lang w:eastAsia="zh-CN"/>
          <w14:textFill>
            <w14:solidFill>
              <w14:schemeClr w14:val="tx1"/>
            </w14:solidFill>
          </w14:textFill>
        </w:rPr>
        <w:t xml:space="preserve">10.2  </w:t>
      </w:r>
      <w:r>
        <w:rPr>
          <w:b/>
          <w:bCs/>
          <w:color w:val="000000" w:themeColor="text1"/>
          <w:sz w:val="24"/>
          <w:szCs w:val="24"/>
          <w:highlight w:val="none"/>
          <w:lang w:eastAsia="zh-CN"/>
          <w14:textFill>
            <w14:solidFill>
              <w14:schemeClr w14:val="tx1"/>
            </w14:solidFill>
          </w14:textFill>
        </w:rPr>
        <w:t>施工期间配合</w:t>
      </w:r>
    </w:p>
    <w:p>
      <w:pPr>
        <w:pStyle w:val="4"/>
        <w:spacing w:before="38" w:line="367" w:lineRule="auto"/>
        <w:ind w:right="311" w:firstLine="480" w:firstLineChars="200"/>
        <w:rPr>
          <w:rFonts w:hint="eastAsia" w:ascii="Times New Roman" w:hAnsi="Times New Roman" w:eastAsia="Times New Roman"/>
          <w:color w:val="000000" w:themeColor="text1"/>
          <w:highlight w:val="none"/>
          <w:lang w:eastAsia="zh-CN"/>
          <w14:textFill>
            <w14:solidFill>
              <w14:schemeClr w14:val="tx1"/>
            </w14:solidFill>
          </w14:textFill>
        </w:rPr>
      </w:pPr>
      <w:r>
        <w:rPr>
          <w:rFonts w:hint="eastAsia" w:ascii="Times New Roman" w:hAnsi="Times New Roman" w:eastAsia="Times New Roman"/>
          <w:color w:val="000000" w:themeColor="text1"/>
          <w:highlight w:val="none"/>
          <w:lang w:eastAsia="zh-CN"/>
          <w14:textFill>
            <w14:solidFill>
              <w14:schemeClr w14:val="tx1"/>
            </w14:solidFill>
          </w14:textFill>
        </w:rPr>
        <w:t>10.2.6本项目对施工期间配合服务的专职人员的数量和资历条件要求：专职人员应不少于1名，其中至少有路桥专业1名。</w:t>
      </w:r>
    </w:p>
    <w:p>
      <w:pPr>
        <w:pStyle w:val="4"/>
        <w:spacing w:before="38" w:line="367" w:lineRule="auto"/>
        <w:ind w:left="0" w:right="311" w:firstLine="480"/>
        <w:rPr>
          <w:rFonts w:hint="eastAsia" w:ascii="Times New Roman" w:hAnsi="Times New Roman" w:eastAsia="Times New Roman"/>
          <w:color w:val="000000" w:themeColor="text1"/>
          <w:highlight w:val="none"/>
          <w:lang w:eastAsia="zh-CN"/>
          <w14:textFill>
            <w14:solidFill>
              <w14:schemeClr w14:val="tx1"/>
            </w14:solidFill>
          </w14:textFill>
        </w:rPr>
      </w:pPr>
      <w:r>
        <w:rPr>
          <w:rFonts w:hint="eastAsia" w:ascii="Times New Roman" w:hAnsi="Times New Roman" w:eastAsia="Times New Roman"/>
          <w:color w:val="000000" w:themeColor="text1"/>
          <w:highlight w:val="none"/>
          <w:lang w:eastAsia="zh-CN"/>
          <w14:textFill>
            <w14:solidFill>
              <w14:schemeClr w14:val="tx1"/>
            </w14:solidFill>
          </w14:textFill>
        </w:rPr>
        <w:t>增加10.2.6最后一段内容细化如下：</w:t>
      </w:r>
    </w:p>
    <w:p>
      <w:pPr>
        <w:pStyle w:val="4"/>
        <w:spacing w:before="38" w:line="367" w:lineRule="auto"/>
        <w:ind w:left="0" w:right="311" w:firstLine="480"/>
        <w:rPr>
          <w:color w:val="000000" w:themeColor="text1"/>
          <w:spacing w:val="-1"/>
          <w:highlight w:val="none"/>
          <w:lang w:eastAsia="zh-CN"/>
          <w14:textFill>
            <w14:solidFill>
              <w14:schemeClr w14:val="tx1"/>
            </w14:solidFill>
          </w14:textFill>
        </w:rPr>
      </w:pPr>
      <w:r>
        <w:rPr>
          <w:rFonts w:hint="eastAsia" w:ascii="Times New Roman" w:hAnsi="Times New Roman" w:eastAsia="Times New Roman"/>
          <w:color w:val="000000" w:themeColor="text1"/>
          <w:highlight w:val="none"/>
          <w:lang w:eastAsia="zh-CN"/>
          <w14:textFill>
            <w14:solidFill>
              <w14:schemeClr w14:val="tx1"/>
            </w14:solidFill>
          </w14:textFill>
        </w:rPr>
        <w:t xml:space="preserve">所有施工期间配合服务的专职人员应得到发包人书面批准才能进场，如果施工期间配合服务的专职人员不能胜任工作、渎职或从事损害发包人利益的活动，发包人有权提出更换而无须得到设计人的同意，设计人应立即派出具有同等资历的人员替换；设计人应在发包人提出更换通知的7天内完成更换工作并使发包人满意。如更换的设计代表还无法让发包人满意，发包人有权指定施工期间配合服务的专职人员。 </w:t>
      </w:r>
      <w:r>
        <w:rPr>
          <w:color w:val="000000" w:themeColor="text1"/>
          <w:spacing w:val="-1"/>
          <w:highlight w:val="none"/>
          <w:lang w:eastAsia="zh-CN"/>
          <w14:textFill>
            <w14:solidFill>
              <w14:schemeClr w14:val="tx1"/>
            </w14:solidFill>
          </w14:textFill>
        </w:rPr>
        <w:t xml:space="preserve"> </w:t>
      </w:r>
    </w:p>
    <w:p>
      <w:pPr>
        <w:pStyle w:val="4"/>
        <w:spacing w:before="38" w:line="367" w:lineRule="auto"/>
        <w:ind w:left="0" w:right="311" w:firstLine="48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10.2.7款末增加以下内容：</w:t>
      </w:r>
    </w:p>
    <w:p>
      <w:pPr>
        <w:pStyle w:val="4"/>
        <w:spacing w:before="134" w:line="357" w:lineRule="auto"/>
        <w:ind w:right="105"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对于发包人或其上级主管部门提出的工程技术变更或优化设计变更，若不违 背相关的现行技术标准、规范，则设计人必须组织技术人员完善相关设计，在发包人要求的时间内提交变更设计图纸；若因设计人未及时提交相关变更图纸严重</w:t>
      </w:r>
      <w:r>
        <w:rPr>
          <w:color w:val="000000" w:themeColor="text1"/>
          <w:lang w:eastAsia="zh-CN"/>
          <w14:textFill>
            <w14:solidFill>
              <w14:schemeClr w14:val="tx1"/>
            </w14:solidFill>
          </w14:textFill>
        </w:rPr>
        <w:t>影响工程实施进展的，发包人将委托满足相应资质要求的设计单位完善变更图纸，由此发生的费用在设计人的设计费中扣除。</w:t>
      </w:r>
    </w:p>
    <w:p>
      <w:pPr>
        <w:pStyle w:val="4"/>
        <w:spacing w:before="35" w:line="357" w:lineRule="auto"/>
        <w:ind w:right="117" w:firstLine="480"/>
        <w:jc w:val="both"/>
        <w:rPr>
          <w:color w:val="000000" w:themeColor="text1"/>
          <w:sz w:val="20"/>
          <w:szCs w:val="20"/>
          <w:lang w:eastAsia="zh-CN"/>
          <w14:textFill>
            <w14:solidFill>
              <w14:schemeClr w14:val="tx1"/>
            </w14:solidFill>
          </w14:textFill>
        </w:rPr>
      </w:pPr>
      <w:r>
        <w:rPr>
          <w:color w:val="000000" w:themeColor="text1"/>
          <w:spacing w:val="-3"/>
          <w:lang w:eastAsia="zh-CN"/>
          <w14:textFill>
            <w14:solidFill>
              <w14:schemeClr w14:val="tx1"/>
            </w14:solidFill>
          </w14:textFill>
        </w:rPr>
        <w:t>所有变更应在发包人规定的时间内提供变更设计文件且应由设计人签字、盖 章。较大、重大设计变更概预算由设计人按交通运输主管部门规定格式编制。其</w:t>
      </w:r>
      <w:r>
        <w:rPr>
          <w:color w:val="000000" w:themeColor="text1"/>
          <w:lang w:eastAsia="zh-CN"/>
          <w14:textFill>
            <w14:solidFill>
              <w14:schemeClr w14:val="tx1"/>
            </w14:solidFill>
          </w14:textFill>
        </w:rPr>
        <w:t>他变更概预算如需要亦由设计人按发包人要求提供，费用不另行支付。</w:t>
      </w:r>
    </w:p>
    <w:p>
      <w:pPr>
        <w:pStyle w:val="13"/>
        <w:spacing w:before="0"/>
        <w:ind w:left="0"/>
        <w:jc w:val="both"/>
        <w:rPr>
          <w:color w:val="000000" w:themeColor="text1"/>
          <w:lang w:eastAsia="zh-CN"/>
          <w14:textFill>
            <w14:solidFill>
              <w14:schemeClr w14:val="tx1"/>
            </w14:solidFill>
          </w14:textFill>
        </w:rPr>
      </w:pPr>
      <w:r>
        <w:rPr>
          <w:rFonts w:ascii="Times New Roman" w:hAnsi="Times New Roman" w:eastAsia="Times New Roman"/>
          <w:color w:val="000000" w:themeColor="text1"/>
          <w:spacing w:val="-3"/>
          <w:lang w:eastAsia="zh-CN"/>
          <w14:textFill>
            <w14:solidFill>
              <w14:schemeClr w14:val="tx1"/>
            </w14:solidFill>
          </w14:textFill>
        </w:rPr>
        <w:t xml:space="preserve">11. </w:t>
      </w:r>
      <w:r>
        <w:rPr>
          <w:color w:val="000000" w:themeColor="text1"/>
          <w:lang w:eastAsia="zh-CN"/>
          <w14:textFill>
            <w14:solidFill>
              <w14:schemeClr w14:val="tx1"/>
            </w14:solidFill>
          </w14:textFill>
        </w:rPr>
        <w:t>合同变更</w:t>
      </w:r>
    </w:p>
    <w:p>
      <w:pPr>
        <w:spacing w:before="244"/>
        <w:ind w:left="598" w:right="106"/>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pacing w:val="-4"/>
          <w:sz w:val="24"/>
          <w:szCs w:val="24"/>
          <w:lang w:eastAsia="zh-CN"/>
          <w14:textFill>
            <w14:solidFill>
              <w14:schemeClr w14:val="tx1"/>
            </w14:solidFill>
          </w14:textFill>
        </w:rPr>
        <w:t xml:space="preserve">11.1 </w:t>
      </w:r>
      <w:r>
        <w:rPr>
          <w:b/>
          <w:bCs/>
          <w:color w:val="000000" w:themeColor="text1"/>
          <w:sz w:val="24"/>
          <w:szCs w:val="24"/>
          <w:lang w:eastAsia="zh-CN"/>
          <w14:textFill>
            <w14:solidFill>
              <w14:schemeClr w14:val="tx1"/>
            </w14:solidFill>
          </w14:textFill>
        </w:rPr>
        <w:t>变更情形</w:t>
      </w:r>
    </w:p>
    <w:p>
      <w:pPr>
        <w:pStyle w:val="4"/>
        <w:spacing w:before="147" w:line="360" w:lineRule="auto"/>
        <w:ind w:right="111"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11.1.1 </w:t>
      </w:r>
      <w:r>
        <w:rPr>
          <w:color w:val="000000" w:themeColor="text1"/>
          <w:spacing w:val="-3"/>
          <w:lang w:eastAsia="zh-CN"/>
          <w14:textFill>
            <w14:solidFill>
              <w14:schemeClr w14:val="tx1"/>
            </w14:solidFill>
          </w14:textFill>
        </w:rPr>
        <w:t>合同变更时，勘察设计服务期限的调整方法：</w:t>
      </w:r>
      <w:r>
        <w:rPr>
          <w:color w:val="000000" w:themeColor="text1"/>
          <w:spacing w:val="-3"/>
          <w:u w:val="single" w:color="010101"/>
          <w:lang w:eastAsia="zh-CN"/>
          <w14:textFill>
            <w14:solidFill>
              <w14:schemeClr w14:val="tx1"/>
            </w14:solidFill>
          </w14:textFill>
        </w:rPr>
        <w:t>根据具体的延误原因由发包人与设计人协商确定延长的服务期限</w:t>
      </w:r>
      <w:r>
        <w:rPr>
          <w:color w:val="000000" w:themeColor="text1"/>
          <w:spacing w:val="-3"/>
          <w:lang w:eastAsia="zh-CN"/>
          <w14:textFill>
            <w14:solidFill>
              <w14:schemeClr w14:val="tx1"/>
            </w14:solidFill>
          </w14:textFill>
        </w:rPr>
        <w:t>；勘察设计费用的调整方法：</w:t>
      </w:r>
      <w:r>
        <w:rPr>
          <w:color w:val="000000" w:themeColor="text1"/>
          <w:spacing w:val="-3"/>
          <w:u w:val="single" w:color="010101"/>
          <w:lang w:eastAsia="zh-CN"/>
          <w14:textFill>
            <w14:solidFill>
              <w14:schemeClr w14:val="tx1"/>
            </w14:solidFill>
          </w14:textFill>
        </w:rPr>
        <w:t>按照对应</w:t>
      </w:r>
      <w:r>
        <w:rPr>
          <w:color w:val="000000" w:themeColor="text1"/>
          <w:spacing w:val="3"/>
          <w:u w:val="single" w:color="010101"/>
          <w:lang w:eastAsia="zh-CN"/>
          <w14:textFill>
            <w14:solidFill>
              <w14:schemeClr w14:val="tx1"/>
            </w14:solidFill>
          </w14:textFill>
        </w:rPr>
        <w:t xml:space="preserve">合同段勘察设计最高投标限价的计算依据和取值参数并结合设计人增加的工作 </w:t>
      </w:r>
      <w:r>
        <w:rPr>
          <w:color w:val="000000" w:themeColor="text1"/>
          <w:u w:val="single" w:color="010101"/>
          <w:lang w:eastAsia="zh-CN"/>
          <w14:textFill>
            <w14:solidFill>
              <w14:schemeClr w14:val="tx1"/>
            </w14:solidFill>
          </w14:textFill>
        </w:rPr>
        <w:t>量及投标人中标价下浮率进行计算，或由发包人与设计人协商确定</w:t>
      </w:r>
      <w:r>
        <w:rPr>
          <w:color w:val="000000" w:themeColor="text1"/>
          <w:lang w:eastAsia="zh-CN"/>
          <w14:textFill>
            <w14:solidFill>
              <w14:schemeClr w14:val="tx1"/>
            </w14:solidFill>
          </w14:textFill>
        </w:rPr>
        <w:t>。</w:t>
      </w:r>
    </w:p>
    <w:p>
      <w:pPr>
        <w:pStyle w:val="4"/>
        <w:spacing w:before="147" w:line="360" w:lineRule="auto"/>
        <w:ind w:right="111" w:firstLine="480"/>
        <w:jc w:val="both"/>
        <w:rPr>
          <w:color w:val="000000" w:themeColor="text1"/>
          <w:spacing w:val="-3"/>
          <w:lang w:eastAsia="zh-CN"/>
          <w14:textFill>
            <w14:solidFill>
              <w14:schemeClr w14:val="tx1"/>
            </w14:solidFill>
          </w14:textFill>
        </w:rPr>
      </w:pPr>
      <w:r>
        <w:rPr>
          <w:color w:val="000000" w:themeColor="text1"/>
          <w:spacing w:val="-3"/>
          <w:lang w:eastAsia="zh-CN"/>
          <w14:textFill>
            <w14:solidFill>
              <w14:schemeClr w14:val="tx1"/>
            </w14:solidFill>
          </w14:textFill>
        </w:rPr>
        <w:t>设计人应按有关合同条款及现行规范的规定，编制相应标段的《地质勘探方案》并提交评审，方案中应估算整个勘察设计过程(含地质补钻)需要的地质钻探工程量，钻探数量等报发包人审批后方可实施，否则不予确认。勘察设计过程中按发包人确认的实际完成数量及中标合同单价，根据合同条款的相关规定予以计量支付。</w:t>
      </w:r>
    </w:p>
    <w:p>
      <w:pPr>
        <w:spacing w:before="89"/>
        <w:ind w:left="598" w:right="106"/>
        <w:rPr>
          <w:color w:val="000000" w:themeColor="text1"/>
          <w:sz w:val="24"/>
          <w:szCs w:val="24"/>
          <w:lang w:eastAsia="zh-CN"/>
          <w14:textFill>
            <w14:solidFill>
              <w14:schemeClr w14:val="tx1"/>
            </w14:solidFill>
          </w14:textFill>
        </w:rPr>
      </w:pPr>
      <w:r>
        <w:rPr>
          <w:b/>
          <w:bCs/>
          <w:color w:val="000000" w:themeColor="text1"/>
          <w:sz w:val="24"/>
          <w:szCs w:val="24"/>
          <w:lang w:eastAsia="zh-CN"/>
          <w14:textFill>
            <w14:solidFill>
              <w14:schemeClr w14:val="tx1"/>
            </w14:solidFill>
          </w14:textFill>
        </w:rPr>
        <w:t>在</w:t>
      </w:r>
      <w:r>
        <w:rPr>
          <w:rFonts w:ascii="Times New Roman" w:hAnsi="Times New Roman" w:eastAsia="Times New Roman"/>
          <w:b/>
          <w:bCs/>
          <w:color w:val="000000" w:themeColor="text1"/>
          <w:sz w:val="24"/>
          <w:szCs w:val="24"/>
          <w:lang w:eastAsia="zh-CN"/>
          <w14:textFill>
            <w14:solidFill>
              <w14:schemeClr w14:val="tx1"/>
            </w14:solidFill>
          </w14:textFill>
        </w:rPr>
        <w:t>11.1.1</w:t>
      </w:r>
      <w:r>
        <w:rPr>
          <w:b/>
          <w:bCs/>
          <w:color w:val="000000" w:themeColor="text1"/>
          <w:sz w:val="24"/>
          <w:szCs w:val="24"/>
          <w:lang w:eastAsia="zh-CN"/>
          <w14:textFill>
            <w14:solidFill>
              <w14:schemeClr w14:val="tx1"/>
            </w14:solidFill>
          </w14:textFill>
        </w:rPr>
        <w:t>（</w:t>
      </w:r>
      <w:r>
        <w:rPr>
          <w:rFonts w:ascii="Times New Roman" w:hAnsi="Times New Roman" w:eastAsia="Times New Roman"/>
          <w:b/>
          <w:bCs/>
          <w:color w:val="000000" w:themeColor="text1"/>
          <w:sz w:val="24"/>
          <w:szCs w:val="24"/>
          <w:lang w:eastAsia="zh-CN"/>
          <w14:textFill>
            <w14:solidFill>
              <w14:schemeClr w14:val="tx1"/>
            </w14:solidFill>
          </w14:textFill>
        </w:rPr>
        <w:t>4</w:t>
      </w:r>
      <w:r>
        <w:rPr>
          <w:b/>
          <w:bCs/>
          <w:color w:val="000000" w:themeColor="text1"/>
          <w:sz w:val="24"/>
          <w:szCs w:val="24"/>
          <w:lang w:eastAsia="zh-CN"/>
          <w14:textFill>
            <w14:solidFill>
              <w14:schemeClr w14:val="tx1"/>
            </w14:solidFill>
          </w14:textFill>
        </w:rPr>
        <w:t>）目后增加（</w:t>
      </w:r>
      <w:r>
        <w:rPr>
          <w:rFonts w:ascii="Times New Roman" w:hAnsi="Times New Roman" w:eastAsia="Times New Roman"/>
          <w:b/>
          <w:bCs/>
          <w:color w:val="000000" w:themeColor="text1"/>
          <w:sz w:val="24"/>
          <w:szCs w:val="24"/>
          <w:lang w:eastAsia="zh-CN"/>
          <w14:textFill>
            <w14:solidFill>
              <w14:schemeClr w14:val="tx1"/>
            </w14:solidFill>
          </w14:textFill>
        </w:rPr>
        <w:t>5</w:t>
      </w:r>
      <w:r>
        <w:rPr>
          <w:b/>
          <w:bCs/>
          <w:color w:val="000000" w:themeColor="text1"/>
          <w:sz w:val="24"/>
          <w:szCs w:val="24"/>
          <w:lang w:eastAsia="zh-CN"/>
          <w14:textFill>
            <w14:solidFill>
              <w14:schemeClr w14:val="tx1"/>
            </w14:solidFill>
          </w14:textFill>
        </w:rPr>
        <w:t>）</w:t>
      </w:r>
    </w:p>
    <w:p>
      <w:pPr>
        <w:pStyle w:val="4"/>
        <w:spacing w:before="147" w:line="357" w:lineRule="auto"/>
        <w:ind w:right="117" w:firstLine="480"/>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5</w:t>
      </w:r>
      <w:r>
        <w:rPr>
          <w:color w:val="000000" w:themeColor="text1"/>
          <w:lang w:eastAsia="zh-CN"/>
          <w14:textFill>
            <w14:solidFill>
              <w14:schemeClr w14:val="tx1"/>
            </w14:solidFill>
          </w14:textFill>
        </w:rPr>
        <w:t>）发生重大设计变更及较大设计变更，其划分标准参照《公路工程设计</w:t>
      </w:r>
      <w:r>
        <w:rPr>
          <w:color w:val="000000" w:themeColor="text1"/>
          <w:spacing w:val="-10"/>
          <w:lang w:eastAsia="zh-CN"/>
          <w14:textFill>
            <w14:solidFill>
              <w14:schemeClr w14:val="tx1"/>
            </w14:solidFill>
          </w14:textFill>
        </w:rPr>
        <w:t>变更管理办法》、《广东省交通厅关于公路工程设计变更管理的实施细则》的规定</w:t>
      </w:r>
      <w:r>
        <w:rPr>
          <w:color w:val="000000" w:themeColor="text1"/>
          <w:lang w:eastAsia="zh-CN"/>
          <w14:textFill>
            <w14:solidFill>
              <w14:schemeClr w14:val="tx1"/>
            </w14:solidFill>
          </w14:textFill>
        </w:rPr>
        <w:t>执行。</w:t>
      </w:r>
    </w:p>
    <w:p>
      <w:pPr>
        <w:pStyle w:val="4"/>
        <w:spacing w:line="345" w:lineRule="auto"/>
        <w:ind w:right="237"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11.1.2 </w:t>
      </w:r>
      <w:r>
        <w:rPr>
          <w:color w:val="000000" w:themeColor="text1"/>
          <w:lang w:eastAsia="zh-CN"/>
          <w14:textFill>
            <w14:solidFill>
              <w14:schemeClr w14:val="tx1"/>
            </w14:solidFill>
          </w14:textFill>
        </w:rPr>
        <w:t>项修改为：</w:t>
      </w:r>
      <w:r>
        <w:rPr>
          <w:color w:val="000000" w:themeColor="text1"/>
          <w:spacing w:val="-3"/>
          <w:lang w:eastAsia="zh-CN"/>
          <w14:textFill>
            <w14:solidFill>
              <w14:schemeClr w14:val="tx1"/>
            </w14:solidFill>
          </w14:textFill>
        </w:rPr>
        <w:t>基准日后，因颁布新的或修订原有法律、法规、规范和标准等引发合同变更</w:t>
      </w:r>
      <w:r>
        <w:rPr>
          <w:color w:val="000000" w:themeColor="text1"/>
          <w:spacing w:val="-1"/>
          <w:lang w:eastAsia="zh-CN"/>
          <w14:textFill>
            <w14:solidFill>
              <w14:schemeClr w14:val="tx1"/>
            </w14:solidFill>
          </w14:textFill>
        </w:rPr>
        <w:t>情形的（</w:t>
      </w:r>
      <w:r>
        <w:rPr>
          <w:color w:val="000000" w:themeColor="text1"/>
          <w:lang w:eastAsia="zh-CN"/>
          <w14:textFill>
            <w14:solidFill>
              <w14:schemeClr w14:val="tx1"/>
            </w14:solidFill>
          </w14:textFill>
        </w:rPr>
        <w:t>即</w:t>
      </w:r>
      <w:r>
        <w:rPr>
          <w:rFonts w:ascii="Times New Roman" w:hAnsi="Times New Roman" w:eastAsia="Times New Roman"/>
          <w:color w:val="000000" w:themeColor="text1"/>
          <w:spacing w:val="-8"/>
          <w:lang w:eastAsia="zh-CN"/>
          <w14:textFill>
            <w14:solidFill>
              <w14:schemeClr w14:val="tx1"/>
            </w14:solidFill>
          </w14:textFill>
        </w:rPr>
        <w:t>1</w:t>
      </w:r>
      <w:r>
        <w:rPr>
          <w:rFonts w:ascii="Times New Roman" w:hAnsi="Times New Roman" w:eastAsia="Times New Roman"/>
          <w:color w:val="000000" w:themeColor="text1"/>
          <w:lang w:eastAsia="zh-CN"/>
          <w14:textFill>
            <w14:solidFill>
              <w14:schemeClr w14:val="tx1"/>
            </w14:solidFill>
          </w14:textFill>
        </w:rPr>
        <w:t>1.1.</w:t>
      </w:r>
      <w:r>
        <w:rPr>
          <w:rFonts w:ascii="Times New Roman" w:hAnsi="Times New Roman" w:eastAsia="Times New Roman"/>
          <w:color w:val="000000" w:themeColor="text1"/>
          <w:spacing w:val="-2"/>
          <w:lang w:eastAsia="zh-CN"/>
          <w14:textFill>
            <w14:solidFill>
              <w14:schemeClr w14:val="tx1"/>
            </w14:solidFill>
          </w14:textFill>
        </w:rPr>
        <w:t>1</w:t>
      </w: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）目的情形</w:t>
      </w:r>
      <w:r>
        <w:rPr>
          <w:color w:val="000000" w:themeColor="text1"/>
          <w:spacing w:val="-120"/>
          <w:lang w:eastAsia="zh-CN"/>
          <w14:textFill>
            <w14:solidFill>
              <w14:schemeClr w14:val="tx1"/>
            </w14:solidFill>
          </w14:textFill>
        </w:rPr>
        <w:t>）</w:t>
      </w:r>
      <w:r>
        <w:rPr>
          <w:color w:val="000000" w:themeColor="text1"/>
          <w:spacing w:val="-1"/>
          <w:lang w:eastAsia="zh-CN"/>
          <w14:textFill>
            <w14:solidFill>
              <w14:schemeClr w14:val="tx1"/>
            </w14:solidFill>
          </w14:textFill>
        </w:rPr>
        <w:t>，按照上述约定进行调整，否则不作调整。</w:t>
      </w:r>
    </w:p>
    <w:p>
      <w:pPr>
        <w:spacing w:before="147"/>
        <w:ind w:left="598" w:right="106"/>
        <w:rPr>
          <w:b/>
          <w:bCs/>
          <w:color w:val="000000" w:themeColor="text1"/>
          <w:sz w:val="21"/>
          <w:szCs w:val="21"/>
          <w:lang w:eastAsia="zh-CN"/>
          <w14:textFill>
            <w14:solidFill>
              <w14:schemeClr w14:val="tx1"/>
            </w14:solidFill>
          </w14:textFill>
        </w:rPr>
      </w:pPr>
      <w:r>
        <w:rPr>
          <w:rFonts w:ascii="Times New Roman" w:hAnsi="Times New Roman" w:eastAsia="Times New Roman"/>
          <w:b/>
          <w:bCs/>
          <w:color w:val="000000" w:themeColor="text1"/>
          <w:spacing w:val="-4"/>
          <w:sz w:val="24"/>
          <w:szCs w:val="24"/>
          <w:lang w:eastAsia="zh-CN"/>
          <w14:textFill>
            <w14:solidFill>
              <w14:schemeClr w14:val="tx1"/>
            </w14:solidFill>
          </w14:textFill>
        </w:rPr>
        <w:t xml:space="preserve">11.2 </w:t>
      </w:r>
      <w:r>
        <w:rPr>
          <w:b/>
          <w:bCs/>
          <w:color w:val="000000" w:themeColor="text1"/>
          <w:sz w:val="24"/>
          <w:szCs w:val="24"/>
          <w:lang w:eastAsia="zh-CN"/>
          <w14:textFill>
            <w14:solidFill>
              <w14:schemeClr w14:val="tx1"/>
            </w14:solidFill>
          </w14:textFill>
        </w:rPr>
        <w:t>合理化建议</w:t>
      </w:r>
    </w:p>
    <w:p>
      <w:pPr>
        <w:pStyle w:val="4"/>
        <w:spacing w:line="345" w:lineRule="auto"/>
        <w:ind w:right="237" w:firstLine="480"/>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mc:AlternateContent>
          <mc:Choice Requires="wpg">
            <w:drawing>
              <wp:anchor distT="0" distB="0" distL="114300" distR="114300" simplePos="0" relativeHeight="251667456" behindDoc="1" locked="0" layoutInCell="1" allowOverlap="1">
                <wp:simplePos x="0" y="0"/>
                <wp:positionH relativeFrom="page">
                  <wp:posOffset>4342130</wp:posOffset>
                </wp:positionH>
                <wp:positionV relativeFrom="paragraph">
                  <wp:posOffset>500380</wp:posOffset>
                </wp:positionV>
                <wp:extent cx="76200" cy="1270"/>
                <wp:effectExtent l="0" t="0" r="0" b="0"/>
                <wp:wrapNone/>
                <wp:docPr id="7" name="Group 9"/>
                <wp:cNvGraphicFramePr/>
                <a:graphic xmlns:a="http://schemas.openxmlformats.org/drawingml/2006/main">
                  <a:graphicData uri="http://schemas.microsoft.com/office/word/2010/wordprocessingGroup">
                    <wpg:wgp>
                      <wpg:cNvGrpSpPr/>
                      <wpg:grpSpPr>
                        <a:xfrm>
                          <a:off x="0" y="0"/>
                          <a:ext cx="76200" cy="1270"/>
                          <a:chOff x="6839" y="789"/>
                          <a:chExt cx="120" cy="2091764093"/>
                        </a:xfrm>
                        <a:effectLst/>
                      </wpg:grpSpPr>
                      <wps:wsp>
                        <wps:cNvPr id="8" name="AutoShape 10"/>
                        <wps:cNvSpPr>
                          <a:spLocks noChangeArrowheads="1"/>
                        </wps:cNvSpPr>
                        <wps:spPr bwMode="auto">
                          <a:xfrm>
                            <a:off x="6839" y="789"/>
                            <a:ext cx="120" cy="2"/>
                          </a:xfrm>
                          <a:custGeom>
                            <a:avLst/>
                            <a:gdLst>
                              <a:gd name="T0" fmla="*/ 0 w 120"/>
                              <a:gd name="T1" fmla="*/ 0 h 1"/>
                              <a:gd name="T2" fmla="*/ 120 w 120"/>
                              <a:gd name="T3" fmla="*/ 0 h 1"/>
                            </a:gdLst>
                            <a:ahLst/>
                            <a:cxnLst>
                              <a:cxn ang="0">
                                <a:pos x="T0" y="T1"/>
                              </a:cxn>
                              <a:cxn ang="0">
                                <a:pos x="T2" y="T3"/>
                              </a:cxn>
                            </a:cxnLst>
                            <a:rect l="0" t="0" r="r" b="b"/>
                            <a:pathLst>
                              <a:path w="120" h="1">
                                <a:moveTo>
                                  <a:pt x="0" y="0"/>
                                </a:moveTo>
                                <a:lnTo>
                                  <a:pt x="120" y="0"/>
                                </a:lnTo>
                              </a:path>
                            </a:pathLst>
                          </a:custGeom>
                          <a:noFill/>
                          <a:ln w="3810">
                            <a:solidFill>
                              <a:srgbClr val="010101"/>
                            </a:solidFill>
                            <a:round/>
                          </a:ln>
                          <a:effectLst/>
                        </wps:spPr>
                        <wps:bodyPr rot="0" vert="horz" wrap="square" lIns="91440" tIns="45720" rIns="91440" bIns="45720" anchor="t" anchorCtr="0" upright="1">
                          <a:noAutofit/>
                        </wps:bodyPr>
                      </wps:wsp>
                    </wpg:wgp>
                  </a:graphicData>
                </a:graphic>
              </wp:anchor>
            </w:drawing>
          </mc:Choice>
          <mc:Fallback>
            <w:pict>
              <v:group id="Group 9" o:spid="_x0000_s1026" o:spt="203" style="position:absolute;left:0pt;margin-left:341.9pt;margin-top:39.4pt;height:0.1pt;width:6pt;mso-position-horizontal-relative:page;z-index:-251649024;mso-width-relative:page;mso-height-relative:page;" coordorigin="6839,789" coordsize="120,2091764093" o:gfxdata="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uZuvU2QAAAAkBAAAPAAAAAAAAAAEAIAAAACIAAABkcnMv&#10;ZG93bnJldi54bWxQSwECFAAUAAAACACHTuJAU4xNBB8DAAAzBwAADgAAAAAAAAABACAAAAAoAQAA&#10;ZHJzL2Uyb0RvYy54bWxQSwUGAAAAAAYABgBZAQAAuQYAAAAA&#10;">
                <o:lock v:ext="edit" aspectratio="f"/>
                <v:shape id="AutoShape 10" o:spid="_x0000_s1026" o:spt="100" style="position:absolute;left:6839;top:789;height:2;width:120;" filled="f" stroked="t" coordsize="120,1" o:gfxdata="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jAfgtwAAANoAAAAP&#10;AAAAAAAAAAEAIAAAACIAAABkcnMvZG93bnJldi54bWxQSwECFAAUAAAACACHTuJAMy8FnjsAAAA5&#10;AAAAEAAAAAAAAAABACAAAAAGAQAAZHJzL3NoYXBleG1sLnhtbFBLBQYAAAAABgAGAFsBAACwAwAA&#10;AAA=&#10;" path="m0,0l120,0e">
                  <v:path o:connectlocs="0,0;120,0" o:connectangles="0,0"/>
                  <v:fill on="f" focussize="0,0"/>
                  <v:stroke weight="0.3pt" color="#010101" joinstyle="round"/>
                  <v:imagedata o:title=""/>
                  <o:lock v:ext="edit" aspectratio="f"/>
                </v:shape>
              </v:group>
            </w:pict>
          </mc:Fallback>
        </mc:AlternateContent>
      </w:r>
      <w:r>
        <w:rPr>
          <w:rFonts w:ascii="Times New Roman" w:hAnsi="Times New Roman" w:eastAsia="Times New Roman"/>
          <w:color w:val="000000" w:themeColor="text1"/>
          <w:lang w:eastAsia="zh-CN"/>
          <w14:textFill>
            <w14:solidFill>
              <w14:schemeClr w14:val="tx1"/>
            </w14:solidFill>
          </w14:textFill>
        </w:rPr>
        <w:t xml:space="preserve">11.2.2 </w:t>
      </w:r>
      <w:r>
        <w:rPr>
          <w:color w:val="000000" w:themeColor="text1"/>
          <w:spacing w:val="-3"/>
          <w:lang w:eastAsia="zh-CN"/>
          <w14:textFill>
            <w14:solidFill>
              <w14:schemeClr w14:val="tx1"/>
            </w14:solidFill>
          </w14:textFill>
        </w:rPr>
        <w:t xml:space="preserve">设计人提出的合理化建议降低了工程投资、缩短了施工期限或者提高 </w:t>
      </w:r>
      <w:r>
        <w:rPr>
          <w:color w:val="000000" w:themeColor="text1"/>
          <w:lang w:eastAsia="zh-CN"/>
          <w14:textFill>
            <w14:solidFill>
              <w14:schemeClr w14:val="tx1"/>
            </w14:solidFill>
          </w14:textFill>
        </w:rPr>
        <w:t>了工程经济效益的。</w:t>
      </w:r>
    </w:p>
    <w:p>
      <w:pPr>
        <w:pStyle w:val="13"/>
        <w:spacing w:before="140"/>
        <w:ind w:left="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12.</w:t>
      </w:r>
      <w:r>
        <w:rPr>
          <w:color w:val="000000" w:themeColor="text1"/>
          <w:lang w:eastAsia="zh-CN"/>
          <w14:textFill>
            <w14:solidFill>
              <w14:schemeClr w14:val="tx1"/>
            </w14:solidFill>
          </w14:textFill>
        </w:rPr>
        <w:t>合同价格与支付</w:t>
      </w:r>
    </w:p>
    <w:p>
      <w:pPr>
        <w:spacing w:before="244"/>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12.1</w:t>
      </w:r>
      <w:r>
        <w:rPr>
          <w:b/>
          <w:bCs/>
          <w:color w:val="000000" w:themeColor="text1"/>
          <w:sz w:val="24"/>
          <w:szCs w:val="24"/>
          <w:lang w:eastAsia="zh-CN"/>
          <w14:textFill>
            <w14:solidFill>
              <w14:schemeClr w14:val="tx1"/>
            </w14:solidFill>
          </w14:textFill>
        </w:rPr>
        <w:t>合同价格</w:t>
      </w:r>
    </w:p>
    <w:p>
      <w:pPr>
        <w:pStyle w:val="4"/>
        <w:tabs>
          <w:tab w:val="left" w:pos="6598"/>
        </w:tabs>
        <w:spacing w:before="147" w:line="345" w:lineRule="auto"/>
        <w:ind w:left="598" w:right="235"/>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12.1.1</w:t>
      </w:r>
      <w:r>
        <w:rPr>
          <w:color w:val="000000" w:themeColor="text1"/>
          <w:lang w:eastAsia="zh-CN"/>
          <w14:textFill>
            <w14:solidFill>
              <w14:schemeClr w14:val="tx1"/>
            </w14:solidFill>
          </w14:textFill>
        </w:rPr>
        <w:t>本合同的价款确定方式：</w:t>
      </w:r>
      <w:r>
        <w:rPr>
          <w:color w:val="000000" w:themeColor="text1"/>
          <w:u w:val="single" w:color="010101"/>
          <w:lang w:eastAsia="zh-CN"/>
          <w14:textFill>
            <w14:solidFill>
              <w14:schemeClr w14:val="tx1"/>
            </w14:solidFill>
          </w14:textFill>
        </w:rPr>
        <w:t>总价合同</w:t>
      </w:r>
      <w:r>
        <w:rPr>
          <w:color w:val="000000" w:themeColor="text1"/>
          <w:lang w:eastAsia="zh-CN"/>
          <w14:textFill>
            <w14:solidFill>
              <w14:schemeClr w14:val="tx1"/>
            </w14:solidFill>
          </w14:textFill>
        </w:rPr>
        <w:t>。</w:t>
      </w:r>
    </w:p>
    <w:p>
      <w:pPr>
        <w:spacing w:before="158" w:line="375" w:lineRule="auto"/>
        <w:ind w:left="7" w:firstLine="479"/>
        <w:rPr>
          <w:rFonts w:ascii="宋体" w:hAnsi="宋体" w:cs="宋体"/>
          <w:sz w:val="23"/>
          <w:szCs w:val="23"/>
          <w:lang w:eastAsia="zh-CN"/>
        </w:rPr>
      </w:pPr>
      <w:r>
        <w:rPr>
          <w:rFonts w:ascii="宋体" w:hAnsi="宋体" w:cs="宋体"/>
          <w:spacing w:val="-1"/>
          <w:sz w:val="23"/>
          <w:szCs w:val="23"/>
          <w:lang w:eastAsia="zh-CN"/>
        </w:rPr>
        <w:t>本合同总费用为：</w:t>
      </w:r>
      <w:r>
        <w:rPr>
          <w:rFonts w:ascii="宋体" w:hAnsi="宋体" w:cs="宋体"/>
          <w:spacing w:val="-1"/>
          <w:sz w:val="23"/>
          <w:szCs w:val="23"/>
          <w:u w:val="single"/>
          <w:lang w:eastAsia="zh-CN"/>
        </w:rPr>
        <w:t xml:space="preserve">     </w:t>
      </w:r>
      <w:r>
        <w:rPr>
          <w:rFonts w:ascii="宋体" w:hAnsi="宋体" w:cs="宋体"/>
          <w:spacing w:val="-1"/>
          <w:sz w:val="23"/>
          <w:szCs w:val="23"/>
          <w:lang w:eastAsia="zh-CN"/>
        </w:rPr>
        <w:t>万元 (大写：</w:t>
      </w:r>
      <w:r>
        <w:rPr>
          <w:rFonts w:ascii="宋体" w:hAnsi="宋体" w:cs="宋体"/>
          <w:spacing w:val="-1"/>
          <w:sz w:val="23"/>
          <w:szCs w:val="23"/>
          <w:u w:val="single"/>
          <w:lang w:eastAsia="zh-CN"/>
        </w:rPr>
        <w:t xml:space="preserve">     </w:t>
      </w:r>
      <w:r>
        <w:rPr>
          <w:rFonts w:ascii="宋体" w:hAnsi="宋体" w:cs="宋体"/>
          <w:spacing w:val="-1"/>
          <w:sz w:val="23"/>
          <w:szCs w:val="23"/>
          <w:lang w:eastAsia="zh-CN"/>
        </w:rPr>
        <w:t>) ，其中</w:t>
      </w:r>
      <w:r>
        <w:rPr>
          <w:rFonts w:ascii="宋体" w:hAnsi="宋体" w:cs="宋体"/>
          <w:spacing w:val="-14"/>
          <w:sz w:val="23"/>
          <w:szCs w:val="23"/>
          <w:lang w:eastAsia="zh-CN"/>
        </w:rPr>
        <w:t>勘察费中标为</w:t>
      </w:r>
      <w:r>
        <w:rPr>
          <w:rFonts w:ascii="宋体" w:hAnsi="宋体" w:cs="宋体"/>
          <w:spacing w:val="-14"/>
          <w:sz w:val="23"/>
          <w:szCs w:val="23"/>
          <w:u w:val="single"/>
          <w:lang w:eastAsia="zh-CN"/>
        </w:rPr>
        <w:t xml:space="preserve">     </w:t>
      </w:r>
      <w:r>
        <w:rPr>
          <w:rFonts w:ascii="宋体" w:hAnsi="宋体" w:cs="宋体"/>
          <w:spacing w:val="-14"/>
          <w:sz w:val="23"/>
          <w:szCs w:val="23"/>
          <w:lang w:eastAsia="zh-CN"/>
        </w:rPr>
        <w:t xml:space="preserve"> 万元(大写：</w:t>
      </w:r>
      <w:r>
        <w:rPr>
          <w:rFonts w:ascii="宋体" w:hAnsi="宋体" w:cs="宋体"/>
          <w:spacing w:val="-14"/>
          <w:sz w:val="23"/>
          <w:szCs w:val="23"/>
          <w:u w:val="single"/>
          <w:lang w:eastAsia="zh-CN"/>
        </w:rPr>
        <w:t xml:space="preserve">      </w:t>
      </w:r>
      <w:r>
        <w:rPr>
          <w:rFonts w:ascii="宋体" w:hAnsi="宋体" w:cs="宋体"/>
          <w:spacing w:val="-14"/>
          <w:sz w:val="23"/>
          <w:szCs w:val="23"/>
          <w:lang w:eastAsia="zh-CN"/>
        </w:rPr>
        <w:t>) ，设计费为：</w:t>
      </w:r>
      <w:r>
        <w:rPr>
          <w:rFonts w:ascii="宋体" w:hAnsi="宋体" w:cs="宋体"/>
          <w:spacing w:val="-14"/>
          <w:sz w:val="23"/>
          <w:szCs w:val="23"/>
          <w:u w:val="single"/>
          <w:lang w:eastAsia="zh-CN"/>
        </w:rPr>
        <w:t xml:space="preserve">     </w:t>
      </w:r>
      <w:r>
        <w:rPr>
          <w:rFonts w:ascii="宋体" w:hAnsi="宋体" w:cs="宋体"/>
          <w:spacing w:val="-14"/>
          <w:sz w:val="23"/>
          <w:szCs w:val="23"/>
          <w:lang w:eastAsia="zh-CN"/>
        </w:rPr>
        <w:t>万元(大写：</w:t>
      </w:r>
      <w:r>
        <w:rPr>
          <w:rFonts w:ascii="宋体" w:hAnsi="宋体" w:cs="宋体"/>
          <w:spacing w:val="-14"/>
          <w:sz w:val="23"/>
          <w:szCs w:val="23"/>
          <w:u w:val="single"/>
          <w:lang w:eastAsia="zh-CN"/>
        </w:rPr>
        <w:t xml:space="preserve">      </w:t>
      </w:r>
      <w:r>
        <w:rPr>
          <w:rFonts w:ascii="宋体" w:hAnsi="宋体" w:cs="宋体"/>
          <w:spacing w:val="-10"/>
          <w:sz w:val="23"/>
          <w:szCs w:val="23"/>
          <w:lang w:eastAsia="zh-CN"/>
        </w:rPr>
        <w:t>)</w:t>
      </w:r>
    </w:p>
    <w:p>
      <w:pPr>
        <w:spacing w:before="1" w:line="226" w:lineRule="auto"/>
        <w:ind w:left="486"/>
        <w:rPr>
          <w:rFonts w:ascii="宋体" w:hAnsi="宋体" w:cs="宋体"/>
          <w:sz w:val="23"/>
          <w:szCs w:val="23"/>
          <w:lang w:eastAsia="zh-CN"/>
        </w:rPr>
      </w:pPr>
      <w:r>
        <w:rPr>
          <w:rFonts w:hint="eastAsia" w:ascii="宋体" w:hAnsi="宋体" w:cs="宋体"/>
          <w:spacing w:val="8"/>
          <w:sz w:val="23"/>
          <w:szCs w:val="23"/>
          <w:lang w:eastAsia="zh-CN"/>
        </w:rPr>
        <w:t>12.2</w:t>
      </w:r>
      <w:r>
        <w:rPr>
          <w:rFonts w:ascii="宋体" w:hAnsi="宋体" w:cs="宋体"/>
          <w:spacing w:val="6"/>
          <w:sz w:val="23"/>
          <w:szCs w:val="23"/>
          <w:lang w:eastAsia="zh-CN"/>
        </w:rPr>
        <w:t xml:space="preserve"> </w:t>
      </w:r>
      <w:r>
        <w:rPr>
          <w:rFonts w:ascii="宋体" w:hAnsi="宋体" w:cs="宋体"/>
          <w:spacing w:val="4"/>
          <w:sz w:val="23"/>
          <w:szCs w:val="23"/>
          <w:lang w:eastAsia="zh-CN"/>
        </w:rPr>
        <w:t>本项目勘察设计费用支付方式如下：</w:t>
      </w:r>
    </w:p>
    <w:p>
      <w:pPr>
        <w:widowControl/>
        <w:kinsoku w:val="0"/>
        <w:autoSpaceDE w:val="0"/>
        <w:autoSpaceDN w:val="0"/>
        <w:adjustRightInd w:val="0"/>
        <w:snapToGrid w:val="0"/>
        <w:spacing w:before="184" w:line="375" w:lineRule="auto"/>
        <w:ind w:right="99" w:firstLine="452" w:firstLineChars="200"/>
        <w:textAlignment w:val="baseline"/>
        <w:rPr>
          <w:rFonts w:ascii="宋体" w:hAnsi="宋体" w:eastAsia="宋体" w:cs="宋体"/>
          <w:snapToGrid w:val="0"/>
          <w:color w:val="auto"/>
          <w:spacing w:val="-2"/>
          <w:sz w:val="23"/>
          <w:szCs w:val="23"/>
          <w:highlight w:val="none"/>
          <w:lang w:eastAsia="zh-CN"/>
        </w:rPr>
      </w:pPr>
      <w:r>
        <w:rPr>
          <w:rFonts w:hint="eastAsia" w:ascii="宋体" w:hAnsi="宋体" w:eastAsia="宋体" w:cs="宋体"/>
          <w:snapToGrid w:val="0"/>
          <w:color w:val="auto"/>
          <w:spacing w:val="-2"/>
          <w:sz w:val="23"/>
          <w:szCs w:val="23"/>
          <w:highlight w:val="none"/>
          <w:lang w:eastAsia="zh-CN"/>
        </w:rPr>
        <w:t>（</w:t>
      </w:r>
      <w:r>
        <w:rPr>
          <w:rFonts w:ascii="宋体" w:hAnsi="宋体" w:eastAsia="宋体" w:cs="宋体"/>
          <w:snapToGrid w:val="0"/>
          <w:color w:val="auto"/>
          <w:spacing w:val="-2"/>
          <w:sz w:val="23"/>
          <w:szCs w:val="23"/>
          <w:highlight w:val="none"/>
          <w:lang w:eastAsia="zh-CN"/>
        </w:rPr>
        <w:t>1</w:t>
      </w:r>
      <w:r>
        <w:rPr>
          <w:rFonts w:hint="eastAsia" w:ascii="宋体" w:hAnsi="宋体" w:eastAsia="宋体" w:cs="宋体"/>
          <w:snapToGrid w:val="0"/>
          <w:color w:val="auto"/>
          <w:spacing w:val="-2"/>
          <w:sz w:val="23"/>
          <w:szCs w:val="23"/>
          <w:highlight w:val="none"/>
          <w:lang w:eastAsia="zh-CN"/>
        </w:rPr>
        <w:t>）合同签订生效后，支付勘察设计费用的</w:t>
      </w:r>
      <w:r>
        <w:rPr>
          <w:rFonts w:ascii="宋体" w:hAnsi="宋体" w:eastAsia="宋体" w:cs="宋体"/>
          <w:snapToGrid w:val="0"/>
          <w:color w:val="auto"/>
          <w:spacing w:val="-2"/>
          <w:sz w:val="23"/>
          <w:szCs w:val="23"/>
          <w:highlight w:val="none"/>
          <w:lang w:eastAsia="zh-CN"/>
        </w:rPr>
        <w:t>20%</w:t>
      </w:r>
      <w:r>
        <w:rPr>
          <w:rFonts w:hint="eastAsia" w:ascii="宋体" w:hAnsi="宋体" w:eastAsia="宋体" w:cs="宋体"/>
          <w:snapToGrid w:val="0"/>
          <w:color w:val="auto"/>
          <w:spacing w:val="-2"/>
          <w:sz w:val="23"/>
          <w:szCs w:val="23"/>
          <w:highlight w:val="none"/>
          <w:lang w:eastAsia="zh-CN"/>
        </w:rPr>
        <w:t>作为预付款；</w:t>
      </w:r>
    </w:p>
    <w:p>
      <w:pPr>
        <w:widowControl/>
        <w:kinsoku w:val="0"/>
        <w:autoSpaceDE w:val="0"/>
        <w:autoSpaceDN w:val="0"/>
        <w:adjustRightInd w:val="0"/>
        <w:snapToGrid w:val="0"/>
        <w:spacing w:before="184" w:line="375" w:lineRule="auto"/>
        <w:ind w:right="99" w:firstLine="452" w:firstLineChars="200"/>
        <w:textAlignment w:val="baseline"/>
        <w:rPr>
          <w:rFonts w:ascii="宋体" w:hAnsi="宋体" w:eastAsia="宋体" w:cs="宋体"/>
          <w:snapToGrid w:val="0"/>
          <w:color w:val="auto"/>
          <w:spacing w:val="-2"/>
          <w:sz w:val="23"/>
          <w:szCs w:val="23"/>
          <w:highlight w:val="none"/>
          <w:lang w:eastAsia="zh-CN"/>
        </w:rPr>
      </w:pPr>
      <w:r>
        <w:rPr>
          <w:rFonts w:hint="eastAsia" w:ascii="宋体" w:hAnsi="宋体" w:eastAsia="宋体" w:cs="宋体"/>
          <w:snapToGrid w:val="0"/>
          <w:color w:val="auto"/>
          <w:spacing w:val="-2"/>
          <w:sz w:val="23"/>
          <w:szCs w:val="23"/>
          <w:highlight w:val="none"/>
          <w:lang w:eastAsia="zh-CN"/>
        </w:rPr>
        <w:t>（</w:t>
      </w:r>
      <w:r>
        <w:rPr>
          <w:rFonts w:ascii="宋体" w:hAnsi="宋体" w:eastAsia="宋体" w:cs="宋体"/>
          <w:snapToGrid w:val="0"/>
          <w:color w:val="auto"/>
          <w:spacing w:val="-2"/>
          <w:sz w:val="23"/>
          <w:szCs w:val="23"/>
          <w:highlight w:val="none"/>
          <w:lang w:eastAsia="zh-CN"/>
        </w:rPr>
        <w:t>2</w:t>
      </w:r>
      <w:r>
        <w:rPr>
          <w:rFonts w:hint="eastAsia" w:ascii="宋体" w:hAnsi="宋体" w:eastAsia="宋体" w:cs="宋体"/>
          <w:snapToGrid w:val="0"/>
          <w:color w:val="auto"/>
          <w:spacing w:val="-2"/>
          <w:sz w:val="23"/>
          <w:szCs w:val="23"/>
          <w:highlight w:val="none"/>
          <w:lang w:eastAsia="zh-CN"/>
        </w:rPr>
        <w:t>）初步设计文件按期完成后并送至发包人处，经发包人或上级主管部门审查、修改批准后，支付至勘察设计费用的</w:t>
      </w:r>
      <w:r>
        <w:rPr>
          <w:rFonts w:ascii="宋体" w:hAnsi="宋体" w:eastAsia="宋体" w:cs="宋体"/>
          <w:snapToGrid w:val="0"/>
          <w:color w:val="auto"/>
          <w:spacing w:val="-2"/>
          <w:sz w:val="23"/>
          <w:szCs w:val="23"/>
          <w:highlight w:val="none"/>
          <w:lang w:eastAsia="zh-CN"/>
        </w:rPr>
        <w:t>40%</w:t>
      </w:r>
      <w:r>
        <w:rPr>
          <w:rFonts w:hint="eastAsia" w:ascii="宋体" w:hAnsi="宋体" w:eastAsia="宋体" w:cs="宋体"/>
          <w:snapToGrid w:val="0"/>
          <w:color w:val="auto"/>
          <w:spacing w:val="-2"/>
          <w:sz w:val="23"/>
          <w:szCs w:val="23"/>
          <w:highlight w:val="none"/>
          <w:lang w:eastAsia="zh-CN"/>
        </w:rPr>
        <w:t>；</w:t>
      </w:r>
    </w:p>
    <w:p>
      <w:pPr>
        <w:widowControl/>
        <w:kinsoku w:val="0"/>
        <w:autoSpaceDE w:val="0"/>
        <w:autoSpaceDN w:val="0"/>
        <w:adjustRightInd w:val="0"/>
        <w:snapToGrid w:val="0"/>
        <w:spacing w:before="184" w:line="375" w:lineRule="auto"/>
        <w:ind w:right="99" w:firstLine="452" w:firstLineChars="200"/>
        <w:textAlignment w:val="baseline"/>
        <w:rPr>
          <w:rFonts w:ascii="宋体" w:hAnsi="宋体" w:eastAsia="宋体" w:cs="宋体"/>
          <w:snapToGrid w:val="0"/>
          <w:color w:val="auto"/>
          <w:spacing w:val="-2"/>
          <w:sz w:val="23"/>
          <w:szCs w:val="23"/>
          <w:highlight w:val="none"/>
          <w:lang w:eastAsia="zh-CN"/>
        </w:rPr>
      </w:pPr>
      <w:r>
        <w:rPr>
          <w:rFonts w:hint="eastAsia" w:ascii="宋体" w:hAnsi="宋体" w:eastAsia="宋体" w:cs="宋体"/>
          <w:snapToGrid w:val="0"/>
          <w:color w:val="auto"/>
          <w:spacing w:val="-2"/>
          <w:sz w:val="23"/>
          <w:szCs w:val="23"/>
          <w:highlight w:val="none"/>
          <w:lang w:eastAsia="zh-CN"/>
        </w:rPr>
        <w:t>（</w:t>
      </w:r>
      <w:r>
        <w:rPr>
          <w:rFonts w:ascii="宋体" w:hAnsi="宋体" w:eastAsia="宋体" w:cs="宋体"/>
          <w:snapToGrid w:val="0"/>
          <w:color w:val="auto"/>
          <w:spacing w:val="-2"/>
          <w:sz w:val="23"/>
          <w:szCs w:val="23"/>
          <w:highlight w:val="none"/>
          <w:lang w:eastAsia="zh-CN"/>
        </w:rPr>
        <w:t>3</w:t>
      </w:r>
      <w:r>
        <w:rPr>
          <w:rFonts w:hint="eastAsia" w:ascii="宋体" w:hAnsi="宋体" w:eastAsia="宋体" w:cs="宋体"/>
          <w:snapToGrid w:val="0"/>
          <w:color w:val="auto"/>
          <w:spacing w:val="-2"/>
          <w:sz w:val="23"/>
          <w:szCs w:val="23"/>
          <w:highlight w:val="none"/>
          <w:lang w:eastAsia="zh-CN"/>
        </w:rPr>
        <w:t>）施工图设计文件按期完成后并送至发包人处，经发包人或上级主管部门审查、修改批准后，支付至勘察设计费用的</w:t>
      </w:r>
      <w:r>
        <w:rPr>
          <w:rFonts w:ascii="宋体" w:hAnsi="宋体" w:eastAsia="宋体" w:cs="宋体"/>
          <w:snapToGrid w:val="0"/>
          <w:color w:val="auto"/>
          <w:spacing w:val="-2"/>
          <w:sz w:val="23"/>
          <w:szCs w:val="23"/>
          <w:highlight w:val="none"/>
          <w:lang w:eastAsia="zh-CN"/>
        </w:rPr>
        <w:t>80%</w:t>
      </w:r>
      <w:r>
        <w:rPr>
          <w:rFonts w:hint="eastAsia" w:ascii="宋体" w:hAnsi="宋体" w:eastAsia="宋体" w:cs="宋体"/>
          <w:snapToGrid w:val="0"/>
          <w:color w:val="auto"/>
          <w:spacing w:val="-2"/>
          <w:sz w:val="23"/>
          <w:szCs w:val="23"/>
          <w:highlight w:val="none"/>
          <w:lang w:eastAsia="zh-CN"/>
        </w:rPr>
        <w:t>；</w:t>
      </w:r>
    </w:p>
    <w:p>
      <w:pPr>
        <w:widowControl/>
        <w:kinsoku w:val="0"/>
        <w:autoSpaceDE w:val="0"/>
        <w:autoSpaceDN w:val="0"/>
        <w:adjustRightInd w:val="0"/>
        <w:snapToGrid w:val="0"/>
        <w:spacing w:before="184" w:line="375" w:lineRule="auto"/>
        <w:ind w:right="99" w:firstLine="452" w:firstLineChars="200"/>
        <w:textAlignment w:val="baseline"/>
        <w:rPr>
          <w:rFonts w:ascii="宋体" w:hAnsi="宋体" w:eastAsia="宋体" w:cs="宋体"/>
          <w:snapToGrid w:val="0"/>
          <w:color w:val="auto"/>
          <w:spacing w:val="-2"/>
          <w:sz w:val="23"/>
          <w:szCs w:val="23"/>
          <w:highlight w:val="none"/>
          <w:lang w:eastAsia="zh-CN"/>
        </w:rPr>
      </w:pPr>
      <w:r>
        <w:rPr>
          <w:rFonts w:hint="eastAsia" w:ascii="宋体" w:hAnsi="宋体" w:eastAsia="宋体" w:cs="宋体"/>
          <w:snapToGrid w:val="0"/>
          <w:color w:val="auto"/>
          <w:spacing w:val="-2"/>
          <w:sz w:val="23"/>
          <w:szCs w:val="23"/>
          <w:highlight w:val="none"/>
          <w:lang w:eastAsia="zh-CN"/>
        </w:rPr>
        <w:t>（</w:t>
      </w:r>
      <w:r>
        <w:rPr>
          <w:rFonts w:ascii="宋体" w:hAnsi="宋体" w:eastAsia="宋体" w:cs="宋体"/>
          <w:snapToGrid w:val="0"/>
          <w:color w:val="auto"/>
          <w:spacing w:val="-2"/>
          <w:sz w:val="23"/>
          <w:szCs w:val="23"/>
          <w:highlight w:val="none"/>
          <w:lang w:eastAsia="zh-CN"/>
        </w:rPr>
        <w:t>4</w:t>
      </w:r>
      <w:r>
        <w:rPr>
          <w:rFonts w:hint="eastAsia" w:ascii="宋体" w:hAnsi="宋体" w:eastAsia="宋体" w:cs="宋体"/>
          <w:snapToGrid w:val="0"/>
          <w:color w:val="auto"/>
          <w:spacing w:val="-2"/>
          <w:sz w:val="23"/>
          <w:szCs w:val="23"/>
          <w:highlight w:val="none"/>
          <w:lang w:eastAsia="zh-CN"/>
        </w:rPr>
        <w:t>）本项目交工证书签发后，发包人向设计人支付至勘察设计费用的</w:t>
      </w:r>
      <w:r>
        <w:rPr>
          <w:rFonts w:ascii="宋体" w:hAnsi="宋体" w:eastAsia="宋体" w:cs="宋体"/>
          <w:snapToGrid w:val="0"/>
          <w:color w:val="auto"/>
          <w:spacing w:val="-2"/>
          <w:sz w:val="23"/>
          <w:szCs w:val="23"/>
          <w:highlight w:val="none"/>
          <w:lang w:eastAsia="zh-CN"/>
        </w:rPr>
        <w:t>97%</w:t>
      </w:r>
      <w:r>
        <w:rPr>
          <w:rFonts w:hint="eastAsia" w:ascii="宋体" w:hAnsi="宋体" w:eastAsia="宋体" w:cs="宋体"/>
          <w:snapToGrid w:val="0"/>
          <w:color w:val="auto"/>
          <w:spacing w:val="-2"/>
          <w:sz w:val="23"/>
          <w:szCs w:val="23"/>
          <w:highlight w:val="none"/>
          <w:lang w:eastAsia="zh-CN"/>
        </w:rPr>
        <w:t>；</w:t>
      </w:r>
    </w:p>
    <w:p>
      <w:pPr>
        <w:widowControl/>
        <w:kinsoku w:val="0"/>
        <w:autoSpaceDE w:val="0"/>
        <w:autoSpaceDN w:val="0"/>
        <w:adjustRightInd w:val="0"/>
        <w:snapToGrid w:val="0"/>
        <w:spacing w:before="184" w:line="375" w:lineRule="auto"/>
        <w:ind w:right="99" w:firstLine="452" w:firstLineChars="200"/>
        <w:textAlignment w:val="baseline"/>
        <w:rPr>
          <w:rFonts w:ascii="宋体" w:hAnsi="宋体" w:eastAsia="宋体" w:cs="宋体"/>
          <w:snapToGrid w:val="0"/>
          <w:color w:val="auto"/>
          <w:spacing w:val="-2"/>
          <w:sz w:val="23"/>
          <w:szCs w:val="23"/>
          <w:highlight w:val="none"/>
          <w:lang w:eastAsia="zh-CN"/>
        </w:rPr>
      </w:pPr>
      <w:r>
        <w:rPr>
          <w:rFonts w:hint="eastAsia" w:ascii="宋体" w:hAnsi="宋体" w:eastAsia="宋体" w:cs="宋体"/>
          <w:snapToGrid w:val="0"/>
          <w:color w:val="auto"/>
          <w:spacing w:val="-2"/>
          <w:sz w:val="23"/>
          <w:szCs w:val="23"/>
          <w:highlight w:val="none"/>
          <w:lang w:eastAsia="zh-CN"/>
        </w:rPr>
        <w:t>（</w:t>
      </w:r>
      <w:r>
        <w:rPr>
          <w:rFonts w:ascii="宋体" w:hAnsi="宋体" w:eastAsia="宋体" w:cs="宋体"/>
          <w:snapToGrid w:val="0"/>
          <w:color w:val="auto"/>
          <w:spacing w:val="-2"/>
          <w:sz w:val="23"/>
          <w:szCs w:val="23"/>
          <w:highlight w:val="none"/>
          <w:lang w:eastAsia="zh-CN"/>
        </w:rPr>
        <w:t>5</w:t>
      </w:r>
      <w:r>
        <w:rPr>
          <w:rFonts w:hint="eastAsia" w:ascii="宋体" w:hAnsi="宋体" w:eastAsia="宋体" w:cs="宋体"/>
          <w:snapToGrid w:val="0"/>
          <w:color w:val="auto"/>
          <w:spacing w:val="-2"/>
          <w:sz w:val="23"/>
          <w:szCs w:val="23"/>
          <w:highlight w:val="none"/>
          <w:lang w:eastAsia="zh-CN"/>
        </w:rPr>
        <w:t>）本项目缺陷责任期结束后，发包人向设计人支付剩余勘察设计费用。</w:t>
      </w:r>
    </w:p>
    <w:p>
      <w:pPr>
        <w:pStyle w:val="2"/>
        <w:ind w:left="0" w:leftChars="0" w:firstLine="0" w:firstLineChars="0"/>
        <w:rPr>
          <w:color w:val="auto"/>
          <w:highlight w:val="none"/>
          <w:lang w:eastAsia="zh-CN"/>
        </w:rPr>
      </w:pPr>
      <w:r>
        <w:rPr>
          <w:rFonts w:hint="eastAsia" w:eastAsia="宋体" w:cs="宋体"/>
          <w:snapToGrid w:val="0"/>
          <w:color w:val="auto"/>
          <w:spacing w:val="13"/>
          <w:sz w:val="23"/>
          <w:szCs w:val="23"/>
          <w:highlight w:val="none"/>
          <w:lang w:eastAsia="zh-CN"/>
        </w:rPr>
        <w:t>注：上述勘察设计费用的支付需待财政资金到位后进行支付。</w:t>
      </w:r>
    </w:p>
    <w:p>
      <w:pPr>
        <w:spacing w:before="107" w:line="319" w:lineRule="auto"/>
        <w:ind w:left="598" w:right="382"/>
        <w:rPr>
          <w:color w:val="auto"/>
          <w:sz w:val="24"/>
          <w:szCs w:val="24"/>
          <w:highlight w:val="none"/>
          <w:lang w:eastAsia="zh-CN"/>
        </w:rPr>
      </w:pPr>
      <w:r>
        <w:rPr>
          <w:b/>
          <w:bCs/>
          <w:color w:val="auto"/>
          <w:sz w:val="24"/>
          <w:szCs w:val="24"/>
          <w:highlight w:val="none"/>
          <w:lang w:eastAsia="zh-CN"/>
        </w:rPr>
        <w:t>增加</w:t>
      </w:r>
      <w:r>
        <w:rPr>
          <w:rFonts w:ascii="Times New Roman" w:hAnsi="Times New Roman" w:eastAsia="Times New Roman"/>
          <w:b/>
          <w:bCs/>
          <w:color w:val="auto"/>
          <w:sz w:val="24"/>
          <w:szCs w:val="24"/>
          <w:highlight w:val="none"/>
          <w:lang w:eastAsia="zh-CN"/>
        </w:rPr>
        <w:t>12.1.7~12.1.</w:t>
      </w:r>
      <w:r>
        <w:rPr>
          <w:rFonts w:hint="eastAsia" w:ascii="Times New Roman" w:hAnsi="Times New Roman" w:eastAsia="Times New Roman"/>
          <w:b/>
          <w:bCs/>
          <w:color w:val="auto"/>
          <w:sz w:val="24"/>
          <w:szCs w:val="24"/>
          <w:highlight w:val="none"/>
          <w:lang w:eastAsia="zh-CN"/>
        </w:rPr>
        <w:t>9</w:t>
      </w:r>
      <w:r>
        <w:rPr>
          <w:rFonts w:ascii="Times New Roman" w:hAnsi="Times New Roman" w:eastAsia="Times New Roman"/>
          <w:b/>
          <w:bCs/>
          <w:color w:val="auto"/>
          <w:sz w:val="24"/>
          <w:szCs w:val="24"/>
          <w:highlight w:val="none"/>
          <w:lang w:eastAsia="zh-CN"/>
        </w:rPr>
        <w:t xml:space="preserve"> </w:t>
      </w:r>
      <w:r>
        <w:rPr>
          <w:b/>
          <w:bCs/>
          <w:color w:val="auto"/>
          <w:sz w:val="24"/>
          <w:szCs w:val="24"/>
          <w:highlight w:val="none"/>
          <w:lang w:eastAsia="zh-CN"/>
        </w:rPr>
        <w:t>款</w:t>
      </w:r>
    </w:p>
    <w:p>
      <w:pPr>
        <w:pStyle w:val="4"/>
        <w:spacing w:line="288" w:lineRule="auto"/>
        <w:ind w:right="237" w:firstLine="480"/>
        <w:jc w:val="both"/>
        <w:rPr>
          <w:color w:val="auto"/>
          <w:highlight w:val="none"/>
          <w:lang w:eastAsia="zh-CN"/>
        </w:rPr>
      </w:pPr>
      <w:r>
        <w:rPr>
          <w:rFonts w:ascii="Times New Roman" w:hAnsi="Times New Roman" w:eastAsia="Times New Roman"/>
          <w:color w:val="auto"/>
          <w:highlight w:val="none"/>
          <w:lang w:eastAsia="zh-CN"/>
        </w:rPr>
        <w:t>12.1.7</w:t>
      </w:r>
      <w:r>
        <w:rPr>
          <w:color w:val="auto"/>
          <w:highlight w:val="none"/>
          <w:lang w:eastAsia="zh-CN"/>
        </w:rPr>
        <w:t xml:space="preserve">如设计人设计的部分项目不符合发包人要求或相关标准时，发包人可 </w:t>
      </w:r>
      <w:r>
        <w:rPr>
          <w:color w:val="auto"/>
          <w:spacing w:val="-3"/>
          <w:highlight w:val="none"/>
          <w:lang w:eastAsia="zh-CN"/>
        </w:rPr>
        <w:t xml:space="preserve">根据工程需要，将本部分项目工作通过招标或委托方式，给具备相关资质的单位 继续进行设计，设计人除必须按照发包人的要求提供所需的全部文件资料外；由 此产生的一切费用（含通过招标的中标价或委托合同价）均由设计人承担，其高 于设计人原报价的设计费由设计人补足，低于原报价的设计费发包人将按费用的 </w:t>
      </w:r>
      <w:r>
        <w:rPr>
          <w:color w:val="auto"/>
          <w:highlight w:val="none"/>
          <w:lang w:eastAsia="zh-CN"/>
        </w:rPr>
        <w:t>差额予以扣回。</w:t>
      </w:r>
    </w:p>
    <w:p>
      <w:pPr>
        <w:pStyle w:val="4"/>
        <w:spacing w:before="24" w:line="288" w:lineRule="auto"/>
        <w:ind w:right="237" w:firstLine="480"/>
        <w:jc w:val="both"/>
        <w:rPr>
          <w:color w:val="auto"/>
          <w:highlight w:val="none"/>
          <w:lang w:eastAsia="zh-CN"/>
        </w:rPr>
      </w:pPr>
      <w:r>
        <w:rPr>
          <w:rFonts w:ascii="Times New Roman" w:hAnsi="Times New Roman" w:eastAsia="Times New Roman"/>
          <w:color w:val="auto"/>
          <w:highlight w:val="none"/>
          <w:lang w:eastAsia="zh-CN"/>
        </w:rPr>
        <w:t>12.1.</w:t>
      </w:r>
      <w:r>
        <w:rPr>
          <w:rFonts w:hint="eastAsia" w:ascii="Times New Roman" w:hAnsi="Times New Roman" w:eastAsia="Times New Roman"/>
          <w:color w:val="auto"/>
          <w:highlight w:val="none"/>
          <w:lang w:eastAsia="zh-CN"/>
        </w:rPr>
        <w:t>8</w:t>
      </w:r>
      <w:r>
        <w:rPr>
          <w:color w:val="auto"/>
          <w:highlight w:val="none"/>
          <w:lang w:eastAsia="zh-CN"/>
        </w:rPr>
        <w:t>发包人在招标及实施阶段有可能对标段长度做出调整，投标人必须接 受，费用相应进行调整。</w:t>
      </w:r>
    </w:p>
    <w:p>
      <w:pPr>
        <w:pStyle w:val="4"/>
        <w:spacing w:before="37"/>
        <w:ind w:left="598"/>
        <w:rPr>
          <w:color w:val="auto"/>
          <w:highlight w:val="none"/>
          <w:lang w:eastAsia="zh-CN"/>
        </w:rPr>
      </w:pPr>
      <w:r>
        <w:rPr>
          <w:rFonts w:ascii="Times New Roman" w:hAnsi="Times New Roman" w:eastAsia="Times New Roman"/>
          <w:color w:val="auto"/>
          <w:highlight w:val="none"/>
          <w:lang w:eastAsia="zh-CN"/>
        </w:rPr>
        <w:t>12.1.</w:t>
      </w:r>
      <w:r>
        <w:rPr>
          <w:rFonts w:hint="eastAsia" w:ascii="Times New Roman" w:hAnsi="Times New Roman" w:eastAsia="Times New Roman"/>
          <w:color w:val="auto"/>
          <w:highlight w:val="none"/>
          <w:lang w:eastAsia="zh-CN"/>
        </w:rPr>
        <w:t>9</w:t>
      </w:r>
      <w:r>
        <w:rPr>
          <w:rFonts w:ascii="Times New Roman" w:hAnsi="Times New Roman" w:eastAsia="Times New Roman"/>
          <w:color w:val="auto"/>
          <w:highlight w:val="none"/>
          <w:lang w:eastAsia="zh-CN"/>
        </w:rPr>
        <w:t xml:space="preserve"> </w:t>
      </w:r>
      <w:r>
        <w:rPr>
          <w:color w:val="auto"/>
          <w:highlight w:val="none"/>
          <w:lang w:eastAsia="zh-CN"/>
        </w:rPr>
        <w:t>其他支付方式</w:t>
      </w:r>
    </w:p>
    <w:p>
      <w:pPr>
        <w:spacing w:before="132"/>
        <w:ind w:left="598"/>
        <w:rPr>
          <w:color w:val="auto"/>
          <w:sz w:val="24"/>
          <w:szCs w:val="24"/>
          <w:highlight w:val="none"/>
          <w:lang w:eastAsia="zh-CN"/>
        </w:rPr>
      </w:pPr>
      <w:r>
        <w:rPr>
          <w:rFonts w:ascii="Times New Roman" w:hAnsi="Times New Roman" w:eastAsia="Times New Roman"/>
          <w:b/>
          <w:bCs/>
          <w:color w:val="auto"/>
          <w:sz w:val="24"/>
          <w:szCs w:val="24"/>
          <w:highlight w:val="none"/>
          <w:lang w:eastAsia="zh-CN"/>
        </w:rPr>
        <w:t xml:space="preserve">12.2  </w:t>
      </w:r>
      <w:r>
        <w:rPr>
          <w:b/>
          <w:bCs/>
          <w:color w:val="auto"/>
          <w:sz w:val="24"/>
          <w:szCs w:val="24"/>
          <w:highlight w:val="none"/>
          <w:lang w:eastAsia="zh-CN"/>
        </w:rPr>
        <w:t>定金或预付款</w:t>
      </w:r>
    </w:p>
    <w:p>
      <w:pPr>
        <w:pStyle w:val="4"/>
        <w:spacing w:before="115" w:line="319" w:lineRule="auto"/>
        <w:ind w:right="238" w:firstLine="480"/>
        <w:jc w:val="both"/>
        <w:rPr>
          <w:rFonts w:cs="宋体"/>
          <w:color w:val="auto"/>
          <w:spacing w:val="11"/>
          <w:sz w:val="23"/>
          <w:szCs w:val="23"/>
          <w:highlight w:val="none"/>
          <w:u w:val="single"/>
          <w:lang w:eastAsia="zh-CN"/>
        </w:rPr>
      </w:pPr>
      <w:r>
        <w:rPr>
          <w:rFonts w:ascii="Times New Roman" w:hAnsi="Times New Roman" w:eastAsia="Times New Roman"/>
          <w:color w:val="auto"/>
          <w:highlight w:val="none"/>
          <w:lang w:eastAsia="zh-CN"/>
        </w:rPr>
        <w:t xml:space="preserve">12.2.1 </w:t>
      </w:r>
      <w:r>
        <w:rPr>
          <w:color w:val="auto"/>
          <w:highlight w:val="none"/>
          <w:lang w:eastAsia="zh-CN"/>
        </w:rPr>
        <w:t>定金或预付款的额度、支付方式及抵扣方式：</w:t>
      </w:r>
      <w:r>
        <w:rPr>
          <w:rFonts w:hint="eastAsia" w:cs="宋体"/>
          <w:color w:val="auto"/>
          <w:spacing w:val="11"/>
          <w:sz w:val="23"/>
          <w:szCs w:val="23"/>
          <w:highlight w:val="none"/>
          <w:u w:val="single"/>
          <w:lang w:eastAsia="zh-CN"/>
        </w:rPr>
        <w:t>本项目预付款20%。</w:t>
      </w:r>
    </w:p>
    <w:p>
      <w:pPr>
        <w:spacing w:before="78"/>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12.3</w:t>
      </w:r>
      <w:r>
        <w:rPr>
          <w:b/>
          <w:bCs/>
          <w:color w:val="000000" w:themeColor="text1"/>
          <w:sz w:val="24"/>
          <w:szCs w:val="24"/>
          <w:lang w:eastAsia="zh-CN"/>
          <w14:textFill>
            <w14:solidFill>
              <w14:schemeClr w14:val="tx1"/>
            </w14:solidFill>
          </w14:textFill>
        </w:rPr>
        <w:t>中期支付</w:t>
      </w:r>
    </w:p>
    <w:p>
      <w:pPr>
        <w:pStyle w:val="4"/>
        <w:tabs>
          <w:tab w:val="left" w:pos="4721"/>
          <w:tab w:val="left" w:pos="8305"/>
        </w:tabs>
        <w:spacing w:before="147"/>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12.3.1  </w:t>
      </w:r>
      <w:r>
        <w:rPr>
          <w:color w:val="000000" w:themeColor="text1"/>
          <w:lang w:eastAsia="zh-CN"/>
          <w14:textFill>
            <w14:solidFill>
              <w14:schemeClr w14:val="tx1"/>
            </w14:solidFill>
          </w14:textFill>
        </w:rPr>
        <w:t>中期支付申请的格式及份数：</w:t>
      </w:r>
      <w:r>
        <w:rPr>
          <w:color w:val="000000" w:themeColor="text1"/>
          <w:spacing w:val="-8"/>
          <w:u w:val="single" w:color="010101"/>
          <w:lang w:eastAsia="zh-CN"/>
          <w14:textFill>
            <w14:solidFill>
              <w14:schemeClr w14:val="tx1"/>
            </w14:solidFill>
          </w14:textFill>
        </w:rPr>
        <w:t>发包人批准的格式；</w:t>
      </w:r>
      <w:r>
        <w:rPr>
          <w:rFonts w:ascii="Times New Roman" w:hAnsi="Times New Roman" w:eastAsia="Times New Roman"/>
          <w:color w:val="000000" w:themeColor="text1"/>
          <w:spacing w:val="-8"/>
          <w:u w:val="single" w:color="010101"/>
          <w:lang w:eastAsia="zh-CN"/>
          <w14:textFill>
            <w14:solidFill>
              <w14:schemeClr w14:val="tx1"/>
            </w14:solidFill>
          </w14:textFill>
        </w:rPr>
        <w:t>4</w:t>
      </w:r>
      <w:r>
        <w:rPr>
          <w:color w:val="000000" w:themeColor="text1"/>
          <w:u w:val="single" w:color="010101"/>
          <w:lang w:eastAsia="zh-CN"/>
          <w14:textFill>
            <w14:solidFill>
              <w14:schemeClr w14:val="tx1"/>
            </w14:solidFill>
          </w14:textFill>
        </w:rPr>
        <w:t>份</w:t>
      </w:r>
      <w:r>
        <w:rPr>
          <w:color w:val="000000" w:themeColor="text1"/>
          <w:lang w:eastAsia="zh-CN"/>
          <w14:textFill>
            <w14:solidFill>
              <w14:schemeClr w14:val="tx1"/>
            </w14:solidFill>
          </w14:textFill>
        </w:rPr>
        <w:t>。</w:t>
      </w:r>
    </w:p>
    <w:p>
      <w:pPr>
        <w:pStyle w:val="4"/>
        <w:spacing w:before="115" w:line="319" w:lineRule="auto"/>
        <w:ind w:right="238"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12.3.2 </w:t>
      </w:r>
      <w:r>
        <w:rPr>
          <w:color w:val="000000" w:themeColor="text1"/>
          <w:lang w:eastAsia="zh-CN"/>
          <w14:textFill>
            <w14:solidFill>
              <w14:schemeClr w14:val="tx1"/>
            </w14:solidFill>
          </w14:textFill>
        </w:rPr>
        <w:t>逾期付款违约金：每延期支付</w:t>
      </w: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天</w:t>
      </w:r>
      <w:r>
        <w:rPr>
          <w:rFonts w:ascii="Times New Roman" w:hAnsi="Times New Roman" w:eastAsia="Times New Roman"/>
          <w:color w:val="000000" w:themeColor="text1"/>
          <w:lang w:eastAsia="zh-CN"/>
          <w14:textFill>
            <w14:solidFill>
              <w14:schemeClr w14:val="tx1"/>
            </w14:solidFill>
          </w14:textFill>
        </w:rPr>
        <w:t xml:space="preserve">, </w:t>
      </w:r>
      <w:r>
        <w:rPr>
          <w:color w:val="000000" w:themeColor="text1"/>
          <w:lang w:eastAsia="zh-CN"/>
          <w14:textFill>
            <w14:solidFill>
              <w14:schemeClr w14:val="tx1"/>
            </w14:solidFill>
          </w14:textFill>
        </w:rPr>
        <w:t>发包人应付给设计人拖欠金额的</w:t>
      </w:r>
      <w:r>
        <w:rPr>
          <w:rFonts w:hint="eastAsia"/>
          <w:color w:val="000000" w:themeColor="text1"/>
          <w:lang w:eastAsia="zh-CN"/>
          <w14:textFill>
            <w14:solidFill>
              <w14:schemeClr w14:val="tx1"/>
            </w14:solidFill>
          </w14:textFill>
        </w:rPr>
        <w:t>0.1</w:t>
      </w:r>
      <w:r>
        <w:rPr>
          <w:color w:val="000000" w:themeColor="text1"/>
          <w:lang w:eastAsia="zh-CN"/>
          <w14:textFill>
            <w14:solidFill>
              <w14:schemeClr w14:val="tx1"/>
            </w14:solidFill>
          </w14:textFill>
        </w:rPr>
        <w:t>‰的违约金。</w:t>
      </w:r>
    </w:p>
    <w:p>
      <w:pPr>
        <w:pStyle w:val="4"/>
        <w:spacing w:before="41" w:line="316" w:lineRule="auto"/>
        <w:ind w:right="237" w:firstLine="480"/>
        <w:jc w:val="both"/>
        <w:rPr>
          <w:color w:val="000000" w:themeColor="text1"/>
          <w:sz w:val="21"/>
          <w:szCs w:val="2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12.3.3 </w:t>
      </w:r>
      <w:r>
        <w:rPr>
          <w:color w:val="000000" w:themeColor="text1"/>
          <w:spacing w:val="-4"/>
          <w:lang w:eastAsia="zh-CN"/>
          <w14:textFill>
            <w14:solidFill>
              <w14:schemeClr w14:val="tx1"/>
            </w14:solidFill>
          </w14:textFill>
        </w:rPr>
        <w:t>中期支付涉及政府投资资金的，支付规定如下：</w:t>
      </w:r>
      <w:r>
        <w:rPr>
          <w:color w:val="000000" w:themeColor="text1"/>
          <w:spacing w:val="-4"/>
          <w:u w:val="single" w:color="010101"/>
          <w:lang w:eastAsia="zh-CN"/>
          <w14:textFill>
            <w14:solidFill>
              <w14:schemeClr w14:val="tx1"/>
            </w14:solidFill>
          </w14:textFill>
        </w:rPr>
        <w:t>按当地政府财政相关</w:t>
      </w:r>
      <w:r>
        <w:rPr>
          <w:color w:val="000000" w:themeColor="text1"/>
          <w:u w:val="single" w:color="010101"/>
          <w:lang w:eastAsia="zh-CN"/>
          <w14:textFill>
            <w14:solidFill>
              <w14:schemeClr w14:val="tx1"/>
            </w14:solidFill>
          </w14:textFill>
        </w:rPr>
        <w:t>支付规定执行</w:t>
      </w:r>
      <w:r>
        <w:rPr>
          <w:color w:val="000000" w:themeColor="text1"/>
          <w:lang w:eastAsia="zh-CN"/>
          <w14:textFill>
            <w14:solidFill>
              <w14:schemeClr w14:val="tx1"/>
            </w14:solidFill>
          </w14:textFill>
        </w:rPr>
        <w:t>。</w:t>
      </w:r>
    </w:p>
    <w:p>
      <w:pPr>
        <w:spacing w:before="26"/>
        <w:ind w:left="598"/>
        <w:rPr>
          <w:b/>
          <w:bCs/>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12.4</w:t>
      </w:r>
      <w:r>
        <w:rPr>
          <w:b/>
          <w:bCs/>
          <w:color w:val="000000" w:themeColor="text1"/>
          <w:sz w:val="24"/>
          <w:szCs w:val="24"/>
          <w:lang w:eastAsia="zh-CN"/>
          <w14:textFill>
            <w14:solidFill>
              <w14:schemeClr w14:val="tx1"/>
            </w14:solidFill>
          </w14:textFill>
        </w:rPr>
        <w:t>费用结算</w:t>
      </w:r>
    </w:p>
    <w:p>
      <w:pPr>
        <w:widowControl/>
        <w:kinsoku w:val="0"/>
        <w:autoSpaceDE w:val="0"/>
        <w:autoSpaceDN w:val="0"/>
        <w:adjustRightInd w:val="0"/>
        <w:snapToGrid w:val="0"/>
        <w:spacing w:before="183" w:line="360" w:lineRule="auto"/>
        <w:ind w:right="90" w:firstLine="524" w:firstLineChars="200"/>
        <w:textAlignment w:val="baseline"/>
        <w:rPr>
          <w:rFonts w:ascii="宋体" w:hAnsi="宋体" w:eastAsia="宋体" w:cs="宋体"/>
          <w:snapToGrid w:val="0"/>
          <w:spacing w:val="16"/>
          <w:sz w:val="23"/>
          <w:szCs w:val="23"/>
          <w:highlight w:val="none"/>
          <w:lang w:eastAsia="zh-CN"/>
        </w:rPr>
      </w:pPr>
      <w:r>
        <w:rPr>
          <w:rFonts w:hint="eastAsia" w:ascii="宋体" w:hAnsi="宋体" w:eastAsia="宋体" w:cs="宋体"/>
          <w:snapToGrid w:val="0"/>
          <w:spacing w:val="16"/>
          <w:sz w:val="23"/>
          <w:szCs w:val="23"/>
          <w:highlight w:val="none"/>
          <w:lang w:eastAsia="zh-CN"/>
        </w:rPr>
        <w:t>12.4.1（1）设计费结算时以财政部门或相关单位审定的建安工程概算（不含暂列金）作为计费基数，并按照设计中标下浮后的百分比值进行结算；</w:t>
      </w:r>
    </w:p>
    <w:p>
      <w:pPr>
        <w:widowControl/>
        <w:kinsoku w:val="0"/>
        <w:autoSpaceDE w:val="0"/>
        <w:autoSpaceDN w:val="0"/>
        <w:adjustRightInd w:val="0"/>
        <w:snapToGrid w:val="0"/>
        <w:spacing w:before="183" w:line="360" w:lineRule="auto"/>
        <w:ind w:right="90" w:firstLine="524" w:firstLineChars="200"/>
        <w:textAlignment w:val="baseline"/>
        <w:rPr>
          <w:rFonts w:ascii="宋体" w:hAnsi="宋体" w:eastAsia="宋体"/>
          <w:sz w:val="24"/>
          <w:szCs w:val="24"/>
          <w:highlight w:val="none"/>
          <w:lang w:eastAsia="zh-CN"/>
        </w:rPr>
      </w:pPr>
      <w:r>
        <w:rPr>
          <w:rFonts w:hint="eastAsia" w:ascii="宋体" w:hAnsi="宋体" w:eastAsia="宋体" w:cs="宋体"/>
          <w:snapToGrid w:val="0"/>
          <w:spacing w:val="16"/>
          <w:sz w:val="23"/>
          <w:szCs w:val="23"/>
          <w:highlight w:val="none"/>
          <w:lang w:eastAsia="zh-CN"/>
        </w:rPr>
        <w:t>（2）初测、定测采用固定总价包干，即完成本合同项目测量工作所发生的一切费用均已包括在相应的报价中。初勘、详勘地质钻探采用固定综合单价计价，最终结算应按设计人实际完成并经发包人确定的工作量和报价清单的单价计算结算金额。综合单价已包括为完成勘察工作的所有费用。</w:t>
      </w:r>
    </w:p>
    <w:p>
      <w:pPr>
        <w:pStyle w:val="4"/>
        <w:tabs>
          <w:tab w:val="left" w:pos="838"/>
        </w:tabs>
        <w:spacing w:before="108" w:line="316" w:lineRule="auto"/>
        <w:ind w:right="248" w:firstLine="567"/>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12.4.</w:t>
      </w:r>
      <w:r>
        <w:rPr>
          <w:rFonts w:hint="eastAsia"/>
          <w:color w:val="000000" w:themeColor="text1"/>
          <w:highlight w:val="none"/>
          <w:lang w:eastAsia="zh-CN"/>
          <w14:textFill>
            <w14:solidFill>
              <w14:schemeClr w14:val="tx1"/>
            </w14:solidFill>
          </w14:textFill>
        </w:rPr>
        <w:t>2</w:t>
      </w:r>
      <w:r>
        <w:rPr>
          <w:color w:val="000000" w:themeColor="text1"/>
          <w:highlight w:val="none"/>
          <w:lang w:eastAsia="zh-CN"/>
          <w14:textFill>
            <w14:solidFill>
              <w14:schemeClr w14:val="tx1"/>
            </w14:solidFill>
          </w14:textFill>
        </w:rPr>
        <w:t>勘察设计费用结算申请的份数和提交期限</w:t>
      </w:r>
      <w:r>
        <w:rPr>
          <w:rFonts w:hint="eastAsia"/>
          <w:color w:val="000000" w:themeColor="text1"/>
          <w:highlight w:val="none"/>
          <w:lang w:eastAsia="zh-CN"/>
          <w14:textFill>
            <w14:solidFill>
              <w14:schemeClr w14:val="tx1"/>
            </w14:solidFill>
          </w14:textFill>
        </w:rPr>
        <w:t>：</w:t>
      </w:r>
      <w:r>
        <w:rPr>
          <w:rFonts w:ascii="Times New Roman" w:hAnsi="Times New Roman" w:eastAsia="Times New Roman"/>
          <w:color w:val="000000" w:themeColor="text1"/>
          <w:highlight w:val="none"/>
          <w:u w:val="single" w:color="010101"/>
          <w:lang w:eastAsia="zh-CN"/>
          <w14:textFill>
            <w14:solidFill>
              <w14:schemeClr w14:val="tx1"/>
            </w14:solidFill>
          </w14:textFill>
        </w:rPr>
        <w:t>4</w:t>
      </w:r>
      <w:r>
        <w:rPr>
          <w:color w:val="000000" w:themeColor="text1"/>
          <w:highlight w:val="none"/>
          <w:u w:val="single" w:color="010101"/>
          <w:lang w:eastAsia="zh-CN"/>
          <w14:textFill>
            <w14:solidFill>
              <w14:schemeClr w14:val="tx1"/>
            </w14:solidFill>
          </w14:textFill>
        </w:rPr>
        <w:t>份；交工证书签发后</w:t>
      </w:r>
      <w:r>
        <w:rPr>
          <w:rFonts w:ascii="Times New Roman" w:hAnsi="Times New Roman" w:eastAsia="Times New Roman"/>
          <w:color w:val="000000" w:themeColor="text1"/>
          <w:highlight w:val="none"/>
          <w:u w:val="single" w:color="010101"/>
          <w:lang w:eastAsia="zh-CN"/>
          <w14:textFill>
            <w14:solidFill>
              <w14:schemeClr w14:val="tx1"/>
            </w14:solidFill>
          </w14:textFill>
        </w:rPr>
        <w:t xml:space="preserve">28 </w:t>
      </w:r>
      <w:r>
        <w:rPr>
          <w:color w:val="000000" w:themeColor="text1"/>
          <w:highlight w:val="none"/>
          <w:u w:val="single" w:color="010101"/>
          <w:lang w:eastAsia="zh-CN"/>
          <w14:textFill>
            <w14:solidFill>
              <w14:schemeClr w14:val="tx1"/>
            </w14:solidFill>
          </w14:textFill>
        </w:rPr>
        <w:t>天内。</w:t>
      </w:r>
    </w:p>
    <w:p>
      <w:pPr>
        <w:pStyle w:val="4"/>
        <w:tabs>
          <w:tab w:val="left" w:pos="838"/>
        </w:tabs>
        <w:spacing w:before="108" w:line="316" w:lineRule="auto"/>
        <w:ind w:right="248" w:firstLine="567"/>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12.4.</w:t>
      </w:r>
      <w:r>
        <w:rPr>
          <w:rFonts w:hint="eastAsia" w:ascii="Times New Roman" w:hAnsi="Times New Roman" w:eastAsia="Times New Roman"/>
          <w:color w:val="000000" w:themeColor="text1"/>
          <w:lang w:eastAsia="zh-CN"/>
          <w14:textFill>
            <w14:solidFill>
              <w14:schemeClr w14:val="tx1"/>
            </w14:solidFill>
          </w14:textFill>
        </w:rPr>
        <w:t>3</w:t>
      </w:r>
      <w:r>
        <w:rPr>
          <w:rFonts w:ascii="Times New Roman" w:hAnsi="Times New Roman" w:eastAsia="Times New Roman"/>
          <w:color w:val="000000" w:themeColor="text1"/>
          <w:lang w:eastAsia="zh-CN"/>
          <w14:textFill>
            <w14:solidFill>
              <w14:schemeClr w14:val="tx1"/>
            </w14:solidFill>
          </w14:textFill>
        </w:rPr>
        <w:t xml:space="preserve"> </w:t>
      </w:r>
      <w:r>
        <w:rPr>
          <w:color w:val="000000" w:themeColor="text1"/>
          <w:lang w:eastAsia="zh-CN"/>
          <w14:textFill>
            <w14:solidFill>
              <w14:schemeClr w14:val="tx1"/>
            </w14:solidFill>
          </w14:textFill>
        </w:rPr>
        <w:t>逾期付款违约金：每延期支付</w:t>
      </w: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天</w:t>
      </w:r>
      <w:r>
        <w:rPr>
          <w:rFonts w:ascii="Times New Roman" w:hAnsi="Times New Roman" w:eastAsia="Times New Roman"/>
          <w:color w:val="000000" w:themeColor="text1"/>
          <w:lang w:eastAsia="zh-CN"/>
          <w14:textFill>
            <w14:solidFill>
              <w14:schemeClr w14:val="tx1"/>
            </w14:solidFill>
          </w14:textFill>
        </w:rPr>
        <w:t xml:space="preserve">, </w:t>
      </w:r>
      <w:r>
        <w:rPr>
          <w:color w:val="000000" w:themeColor="text1"/>
          <w:lang w:eastAsia="zh-CN"/>
          <w14:textFill>
            <w14:solidFill>
              <w14:schemeClr w14:val="tx1"/>
            </w14:solidFill>
          </w14:textFill>
        </w:rPr>
        <w:t>发包人应付给设计人拖欠金额的</w:t>
      </w:r>
      <w:r>
        <w:rPr>
          <w:color w:val="000000" w:themeColor="text1"/>
          <w:u w:val="single"/>
          <w:lang w:eastAsia="zh-CN"/>
          <w14:textFill>
            <w14:solidFill>
              <w14:schemeClr w14:val="tx1"/>
            </w14:solidFill>
          </w14:textFill>
        </w:rPr>
        <w:t>0.</w:t>
      </w:r>
      <w:r>
        <w:rPr>
          <w:rFonts w:hint="eastAsia"/>
          <w:color w:val="000000" w:themeColor="text1"/>
          <w:u w:val="single"/>
          <w:lang w:eastAsia="zh-CN"/>
          <w14:textFill>
            <w14:solidFill>
              <w14:schemeClr w14:val="tx1"/>
            </w14:solidFill>
          </w14:textFill>
        </w:rPr>
        <w:t>1</w:t>
      </w:r>
      <w:r>
        <w:rPr>
          <w:color w:val="000000" w:themeColor="text1"/>
          <w:lang w:eastAsia="zh-CN"/>
          <w14:textFill>
            <w14:solidFill>
              <w14:schemeClr w14:val="tx1"/>
            </w14:solidFill>
          </w14:textFill>
        </w:rPr>
        <w:t>‰的违约金。</w:t>
      </w:r>
    </w:p>
    <w:p>
      <w:pPr>
        <w:spacing w:before="76"/>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12.5</w:t>
      </w:r>
      <w:r>
        <w:rPr>
          <w:b/>
          <w:bCs/>
          <w:color w:val="000000" w:themeColor="text1"/>
          <w:sz w:val="24"/>
          <w:szCs w:val="24"/>
          <w:lang w:eastAsia="zh-CN"/>
          <w14:textFill>
            <w14:solidFill>
              <w14:schemeClr w14:val="tx1"/>
            </w14:solidFill>
          </w14:textFill>
        </w:rPr>
        <w:t>暂列金额</w:t>
      </w:r>
    </w:p>
    <w:p>
      <w:pPr>
        <w:pStyle w:val="4"/>
        <w:tabs>
          <w:tab w:val="left" w:pos="5640"/>
        </w:tabs>
        <w:spacing w:before="115"/>
        <w:ind w:left="598"/>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12.5.1  </w:t>
      </w:r>
      <w:r>
        <w:rPr>
          <w:color w:val="000000" w:themeColor="text1"/>
          <w:lang w:eastAsia="zh-CN"/>
          <w14:textFill>
            <w14:solidFill>
              <w14:schemeClr w14:val="tx1"/>
            </w14:solidFill>
          </w14:textFill>
        </w:rPr>
        <w:t>本合同的暂列金额为工程勘察设计费的</w:t>
      </w:r>
      <w:r>
        <w:rPr>
          <w:color w:val="000000" w:themeColor="text1"/>
          <w:u w:val="single"/>
          <w:lang w:eastAsia="zh-CN"/>
          <w14:textFill>
            <w14:solidFill>
              <w14:schemeClr w14:val="tx1"/>
            </w14:solidFill>
          </w14:textFill>
        </w:rPr>
        <w:t>/</w:t>
      </w:r>
      <w:r>
        <w:rPr>
          <w:color w:val="000000" w:themeColor="text1"/>
          <w:lang w:eastAsia="zh-CN"/>
          <w14:textFill>
            <w14:solidFill>
              <w14:schemeClr w14:val="tx1"/>
            </w14:solidFill>
          </w14:textFill>
        </w:rPr>
        <w:t>％。</w:t>
      </w:r>
    </w:p>
    <w:p>
      <w:pPr>
        <w:tabs>
          <w:tab w:val="left" w:pos="5518"/>
        </w:tabs>
        <w:spacing w:before="108" w:line="316" w:lineRule="auto"/>
        <w:ind w:left="598" w:right="90"/>
        <w:rPr>
          <w:color w:val="000000" w:themeColor="text1"/>
          <w:sz w:val="24"/>
          <w:szCs w:val="24"/>
          <w:highlight w:val="none"/>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 xml:space="preserve">12.6 </w:t>
      </w:r>
      <w:r>
        <w:rPr>
          <w:b/>
          <w:bCs/>
          <w:color w:val="000000" w:themeColor="text1"/>
          <w:sz w:val="24"/>
          <w:szCs w:val="24"/>
          <w:lang w:eastAsia="zh-CN"/>
          <w14:textFill>
            <w14:solidFill>
              <w14:schemeClr w14:val="tx1"/>
            </w14:solidFill>
          </w14:textFill>
        </w:rPr>
        <w:t xml:space="preserve">质量保证金 </w:t>
      </w:r>
      <w:r>
        <w:rPr>
          <w:color w:val="000000" w:themeColor="text1"/>
          <w:sz w:val="24"/>
          <w:szCs w:val="24"/>
          <w:lang w:eastAsia="zh-CN"/>
          <w14:textFill>
            <w14:solidFill>
              <w14:schemeClr w14:val="tx1"/>
            </w14:solidFill>
          </w14:textFill>
        </w:rPr>
        <w:t>本项目的质量保证金为勘察设计费用</w:t>
      </w:r>
      <w:r>
        <w:rPr>
          <w:color w:val="000000" w:themeColor="text1"/>
          <w:sz w:val="24"/>
          <w:szCs w:val="24"/>
          <w:highlight w:val="none"/>
          <w:lang w:eastAsia="zh-CN"/>
          <w14:textFill>
            <w14:solidFill>
              <w14:schemeClr w14:val="tx1"/>
            </w14:solidFill>
          </w14:textFill>
        </w:rPr>
        <w:t>总额的</w:t>
      </w:r>
      <w:r>
        <w:rPr>
          <w:rFonts w:hint="eastAsia"/>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000000" w:themeColor="text1"/>
          <w:sz w:val="24"/>
          <w:highlight w:val="none"/>
          <w:u w:val="single"/>
          <w:lang w:val="en-US" w:eastAsia="zh-CN"/>
          <w14:textFill>
            <w14:solidFill>
              <w14:schemeClr w14:val="tx1"/>
            </w14:solidFill>
          </w14:textFill>
        </w:rPr>
        <w:t>3</w:t>
      </w:r>
      <w:r>
        <w:rPr>
          <w:rFonts w:hint="eastAsia"/>
          <w:b/>
          <w:color w:val="000000" w:themeColor="text1"/>
          <w:sz w:val="24"/>
          <w:highlight w:val="none"/>
          <w:u w:val="single"/>
          <w:lang w:val="en-US" w:eastAsia="zh-CN"/>
          <w14:textFill>
            <w14:solidFill>
              <w14:schemeClr w14:val="tx1"/>
            </w14:solidFill>
          </w14:textFill>
        </w:rPr>
        <w:t xml:space="preserve"> </w:t>
      </w:r>
      <w:r>
        <w:rPr>
          <w:rFonts w:hint="eastAsia"/>
          <w:b/>
          <w:color w:val="000000" w:themeColor="text1"/>
          <w:sz w:val="24"/>
          <w:highlight w:val="none"/>
          <w:u w:val="single"/>
          <w:lang w:eastAsia="zh-CN"/>
          <w14:textFill>
            <w14:solidFill>
              <w14:schemeClr w14:val="tx1"/>
            </w14:solidFill>
          </w14:textFill>
        </w:rPr>
        <w:t xml:space="preserve"> </w:t>
      </w:r>
      <w:r>
        <w:rPr>
          <w:rFonts w:ascii="Times New Roman" w:hAnsi="Times New Roman" w:eastAsia="Times New Roman"/>
          <w:color w:val="000000" w:themeColor="text1"/>
          <w:sz w:val="24"/>
          <w:szCs w:val="24"/>
          <w:highlight w:val="none"/>
          <w:lang w:eastAsia="zh-CN"/>
          <w14:textFill>
            <w14:solidFill>
              <w14:schemeClr w14:val="tx1"/>
            </w14:solidFill>
          </w14:textFill>
        </w:rPr>
        <w:t>%</w:t>
      </w:r>
      <w:r>
        <w:rPr>
          <w:color w:val="000000" w:themeColor="text1"/>
          <w:sz w:val="24"/>
          <w:szCs w:val="24"/>
          <w:highlight w:val="none"/>
          <w:lang w:eastAsia="zh-CN"/>
          <w14:textFill>
            <w14:solidFill>
              <w14:schemeClr w14:val="tx1"/>
            </w14:solidFill>
          </w14:textFill>
        </w:rPr>
        <w:t>。</w:t>
      </w:r>
    </w:p>
    <w:p>
      <w:pPr>
        <w:pStyle w:val="13"/>
        <w:spacing w:before="140"/>
        <w:ind w:left="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14.</w:t>
      </w:r>
      <w:r>
        <w:rPr>
          <w:color w:val="000000" w:themeColor="text1"/>
          <w:lang w:eastAsia="zh-CN"/>
          <w14:textFill>
            <w14:solidFill>
              <w14:schemeClr w14:val="tx1"/>
            </w14:solidFill>
          </w14:textFill>
        </w:rPr>
        <w:t>违约</w:t>
      </w:r>
    </w:p>
    <w:p>
      <w:pPr>
        <w:spacing w:before="244"/>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14.1</w:t>
      </w:r>
      <w:r>
        <w:rPr>
          <w:b/>
          <w:bCs/>
          <w:color w:val="000000" w:themeColor="text1"/>
          <w:sz w:val="24"/>
          <w:szCs w:val="24"/>
          <w:lang w:eastAsia="zh-CN"/>
          <w14:textFill>
            <w14:solidFill>
              <w14:schemeClr w14:val="tx1"/>
            </w14:solidFill>
          </w14:textFill>
        </w:rPr>
        <w:t>设计人违约</w:t>
      </w:r>
    </w:p>
    <w:p>
      <w:pPr>
        <w:pStyle w:val="4"/>
        <w:tabs>
          <w:tab w:val="left" w:pos="1678"/>
        </w:tabs>
        <w:spacing w:before="147" w:line="345" w:lineRule="auto"/>
        <w:ind w:right="248" w:firstLine="48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14.1.1</w:t>
      </w: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10</w:t>
      </w:r>
      <w:r>
        <w:rPr>
          <w:color w:val="000000" w:themeColor="text1"/>
          <w:lang w:eastAsia="zh-CN"/>
          <w14:textFill>
            <w14:solidFill>
              <w14:schemeClr w14:val="tx1"/>
            </w14:solidFill>
          </w14:textFill>
        </w:rPr>
        <w:t>）施工图预算超过初步设计概算的</w:t>
      </w:r>
      <w:r>
        <w:rPr>
          <w:rFonts w:hint="eastAsia"/>
          <w:color w:val="000000" w:themeColor="text1"/>
          <w:u w:val="single"/>
          <w:lang w:eastAsia="zh-CN"/>
          <w14:textFill>
            <w14:solidFill>
              <w14:schemeClr w14:val="tx1"/>
            </w14:solidFill>
          </w14:textFill>
        </w:rPr>
        <w:t>10</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，或工程竣工决算超过施工图预算的</w:t>
      </w:r>
      <w:r>
        <w:rPr>
          <w:rFonts w:hint="eastAsia"/>
          <w:color w:val="000000" w:themeColor="text1"/>
          <w:u w:val="single"/>
          <w:lang w:eastAsia="zh-CN"/>
          <w14:textFill>
            <w14:solidFill>
              <w14:schemeClr w14:val="tx1"/>
            </w14:solidFill>
          </w14:textFill>
        </w:rPr>
        <w:t xml:space="preserve"> / </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w:t>
      </w:r>
    </w:p>
    <w:p>
      <w:pPr>
        <w:pStyle w:val="4"/>
        <w:spacing w:before="31"/>
        <w:ind w:left="59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11</w:t>
      </w:r>
      <w:r>
        <w:rPr>
          <w:color w:val="000000" w:themeColor="text1"/>
          <w:lang w:eastAsia="zh-CN"/>
          <w14:textFill>
            <w14:solidFill>
              <w14:schemeClr w14:val="tx1"/>
            </w14:solidFill>
          </w14:textFill>
        </w:rPr>
        <w:t>）单个合同段因变更引起的工程费用调整累计超过该合同段合同价</w:t>
      </w:r>
      <w:r>
        <w:rPr>
          <w:rFonts w:hint="eastAsia"/>
          <w:color w:val="000000" w:themeColor="text1"/>
          <w:u w:val="single"/>
          <w:lang w:eastAsia="zh-CN"/>
          <w14:textFill>
            <w14:solidFill>
              <w14:schemeClr w14:val="tx1"/>
            </w14:solidFill>
          </w14:textFill>
        </w:rPr>
        <w:t xml:space="preserve">/ </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w:t>
      </w:r>
    </w:p>
    <w:p>
      <w:pPr>
        <w:spacing w:before="147"/>
        <w:ind w:left="598"/>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14.1.1</w:t>
      </w:r>
      <w:r>
        <w:rPr>
          <w:b/>
          <w:bCs/>
          <w:color w:val="000000" w:themeColor="text1"/>
          <w:sz w:val="24"/>
          <w:szCs w:val="24"/>
          <w:lang w:eastAsia="zh-CN"/>
          <w14:textFill>
            <w14:solidFill>
              <w14:schemeClr w14:val="tx1"/>
            </w14:solidFill>
          </w14:textFill>
        </w:rPr>
        <w:t>（</w:t>
      </w:r>
      <w:r>
        <w:rPr>
          <w:rFonts w:ascii="Times New Roman" w:hAnsi="Times New Roman" w:eastAsia="Times New Roman"/>
          <w:b/>
          <w:bCs/>
          <w:color w:val="000000" w:themeColor="text1"/>
          <w:sz w:val="24"/>
          <w:szCs w:val="24"/>
          <w:lang w:eastAsia="zh-CN"/>
          <w14:textFill>
            <w14:solidFill>
              <w14:schemeClr w14:val="tx1"/>
            </w14:solidFill>
          </w14:textFill>
        </w:rPr>
        <w:t>11</w:t>
      </w:r>
      <w:r>
        <w:rPr>
          <w:b/>
          <w:bCs/>
          <w:color w:val="000000" w:themeColor="text1"/>
          <w:sz w:val="24"/>
          <w:szCs w:val="24"/>
          <w:lang w:eastAsia="zh-CN"/>
          <w14:textFill>
            <w14:solidFill>
              <w14:schemeClr w14:val="tx1"/>
            </w14:solidFill>
          </w14:textFill>
        </w:rPr>
        <w:t>）修改为：</w:t>
      </w:r>
    </w:p>
    <w:p>
      <w:pPr>
        <w:pStyle w:val="4"/>
        <w:spacing w:before="147" w:line="362" w:lineRule="auto"/>
        <w:ind w:right="126"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w:t>
      </w:r>
      <w:r>
        <w:rPr>
          <w:rFonts w:ascii="Times New Roman" w:hAnsi="Times New Roman" w:eastAsia="Times New Roman"/>
          <w:color w:val="000000" w:themeColor="text1"/>
          <w:spacing w:val="-3"/>
          <w:lang w:eastAsia="zh-CN"/>
          <w14:textFill>
            <w14:solidFill>
              <w14:schemeClr w14:val="tx1"/>
            </w14:solidFill>
          </w14:textFill>
        </w:rPr>
        <w:t>11</w:t>
      </w:r>
      <w:r>
        <w:rPr>
          <w:color w:val="000000" w:themeColor="text1"/>
          <w:spacing w:val="-3"/>
          <w:lang w:eastAsia="zh-CN"/>
          <w14:textFill>
            <w14:solidFill>
              <w14:schemeClr w14:val="tx1"/>
            </w14:solidFill>
          </w14:textFill>
        </w:rPr>
        <w:t xml:space="preserve">）由于设计人的过失或责任引起本项目发生重大设计变更、较大设计变 </w:t>
      </w:r>
      <w:r>
        <w:rPr>
          <w:color w:val="000000" w:themeColor="text1"/>
          <w:lang w:eastAsia="zh-CN"/>
          <w14:textFill>
            <w14:solidFill>
              <w14:schemeClr w14:val="tx1"/>
            </w14:solidFill>
          </w14:textFill>
        </w:rPr>
        <w:t xml:space="preserve">更或单个合同段因变更引起的工程费用调整累计超过专用合同条款中约定比例， </w:t>
      </w:r>
      <w:r>
        <w:rPr>
          <w:color w:val="000000" w:themeColor="text1"/>
          <w:spacing w:val="-3"/>
          <w:lang w:eastAsia="zh-CN"/>
          <w14:textFill>
            <w14:solidFill>
              <w14:schemeClr w14:val="tx1"/>
            </w14:solidFill>
          </w14:textFill>
        </w:rPr>
        <w:t xml:space="preserve">导致施工工期拖延或者给发包人造成经济损失。重大设计变更及较大设计变更的 </w:t>
      </w:r>
      <w:r>
        <w:rPr>
          <w:color w:val="000000" w:themeColor="text1"/>
          <w:spacing w:val="-10"/>
          <w:lang w:eastAsia="zh-CN"/>
          <w14:textFill>
            <w14:solidFill>
              <w14:schemeClr w14:val="tx1"/>
            </w14:solidFill>
          </w14:textFill>
        </w:rPr>
        <w:t>划分标准参照《公路工程设计变更管理办法》、《广东省交通厅关于公路工程设计</w:t>
      </w:r>
      <w:r>
        <w:rPr>
          <w:color w:val="000000" w:themeColor="text1"/>
          <w:lang w:eastAsia="zh-CN"/>
          <w14:textFill>
            <w14:solidFill>
              <w14:schemeClr w14:val="tx1"/>
            </w14:solidFill>
          </w14:textFill>
        </w:rPr>
        <w:t xml:space="preserve"> 变更管理的实施细则》的规定执行；</w:t>
      </w:r>
    </w:p>
    <w:p>
      <w:pPr>
        <w:pStyle w:val="4"/>
        <w:spacing w:before="11" w:line="319" w:lineRule="auto"/>
        <w:ind w:firstLine="540"/>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14.1.2 </w:t>
      </w:r>
      <w:r>
        <w:rPr>
          <w:color w:val="000000" w:themeColor="text1"/>
          <w:lang w:eastAsia="zh-CN"/>
          <w14:textFill>
            <w14:solidFill>
              <w14:schemeClr w14:val="tx1"/>
            </w14:solidFill>
          </w14:textFill>
        </w:rPr>
        <w:t>设计人发生违约情况时，发包人有权向设计人课以违约金，具体约定如下：</w:t>
      </w:r>
    </w:p>
    <w:p>
      <w:pPr>
        <w:pStyle w:val="4"/>
        <w:tabs>
          <w:tab w:val="left" w:pos="8185"/>
        </w:tabs>
        <w:spacing w:before="0" w:line="319" w:lineRule="auto"/>
        <w:ind w:left="0" w:right="137" w:firstLine="540"/>
        <w:jc w:val="both"/>
        <w:rPr>
          <w:rFonts w:ascii="Times New Roman" w:hAnsi="Times New Roman" w:eastAsia="Times New Roman"/>
          <w:color w:val="000000" w:themeColor="text1"/>
          <w:spacing w:val="-7"/>
          <w:u w:val="single"/>
          <w:lang w:eastAsia="zh-CN"/>
          <w14:textFill>
            <w14:solidFill>
              <w14:schemeClr w14:val="tx1"/>
            </w14:solidFill>
          </w14:textFill>
        </w:rPr>
      </w:pPr>
      <w:r>
        <w:rPr>
          <w:rFonts w:ascii="Times New Roman" w:hAnsi="Times New Roman" w:eastAsia="Times New Roman"/>
          <w:color w:val="000000" w:themeColor="text1"/>
          <w:spacing w:val="-7"/>
          <w:u w:val="single"/>
          <w:lang w:eastAsia="zh-CN"/>
          <w14:textFill>
            <w14:solidFill>
              <w14:schemeClr w14:val="tx1"/>
            </w14:solidFill>
          </w14:textFill>
        </w:rPr>
        <w:t>a、发生14.1.1（1）、（2）、（4）条的违约情况，计扣设计人签约合同价的8％作违约金。</w:t>
      </w:r>
    </w:p>
    <w:p>
      <w:pPr>
        <w:pStyle w:val="4"/>
        <w:tabs>
          <w:tab w:val="left" w:pos="7825"/>
        </w:tabs>
        <w:spacing w:before="0" w:line="319" w:lineRule="auto"/>
        <w:ind w:right="137" w:firstLine="540"/>
        <w:jc w:val="both"/>
        <w:rPr>
          <w:rFonts w:ascii="Times New Roman" w:hAnsi="Times New Roman" w:eastAsia="Times New Roman"/>
          <w:color w:val="000000" w:themeColor="text1"/>
          <w:spacing w:val="-7"/>
          <w:u w:val="single"/>
          <w:lang w:eastAsia="zh-CN"/>
          <w14:textFill>
            <w14:solidFill>
              <w14:schemeClr w14:val="tx1"/>
            </w14:solidFill>
          </w14:textFill>
        </w:rPr>
      </w:pPr>
      <w:r>
        <w:rPr>
          <w:rFonts w:ascii="Times New Roman" w:hAnsi="Times New Roman" w:eastAsia="Times New Roman"/>
          <w:color w:val="000000" w:themeColor="text1"/>
          <w:spacing w:val="-7"/>
          <w:u w:val="single"/>
          <w:lang w:eastAsia="zh-CN"/>
          <w14:textFill>
            <w14:solidFill>
              <w14:schemeClr w14:val="tx1"/>
            </w14:solidFill>
          </w14:textFill>
        </w:rPr>
        <w:t>b、发生14.1.1（7）、（8）条的违约情况，计扣设计人签约合同价的4％作违约金。</w:t>
      </w:r>
    </w:p>
    <w:p>
      <w:pPr>
        <w:pStyle w:val="4"/>
        <w:spacing w:line="319" w:lineRule="auto"/>
        <w:ind w:right="137" w:firstLine="540"/>
        <w:jc w:val="both"/>
        <w:rPr>
          <w:color w:val="000000" w:themeColor="text1"/>
          <w:u w:val="single"/>
          <w:lang w:eastAsia="zh-CN"/>
          <w14:textFill>
            <w14:solidFill>
              <w14:schemeClr w14:val="tx1"/>
            </w14:solidFill>
          </w14:textFill>
        </w:rPr>
      </w:pPr>
      <w:r>
        <w:rPr>
          <w:rFonts w:ascii="Times New Roman" w:hAnsi="Times New Roman" w:eastAsia="Times New Roman"/>
          <w:color w:val="000000" w:themeColor="text1"/>
          <w:spacing w:val="3"/>
          <w:u w:val="single"/>
          <w:lang w:eastAsia="zh-CN"/>
          <w14:textFill>
            <w14:solidFill>
              <w14:schemeClr w14:val="tx1"/>
            </w14:solidFill>
          </w14:textFill>
        </w:rPr>
        <w:t>c</w:t>
      </w:r>
      <w:r>
        <w:rPr>
          <w:color w:val="000000" w:themeColor="text1"/>
          <w:spacing w:val="3"/>
          <w:u w:val="single"/>
          <w:lang w:eastAsia="zh-CN"/>
          <w14:textFill>
            <w14:solidFill>
              <w14:schemeClr w14:val="tx1"/>
            </w14:solidFill>
          </w14:textFill>
        </w:rPr>
        <w:t>、发生</w:t>
      </w:r>
      <w:r>
        <w:rPr>
          <w:rFonts w:ascii="Times New Roman" w:hAnsi="Times New Roman" w:eastAsia="Times New Roman"/>
          <w:color w:val="000000" w:themeColor="text1"/>
          <w:spacing w:val="-7"/>
          <w:u w:val="single"/>
          <w:lang w:eastAsia="zh-CN"/>
          <w14:textFill>
            <w14:solidFill>
              <w14:schemeClr w14:val="tx1"/>
            </w14:solidFill>
          </w14:textFill>
        </w:rPr>
        <w:t>14.1.1</w:t>
      </w:r>
      <w:r>
        <w:rPr>
          <w:color w:val="000000" w:themeColor="text1"/>
          <w:spacing w:val="-7"/>
          <w:u w:val="single"/>
          <w:lang w:eastAsia="zh-CN"/>
          <w14:textFill>
            <w14:solidFill>
              <w14:schemeClr w14:val="tx1"/>
            </w14:solidFill>
          </w14:textFill>
        </w:rPr>
        <w:t>（</w:t>
      </w:r>
      <w:r>
        <w:rPr>
          <w:rFonts w:ascii="Times New Roman" w:hAnsi="Times New Roman" w:eastAsia="Times New Roman"/>
          <w:color w:val="000000" w:themeColor="text1"/>
          <w:spacing w:val="-7"/>
          <w:u w:val="single"/>
          <w:lang w:eastAsia="zh-CN"/>
          <w14:textFill>
            <w14:solidFill>
              <w14:schemeClr w14:val="tx1"/>
            </w14:solidFill>
          </w14:textFill>
        </w:rPr>
        <w:t>3</w:t>
      </w:r>
      <w:r>
        <w:rPr>
          <w:color w:val="000000" w:themeColor="text1"/>
          <w:spacing w:val="-7"/>
          <w:u w:val="single"/>
          <w:lang w:eastAsia="zh-CN"/>
          <w14:textFill>
            <w14:solidFill>
              <w14:schemeClr w14:val="tx1"/>
            </w14:solidFill>
          </w14:textFill>
        </w:rPr>
        <w:t>）、（</w:t>
      </w:r>
      <w:r>
        <w:rPr>
          <w:rFonts w:ascii="Times New Roman" w:hAnsi="Times New Roman" w:eastAsia="Times New Roman"/>
          <w:color w:val="000000" w:themeColor="text1"/>
          <w:spacing w:val="-7"/>
          <w:u w:val="single"/>
          <w:lang w:eastAsia="zh-CN"/>
          <w14:textFill>
            <w14:solidFill>
              <w14:schemeClr w14:val="tx1"/>
            </w14:solidFill>
          </w14:textFill>
        </w:rPr>
        <w:t>5</w:t>
      </w:r>
      <w:r>
        <w:rPr>
          <w:color w:val="000000" w:themeColor="text1"/>
          <w:spacing w:val="-7"/>
          <w:u w:val="single"/>
          <w:lang w:eastAsia="zh-CN"/>
          <w14:textFill>
            <w14:solidFill>
              <w14:schemeClr w14:val="tx1"/>
            </w14:solidFill>
          </w14:textFill>
        </w:rPr>
        <w:t>）条的违约情况，则每延期</w:t>
      </w:r>
      <w:r>
        <w:rPr>
          <w:rFonts w:ascii="Times New Roman" w:hAnsi="Times New Roman" w:eastAsia="Times New Roman"/>
          <w:color w:val="000000" w:themeColor="text1"/>
          <w:u w:val="single"/>
          <w:lang w:eastAsia="zh-CN"/>
          <w14:textFill>
            <w14:solidFill>
              <w14:schemeClr w14:val="tx1"/>
            </w14:solidFill>
          </w14:textFill>
        </w:rPr>
        <w:t>15</w:t>
      </w:r>
      <w:r>
        <w:rPr>
          <w:color w:val="000000" w:themeColor="text1"/>
          <w:spacing w:val="3"/>
          <w:u w:val="single"/>
          <w:lang w:eastAsia="zh-CN"/>
          <w14:textFill>
            <w14:solidFill>
              <w14:schemeClr w14:val="tx1"/>
            </w14:solidFill>
          </w14:textFill>
        </w:rPr>
        <w:t>天</w:t>
      </w:r>
      <w:r>
        <w:rPr>
          <w:rFonts w:ascii="Times New Roman" w:hAnsi="Times New Roman" w:eastAsia="Times New Roman"/>
          <w:color w:val="000000" w:themeColor="text1"/>
          <w:spacing w:val="3"/>
          <w:u w:val="single"/>
          <w:lang w:eastAsia="zh-CN"/>
          <w14:textFill>
            <w14:solidFill>
              <w14:schemeClr w14:val="tx1"/>
            </w14:solidFill>
          </w14:textFill>
        </w:rPr>
        <w:t>(</w:t>
      </w:r>
      <w:r>
        <w:rPr>
          <w:color w:val="000000" w:themeColor="text1"/>
          <w:spacing w:val="3"/>
          <w:u w:val="single"/>
          <w:lang w:eastAsia="zh-CN"/>
          <w14:textFill>
            <w14:solidFill>
              <w14:schemeClr w14:val="tx1"/>
            </w14:solidFill>
          </w14:textFill>
        </w:rPr>
        <w:t>不足</w:t>
      </w:r>
      <w:r>
        <w:rPr>
          <w:rFonts w:ascii="Times New Roman" w:hAnsi="Times New Roman" w:eastAsia="Times New Roman"/>
          <w:color w:val="000000" w:themeColor="text1"/>
          <w:u w:val="single"/>
          <w:lang w:eastAsia="zh-CN"/>
          <w14:textFill>
            <w14:solidFill>
              <w14:schemeClr w14:val="tx1"/>
            </w14:solidFill>
          </w14:textFill>
        </w:rPr>
        <w:t>15</w:t>
      </w:r>
      <w:r>
        <w:rPr>
          <w:color w:val="000000" w:themeColor="text1"/>
          <w:spacing w:val="2"/>
          <w:u w:val="single"/>
          <w:lang w:eastAsia="zh-CN"/>
          <w14:textFill>
            <w14:solidFill>
              <w14:schemeClr w14:val="tx1"/>
            </w14:solidFill>
          </w14:textFill>
        </w:rPr>
        <w:t>天按</w:t>
      </w:r>
      <w:r>
        <w:rPr>
          <w:rFonts w:ascii="Times New Roman" w:hAnsi="Times New Roman" w:eastAsia="Times New Roman"/>
          <w:color w:val="000000" w:themeColor="text1"/>
          <w:u w:val="single"/>
          <w:lang w:eastAsia="zh-CN"/>
          <w14:textFill>
            <w14:solidFill>
              <w14:schemeClr w14:val="tx1"/>
            </w14:solidFill>
          </w14:textFill>
        </w:rPr>
        <w:t xml:space="preserve">15 </w:t>
      </w:r>
      <w:r>
        <w:rPr>
          <w:color w:val="000000" w:themeColor="text1"/>
          <w:spacing w:val="-3"/>
          <w:u w:val="single"/>
          <w:lang w:eastAsia="zh-CN"/>
          <w14:textFill>
            <w14:solidFill>
              <w14:schemeClr w14:val="tx1"/>
            </w14:solidFill>
          </w14:textFill>
        </w:rPr>
        <w:t>天计</w:t>
      </w:r>
      <w:r>
        <w:rPr>
          <w:rFonts w:ascii="Times New Roman" w:hAnsi="Times New Roman" w:eastAsia="Times New Roman"/>
          <w:color w:val="000000" w:themeColor="text1"/>
          <w:spacing w:val="-3"/>
          <w:u w:val="single"/>
          <w:lang w:eastAsia="zh-CN"/>
          <w14:textFill>
            <w14:solidFill>
              <w14:schemeClr w14:val="tx1"/>
            </w14:solidFill>
          </w14:textFill>
        </w:rPr>
        <w:t>)</w:t>
      </w:r>
      <w:r>
        <w:rPr>
          <w:color w:val="000000" w:themeColor="text1"/>
          <w:spacing w:val="-3"/>
          <w:u w:val="single"/>
          <w:lang w:eastAsia="zh-CN"/>
          <w14:textFill>
            <w14:solidFill>
              <w14:schemeClr w14:val="tx1"/>
            </w14:solidFill>
          </w14:textFill>
        </w:rPr>
        <w:t>，发包人将分别按相应阶段设计签约合同价的</w:t>
      </w:r>
      <w:r>
        <w:rPr>
          <w:rFonts w:ascii="Times New Roman" w:hAnsi="Times New Roman" w:eastAsia="Times New Roman"/>
          <w:color w:val="000000" w:themeColor="text1"/>
          <w:spacing w:val="-5"/>
          <w:u w:val="single"/>
          <w:lang w:eastAsia="zh-CN"/>
          <w14:textFill>
            <w14:solidFill>
              <w14:schemeClr w14:val="tx1"/>
            </w14:solidFill>
          </w14:textFill>
        </w:rPr>
        <w:t>2</w:t>
      </w:r>
      <w:r>
        <w:rPr>
          <w:color w:val="000000" w:themeColor="text1"/>
          <w:spacing w:val="-5"/>
          <w:u w:val="single"/>
          <w:lang w:eastAsia="zh-CN"/>
          <w14:textFill>
            <w14:solidFill>
              <w14:schemeClr w14:val="tx1"/>
            </w14:solidFill>
          </w14:textFill>
        </w:rPr>
        <w:t xml:space="preserve">％计扣设计人违约金。延期 </w:t>
      </w:r>
      <w:r>
        <w:rPr>
          <w:color w:val="000000" w:themeColor="text1"/>
          <w:u w:val="single"/>
          <w:lang w:eastAsia="zh-CN"/>
          <w14:textFill>
            <w14:solidFill>
              <w14:schemeClr w14:val="tx1"/>
            </w14:solidFill>
          </w14:textFill>
        </w:rPr>
        <w:t>超过</w:t>
      </w:r>
      <w:r>
        <w:rPr>
          <w:rFonts w:ascii="Times New Roman" w:hAnsi="Times New Roman" w:eastAsia="Times New Roman"/>
          <w:color w:val="000000" w:themeColor="text1"/>
          <w:u w:val="single"/>
          <w:lang w:eastAsia="zh-CN"/>
          <w14:textFill>
            <w14:solidFill>
              <w14:schemeClr w14:val="tx1"/>
            </w14:solidFill>
          </w14:textFill>
        </w:rPr>
        <w:t xml:space="preserve">60 </w:t>
      </w:r>
      <w:r>
        <w:rPr>
          <w:color w:val="000000" w:themeColor="text1"/>
          <w:u w:val="single"/>
          <w:lang w:eastAsia="zh-CN"/>
          <w14:textFill>
            <w14:solidFill>
              <w14:schemeClr w14:val="tx1"/>
            </w14:solidFill>
          </w14:textFill>
        </w:rPr>
        <w:t>天时，发包人可以中止合同。</w:t>
      </w:r>
    </w:p>
    <w:p>
      <w:pPr>
        <w:pStyle w:val="4"/>
        <w:spacing w:before="19" w:line="319" w:lineRule="auto"/>
        <w:ind w:right="142" w:firstLine="540"/>
        <w:jc w:val="both"/>
        <w:rPr>
          <w:color w:val="000000" w:themeColor="text1"/>
          <w:u w:val="single"/>
          <w:lang w:eastAsia="zh-CN"/>
          <w14:textFill>
            <w14:solidFill>
              <w14:schemeClr w14:val="tx1"/>
            </w14:solidFill>
          </w14:textFill>
        </w:rPr>
      </w:pPr>
      <w:r>
        <w:rPr>
          <w:rFonts w:ascii="Times New Roman" w:hAnsi="Times New Roman" w:eastAsia="Times New Roman"/>
          <w:color w:val="000000" w:themeColor="text1"/>
          <w:u w:val="single"/>
          <w:lang w:eastAsia="zh-CN"/>
          <w14:textFill>
            <w14:solidFill>
              <w14:schemeClr w14:val="tx1"/>
            </w14:solidFill>
          </w14:textFill>
        </w:rPr>
        <w:t>d</w:t>
      </w:r>
      <w:r>
        <w:rPr>
          <w:color w:val="000000" w:themeColor="text1"/>
          <w:u w:val="single"/>
          <w:lang w:eastAsia="zh-CN"/>
          <w14:textFill>
            <w14:solidFill>
              <w14:schemeClr w14:val="tx1"/>
            </w14:solidFill>
          </w14:textFill>
        </w:rPr>
        <w:t xml:space="preserve">、发生 </w:t>
      </w:r>
      <w:r>
        <w:rPr>
          <w:rFonts w:ascii="Times New Roman" w:hAnsi="Times New Roman" w:eastAsia="Times New Roman"/>
          <w:color w:val="000000" w:themeColor="text1"/>
          <w:u w:val="single"/>
          <w:lang w:eastAsia="zh-CN"/>
          <w14:textFill>
            <w14:solidFill>
              <w14:schemeClr w14:val="tx1"/>
            </w14:solidFill>
          </w14:textFill>
        </w:rPr>
        <w:t>14.1.1</w:t>
      </w:r>
      <w:r>
        <w:rPr>
          <w:color w:val="000000" w:themeColor="text1"/>
          <w:u w:val="single"/>
          <w:lang w:eastAsia="zh-CN"/>
          <w14:textFill>
            <w14:solidFill>
              <w14:schemeClr w14:val="tx1"/>
            </w14:solidFill>
          </w14:textFill>
        </w:rPr>
        <w:t>（</w:t>
      </w:r>
      <w:r>
        <w:rPr>
          <w:rFonts w:ascii="Times New Roman" w:hAnsi="Times New Roman" w:eastAsia="Times New Roman"/>
          <w:color w:val="000000" w:themeColor="text1"/>
          <w:u w:val="single"/>
          <w:lang w:eastAsia="zh-CN"/>
          <w14:textFill>
            <w14:solidFill>
              <w14:schemeClr w14:val="tx1"/>
            </w14:solidFill>
          </w14:textFill>
        </w:rPr>
        <w:t>9</w:t>
      </w:r>
      <w:r>
        <w:rPr>
          <w:color w:val="000000" w:themeColor="text1"/>
          <w:u w:val="single"/>
          <w:lang w:eastAsia="zh-CN"/>
          <w14:textFill>
            <w14:solidFill>
              <w14:schemeClr w14:val="tx1"/>
            </w14:solidFill>
          </w14:textFill>
        </w:rPr>
        <w:t>）</w:t>
      </w:r>
      <w:r>
        <w:rPr>
          <w:rFonts w:ascii="Times New Roman" w:hAnsi="Times New Roman" w:eastAsia="Times New Roman"/>
          <w:color w:val="000000" w:themeColor="text1"/>
          <w:u w:val="single"/>
          <w:lang w:eastAsia="zh-CN"/>
          <w14:textFill>
            <w14:solidFill>
              <w14:schemeClr w14:val="tx1"/>
            </w14:solidFill>
          </w14:textFill>
        </w:rPr>
        <w:t>-</w:t>
      </w:r>
      <w:r>
        <w:rPr>
          <w:color w:val="000000" w:themeColor="text1"/>
          <w:u w:val="single"/>
          <w:lang w:eastAsia="zh-CN"/>
          <w14:textFill>
            <w14:solidFill>
              <w14:schemeClr w14:val="tx1"/>
            </w14:solidFill>
          </w14:textFill>
        </w:rPr>
        <w:t>（</w:t>
      </w:r>
      <w:r>
        <w:rPr>
          <w:rFonts w:ascii="Times New Roman" w:hAnsi="Times New Roman" w:eastAsia="Times New Roman"/>
          <w:color w:val="000000" w:themeColor="text1"/>
          <w:u w:val="single"/>
          <w:lang w:eastAsia="zh-CN"/>
          <w14:textFill>
            <w14:solidFill>
              <w14:schemeClr w14:val="tx1"/>
            </w14:solidFill>
          </w14:textFill>
        </w:rPr>
        <w:t>10</w:t>
      </w:r>
      <w:r>
        <w:rPr>
          <w:color w:val="000000" w:themeColor="text1"/>
          <w:u w:val="single"/>
          <w:lang w:eastAsia="zh-CN"/>
          <w14:textFill>
            <w14:solidFill>
              <w14:schemeClr w14:val="tx1"/>
            </w14:solidFill>
          </w14:textFill>
        </w:rPr>
        <w:t>）条的违约情况，除由设计人负责继续完善勘察设计外，招标人将扣除设计人该部份的设计费。</w:t>
      </w:r>
    </w:p>
    <w:p>
      <w:pPr>
        <w:pStyle w:val="4"/>
        <w:spacing w:before="47" w:line="326" w:lineRule="auto"/>
        <w:ind w:right="137" w:firstLine="540"/>
        <w:jc w:val="both"/>
        <w:rPr>
          <w:color w:val="000000" w:themeColor="text1"/>
          <w:u w:val="single"/>
          <w:lang w:eastAsia="zh-CN"/>
          <w14:textFill>
            <w14:solidFill>
              <w14:schemeClr w14:val="tx1"/>
            </w14:solidFill>
          </w14:textFill>
        </w:rPr>
      </w:pPr>
      <w:r>
        <w:rPr>
          <w:rFonts w:ascii="Times New Roman" w:hAnsi="Times New Roman" w:eastAsia="Times New Roman"/>
          <w:color w:val="000000" w:themeColor="text1"/>
          <w:u w:val="single"/>
          <w:lang w:eastAsia="zh-CN"/>
          <w14:textFill>
            <w14:solidFill>
              <w14:schemeClr w14:val="tx1"/>
            </w14:solidFill>
          </w14:textFill>
        </w:rPr>
        <w:t>e</w:t>
      </w:r>
      <w:r>
        <w:rPr>
          <w:color w:val="000000" w:themeColor="text1"/>
          <w:u w:val="single"/>
          <w:lang w:eastAsia="zh-CN"/>
          <w14:textFill>
            <w14:solidFill>
              <w14:schemeClr w14:val="tx1"/>
            </w14:solidFill>
          </w14:textFill>
        </w:rPr>
        <w:t>、发生</w:t>
      </w:r>
      <w:r>
        <w:rPr>
          <w:rFonts w:ascii="Times New Roman" w:hAnsi="Times New Roman" w:eastAsia="Times New Roman"/>
          <w:color w:val="000000" w:themeColor="text1"/>
          <w:u w:val="single"/>
          <w:lang w:eastAsia="zh-CN"/>
          <w14:textFill>
            <w14:solidFill>
              <w14:schemeClr w14:val="tx1"/>
            </w14:solidFill>
          </w14:textFill>
        </w:rPr>
        <w:t>14.1.1</w:t>
      </w:r>
      <w:r>
        <w:rPr>
          <w:color w:val="000000" w:themeColor="text1"/>
          <w:u w:val="single"/>
          <w:lang w:eastAsia="zh-CN"/>
          <w14:textFill>
            <w14:solidFill>
              <w14:schemeClr w14:val="tx1"/>
            </w14:solidFill>
          </w14:textFill>
        </w:rPr>
        <w:t>（</w:t>
      </w:r>
      <w:r>
        <w:rPr>
          <w:rFonts w:ascii="Times New Roman" w:hAnsi="Times New Roman" w:eastAsia="Times New Roman"/>
          <w:color w:val="000000" w:themeColor="text1"/>
          <w:u w:val="single"/>
          <w:lang w:eastAsia="zh-CN"/>
          <w14:textFill>
            <w14:solidFill>
              <w14:schemeClr w14:val="tx1"/>
            </w14:solidFill>
          </w14:textFill>
        </w:rPr>
        <w:t>11</w:t>
      </w:r>
      <w:r>
        <w:rPr>
          <w:color w:val="000000" w:themeColor="text1"/>
          <w:u w:val="single"/>
          <w:lang w:eastAsia="zh-CN"/>
          <w14:textFill>
            <w14:solidFill>
              <w14:schemeClr w14:val="tx1"/>
            </w14:solidFill>
          </w14:textFill>
        </w:rPr>
        <w:t>）条的违约情况，设计人除应免收受损失部分的勘察设</w:t>
      </w:r>
      <w:r>
        <w:rPr>
          <w:color w:val="000000" w:themeColor="text1"/>
          <w:spacing w:val="-3"/>
          <w:u w:val="single"/>
          <w:lang w:eastAsia="zh-CN"/>
          <w14:textFill>
            <w14:solidFill>
              <w14:schemeClr w14:val="tx1"/>
            </w14:solidFill>
          </w14:textFill>
        </w:rPr>
        <w:t xml:space="preserve">计费外，设计人还应无偿继续完善勘察设计，并承担相当于直接损失部分勘察设 </w:t>
      </w:r>
      <w:r>
        <w:rPr>
          <w:color w:val="000000" w:themeColor="text1"/>
          <w:u w:val="single"/>
          <w:lang w:eastAsia="zh-CN"/>
          <w14:textFill>
            <w14:solidFill>
              <w14:schemeClr w14:val="tx1"/>
            </w14:solidFill>
          </w14:textFill>
        </w:rPr>
        <w:t>计费的赔偿金。</w:t>
      </w:r>
    </w:p>
    <w:p>
      <w:pPr>
        <w:pStyle w:val="4"/>
        <w:spacing w:before="40" w:line="316" w:lineRule="auto"/>
        <w:ind w:right="143" w:firstLine="540"/>
        <w:jc w:val="both"/>
        <w:rPr>
          <w:color w:val="000000" w:themeColor="text1"/>
          <w:u w:val="single"/>
          <w:lang w:eastAsia="zh-CN"/>
          <w14:textFill>
            <w14:solidFill>
              <w14:schemeClr w14:val="tx1"/>
            </w14:solidFill>
          </w14:textFill>
        </w:rPr>
      </w:pPr>
      <w:r>
        <w:rPr>
          <w:rFonts w:ascii="Times New Roman" w:hAnsi="Times New Roman" w:eastAsia="Times New Roman"/>
          <w:color w:val="000000" w:themeColor="text1"/>
          <w:u w:val="single"/>
          <w:lang w:eastAsia="zh-CN"/>
          <w14:textFill>
            <w14:solidFill>
              <w14:schemeClr w14:val="tx1"/>
            </w14:solidFill>
          </w14:textFill>
        </w:rPr>
        <w:t>f</w:t>
      </w:r>
      <w:r>
        <w:rPr>
          <w:color w:val="000000" w:themeColor="text1"/>
          <w:u w:val="single"/>
          <w:lang w:eastAsia="zh-CN"/>
          <w14:textFill>
            <w14:solidFill>
              <w14:schemeClr w14:val="tx1"/>
            </w14:solidFill>
          </w14:textFill>
        </w:rPr>
        <w:t xml:space="preserve">、发生 </w:t>
      </w:r>
      <w:r>
        <w:rPr>
          <w:rFonts w:ascii="Times New Roman" w:hAnsi="Times New Roman" w:eastAsia="Times New Roman"/>
          <w:color w:val="000000" w:themeColor="text1"/>
          <w:u w:val="single"/>
          <w:lang w:eastAsia="zh-CN"/>
          <w14:textFill>
            <w14:solidFill>
              <w14:schemeClr w14:val="tx1"/>
            </w14:solidFill>
          </w14:textFill>
        </w:rPr>
        <w:t>14.1.1</w:t>
      </w:r>
      <w:r>
        <w:rPr>
          <w:color w:val="000000" w:themeColor="text1"/>
          <w:u w:val="single"/>
          <w:lang w:eastAsia="zh-CN"/>
          <w14:textFill>
            <w14:solidFill>
              <w14:schemeClr w14:val="tx1"/>
            </w14:solidFill>
          </w14:textFill>
        </w:rPr>
        <w:t>（</w:t>
      </w:r>
      <w:r>
        <w:rPr>
          <w:rFonts w:ascii="Times New Roman" w:hAnsi="Times New Roman" w:eastAsia="Times New Roman"/>
          <w:color w:val="000000" w:themeColor="text1"/>
          <w:u w:val="single"/>
          <w:lang w:eastAsia="zh-CN"/>
          <w14:textFill>
            <w14:solidFill>
              <w14:schemeClr w14:val="tx1"/>
            </w14:solidFill>
          </w14:textFill>
        </w:rPr>
        <w:t>12</w:t>
      </w:r>
      <w:r>
        <w:rPr>
          <w:color w:val="000000" w:themeColor="text1"/>
          <w:u w:val="single"/>
          <w:lang w:eastAsia="zh-CN"/>
          <w14:textFill>
            <w14:solidFill>
              <w14:schemeClr w14:val="tx1"/>
            </w14:solidFill>
          </w14:textFill>
        </w:rPr>
        <w:t>）条的违约情况，发包人有权报请有关主管部门视事故造成的损失情况给予其他处罚。</w:t>
      </w:r>
    </w:p>
    <w:p>
      <w:pPr>
        <w:pStyle w:val="4"/>
        <w:spacing w:before="49" w:line="319" w:lineRule="auto"/>
        <w:ind w:right="103" w:firstLine="540"/>
        <w:jc w:val="both"/>
        <w:rPr>
          <w:color w:val="000000" w:themeColor="text1"/>
          <w:u w:val="single"/>
          <w:lang w:eastAsia="zh-CN"/>
          <w14:textFill>
            <w14:solidFill>
              <w14:schemeClr w14:val="tx1"/>
            </w14:solidFill>
          </w14:textFill>
        </w:rPr>
      </w:pPr>
      <w:r>
        <w:rPr>
          <w:rFonts w:ascii="Times New Roman" w:hAnsi="Times New Roman" w:eastAsia="Times New Roman"/>
          <w:color w:val="000000" w:themeColor="text1"/>
          <w:u w:val="single"/>
          <w:lang w:eastAsia="zh-CN"/>
          <w14:textFill>
            <w14:solidFill>
              <w14:schemeClr w14:val="tx1"/>
            </w14:solidFill>
          </w14:textFill>
        </w:rPr>
        <w:t>g</w:t>
      </w:r>
      <w:r>
        <w:rPr>
          <w:color w:val="000000" w:themeColor="text1"/>
          <w:u w:val="single"/>
          <w:lang w:eastAsia="zh-CN"/>
          <w14:textFill>
            <w14:solidFill>
              <w14:schemeClr w14:val="tx1"/>
            </w14:solidFill>
          </w14:textFill>
        </w:rPr>
        <w:t>、发生</w:t>
      </w:r>
      <w:r>
        <w:rPr>
          <w:rFonts w:ascii="Times New Roman" w:hAnsi="Times New Roman" w:eastAsia="Times New Roman"/>
          <w:color w:val="000000" w:themeColor="text1"/>
          <w:u w:val="single"/>
          <w:lang w:eastAsia="zh-CN"/>
          <w14:textFill>
            <w14:solidFill>
              <w14:schemeClr w14:val="tx1"/>
            </w14:solidFill>
          </w14:textFill>
        </w:rPr>
        <w:t xml:space="preserve">10.1.2 </w:t>
      </w:r>
      <w:r>
        <w:rPr>
          <w:color w:val="000000" w:themeColor="text1"/>
          <w:u w:val="single"/>
          <w:lang w:eastAsia="zh-CN"/>
          <w14:textFill>
            <w14:solidFill>
              <w14:schemeClr w14:val="tx1"/>
            </w14:solidFill>
          </w14:textFill>
        </w:rPr>
        <w:t>条工程量清单出现明显差、错、漏且对应用方（计量支付）产生不可挽回的损益的，按损益额的10%计违约金。</w:t>
      </w:r>
    </w:p>
    <w:p>
      <w:pPr>
        <w:pStyle w:val="4"/>
        <w:spacing w:before="78" w:line="345" w:lineRule="auto"/>
        <w:ind w:left="718" w:right="132"/>
        <w:rPr>
          <w:color w:val="000000" w:themeColor="text1"/>
          <w:u w:val="single"/>
          <w:lang w:eastAsia="zh-CN"/>
          <w14:textFill>
            <w14:solidFill>
              <w14:schemeClr w14:val="tx1"/>
            </w14:solidFill>
          </w14:textFill>
        </w:rPr>
      </w:pPr>
      <w:r>
        <w:rPr>
          <w:rFonts w:ascii="Times New Roman" w:hAnsi="Times New Roman" w:eastAsia="Times New Roman"/>
          <w:color w:val="000000" w:themeColor="text1"/>
          <w:u w:val="single"/>
          <w:lang w:eastAsia="zh-CN"/>
          <w14:textFill>
            <w14:solidFill>
              <w14:schemeClr w14:val="tx1"/>
            </w14:solidFill>
          </w14:textFill>
        </w:rPr>
        <w:t>h</w:t>
      </w:r>
      <w:r>
        <w:rPr>
          <w:color w:val="000000" w:themeColor="text1"/>
          <w:u w:val="single"/>
          <w:lang w:eastAsia="zh-CN"/>
          <w14:textFill>
            <w14:solidFill>
              <w14:schemeClr w14:val="tx1"/>
            </w14:solidFill>
          </w14:textFill>
        </w:rPr>
        <w:t>、所有违约金在设计人勘察设计费中扣除。</w:t>
      </w:r>
    </w:p>
    <w:p>
      <w:pPr>
        <w:pStyle w:val="4"/>
        <w:spacing w:before="78" w:line="345" w:lineRule="auto"/>
        <w:ind w:left="718" w:right="132"/>
        <w:rPr>
          <w:color w:val="000000" w:themeColor="text1"/>
          <w:u w:val="single"/>
          <w:lang w:eastAsia="zh-CN"/>
          <w14:textFill>
            <w14:solidFill>
              <w14:schemeClr w14:val="tx1"/>
            </w14:solidFill>
          </w14:textFill>
        </w:rPr>
      </w:pPr>
      <w:r>
        <w:rPr>
          <w:rFonts w:ascii="Times New Roman" w:hAnsi="Times New Roman" w:eastAsia="Times New Roman"/>
          <w:color w:val="000000" w:themeColor="text1"/>
          <w:spacing w:val="-2"/>
          <w:u w:val="single"/>
          <w:lang w:eastAsia="zh-CN"/>
          <w14:textFill>
            <w14:solidFill>
              <w14:schemeClr w14:val="tx1"/>
            </w14:solidFill>
          </w14:textFill>
        </w:rPr>
        <w:t>I</w:t>
      </w:r>
      <w:r>
        <w:rPr>
          <w:color w:val="000000" w:themeColor="text1"/>
          <w:spacing w:val="-2"/>
          <w:u w:val="single"/>
          <w:lang w:eastAsia="zh-CN"/>
          <w14:textFill>
            <w14:solidFill>
              <w14:schemeClr w14:val="tx1"/>
            </w14:solidFill>
          </w14:textFill>
        </w:rPr>
        <w:t>、未经发包人同意，勘察设计单位不得更换投标文件中承诺的项目负责人</w:t>
      </w:r>
    </w:p>
    <w:p>
      <w:pPr>
        <w:pStyle w:val="4"/>
        <w:spacing w:before="31" w:line="360" w:lineRule="auto"/>
        <w:ind w:right="137"/>
        <w:jc w:val="both"/>
        <w:rPr>
          <w:color w:val="000000" w:themeColor="text1"/>
          <w:u w:val="single"/>
          <w:lang w:eastAsia="zh-CN"/>
          <w14:textFill>
            <w14:solidFill>
              <w14:schemeClr w14:val="tx1"/>
            </w14:solidFill>
          </w14:textFill>
        </w:rPr>
      </w:pPr>
      <w:r>
        <w:rPr>
          <w:color w:val="000000" w:themeColor="text1"/>
          <w:spacing w:val="-3"/>
          <w:u w:val="single"/>
          <w:lang w:eastAsia="zh-CN"/>
          <w14:textFill>
            <w14:solidFill>
              <w14:schemeClr w14:val="tx1"/>
            </w14:solidFill>
          </w14:textFill>
        </w:rPr>
        <w:t xml:space="preserve">及分项负责人，若确实无法到位或需替换，或发包人认为已委派的项目负责人及分项负责人的工作能力和业务水平不称职，需经发包人审批后，用同等资质和经 </w:t>
      </w:r>
      <w:r>
        <w:rPr>
          <w:color w:val="000000" w:themeColor="text1"/>
          <w:spacing w:val="4"/>
          <w:u w:val="single"/>
          <w:lang w:eastAsia="zh-CN"/>
          <w14:textFill>
            <w14:solidFill>
              <w14:schemeClr w14:val="tx1"/>
            </w14:solidFill>
          </w14:textFill>
        </w:rPr>
        <w:t>历的人员替换，同时须按以下标准向发包人提交违约金：项目负责人</w:t>
      </w:r>
      <w:r>
        <w:rPr>
          <w:rFonts w:hint="eastAsia"/>
          <w:color w:val="000000" w:themeColor="text1"/>
          <w:spacing w:val="4"/>
          <w:u w:val="single"/>
          <w:lang w:eastAsia="zh-CN"/>
          <w14:textFill>
            <w14:solidFill>
              <w14:schemeClr w14:val="tx1"/>
            </w14:solidFill>
          </w14:textFill>
        </w:rPr>
        <w:t>0.5</w:t>
      </w:r>
      <w:r>
        <w:rPr>
          <w:color w:val="000000" w:themeColor="text1"/>
          <w:spacing w:val="3"/>
          <w:u w:val="single"/>
          <w:lang w:eastAsia="zh-CN"/>
          <w14:textFill>
            <w14:solidFill>
              <w14:schemeClr w14:val="tx1"/>
            </w14:solidFill>
          </w14:textFill>
        </w:rPr>
        <w:t>万元</w:t>
      </w:r>
      <w:r>
        <w:rPr>
          <w:rFonts w:ascii="Times New Roman" w:hAnsi="Times New Roman" w:eastAsia="Times New Roman"/>
          <w:color w:val="000000" w:themeColor="text1"/>
          <w:spacing w:val="3"/>
          <w:u w:val="single"/>
          <w:lang w:eastAsia="zh-CN"/>
          <w14:textFill>
            <w14:solidFill>
              <w14:schemeClr w14:val="tx1"/>
            </w14:solidFill>
          </w14:textFill>
        </w:rPr>
        <w:t xml:space="preserve">/ </w:t>
      </w:r>
      <w:r>
        <w:rPr>
          <w:color w:val="000000" w:themeColor="text1"/>
          <w:u w:val="single"/>
          <w:lang w:eastAsia="zh-CN"/>
          <w14:textFill>
            <w14:solidFill>
              <w14:schemeClr w14:val="tx1"/>
            </w14:solidFill>
          </w14:textFill>
        </w:rPr>
        <w:t>人次、分项负责人每人</w:t>
      </w:r>
      <w:r>
        <w:rPr>
          <w:rFonts w:hint="eastAsia"/>
          <w:color w:val="000000" w:themeColor="text1"/>
          <w:u w:val="single"/>
          <w:lang w:eastAsia="zh-CN"/>
          <w14:textFill>
            <w14:solidFill>
              <w14:schemeClr w14:val="tx1"/>
            </w14:solidFill>
          </w14:textFill>
        </w:rPr>
        <w:t>0.2</w:t>
      </w:r>
      <w:r>
        <w:rPr>
          <w:color w:val="000000" w:themeColor="text1"/>
          <w:u w:val="single"/>
          <w:lang w:eastAsia="zh-CN"/>
          <w14:textFill>
            <w14:solidFill>
              <w14:schemeClr w14:val="tx1"/>
            </w14:solidFill>
          </w14:textFill>
        </w:rPr>
        <w:t>万元</w:t>
      </w:r>
      <w:r>
        <w:rPr>
          <w:rFonts w:ascii="Times New Roman" w:hAnsi="Times New Roman" w:eastAsia="Times New Roman"/>
          <w:color w:val="000000" w:themeColor="text1"/>
          <w:u w:val="single"/>
          <w:lang w:eastAsia="zh-CN"/>
          <w14:textFill>
            <w14:solidFill>
              <w14:schemeClr w14:val="tx1"/>
            </w14:solidFill>
          </w14:textFill>
        </w:rPr>
        <w:t>/</w:t>
      </w:r>
      <w:r>
        <w:rPr>
          <w:color w:val="000000" w:themeColor="text1"/>
          <w:u w:val="single"/>
          <w:lang w:eastAsia="zh-CN"/>
          <w14:textFill>
            <w14:solidFill>
              <w14:schemeClr w14:val="tx1"/>
            </w14:solidFill>
          </w14:textFill>
        </w:rPr>
        <w:t>人次的标准计扣勘察设计单位的违约金。</w:t>
      </w:r>
    </w:p>
    <w:p>
      <w:pPr>
        <w:spacing w:before="15"/>
        <w:ind w:left="598" w:right="103"/>
        <w:rPr>
          <w:color w:val="000000" w:themeColor="text1"/>
          <w:sz w:val="24"/>
          <w:szCs w:val="24"/>
          <w:lang w:eastAsia="zh-CN"/>
          <w14:textFill>
            <w14:solidFill>
              <w14:schemeClr w14:val="tx1"/>
            </w14:solidFill>
          </w14:textFill>
        </w:rPr>
      </w:pPr>
      <w:r>
        <w:rPr>
          <w:rFonts w:ascii="Times New Roman" w:hAnsi="Times New Roman" w:eastAsia="Times New Roman"/>
          <w:b/>
          <w:bCs/>
          <w:color w:val="000000" w:themeColor="text1"/>
          <w:sz w:val="24"/>
          <w:szCs w:val="24"/>
          <w:lang w:eastAsia="zh-CN"/>
          <w14:textFill>
            <w14:solidFill>
              <w14:schemeClr w14:val="tx1"/>
            </w14:solidFill>
          </w14:textFill>
        </w:rPr>
        <w:t>14.2</w:t>
      </w:r>
      <w:r>
        <w:rPr>
          <w:b/>
          <w:bCs/>
          <w:color w:val="000000" w:themeColor="text1"/>
          <w:sz w:val="24"/>
          <w:szCs w:val="24"/>
          <w:lang w:eastAsia="zh-CN"/>
          <w14:textFill>
            <w14:solidFill>
              <w14:schemeClr w14:val="tx1"/>
            </w14:solidFill>
          </w14:textFill>
        </w:rPr>
        <w:t>发包人违约</w:t>
      </w:r>
    </w:p>
    <w:p>
      <w:pPr>
        <w:pStyle w:val="4"/>
        <w:spacing w:before="84" w:line="288" w:lineRule="auto"/>
        <w:ind w:right="137"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14.2.2</w:t>
      </w:r>
      <w:r>
        <w:rPr>
          <w:color w:val="000000" w:themeColor="text1"/>
          <w:lang w:eastAsia="zh-CN"/>
          <w14:textFill>
            <w14:solidFill>
              <w14:schemeClr w14:val="tx1"/>
            </w14:solidFill>
          </w14:textFill>
        </w:rPr>
        <w:t>发包人发生违约情况时，设计人有权向发包人课以违约金，具体约定如下：</w:t>
      </w:r>
    </w:p>
    <w:p>
      <w:pPr>
        <w:pStyle w:val="4"/>
        <w:tabs>
          <w:tab w:val="left" w:pos="1078"/>
        </w:tabs>
        <w:spacing w:before="37" w:line="290" w:lineRule="auto"/>
        <w:ind w:left="358" w:right="131" w:firstLine="480"/>
        <w:rPr>
          <w:color w:val="000000" w:themeColor="text1"/>
          <w:lang w:eastAsia="zh-CN"/>
          <w14:textFill>
            <w14:solidFill>
              <w14:schemeClr w14:val="tx1"/>
            </w14:solidFill>
          </w14:textFill>
        </w:rPr>
      </w:pPr>
      <w:r>
        <w:rPr>
          <w:rFonts w:ascii="Times New Roman" w:hAnsi="Times New Roman" w:eastAsia="Times New Roman"/>
          <w:color w:val="000000" w:themeColor="text1"/>
          <w:spacing w:val="2"/>
          <w:lang w:eastAsia="zh-CN"/>
          <w14:textFill>
            <w14:solidFill>
              <w14:schemeClr w14:val="tx1"/>
            </w14:solidFill>
          </w14:textFill>
        </w:rPr>
        <w:t>a</w:t>
      </w:r>
      <w:r>
        <w:rPr>
          <w:color w:val="000000" w:themeColor="text1"/>
          <w:spacing w:val="2"/>
          <w:lang w:eastAsia="zh-CN"/>
          <w14:textFill>
            <w14:solidFill>
              <w14:schemeClr w14:val="tx1"/>
            </w14:solidFill>
          </w14:textFill>
        </w:rPr>
        <w:t>、发生</w:t>
      </w:r>
      <w:r>
        <w:rPr>
          <w:rFonts w:ascii="Times New Roman" w:hAnsi="Times New Roman" w:eastAsia="Times New Roman"/>
          <w:color w:val="000000" w:themeColor="text1"/>
          <w:spacing w:val="-5"/>
          <w:lang w:eastAsia="zh-CN"/>
          <w14:textFill>
            <w14:solidFill>
              <w14:schemeClr w14:val="tx1"/>
            </w14:solidFill>
          </w14:textFill>
        </w:rPr>
        <w:t>14.2.1</w:t>
      </w:r>
      <w:r>
        <w:rPr>
          <w:color w:val="000000" w:themeColor="text1"/>
          <w:spacing w:val="-5"/>
          <w:lang w:eastAsia="zh-CN"/>
          <w14:textFill>
            <w14:solidFill>
              <w14:schemeClr w14:val="tx1"/>
            </w14:solidFill>
          </w14:textFill>
        </w:rPr>
        <w:t>（</w:t>
      </w:r>
      <w:r>
        <w:rPr>
          <w:rFonts w:ascii="Times New Roman" w:hAnsi="Times New Roman" w:eastAsia="Times New Roman"/>
          <w:color w:val="000000" w:themeColor="text1"/>
          <w:spacing w:val="-5"/>
          <w:lang w:eastAsia="zh-CN"/>
          <w14:textFill>
            <w14:solidFill>
              <w14:schemeClr w14:val="tx1"/>
            </w14:solidFill>
          </w14:textFill>
        </w:rPr>
        <w:t>1</w:t>
      </w:r>
      <w:r>
        <w:rPr>
          <w:color w:val="000000" w:themeColor="text1"/>
          <w:spacing w:val="-5"/>
          <w:lang w:eastAsia="zh-CN"/>
          <w14:textFill>
            <w14:solidFill>
              <w14:schemeClr w14:val="tx1"/>
            </w14:solidFill>
          </w14:textFill>
        </w:rPr>
        <w:t>）、（</w:t>
      </w:r>
      <w:r>
        <w:rPr>
          <w:rFonts w:ascii="Times New Roman" w:hAnsi="Times New Roman" w:eastAsia="Times New Roman"/>
          <w:color w:val="000000" w:themeColor="text1"/>
          <w:spacing w:val="-5"/>
          <w:lang w:eastAsia="zh-CN"/>
          <w14:textFill>
            <w14:solidFill>
              <w14:schemeClr w14:val="tx1"/>
            </w14:solidFill>
          </w14:textFill>
        </w:rPr>
        <w:t>5</w:t>
      </w:r>
      <w:r>
        <w:rPr>
          <w:color w:val="000000" w:themeColor="text1"/>
          <w:spacing w:val="-5"/>
          <w:lang w:eastAsia="zh-CN"/>
          <w14:textFill>
            <w14:solidFill>
              <w14:schemeClr w14:val="tx1"/>
            </w14:solidFill>
          </w14:textFill>
        </w:rPr>
        <w:t>）条的违约情况，发包人应付给设计人拖欠金额</w:t>
      </w:r>
      <w:r>
        <w:rPr>
          <w:color w:val="000000" w:themeColor="text1"/>
          <w:u w:color="010101"/>
          <w:lang w:eastAsia="zh-CN"/>
          <w14:textFill>
            <w14:solidFill>
              <w14:schemeClr w14:val="tx1"/>
            </w14:solidFill>
          </w14:textFill>
        </w:rPr>
        <w:t>的</w:t>
      </w:r>
      <w:r>
        <w:rPr>
          <w:rFonts w:hint="eastAsia"/>
          <w:color w:val="000000" w:themeColor="text1"/>
          <w:u w:val="single"/>
          <w:lang w:eastAsia="zh-CN"/>
          <w14:textFill>
            <w14:solidFill>
              <w14:schemeClr w14:val="tx1"/>
            </w14:solidFill>
          </w14:textFill>
        </w:rPr>
        <w:t>0.1</w:t>
      </w:r>
      <w:r>
        <w:rPr>
          <w:color w:val="000000" w:themeColor="text1"/>
          <w:u w:val="single"/>
          <w:lang w:eastAsia="zh-CN"/>
          <w14:textFill>
            <w14:solidFill>
              <w14:schemeClr w14:val="tx1"/>
            </w14:solidFill>
          </w14:textFill>
        </w:rPr>
        <w:t>‰</w:t>
      </w:r>
      <w:r>
        <w:rPr>
          <w:color w:val="000000" w:themeColor="text1"/>
          <w:lang w:eastAsia="zh-CN"/>
          <w14:textFill>
            <w14:solidFill>
              <w14:schemeClr w14:val="tx1"/>
            </w14:solidFill>
          </w14:textFill>
        </w:rPr>
        <w:t>的违约金。</w:t>
      </w:r>
    </w:p>
    <w:p>
      <w:pPr>
        <w:pStyle w:val="4"/>
        <w:spacing w:before="31" w:line="288" w:lineRule="auto"/>
        <w:ind w:right="138" w:firstLine="720"/>
        <w:jc w:val="both"/>
        <w:rPr>
          <w:color w:val="000000" w:themeColor="text1"/>
          <w:lang w:eastAsia="zh-CN"/>
          <w14:textFill>
            <w14:solidFill>
              <w14:schemeClr w14:val="tx1"/>
            </w14:solidFill>
          </w14:textFill>
        </w:rPr>
      </w:pPr>
      <w:r>
        <w:rPr>
          <w:rFonts w:ascii="Times New Roman" w:hAnsi="Times New Roman" w:eastAsia="Times New Roman"/>
          <w:color w:val="000000" w:themeColor="text1"/>
          <w:spacing w:val="2"/>
          <w:lang w:eastAsia="zh-CN"/>
          <w14:textFill>
            <w14:solidFill>
              <w14:schemeClr w14:val="tx1"/>
            </w14:solidFill>
          </w14:textFill>
        </w:rPr>
        <w:t>b</w:t>
      </w:r>
      <w:r>
        <w:rPr>
          <w:color w:val="000000" w:themeColor="text1"/>
          <w:spacing w:val="2"/>
          <w:lang w:eastAsia="zh-CN"/>
          <w14:textFill>
            <w14:solidFill>
              <w14:schemeClr w14:val="tx1"/>
            </w14:solidFill>
          </w14:textFill>
        </w:rPr>
        <w:t>、发生</w:t>
      </w:r>
      <w:r>
        <w:rPr>
          <w:rFonts w:ascii="Times New Roman" w:hAnsi="Times New Roman" w:eastAsia="Times New Roman"/>
          <w:color w:val="000000" w:themeColor="text1"/>
          <w:spacing w:val="-6"/>
          <w:lang w:eastAsia="zh-CN"/>
          <w14:textFill>
            <w14:solidFill>
              <w14:schemeClr w14:val="tx1"/>
            </w14:solidFill>
          </w14:textFill>
        </w:rPr>
        <w:t>14.2.1</w:t>
      </w:r>
      <w:r>
        <w:rPr>
          <w:color w:val="000000" w:themeColor="text1"/>
          <w:spacing w:val="-6"/>
          <w:lang w:eastAsia="zh-CN"/>
          <w14:textFill>
            <w14:solidFill>
              <w14:schemeClr w14:val="tx1"/>
            </w14:solidFill>
          </w14:textFill>
        </w:rPr>
        <w:t>（</w:t>
      </w:r>
      <w:r>
        <w:rPr>
          <w:rFonts w:ascii="Times New Roman" w:hAnsi="Times New Roman" w:eastAsia="Times New Roman"/>
          <w:color w:val="000000" w:themeColor="text1"/>
          <w:spacing w:val="-6"/>
          <w:lang w:eastAsia="zh-CN"/>
          <w14:textFill>
            <w14:solidFill>
              <w14:schemeClr w14:val="tx1"/>
            </w14:solidFill>
          </w14:textFill>
        </w:rPr>
        <w:t>2</w:t>
      </w:r>
      <w:r>
        <w:rPr>
          <w:color w:val="000000" w:themeColor="text1"/>
          <w:spacing w:val="-6"/>
          <w:lang w:eastAsia="zh-CN"/>
          <w14:textFill>
            <w14:solidFill>
              <w14:schemeClr w14:val="tx1"/>
            </w14:solidFill>
          </w14:textFill>
        </w:rPr>
        <w:t>）、（</w:t>
      </w:r>
      <w:r>
        <w:rPr>
          <w:rFonts w:ascii="Times New Roman" w:hAnsi="Times New Roman" w:eastAsia="Times New Roman"/>
          <w:color w:val="000000" w:themeColor="text1"/>
          <w:spacing w:val="-6"/>
          <w:lang w:eastAsia="zh-CN"/>
          <w14:textFill>
            <w14:solidFill>
              <w14:schemeClr w14:val="tx1"/>
            </w14:solidFill>
          </w14:textFill>
        </w:rPr>
        <w:t>3</w:t>
      </w:r>
      <w:r>
        <w:rPr>
          <w:color w:val="000000" w:themeColor="text1"/>
          <w:spacing w:val="-6"/>
          <w:lang w:eastAsia="zh-CN"/>
          <w14:textFill>
            <w14:solidFill>
              <w14:schemeClr w14:val="tx1"/>
            </w14:solidFill>
          </w14:textFill>
        </w:rPr>
        <w:t>）条的违约情况，发包人除应按设计人完成的实</w:t>
      </w:r>
      <w:r>
        <w:rPr>
          <w:color w:val="000000" w:themeColor="text1"/>
          <w:lang w:eastAsia="zh-CN"/>
          <w14:textFill>
            <w14:solidFill>
              <w14:schemeClr w14:val="tx1"/>
            </w14:solidFill>
          </w14:textFill>
        </w:rPr>
        <w:t>际工作量支付费用外，还应按剩余合同价的</w:t>
      </w:r>
      <w:r>
        <w:rPr>
          <w:rFonts w:hint="eastAsia"/>
          <w:color w:val="000000" w:themeColor="text1"/>
          <w:lang w:eastAsia="zh-CN"/>
          <w14:textFill>
            <w14:solidFill>
              <w14:schemeClr w14:val="tx1"/>
            </w14:solidFill>
          </w14:textFill>
        </w:rPr>
        <w:t>5</w:t>
      </w:r>
      <w:r>
        <w:rPr>
          <w:rFonts w:ascii="Calibri" w:hAnsi="Calibri" w:eastAsia="Calibri" w:cs="Calibri"/>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向设计人支付违约金。</w:t>
      </w:r>
    </w:p>
    <w:p>
      <w:pPr>
        <w:pStyle w:val="4"/>
        <w:spacing w:line="297" w:lineRule="auto"/>
        <w:ind w:right="137" w:firstLine="72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c</w:t>
      </w:r>
      <w:r>
        <w:rPr>
          <w:color w:val="000000" w:themeColor="text1"/>
          <w:lang w:eastAsia="zh-CN"/>
          <w14:textFill>
            <w14:solidFill>
              <w14:schemeClr w14:val="tx1"/>
            </w14:solidFill>
          </w14:textFill>
        </w:rPr>
        <w:t>、发生</w:t>
      </w:r>
      <w:r>
        <w:rPr>
          <w:rFonts w:ascii="Times New Roman" w:hAnsi="Times New Roman" w:eastAsia="Times New Roman"/>
          <w:color w:val="000000" w:themeColor="text1"/>
          <w:lang w:eastAsia="zh-CN"/>
          <w14:textFill>
            <w14:solidFill>
              <w14:schemeClr w14:val="tx1"/>
            </w14:solidFill>
          </w14:textFill>
        </w:rPr>
        <w:t>14.2.1</w:t>
      </w: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4</w:t>
      </w:r>
      <w:r>
        <w:rPr>
          <w:color w:val="000000" w:themeColor="text1"/>
          <w:lang w:eastAsia="zh-CN"/>
          <w14:textFill>
            <w14:solidFill>
              <w14:schemeClr w14:val="tx1"/>
            </w14:solidFill>
          </w14:textFill>
        </w:rPr>
        <w:t>）条的违约情况，发包人应按设计人实际消耗的工作量</w:t>
      </w:r>
      <w:r>
        <w:rPr>
          <w:color w:val="000000" w:themeColor="text1"/>
          <w:spacing w:val="-3"/>
          <w:lang w:eastAsia="zh-CN"/>
          <w14:textFill>
            <w14:solidFill>
              <w14:schemeClr w14:val="tx1"/>
            </w14:solidFill>
          </w14:textFill>
        </w:rPr>
        <w:t>增付费用；由于发包人要求提前完成勘察设计工作而导致增加的人员和费用，应</w:t>
      </w:r>
      <w:r>
        <w:rPr>
          <w:color w:val="000000" w:themeColor="text1"/>
          <w:lang w:eastAsia="zh-CN"/>
          <w14:textFill>
            <w14:solidFill>
              <w14:schemeClr w14:val="tx1"/>
            </w14:solidFill>
          </w14:textFill>
        </w:rPr>
        <w:t>另行计列。</w:t>
      </w:r>
    </w:p>
    <w:p>
      <w:pPr>
        <w:spacing w:before="10"/>
        <w:rPr>
          <w:color w:val="000000" w:themeColor="text1"/>
          <w:sz w:val="12"/>
          <w:szCs w:val="12"/>
          <w:lang w:eastAsia="zh-CN"/>
          <w14:textFill>
            <w14:solidFill>
              <w14:schemeClr w14:val="tx1"/>
            </w14:solidFill>
          </w14:textFill>
        </w:rPr>
      </w:pPr>
    </w:p>
    <w:p>
      <w:pPr>
        <w:pStyle w:val="13"/>
        <w:ind w:left="0" w:right="103"/>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15.</w:t>
      </w:r>
      <w:r>
        <w:rPr>
          <w:color w:val="000000" w:themeColor="text1"/>
          <w:lang w:eastAsia="zh-CN"/>
          <w14:textFill>
            <w14:solidFill>
              <w14:schemeClr w14:val="tx1"/>
            </w14:solidFill>
          </w14:textFill>
        </w:rPr>
        <w:t>争议的解决</w:t>
      </w:r>
    </w:p>
    <w:p>
      <w:pPr>
        <w:pStyle w:val="4"/>
        <w:tabs>
          <w:tab w:val="left" w:pos="4438"/>
          <w:tab w:val="left" w:pos="5218"/>
        </w:tabs>
        <w:spacing w:line="357" w:lineRule="auto"/>
        <w:ind w:left="598" w:right="743"/>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15.1</w:t>
      </w:r>
      <w:r>
        <w:rPr>
          <w:color w:val="000000" w:themeColor="text1"/>
          <w:lang w:eastAsia="zh-CN"/>
          <w14:textFill>
            <w14:solidFill>
              <w14:schemeClr w14:val="tx1"/>
            </w14:solidFill>
          </w14:textFill>
        </w:rPr>
        <w:t>争议的最终解决方式：</w:t>
      </w:r>
      <w:r>
        <w:rPr>
          <w:color w:val="000000" w:themeColor="text1"/>
          <w:u w:val="single" w:color="010101"/>
          <w:lang w:eastAsia="zh-CN"/>
          <w14:textFill>
            <w14:solidFill>
              <w14:schemeClr w14:val="tx1"/>
            </w14:solidFill>
          </w14:textFill>
        </w:rPr>
        <w:t>诉讼</w:t>
      </w:r>
    </w:p>
    <w:p>
      <w:pPr>
        <w:pStyle w:val="4"/>
        <w:rPr>
          <w:color w:val="000000" w:themeColor="text1"/>
          <w:sz w:val="20"/>
          <w:lang w:eastAsia="zh-CN"/>
          <w14:textFill>
            <w14:solidFill>
              <w14:schemeClr w14:val="tx1"/>
            </w14:solidFill>
          </w14:textFill>
        </w:rPr>
      </w:pPr>
      <w:r>
        <w:rPr>
          <w:color w:val="000000" w:themeColor="text1"/>
          <w:lang w:eastAsia="zh-CN"/>
          <w14:textFill>
            <w14:solidFill>
              <w14:schemeClr w14:val="tx1"/>
            </w14:solidFill>
          </w14:textFill>
        </w:rPr>
        <w:t>采用诉讼，诉讼机构名称：</w:t>
      </w:r>
      <w:r>
        <w:rPr>
          <w:color w:val="000000" w:themeColor="text1"/>
          <w:u w:val="single" w:color="010101"/>
          <w:lang w:eastAsia="zh-CN"/>
          <w14:textFill>
            <w14:solidFill>
              <w14:schemeClr w14:val="tx1"/>
            </w14:solidFill>
          </w14:textFill>
        </w:rPr>
        <w:t>项目所在地的地级以上市人民法院。</w:t>
      </w:r>
    </w:p>
    <w:p>
      <w:pPr>
        <w:widowControl/>
        <w:rPr>
          <w:rFonts w:ascii="黑体" w:hAnsi="黑体" w:eastAsia="黑体" w:cs="黑体"/>
          <w:color w:val="000000" w:themeColor="text1"/>
          <w:spacing w:val="-1"/>
          <w:sz w:val="32"/>
          <w:szCs w:val="32"/>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rPr>
          <w:rFonts w:ascii="黑体" w:hAnsi="黑体" w:eastAsia="黑体" w:cs="黑体"/>
          <w:color w:val="000000" w:themeColor="text1"/>
          <w:spacing w:val="-1"/>
          <w:lang w:eastAsia="zh-CN"/>
          <w14:textFill>
            <w14:solidFill>
              <w14:schemeClr w14:val="tx1"/>
            </w14:solidFill>
          </w14:textFill>
        </w:rPr>
      </w:pPr>
    </w:p>
    <w:p>
      <w:pPr>
        <w:rPr>
          <w:rFonts w:ascii="黑体" w:hAnsi="黑体" w:eastAsia="黑体" w:cs="黑体"/>
          <w:color w:val="000000" w:themeColor="text1"/>
          <w:spacing w:val="-1"/>
          <w:lang w:eastAsia="zh-CN"/>
          <w14:textFill>
            <w14:solidFill>
              <w14:schemeClr w14:val="tx1"/>
            </w14:solidFill>
          </w14:textFill>
        </w:rPr>
      </w:pPr>
    </w:p>
    <w:p>
      <w:pPr>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rPr>
          <w:rFonts w:ascii="黑体" w:hAnsi="黑体" w:eastAsia="黑体" w:cs="黑体"/>
          <w:color w:val="000000" w:themeColor="text1"/>
          <w:spacing w:val="-1"/>
          <w:lang w:eastAsia="zh-CN"/>
          <w14:textFill>
            <w14:solidFill>
              <w14:schemeClr w14:val="tx1"/>
            </w14:solidFill>
          </w14:textFill>
        </w:rPr>
      </w:pPr>
    </w:p>
    <w:p>
      <w:pPr>
        <w:pStyle w:val="2"/>
        <w:rPr>
          <w:rFonts w:ascii="黑体" w:hAnsi="黑体" w:eastAsia="黑体" w:cs="黑体"/>
          <w:color w:val="000000" w:themeColor="text1"/>
          <w:spacing w:val="-1"/>
          <w:lang w:eastAsia="zh-CN"/>
          <w14:textFill>
            <w14:solidFill>
              <w14:schemeClr w14:val="tx1"/>
            </w14:solidFill>
          </w14:textFill>
        </w:rPr>
      </w:pPr>
    </w:p>
    <w:p>
      <w:pPr>
        <w:pStyle w:val="3"/>
        <w:rPr>
          <w:rFonts w:ascii="黑体" w:hAnsi="黑体" w:eastAsia="黑体" w:cs="黑体"/>
          <w:color w:val="000000" w:themeColor="text1"/>
          <w:spacing w:val="-1"/>
          <w:lang w:eastAsia="zh-CN"/>
          <w14:textFill>
            <w14:solidFill>
              <w14:schemeClr w14:val="tx1"/>
            </w14:solidFill>
          </w14:textFill>
        </w:rPr>
      </w:pPr>
    </w:p>
    <w:p>
      <w:pPr>
        <w:pStyle w:val="6"/>
        <w:rPr>
          <w:rFonts w:ascii="黑体" w:hAnsi="黑体" w:eastAsia="黑体" w:cs="黑体"/>
          <w:color w:val="000000" w:themeColor="text1"/>
          <w:spacing w:val="-1"/>
          <w:lang w:eastAsia="zh-CN"/>
          <w14:textFill>
            <w14:solidFill>
              <w14:schemeClr w14:val="tx1"/>
            </w14:solidFill>
          </w14:textFill>
        </w:rPr>
      </w:pPr>
    </w:p>
    <w:p>
      <w:pPr>
        <w:rPr>
          <w:rFonts w:ascii="黑体" w:hAnsi="黑体" w:eastAsia="黑体" w:cs="黑体"/>
          <w:color w:val="000000" w:themeColor="text1"/>
          <w:spacing w:val="-1"/>
          <w:lang w:eastAsia="zh-CN"/>
          <w14:textFill>
            <w14:solidFill>
              <w14:schemeClr w14:val="tx1"/>
            </w14:solidFill>
          </w14:textFill>
        </w:rPr>
      </w:pPr>
    </w:p>
    <w:p>
      <w:pPr>
        <w:pStyle w:val="2"/>
        <w:rPr>
          <w:lang w:eastAsia="zh-CN"/>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spacing w:val="-1"/>
          <w:lang w:eastAsia="zh-CN"/>
          <w14:textFill>
            <w14:solidFill>
              <w14:schemeClr w14:val="tx1"/>
            </w14:solidFill>
          </w14:textFill>
        </w:rPr>
      </w:pPr>
    </w:p>
    <w:p>
      <w:pPr>
        <w:pStyle w:val="10"/>
        <w:tabs>
          <w:tab w:val="left" w:pos="3952"/>
        </w:tabs>
        <w:ind w:left="2672" w:right="106"/>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spacing w:val="-1"/>
          <w:lang w:eastAsia="zh-CN"/>
          <w14:textFill>
            <w14:solidFill>
              <w14:schemeClr w14:val="tx1"/>
            </w14:solidFill>
          </w14:textFill>
        </w:rPr>
        <w:t>第三节</w:t>
      </w:r>
      <w:r>
        <w:rPr>
          <w:rFonts w:ascii="黑体" w:hAnsi="黑体" w:eastAsia="黑体" w:cs="黑体"/>
          <w:color w:val="000000" w:themeColor="text1"/>
          <w:spacing w:val="-1"/>
          <w:lang w:eastAsia="zh-CN"/>
          <w14:textFill>
            <w14:solidFill>
              <w14:schemeClr w14:val="tx1"/>
            </w14:solidFill>
          </w14:textFill>
        </w:rPr>
        <w:tab/>
      </w:r>
      <w:r>
        <w:rPr>
          <w:rFonts w:ascii="黑体" w:hAnsi="黑体" w:eastAsia="黑体" w:cs="黑体"/>
          <w:color w:val="000000" w:themeColor="text1"/>
          <w:spacing w:val="-1"/>
          <w:lang w:eastAsia="zh-CN"/>
          <w14:textFill>
            <w14:solidFill>
              <w14:schemeClr w14:val="tx1"/>
            </w14:solidFill>
          </w14:textFill>
        </w:rPr>
        <w:t>合同附件格式</w:t>
      </w:r>
    </w:p>
    <w:p>
      <w:pPr>
        <w:rPr>
          <w:rFonts w:ascii="黑体" w:hAnsi="黑体" w:eastAsia="黑体" w:cs="黑体"/>
          <w:color w:val="000000" w:themeColor="text1"/>
          <w:lang w:eastAsia="zh-CN"/>
          <w14:textFill>
            <w14:solidFill>
              <w14:schemeClr w14:val="tx1"/>
            </w14:solidFill>
          </w14:textFill>
        </w:rPr>
        <w:sectPr>
          <w:pgSz w:w="11910" w:h="16840"/>
          <w:pgMar w:top="1240" w:right="1680" w:bottom="1520" w:left="1680" w:header="968" w:footer="1338" w:gutter="0"/>
          <w:cols w:space="720" w:num="1"/>
        </w:sectPr>
      </w:pPr>
    </w:p>
    <w:p>
      <w:pPr>
        <w:spacing w:before="6"/>
        <w:rPr>
          <w:rFonts w:ascii="黑体" w:hAnsi="黑体" w:eastAsia="黑体" w:cs="黑体"/>
          <w:color w:val="000000" w:themeColor="text1"/>
          <w:sz w:val="15"/>
          <w:szCs w:val="15"/>
          <w:lang w:eastAsia="zh-CN"/>
          <w14:textFill>
            <w14:solidFill>
              <w14:schemeClr w14:val="tx1"/>
            </w14:solidFill>
          </w14:textFill>
        </w:rPr>
      </w:pPr>
    </w:p>
    <w:p>
      <w:pPr>
        <w:rPr>
          <w:rFonts w:ascii="黑体" w:hAnsi="黑体" w:eastAsia="黑体" w:cs="黑体"/>
          <w:color w:val="000000" w:themeColor="text1"/>
          <w:sz w:val="15"/>
          <w:szCs w:val="15"/>
          <w:lang w:eastAsia="zh-CN"/>
          <w14:textFill>
            <w14:solidFill>
              <w14:schemeClr w14:val="tx1"/>
            </w14:solidFill>
          </w14:textFill>
        </w:rPr>
        <w:sectPr>
          <w:pgSz w:w="11910" w:h="16840"/>
          <w:pgMar w:top="1240" w:right="1580" w:bottom="1520" w:left="1680" w:header="968" w:footer="1338" w:gutter="0"/>
          <w:cols w:space="720" w:num="1"/>
        </w:sectPr>
      </w:pPr>
    </w:p>
    <w:p>
      <w:pPr>
        <w:pStyle w:val="4"/>
        <w:ind w:right="-20"/>
        <w:rPr>
          <w:rFonts w:ascii="黑体" w:hAnsi="黑体" w:eastAsia="黑体" w:cs="黑体"/>
          <w:color w:val="000000" w:themeColor="text1"/>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附件一：合同协议书</w:t>
      </w:r>
    </w:p>
    <w:p>
      <w:pPr>
        <w:spacing w:before="9"/>
        <w:rPr>
          <w:rFonts w:ascii="黑体" w:hAnsi="黑体" w:eastAsia="黑体" w:cs="黑体"/>
          <w:color w:val="000000" w:themeColor="text1"/>
          <w:sz w:val="30"/>
          <w:szCs w:val="30"/>
          <w:lang w:eastAsia="zh-CN"/>
          <w14:textFill>
            <w14:solidFill>
              <w14:schemeClr w14:val="tx1"/>
            </w14:solidFill>
          </w14:textFill>
        </w:rPr>
      </w:pPr>
      <w:r>
        <w:rPr>
          <w:color w:val="000000" w:themeColor="text1"/>
          <w:lang w:eastAsia="zh-CN"/>
          <w14:textFill>
            <w14:solidFill>
              <w14:schemeClr w14:val="tx1"/>
            </w14:solidFill>
          </w14:textFill>
        </w:rPr>
        <w:br w:type="column"/>
      </w:r>
    </w:p>
    <w:p>
      <w:pPr>
        <w:pStyle w:val="13"/>
        <w:spacing w:before="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合 同 协 议 书</w:t>
      </w:r>
    </w:p>
    <w:p>
      <w:pPr>
        <w:rPr>
          <w:color w:val="000000" w:themeColor="text1"/>
          <w:lang w:eastAsia="zh-CN"/>
          <w14:textFill>
            <w14:solidFill>
              <w14:schemeClr w14:val="tx1"/>
            </w14:solidFill>
          </w14:textFill>
        </w:rPr>
        <w:sectPr>
          <w:type w:val="continuous"/>
          <w:pgSz w:w="11910" w:h="16840"/>
          <w:pgMar w:top="1600" w:right="1580" w:bottom="280" w:left="1680" w:header="720" w:footer="720" w:gutter="0"/>
          <w:cols w:equalWidth="0" w:num="2">
            <w:col w:w="2279" w:space="893"/>
            <w:col w:w="5478"/>
          </w:cols>
        </w:sectPr>
      </w:pPr>
    </w:p>
    <w:p>
      <w:pPr>
        <w:rPr>
          <w:rFonts w:ascii="黑体" w:hAnsi="黑体" w:eastAsia="黑体" w:cs="黑体"/>
          <w:color w:val="000000" w:themeColor="text1"/>
          <w:sz w:val="20"/>
          <w:szCs w:val="20"/>
          <w:lang w:eastAsia="zh-CN"/>
          <w14:textFill>
            <w14:solidFill>
              <w14:schemeClr w14:val="tx1"/>
            </w14:solidFill>
          </w14:textFill>
        </w:rPr>
      </w:pPr>
    </w:p>
    <w:p>
      <w:pPr>
        <w:spacing w:before="11"/>
        <w:rPr>
          <w:rFonts w:ascii="黑体" w:hAnsi="黑体" w:eastAsia="黑体" w:cs="黑体"/>
          <w:color w:val="000000" w:themeColor="text1"/>
          <w:sz w:val="20"/>
          <w:szCs w:val="20"/>
          <w:lang w:eastAsia="zh-CN"/>
          <w14:textFill>
            <w14:solidFill>
              <w14:schemeClr w14:val="tx1"/>
            </w14:solidFill>
          </w14:textFill>
        </w:rPr>
      </w:pPr>
    </w:p>
    <w:p>
      <w:pPr>
        <w:pStyle w:val="4"/>
        <w:tabs>
          <w:tab w:val="left" w:pos="1798"/>
          <w:tab w:val="left" w:pos="2666"/>
          <w:tab w:val="left" w:pos="7943"/>
          <w:tab w:val="left" w:pos="8186"/>
        </w:tabs>
        <w:spacing w:line="319" w:lineRule="auto"/>
        <w:ind w:right="216"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（发包人名称，以下简称</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发包人</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）为实施</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（项 </w:t>
      </w:r>
      <w:r>
        <w:rPr>
          <w:color w:val="000000" w:themeColor="text1"/>
          <w:spacing w:val="-29"/>
          <w:lang w:eastAsia="zh-CN"/>
          <w14:textFill>
            <w14:solidFill>
              <w14:schemeClr w14:val="tx1"/>
            </w14:solidFill>
          </w14:textFill>
        </w:rPr>
        <w:t>目名称），已接受</w:t>
      </w:r>
      <w:r>
        <w:rPr>
          <w:rFonts w:ascii="Times New Roman" w:hAnsi="Times New Roman" w:eastAsia="Times New Roman"/>
          <w:color w:val="000000" w:themeColor="text1"/>
          <w:spacing w:val="-29"/>
          <w:u w:val="single" w:color="010101"/>
          <w:lang w:eastAsia="zh-CN"/>
          <w14:textFill>
            <w14:solidFill>
              <w14:schemeClr w14:val="tx1"/>
            </w14:solidFill>
          </w14:textFill>
        </w:rPr>
        <w:tab/>
      </w:r>
      <w:r>
        <w:rPr>
          <w:color w:val="000000" w:themeColor="text1"/>
          <w:spacing w:val="-11"/>
          <w:u w:val="single" w:color="010101"/>
          <w:lang w:eastAsia="zh-CN"/>
          <w14:textFill>
            <w14:solidFill>
              <w14:schemeClr w14:val="tx1"/>
            </w14:solidFill>
          </w14:textFill>
        </w:rPr>
        <w:t>（</w:t>
      </w:r>
      <w:r>
        <w:rPr>
          <w:color w:val="000000" w:themeColor="text1"/>
          <w:spacing w:val="-11"/>
          <w:lang w:eastAsia="zh-CN"/>
          <w14:textFill>
            <w14:solidFill>
              <w14:schemeClr w14:val="tx1"/>
            </w14:solidFill>
          </w14:textFill>
        </w:rPr>
        <w:t>设计人名称，以下简称</w:t>
      </w:r>
      <w:r>
        <w:rPr>
          <w:rFonts w:ascii="Times New Roman" w:hAnsi="Times New Roman" w:eastAsia="Times New Roman"/>
          <w:color w:val="000000" w:themeColor="text1"/>
          <w:spacing w:val="-11"/>
          <w:lang w:eastAsia="zh-CN"/>
          <w14:textFill>
            <w14:solidFill>
              <w14:schemeClr w14:val="tx1"/>
            </w14:solidFill>
          </w14:textFill>
        </w:rPr>
        <w:t>“</w:t>
      </w:r>
      <w:r>
        <w:rPr>
          <w:color w:val="000000" w:themeColor="text1"/>
          <w:spacing w:val="-11"/>
          <w:lang w:eastAsia="zh-CN"/>
          <w14:textFill>
            <w14:solidFill>
              <w14:schemeClr w14:val="tx1"/>
            </w14:solidFill>
          </w14:textFill>
        </w:rPr>
        <w:t>设计人</w:t>
      </w:r>
      <w:r>
        <w:rPr>
          <w:rFonts w:ascii="Times New Roman" w:hAnsi="Times New Roman" w:eastAsia="Times New Roman"/>
          <w:color w:val="000000" w:themeColor="text1"/>
          <w:spacing w:val="-11"/>
          <w:lang w:eastAsia="zh-CN"/>
          <w14:textFill>
            <w14:solidFill>
              <w14:schemeClr w14:val="tx1"/>
            </w14:solidFill>
          </w14:textFill>
        </w:rPr>
        <w:t>”</w:t>
      </w:r>
      <w:r>
        <w:rPr>
          <w:color w:val="000000" w:themeColor="text1"/>
          <w:spacing w:val="-11"/>
          <w:lang w:eastAsia="zh-CN"/>
          <w14:textFill>
            <w14:solidFill>
              <w14:schemeClr w14:val="tx1"/>
            </w14:solidFill>
          </w14:textFill>
        </w:rPr>
        <w:t>）对该项目</w:t>
      </w:r>
      <w:r>
        <w:rPr>
          <w:rFonts w:ascii="Times New Roman" w:hAnsi="Times New Roman" w:eastAsia="Times New Roman"/>
          <w:color w:val="000000" w:themeColor="text1"/>
          <w:spacing w:val="-11"/>
          <w:u w:val="single" w:color="010101"/>
          <w:lang w:eastAsia="zh-CN"/>
          <w14:textFill>
            <w14:solidFill>
              <w14:schemeClr w14:val="tx1"/>
            </w14:solidFill>
          </w14:textFill>
        </w:rPr>
        <w:tab/>
      </w:r>
      <w:r>
        <w:rPr>
          <w:rFonts w:ascii="Times New Roman" w:hAnsi="Times New Roman" w:eastAsia="Times New Roman"/>
          <w:color w:val="000000" w:themeColor="text1"/>
          <w:spacing w:val="-11"/>
          <w:u w:val="single" w:color="010101"/>
          <w:lang w:eastAsia="zh-CN"/>
          <w14:textFill>
            <w14:solidFill>
              <w14:schemeClr w14:val="tx1"/>
            </w14:solidFill>
          </w14:textFill>
        </w:rPr>
        <w:tab/>
      </w:r>
      <w:r>
        <w:rPr>
          <w:color w:val="000000" w:themeColor="text1"/>
          <w:lang w:eastAsia="zh-CN"/>
          <w14:textFill>
            <w14:solidFill>
              <w14:schemeClr w14:val="tx1"/>
            </w14:solidFill>
          </w14:textFill>
        </w:rPr>
        <w:t>标 段勘察设计的投标。发包人和设计人共同达成如下协议。</w:t>
      </w:r>
    </w:p>
    <w:p>
      <w:pPr>
        <w:pStyle w:val="4"/>
        <w:tabs>
          <w:tab w:val="left" w:pos="1198"/>
          <w:tab w:val="left" w:pos="1635"/>
          <w:tab w:val="left" w:pos="2180"/>
          <w:tab w:val="left" w:pos="2518"/>
          <w:tab w:val="left" w:pos="2786"/>
          <w:tab w:val="left" w:pos="2948"/>
          <w:tab w:val="left" w:pos="3549"/>
          <w:tab w:val="left" w:pos="3784"/>
          <w:tab w:val="left" w:pos="4118"/>
          <w:tab w:val="left" w:pos="4382"/>
          <w:tab w:val="left" w:pos="4967"/>
          <w:tab w:val="left" w:pos="5104"/>
          <w:tab w:val="left" w:pos="6063"/>
          <w:tab w:val="left" w:pos="6663"/>
          <w:tab w:val="left" w:pos="7996"/>
          <w:tab w:val="left" w:pos="8290"/>
        </w:tabs>
        <w:spacing w:before="46" w:line="319" w:lineRule="auto"/>
        <w:ind w:right="111" w:firstLine="61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  </w:t>
      </w:r>
      <w:r>
        <w:rPr>
          <w:color w:val="000000" w:themeColor="text1"/>
          <w:lang w:eastAsia="zh-CN"/>
          <w14:textFill>
            <w14:solidFill>
              <w14:schemeClr w14:val="tx1"/>
            </w14:solidFill>
          </w14:textFill>
        </w:rPr>
        <w:t>第</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标段由</w:t>
      </w:r>
      <w:r>
        <w:rPr>
          <w:rFonts w:ascii="Times New Roman" w:hAnsi="Times New Roman" w:eastAsia="Times New Roman"/>
          <w:color w:val="000000" w:themeColor="text1"/>
          <w:lang w:eastAsia="zh-CN"/>
          <w14:textFill>
            <w14:solidFill>
              <w14:schemeClr w14:val="tx1"/>
            </w14:solidFill>
          </w14:textFill>
        </w:rPr>
        <w:t>K</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至</w:t>
      </w:r>
      <w:r>
        <w:rPr>
          <w:rFonts w:ascii="Times New Roman" w:hAnsi="Times New Roman" w:eastAsia="Times New Roman"/>
          <w:color w:val="000000" w:themeColor="text1"/>
          <w:lang w:eastAsia="zh-CN"/>
          <w14:textFill>
            <w14:solidFill>
              <w14:schemeClr w14:val="tx1"/>
            </w14:solidFill>
          </w14:textFill>
        </w:rPr>
        <w:t>K</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，长约</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lang w:eastAsia="zh-CN"/>
          <w14:textFill>
            <w14:solidFill>
              <w14:schemeClr w14:val="tx1"/>
            </w14:solidFill>
          </w14:textFill>
        </w:rPr>
        <w:t>km</w:t>
      </w:r>
      <w:r>
        <w:rPr>
          <w:color w:val="000000" w:themeColor="text1"/>
          <w:lang w:eastAsia="zh-CN"/>
          <w14:textFill>
            <w14:solidFill>
              <w14:schemeClr w14:val="tx1"/>
            </w14:solidFill>
          </w14:textFill>
        </w:rPr>
        <w:t>，公路等级为</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 设计速度为</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路面，有</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立交</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处；特大桥</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座，计长</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lang w:eastAsia="zh-CN"/>
          <w14:textFill>
            <w14:solidFill>
              <w14:schemeClr w14:val="tx1"/>
            </w14:solidFill>
          </w14:textFill>
        </w:rPr>
        <w:t>m</w:t>
      </w:r>
      <w:r>
        <w:rPr>
          <w:color w:val="000000" w:themeColor="text1"/>
          <w:lang w:eastAsia="zh-CN"/>
          <w14:textFill>
            <w14:solidFill>
              <w14:schemeClr w14:val="tx1"/>
            </w14:solidFill>
          </w14:textFill>
        </w:rPr>
        <w:t>； 大中桥</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座，计长</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spacing w:val="-1"/>
          <w:lang w:eastAsia="zh-CN"/>
          <w14:textFill>
            <w14:solidFill>
              <w14:schemeClr w14:val="tx1"/>
            </w14:solidFill>
          </w14:textFill>
        </w:rPr>
        <w:t>m</w:t>
      </w:r>
      <w:r>
        <w:rPr>
          <w:color w:val="000000" w:themeColor="text1"/>
          <w:spacing w:val="-1"/>
          <w:lang w:eastAsia="zh-CN"/>
          <w14:textFill>
            <w14:solidFill>
              <w14:schemeClr w14:val="tx1"/>
            </w14:solidFill>
          </w14:textFill>
        </w:rPr>
        <w:t>；隧道</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lang w:eastAsia="zh-CN"/>
          <w14:textFill>
            <w14:solidFill>
              <w14:schemeClr w14:val="tx1"/>
            </w14:solidFill>
          </w14:textFill>
        </w:rPr>
        <w:t>座，计长</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lang w:eastAsia="zh-CN"/>
          <w14:textFill>
            <w14:solidFill>
              <w14:schemeClr w14:val="tx1"/>
            </w14:solidFill>
          </w14:textFill>
        </w:rPr>
        <w:t xml:space="preserve">m </w:t>
      </w:r>
      <w:r>
        <w:rPr>
          <w:color w:val="000000" w:themeColor="text1"/>
          <w:spacing w:val="-1"/>
          <w:lang w:eastAsia="zh-CN"/>
          <w14:textFill>
            <w14:solidFill>
              <w14:schemeClr w14:val="tx1"/>
            </w14:solidFill>
          </w14:textFill>
        </w:rPr>
        <w:t>以及其他构造物工程等。</w:t>
      </w:r>
    </w:p>
    <w:p>
      <w:pPr>
        <w:pStyle w:val="4"/>
        <w:spacing w:before="19"/>
        <w:ind w:left="735" w:right="22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2.  </w:t>
      </w:r>
      <w:r>
        <w:rPr>
          <w:color w:val="000000" w:themeColor="text1"/>
          <w:lang w:eastAsia="zh-CN"/>
          <w14:textFill>
            <w14:solidFill>
              <w14:schemeClr w14:val="tx1"/>
            </w14:solidFill>
          </w14:textFill>
        </w:rPr>
        <w:t>下列文件应视为构成合同文件的组成部分：</w:t>
      </w:r>
    </w:p>
    <w:p>
      <w:pPr>
        <w:pStyle w:val="4"/>
        <w:spacing w:before="108" w:line="326" w:lineRule="auto"/>
        <w:ind w:right="247" w:firstLine="616"/>
        <w:jc w:val="both"/>
        <w:rPr>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w:t>
      </w:r>
      <w:r>
        <w:rPr>
          <w:rFonts w:ascii="Times New Roman" w:hAnsi="Times New Roman" w:eastAsia="Times New Roman"/>
          <w:color w:val="000000" w:themeColor="text1"/>
          <w:spacing w:val="2"/>
          <w:lang w:eastAsia="zh-CN"/>
          <w14:textFill>
            <w14:solidFill>
              <w14:schemeClr w14:val="tx1"/>
            </w14:solidFill>
          </w14:textFill>
        </w:rPr>
        <w:t>1</w:t>
      </w:r>
      <w:r>
        <w:rPr>
          <w:color w:val="000000" w:themeColor="text1"/>
          <w:spacing w:val="2"/>
          <w:lang w:eastAsia="zh-CN"/>
          <w14:textFill>
            <w14:solidFill>
              <w14:schemeClr w14:val="tx1"/>
            </w14:solidFill>
          </w14:textFill>
        </w:rPr>
        <w:t xml:space="preserve">）本合同协议书及各种合同附件（含评标期间和合同谈判过程中的澄 清文件和补充资料；设计人提交的经发包人审核通过的勘察设计详细工作大纲 </w:t>
      </w:r>
      <w:r>
        <w:rPr>
          <w:color w:val="000000" w:themeColor="text1"/>
          <w:spacing w:val="-7"/>
          <w:lang w:eastAsia="zh-CN"/>
          <w14:textFill>
            <w14:solidFill>
              <w14:schemeClr w14:val="tx1"/>
            </w14:solidFill>
          </w14:textFill>
        </w:rPr>
        <w:t>及进度计划、专题研究详细工作大纲等）；</w:t>
      </w:r>
    </w:p>
    <w:p>
      <w:pPr>
        <w:pStyle w:val="4"/>
        <w:spacing w:before="40"/>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2</w:t>
      </w:r>
      <w:r>
        <w:rPr>
          <w:color w:val="000000" w:themeColor="text1"/>
          <w:lang w:eastAsia="zh-CN"/>
          <w14:textFill>
            <w14:solidFill>
              <w14:schemeClr w14:val="tx1"/>
            </w14:solidFill>
          </w14:textFill>
        </w:rPr>
        <w:t>）中标通知书；</w:t>
      </w:r>
    </w:p>
    <w:p>
      <w:pPr>
        <w:pStyle w:val="4"/>
        <w:spacing w:before="108"/>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3</w:t>
      </w:r>
      <w:r>
        <w:rPr>
          <w:color w:val="000000" w:themeColor="text1"/>
          <w:lang w:eastAsia="zh-CN"/>
          <w14:textFill>
            <w14:solidFill>
              <w14:schemeClr w14:val="tx1"/>
            </w14:solidFill>
          </w14:textFill>
        </w:rPr>
        <w:t>）投标函；</w:t>
      </w:r>
    </w:p>
    <w:p>
      <w:pPr>
        <w:pStyle w:val="4"/>
        <w:spacing w:before="107"/>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4</w:t>
      </w:r>
      <w:r>
        <w:rPr>
          <w:color w:val="000000" w:themeColor="text1"/>
          <w:lang w:eastAsia="zh-CN"/>
          <w14:textFill>
            <w14:solidFill>
              <w14:schemeClr w14:val="tx1"/>
            </w14:solidFill>
          </w14:textFill>
        </w:rPr>
        <w:t>）专用合同条款；</w:t>
      </w:r>
    </w:p>
    <w:p>
      <w:pPr>
        <w:pStyle w:val="4"/>
        <w:spacing w:before="108"/>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5</w:t>
      </w:r>
      <w:r>
        <w:rPr>
          <w:color w:val="000000" w:themeColor="text1"/>
          <w:lang w:eastAsia="zh-CN"/>
          <w14:textFill>
            <w14:solidFill>
              <w14:schemeClr w14:val="tx1"/>
            </w14:solidFill>
          </w14:textFill>
        </w:rPr>
        <w:t>）通用合同条款；</w:t>
      </w:r>
    </w:p>
    <w:p>
      <w:pPr>
        <w:pStyle w:val="4"/>
        <w:spacing w:before="108"/>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6</w:t>
      </w:r>
      <w:r>
        <w:rPr>
          <w:color w:val="000000" w:themeColor="text1"/>
          <w:lang w:eastAsia="zh-CN"/>
          <w14:textFill>
            <w14:solidFill>
              <w14:schemeClr w14:val="tx1"/>
            </w14:solidFill>
          </w14:textFill>
        </w:rPr>
        <w:t>）发包人要求；</w:t>
      </w:r>
    </w:p>
    <w:p>
      <w:pPr>
        <w:pStyle w:val="4"/>
        <w:spacing w:before="107"/>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7</w:t>
      </w:r>
      <w:r>
        <w:rPr>
          <w:color w:val="000000" w:themeColor="text1"/>
          <w:lang w:eastAsia="zh-CN"/>
          <w14:textFill>
            <w14:solidFill>
              <w14:schemeClr w14:val="tx1"/>
            </w14:solidFill>
          </w14:textFill>
        </w:rPr>
        <w:t>）勘察设计费用清单；</w:t>
      </w:r>
    </w:p>
    <w:p>
      <w:pPr>
        <w:pStyle w:val="4"/>
        <w:spacing w:before="108"/>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8</w:t>
      </w:r>
      <w:r>
        <w:rPr>
          <w:color w:val="000000" w:themeColor="text1"/>
          <w:lang w:eastAsia="zh-CN"/>
          <w14:textFill>
            <w14:solidFill>
              <w14:schemeClr w14:val="tx1"/>
            </w14:solidFill>
          </w14:textFill>
        </w:rPr>
        <w:t>）设计人有关人员投入的承诺；</w:t>
      </w:r>
    </w:p>
    <w:p>
      <w:pPr>
        <w:pStyle w:val="4"/>
        <w:spacing w:before="108" w:line="316" w:lineRule="auto"/>
        <w:ind w:left="735"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9</w:t>
      </w:r>
      <w:r>
        <w:rPr>
          <w:color w:val="000000" w:themeColor="text1"/>
          <w:lang w:eastAsia="zh-CN"/>
          <w14:textFill>
            <w14:solidFill>
              <w14:schemeClr w14:val="tx1"/>
            </w14:solidFill>
          </w14:textFill>
        </w:rPr>
        <w:t>）其他合同文件。</w:t>
      </w:r>
    </w:p>
    <w:p>
      <w:pPr>
        <w:pStyle w:val="4"/>
        <w:spacing w:before="108" w:line="316" w:lineRule="auto"/>
        <w:ind w:left="735" w:right="226"/>
        <w:rPr>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上述合同文件互相补充和解释。如果合同文件之间存在矛盾或不一致之</w:t>
      </w:r>
    </w:p>
    <w:p>
      <w:pPr>
        <w:pStyle w:val="4"/>
        <w:spacing w:before="49"/>
        <w:ind w:right="22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处，以上述文件的排列顺序在先者为准。</w:t>
      </w:r>
    </w:p>
    <w:p>
      <w:pPr>
        <w:pStyle w:val="4"/>
        <w:tabs>
          <w:tab w:val="left" w:pos="4995"/>
          <w:tab w:val="left" w:pos="6555"/>
        </w:tabs>
        <w:spacing w:before="126"/>
        <w:ind w:left="735" w:right="22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3.</w:t>
      </w:r>
      <w:r>
        <w:rPr>
          <w:color w:val="000000" w:themeColor="text1"/>
          <w:lang w:eastAsia="zh-CN"/>
          <w14:textFill>
            <w14:solidFill>
              <w14:schemeClr w14:val="tx1"/>
            </w14:solidFill>
          </w14:textFill>
        </w:rPr>
        <w:t>签约合同价：人民币（大写）</w:t>
      </w:r>
      <w:r>
        <w:rPr>
          <w:rFonts w:ascii="Times New Roman" w:hAnsi="Times New Roman" w:eastAsia="Times New Roman"/>
          <w:color w:val="000000" w:themeColor="text1"/>
          <w:u w:val="single" w:color="000000"/>
          <w:lang w:eastAsia="zh-CN"/>
          <w14:textFill>
            <w14:solidFill>
              <w14:schemeClr w14:val="tx1"/>
            </w14:solidFill>
          </w14:textFill>
        </w:rPr>
        <w:tab/>
      </w:r>
      <w:r>
        <w:rPr>
          <w:color w:val="000000" w:themeColor="text1"/>
          <w:lang w:eastAsia="zh-CN"/>
          <w14:textFill>
            <w14:solidFill>
              <w14:schemeClr w14:val="tx1"/>
            </w14:solidFill>
          </w14:textFill>
        </w:rPr>
        <w:t>元（</w:t>
      </w:r>
      <w:r>
        <w:rPr>
          <w:rFonts w:ascii="Times New Roman" w:hAnsi="Times New Roman" w:eastAsia="Times New Roman"/>
          <w:color w:val="000000" w:themeColor="text1"/>
          <w:lang w:eastAsia="zh-CN"/>
          <w14:textFill>
            <w14:solidFill>
              <w14:schemeClr w14:val="tx1"/>
            </w14:solidFill>
          </w14:textFill>
        </w:rPr>
        <w:t>¥</w:t>
      </w:r>
      <w:r>
        <w:rPr>
          <w:rFonts w:ascii="Times New Roman" w:hAnsi="Times New Roman" w:eastAsia="Times New Roman"/>
          <w:color w:val="000000" w:themeColor="text1"/>
          <w:u w:val="single" w:color="000000"/>
          <w:lang w:eastAsia="zh-CN"/>
          <w14:textFill>
            <w14:solidFill>
              <w14:schemeClr w14:val="tx1"/>
            </w14:solidFill>
          </w14:textFill>
        </w:rPr>
        <w:tab/>
      </w:r>
      <w:r>
        <w:rPr>
          <w:color w:val="000000" w:themeColor="text1"/>
          <w:spacing w:val="-120"/>
          <w:lang w:eastAsia="zh-CN"/>
          <w14:textFill>
            <w14:solidFill>
              <w14:schemeClr w14:val="tx1"/>
            </w14:solidFill>
          </w14:textFill>
        </w:rPr>
        <w:t>）</w:t>
      </w:r>
      <w:r>
        <w:rPr>
          <w:color w:val="000000" w:themeColor="text1"/>
          <w:lang w:eastAsia="zh-CN"/>
          <w14:textFill>
            <w14:solidFill>
              <w14:schemeClr w14:val="tx1"/>
            </w14:solidFill>
          </w14:textFill>
        </w:rPr>
        <w:t>。</w:t>
      </w:r>
    </w:p>
    <w:p>
      <w:pPr>
        <w:pStyle w:val="4"/>
        <w:tabs>
          <w:tab w:val="left" w:pos="4275"/>
        </w:tabs>
        <w:spacing w:before="107"/>
        <w:ind w:left="735" w:right="22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4.</w:t>
      </w:r>
      <w:r>
        <w:rPr>
          <w:color w:val="000000" w:themeColor="text1"/>
          <w:lang w:eastAsia="zh-CN"/>
          <w14:textFill>
            <w14:solidFill>
              <w14:schemeClr w14:val="tx1"/>
            </w14:solidFill>
          </w14:textFill>
        </w:rPr>
        <w:t>项目负责人：</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p>
    <w:p>
      <w:pPr>
        <w:pStyle w:val="4"/>
        <w:tabs>
          <w:tab w:val="left" w:pos="3598"/>
          <w:tab w:val="left" w:pos="7712"/>
        </w:tabs>
        <w:spacing w:before="108" w:line="319" w:lineRule="auto"/>
        <w:ind w:right="255" w:firstLine="61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5.</w:t>
      </w:r>
      <w:r>
        <w:rPr>
          <w:color w:val="000000" w:themeColor="text1"/>
          <w:lang w:eastAsia="zh-CN"/>
          <w14:textFill>
            <w14:solidFill>
              <w14:schemeClr w14:val="tx1"/>
            </w14:solidFill>
          </w14:textFill>
        </w:rPr>
        <w:t>勘察设计工作质量符合的标准和要求</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spacing w:val="-16"/>
          <w:lang w:eastAsia="zh-CN"/>
          <w14:textFill>
            <w14:solidFill>
              <w14:schemeClr w14:val="tx1"/>
            </w14:solidFill>
          </w14:textFill>
        </w:rPr>
        <w:t xml:space="preserve">。安全 </w:t>
      </w:r>
      <w:r>
        <w:rPr>
          <w:color w:val="000000" w:themeColor="text1"/>
          <w:spacing w:val="-1"/>
          <w:lang w:eastAsia="zh-CN"/>
          <w14:textFill>
            <w14:solidFill>
              <w14:schemeClr w14:val="tx1"/>
            </w14:solidFill>
          </w14:textFill>
        </w:rPr>
        <w:t>目标：</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p>
    <w:p>
      <w:pPr>
        <w:pStyle w:val="4"/>
        <w:tabs>
          <w:tab w:val="left" w:pos="6118"/>
        </w:tabs>
        <w:spacing w:before="46" w:line="319" w:lineRule="auto"/>
        <w:ind w:right="226" w:firstLine="61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6. </w:t>
      </w:r>
      <w:r>
        <w:rPr>
          <w:color w:val="000000" w:themeColor="text1"/>
          <w:spacing w:val="72"/>
          <w:lang w:eastAsia="zh-CN"/>
          <w14:textFill>
            <w14:solidFill>
              <w14:schemeClr w14:val="tx1"/>
            </w14:solidFill>
          </w14:textFill>
        </w:rPr>
        <w:t>设计人承诺按合同约定承担工</w:t>
      </w:r>
      <w:r>
        <w:rPr>
          <w:color w:val="000000" w:themeColor="text1"/>
          <w:spacing w:val="39"/>
          <w:lang w:eastAsia="zh-CN"/>
          <w14:textFill>
            <w14:solidFill>
              <w14:schemeClr w14:val="tx1"/>
            </w14:solidFill>
          </w14:textFill>
        </w:rPr>
        <w:t xml:space="preserve">程的 </w:t>
      </w:r>
      <w:r>
        <w:rPr>
          <w:color w:val="000000" w:themeColor="text1"/>
          <w:spacing w:val="69"/>
          <w:lang w:eastAsia="zh-CN"/>
          <w14:textFill>
            <w14:solidFill>
              <w14:schemeClr w14:val="tx1"/>
            </w14:solidFill>
          </w14:textFill>
        </w:rPr>
        <w:t xml:space="preserve">勘察设计工作，包 </w:t>
      </w:r>
      <w:r>
        <w:rPr>
          <w:color w:val="000000" w:themeColor="text1"/>
          <w:lang w:eastAsia="zh-CN"/>
          <w14:textFill>
            <w14:solidFill>
              <w14:schemeClr w14:val="tx1"/>
            </w14:solidFill>
          </w14:textFill>
        </w:rPr>
        <w:t>括</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p>
    <w:p>
      <w:pPr>
        <w:pStyle w:val="4"/>
        <w:spacing w:before="47"/>
        <w:ind w:left="735" w:right="22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7.  </w:t>
      </w:r>
      <w:r>
        <w:rPr>
          <w:color w:val="000000" w:themeColor="text1"/>
          <w:lang w:eastAsia="zh-CN"/>
          <w14:textFill>
            <w14:solidFill>
              <w14:schemeClr w14:val="tx1"/>
            </w14:solidFill>
          </w14:textFill>
        </w:rPr>
        <w:t>发包人承诺按合同约定的条件、时间和方式向设计人支付合同价款。</w:t>
      </w:r>
    </w:p>
    <w:p>
      <w:pPr>
        <w:pStyle w:val="4"/>
        <w:tabs>
          <w:tab w:val="left" w:pos="5552"/>
        </w:tabs>
        <w:spacing w:before="107"/>
        <w:ind w:left="735" w:right="199"/>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8.  </w:t>
      </w:r>
      <w:r>
        <w:rPr>
          <w:color w:val="000000" w:themeColor="text1"/>
          <w:lang w:eastAsia="zh-CN"/>
          <w14:textFill>
            <w14:solidFill>
              <w14:schemeClr w14:val="tx1"/>
            </w14:solidFill>
          </w14:textFill>
        </w:rPr>
        <w:t>设计人计划开始勘察设计日期</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spacing w:val="-4"/>
          <w:lang w:eastAsia="zh-CN"/>
          <w14:textFill>
            <w14:solidFill>
              <w14:schemeClr w14:val="tx1"/>
            </w14:solidFill>
          </w14:textFill>
        </w:rPr>
        <w:t>，实际日期按照发包人在开</w:t>
      </w:r>
    </w:p>
    <w:p>
      <w:pPr>
        <w:rPr>
          <w:color w:val="000000" w:themeColor="text1"/>
          <w:lang w:eastAsia="zh-CN"/>
          <w14:textFill>
            <w14:solidFill>
              <w14:schemeClr w14:val="tx1"/>
            </w14:solidFill>
          </w14:textFill>
        </w:rPr>
        <w:sectPr>
          <w:type w:val="continuous"/>
          <w:pgSz w:w="11910" w:h="16840"/>
          <w:pgMar w:top="1600" w:right="1580" w:bottom="280" w:left="1680" w:header="720" w:footer="720" w:gutter="0"/>
          <w:cols w:space="720" w:num="1"/>
        </w:sectPr>
      </w:pPr>
    </w:p>
    <w:p>
      <w:pPr>
        <w:spacing w:before="9"/>
        <w:rPr>
          <w:rFonts w:ascii="宋体" w:hAnsi="宋体" w:eastAsia="宋体" w:cs="宋体"/>
          <w:color w:val="000000" w:themeColor="text1"/>
          <w:sz w:val="18"/>
          <w:szCs w:val="18"/>
          <w:lang w:eastAsia="zh-CN"/>
          <w14:textFill>
            <w14:solidFill>
              <w14:schemeClr w14:val="tx1"/>
            </w14:solidFill>
          </w14:textFill>
        </w:rPr>
      </w:pPr>
    </w:p>
    <w:p>
      <w:pPr>
        <w:pStyle w:val="4"/>
        <w:tabs>
          <w:tab w:val="left" w:pos="8026"/>
        </w:tabs>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始勘察设计通知中载明的开始勘察设计日期为准。勘察设计服务期限为</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lang w:eastAsia="zh-CN"/>
          <w14:textFill>
            <w14:solidFill>
              <w14:schemeClr w14:val="tx1"/>
            </w14:solidFill>
          </w14:textFill>
        </w:rPr>
        <w:t>天。</w:t>
      </w:r>
    </w:p>
    <w:p>
      <w:pPr>
        <w:pStyle w:val="4"/>
        <w:spacing w:before="126" w:line="326" w:lineRule="auto"/>
        <w:ind w:right="237" w:firstLine="616"/>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9. </w:t>
      </w:r>
      <w:r>
        <w:rPr>
          <w:color w:val="000000" w:themeColor="text1"/>
          <w:lang w:eastAsia="zh-CN"/>
          <w14:textFill>
            <w14:solidFill>
              <w14:schemeClr w14:val="tx1"/>
            </w14:solidFill>
          </w14:textFill>
        </w:rPr>
        <w:t xml:space="preserve">本协议书在设计人提供履约保证金后，由双方法定代表人或其委托代理 </w:t>
      </w:r>
      <w:r>
        <w:rPr>
          <w:color w:val="000000" w:themeColor="text1"/>
          <w:spacing w:val="-3"/>
          <w:lang w:eastAsia="zh-CN"/>
          <w14:textFill>
            <w14:solidFill>
              <w14:schemeClr w14:val="tx1"/>
            </w14:solidFill>
          </w14:textFill>
        </w:rPr>
        <w:t xml:space="preserve">人签署并加盖单位章后生效。设计人完成全部勘察设计工作且勘察设计费用结清 </w:t>
      </w:r>
      <w:r>
        <w:rPr>
          <w:color w:val="000000" w:themeColor="text1"/>
          <w:lang w:eastAsia="zh-CN"/>
          <w14:textFill>
            <w14:solidFill>
              <w14:schemeClr w14:val="tx1"/>
            </w14:solidFill>
          </w14:textFill>
        </w:rPr>
        <w:t>后失效。</w:t>
      </w:r>
    </w:p>
    <w:p>
      <w:pPr>
        <w:pStyle w:val="4"/>
        <w:tabs>
          <w:tab w:val="left" w:pos="4258"/>
        </w:tabs>
        <w:spacing w:before="40" w:line="319" w:lineRule="auto"/>
        <w:ind w:right="117" w:firstLine="61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10. </w:t>
      </w:r>
      <w:r>
        <w:rPr>
          <w:color w:val="000000" w:themeColor="text1"/>
          <w:lang w:eastAsia="zh-CN"/>
          <w14:textFill>
            <w14:solidFill>
              <w14:schemeClr w14:val="tx1"/>
            </w14:solidFill>
          </w14:textFill>
        </w:rPr>
        <w:t xml:space="preserve">本协议书正本 </w:t>
      </w:r>
      <w:r>
        <w:rPr>
          <w:color w:val="000000" w:themeColor="text1"/>
          <w:spacing w:val="-5"/>
          <w:lang w:eastAsia="zh-CN"/>
          <w14:textFill>
            <w14:solidFill>
              <w14:schemeClr w14:val="tx1"/>
            </w14:solidFill>
          </w14:textFill>
        </w:rPr>
        <w:t>份、副本</w:t>
      </w:r>
      <w:r>
        <w:rPr>
          <w:rFonts w:ascii="Times New Roman" w:hAnsi="Times New Roman" w:eastAsia="Times New Roman"/>
          <w:color w:val="000000" w:themeColor="text1"/>
          <w:spacing w:val="-5"/>
          <w:u w:val="single" w:color="000000"/>
          <w:lang w:eastAsia="zh-CN"/>
          <w14:textFill>
            <w14:solidFill>
              <w14:schemeClr w14:val="tx1"/>
            </w14:solidFill>
          </w14:textFill>
        </w:rPr>
        <w:tab/>
      </w:r>
      <w:r>
        <w:rPr>
          <w:color w:val="000000" w:themeColor="text1"/>
          <w:lang w:eastAsia="zh-CN"/>
          <w14:textFill>
            <w14:solidFill>
              <w14:schemeClr w14:val="tx1"/>
            </w14:solidFill>
          </w14:textFill>
        </w:rPr>
        <w:t>份，合同双方各执正本</w:t>
      </w:r>
      <w:r>
        <w:rPr>
          <w:color w:val="000000" w:themeColor="text1"/>
          <w:spacing w:val="-5"/>
          <w:lang w:eastAsia="zh-CN"/>
          <w14:textFill>
            <w14:solidFill>
              <w14:schemeClr w14:val="tx1"/>
            </w14:solidFill>
          </w14:textFill>
        </w:rPr>
        <w:t xml:space="preserve">份，副本 </w:t>
      </w:r>
      <w:r>
        <w:rPr>
          <w:color w:val="000000" w:themeColor="text1"/>
          <w:lang w:eastAsia="zh-CN"/>
          <w14:textFill>
            <w14:solidFill>
              <w14:schemeClr w14:val="tx1"/>
            </w14:solidFill>
          </w14:textFill>
        </w:rPr>
        <w:t>份， 当正本与副本的内容不一致时，以正本为准。</w:t>
      </w:r>
    </w:p>
    <w:p>
      <w:pPr>
        <w:pStyle w:val="4"/>
        <w:spacing w:before="46"/>
        <w:ind w:firstLine="616"/>
        <w:jc w:val="both"/>
        <w:rPr>
          <w:color w:val="000000" w:themeColor="text1"/>
          <w:lang w:eastAsia="zh-CN"/>
          <w14:textFill>
            <w14:solidFill>
              <w14:schemeClr w14:val="tx1"/>
            </w14:solidFill>
          </w14:textFill>
        </w:rPr>
      </w:pPr>
      <w:r>
        <w:rPr>
          <w:rFonts w:ascii="Times New Roman" w:hAnsi="Times New Roman" w:eastAsia="Times New Roman"/>
          <w:color w:val="000000" w:themeColor="text1"/>
          <w:spacing w:val="-3"/>
          <w:lang w:eastAsia="zh-CN"/>
          <w14:textFill>
            <w14:solidFill>
              <w14:schemeClr w14:val="tx1"/>
            </w14:solidFill>
          </w14:textFill>
        </w:rPr>
        <w:t>11.</w:t>
      </w:r>
      <w:r>
        <w:rPr>
          <w:color w:val="000000" w:themeColor="text1"/>
          <w:lang w:eastAsia="zh-CN"/>
          <w14:textFill>
            <w14:solidFill>
              <w14:schemeClr w14:val="tx1"/>
            </w14:solidFill>
          </w14:textFill>
        </w:rPr>
        <w:t>合同未尽事宜，双方另行签订补充协议。补充协议是合同的组成部分。</w:t>
      </w:r>
    </w:p>
    <w:p>
      <w:pPr>
        <w:rPr>
          <w:rFonts w:ascii="宋体" w:hAnsi="宋体" w:eastAsia="宋体" w:cs="宋体"/>
          <w:color w:val="000000" w:themeColor="text1"/>
          <w:sz w:val="24"/>
          <w:szCs w:val="24"/>
          <w:lang w:eastAsia="zh-CN"/>
          <w14:textFill>
            <w14:solidFill>
              <w14:schemeClr w14:val="tx1"/>
            </w14:solidFill>
          </w14:textFill>
        </w:rPr>
      </w:pPr>
    </w:p>
    <w:p>
      <w:pPr>
        <w:spacing w:before="12"/>
        <w:rPr>
          <w:rFonts w:ascii="宋体" w:hAnsi="宋体" w:eastAsia="宋体" w:cs="宋体"/>
          <w:color w:val="000000" w:themeColor="text1"/>
          <w:sz w:val="17"/>
          <w:szCs w:val="17"/>
          <w:lang w:eastAsia="zh-CN"/>
          <w14:textFill>
            <w14:solidFill>
              <w14:schemeClr w14:val="tx1"/>
            </w14:solidFill>
          </w14:textFill>
        </w:rPr>
      </w:pPr>
    </w:p>
    <w:p>
      <w:pPr>
        <w:pStyle w:val="4"/>
        <w:tabs>
          <w:tab w:val="left" w:pos="2794"/>
          <w:tab w:val="left" w:pos="4550"/>
          <w:tab w:val="left" w:pos="4607"/>
          <w:tab w:val="left" w:pos="7106"/>
        </w:tabs>
        <w:spacing w:before="0" w:line="336" w:lineRule="auto"/>
        <w:ind w:right="11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发包人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spacing w:val="-1"/>
          <w:u w:val="single" w:color="010101"/>
          <w:lang w:eastAsia="zh-CN"/>
          <w14:textFill>
            <w14:solidFill>
              <w14:schemeClr w14:val="tx1"/>
            </w14:solidFill>
          </w14:textFill>
        </w:rPr>
        <w:t>（</w:t>
      </w:r>
      <w:r>
        <w:rPr>
          <w:color w:val="000000" w:themeColor="text1"/>
          <w:spacing w:val="-1"/>
          <w:lang w:eastAsia="zh-CN"/>
          <w14:textFill>
            <w14:solidFill>
              <w14:schemeClr w14:val="tx1"/>
            </w14:solidFill>
          </w14:textFill>
        </w:rPr>
        <w:t>盖单位章）</w:t>
      </w:r>
      <w:r>
        <w:rPr>
          <w:color w:val="000000" w:themeColor="text1"/>
          <w:spacing w:val="-1"/>
          <w:lang w:eastAsia="zh-CN"/>
          <w14:textFill>
            <w14:solidFill>
              <w14:schemeClr w14:val="tx1"/>
            </w14:solidFill>
          </w14:textFill>
        </w:rPr>
        <w:tab/>
      </w:r>
      <w:r>
        <w:rPr>
          <w:color w:val="000000" w:themeColor="text1"/>
          <w:lang w:eastAsia="zh-CN"/>
          <w14:textFill>
            <w14:solidFill>
              <w14:schemeClr w14:val="tx1"/>
            </w14:solidFill>
          </w14:textFill>
        </w:rPr>
        <w:t>设计人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spacing w:val="-1"/>
          <w:u w:val="single" w:color="010101"/>
          <w:lang w:eastAsia="zh-CN"/>
          <w14:textFill>
            <w14:solidFill>
              <w14:schemeClr w14:val="tx1"/>
            </w14:solidFill>
          </w14:textFill>
        </w:rPr>
        <w:t>（</w:t>
      </w:r>
      <w:r>
        <w:rPr>
          <w:color w:val="000000" w:themeColor="text1"/>
          <w:spacing w:val="-1"/>
          <w:lang w:eastAsia="zh-CN"/>
          <w14:textFill>
            <w14:solidFill>
              <w14:schemeClr w14:val="tx1"/>
            </w14:solidFill>
          </w14:textFill>
        </w:rPr>
        <w:t xml:space="preserve">盖单位章） </w:t>
      </w:r>
      <w:r>
        <w:rPr>
          <w:color w:val="000000" w:themeColor="text1"/>
          <w:lang w:eastAsia="zh-CN"/>
          <w14:textFill>
            <w14:solidFill>
              <w14:schemeClr w14:val="tx1"/>
            </w14:solidFill>
          </w14:textFill>
        </w:rPr>
        <w:t>法定代表人或其委托代理人：（签字）</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法定代表人或其委托代理人（签字）</w:t>
      </w:r>
    </w:p>
    <w:p>
      <w:pPr>
        <w:pStyle w:val="4"/>
        <w:tabs>
          <w:tab w:val="left" w:pos="1198"/>
          <w:tab w:val="left" w:pos="2278"/>
          <w:tab w:val="left" w:pos="3118"/>
          <w:tab w:val="left" w:pos="4558"/>
          <w:tab w:val="left" w:pos="5638"/>
          <w:tab w:val="left" w:pos="6718"/>
          <w:tab w:val="left" w:pos="7918"/>
        </w:tabs>
        <w:spacing w:before="30"/>
        <w:rPr>
          <w:color w:val="000000" w:themeColor="text1"/>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14:textFill>
            <w14:solidFill>
              <w14:schemeClr w14:val="tx1"/>
            </w14:solidFill>
          </w14:textFill>
        </w:rPr>
        <w:t>年</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月</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日</w:t>
      </w:r>
      <w:r>
        <w:rPr>
          <w:color w:val="000000" w:themeColor="text1"/>
          <w14:textFill>
            <w14:solidFill>
              <w14:schemeClr w14:val="tx1"/>
            </w14:solidFill>
          </w14:textFill>
        </w:rPr>
        <w:tab/>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年</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月</w:t>
      </w:r>
      <w:r>
        <w:rPr>
          <w:rFonts w:ascii="Times New Roman" w:hAnsi="Times New Roman" w:eastAsia="Times New Roman"/>
          <w:color w:val="000000" w:themeColor="text1"/>
          <w:u w:val="single" w:color="010101"/>
          <w14:textFill>
            <w14:solidFill>
              <w14:schemeClr w14:val="tx1"/>
            </w14:solidFill>
          </w14:textFill>
        </w:rPr>
        <w:tab/>
      </w:r>
      <w:r>
        <w:rPr>
          <w:color w:val="000000" w:themeColor="text1"/>
          <w14:textFill>
            <w14:solidFill>
              <w14:schemeClr w14:val="tx1"/>
            </w14:solidFill>
          </w14:textFill>
        </w:rPr>
        <w:t>日</w:t>
      </w:r>
    </w:p>
    <w:p>
      <w:pPr>
        <w:rPr>
          <w:color w:val="000000" w:themeColor="text1"/>
          <w14:textFill>
            <w14:solidFill>
              <w14:schemeClr w14:val="tx1"/>
            </w14:solidFill>
          </w14:textFill>
        </w:rPr>
        <w:sectPr>
          <w:pgSz w:w="11910" w:h="16840"/>
          <w:pgMar w:top="1240" w:right="1560" w:bottom="1520" w:left="1680" w:header="968" w:footer="1338" w:gutter="0"/>
          <w:cols w:space="720" w:num="1"/>
        </w:sectPr>
      </w:pPr>
    </w:p>
    <w:p>
      <w:pPr>
        <w:spacing w:before="6"/>
        <w:rPr>
          <w:rFonts w:ascii="宋体" w:hAnsi="宋体" w:eastAsia="宋体" w:cs="宋体"/>
          <w:color w:val="000000" w:themeColor="text1"/>
          <w:sz w:val="15"/>
          <w:szCs w:val="15"/>
          <w14:textFill>
            <w14:solidFill>
              <w14:schemeClr w14:val="tx1"/>
            </w14:solidFill>
          </w14:textFill>
        </w:rPr>
      </w:pPr>
    </w:p>
    <w:p>
      <w:pPr>
        <w:rPr>
          <w:rFonts w:ascii="宋体" w:hAnsi="宋体" w:eastAsia="宋体" w:cs="宋体"/>
          <w:color w:val="000000" w:themeColor="text1"/>
          <w:sz w:val="15"/>
          <w:szCs w:val="15"/>
          <w14:textFill>
            <w14:solidFill>
              <w14:schemeClr w14:val="tx1"/>
            </w14:solidFill>
          </w14:textFill>
        </w:rPr>
        <w:sectPr>
          <w:pgSz w:w="11910" w:h="16840"/>
          <w:pgMar w:top="1240" w:right="1560" w:bottom="1520" w:left="1680" w:header="968" w:footer="1338" w:gutter="0"/>
          <w:cols w:space="720" w:num="1"/>
        </w:sectPr>
      </w:pPr>
    </w:p>
    <w:p>
      <w:pPr>
        <w:pStyle w:val="4"/>
        <w:ind w:right="-20"/>
        <w:rPr>
          <w:rFonts w:ascii="黑体" w:hAnsi="黑体" w:eastAsia="黑体" w:cs="黑体"/>
          <w:color w:val="000000" w:themeColor="text1"/>
          <w14:textFill>
            <w14:solidFill>
              <w14:schemeClr w14:val="tx1"/>
            </w14:solidFill>
          </w14:textFill>
        </w:rPr>
      </w:pPr>
      <w:r>
        <w:rPr>
          <w:rFonts w:ascii="黑体" w:hAnsi="黑体" w:eastAsia="黑体" w:cs="黑体"/>
          <w:color w:val="000000" w:themeColor="text1"/>
          <w14:textFill>
            <w14:solidFill>
              <w14:schemeClr w14:val="tx1"/>
            </w14:solidFill>
          </w14:textFill>
        </w:rPr>
        <w:t>附件二：廉政合同</w:t>
      </w:r>
    </w:p>
    <w:p>
      <w:pPr>
        <w:spacing w:before="9"/>
        <w:rPr>
          <w:rFonts w:ascii="黑体" w:hAnsi="黑体" w:eastAsia="黑体" w:cs="黑体"/>
          <w:color w:val="000000" w:themeColor="text1"/>
          <w:sz w:val="30"/>
          <w:szCs w:val="30"/>
          <w14:textFill>
            <w14:solidFill>
              <w14:schemeClr w14:val="tx1"/>
            </w14:solidFill>
          </w14:textFill>
        </w:rPr>
      </w:pPr>
      <w:r>
        <w:rPr>
          <w:color w:val="000000" w:themeColor="text1"/>
          <w14:textFill>
            <w14:solidFill>
              <w14:schemeClr w14:val="tx1"/>
            </w14:solidFill>
          </w14:textFill>
        </w:rPr>
        <w:br w:type="column"/>
      </w:r>
    </w:p>
    <w:p>
      <w:pPr>
        <w:pStyle w:val="13"/>
        <w:spacing w:before="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廉 政 合 同</w:t>
      </w:r>
    </w:p>
    <w:p>
      <w:pPr>
        <w:rPr>
          <w:color w:val="000000" w:themeColor="text1"/>
          <w:lang w:eastAsia="zh-CN"/>
          <w14:textFill>
            <w14:solidFill>
              <w14:schemeClr w14:val="tx1"/>
            </w14:solidFill>
          </w14:textFill>
        </w:rPr>
        <w:sectPr>
          <w:type w:val="continuous"/>
          <w:pgSz w:w="11910" w:h="16840"/>
          <w:pgMar w:top="1600" w:right="1560" w:bottom="280" w:left="1680" w:header="720" w:footer="720" w:gutter="0"/>
          <w:cols w:equalWidth="0" w:num="2">
            <w:col w:w="2039" w:space="1343"/>
            <w:col w:w="5288"/>
          </w:cols>
        </w:sectPr>
      </w:pPr>
    </w:p>
    <w:p>
      <w:pPr>
        <w:pStyle w:val="4"/>
        <w:tabs>
          <w:tab w:val="left" w:pos="2618"/>
          <w:tab w:val="left" w:pos="3746"/>
          <w:tab w:val="left" w:pos="7106"/>
          <w:tab w:val="left" w:pos="8186"/>
        </w:tabs>
        <w:spacing w:before="98" w:line="300" w:lineRule="auto"/>
        <w:ind w:right="117" w:firstLine="1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根据《关于在交通基础设施建设中加强廉政建设的若干意见》以及有关工程建 </w:t>
      </w:r>
      <w:r>
        <w:rPr>
          <w:color w:val="000000" w:themeColor="text1"/>
          <w:spacing w:val="-3"/>
          <w:lang w:eastAsia="zh-CN"/>
          <w14:textFill>
            <w14:solidFill>
              <w14:schemeClr w14:val="tx1"/>
            </w14:solidFill>
          </w14:textFill>
        </w:rPr>
        <w:t xml:space="preserve">设、廉政建设的规定，为做好工程建设中的党风廉政建设，保证工程建设高效优 </w:t>
      </w:r>
      <w:r>
        <w:rPr>
          <w:color w:val="000000" w:themeColor="text1"/>
          <w:spacing w:val="-4"/>
          <w:lang w:eastAsia="zh-CN"/>
          <w14:textFill>
            <w14:solidFill>
              <w14:schemeClr w14:val="tx1"/>
            </w14:solidFill>
          </w14:textFill>
        </w:rPr>
        <w:t>质，保证建设资金的安全和有效使用以及投资效益</w:t>
      </w:r>
      <w:r>
        <w:rPr>
          <w:color w:val="000000" w:themeColor="text1"/>
          <w:spacing w:val="-4"/>
          <w:u w:val="single" w:color="010101"/>
          <w:lang w:eastAsia="zh-CN"/>
          <w14:textFill>
            <w14:solidFill>
              <w14:schemeClr w14:val="tx1"/>
            </w14:solidFill>
          </w14:textFill>
        </w:rPr>
        <w:t>，</w:t>
      </w:r>
      <w:r>
        <w:rPr>
          <w:color w:val="000000" w:themeColor="text1"/>
          <w:spacing w:val="-4"/>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项目名称） 的项目法人</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3"/>
          <w:lang w:eastAsia="zh-CN"/>
          <w14:textFill>
            <w14:solidFill>
              <w14:schemeClr w14:val="tx1"/>
            </w14:solidFill>
          </w14:textFill>
        </w:rPr>
        <w:t>（项目法人名称，以下简称</w:t>
      </w:r>
      <w:r>
        <w:rPr>
          <w:rFonts w:ascii="Times New Roman" w:hAnsi="Times New Roman" w:eastAsia="Times New Roman"/>
          <w:color w:val="000000" w:themeColor="text1"/>
          <w:spacing w:val="-3"/>
          <w:lang w:eastAsia="zh-CN"/>
          <w14:textFill>
            <w14:solidFill>
              <w14:schemeClr w14:val="tx1"/>
            </w14:solidFill>
          </w14:textFill>
        </w:rPr>
        <w:t>“</w:t>
      </w:r>
      <w:r>
        <w:rPr>
          <w:color w:val="000000" w:themeColor="text1"/>
          <w:spacing w:val="-3"/>
          <w:lang w:eastAsia="zh-CN"/>
          <w14:textFill>
            <w14:solidFill>
              <w14:schemeClr w14:val="tx1"/>
            </w14:solidFill>
          </w14:textFill>
        </w:rPr>
        <w:t>发包人</w:t>
      </w:r>
      <w:r>
        <w:rPr>
          <w:rFonts w:ascii="Times New Roman" w:hAnsi="Times New Roman" w:eastAsia="Times New Roman"/>
          <w:color w:val="000000" w:themeColor="text1"/>
          <w:spacing w:val="-3"/>
          <w:lang w:eastAsia="zh-CN"/>
          <w14:textFill>
            <w14:solidFill>
              <w14:schemeClr w14:val="tx1"/>
            </w14:solidFill>
          </w14:textFill>
        </w:rPr>
        <w:t>”</w:t>
      </w:r>
      <w:r>
        <w:rPr>
          <w:color w:val="000000" w:themeColor="text1"/>
          <w:spacing w:val="-3"/>
          <w:lang w:eastAsia="zh-CN"/>
          <w14:textFill>
            <w14:solidFill>
              <w14:schemeClr w14:val="tx1"/>
            </w14:solidFill>
          </w14:textFill>
        </w:rPr>
        <w:t>）与该项目</w:t>
      </w:r>
      <w:r>
        <w:rPr>
          <w:rFonts w:ascii="Times New Roman" w:hAnsi="Times New Roman" w:eastAsia="Times New Roman"/>
          <w:color w:val="000000" w:themeColor="text1"/>
          <w:spacing w:val="-3"/>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标 </w:t>
      </w:r>
      <w:r>
        <w:rPr>
          <w:color w:val="000000" w:themeColor="text1"/>
          <w:spacing w:val="1"/>
          <w:lang w:eastAsia="zh-CN"/>
          <w14:textFill>
            <w14:solidFill>
              <w14:schemeClr w14:val="tx1"/>
            </w14:solidFill>
          </w14:textFill>
        </w:rPr>
        <w:t>段的勘察设计单位</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5"/>
          <w:lang w:eastAsia="zh-CN"/>
          <w14:textFill>
            <w14:solidFill>
              <w14:schemeClr w14:val="tx1"/>
            </w14:solidFill>
          </w14:textFill>
        </w:rPr>
        <w:t>（勘察设计单位名称，以下简称</w:t>
      </w:r>
      <w:r>
        <w:rPr>
          <w:rFonts w:ascii="Times New Roman" w:hAnsi="Times New Roman" w:eastAsia="Times New Roman"/>
          <w:color w:val="000000" w:themeColor="text1"/>
          <w:spacing w:val="-5"/>
          <w:lang w:eastAsia="zh-CN"/>
          <w14:textFill>
            <w14:solidFill>
              <w14:schemeClr w14:val="tx1"/>
            </w14:solidFill>
          </w14:textFill>
        </w:rPr>
        <w:t>“</w:t>
      </w:r>
      <w:r>
        <w:rPr>
          <w:color w:val="000000" w:themeColor="text1"/>
          <w:spacing w:val="-5"/>
          <w:lang w:eastAsia="zh-CN"/>
          <w14:textFill>
            <w14:solidFill>
              <w14:schemeClr w14:val="tx1"/>
            </w14:solidFill>
          </w14:textFill>
        </w:rPr>
        <w:t>设计人</w:t>
      </w:r>
      <w:r>
        <w:rPr>
          <w:rFonts w:ascii="Times New Roman" w:hAnsi="Times New Roman" w:eastAsia="Times New Roman"/>
          <w:color w:val="000000" w:themeColor="text1"/>
          <w:spacing w:val="-5"/>
          <w:lang w:eastAsia="zh-CN"/>
          <w14:textFill>
            <w14:solidFill>
              <w14:schemeClr w14:val="tx1"/>
            </w14:solidFill>
          </w14:textFill>
        </w:rPr>
        <w:t>”</w:t>
      </w:r>
      <w:r>
        <w:rPr>
          <w:color w:val="000000" w:themeColor="text1"/>
          <w:spacing w:val="-5"/>
          <w:lang w:eastAsia="zh-CN"/>
          <w14:textFill>
            <w14:solidFill>
              <w14:schemeClr w14:val="tx1"/>
            </w14:solidFill>
          </w14:textFill>
        </w:rPr>
        <w:t>），</w:t>
      </w:r>
      <w:r>
        <w:rPr>
          <w:color w:val="000000" w:themeColor="text1"/>
          <w:lang w:eastAsia="zh-CN"/>
          <w14:textFill>
            <w14:solidFill>
              <w14:schemeClr w14:val="tx1"/>
            </w14:solidFill>
          </w14:textFill>
        </w:rPr>
        <w:t xml:space="preserve"> 特订立如下合同。</w:t>
      </w:r>
    </w:p>
    <w:p>
      <w:pPr>
        <w:pStyle w:val="4"/>
        <w:spacing w:before="25"/>
        <w:ind w:left="735"/>
        <w:rPr>
          <w:rFonts w:ascii="黑体" w:hAnsi="黑体" w:eastAsia="黑体" w:cs="黑体"/>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  </w:t>
      </w:r>
      <w:r>
        <w:rPr>
          <w:rFonts w:ascii="黑体" w:hAnsi="黑体" w:eastAsia="黑体" w:cs="黑体"/>
          <w:color w:val="000000" w:themeColor="text1"/>
          <w:lang w:eastAsia="zh-CN"/>
          <w14:textFill>
            <w14:solidFill>
              <w14:schemeClr w14:val="tx1"/>
            </w14:solidFill>
          </w14:textFill>
        </w:rPr>
        <w:t>发包人和设计人双方的权利和义务</w:t>
      </w:r>
    </w:p>
    <w:p>
      <w:pPr>
        <w:pStyle w:val="4"/>
        <w:spacing w:before="68"/>
        <w:ind w:left="735"/>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1</w:t>
      </w:r>
      <w:r>
        <w:rPr>
          <w:color w:val="000000" w:themeColor="text1"/>
          <w:spacing w:val="4"/>
          <w:lang w:eastAsia="zh-CN"/>
          <w14:textFill>
            <w14:solidFill>
              <w14:schemeClr w14:val="tx1"/>
            </w14:solidFill>
          </w14:textFill>
        </w:rPr>
        <w:t>）严格遵守党的政策规定和国家有关法律法规及交通运输部的有关规</w:t>
      </w:r>
    </w:p>
    <w:p>
      <w:pPr>
        <w:pStyle w:val="4"/>
        <w:spacing w:before="6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定。</w:t>
      </w:r>
    </w:p>
    <w:p>
      <w:pPr>
        <w:pStyle w:val="4"/>
        <w:tabs>
          <w:tab w:val="left" w:pos="3320"/>
          <w:tab w:val="left" w:pos="5332"/>
        </w:tabs>
        <w:spacing w:before="85"/>
        <w:ind w:left="735"/>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2</w:t>
      </w:r>
      <w:r>
        <w:rPr>
          <w:color w:val="000000" w:themeColor="text1"/>
          <w:spacing w:val="-4"/>
          <w:lang w:eastAsia="zh-CN"/>
          <w14:textFill>
            <w14:solidFill>
              <w14:schemeClr w14:val="tx1"/>
            </w14:solidFill>
          </w14:textFill>
        </w:rPr>
        <w:t>）严格执行</w:t>
      </w:r>
      <w:r>
        <w:rPr>
          <w:rFonts w:ascii="Times New Roman" w:hAnsi="Times New Roman" w:eastAsia="Times New Roman"/>
          <w:color w:val="000000" w:themeColor="text1"/>
          <w:spacing w:val="-4"/>
          <w:u w:val="single" w:color="010101"/>
          <w:lang w:eastAsia="zh-CN"/>
          <w14:textFill>
            <w14:solidFill>
              <w14:schemeClr w14:val="tx1"/>
            </w14:solidFill>
          </w14:textFill>
        </w:rPr>
        <w:tab/>
      </w:r>
      <w:r>
        <w:rPr>
          <w:color w:val="000000" w:themeColor="text1"/>
          <w:spacing w:val="-5"/>
          <w:lang w:eastAsia="zh-CN"/>
          <w14:textFill>
            <w14:solidFill>
              <w14:schemeClr w14:val="tx1"/>
            </w14:solidFill>
          </w14:textFill>
        </w:rPr>
        <w:t>（项目名称）</w:t>
      </w:r>
      <w:r>
        <w:rPr>
          <w:rFonts w:ascii="Times New Roman" w:hAnsi="Times New Roman" w:eastAsia="Times New Roman"/>
          <w:color w:val="000000" w:themeColor="text1"/>
          <w:spacing w:val="-5"/>
          <w:u w:val="single" w:color="010101"/>
          <w:lang w:eastAsia="zh-CN"/>
          <w14:textFill>
            <w14:solidFill>
              <w14:schemeClr w14:val="tx1"/>
            </w14:solidFill>
          </w14:textFill>
        </w:rPr>
        <w:tab/>
      </w:r>
      <w:r>
        <w:rPr>
          <w:color w:val="000000" w:themeColor="text1"/>
          <w:spacing w:val="-3"/>
          <w:lang w:eastAsia="zh-CN"/>
          <w14:textFill>
            <w14:solidFill>
              <w14:schemeClr w14:val="tx1"/>
            </w14:solidFill>
          </w14:textFill>
        </w:rPr>
        <w:t>标段勘察设计合同文件，自觉</w:t>
      </w:r>
    </w:p>
    <w:p>
      <w:pPr>
        <w:pStyle w:val="4"/>
        <w:spacing w:before="6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按合同办事。</w:t>
      </w:r>
    </w:p>
    <w:p>
      <w:pPr>
        <w:pStyle w:val="4"/>
        <w:spacing w:before="85" w:line="297" w:lineRule="auto"/>
        <w:ind w:right="234"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3</w:t>
      </w:r>
      <w:r>
        <w:rPr>
          <w:color w:val="000000" w:themeColor="text1"/>
          <w:spacing w:val="-4"/>
          <w:lang w:eastAsia="zh-CN"/>
          <w14:textFill>
            <w14:solidFill>
              <w14:schemeClr w14:val="tx1"/>
            </w14:solidFill>
          </w14:textFill>
        </w:rPr>
        <w:t>）双方的业务活动坚持公开、公正、诚信、透明的原则（法律认定的商 业秘密和合同文件另有规定除外），不得损害国家和集体利益，不得违反工程建</w:t>
      </w:r>
      <w:r>
        <w:rPr>
          <w:color w:val="000000" w:themeColor="text1"/>
          <w:lang w:eastAsia="zh-CN"/>
          <w14:textFill>
            <w14:solidFill>
              <w14:schemeClr w14:val="tx1"/>
            </w14:solidFill>
          </w14:textFill>
        </w:rPr>
        <w:t xml:space="preserve"> 设管理规章制度。</w:t>
      </w:r>
    </w:p>
    <w:p>
      <w:pPr>
        <w:pStyle w:val="4"/>
        <w:spacing w:before="28" w:line="288" w:lineRule="auto"/>
        <w:ind w:right="108" w:firstLine="616"/>
        <w:rPr>
          <w:color w:val="000000" w:themeColor="text1"/>
          <w:lang w:eastAsia="zh-CN"/>
          <w14:textFill>
            <w14:solidFill>
              <w14:schemeClr w14:val="tx1"/>
            </w14:solidFill>
          </w14:textFill>
        </w:rPr>
      </w:pPr>
      <w:r>
        <w:rPr>
          <w:color w:val="000000" w:themeColor="text1"/>
          <w:spacing w:val="-7"/>
          <w:lang w:eastAsia="zh-CN"/>
          <w14:textFill>
            <w14:solidFill>
              <w14:schemeClr w14:val="tx1"/>
            </w14:solidFill>
          </w14:textFill>
        </w:rPr>
        <w:t>（</w:t>
      </w:r>
      <w:r>
        <w:rPr>
          <w:rFonts w:ascii="Times New Roman" w:hAnsi="Times New Roman" w:eastAsia="Times New Roman"/>
          <w:color w:val="000000" w:themeColor="text1"/>
          <w:spacing w:val="-7"/>
          <w:lang w:eastAsia="zh-CN"/>
          <w14:textFill>
            <w14:solidFill>
              <w14:schemeClr w14:val="tx1"/>
            </w14:solidFill>
          </w14:textFill>
        </w:rPr>
        <w:t>4</w:t>
      </w:r>
      <w:r>
        <w:rPr>
          <w:color w:val="000000" w:themeColor="text1"/>
          <w:spacing w:val="-7"/>
          <w:lang w:eastAsia="zh-CN"/>
          <w14:textFill>
            <w14:solidFill>
              <w14:schemeClr w14:val="tx1"/>
            </w14:solidFill>
          </w14:textFill>
        </w:rPr>
        <w:t xml:space="preserve">）建立健全廉政制度，开展廉政教育，设立廉政告示牌，公布举报电话， </w:t>
      </w:r>
      <w:r>
        <w:rPr>
          <w:color w:val="000000" w:themeColor="text1"/>
          <w:lang w:eastAsia="zh-CN"/>
          <w14:textFill>
            <w14:solidFill>
              <w14:schemeClr w14:val="tx1"/>
            </w14:solidFill>
          </w14:textFill>
        </w:rPr>
        <w:t>监督并认真查处违法违纪行为。</w:t>
      </w:r>
    </w:p>
    <w:p>
      <w:pPr>
        <w:pStyle w:val="4"/>
        <w:spacing w:before="38" w:line="288" w:lineRule="auto"/>
        <w:ind w:right="237"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5</w:t>
      </w:r>
      <w:r>
        <w:rPr>
          <w:color w:val="000000" w:themeColor="text1"/>
          <w:spacing w:val="-4"/>
          <w:lang w:eastAsia="zh-CN"/>
          <w14:textFill>
            <w14:solidFill>
              <w14:schemeClr w14:val="tx1"/>
            </w14:solidFill>
          </w14:textFill>
        </w:rPr>
        <w:t xml:space="preserve">）发现对方在业务活动中有违反廉政规定的行为，有及时提醒对方纠正 </w:t>
      </w:r>
      <w:r>
        <w:rPr>
          <w:color w:val="000000" w:themeColor="text1"/>
          <w:lang w:eastAsia="zh-CN"/>
          <w14:textFill>
            <w14:solidFill>
              <w14:schemeClr w14:val="tx1"/>
            </w14:solidFill>
          </w14:textFill>
        </w:rPr>
        <w:t>的权利和义务。</w:t>
      </w:r>
    </w:p>
    <w:p>
      <w:pPr>
        <w:pStyle w:val="4"/>
        <w:spacing w:before="37" w:line="290" w:lineRule="auto"/>
        <w:ind w:right="108" w:firstLine="616"/>
        <w:rPr>
          <w:color w:val="000000" w:themeColor="text1"/>
          <w:lang w:eastAsia="zh-CN"/>
          <w14:textFill>
            <w14:solidFill>
              <w14:schemeClr w14:val="tx1"/>
            </w14:solidFill>
          </w14:textFill>
        </w:rPr>
      </w:pPr>
      <w:r>
        <w:rPr>
          <w:color w:val="000000" w:themeColor="text1"/>
          <w:spacing w:val="-7"/>
          <w:lang w:eastAsia="zh-CN"/>
          <w14:textFill>
            <w14:solidFill>
              <w14:schemeClr w14:val="tx1"/>
            </w14:solidFill>
          </w14:textFill>
        </w:rPr>
        <w:t>（</w:t>
      </w:r>
      <w:r>
        <w:rPr>
          <w:rFonts w:ascii="Times New Roman" w:hAnsi="Times New Roman" w:eastAsia="Times New Roman"/>
          <w:color w:val="000000" w:themeColor="text1"/>
          <w:spacing w:val="-7"/>
          <w:lang w:eastAsia="zh-CN"/>
          <w14:textFill>
            <w14:solidFill>
              <w14:schemeClr w14:val="tx1"/>
            </w14:solidFill>
          </w14:textFill>
        </w:rPr>
        <w:t>6</w:t>
      </w:r>
      <w:r>
        <w:rPr>
          <w:color w:val="000000" w:themeColor="text1"/>
          <w:spacing w:val="-7"/>
          <w:lang w:eastAsia="zh-CN"/>
          <w14:textFill>
            <w14:solidFill>
              <w14:schemeClr w14:val="tx1"/>
            </w14:solidFill>
          </w14:textFill>
        </w:rPr>
        <w:t>）发现对方严重违反本合同义务条款的行为，有向其上级有关部门举报、</w:t>
      </w:r>
      <w:r>
        <w:rPr>
          <w:color w:val="000000" w:themeColor="text1"/>
          <w:lang w:eastAsia="zh-CN"/>
          <w14:textFill>
            <w14:solidFill>
              <w14:schemeClr w14:val="tx1"/>
            </w14:solidFill>
          </w14:textFill>
        </w:rPr>
        <w:t xml:space="preserve"> 建议给予处理并要求告知处理结果的权利。</w:t>
      </w:r>
    </w:p>
    <w:p>
      <w:pPr>
        <w:pStyle w:val="4"/>
        <w:spacing w:before="35"/>
        <w:ind w:left="735"/>
        <w:rPr>
          <w:rFonts w:ascii="黑体" w:hAnsi="黑体" w:eastAsia="黑体" w:cs="黑体"/>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2.  </w:t>
      </w:r>
      <w:r>
        <w:rPr>
          <w:rFonts w:ascii="黑体" w:hAnsi="黑体" w:eastAsia="黑体" w:cs="黑体"/>
          <w:color w:val="000000" w:themeColor="text1"/>
          <w:lang w:eastAsia="zh-CN"/>
          <w14:textFill>
            <w14:solidFill>
              <w14:schemeClr w14:val="tx1"/>
            </w14:solidFill>
          </w14:textFill>
        </w:rPr>
        <w:t>发包人的义务</w:t>
      </w:r>
    </w:p>
    <w:p>
      <w:pPr>
        <w:pStyle w:val="4"/>
        <w:spacing w:before="67" w:line="290" w:lineRule="auto"/>
        <w:ind w:right="143"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1</w:t>
      </w:r>
      <w:r>
        <w:rPr>
          <w:color w:val="000000" w:themeColor="text1"/>
          <w:spacing w:val="-4"/>
          <w:lang w:eastAsia="zh-CN"/>
          <w14:textFill>
            <w14:solidFill>
              <w14:schemeClr w14:val="tx1"/>
            </w14:solidFill>
          </w14:textFill>
        </w:rPr>
        <w:t xml:space="preserve">）发包人及其工作人员不得索要或接受设计人的礼金、有价证券和贵重 </w:t>
      </w:r>
      <w:r>
        <w:rPr>
          <w:color w:val="000000" w:themeColor="text1"/>
          <w:lang w:eastAsia="zh-CN"/>
          <w14:textFill>
            <w14:solidFill>
              <w14:schemeClr w14:val="tx1"/>
            </w14:solidFill>
          </w14:textFill>
        </w:rPr>
        <w:t>物品，不得让设计人报销任何应由发包人或发包人工作人员个人支付的费用等。</w:t>
      </w:r>
    </w:p>
    <w:p>
      <w:pPr>
        <w:pStyle w:val="4"/>
        <w:spacing w:before="35" w:line="288" w:lineRule="auto"/>
        <w:ind w:right="237"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2</w:t>
      </w:r>
      <w:r>
        <w:rPr>
          <w:color w:val="000000" w:themeColor="text1"/>
          <w:spacing w:val="-4"/>
          <w:lang w:eastAsia="zh-CN"/>
          <w14:textFill>
            <w14:solidFill>
              <w14:schemeClr w14:val="tx1"/>
            </w14:solidFill>
          </w14:textFill>
        </w:rPr>
        <w:t xml:space="preserve">）发包人工作人员不得参加设计人安排的超标准宴请和娱乐活动；不得 </w:t>
      </w:r>
      <w:r>
        <w:rPr>
          <w:color w:val="000000" w:themeColor="text1"/>
          <w:lang w:eastAsia="zh-CN"/>
          <w14:textFill>
            <w14:solidFill>
              <w14:schemeClr w14:val="tx1"/>
            </w14:solidFill>
          </w14:textFill>
        </w:rPr>
        <w:t>接受设计人提供的通信工具、交通工具和高档办公用品等。</w:t>
      </w:r>
    </w:p>
    <w:p>
      <w:pPr>
        <w:pStyle w:val="4"/>
        <w:spacing w:before="38" w:line="288" w:lineRule="auto"/>
        <w:ind w:right="237"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3</w:t>
      </w:r>
      <w:r>
        <w:rPr>
          <w:color w:val="000000" w:themeColor="text1"/>
          <w:spacing w:val="-4"/>
          <w:lang w:eastAsia="zh-CN"/>
          <w14:textFill>
            <w14:solidFill>
              <w14:schemeClr w14:val="tx1"/>
            </w14:solidFill>
          </w14:textFill>
        </w:rPr>
        <w:t xml:space="preserve">）发包人及其工作人员不得要求或者接受设计人为其住房装修、婚丧嫁 </w:t>
      </w:r>
      <w:r>
        <w:rPr>
          <w:color w:val="000000" w:themeColor="text1"/>
          <w:lang w:eastAsia="zh-CN"/>
          <w14:textFill>
            <w14:solidFill>
              <w14:schemeClr w14:val="tx1"/>
            </w14:solidFill>
          </w14:textFill>
        </w:rPr>
        <w:t>娶活动、配偶子女的工作安排以及出国出境、旅游等提供方便等。</w:t>
      </w:r>
    </w:p>
    <w:p>
      <w:pPr>
        <w:pStyle w:val="4"/>
        <w:spacing w:before="37" w:line="297" w:lineRule="auto"/>
        <w:ind w:right="237"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4</w:t>
      </w:r>
      <w:r>
        <w:rPr>
          <w:color w:val="000000" w:themeColor="text1"/>
          <w:spacing w:val="-4"/>
          <w:lang w:eastAsia="zh-CN"/>
          <w14:textFill>
            <w14:solidFill>
              <w14:schemeClr w14:val="tx1"/>
            </w14:solidFill>
          </w14:textFill>
        </w:rPr>
        <w:t xml:space="preserve">）发包人工作人员及其配偶、子女、亲属不得从事与本勘察设计合同有 </w:t>
      </w:r>
      <w:r>
        <w:rPr>
          <w:color w:val="000000" w:themeColor="text1"/>
          <w:spacing w:val="-3"/>
          <w:lang w:eastAsia="zh-CN"/>
          <w14:textFill>
            <w14:solidFill>
              <w14:schemeClr w14:val="tx1"/>
            </w14:solidFill>
          </w14:textFill>
        </w:rPr>
        <w:t xml:space="preserve">关的勘察设计业务等活动。不得以任何理由要求设计人和相关单位在设计中使用 </w:t>
      </w:r>
      <w:r>
        <w:rPr>
          <w:color w:val="000000" w:themeColor="text1"/>
          <w:lang w:eastAsia="zh-CN"/>
          <w14:textFill>
            <w14:solidFill>
              <w14:schemeClr w14:val="tx1"/>
            </w14:solidFill>
          </w14:textFill>
        </w:rPr>
        <w:t>某种产品、材料和设备。</w:t>
      </w:r>
    </w:p>
    <w:p>
      <w:pPr>
        <w:pStyle w:val="4"/>
        <w:spacing w:before="28" w:line="290" w:lineRule="auto"/>
        <w:ind w:right="237" w:firstLine="616"/>
        <w:jc w:val="both"/>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5</w:t>
      </w:r>
      <w:r>
        <w:rPr>
          <w:color w:val="000000" w:themeColor="text1"/>
          <w:spacing w:val="-4"/>
          <w:lang w:eastAsia="zh-CN"/>
          <w14:textFill>
            <w14:solidFill>
              <w14:schemeClr w14:val="tx1"/>
            </w14:solidFill>
          </w14:textFill>
        </w:rPr>
        <w:t xml:space="preserve">）发包人工作人员要秉公办事，不准营私舞弊，不准利用职权从事各种 </w:t>
      </w:r>
      <w:r>
        <w:rPr>
          <w:color w:val="000000" w:themeColor="text1"/>
          <w:lang w:eastAsia="zh-CN"/>
          <w14:textFill>
            <w14:solidFill>
              <w14:schemeClr w14:val="tx1"/>
            </w14:solidFill>
          </w14:textFill>
        </w:rPr>
        <w:t>个人有偿中介活动和安排个人勘察设计队伍。</w:t>
      </w:r>
    </w:p>
    <w:p>
      <w:pPr>
        <w:spacing w:line="290" w:lineRule="auto"/>
        <w:jc w:val="both"/>
        <w:rPr>
          <w:color w:val="000000" w:themeColor="text1"/>
          <w:lang w:eastAsia="zh-CN"/>
          <w14:textFill>
            <w14:solidFill>
              <w14:schemeClr w14:val="tx1"/>
            </w14:solidFill>
          </w14:textFill>
        </w:rPr>
        <w:sectPr>
          <w:type w:val="continuous"/>
          <w:pgSz w:w="11910" w:h="16840"/>
          <w:pgMar w:top="1600" w:right="1560" w:bottom="280" w:left="1680" w:header="720" w:footer="720" w:gutter="0"/>
          <w:cols w:space="720" w:num="1"/>
        </w:sectPr>
      </w:pPr>
    </w:p>
    <w:p>
      <w:pPr>
        <w:rPr>
          <w:rFonts w:ascii="宋体" w:hAnsi="宋体" w:eastAsia="宋体" w:cs="宋体"/>
          <w:color w:val="000000" w:themeColor="text1"/>
          <w:sz w:val="17"/>
          <w:szCs w:val="17"/>
          <w:lang w:eastAsia="zh-CN"/>
          <w14:textFill>
            <w14:solidFill>
              <w14:schemeClr w14:val="tx1"/>
            </w14:solidFill>
          </w14:textFill>
        </w:rPr>
      </w:pPr>
    </w:p>
    <w:p>
      <w:pPr>
        <w:pStyle w:val="4"/>
        <w:ind w:left="735"/>
        <w:rPr>
          <w:rFonts w:ascii="黑体" w:hAnsi="黑体" w:eastAsia="黑体" w:cs="黑体"/>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3.  </w:t>
      </w:r>
      <w:r>
        <w:rPr>
          <w:rFonts w:ascii="黑体" w:hAnsi="黑体" w:eastAsia="黑体" w:cs="黑体"/>
          <w:color w:val="000000" w:themeColor="text1"/>
          <w:lang w:eastAsia="zh-CN"/>
          <w14:textFill>
            <w14:solidFill>
              <w14:schemeClr w14:val="tx1"/>
            </w14:solidFill>
          </w14:textFill>
        </w:rPr>
        <w:t>设计人的义务</w:t>
      </w:r>
    </w:p>
    <w:p>
      <w:pPr>
        <w:pStyle w:val="4"/>
        <w:spacing w:before="67" w:line="290" w:lineRule="auto"/>
        <w:ind w:firstLine="616"/>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1</w:t>
      </w:r>
      <w:r>
        <w:rPr>
          <w:color w:val="000000" w:themeColor="text1"/>
          <w:spacing w:val="-4"/>
          <w:lang w:eastAsia="zh-CN"/>
          <w14:textFill>
            <w14:solidFill>
              <w14:schemeClr w14:val="tx1"/>
            </w14:solidFill>
          </w14:textFill>
        </w:rPr>
        <w:t xml:space="preserve">）设计人不得以任何理由向发包人及其工作人员行贿或馈赠礼金、有价 </w:t>
      </w:r>
      <w:r>
        <w:rPr>
          <w:color w:val="000000" w:themeColor="text1"/>
          <w:lang w:eastAsia="zh-CN"/>
          <w14:textFill>
            <w14:solidFill>
              <w14:schemeClr w14:val="tx1"/>
            </w14:solidFill>
          </w14:textFill>
        </w:rPr>
        <w:t>证券、贵重礼品。</w:t>
      </w:r>
    </w:p>
    <w:p>
      <w:pPr>
        <w:pStyle w:val="4"/>
        <w:spacing w:before="35" w:line="288" w:lineRule="auto"/>
        <w:ind w:firstLine="616"/>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2</w:t>
      </w:r>
      <w:r>
        <w:rPr>
          <w:color w:val="000000" w:themeColor="text1"/>
          <w:spacing w:val="-4"/>
          <w:lang w:eastAsia="zh-CN"/>
          <w14:textFill>
            <w14:solidFill>
              <w14:schemeClr w14:val="tx1"/>
            </w14:solidFill>
          </w14:textFill>
        </w:rPr>
        <w:t>）设计人不得以任何名义为发包人及其工作人员报销应由发包人单位或</w:t>
      </w:r>
      <w:r>
        <w:rPr>
          <w:color w:val="000000" w:themeColor="text1"/>
          <w:lang w:eastAsia="zh-CN"/>
          <w14:textFill>
            <w14:solidFill>
              <w14:schemeClr w14:val="tx1"/>
            </w14:solidFill>
          </w14:textFill>
        </w:rPr>
        <w:t xml:space="preserve"> 个人支付的任何费用。</w:t>
      </w:r>
    </w:p>
    <w:p>
      <w:pPr>
        <w:pStyle w:val="4"/>
        <w:spacing w:before="38"/>
        <w:ind w:left="735"/>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3</w:t>
      </w:r>
      <w:r>
        <w:rPr>
          <w:color w:val="000000" w:themeColor="text1"/>
          <w:spacing w:val="-111"/>
          <w:lang w:eastAsia="zh-CN"/>
          <w14:textFill>
            <w14:solidFill>
              <w14:schemeClr w14:val="tx1"/>
            </w14:solidFill>
          </w14:textFill>
        </w:rPr>
        <w:t>）</w:t>
      </w:r>
      <w:r>
        <w:rPr>
          <w:color w:val="000000" w:themeColor="text1"/>
          <w:lang w:eastAsia="zh-CN"/>
          <w14:textFill>
            <w14:solidFill>
              <w14:schemeClr w14:val="tx1"/>
            </w14:solidFill>
          </w14:textFill>
        </w:rPr>
        <w:t>设计人不得以任何理由安排发包人工作人员参加超标准宴请及娱乐活</w:t>
      </w:r>
    </w:p>
    <w:p>
      <w:pPr>
        <w:pStyle w:val="4"/>
        <w:spacing w:before="6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动。</w:t>
      </w:r>
    </w:p>
    <w:p>
      <w:pPr>
        <w:pStyle w:val="4"/>
        <w:spacing w:before="85"/>
        <w:ind w:left="735"/>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w:t>
      </w:r>
      <w:r>
        <w:rPr>
          <w:rFonts w:ascii="Times New Roman" w:hAnsi="Times New Roman" w:eastAsia="Times New Roman"/>
          <w:color w:val="000000" w:themeColor="text1"/>
          <w:spacing w:val="-4"/>
          <w:lang w:eastAsia="zh-CN"/>
          <w14:textFill>
            <w14:solidFill>
              <w14:schemeClr w14:val="tx1"/>
            </w14:solidFill>
          </w14:textFill>
        </w:rPr>
        <w:t>4</w:t>
      </w:r>
      <w:r>
        <w:rPr>
          <w:color w:val="000000" w:themeColor="text1"/>
          <w:spacing w:val="-4"/>
          <w:lang w:eastAsia="zh-CN"/>
          <w14:textFill>
            <w14:solidFill>
              <w14:schemeClr w14:val="tx1"/>
            </w14:solidFill>
          </w14:textFill>
        </w:rPr>
        <w:t>）设计人不得为发包人单位和个人购置或提供通信工具、交通工具和高</w:t>
      </w:r>
    </w:p>
    <w:p>
      <w:pPr>
        <w:pStyle w:val="4"/>
        <w:spacing w:before="6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档办公用品等。</w:t>
      </w:r>
    </w:p>
    <w:p>
      <w:pPr>
        <w:pStyle w:val="4"/>
        <w:spacing w:before="85"/>
        <w:ind w:left="735"/>
        <w:rPr>
          <w:rFonts w:ascii="黑体" w:hAnsi="黑体" w:eastAsia="黑体" w:cs="黑体"/>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  </w:t>
      </w:r>
      <w:r>
        <w:rPr>
          <w:rFonts w:ascii="黑体" w:hAnsi="黑体" w:eastAsia="黑体" w:cs="黑体"/>
          <w:color w:val="000000" w:themeColor="text1"/>
          <w:lang w:eastAsia="zh-CN"/>
          <w14:textFill>
            <w14:solidFill>
              <w14:schemeClr w14:val="tx1"/>
            </w14:solidFill>
          </w14:textFill>
        </w:rPr>
        <w:t>违约责任</w:t>
      </w:r>
    </w:p>
    <w:p>
      <w:pPr>
        <w:pStyle w:val="4"/>
        <w:spacing w:before="67" w:line="297" w:lineRule="auto"/>
        <w:ind w:right="237" w:firstLine="616"/>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）发包人及其工作人员违反本合同第</w:t>
      </w: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 xml:space="preserve">2 </w:t>
      </w:r>
      <w:r>
        <w:rPr>
          <w:color w:val="000000" w:themeColor="text1"/>
          <w:lang w:eastAsia="zh-CN"/>
          <w14:textFill>
            <w14:solidFill>
              <w14:schemeClr w14:val="tx1"/>
            </w14:solidFill>
          </w14:textFill>
        </w:rPr>
        <w:t xml:space="preserve">条，按管理权限，依据有关 </w:t>
      </w:r>
      <w:r>
        <w:rPr>
          <w:color w:val="000000" w:themeColor="text1"/>
          <w:spacing w:val="-3"/>
          <w:lang w:eastAsia="zh-CN"/>
          <w14:textFill>
            <w14:solidFill>
              <w14:schemeClr w14:val="tx1"/>
            </w14:solidFill>
          </w14:textFill>
        </w:rPr>
        <w:t xml:space="preserve">规定给予党纪、政纪或组织处理；涉嫌犯罪的，移交司法机关追究刑事责任；给 </w:t>
      </w:r>
      <w:r>
        <w:rPr>
          <w:color w:val="000000" w:themeColor="text1"/>
          <w:lang w:eastAsia="zh-CN"/>
          <w14:textFill>
            <w14:solidFill>
              <w14:schemeClr w14:val="tx1"/>
            </w14:solidFill>
          </w14:textFill>
        </w:rPr>
        <w:t>设计人单位造成经济损失的，应予以赔偿。</w:t>
      </w:r>
    </w:p>
    <w:p>
      <w:pPr>
        <w:pStyle w:val="4"/>
        <w:spacing w:before="28" w:line="300" w:lineRule="auto"/>
        <w:ind w:right="126" w:firstLine="61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2</w:t>
      </w:r>
      <w:r>
        <w:rPr>
          <w:color w:val="000000" w:themeColor="text1"/>
          <w:lang w:eastAsia="zh-CN"/>
          <w14:textFill>
            <w14:solidFill>
              <w14:schemeClr w14:val="tx1"/>
            </w14:solidFill>
          </w14:textFill>
        </w:rPr>
        <w:t xml:space="preserve">）设计人及其工作人员违反本合同第 </w:t>
      </w:r>
      <w:r>
        <w:rPr>
          <w:rFonts w:ascii="Times New Roman" w:hAnsi="Times New Roman" w:eastAsia="Times New Roman"/>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w:t>
      </w:r>
      <w:r>
        <w:rPr>
          <w:rFonts w:ascii="Times New Roman" w:hAnsi="Times New Roman" w:eastAsia="Times New Roman"/>
          <w:color w:val="000000" w:themeColor="text1"/>
          <w:lang w:eastAsia="zh-CN"/>
          <w14:textFill>
            <w14:solidFill>
              <w14:schemeClr w14:val="tx1"/>
            </w14:solidFill>
          </w14:textFill>
        </w:rPr>
        <w:t xml:space="preserve">3 </w:t>
      </w:r>
      <w:r>
        <w:rPr>
          <w:color w:val="000000" w:themeColor="text1"/>
          <w:lang w:eastAsia="zh-CN"/>
          <w14:textFill>
            <w14:solidFill>
              <w14:schemeClr w14:val="tx1"/>
            </w14:solidFill>
          </w14:textFill>
        </w:rPr>
        <w:t xml:space="preserve">条，按管理权限，依据有关 规定给予党纪、政纪或组织处理；给发包人单位造成经济损失的，应予以赔偿； </w:t>
      </w:r>
      <w:r>
        <w:rPr>
          <w:color w:val="000000" w:themeColor="text1"/>
          <w:spacing w:val="-3"/>
          <w:lang w:eastAsia="zh-CN"/>
          <w14:textFill>
            <w14:solidFill>
              <w14:schemeClr w14:val="tx1"/>
            </w14:solidFill>
          </w14:textFill>
        </w:rPr>
        <w:t xml:space="preserve">情节严重的，发包人建议交通运输主管部门给予设计人一至三年内不得进入其主 </w:t>
      </w:r>
      <w:r>
        <w:rPr>
          <w:color w:val="000000" w:themeColor="text1"/>
          <w:lang w:eastAsia="zh-CN"/>
          <w14:textFill>
            <w14:solidFill>
              <w14:schemeClr w14:val="tx1"/>
            </w14:solidFill>
          </w14:textFill>
        </w:rPr>
        <w:t>管的公路建设市场的处罚。</w:t>
      </w:r>
    </w:p>
    <w:p>
      <w:pPr>
        <w:pStyle w:val="4"/>
        <w:spacing w:line="297" w:lineRule="auto"/>
        <w:ind w:right="143" w:firstLine="616"/>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5. </w:t>
      </w:r>
      <w:r>
        <w:rPr>
          <w:color w:val="000000" w:themeColor="text1"/>
          <w:spacing w:val="6"/>
          <w:lang w:eastAsia="zh-CN"/>
          <w14:textFill>
            <w14:solidFill>
              <w14:schemeClr w14:val="tx1"/>
            </w14:solidFill>
          </w14:textFill>
        </w:rPr>
        <w:t xml:space="preserve">双方约定：本合同由双方或双方上级单位的纪检监察部门负责监督执 </w:t>
      </w:r>
      <w:r>
        <w:rPr>
          <w:color w:val="000000" w:themeColor="text1"/>
          <w:spacing w:val="-3"/>
          <w:lang w:eastAsia="zh-CN"/>
          <w14:textFill>
            <w14:solidFill>
              <w14:schemeClr w14:val="tx1"/>
            </w14:solidFill>
          </w14:textFill>
        </w:rPr>
        <w:t xml:space="preserve">行。由发包人或发包人上级单位的纪检监察部门约请设计人或设计人上级单位纪 </w:t>
      </w:r>
      <w:r>
        <w:rPr>
          <w:color w:val="000000" w:themeColor="text1"/>
          <w:lang w:eastAsia="zh-CN"/>
          <w14:textFill>
            <w14:solidFill>
              <w14:schemeClr w14:val="tx1"/>
            </w14:solidFill>
          </w14:textFill>
        </w:rPr>
        <w:t>检监察部门对本合同执行情况进行检查，提出在本合同规定范围内的裁定意见。</w:t>
      </w:r>
    </w:p>
    <w:p>
      <w:pPr>
        <w:pStyle w:val="4"/>
        <w:spacing w:before="29"/>
        <w:ind w:left="735"/>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6.  </w:t>
      </w:r>
      <w:r>
        <w:rPr>
          <w:color w:val="000000" w:themeColor="text1"/>
          <w:lang w:eastAsia="zh-CN"/>
          <w14:textFill>
            <w14:solidFill>
              <w14:schemeClr w14:val="tx1"/>
            </w14:solidFill>
          </w14:textFill>
        </w:rPr>
        <w:t>本合同有效期为合同双方签署之日起至勘察设计合同失效日止。</w:t>
      </w:r>
    </w:p>
    <w:p>
      <w:pPr>
        <w:pStyle w:val="4"/>
        <w:tabs>
          <w:tab w:val="left" w:pos="3298"/>
        </w:tabs>
        <w:spacing w:before="67" w:line="288" w:lineRule="auto"/>
        <w:ind w:right="237" w:firstLine="616"/>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7.  </w:t>
      </w:r>
      <w:r>
        <w:rPr>
          <w:color w:val="000000" w:themeColor="text1"/>
          <w:lang w:eastAsia="zh-CN"/>
          <w14:textFill>
            <w14:solidFill>
              <w14:schemeClr w14:val="tx1"/>
            </w14:solidFill>
          </w14:textFill>
        </w:rPr>
        <w:t>本合同作为</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3"/>
          <w:lang w:eastAsia="zh-CN"/>
          <w14:textFill>
            <w14:solidFill>
              <w14:schemeClr w14:val="tx1"/>
            </w14:solidFill>
          </w14:textFill>
        </w:rPr>
        <w:t xml:space="preserve">（项目名称）   </w:t>
      </w:r>
      <w:r>
        <w:rPr>
          <w:color w:val="000000" w:themeColor="text1"/>
          <w:lang w:eastAsia="zh-CN"/>
          <w14:textFill>
            <w14:solidFill>
              <w14:schemeClr w14:val="tx1"/>
            </w14:solidFill>
          </w14:textFill>
        </w:rPr>
        <w:t>标段勘察设计合同的附件，与 勘察设计合同具有同等的法律效力，经合同双方签署后立即生效。</w:t>
      </w:r>
    </w:p>
    <w:p>
      <w:pPr>
        <w:pStyle w:val="4"/>
        <w:spacing w:before="38" w:line="288" w:lineRule="auto"/>
        <w:ind w:right="237" w:firstLine="616"/>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8. </w:t>
      </w:r>
      <w:r>
        <w:rPr>
          <w:color w:val="000000" w:themeColor="text1"/>
          <w:lang w:eastAsia="zh-CN"/>
          <w14:textFill>
            <w14:solidFill>
              <w14:schemeClr w14:val="tx1"/>
            </w14:solidFill>
          </w14:textFill>
        </w:rPr>
        <w:t>本合同一式四份，由发包人和设计人各执一份，送交发包人和设计人的 监督单位各一份。</w:t>
      </w:r>
    </w:p>
    <w:p>
      <w:pPr>
        <w:spacing w:before="2"/>
        <w:rPr>
          <w:rFonts w:ascii="宋体" w:hAnsi="宋体" w:eastAsia="宋体" w:cs="宋体"/>
          <w:color w:val="000000" w:themeColor="text1"/>
          <w:sz w:val="35"/>
          <w:szCs w:val="35"/>
          <w:lang w:eastAsia="zh-CN"/>
          <w14:textFill>
            <w14:solidFill>
              <w14:schemeClr w14:val="tx1"/>
            </w14:solidFill>
          </w14:textFill>
        </w:rPr>
      </w:pPr>
    </w:p>
    <w:p>
      <w:pPr>
        <w:pStyle w:val="4"/>
        <w:tabs>
          <w:tab w:val="left" w:pos="2794"/>
          <w:tab w:val="left" w:pos="4790"/>
          <w:tab w:val="left" w:pos="7106"/>
        </w:tabs>
        <w:spacing w:before="0" w:line="336" w:lineRule="auto"/>
        <w:ind w:right="117"/>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发包人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spacing w:val="-1"/>
          <w:u w:val="single" w:color="010101"/>
          <w:lang w:eastAsia="zh-CN"/>
          <w14:textFill>
            <w14:solidFill>
              <w14:schemeClr w14:val="tx1"/>
            </w14:solidFill>
          </w14:textFill>
        </w:rPr>
        <w:t>（</w:t>
      </w:r>
      <w:r>
        <w:rPr>
          <w:color w:val="000000" w:themeColor="text1"/>
          <w:spacing w:val="-1"/>
          <w:lang w:eastAsia="zh-CN"/>
          <w14:textFill>
            <w14:solidFill>
              <w14:schemeClr w14:val="tx1"/>
            </w14:solidFill>
          </w14:textFill>
        </w:rPr>
        <w:t>盖单位章）</w:t>
      </w:r>
      <w:r>
        <w:rPr>
          <w:color w:val="000000" w:themeColor="text1"/>
          <w:spacing w:val="-1"/>
          <w:lang w:eastAsia="zh-CN"/>
          <w14:textFill>
            <w14:solidFill>
              <w14:schemeClr w14:val="tx1"/>
            </w14:solidFill>
          </w14:textFill>
        </w:rPr>
        <w:tab/>
      </w:r>
      <w:r>
        <w:rPr>
          <w:color w:val="000000" w:themeColor="text1"/>
          <w:lang w:eastAsia="zh-CN"/>
          <w14:textFill>
            <w14:solidFill>
              <w14:schemeClr w14:val="tx1"/>
            </w14:solidFill>
          </w14:textFill>
        </w:rPr>
        <w:t>设计人</w:t>
      </w:r>
      <w:r>
        <w:rPr>
          <w:color w:val="000000" w:themeColor="text1"/>
          <w:u w:val="single" w:color="010101"/>
          <w:lang w:eastAsia="zh-CN"/>
          <w14:textFill>
            <w14:solidFill>
              <w14:schemeClr w14:val="tx1"/>
            </w14:solidFill>
          </w14:textFill>
        </w:rPr>
        <w:t>：</w:t>
      </w:r>
      <w:r>
        <w:rPr>
          <w:color w:val="000000" w:themeColor="text1"/>
          <w:u w:val="single" w:color="010101"/>
          <w:lang w:eastAsia="zh-CN"/>
          <w14:textFill>
            <w14:solidFill>
              <w14:schemeClr w14:val="tx1"/>
            </w14:solidFill>
          </w14:textFill>
        </w:rPr>
        <w:tab/>
      </w:r>
      <w:r>
        <w:rPr>
          <w:color w:val="000000" w:themeColor="text1"/>
          <w:spacing w:val="-1"/>
          <w:u w:val="single" w:color="010101"/>
          <w:lang w:eastAsia="zh-CN"/>
          <w14:textFill>
            <w14:solidFill>
              <w14:schemeClr w14:val="tx1"/>
            </w14:solidFill>
          </w14:textFill>
        </w:rPr>
        <w:t>（</w:t>
      </w:r>
      <w:r>
        <w:rPr>
          <w:color w:val="000000" w:themeColor="text1"/>
          <w:spacing w:val="-1"/>
          <w:lang w:eastAsia="zh-CN"/>
          <w14:textFill>
            <w14:solidFill>
              <w14:schemeClr w14:val="tx1"/>
            </w14:solidFill>
          </w14:textFill>
        </w:rPr>
        <w:t xml:space="preserve">盖单位章） </w:t>
      </w:r>
      <w:r>
        <w:rPr>
          <w:color w:val="000000" w:themeColor="text1"/>
          <w:lang w:eastAsia="zh-CN"/>
          <w14:textFill>
            <w14:solidFill>
              <w14:schemeClr w14:val="tx1"/>
            </w14:solidFill>
          </w14:textFill>
        </w:rPr>
        <w:t>法定代表人或其委托代理人</w:t>
      </w:r>
      <w:r>
        <w:rPr>
          <w:color w:val="000000" w:themeColor="text1"/>
          <w:u w:val="single" w:color="010101"/>
          <w:lang w:eastAsia="zh-CN"/>
          <w14:textFill>
            <w14:solidFill>
              <w14:schemeClr w14:val="tx1"/>
            </w14:solidFill>
          </w14:textFill>
        </w:rPr>
        <w:t>： （</w:t>
      </w:r>
      <w:r>
        <w:rPr>
          <w:color w:val="000000" w:themeColor="text1"/>
          <w:lang w:eastAsia="zh-CN"/>
          <w14:textFill>
            <w14:solidFill>
              <w14:schemeClr w14:val="tx1"/>
            </w14:solidFill>
          </w14:textFill>
        </w:rPr>
        <w:t>签字）  法定代表人或其委托代理人</w:t>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签字）</w:t>
      </w:r>
    </w:p>
    <w:p>
      <w:pPr>
        <w:pStyle w:val="4"/>
        <w:tabs>
          <w:tab w:val="left" w:pos="1198"/>
          <w:tab w:val="left" w:pos="2278"/>
          <w:tab w:val="left" w:pos="3118"/>
          <w:tab w:val="left" w:pos="4550"/>
          <w:tab w:val="left" w:pos="5638"/>
          <w:tab w:val="left" w:pos="6718"/>
          <w:tab w:val="left" w:pos="7918"/>
        </w:tabs>
        <w:spacing w:before="29" w:line="655" w:lineRule="auto"/>
        <w:ind w:right="117"/>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日</w:t>
      </w:r>
      <w:r>
        <w:rPr>
          <w:color w:val="000000" w:themeColor="text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日 </w:t>
      </w:r>
    </w:p>
    <w:p>
      <w:pPr>
        <w:pStyle w:val="4"/>
        <w:tabs>
          <w:tab w:val="left" w:pos="1198"/>
          <w:tab w:val="left" w:pos="2278"/>
          <w:tab w:val="left" w:pos="3118"/>
          <w:tab w:val="left" w:pos="4550"/>
          <w:tab w:val="left" w:pos="5638"/>
          <w:tab w:val="left" w:pos="6718"/>
          <w:tab w:val="left" w:pos="7918"/>
        </w:tabs>
        <w:spacing w:before="29" w:line="655" w:lineRule="auto"/>
        <w:ind w:right="117"/>
        <w:rPr>
          <w:color w:val="000000" w:themeColor="text1"/>
          <w:lang w:eastAsia="zh-CN"/>
          <w14:textFill>
            <w14:solidFill>
              <w14:schemeClr w14:val="tx1"/>
            </w14:solidFill>
          </w14:textFill>
        </w:rPr>
      </w:pPr>
      <w:r>
        <w:rPr>
          <w:color w:val="000000" w:themeColor="text1"/>
          <w:spacing w:val="-19"/>
          <w:lang w:eastAsia="zh-CN"/>
          <w14:textFill>
            <w14:solidFill>
              <w14:schemeClr w14:val="tx1"/>
            </w14:solidFill>
          </w14:textFill>
        </w:rPr>
        <w:t>发包人监督单位：（</w:t>
      </w:r>
      <w:r>
        <w:rPr>
          <w:color w:val="000000" w:themeColor="text1"/>
          <w:spacing w:val="-19"/>
          <w:u w:val="single" w:color="010101"/>
          <w:lang w:eastAsia="zh-CN"/>
          <w14:textFill>
            <w14:solidFill>
              <w14:schemeClr w14:val="tx1"/>
            </w14:solidFill>
          </w14:textFill>
        </w:rPr>
        <w:t>全称）（盖单位章）</w:t>
      </w:r>
      <w:r>
        <w:rPr>
          <w:color w:val="000000" w:themeColor="text1"/>
          <w:spacing w:val="-19"/>
          <w:lang w:eastAsia="zh-CN"/>
          <w14:textFill>
            <w14:solidFill>
              <w14:schemeClr w14:val="tx1"/>
            </w14:solidFill>
          </w14:textFill>
        </w:rPr>
        <w:tab/>
      </w:r>
      <w:r>
        <w:rPr>
          <w:color w:val="000000" w:themeColor="text1"/>
          <w:spacing w:val="-19"/>
          <w:lang w:eastAsia="zh-CN"/>
          <w14:textFill>
            <w14:solidFill>
              <w14:schemeClr w14:val="tx1"/>
            </w14:solidFill>
          </w14:textFill>
        </w:rPr>
        <w:t>设计人监督单位：（</w:t>
      </w:r>
      <w:r>
        <w:rPr>
          <w:color w:val="000000" w:themeColor="text1"/>
          <w:spacing w:val="-19"/>
          <w:u w:val="single" w:color="010101"/>
          <w:lang w:eastAsia="zh-CN"/>
          <w14:textFill>
            <w14:solidFill>
              <w14:schemeClr w14:val="tx1"/>
            </w14:solidFill>
          </w14:textFill>
        </w:rPr>
        <w:t>全称）（盖单位章）</w:t>
      </w:r>
    </w:p>
    <w:p>
      <w:pPr>
        <w:spacing w:line="655" w:lineRule="auto"/>
        <w:rPr>
          <w:color w:val="000000" w:themeColor="text1"/>
          <w:lang w:eastAsia="zh-CN"/>
          <w14:textFill>
            <w14:solidFill>
              <w14:schemeClr w14:val="tx1"/>
            </w14:solidFill>
          </w14:textFill>
        </w:rPr>
        <w:sectPr>
          <w:pgSz w:w="11910" w:h="16840"/>
          <w:pgMar w:top="1240" w:right="1560" w:bottom="1520" w:left="1680" w:header="968" w:footer="1338" w:gutter="0"/>
          <w:cols w:space="720" w:num="1"/>
        </w:sectPr>
      </w:pPr>
    </w:p>
    <w:p>
      <w:pPr>
        <w:spacing w:before="1"/>
        <w:rPr>
          <w:rFonts w:ascii="宋体" w:hAnsi="宋体" w:eastAsia="宋体" w:cs="宋体"/>
          <w:color w:val="000000" w:themeColor="text1"/>
          <w:sz w:val="14"/>
          <w:szCs w:val="14"/>
          <w:lang w:eastAsia="zh-CN"/>
          <w14:textFill>
            <w14:solidFill>
              <w14:schemeClr w14:val="tx1"/>
            </w14:solidFill>
          </w14:textFill>
        </w:rPr>
      </w:pPr>
    </w:p>
    <w:p>
      <w:pPr>
        <w:pStyle w:val="4"/>
        <w:spacing w:before="44"/>
        <w:ind w:left="398" w:right="101"/>
        <w:rPr>
          <w:color w:val="000000" w:themeColor="text1"/>
          <w:sz w:val="12"/>
          <w:szCs w:val="12"/>
          <w:lang w:eastAsia="zh-CN"/>
          <w14:textFill>
            <w14:solidFill>
              <w14:schemeClr w14:val="tx1"/>
            </w14:solidFill>
          </w14:textFill>
        </w:rPr>
      </w:pPr>
      <w:r>
        <w:rPr>
          <w:rFonts w:ascii="黑体" w:hAnsi="黑体" w:eastAsia="黑体" w:cs="黑体"/>
          <w:color w:val="000000" w:themeColor="text1"/>
          <w:lang w:eastAsia="zh-CN"/>
          <w14:textFill>
            <w14:solidFill>
              <w14:schemeClr w14:val="tx1"/>
            </w14:solidFill>
          </w14:textFill>
        </w:rPr>
        <w:t xml:space="preserve">附件三：分项负责人最低要求 </w:t>
      </w:r>
      <w:r>
        <w:rPr>
          <w:color w:val="000000" w:themeColor="text1"/>
          <w:position w:val="12"/>
          <w:sz w:val="12"/>
          <w:szCs w:val="12"/>
          <w:lang w:eastAsia="zh-CN"/>
          <w14:textFill>
            <w14:solidFill>
              <w14:schemeClr w14:val="tx1"/>
            </w14:solidFill>
          </w14:textFill>
        </w:rPr>
        <w:t>①</w:t>
      </w:r>
    </w:p>
    <w:p>
      <w:pPr>
        <w:rPr>
          <w:rFonts w:ascii="宋体" w:hAnsi="宋体" w:eastAsia="宋体" w:cs="宋体"/>
          <w:color w:val="000000" w:themeColor="text1"/>
          <w:sz w:val="20"/>
          <w:szCs w:val="20"/>
          <w:lang w:eastAsia="zh-CN"/>
          <w14:textFill>
            <w14:solidFill>
              <w14:schemeClr w14:val="tx1"/>
            </w14:solidFill>
          </w14:textFill>
        </w:rPr>
      </w:pPr>
    </w:p>
    <w:p>
      <w:pPr>
        <w:spacing w:before="5"/>
        <w:rPr>
          <w:rFonts w:ascii="宋体" w:hAnsi="宋体" w:eastAsia="宋体" w:cs="宋体"/>
          <w:color w:val="000000" w:themeColor="text1"/>
          <w:sz w:val="13"/>
          <w:szCs w:val="13"/>
          <w:lang w:eastAsia="zh-CN"/>
          <w14:textFill>
            <w14:solidFill>
              <w14:schemeClr w14:val="tx1"/>
            </w14:solidFill>
          </w14:textFill>
        </w:rPr>
      </w:pPr>
    </w:p>
    <w:tbl>
      <w:tblPr>
        <w:tblStyle w:val="23"/>
        <w:tblW w:w="8892" w:type="dxa"/>
        <w:tblInd w:w="101" w:type="dxa"/>
        <w:tblLayout w:type="fixed"/>
        <w:tblCellMar>
          <w:top w:w="0" w:type="dxa"/>
          <w:left w:w="0" w:type="dxa"/>
          <w:bottom w:w="0" w:type="dxa"/>
          <w:right w:w="0" w:type="dxa"/>
        </w:tblCellMar>
      </w:tblPr>
      <w:tblGrid>
        <w:gridCol w:w="2448"/>
        <w:gridCol w:w="2161"/>
        <w:gridCol w:w="4283"/>
      </w:tblGrid>
      <w:tr>
        <w:trPr>
          <w:trHeight w:val="862" w:hRule="exact"/>
        </w:trPr>
        <w:tc>
          <w:tcPr>
            <w:tcW w:w="2448" w:type="dxa"/>
            <w:tcBorders>
              <w:top w:val="single" w:color="010101" w:sz="4" w:space="0"/>
              <w:left w:val="single" w:color="010101" w:sz="4" w:space="0"/>
              <w:bottom w:val="single" w:color="010101" w:sz="4" w:space="0"/>
              <w:right w:val="single" w:color="010101" w:sz="4" w:space="0"/>
            </w:tcBorders>
          </w:tcPr>
          <w:p>
            <w:pPr>
              <w:pStyle w:val="27"/>
              <w:rPr>
                <w:rFonts w:ascii="宋体" w:hAnsi="宋体" w:eastAsia="宋体" w:cs="宋体"/>
                <w:color w:val="000000" w:themeColor="text1"/>
                <w:sz w:val="21"/>
                <w:szCs w:val="21"/>
                <w:lang w:eastAsia="zh-CN"/>
                <w14:textFill>
                  <w14:solidFill>
                    <w14:schemeClr w14:val="tx1"/>
                  </w14:solidFill>
                </w14:textFill>
              </w:rPr>
            </w:pPr>
          </w:p>
          <w:p>
            <w:pPr>
              <w:pStyle w:val="27"/>
              <w:tabs>
                <w:tab w:val="left" w:pos="479"/>
              </w:tabs>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人</w:t>
            </w:r>
            <w:r>
              <w:rPr>
                <w:rFonts w:ascii="宋体" w:hAnsi="宋体" w:eastAsia="宋体" w:cs="宋体"/>
                <w:color w:val="000000" w:themeColor="text1"/>
                <w:sz w:val="24"/>
                <w:szCs w:val="24"/>
                <w14:textFill>
                  <w14:solidFill>
                    <w14:schemeClr w14:val="tx1"/>
                  </w14:solidFill>
                </w14:textFill>
              </w:rPr>
              <w:tab/>
            </w:r>
            <w:r>
              <w:rPr>
                <w:rFonts w:ascii="宋体" w:hAnsi="宋体" w:eastAsia="宋体" w:cs="宋体"/>
                <w:color w:val="000000" w:themeColor="text1"/>
                <w:sz w:val="24"/>
                <w:szCs w:val="24"/>
                <w14:textFill>
                  <w14:solidFill>
                    <w14:schemeClr w14:val="tx1"/>
                  </w14:solidFill>
                </w14:textFill>
              </w:rPr>
              <w:t>员</w:t>
            </w:r>
          </w:p>
        </w:tc>
        <w:tc>
          <w:tcPr>
            <w:tcW w:w="2161" w:type="dxa"/>
            <w:tcBorders>
              <w:top w:val="single" w:color="010101" w:sz="4" w:space="0"/>
              <w:left w:val="single" w:color="010101" w:sz="4" w:space="0"/>
              <w:bottom w:val="single" w:color="010101" w:sz="4" w:space="0"/>
              <w:right w:val="single" w:color="010101" w:sz="4" w:space="0"/>
            </w:tcBorders>
          </w:tcPr>
          <w:p>
            <w:pPr>
              <w:pStyle w:val="27"/>
              <w:rPr>
                <w:rFonts w:ascii="宋体" w:hAnsi="宋体" w:eastAsia="宋体" w:cs="宋体"/>
                <w:color w:val="000000" w:themeColor="text1"/>
                <w:sz w:val="21"/>
                <w:szCs w:val="21"/>
                <w14:textFill>
                  <w14:solidFill>
                    <w14:schemeClr w14:val="tx1"/>
                  </w14:solidFill>
                </w14:textFill>
              </w:rPr>
            </w:pPr>
          </w:p>
          <w:p>
            <w:pPr>
              <w:pStyle w:val="27"/>
              <w:tabs>
                <w:tab w:val="left" w:pos="1195"/>
              </w:tabs>
              <w:ind w:left="715"/>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数</w:t>
            </w:r>
            <w:r>
              <w:rPr>
                <w:rFonts w:ascii="宋体" w:hAnsi="宋体" w:eastAsia="宋体" w:cs="宋体"/>
                <w:color w:val="000000" w:themeColor="text1"/>
                <w:sz w:val="24"/>
                <w:szCs w:val="24"/>
                <w14:textFill>
                  <w14:solidFill>
                    <w14:schemeClr w14:val="tx1"/>
                  </w14:solidFill>
                </w14:textFill>
              </w:rPr>
              <w:tab/>
            </w:r>
            <w:r>
              <w:rPr>
                <w:rFonts w:ascii="宋体" w:hAnsi="宋体" w:eastAsia="宋体" w:cs="宋体"/>
                <w:color w:val="000000" w:themeColor="text1"/>
                <w:sz w:val="24"/>
                <w:szCs w:val="24"/>
                <w14:textFill>
                  <w14:solidFill>
                    <w14:schemeClr w14:val="tx1"/>
                  </w14:solidFill>
                </w14:textFill>
              </w:rPr>
              <w:t>量</w:t>
            </w:r>
          </w:p>
        </w:tc>
        <w:tc>
          <w:tcPr>
            <w:tcW w:w="4283" w:type="dxa"/>
            <w:tcBorders>
              <w:top w:val="single" w:color="010101" w:sz="4" w:space="0"/>
              <w:left w:val="single" w:color="010101" w:sz="4" w:space="0"/>
              <w:bottom w:val="single" w:color="010101" w:sz="4" w:space="0"/>
              <w:right w:val="single" w:color="010101" w:sz="4" w:space="0"/>
            </w:tcBorders>
          </w:tcPr>
          <w:p>
            <w:pPr>
              <w:pStyle w:val="27"/>
              <w:rPr>
                <w:rFonts w:ascii="宋体" w:hAnsi="宋体" w:eastAsia="宋体" w:cs="宋体"/>
                <w:color w:val="000000" w:themeColor="text1"/>
                <w:sz w:val="21"/>
                <w:szCs w:val="21"/>
                <w14:textFill>
                  <w14:solidFill>
                    <w14:schemeClr w14:val="tx1"/>
                  </w14:solidFill>
                </w14:textFill>
              </w:rPr>
            </w:pPr>
          </w:p>
          <w:p>
            <w:pPr>
              <w:pStyle w:val="27"/>
              <w:ind w:right="1"/>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资 格 要 求</w:t>
            </w:r>
          </w:p>
        </w:tc>
      </w:tr>
      <w:tr>
        <w:tblPrEx>
          <w:tblCellMar>
            <w:top w:w="0" w:type="dxa"/>
            <w:left w:w="0" w:type="dxa"/>
            <w:bottom w:w="0" w:type="dxa"/>
            <w:right w:w="0" w:type="dxa"/>
          </w:tblCellMar>
        </w:tblPrEx>
        <w:trPr>
          <w:trHeight w:val="634" w:hRule="exact"/>
        </w:trPr>
        <w:tc>
          <w:tcPr>
            <w:tcW w:w="8892" w:type="dxa"/>
            <w:gridSpan w:val="3"/>
            <w:tcBorders>
              <w:top w:val="single" w:color="010101" w:sz="4" w:space="0"/>
              <w:left w:val="single" w:color="010101" w:sz="4" w:space="0"/>
              <w:bottom w:val="single" w:color="010101" w:sz="4" w:space="0"/>
              <w:right w:val="single" w:color="010101" w:sz="4" w:space="0"/>
            </w:tcBorders>
          </w:tcPr>
          <w:p>
            <w:pPr>
              <w:pStyle w:val="27"/>
              <w:tabs>
                <w:tab w:val="left" w:pos="1484"/>
              </w:tabs>
              <w:spacing w:before="161"/>
              <w:ind w:left="103"/>
              <w:rPr>
                <w:rFonts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参照附录</w:t>
            </w:r>
            <w:r>
              <w:rPr>
                <w:rFonts w:cs="Calibri"/>
                <w:color w:val="000000" w:themeColor="text1"/>
                <w:sz w:val="24"/>
                <w:szCs w:val="24"/>
                <w:lang w:eastAsia="zh-CN"/>
                <w14:textFill>
                  <w14:solidFill>
                    <w14:schemeClr w14:val="tx1"/>
                  </w14:solidFill>
                </w14:textFill>
              </w:rPr>
              <w:t>5</w:t>
            </w:r>
            <w:r>
              <w:rPr>
                <w:rFonts w:cs="Calibri"/>
                <w:color w:val="000000" w:themeColor="text1"/>
                <w:sz w:val="24"/>
                <w:szCs w:val="24"/>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资格审查条件（分项负责人最低要求）的设置</w:t>
            </w:r>
          </w:p>
        </w:tc>
      </w:tr>
      <w:tr>
        <w:tblPrEx>
          <w:tblCellMar>
            <w:top w:w="0" w:type="dxa"/>
            <w:left w:w="0" w:type="dxa"/>
            <w:bottom w:w="0" w:type="dxa"/>
            <w:right w:w="0" w:type="dxa"/>
          </w:tblCellMar>
        </w:tblPrEx>
        <w:trPr>
          <w:trHeight w:val="635"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blPrEx>
          <w:tblCellMar>
            <w:top w:w="0" w:type="dxa"/>
            <w:left w:w="0" w:type="dxa"/>
            <w:bottom w:w="0" w:type="dxa"/>
            <w:right w:w="0" w:type="dxa"/>
          </w:tblCellMar>
        </w:tblPrEx>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5"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5"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5"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5"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r>
        <w:trPr>
          <w:trHeight w:val="634" w:hRule="exact"/>
        </w:trPr>
        <w:tc>
          <w:tcPr>
            <w:tcW w:w="2448"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2161"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c>
          <w:tcPr>
            <w:tcW w:w="4283" w:type="dxa"/>
            <w:tcBorders>
              <w:top w:val="single" w:color="010101" w:sz="4" w:space="0"/>
              <w:left w:val="single" w:color="010101" w:sz="4" w:space="0"/>
              <w:bottom w:val="single" w:color="010101" w:sz="4" w:space="0"/>
              <w:right w:val="single" w:color="010101" w:sz="4" w:space="0"/>
            </w:tcBorders>
          </w:tcPr>
          <w:p>
            <w:pPr>
              <w:rPr>
                <w:color w:val="000000" w:themeColor="text1"/>
                <w:lang w:eastAsia="zh-CN"/>
                <w14:textFill>
                  <w14:solidFill>
                    <w14:schemeClr w14:val="tx1"/>
                  </w14:solidFill>
                </w14:textFill>
              </w:rPr>
            </w:pPr>
          </w:p>
        </w:tc>
      </w:tr>
    </w:tbl>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spacing w:line="288" w:lineRule="auto"/>
        <w:rPr>
          <w:rFonts w:ascii="宋体" w:hAnsi="宋体" w:eastAsia="宋体" w:cs="宋体"/>
          <w:color w:val="000000" w:themeColor="text1"/>
          <w:sz w:val="18"/>
          <w:szCs w:val="18"/>
          <w:lang w:eastAsia="zh-CN"/>
          <w14:textFill>
            <w14:solidFill>
              <w14:schemeClr w14:val="tx1"/>
            </w14:solidFill>
          </w14:textFill>
        </w:rPr>
        <w:sectPr>
          <w:pgSz w:w="11910" w:h="16840"/>
          <w:pgMar w:top="1240" w:right="1380" w:bottom="1520" w:left="1400" w:header="968" w:footer="1338" w:gutter="0"/>
          <w:cols w:space="720" w:num="1"/>
        </w:sectPr>
      </w:pPr>
    </w:p>
    <w:p>
      <w:pPr>
        <w:spacing w:before="6"/>
        <w:rPr>
          <w:rFonts w:ascii="宋体" w:hAnsi="宋体" w:eastAsia="宋体" w:cs="宋体"/>
          <w:color w:val="000000" w:themeColor="text1"/>
          <w:sz w:val="15"/>
          <w:szCs w:val="15"/>
          <w:lang w:eastAsia="zh-CN"/>
          <w14:textFill>
            <w14:solidFill>
              <w14:schemeClr w14:val="tx1"/>
            </w14:solidFill>
          </w14:textFill>
        </w:rPr>
      </w:pPr>
    </w:p>
    <w:p>
      <w:pPr>
        <w:spacing w:before="26"/>
        <w:ind w:left="118" w:right="86"/>
        <w:rPr>
          <w:rFonts w:ascii="黑体" w:hAnsi="黑体" w:eastAsia="黑体" w:cs="黑体"/>
          <w:color w:val="000000" w:themeColor="text1"/>
          <w:sz w:val="24"/>
          <w:szCs w:val="24"/>
          <w:lang w:eastAsia="zh-CN"/>
          <w14:textFill>
            <w14:solidFill>
              <w14:schemeClr w14:val="tx1"/>
            </w14:solidFill>
          </w14:textFill>
        </w:rPr>
      </w:pPr>
      <w:r>
        <w:rPr>
          <w:rFonts w:ascii="黑体" w:hAnsi="黑体" w:eastAsia="黑体" w:cs="黑体"/>
          <w:b/>
          <w:bCs/>
          <w:color w:val="000000" w:themeColor="text1"/>
          <w:sz w:val="24"/>
          <w:szCs w:val="24"/>
          <w:lang w:eastAsia="zh-CN"/>
          <w14:textFill>
            <w14:solidFill>
              <w14:schemeClr w14:val="tx1"/>
            </w14:solidFill>
          </w14:textFill>
        </w:rPr>
        <w:t>附件四：履约保证金格式</w:t>
      </w:r>
    </w:p>
    <w:p>
      <w:pPr>
        <w:pStyle w:val="4"/>
        <w:spacing w:before="86"/>
        <w:ind w:right="86"/>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如采用银行保函，格式如下。</w:t>
      </w:r>
    </w:p>
    <w:p>
      <w:pPr>
        <w:rPr>
          <w:rFonts w:ascii="宋体" w:hAnsi="宋体" w:eastAsia="宋体" w:cs="宋体"/>
          <w:color w:val="000000" w:themeColor="text1"/>
          <w:sz w:val="20"/>
          <w:szCs w:val="20"/>
          <w:lang w:eastAsia="zh-CN"/>
          <w14:textFill>
            <w14:solidFill>
              <w14:schemeClr w14:val="tx1"/>
            </w14:solidFill>
          </w14:textFill>
        </w:rPr>
      </w:pPr>
    </w:p>
    <w:p>
      <w:pPr>
        <w:pStyle w:val="13"/>
        <w:spacing w:before="166"/>
        <w:ind w:left="133" w:right="20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履约保证金</w:t>
      </w:r>
    </w:p>
    <w:p>
      <w:pPr>
        <w:rPr>
          <w:rFonts w:ascii="黑体" w:hAnsi="黑体" w:eastAsia="黑体" w:cs="黑体"/>
          <w:color w:val="000000" w:themeColor="text1"/>
          <w:sz w:val="20"/>
          <w:szCs w:val="20"/>
          <w:lang w:eastAsia="zh-CN"/>
          <w14:textFill>
            <w14:solidFill>
              <w14:schemeClr w14:val="tx1"/>
            </w14:solidFill>
          </w14:textFill>
        </w:rPr>
      </w:pPr>
    </w:p>
    <w:p>
      <w:pPr>
        <w:spacing w:before="8"/>
        <w:rPr>
          <w:rFonts w:ascii="黑体" w:hAnsi="黑体" w:eastAsia="黑体" w:cs="黑体"/>
          <w:color w:val="000000" w:themeColor="text1"/>
          <w:sz w:val="15"/>
          <w:szCs w:val="15"/>
          <w:lang w:eastAsia="zh-CN"/>
          <w14:textFill>
            <w14:solidFill>
              <w14:schemeClr w14:val="tx1"/>
            </w14:solidFill>
          </w14:textFill>
        </w:rPr>
      </w:pPr>
    </w:p>
    <w:p>
      <w:pPr>
        <w:pStyle w:val="4"/>
        <w:tabs>
          <w:tab w:val="left" w:pos="2458"/>
        </w:tabs>
        <w:ind w:left="238" w:right="86"/>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（发包人名称</w:t>
      </w:r>
      <w:r>
        <w:rPr>
          <w:color w:val="000000" w:themeColor="text1"/>
          <w:spacing w:val="-120"/>
          <w:lang w:eastAsia="zh-CN"/>
          <w14:textFill>
            <w14:solidFill>
              <w14:schemeClr w14:val="tx1"/>
            </w14:solidFill>
          </w14:textFill>
        </w:rPr>
        <w:t>）</w:t>
      </w:r>
      <w:r>
        <w:rPr>
          <w:color w:val="000000" w:themeColor="text1"/>
          <w:lang w:eastAsia="zh-CN"/>
          <w14:textFill>
            <w14:solidFill>
              <w14:schemeClr w14:val="tx1"/>
            </w14:solidFill>
          </w14:textFill>
        </w:rPr>
        <w:t>：</w:t>
      </w:r>
    </w:p>
    <w:p>
      <w:pPr>
        <w:rPr>
          <w:rFonts w:ascii="宋体" w:hAnsi="宋体" w:eastAsia="宋体" w:cs="宋体"/>
          <w:color w:val="000000" w:themeColor="text1"/>
          <w:sz w:val="24"/>
          <w:szCs w:val="24"/>
          <w:lang w:eastAsia="zh-CN"/>
          <w14:textFill>
            <w14:solidFill>
              <w14:schemeClr w14:val="tx1"/>
            </w14:solidFill>
          </w14:textFill>
        </w:rPr>
      </w:pPr>
    </w:p>
    <w:p>
      <w:pPr>
        <w:pStyle w:val="4"/>
        <w:tabs>
          <w:tab w:val="left" w:pos="3010"/>
          <w:tab w:val="left" w:pos="7702"/>
          <w:tab w:val="left" w:pos="7947"/>
        </w:tabs>
        <w:spacing w:before="172" w:line="295" w:lineRule="auto"/>
        <w:ind w:right="194" w:firstLine="600"/>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鉴于</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12"/>
          <w:u w:val="single" w:color="010101"/>
          <w:lang w:eastAsia="zh-CN"/>
          <w14:textFill>
            <w14:solidFill>
              <w14:schemeClr w14:val="tx1"/>
            </w14:solidFill>
          </w14:textFill>
        </w:rPr>
        <w:t>（</w:t>
      </w:r>
      <w:r>
        <w:rPr>
          <w:color w:val="000000" w:themeColor="text1"/>
          <w:spacing w:val="-12"/>
          <w:lang w:eastAsia="zh-CN"/>
          <w14:textFill>
            <w14:solidFill>
              <w14:schemeClr w14:val="tx1"/>
            </w14:solidFill>
          </w14:textFill>
        </w:rPr>
        <w:t>发包人名称，以下简称</w:t>
      </w:r>
      <w:r>
        <w:rPr>
          <w:rFonts w:ascii="Times New Roman" w:hAnsi="Times New Roman" w:eastAsia="Times New Roman"/>
          <w:color w:val="000000" w:themeColor="text1"/>
          <w:spacing w:val="-12"/>
          <w:lang w:eastAsia="zh-CN"/>
          <w14:textFill>
            <w14:solidFill>
              <w14:schemeClr w14:val="tx1"/>
            </w14:solidFill>
          </w14:textFill>
        </w:rPr>
        <w:t>“</w:t>
      </w:r>
      <w:r>
        <w:rPr>
          <w:color w:val="000000" w:themeColor="text1"/>
          <w:spacing w:val="-12"/>
          <w:lang w:eastAsia="zh-CN"/>
          <w14:textFill>
            <w14:solidFill>
              <w14:schemeClr w14:val="tx1"/>
            </w14:solidFill>
          </w14:textFill>
        </w:rPr>
        <w:t>发包人</w:t>
      </w:r>
      <w:r>
        <w:rPr>
          <w:rFonts w:ascii="Times New Roman" w:hAnsi="Times New Roman" w:eastAsia="Times New Roman"/>
          <w:color w:val="000000" w:themeColor="text1"/>
          <w:spacing w:val="-12"/>
          <w:lang w:eastAsia="zh-CN"/>
          <w14:textFill>
            <w14:solidFill>
              <w14:schemeClr w14:val="tx1"/>
            </w14:solidFill>
          </w14:textFill>
        </w:rPr>
        <w:t>”</w:t>
      </w:r>
      <w:r>
        <w:rPr>
          <w:color w:val="000000" w:themeColor="text1"/>
          <w:spacing w:val="-12"/>
          <w:lang w:eastAsia="zh-CN"/>
          <w14:textFill>
            <w14:solidFill>
              <w14:schemeClr w14:val="tx1"/>
            </w14:solidFill>
          </w14:textFill>
        </w:rPr>
        <w:t>）接受</w:t>
      </w:r>
      <w:r>
        <w:rPr>
          <w:rFonts w:ascii="Times New Roman" w:hAnsi="Times New Roman" w:eastAsia="Times New Roman"/>
          <w:color w:val="000000" w:themeColor="text1"/>
          <w:spacing w:val="-12"/>
          <w:u w:val="single" w:color="010101"/>
          <w:lang w:eastAsia="zh-CN"/>
          <w14:textFill>
            <w14:solidFill>
              <w14:schemeClr w14:val="tx1"/>
            </w14:solidFill>
          </w14:textFill>
        </w:rPr>
        <w:tab/>
      </w:r>
      <w:r>
        <w:rPr>
          <w:rFonts w:ascii="Times New Roman" w:hAnsi="Times New Roman" w:eastAsia="Times New Roman"/>
          <w:color w:val="000000" w:themeColor="text1"/>
          <w:spacing w:val="-12"/>
          <w:u w:val="single" w:color="010101"/>
          <w:lang w:eastAsia="zh-CN"/>
          <w14:textFill>
            <w14:solidFill>
              <w14:schemeClr w14:val="tx1"/>
            </w14:solidFill>
          </w14:textFill>
        </w:rPr>
        <w:tab/>
      </w:r>
      <w:r>
        <w:rPr>
          <w:color w:val="000000" w:themeColor="text1"/>
          <w:u w:val="single" w:color="010101"/>
          <w:lang w:eastAsia="zh-CN"/>
          <w14:textFill>
            <w14:solidFill>
              <w14:schemeClr w14:val="tx1"/>
            </w14:solidFill>
          </w14:textFill>
        </w:rPr>
        <w:t>（</w:t>
      </w:r>
      <w:r>
        <w:rPr>
          <w:color w:val="000000" w:themeColor="text1"/>
          <w:lang w:eastAsia="zh-CN"/>
          <w14:textFill>
            <w14:solidFill>
              <w14:schemeClr w14:val="tx1"/>
            </w14:solidFill>
          </w14:textFill>
        </w:rPr>
        <w:t>设 计人名称，以下简称</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设计人</w:t>
      </w:r>
      <w:r>
        <w:rPr>
          <w:rFonts w:ascii="Times New Roman" w:hAnsi="Times New Roman" w:eastAsia="Times New Roman"/>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）于     年   月   日参加</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（项目 </w:t>
      </w:r>
      <w:r>
        <w:rPr>
          <w:color w:val="000000" w:themeColor="text1"/>
          <w:spacing w:val="-11"/>
          <w:lang w:eastAsia="zh-CN"/>
          <w14:textFill>
            <w14:solidFill>
              <w14:schemeClr w14:val="tx1"/>
            </w14:solidFill>
          </w14:textFill>
        </w:rPr>
        <w:t xml:space="preserve">名称） </w:t>
      </w:r>
      <w:r>
        <w:rPr>
          <w:color w:val="000000" w:themeColor="text1"/>
          <w:spacing w:val="-3"/>
          <w:lang w:eastAsia="zh-CN"/>
          <w14:textFill>
            <w14:solidFill>
              <w14:schemeClr w14:val="tx1"/>
            </w14:solidFill>
          </w14:textFill>
        </w:rPr>
        <w:t xml:space="preserve">标段勘察设计的投标。我方愿意无条件地、不可撤销地就设计人履行 </w:t>
      </w:r>
      <w:r>
        <w:rPr>
          <w:color w:val="000000" w:themeColor="text1"/>
          <w:lang w:eastAsia="zh-CN"/>
          <w14:textFill>
            <w14:solidFill>
              <w14:schemeClr w14:val="tx1"/>
            </w14:solidFill>
          </w14:textFill>
        </w:rPr>
        <w:t>与你方订立的合同，向你方提供担保。</w:t>
      </w:r>
    </w:p>
    <w:p>
      <w:pPr>
        <w:pStyle w:val="4"/>
        <w:tabs>
          <w:tab w:val="left" w:pos="5458"/>
          <w:tab w:val="left" w:pos="7738"/>
        </w:tabs>
        <w:spacing w:before="30"/>
        <w:ind w:left="598" w:right="86"/>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1.  </w:t>
      </w:r>
      <w:r>
        <w:rPr>
          <w:color w:val="000000" w:themeColor="text1"/>
          <w:spacing w:val="-1"/>
          <w:lang w:eastAsia="zh-CN"/>
          <w14:textFill>
            <w14:solidFill>
              <w14:schemeClr w14:val="tx1"/>
            </w14:solidFill>
          </w14:textFill>
        </w:rPr>
        <w:t>担保金额人民币（大写</w:t>
      </w:r>
      <w:r>
        <w:rPr>
          <w:color w:val="000000" w:themeColor="text1"/>
          <w:spacing w:val="1"/>
          <w:lang w:eastAsia="zh-CN"/>
          <w14:textFill>
            <w14:solidFill>
              <w14:schemeClr w14:val="tx1"/>
            </w14:solidFill>
          </w14:textFill>
        </w:rPr>
        <w:t>）</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元（</w:t>
      </w:r>
      <w:r>
        <w:rPr>
          <w:rFonts w:ascii="Times New Roman" w:hAnsi="Times New Roman" w:eastAsia="Times New Roman"/>
          <w:color w:val="000000" w:themeColor="text1"/>
          <w:lang w:eastAsia="zh-CN"/>
          <w14:textFill>
            <w14:solidFill>
              <w14:schemeClr w14:val="tx1"/>
            </w14:solidFill>
          </w14:textFill>
        </w:rPr>
        <w:t>¥</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120"/>
          <w:lang w:eastAsia="zh-CN"/>
          <w14:textFill>
            <w14:solidFill>
              <w14:schemeClr w14:val="tx1"/>
            </w14:solidFill>
          </w14:textFill>
        </w:rPr>
        <w:t>）</w:t>
      </w:r>
      <w:r>
        <w:rPr>
          <w:color w:val="000000" w:themeColor="text1"/>
          <w:lang w:eastAsia="zh-CN"/>
          <w14:textFill>
            <w14:solidFill>
              <w14:schemeClr w14:val="tx1"/>
            </w14:solidFill>
          </w14:textFill>
        </w:rPr>
        <w:t>。</w:t>
      </w:r>
    </w:p>
    <w:p>
      <w:pPr>
        <w:pStyle w:val="4"/>
        <w:spacing w:before="67" w:line="264" w:lineRule="auto"/>
        <w:ind w:right="193" w:firstLine="480"/>
        <w:jc w:val="both"/>
        <w:rPr>
          <w:color w:val="000000" w:themeColor="text1"/>
          <w:sz w:val="14"/>
          <w:szCs w:val="14"/>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2. </w:t>
      </w:r>
      <w:r>
        <w:rPr>
          <w:color w:val="000000" w:themeColor="text1"/>
          <w:spacing w:val="2"/>
          <w:lang w:eastAsia="zh-CN"/>
          <w14:textFill>
            <w14:solidFill>
              <w14:schemeClr w14:val="tx1"/>
            </w14:solidFill>
          </w14:textFill>
        </w:rPr>
        <w:t xml:space="preserve">担保有效期自发包人与设计人签订的合同生效之日起至发包人签收最后 </w:t>
      </w:r>
      <w:r>
        <w:rPr>
          <w:color w:val="000000" w:themeColor="text1"/>
          <w:lang w:eastAsia="zh-CN"/>
          <w14:textFill>
            <w14:solidFill>
              <w14:schemeClr w14:val="tx1"/>
            </w14:solidFill>
          </w14:textFill>
        </w:rPr>
        <w:t>一批勘察设计成果文件且设计人按照合同约定缴纳质量保证金之日止。</w:t>
      </w:r>
      <w:r>
        <w:rPr>
          <w:color w:val="000000" w:themeColor="text1"/>
          <w:position w:val="14"/>
          <w:sz w:val="14"/>
          <w:szCs w:val="14"/>
          <w:lang w:eastAsia="zh-CN"/>
          <w14:textFill>
            <w14:solidFill>
              <w14:schemeClr w14:val="tx1"/>
            </w14:solidFill>
          </w14:textFill>
        </w:rPr>
        <w:t>①</w:t>
      </w:r>
    </w:p>
    <w:p>
      <w:pPr>
        <w:pStyle w:val="4"/>
        <w:spacing w:before="68" w:line="297" w:lineRule="auto"/>
        <w:ind w:right="197"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3. </w:t>
      </w:r>
      <w:r>
        <w:rPr>
          <w:color w:val="000000" w:themeColor="text1"/>
          <w:spacing w:val="2"/>
          <w:lang w:eastAsia="zh-CN"/>
          <w14:textFill>
            <w14:solidFill>
              <w14:schemeClr w14:val="tx1"/>
            </w14:solidFill>
          </w14:textFill>
        </w:rPr>
        <w:t xml:space="preserve">在本担保有效期内，如果设计人不履行合同约定的义务或其履行不符合 </w:t>
      </w:r>
      <w:r>
        <w:rPr>
          <w:color w:val="000000" w:themeColor="text1"/>
          <w:spacing w:val="-3"/>
          <w:lang w:eastAsia="zh-CN"/>
          <w14:textFill>
            <w14:solidFill>
              <w14:schemeClr w14:val="tx1"/>
            </w14:solidFill>
          </w14:textFill>
        </w:rPr>
        <w:t xml:space="preserve">合同的约定，我方在收到你方以书面形式提出的在担保金额内的赔偿要求后，在 </w:t>
      </w:r>
      <w:r>
        <w:rPr>
          <w:rFonts w:ascii="Times New Roman" w:hAnsi="Times New Roman" w:eastAsia="Times New Roman"/>
          <w:color w:val="000000" w:themeColor="text1"/>
          <w:lang w:eastAsia="zh-CN"/>
          <w14:textFill>
            <w14:solidFill>
              <w14:schemeClr w14:val="tx1"/>
            </w14:solidFill>
          </w14:textFill>
        </w:rPr>
        <w:t>7</w:t>
      </w:r>
      <w:r>
        <w:rPr>
          <w:color w:val="000000" w:themeColor="text1"/>
          <w:lang w:eastAsia="zh-CN"/>
          <w14:textFill>
            <w14:solidFill>
              <w14:schemeClr w14:val="tx1"/>
            </w14:solidFill>
          </w14:textFill>
        </w:rPr>
        <w:t>日内无条件支付，无须你方出具证明或陈述理由。</w:t>
      </w:r>
    </w:p>
    <w:p>
      <w:pPr>
        <w:pStyle w:val="4"/>
        <w:spacing w:before="3" w:line="288" w:lineRule="auto"/>
        <w:ind w:right="194" w:firstLine="480"/>
        <w:jc w:val="both"/>
        <w:rPr>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 xml:space="preserve">4. </w:t>
      </w:r>
      <w:r>
        <w:rPr>
          <w:color w:val="000000" w:themeColor="text1"/>
          <w:spacing w:val="2"/>
          <w:lang w:eastAsia="zh-CN"/>
          <w14:textFill>
            <w14:solidFill>
              <w14:schemeClr w14:val="tx1"/>
            </w14:solidFill>
          </w14:textFill>
        </w:rPr>
        <w:t>发包人和设计人变更合同时，无论我方是否收到该变更，我方承担本担</w:t>
      </w:r>
      <w:r>
        <w:rPr>
          <w:color w:val="000000" w:themeColor="text1"/>
          <w:lang w:eastAsia="zh-CN"/>
          <w14:textFill>
            <w14:solidFill>
              <w14:schemeClr w14:val="tx1"/>
            </w14:solidFill>
          </w14:textFill>
        </w:rPr>
        <w:t>保规定的义务不变。</w:t>
      </w:r>
    </w:p>
    <w:p>
      <w:pPr>
        <w:rPr>
          <w:rFonts w:ascii="宋体" w:hAnsi="宋体" w:eastAsia="宋体" w:cs="宋体"/>
          <w:color w:val="000000" w:themeColor="text1"/>
          <w:sz w:val="24"/>
          <w:szCs w:val="24"/>
          <w:lang w:eastAsia="zh-CN"/>
          <w14:textFill>
            <w14:solidFill>
              <w14:schemeClr w14:val="tx1"/>
            </w14:solidFill>
          </w14:textFill>
        </w:rPr>
      </w:pPr>
    </w:p>
    <w:p>
      <w:pPr>
        <w:rPr>
          <w:rFonts w:ascii="宋体" w:hAnsi="宋体" w:eastAsia="宋体" w:cs="宋体"/>
          <w:color w:val="000000" w:themeColor="text1"/>
          <w:sz w:val="24"/>
          <w:szCs w:val="24"/>
          <w:lang w:eastAsia="zh-CN"/>
          <w14:textFill>
            <w14:solidFill>
              <w14:schemeClr w14:val="tx1"/>
            </w14:solidFill>
          </w14:textFill>
        </w:rPr>
      </w:pPr>
    </w:p>
    <w:p>
      <w:pPr>
        <w:pStyle w:val="4"/>
        <w:tabs>
          <w:tab w:val="left" w:pos="3718"/>
          <w:tab w:val="left" w:pos="7078"/>
          <w:tab w:val="left" w:pos="7438"/>
          <w:tab w:val="left" w:pos="8098"/>
        </w:tabs>
        <w:spacing w:before="210" w:line="304" w:lineRule="auto"/>
        <w:ind w:left="2998" w:right="103"/>
        <w:rPr>
          <w:rFonts w:ascii="Times New Roman" w:hAnsi="Times New Roman" w:eastAsia="Times New Roman"/>
          <w:color w:val="000000" w:themeColor="text1"/>
          <w:u w:val="single" w:color="010101"/>
          <w:lang w:eastAsia="zh-CN"/>
          <w14:textFill>
            <w14:solidFill>
              <w14:schemeClr w14:val="tx1"/>
            </w14:solidFill>
          </w14:textFill>
        </w:rPr>
      </w:pPr>
      <w:r>
        <w:rPr>
          <w:color w:val="000000" w:themeColor="text1"/>
          <w:lang w:eastAsia="zh-CN"/>
          <w14:textFill>
            <w14:solidFill>
              <w14:schemeClr w14:val="tx1"/>
            </w14:solidFill>
          </w14:textFill>
        </w:rPr>
        <w:t>担保人名称：</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（盖单位章） </w:t>
      </w:r>
      <w:r>
        <w:rPr>
          <w:color w:val="000000" w:themeColor="text1"/>
          <w:spacing w:val="-1"/>
          <w:lang w:eastAsia="zh-CN"/>
          <w14:textFill>
            <w14:solidFill>
              <w14:schemeClr w14:val="tx1"/>
            </w14:solidFill>
          </w14:textFill>
        </w:rPr>
        <w:t>法定代表人或其委托代理人：</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 xml:space="preserve">（签字） </w:t>
      </w:r>
      <w:r>
        <w:rPr>
          <w:color w:val="000000" w:themeColor="text1"/>
          <w:lang w:eastAsia="zh-CN"/>
          <w14:textFill>
            <w14:solidFill>
              <w14:schemeClr w14:val="tx1"/>
            </w14:solidFill>
          </w14:textFill>
        </w:rPr>
        <w:t>地</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址：</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p>
    <w:p>
      <w:pPr>
        <w:pStyle w:val="4"/>
        <w:tabs>
          <w:tab w:val="left" w:pos="3718"/>
          <w:tab w:val="left" w:pos="7078"/>
          <w:tab w:val="left" w:pos="7438"/>
          <w:tab w:val="left" w:pos="8098"/>
        </w:tabs>
        <w:spacing w:before="210" w:line="304" w:lineRule="auto"/>
        <w:ind w:left="2998" w:right="103"/>
        <w:rPr>
          <w:rFonts w:ascii="Times New Roman" w:hAns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邮政编码：</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p>
    <w:p>
      <w:pPr>
        <w:pStyle w:val="4"/>
        <w:tabs>
          <w:tab w:val="left" w:pos="3718"/>
          <w:tab w:val="left" w:pos="8141"/>
        </w:tabs>
        <w:spacing w:before="22" w:line="304" w:lineRule="auto"/>
        <w:ind w:left="2998" w:right="463"/>
        <w:rPr>
          <w:color w:val="000000" w:themeColor="text1"/>
          <w:u w:val="single"/>
          <w:lang w:eastAsia="zh-CN"/>
          <w14:textFill>
            <w14:solidFill>
              <w14:schemeClr w14:val="tx1"/>
            </w14:solidFill>
          </w14:textFill>
        </w:rPr>
      </w:pPr>
      <w:r>
        <w:rPr>
          <w:color w:val="000000" w:themeColor="text1"/>
          <w:lang w:eastAsia="zh-CN"/>
          <w14:textFill>
            <w14:solidFill>
              <w14:schemeClr w14:val="tx1"/>
            </w14:solidFill>
          </w14:textFill>
        </w:rPr>
        <w:t>电</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话：</w:t>
      </w:r>
      <w:r>
        <w:rPr>
          <w:rFonts w:hint="eastAsia"/>
          <w:color w:val="000000" w:themeColor="text1"/>
          <w:u w:val="single"/>
          <w:lang w:eastAsia="zh-CN"/>
          <w14:textFill>
            <w14:solidFill>
              <w14:schemeClr w14:val="tx1"/>
            </w14:solidFill>
          </w14:textFill>
        </w:rPr>
        <w:t xml:space="preserve">                          </w:t>
      </w:r>
    </w:p>
    <w:p>
      <w:pPr>
        <w:pStyle w:val="4"/>
        <w:tabs>
          <w:tab w:val="left" w:pos="3718"/>
          <w:tab w:val="left" w:pos="8141"/>
        </w:tabs>
        <w:spacing w:before="22" w:line="304" w:lineRule="auto"/>
        <w:ind w:left="2998" w:right="463"/>
        <w:rPr>
          <w:rFonts w:ascii="Times New Roman" w:hAns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传</w:t>
      </w:r>
      <w:r>
        <w:rPr>
          <w:color w:val="000000" w:themeColor="text1"/>
          <w:lang w:eastAsia="zh-CN"/>
          <w14:textFill>
            <w14:solidFill>
              <w14:schemeClr w14:val="tx1"/>
            </w14:solidFill>
          </w14:textFill>
        </w:rPr>
        <w:tab/>
      </w:r>
      <w:r>
        <w:rPr>
          <w:color w:val="000000" w:themeColor="text1"/>
          <w:lang w:eastAsia="zh-CN"/>
          <w14:textFill>
            <w14:solidFill>
              <w14:schemeClr w14:val="tx1"/>
            </w14:solidFill>
          </w14:textFill>
        </w:rPr>
        <w:t>真：</w:t>
      </w:r>
      <w:r>
        <w:rPr>
          <w:rFonts w:ascii="Times New Roman" w:hAnsi="Times New Roman" w:eastAsia="Times New Roman"/>
          <w:color w:val="000000" w:themeColor="text1"/>
          <w:u w:val="single" w:color="010101"/>
          <w:lang w:eastAsia="zh-CN"/>
          <w14:textFill>
            <w14:solidFill>
              <w14:schemeClr w14:val="tx1"/>
            </w14:solidFill>
          </w14:textFill>
        </w:rPr>
        <w:tab/>
      </w:r>
    </w:p>
    <w:p>
      <w:pPr>
        <w:ind w:firstLine="3520" w:firstLineChars="1600"/>
        <w:rPr>
          <w:lang w:eastAsia="zh-CN"/>
        </w:rPr>
      </w:pPr>
      <w:r>
        <w:rPr>
          <w:rFonts w:ascii="Times New Roman" w:hAnsi="Times New Roman" w:eastAsia="Times New Roman"/>
          <w:color w:val="000000" w:themeColor="text1"/>
          <w:u w:val="single" w:color="010101"/>
          <w:lang w:eastAsia="zh-CN"/>
          <w14:textFill>
            <w14:solidFill>
              <w14:schemeClr w14:val="tx1"/>
            </w14:solidFill>
          </w14:textFill>
        </w:rPr>
        <w:tab/>
      </w:r>
      <w:r>
        <w:rPr>
          <w:rFonts w:hint="eastAsia" w:ascii="Times New Roman" w:hAnsi="Times New Roman" w:eastAsia="宋体"/>
          <w:color w:val="000000" w:themeColor="text1"/>
          <w:u w:val="single" w:color="010101"/>
          <w:lang w:eastAsia="zh-CN"/>
          <w14:textFill>
            <w14:solidFill>
              <w14:schemeClr w14:val="tx1"/>
            </w14:solidFill>
          </w14:textFill>
        </w:rPr>
        <w:t xml:space="preserve">  </w:t>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rFonts w:hint="eastAsia" w:ascii="Times New Roman" w:hAnsi="Times New Roman" w:eastAsia="宋体"/>
          <w:color w:val="000000" w:themeColor="text1"/>
          <w:u w:val="single" w:color="010101"/>
          <w:lang w:eastAsia="zh-CN"/>
          <w14:textFill>
            <w14:solidFill>
              <w14:schemeClr w14:val="tx1"/>
            </w14:solidFill>
          </w14:textFill>
        </w:rPr>
        <w:t xml:space="preserve"> </w:t>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rFonts w:hint="eastAsia" w:ascii="Times New Roman" w:hAnsi="Times New Roman" w:eastAsia="宋体"/>
          <w:color w:val="000000" w:themeColor="text1"/>
          <w:u w:val="single" w:color="010101"/>
          <w:lang w:eastAsia="zh-CN"/>
          <w14:textFill>
            <w14:solidFill>
              <w14:schemeClr w14:val="tx1"/>
            </w14:solidFill>
          </w14:textFill>
        </w:rPr>
        <w:t xml:space="preserve">    </w:t>
      </w:r>
      <w:r>
        <w:rPr>
          <w:color w:val="000000" w:themeColor="text1"/>
          <w:lang w:eastAsia="zh-CN"/>
          <w14:textFill>
            <w14:solidFill>
              <w14:schemeClr w14:val="tx1"/>
            </w14:solidFill>
          </w14:textFill>
        </w:rPr>
        <w:t>日</w:t>
      </w:r>
      <w:r>
        <w:rPr>
          <w:lang w:eastAsia="zh-CN"/>
        </w:rPr>
        <w:br w:type="page"/>
      </w:r>
    </w:p>
    <w:p>
      <w:pPr>
        <w:pStyle w:val="3"/>
        <w:rPr>
          <w:lang w:eastAsia="zh-CN"/>
        </w:rPr>
      </w:pPr>
    </w:p>
    <w:p>
      <w:pPr>
        <w:rPr>
          <w:rFonts w:ascii="宋体" w:hAnsi="宋体" w:eastAsia="宋体" w:cs="宋体"/>
          <w:color w:val="000000" w:themeColor="text1"/>
          <w:sz w:val="20"/>
          <w:szCs w:val="20"/>
          <w:lang w:eastAsia="zh-CN"/>
          <w14:textFill>
            <w14:solidFill>
              <w14:schemeClr w14:val="tx1"/>
            </w14:solidFill>
          </w14:textFill>
        </w:rPr>
      </w:pPr>
    </w:p>
    <w:p>
      <w:pPr>
        <w:rPr>
          <w:rFonts w:ascii="宋体" w:hAnsi="宋体" w:eastAsia="宋体" w:cs="宋体"/>
          <w:color w:val="000000" w:themeColor="text1"/>
          <w:sz w:val="20"/>
          <w:szCs w:val="20"/>
          <w:lang w:eastAsia="zh-CN"/>
          <w14:textFill>
            <w14:solidFill>
              <w14:schemeClr w14:val="tx1"/>
            </w14:solidFill>
          </w14:textFill>
        </w:rPr>
      </w:pPr>
    </w:p>
    <w:p>
      <w:pPr>
        <w:spacing w:before="5"/>
        <w:rPr>
          <w:rFonts w:ascii="宋体" w:hAnsi="宋体" w:eastAsia="宋体" w:cs="宋体"/>
          <w:color w:val="000000" w:themeColor="text1"/>
          <w:sz w:val="19"/>
          <w:szCs w:val="19"/>
          <w:lang w:eastAsia="zh-CN"/>
          <w14:textFill>
            <w14:solidFill>
              <w14:schemeClr w14:val="tx1"/>
            </w14:solidFill>
          </w14:textFill>
        </w:rPr>
      </w:pPr>
    </w:p>
    <w:p>
      <w:pPr>
        <w:pStyle w:val="8"/>
        <w:tabs>
          <w:tab w:val="left" w:pos="4093"/>
        </w:tabs>
        <w:spacing w:line="460" w:lineRule="exact"/>
        <w:ind w:left="2648" w:right="106"/>
        <w:rPr>
          <w:b w:val="0"/>
          <w:bCs w:val="0"/>
          <w:color w:val="000000" w:themeColor="text1"/>
          <w:lang w:eastAsia="zh-CN"/>
          <w14:textFill>
            <w14:solidFill>
              <w14:schemeClr w14:val="tx1"/>
            </w14:solidFill>
          </w14:textFill>
        </w:rPr>
      </w:pPr>
      <w:bookmarkStart w:id="33" w:name="_TOC_250001"/>
      <w:r>
        <w:rPr>
          <w:color w:val="000000" w:themeColor="text1"/>
          <w:w w:val="95"/>
          <w:lang w:eastAsia="zh-CN"/>
          <w14:textFill>
            <w14:solidFill>
              <w14:schemeClr w14:val="tx1"/>
            </w14:solidFill>
          </w14:textFill>
        </w:rPr>
        <w:t>第五章</w:t>
      </w:r>
      <w:r>
        <w:rPr>
          <w:color w:val="000000" w:themeColor="text1"/>
          <w:w w:val="95"/>
          <w:lang w:eastAsia="zh-CN"/>
          <w14:textFill>
            <w14:solidFill>
              <w14:schemeClr w14:val="tx1"/>
            </w14:solidFill>
          </w14:textFill>
        </w:rPr>
        <w:tab/>
      </w:r>
      <w:r>
        <w:rPr>
          <w:color w:val="000000" w:themeColor="text1"/>
          <w:lang w:eastAsia="zh-CN"/>
          <w14:textFill>
            <w14:solidFill>
              <w14:schemeClr w14:val="tx1"/>
            </w14:solidFill>
          </w14:textFill>
        </w:rPr>
        <w:t>发包人要求</w:t>
      </w:r>
      <w:bookmarkEnd w:id="33"/>
    </w:p>
    <w:p>
      <w:pPr>
        <w:spacing w:line="460" w:lineRule="exact"/>
        <w:rPr>
          <w:color w:val="000000" w:themeColor="text1"/>
          <w:lang w:eastAsia="zh-CN"/>
          <w14:textFill>
            <w14:solidFill>
              <w14:schemeClr w14:val="tx1"/>
            </w14:solidFill>
          </w14:textFill>
        </w:rPr>
      </w:pPr>
    </w:p>
    <w:p>
      <w:pPr>
        <w:spacing w:before="13"/>
        <w:rPr>
          <w:rFonts w:ascii="黑体" w:hAnsi="黑体" w:eastAsia="黑体" w:cs="黑体"/>
          <w:b/>
          <w:bCs/>
          <w:color w:val="000000" w:themeColor="text1"/>
          <w:sz w:val="10"/>
          <w:szCs w:val="10"/>
          <w:lang w:eastAsia="zh-CN"/>
          <w14:textFill>
            <w14:solidFill>
              <w14:schemeClr w14:val="tx1"/>
            </w14:solidFill>
          </w14:textFill>
        </w:rPr>
      </w:pPr>
    </w:p>
    <w:p>
      <w:pPr>
        <w:spacing w:before="306" w:line="227" w:lineRule="auto"/>
        <w:ind w:left="497"/>
        <w:outlineLvl w:val="6"/>
        <w:rPr>
          <w:rFonts w:ascii="宋体" w:hAnsi="宋体" w:cs="宋体"/>
          <w:sz w:val="23"/>
          <w:szCs w:val="23"/>
          <w:lang w:eastAsia="zh-CN"/>
        </w:rPr>
      </w:pPr>
      <w:r>
        <w:rPr>
          <w:rFonts w:ascii="宋体" w:hAnsi="宋体" w:cs="宋体"/>
          <w:spacing w:val="8"/>
          <w:sz w:val="23"/>
          <w:szCs w:val="23"/>
          <w:lang w:eastAsia="zh-CN"/>
          <w14:textOutline w14:w="4356" w14:cap="sq" w14:cmpd="sng" w14:algn="ctr">
            <w14:solidFill>
              <w14:srgbClr w14:val="000000"/>
            </w14:solidFill>
            <w14:prstDash w14:val="solid"/>
            <w14:bevel/>
          </w14:textOutline>
        </w:rPr>
        <w:t>1.</w:t>
      </w:r>
      <w:r>
        <w:rPr>
          <w:rFonts w:ascii="宋体" w:hAnsi="宋体" w:cs="宋体"/>
          <w:spacing w:val="8"/>
          <w:sz w:val="23"/>
          <w:szCs w:val="23"/>
          <w:lang w:eastAsia="zh-CN"/>
        </w:rPr>
        <w:t xml:space="preserve"> </w:t>
      </w:r>
      <w:r>
        <w:rPr>
          <w:rFonts w:ascii="宋体" w:hAnsi="宋体" w:cs="宋体"/>
          <w:spacing w:val="8"/>
          <w:sz w:val="23"/>
          <w:szCs w:val="23"/>
          <w:lang w:eastAsia="zh-CN"/>
          <w14:textOutline w14:w="4356" w14:cap="sq" w14:cmpd="sng" w14:algn="ctr">
            <w14:solidFill>
              <w14:srgbClr w14:val="000000"/>
            </w14:solidFill>
            <w14:prstDash w14:val="solid"/>
            <w14:bevel/>
          </w14:textOutline>
        </w:rPr>
        <w:t>勘察设计技术标准与规</w:t>
      </w:r>
      <w:r>
        <w:rPr>
          <w:rFonts w:ascii="宋体" w:hAnsi="宋体" w:cs="宋体"/>
          <w:spacing w:val="5"/>
          <w:sz w:val="23"/>
          <w:szCs w:val="23"/>
          <w:lang w:eastAsia="zh-CN"/>
          <w14:textOutline w14:w="4356" w14:cap="sq" w14:cmpd="sng" w14:algn="ctr">
            <w14:solidFill>
              <w14:srgbClr w14:val="000000"/>
            </w14:solidFill>
            <w14:prstDash w14:val="solid"/>
            <w14:bevel/>
          </w14:textOutline>
        </w:rPr>
        <w:t>范</w:t>
      </w:r>
    </w:p>
    <w:p>
      <w:pPr>
        <w:spacing w:before="186" w:line="360" w:lineRule="auto"/>
        <w:ind w:right="8" w:firstLine="480"/>
        <w:rPr>
          <w:rFonts w:ascii="宋体" w:hAnsi="宋体" w:cs="宋体"/>
          <w:sz w:val="23"/>
          <w:szCs w:val="23"/>
          <w:lang w:eastAsia="zh-CN"/>
        </w:rPr>
      </w:pPr>
      <w:r>
        <w:rPr>
          <w:rFonts w:ascii="宋体" w:hAnsi="宋体" w:cs="宋体"/>
          <w:spacing w:val="21"/>
          <w:sz w:val="23"/>
          <w:szCs w:val="23"/>
          <w:lang w:eastAsia="zh-CN"/>
        </w:rPr>
        <w:t>本</w:t>
      </w:r>
      <w:r>
        <w:rPr>
          <w:rFonts w:ascii="宋体" w:hAnsi="宋体" w:cs="宋体"/>
          <w:spacing w:val="15"/>
          <w:sz w:val="23"/>
          <w:szCs w:val="23"/>
          <w:lang w:eastAsia="zh-CN"/>
        </w:rPr>
        <w:t>工程的勘察设计过程和成果必须符合国家有关工程建设标准强制性条文和交通运输部关于水运工程勘察设计方面现行标准及招标项目所在地关于水运工程勘察设</w:t>
      </w:r>
      <w:r>
        <w:rPr>
          <w:rFonts w:ascii="宋体" w:hAnsi="宋体" w:cs="宋体"/>
          <w:spacing w:val="12"/>
          <w:sz w:val="23"/>
          <w:szCs w:val="23"/>
          <w:lang w:eastAsia="zh-CN"/>
        </w:rPr>
        <w:t>计</w:t>
      </w:r>
      <w:r>
        <w:rPr>
          <w:rFonts w:ascii="宋体" w:hAnsi="宋体" w:cs="宋体"/>
          <w:spacing w:val="8"/>
          <w:sz w:val="23"/>
          <w:szCs w:val="23"/>
          <w:lang w:eastAsia="zh-CN"/>
        </w:rPr>
        <w:t>方面的文件、规定</w:t>
      </w:r>
      <w:r>
        <w:rPr>
          <w:rFonts w:ascii="宋体" w:hAnsi="宋体" w:cs="宋体"/>
          <w:spacing w:val="6"/>
          <w:sz w:val="23"/>
          <w:szCs w:val="23"/>
          <w:lang w:eastAsia="zh-CN"/>
        </w:rPr>
        <w:t>。</w:t>
      </w:r>
    </w:p>
    <w:p>
      <w:pPr>
        <w:spacing w:before="186" w:line="360" w:lineRule="auto"/>
        <w:ind w:right="8" w:firstLine="480"/>
        <w:rPr>
          <w:rFonts w:ascii="宋体" w:hAnsi="宋体" w:cs="宋体"/>
          <w:spacing w:val="15"/>
          <w:sz w:val="23"/>
          <w:szCs w:val="23"/>
          <w:lang w:eastAsia="zh-CN"/>
        </w:rPr>
      </w:pPr>
      <w:r>
        <w:rPr>
          <w:rFonts w:ascii="宋体" w:hAnsi="宋体" w:cs="宋体"/>
          <w:spacing w:val="15"/>
          <w:sz w:val="23"/>
          <w:szCs w:val="23"/>
          <w:lang w:eastAsia="zh-CN"/>
        </w:rPr>
        <w:t>设计人在勘察设计工作中使用或参考上述标准以外的技术标准时，应征得甲方(发包人或发包人的指定代表人)的同意。</w:t>
      </w:r>
    </w:p>
    <w:p>
      <w:pPr>
        <w:spacing w:before="186" w:line="360" w:lineRule="auto"/>
        <w:ind w:right="8" w:firstLine="480"/>
        <w:rPr>
          <w:rFonts w:ascii="宋体" w:hAnsi="宋体" w:cs="宋体"/>
          <w:spacing w:val="15"/>
          <w:sz w:val="23"/>
          <w:szCs w:val="23"/>
          <w:lang w:eastAsia="zh-CN"/>
        </w:rPr>
      </w:pPr>
      <w:r>
        <w:rPr>
          <w:rFonts w:ascii="宋体" w:hAnsi="宋体" w:cs="宋体"/>
          <w:spacing w:val="15"/>
          <w:sz w:val="23"/>
          <w:szCs w:val="23"/>
          <w:lang w:eastAsia="zh-CN"/>
        </w:rPr>
        <w:t>设计人在勘察设计工作中必须使用中华人民共和国《工程建设标准强制性条文》。</w:t>
      </w:r>
    </w:p>
    <w:p>
      <w:pPr>
        <w:spacing w:line="360" w:lineRule="auto"/>
        <w:rPr>
          <w:rFonts w:ascii="Times New Roman" w:hAnsi="Times New Roman" w:eastAsia="Times New Roman"/>
          <w:color w:val="000000" w:themeColor="text1"/>
          <w:sz w:val="20"/>
          <w:szCs w:val="20"/>
          <w:lang w:eastAsia="zh-CN"/>
          <w14:textFill>
            <w14:solidFill>
              <w14:schemeClr w14:val="tx1"/>
            </w14:solidFill>
          </w14:textFill>
        </w:rPr>
      </w:pPr>
      <w:r>
        <w:rPr>
          <w:rFonts w:ascii="宋体" w:hAnsi="宋体" w:cs="宋体"/>
          <w:spacing w:val="15"/>
          <w:sz w:val="23"/>
          <w:szCs w:val="23"/>
          <w:lang w:eastAsia="zh-CN"/>
        </w:rPr>
        <w:t>在勘察设计过程中，如果国家或有关部门颁布了新的技术标准，则设计人应采用新的标准进行勘察设计。</w:t>
      </w:r>
    </w:p>
    <w:p>
      <w:pPr>
        <w:spacing w:line="360" w:lineRule="auto"/>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pStyle w:val="2"/>
        <w:ind w:left="440" w:firstLine="440"/>
        <w:rPr>
          <w:lang w:eastAsia="zh-CN"/>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rPr>
          <w:rFonts w:ascii="Times New Roman" w:hAnsi="Times New Roman" w:eastAsia="Times New Roman"/>
          <w:color w:val="000000" w:themeColor="text1"/>
          <w:sz w:val="20"/>
          <w:szCs w:val="20"/>
          <w:lang w:eastAsia="zh-CN"/>
          <w14:textFill>
            <w14:solidFill>
              <w14:schemeClr w14:val="tx1"/>
            </w14:solidFill>
          </w14:textFill>
        </w:rPr>
      </w:pPr>
    </w:p>
    <w:p>
      <w:pPr>
        <w:spacing w:before="8"/>
        <w:rPr>
          <w:rFonts w:ascii="Times New Roman" w:hAnsi="Times New Roman" w:eastAsia="Times New Roman"/>
          <w:color w:val="000000" w:themeColor="text1"/>
          <w:sz w:val="16"/>
          <w:szCs w:val="16"/>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bookmarkStart w:id="34" w:name="_TOC_250000"/>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color w:val="000000" w:themeColor="text1"/>
          <w:w w:val="95"/>
          <w:lang w:eastAsia="zh-CN"/>
          <w14:textFill>
            <w14:solidFill>
              <w14:schemeClr w14:val="tx1"/>
            </w14:solidFill>
          </w14:textFill>
        </w:rPr>
      </w:pPr>
    </w:p>
    <w:p>
      <w:pPr>
        <w:pStyle w:val="8"/>
        <w:tabs>
          <w:tab w:val="left" w:pos="3912"/>
        </w:tabs>
        <w:spacing w:line="460" w:lineRule="exact"/>
        <w:ind w:left="2467" w:right="106"/>
        <w:rPr>
          <w:b w:val="0"/>
          <w:bCs w:val="0"/>
          <w:color w:val="000000" w:themeColor="text1"/>
          <w:lang w:eastAsia="zh-CN"/>
          <w14:textFill>
            <w14:solidFill>
              <w14:schemeClr w14:val="tx1"/>
            </w14:solidFill>
          </w14:textFill>
        </w:rPr>
      </w:pPr>
      <w:r>
        <w:rPr>
          <w:color w:val="000000" w:themeColor="text1"/>
          <w:w w:val="95"/>
          <w:lang w:eastAsia="zh-CN"/>
          <w14:textFill>
            <w14:solidFill>
              <w14:schemeClr w14:val="tx1"/>
            </w14:solidFill>
          </w14:textFill>
        </w:rPr>
        <w:t>第六章</w:t>
      </w:r>
      <w:r>
        <w:rPr>
          <w:color w:val="000000" w:themeColor="text1"/>
          <w:w w:val="95"/>
          <w:lang w:eastAsia="zh-CN"/>
          <w14:textFill>
            <w14:solidFill>
              <w14:schemeClr w14:val="tx1"/>
            </w14:solidFill>
          </w14:textFill>
        </w:rPr>
        <w:tab/>
      </w:r>
      <w:r>
        <w:rPr>
          <w:color w:val="000000" w:themeColor="text1"/>
          <w:lang w:eastAsia="zh-CN"/>
          <w14:textFill>
            <w14:solidFill>
              <w14:schemeClr w14:val="tx1"/>
            </w14:solidFill>
          </w14:textFill>
        </w:rPr>
        <w:t>投标文件格式</w:t>
      </w:r>
      <w:bookmarkEnd w:id="34"/>
    </w:p>
    <w:p>
      <w:pPr>
        <w:spacing w:line="460" w:lineRule="exact"/>
        <w:rPr>
          <w:color w:val="000000" w:themeColor="text1"/>
          <w:lang w:eastAsia="zh-CN"/>
          <w14:textFill>
            <w14:solidFill>
              <w14:schemeClr w14:val="tx1"/>
            </w14:solidFill>
          </w14:textFill>
        </w:rPr>
        <w:sectPr>
          <w:footerReference r:id="rId16" w:type="default"/>
          <w:pgSz w:w="11910" w:h="16840"/>
          <w:pgMar w:top="1240" w:right="1680" w:bottom="1520" w:left="1680" w:header="968" w:footer="1338" w:gutter="0"/>
          <w:cols w:space="720" w:num="1"/>
        </w:sectPr>
      </w:pPr>
    </w:p>
    <w:p>
      <w:pPr>
        <w:rPr>
          <w:rFonts w:ascii="黑体" w:hAnsi="黑体" w:eastAsia="黑体" w:cs="黑体"/>
          <w:b/>
          <w:bCs/>
          <w:color w:val="000000" w:themeColor="text1"/>
          <w:sz w:val="20"/>
          <w:szCs w:val="20"/>
          <w:lang w:eastAsia="zh-CN"/>
          <w14:textFill>
            <w14:solidFill>
              <w14:schemeClr w14:val="tx1"/>
            </w14:solidFill>
          </w14:textFill>
        </w:rPr>
      </w:pPr>
    </w:p>
    <w:p>
      <w:pPr>
        <w:rPr>
          <w:b/>
          <w:bCs/>
          <w:color w:val="000000" w:themeColor="text1"/>
          <w:sz w:val="32"/>
          <w:szCs w:val="32"/>
          <w:lang w:eastAsia="zh-CN"/>
          <w14:textFill>
            <w14:solidFill>
              <w14:schemeClr w14:val="tx1"/>
            </w14:solidFill>
          </w14:textFill>
        </w:rPr>
      </w:pPr>
      <w:r>
        <w:rPr>
          <w:rFonts w:hint="eastAsia"/>
          <w:b/>
          <w:bCs/>
          <w:color w:val="000000" w:themeColor="text1"/>
          <w:sz w:val="30"/>
          <w:szCs w:val="30"/>
          <w:lang w:eastAsia="zh-CN"/>
          <w14:textFill>
            <w14:solidFill>
              <w14:schemeClr w14:val="tx1"/>
            </w14:solidFill>
          </w14:textFill>
        </w:rPr>
        <w:t>商务文件封面格式</w:t>
      </w:r>
    </w:p>
    <w:p>
      <w:pPr>
        <w:spacing w:line="1000" w:lineRule="exact"/>
        <w:rPr>
          <w:rFonts w:ascii="黑体" w:eastAsia="黑体"/>
          <w:b/>
          <w:color w:val="000000" w:themeColor="text1"/>
          <w:spacing w:val="40"/>
          <w:sz w:val="52"/>
          <w:szCs w:val="52"/>
          <w:lang w:eastAsia="zh-CN"/>
          <w14:textFill>
            <w14:solidFill>
              <w14:schemeClr w14:val="tx1"/>
            </w14:solidFill>
          </w14:textFill>
        </w:rPr>
      </w:pPr>
    </w:p>
    <w:p>
      <w:pPr>
        <w:pStyle w:val="16"/>
        <w:spacing w:line="360" w:lineRule="auto"/>
        <w:ind w:firstLine="390" w:firstLineChars="108"/>
        <w:rPr>
          <w:rFonts w:ascii="黑体"/>
          <w:b/>
          <w:color w:val="000000" w:themeColor="text1"/>
          <w:sz w:val="36"/>
          <w:szCs w:val="36"/>
          <w:lang w:eastAsia="zh-CN"/>
          <w14:textFill>
            <w14:solidFill>
              <w14:schemeClr w14:val="tx1"/>
            </w14:solidFill>
          </w14:textFill>
        </w:rPr>
      </w:pPr>
      <w:r>
        <w:rPr>
          <w:rFonts w:hint="eastAsia" w:ascii="宋体" w:hAnsi="宋体" w:cs="宋体"/>
          <w:b/>
          <w:sz w:val="36"/>
          <w:szCs w:val="36"/>
          <w:lang w:eastAsia="zh-CN"/>
        </w:rPr>
        <w:t>阳西县儒洞镇边海村进村大桥工程勘察设计</w:t>
      </w:r>
      <w:r>
        <w:rPr>
          <w:rFonts w:hint="eastAsia" w:ascii="黑体"/>
          <w:b/>
          <w:color w:val="000000" w:themeColor="text1"/>
          <w:sz w:val="36"/>
          <w:szCs w:val="36"/>
          <w:lang w:eastAsia="zh-CN"/>
          <w14:textFill>
            <w14:solidFill>
              <w14:schemeClr w14:val="tx1"/>
            </w14:solidFill>
          </w14:textFill>
        </w:rPr>
        <w:t>招标</w:t>
      </w:r>
    </w:p>
    <w:p>
      <w:pPr>
        <w:spacing w:line="360" w:lineRule="auto"/>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ind w:firstLine="480"/>
        <w:jc w:val="center"/>
        <w:rPr>
          <w:b/>
          <w:color w:val="000000" w:themeColor="text1"/>
          <w:sz w:val="36"/>
          <w:szCs w:val="36"/>
          <w:lang w:eastAsia="zh-CN"/>
          <w14:textFill>
            <w14:solidFill>
              <w14:schemeClr w14:val="tx1"/>
            </w14:solidFill>
          </w14:textFill>
        </w:rPr>
      </w:pPr>
      <w:r>
        <w:rPr>
          <w:rFonts w:hint="eastAsia"/>
          <w:b/>
          <w:color w:val="000000" w:themeColor="text1"/>
          <w:sz w:val="44"/>
          <w:szCs w:val="44"/>
          <w:lang w:eastAsia="zh-CN"/>
          <w14:textFill>
            <w14:solidFill>
              <w14:schemeClr w14:val="tx1"/>
            </w14:solidFill>
          </w14:textFill>
        </w:rPr>
        <w:t>投标文件</w:t>
      </w:r>
    </w:p>
    <w:p>
      <w:pPr>
        <w:ind w:firstLine="480"/>
        <w:jc w:val="center"/>
        <w:rPr>
          <w:b/>
          <w:color w:val="000000" w:themeColor="text1"/>
          <w:sz w:val="36"/>
          <w:szCs w:val="36"/>
          <w:u w:val="single"/>
          <w:lang w:eastAsia="zh-CN"/>
          <w14:textFill>
            <w14:solidFill>
              <w14:schemeClr w14:val="tx1"/>
            </w14:solidFill>
          </w14:textFill>
        </w:rPr>
      </w:pPr>
    </w:p>
    <w:p>
      <w:pPr>
        <w:ind w:firstLine="480"/>
        <w:jc w:val="center"/>
        <w:rPr>
          <w:b/>
          <w:color w:val="000000" w:themeColor="text1"/>
          <w:sz w:val="36"/>
          <w:szCs w:val="36"/>
          <w:lang w:eastAsia="zh-CN"/>
          <w14:textFill>
            <w14:solidFill>
              <w14:schemeClr w14:val="tx1"/>
            </w14:solidFill>
          </w14:textFill>
        </w:rPr>
      </w:pPr>
      <w:r>
        <w:rPr>
          <w:rFonts w:hint="eastAsia"/>
          <w:b/>
          <w:color w:val="000000" w:themeColor="text1"/>
          <w:sz w:val="36"/>
          <w:szCs w:val="36"/>
          <w:lang w:eastAsia="zh-CN"/>
          <w14:textFill>
            <w14:solidFill>
              <w14:schemeClr w14:val="tx1"/>
            </w14:solidFill>
          </w14:textFill>
        </w:rPr>
        <w:t>商务文件</w:t>
      </w: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500" w:lineRule="exact"/>
        <w:jc w:val="both"/>
        <w:rPr>
          <w:color w:val="000000" w:themeColor="text1"/>
          <w:sz w:val="28"/>
          <w:lang w:eastAsia="zh-CN"/>
          <w14:textFill>
            <w14:solidFill>
              <w14:schemeClr w14:val="tx1"/>
            </w14:solidFill>
          </w14:textFill>
        </w:rPr>
      </w:pPr>
    </w:p>
    <w:p>
      <w:pPr>
        <w:spacing w:line="360" w:lineRule="auto"/>
        <w:ind w:right="898" w:rightChars="408" w:firstLine="420" w:firstLineChars="150"/>
        <w:jc w:val="center"/>
        <w:rPr>
          <w:color w:val="000000" w:themeColor="text1"/>
          <w:sz w:val="28"/>
          <w:u w:val="single"/>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投标人：</w:t>
      </w:r>
      <w:r>
        <w:rPr>
          <w:rFonts w:hint="eastAsia"/>
          <w:color w:val="000000" w:themeColor="text1"/>
          <w:sz w:val="28"/>
          <w:u w:val="single"/>
          <w:lang w:eastAsia="zh-CN"/>
          <w14:textFill>
            <w14:solidFill>
              <w14:schemeClr w14:val="tx1"/>
            </w14:solidFill>
          </w14:textFill>
        </w:rPr>
        <w:t>（盖单位章）</w:t>
      </w:r>
    </w:p>
    <w:p>
      <w:pPr>
        <w:rPr>
          <w:color w:val="000000" w:themeColor="text1"/>
          <w:sz w:val="28"/>
          <w:lang w:eastAsia="zh-CN"/>
          <w14:textFill>
            <w14:solidFill>
              <w14:schemeClr w14:val="tx1"/>
            </w14:solidFill>
          </w14:textFill>
        </w:rPr>
      </w:pPr>
    </w:p>
    <w:p>
      <w:pPr>
        <w:rPr>
          <w:color w:val="000000" w:themeColor="text1"/>
          <w:sz w:val="28"/>
          <w:lang w:eastAsia="zh-CN"/>
          <w14:textFill>
            <w14:solidFill>
              <w14:schemeClr w14:val="tx1"/>
            </w14:solidFill>
          </w14:textFill>
        </w:rPr>
      </w:pPr>
    </w:p>
    <w:p>
      <w:pPr>
        <w:ind w:firstLine="480"/>
        <w:jc w:val="center"/>
        <w:rPr>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日期：  年   月   日</w:t>
      </w: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tabs>
          <w:tab w:val="left" w:pos="1049"/>
        </w:tabs>
        <w:spacing w:before="212"/>
        <w:ind w:right="440"/>
        <w:jc w:val="center"/>
        <w:rPr>
          <w:rFonts w:ascii="黑体" w:eastAsia="黑体"/>
          <w:color w:val="000000" w:themeColor="text1"/>
          <w:sz w:val="30"/>
          <w:lang w:eastAsia="zh-CN"/>
          <w14:textFill>
            <w14:solidFill>
              <w14:schemeClr w14:val="tx1"/>
            </w14:solidFill>
          </w14:textFill>
        </w:rPr>
      </w:pPr>
      <w:bookmarkStart w:id="35" w:name="_bookmark134"/>
      <w:bookmarkEnd w:id="35"/>
      <w:r>
        <w:rPr>
          <w:rFonts w:ascii="黑体" w:eastAsia="黑体"/>
          <w:color w:val="000000" w:themeColor="text1"/>
          <w:sz w:val="30"/>
          <w:lang w:eastAsia="zh-CN"/>
          <w14:textFill>
            <w14:solidFill>
              <w14:schemeClr w14:val="tx1"/>
            </w14:solidFill>
          </w14:textFill>
        </w:rPr>
        <w:br w:type="page"/>
      </w:r>
      <w:r>
        <w:rPr>
          <w:rFonts w:hint="eastAsia" w:ascii="黑体" w:eastAsia="黑体"/>
          <w:color w:val="000000" w:themeColor="text1"/>
          <w:sz w:val="30"/>
          <w:lang w:eastAsia="zh-CN"/>
          <w14:textFill>
            <w14:solidFill>
              <w14:schemeClr w14:val="tx1"/>
            </w14:solidFill>
          </w14:textFill>
        </w:rPr>
        <w:t>目</w:t>
      </w:r>
      <w:r>
        <w:rPr>
          <w:rFonts w:ascii="黑体" w:eastAsia="黑体"/>
          <w:color w:val="000000" w:themeColor="text1"/>
          <w:sz w:val="30"/>
          <w:lang w:eastAsia="zh-CN"/>
          <w14:textFill>
            <w14:solidFill>
              <w14:schemeClr w14:val="tx1"/>
            </w14:solidFill>
          </w14:textFill>
        </w:rPr>
        <w:tab/>
      </w:r>
      <w:r>
        <w:rPr>
          <w:rFonts w:hint="eastAsia" w:ascii="黑体" w:eastAsia="黑体"/>
          <w:color w:val="000000" w:themeColor="text1"/>
          <w:sz w:val="30"/>
          <w:lang w:eastAsia="zh-CN"/>
          <w14:textFill>
            <w14:solidFill>
              <w14:schemeClr w14:val="tx1"/>
            </w14:solidFill>
          </w14:textFill>
        </w:rPr>
        <w:t>录</w:t>
      </w:r>
    </w:p>
    <w:p>
      <w:pPr>
        <w:pStyle w:val="4"/>
        <w:rPr>
          <w:rFonts w:ascii="黑体"/>
          <w:color w:val="000000" w:themeColor="text1"/>
          <w:sz w:val="30"/>
          <w:lang w:eastAsia="zh-CN"/>
          <w14:textFill>
            <w14:solidFill>
              <w14:schemeClr w14:val="tx1"/>
            </w14:solidFill>
          </w14:textFill>
        </w:rPr>
      </w:pPr>
    </w:p>
    <w:p>
      <w:pPr>
        <w:pStyle w:val="4"/>
        <w:spacing w:before="2"/>
        <w:rPr>
          <w:rFonts w:ascii="黑体"/>
          <w:color w:val="000000" w:themeColor="text1"/>
          <w:sz w:val="32"/>
          <w:lang w:eastAsia="zh-CN"/>
          <w14:textFill>
            <w14:solidFill>
              <w14:schemeClr w14:val="tx1"/>
            </w14:solidFill>
          </w14:textFill>
        </w:rPr>
      </w:pPr>
    </w:p>
    <w:p>
      <w:pPr>
        <w:pStyle w:val="4"/>
        <w:spacing w:line="360" w:lineRule="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一、投标函</w:t>
      </w:r>
    </w:p>
    <w:p>
      <w:pPr>
        <w:pStyle w:val="4"/>
        <w:spacing w:line="360" w:lineRule="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二、授权委托书或法定代表人身份证明</w:t>
      </w:r>
    </w:p>
    <w:p>
      <w:pPr>
        <w:pStyle w:val="4"/>
        <w:spacing w:line="360" w:lineRule="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三、联合体协议书（如有）</w:t>
      </w:r>
    </w:p>
    <w:p>
      <w:pPr>
        <w:pStyle w:val="4"/>
        <w:spacing w:line="360" w:lineRule="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四、投标保证金</w:t>
      </w:r>
    </w:p>
    <w:p>
      <w:pPr>
        <w:pStyle w:val="4"/>
        <w:spacing w:line="360" w:lineRule="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五、资格审查资料</w:t>
      </w:r>
    </w:p>
    <w:p>
      <w:pPr>
        <w:pStyle w:val="4"/>
        <w:spacing w:line="360" w:lineRule="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六、其他材料</w:t>
      </w:r>
    </w:p>
    <w:p>
      <w:pPr>
        <w:pStyle w:val="4"/>
        <w:spacing w:before="132" w:line="360" w:lineRule="auto"/>
        <w:ind w:left="2044"/>
        <w:rPr>
          <w:color w:val="000000" w:themeColor="text1"/>
          <w:lang w:eastAsia="zh-CN"/>
          <w14:textFill>
            <w14:solidFill>
              <w14:schemeClr w14:val="tx1"/>
            </w14:solidFill>
          </w14:textFill>
        </w:rPr>
      </w:pPr>
    </w:p>
    <w:p>
      <w:pPr>
        <w:spacing w:line="360" w:lineRule="auto"/>
        <w:rPr>
          <w:color w:val="000000" w:themeColor="text1"/>
          <w:lang w:eastAsia="zh-CN"/>
          <w14:textFill>
            <w14:solidFill>
              <w14:schemeClr w14:val="tx1"/>
            </w14:solidFill>
          </w14:textFill>
        </w:rPr>
        <w:sectPr>
          <w:pgSz w:w="11910" w:h="16850"/>
          <w:pgMar w:top="1480" w:right="720" w:bottom="1280" w:left="1220" w:header="882" w:footer="1093" w:gutter="0"/>
          <w:cols w:space="720" w:num="1"/>
        </w:sectPr>
      </w:pPr>
    </w:p>
    <w:p>
      <w:pPr>
        <w:spacing w:before="120"/>
        <w:ind w:left="475" w:right="913"/>
        <w:jc w:val="center"/>
        <w:rPr>
          <w:rFonts w:ascii="黑体" w:eastAsia="黑体"/>
          <w:color w:val="000000" w:themeColor="text1"/>
          <w:sz w:val="30"/>
          <w:lang w:eastAsia="zh-CN"/>
          <w14:textFill>
            <w14:solidFill>
              <w14:schemeClr w14:val="tx1"/>
            </w14:solidFill>
          </w14:textFill>
        </w:rPr>
      </w:pPr>
      <w:bookmarkStart w:id="36" w:name="_bookmark135"/>
      <w:bookmarkEnd w:id="36"/>
      <w:r>
        <w:rPr>
          <w:rFonts w:hint="eastAsia" w:ascii="黑体" w:eastAsia="黑体"/>
          <w:color w:val="000000" w:themeColor="text1"/>
          <w:sz w:val="30"/>
          <w:lang w:eastAsia="zh-CN"/>
          <w14:textFill>
            <w14:solidFill>
              <w14:schemeClr w14:val="tx1"/>
            </w14:solidFill>
          </w14:textFill>
        </w:rPr>
        <w:t>一、投标函</w:t>
      </w:r>
    </w:p>
    <w:p>
      <w:pPr>
        <w:pStyle w:val="4"/>
        <w:spacing w:before="3"/>
        <w:rPr>
          <w:rFonts w:ascii="黑体"/>
          <w:color w:val="000000" w:themeColor="text1"/>
          <w:sz w:val="20"/>
          <w:lang w:eastAsia="zh-CN"/>
          <w14:textFill>
            <w14:solidFill>
              <w14:schemeClr w14:val="tx1"/>
            </w14:solidFill>
          </w14:textFill>
        </w:rPr>
      </w:pPr>
    </w:p>
    <w:p>
      <w:pPr>
        <w:pStyle w:val="4"/>
        <w:tabs>
          <w:tab w:val="left" w:pos="3362"/>
        </w:tabs>
        <w:spacing w:before="74"/>
        <w:ind w:left="482"/>
        <w:rPr>
          <w:color w:val="000000" w:themeColor="text1"/>
          <w:lang w:eastAsia="zh-CN"/>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rFonts w:ascii="Times New Roman" w:eastAsia="Times New Roman"/>
          <w:color w:val="000000" w:themeColor="text1"/>
          <w:lang w:eastAsia="zh-CN"/>
          <w14:textFill>
            <w14:solidFill>
              <w14:schemeClr w14:val="tx1"/>
            </w14:solidFill>
          </w14:textFill>
        </w:rPr>
        <w:t>（招标人名称）：</w:t>
      </w:r>
    </w:p>
    <w:p>
      <w:pPr>
        <w:pStyle w:val="30"/>
        <w:numPr>
          <w:ilvl w:val="0"/>
          <w:numId w:val="62"/>
        </w:numPr>
        <w:tabs>
          <w:tab w:val="left" w:pos="1323"/>
          <w:tab w:val="left" w:pos="5109"/>
          <w:tab w:val="left" w:pos="7603"/>
        </w:tabs>
        <w:spacing w:before="213" w:line="312" w:lineRule="auto"/>
        <w:ind w:right="917"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我方已仔细研究</w:t>
      </w:r>
      <w:r>
        <w:rPr>
          <w:color w:val="000000" w:themeColor="text1"/>
          <w:sz w:val="24"/>
          <w:u w:val="single"/>
          <w:lang w:eastAsia="zh-CN"/>
          <w14:textFill>
            <w14:solidFill>
              <w14:schemeClr w14:val="tx1"/>
            </w14:solidFill>
          </w14:textFill>
        </w:rPr>
        <w:tab/>
      </w:r>
      <w:r>
        <w:rPr>
          <w:rFonts w:hint="eastAsia"/>
          <w:color w:val="000000" w:themeColor="text1"/>
          <w:sz w:val="24"/>
          <w:lang w:eastAsia="zh-CN"/>
          <w14:textFill>
            <w14:solidFill>
              <w14:schemeClr w14:val="tx1"/>
            </w14:solidFill>
          </w14:textFill>
        </w:rPr>
        <w:t>（项目名称</w:t>
      </w:r>
      <w:r>
        <w:rPr>
          <w:rFonts w:hint="eastAsia"/>
          <w:color w:val="000000" w:themeColor="text1"/>
          <w:spacing w:val="-27"/>
          <w:sz w:val="24"/>
          <w:lang w:eastAsia="zh-CN"/>
          <w14:textFill>
            <w14:solidFill>
              <w14:schemeClr w14:val="tx1"/>
            </w14:solidFill>
          </w14:textFill>
        </w:rPr>
        <w:t>）</w:t>
      </w:r>
      <w:r>
        <w:rPr>
          <w:rFonts w:hint="eastAsia"/>
          <w:color w:val="000000" w:themeColor="text1"/>
          <w:spacing w:val="2"/>
          <w:sz w:val="24"/>
          <w:lang w:eastAsia="zh-CN"/>
          <w14:textFill>
            <w14:solidFill>
              <w14:schemeClr w14:val="tx1"/>
            </w14:solidFill>
          </w14:textFill>
        </w:rPr>
        <w:t>招标</w:t>
      </w:r>
      <w:r>
        <w:rPr>
          <w:rFonts w:hint="eastAsia"/>
          <w:color w:val="000000" w:themeColor="text1"/>
          <w:sz w:val="24"/>
          <w:lang w:eastAsia="zh-CN"/>
          <w14:textFill>
            <w14:solidFill>
              <w14:schemeClr w14:val="tx1"/>
            </w14:solidFill>
          </w14:textFill>
        </w:rPr>
        <w:t>文</w:t>
      </w:r>
      <w:r>
        <w:rPr>
          <w:rFonts w:hint="eastAsia"/>
          <w:color w:val="000000" w:themeColor="text1"/>
          <w:spacing w:val="2"/>
          <w:sz w:val="24"/>
          <w:lang w:eastAsia="zh-CN"/>
          <w14:textFill>
            <w14:solidFill>
              <w14:schemeClr w14:val="tx1"/>
            </w14:solidFill>
          </w14:textFill>
        </w:rPr>
        <w:t>件</w:t>
      </w:r>
      <w:r>
        <w:rPr>
          <w:rFonts w:hint="eastAsia"/>
          <w:color w:val="000000" w:themeColor="text1"/>
          <w:sz w:val="24"/>
          <w:lang w:eastAsia="zh-CN"/>
          <w14:textFill>
            <w14:solidFill>
              <w14:schemeClr w14:val="tx1"/>
            </w14:solidFill>
          </w14:textFill>
        </w:rPr>
        <w:t>的</w:t>
      </w:r>
      <w:r>
        <w:rPr>
          <w:rFonts w:hint="eastAsia"/>
          <w:color w:val="000000" w:themeColor="text1"/>
          <w:spacing w:val="2"/>
          <w:sz w:val="24"/>
          <w:lang w:eastAsia="zh-CN"/>
          <w14:textFill>
            <w14:solidFill>
              <w14:schemeClr w14:val="tx1"/>
            </w14:solidFill>
          </w14:textFill>
        </w:rPr>
        <w:t>全</w:t>
      </w:r>
      <w:r>
        <w:rPr>
          <w:rFonts w:hint="eastAsia"/>
          <w:color w:val="000000" w:themeColor="text1"/>
          <w:sz w:val="24"/>
          <w:lang w:eastAsia="zh-CN"/>
          <w14:textFill>
            <w14:solidFill>
              <w14:schemeClr w14:val="tx1"/>
            </w14:solidFill>
          </w14:textFill>
        </w:rPr>
        <w:t>部</w:t>
      </w:r>
      <w:r>
        <w:rPr>
          <w:rFonts w:hint="eastAsia"/>
          <w:color w:val="000000" w:themeColor="text1"/>
          <w:spacing w:val="2"/>
          <w:sz w:val="24"/>
          <w:lang w:eastAsia="zh-CN"/>
          <w14:textFill>
            <w14:solidFill>
              <w14:schemeClr w14:val="tx1"/>
            </w14:solidFill>
          </w14:textFill>
        </w:rPr>
        <w:t>内</w:t>
      </w:r>
      <w:r>
        <w:rPr>
          <w:rFonts w:hint="eastAsia"/>
          <w:color w:val="000000" w:themeColor="text1"/>
          <w:spacing w:val="1"/>
          <w:sz w:val="24"/>
          <w:lang w:eastAsia="zh-CN"/>
          <w14:textFill>
            <w14:solidFill>
              <w14:schemeClr w14:val="tx1"/>
            </w14:solidFill>
          </w14:textFill>
        </w:rPr>
        <w:t>容</w:t>
      </w:r>
      <w:r>
        <w:rPr>
          <w:rFonts w:hint="eastAsia"/>
          <w:color w:val="000000" w:themeColor="text1"/>
          <w:spacing w:val="2"/>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在</w:t>
      </w:r>
      <w:r>
        <w:rPr>
          <w:rFonts w:hint="eastAsia"/>
          <w:color w:val="000000" w:themeColor="text1"/>
          <w:spacing w:val="2"/>
          <w:sz w:val="24"/>
          <w:lang w:eastAsia="zh-CN"/>
          <w14:textFill>
            <w14:solidFill>
              <w14:schemeClr w14:val="tx1"/>
            </w14:solidFill>
          </w14:textFill>
        </w:rPr>
        <w:t>考</w:t>
      </w:r>
      <w:r>
        <w:rPr>
          <w:rFonts w:hint="eastAsia"/>
          <w:color w:val="000000" w:themeColor="text1"/>
          <w:sz w:val="24"/>
          <w:lang w:eastAsia="zh-CN"/>
          <w14:textFill>
            <w14:solidFill>
              <w14:schemeClr w14:val="tx1"/>
            </w14:solidFill>
          </w14:textFill>
        </w:rPr>
        <w:t>察</w:t>
      </w:r>
      <w:r>
        <w:rPr>
          <w:rFonts w:hint="eastAsia"/>
          <w:color w:val="000000" w:themeColor="text1"/>
          <w:spacing w:val="2"/>
          <w:sz w:val="24"/>
          <w:lang w:eastAsia="zh-CN"/>
          <w14:textFill>
            <w14:solidFill>
              <w14:schemeClr w14:val="tx1"/>
            </w14:solidFill>
          </w14:textFill>
        </w:rPr>
        <w:t>工</w:t>
      </w:r>
      <w:r>
        <w:rPr>
          <w:rFonts w:hint="eastAsia"/>
          <w:color w:val="000000" w:themeColor="text1"/>
          <w:sz w:val="24"/>
          <w:lang w:eastAsia="zh-CN"/>
          <w14:textFill>
            <w14:solidFill>
              <w14:schemeClr w14:val="tx1"/>
            </w14:solidFill>
          </w14:textFill>
        </w:rPr>
        <w:t>程现</w:t>
      </w:r>
      <w:r>
        <w:rPr>
          <w:rFonts w:hint="eastAsia"/>
          <w:color w:val="000000" w:themeColor="text1"/>
          <w:spacing w:val="2"/>
          <w:sz w:val="24"/>
          <w:lang w:eastAsia="zh-CN"/>
          <w14:textFill>
            <w14:solidFill>
              <w14:schemeClr w14:val="tx1"/>
            </w14:solidFill>
          </w14:textFill>
        </w:rPr>
        <w:t>场后</w:t>
      </w:r>
      <w:r>
        <w:rPr>
          <w:rFonts w:hint="eastAsia"/>
          <w:color w:val="000000" w:themeColor="text1"/>
          <w:sz w:val="24"/>
          <w:lang w:eastAsia="zh-CN"/>
          <w14:textFill>
            <w14:solidFill>
              <w14:schemeClr w14:val="tx1"/>
            </w14:solidFill>
          </w14:textFill>
        </w:rPr>
        <w:t>，</w:t>
      </w:r>
      <w:r>
        <w:rPr>
          <w:rFonts w:hint="eastAsia"/>
          <w:color w:val="000000" w:themeColor="text1"/>
          <w:spacing w:val="2"/>
          <w:sz w:val="24"/>
          <w:lang w:eastAsia="zh-CN"/>
          <w14:textFill>
            <w14:solidFill>
              <w14:schemeClr w14:val="tx1"/>
            </w14:solidFill>
          </w14:textFill>
        </w:rPr>
        <w:t>愿意</w:t>
      </w:r>
      <w:r>
        <w:rPr>
          <w:rFonts w:hint="eastAsia"/>
          <w:color w:val="000000" w:themeColor="text1"/>
          <w:spacing w:val="-14"/>
          <w:sz w:val="24"/>
          <w:lang w:eastAsia="zh-CN"/>
          <w14:textFill>
            <w14:solidFill>
              <w14:schemeClr w14:val="tx1"/>
            </w14:solidFill>
          </w14:textFill>
        </w:rPr>
        <w:t>以</w:t>
      </w:r>
      <w:r>
        <w:rPr>
          <w:rFonts w:hint="eastAsia"/>
          <w:color w:val="000000" w:themeColor="text1"/>
          <w:sz w:val="24"/>
          <w:lang w:eastAsia="zh-CN"/>
          <w14:textFill>
            <w14:solidFill>
              <w14:schemeClr w14:val="tx1"/>
            </w14:solidFill>
          </w14:textFill>
        </w:rPr>
        <w:t>第二个信</w:t>
      </w:r>
      <w:r>
        <w:rPr>
          <w:rFonts w:hint="eastAsia"/>
          <w:color w:val="000000" w:themeColor="text1"/>
          <w:spacing w:val="-27"/>
          <w:sz w:val="24"/>
          <w:lang w:eastAsia="zh-CN"/>
          <w14:textFill>
            <w14:solidFill>
              <w14:schemeClr w14:val="tx1"/>
            </w14:solidFill>
          </w14:textFill>
        </w:rPr>
        <w:t>封</w:t>
      </w:r>
      <w:r>
        <w:rPr>
          <w:rFonts w:hint="eastAsia"/>
          <w:color w:val="000000" w:themeColor="text1"/>
          <w:sz w:val="24"/>
          <w:lang w:eastAsia="zh-CN"/>
          <w14:textFill>
            <w14:solidFill>
              <w14:schemeClr w14:val="tx1"/>
            </w14:solidFill>
          </w14:textFill>
        </w:rPr>
        <w:t>（报价文件</w:t>
      </w:r>
      <w:r>
        <w:rPr>
          <w:rFonts w:hint="eastAsia"/>
          <w:color w:val="000000" w:themeColor="text1"/>
          <w:spacing w:val="-27"/>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中的投标总报</w:t>
      </w:r>
      <w:r>
        <w:rPr>
          <w:rFonts w:hint="eastAsia"/>
          <w:color w:val="000000" w:themeColor="text1"/>
          <w:spacing w:val="-27"/>
          <w:sz w:val="24"/>
          <w:lang w:eastAsia="zh-CN"/>
          <w14:textFill>
            <w14:solidFill>
              <w14:schemeClr w14:val="tx1"/>
            </w14:solidFill>
          </w14:textFill>
        </w:rPr>
        <w:t>价</w:t>
      </w:r>
      <w:r>
        <w:rPr>
          <w:rFonts w:hint="eastAsia"/>
          <w:color w:val="000000" w:themeColor="text1"/>
          <w:sz w:val="24"/>
          <w:lang w:eastAsia="zh-CN"/>
          <w14:textFill>
            <w14:solidFill>
              <w14:schemeClr w14:val="tx1"/>
            </w14:solidFill>
          </w14:textFill>
        </w:rPr>
        <w:t>（或根据招标文件规定修正核实后确定</w:t>
      </w:r>
      <w:r>
        <w:rPr>
          <w:rFonts w:hint="eastAsia"/>
          <w:color w:val="000000" w:themeColor="text1"/>
          <w:spacing w:val="-12"/>
          <w:sz w:val="24"/>
          <w:lang w:eastAsia="zh-CN"/>
          <w14:textFill>
            <w14:solidFill>
              <w14:schemeClr w14:val="tx1"/>
            </w14:solidFill>
          </w14:textFill>
        </w:rPr>
        <w:t>的</w:t>
      </w:r>
      <w:r>
        <w:rPr>
          <w:rFonts w:hint="eastAsia"/>
          <w:color w:val="000000" w:themeColor="text1"/>
          <w:sz w:val="24"/>
          <w:lang w:eastAsia="zh-CN"/>
          <w14:textFill>
            <w14:solidFill>
              <w14:schemeClr w14:val="tx1"/>
            </w14:solidFill>
          </w14:textFill>
        </w:rPr>
        <w:t>另一金</w:t>
      </w:r>
      <w:r>
        <w:rPr>
          <w:rFonts w:hint="eastAsia"/>
          <w:color w:val="000000" w:themeColor="text1"/>
          <w:spacing w:val="-1"/>
          <w:sz w:val="24"/>
          <w:lang w:eastAsia="zh-CN"/>
          <w14:textFill>
            <w14:solidFill>
              <w14:schemeClr w14:val="tx1"/>
            </w14:solidFill>
          </w14:textFill>
        </w:rPr>
        <w:t>额</w:t>
      </w:r>
      <w:r>
        <w:rPr>
          <w:rFonts w:hint="eastAsia"/>
          <w:color w:val="000000" w:themeColor="text1"/>
          <w:spacing w:val="-120"/>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），按合同约定完成勘察设计工作。</w:t>
      </w:r>
    </w:p>
    <w:p>
      <w:pPr>
        <w:pStyle w:val="30"/>
        <w:numPr>
          <w:ilvl w:val="0"/>
          <w:numId w:val="62"/>
        </w:numPr>
        <w:tabs>
          <w:tab w:val="left" w:pos="1323"/>
        </w:tabs>
        <w:spacing w:before="2"/>
        <w:ind w:left="1323"/>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我方承诺在招标文件规定的投标有效期内不撤销投标文件。</w:t>
      </w:r>
    </w:p>
    <w:p>
      <w:pPr>
        <w:pStyle w:val="30"/>
        <w:numPr>
          <w:ilvl w:val="0"/>
          <w:numId w:val="62"/>
        </w:numPr>
        <w:tabs>
          <w:tab w:val="left" w:pos="1323"/>
          <w:tab w:val="left" w:pos="4082"/>
          <w:tab w:val="left" w:pos="5762"/>
          <w:tab w:val="left" w:pos="8163"/>
        </w:tabs>
        <w:spacing w:before="92"/>
        <w:ind w:left="1323"/>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项目负责人姓名：</w:t>
      </w:r>
      <w:r>
        <w:rPr>
          <w:color w:val="000000" w:themeColor="text1"/>
          <w:sz w:val="24"/>
          <w:u w:val="single"/>
          <w:lang w:eastAsia="zh-CN"/>
          <w14:textFill>
            <w14:solidFill>
              <w14:schemeClr w14:val="tx1"/>
            </w14:solidFill>
          </w14:textFill>
        </w:rPr>
        <w:tab/>
      </w:r>
      <w:r>
        <w:rPr>
          <w:rFonts w:hint="eastAsia"/>
          <w:color w:val="000000" w:themeColor="text1"/>
          <w:sz w:val="24"/>
          <w:lang w:eastAsia="zh-CN"/>
          <w14:textFill>
            <w14:solidFill>
              <w14:schemeClr w14:val="tx1"/>
            </w14:solidFill>
          </w14:textFill>
        </w:rPr>
        <w:t>，年龄：</w:t>
      </w:r>
      <w:r>
        <w:rPr>
          <w:color w:val="000000" w:themeColor="text1"/>
          <w:sz w:val="24"/>
          <w:u w:val="single"/>
          <w:lang w:eastAsia="zh-CN"/>
          <w14:textFill>
            <w14:solidFill>
              <w14:schemeClr w14:val="tx1"/>
            </w14:solidFill>
          </w14:textFill>
        </w:rPr>
        <w:tab/>
      </w:r>
      <w:r>
        <w:rPr>
          <w:rFonts w:hint="eastAsia"/>
          <w:color w:val="000000" w:themeColor="text1"/>
          <w:sz w:val="24"/>
          <w:lang w:eastAsia="zh-CN"/>
          <w14:textFill>
            <w14:solidFill>
              <w14:schemeClr w14:val="tx1"/>
            </w14:solidFill>
          </w14:textFill>
        </w:rPr>
        <w:t>，职称：</w:t>
      </w:r>
      <w:r>
        <w:rPr>
          <w:color w:val="000000" w:themeColor="text1"/>
          <w:sz w:val="24"/>
          <w:u w:val="single"/>
          <w:lang w:eastAsia="zh-CN"/>
          <w14:textFill>
            <w14:solidFill>
              <w14:schemeClr w14:val="tx1"/>
            </w14:solidFill>
          </w14:textFill>
        </w:rPr>
        <w:tab/>
      </w:r>
      <w:r>
        <w:rPr>
          <w:rFonts w:hint="eastAsia"/>
          <w:color w:val="000000" w:themeColor="text1"/>
          <w:sz w:val="24"/>
          <w:lang w:eastAsia="zh-CN"/>
          <w14:textFill>
            <w14:solidFill>
              <w14:schemeClr w14:val="tx1"/>
            </w14:solidFill>
          </w14:textFill>
        </w:rPr>
        <w:t>。</w:t>
      </w:r>
    </w:p>
    <w:p>
      <w:pPr>
        <w:pStyle w:val="30"/>
        <w:numPr>
          <w:ilvl w:val="0"/>
          <w:numId w:val="62"/>
        </w:numPr>
        <w:tabs>
          <w:tab w:val="left" w:pos="1277"/>
          <w:tab w:val="left" w:pos="1801"/>
          <w:tab w:val="left" w:pos="4024"/>
          <w:tab w:val="left" w:pos="7027"/>
        </w:tabs>
        <w:spacing w:before="93" w:line="312" w:lineRule="auto"/>
        <w:ind w:right="919" w:firstLine="480"/>
        <w:rPr>
          <w:color w:val="000000" w:themeColor="text1"/>
          <w:sz w:val="24"/>
          <w:lang w:eastAsia="zh-CN"/>
          <w14:textFill>
            <w14:solidFill>
              <w14:schemeClr w14:val="tx1"/>
            </w14:solidFill>
          </w14:textFill>
        </w:rPr>
      </w:pPr>
      <w:r>
        <w:rPr>
          <w:rFonts w:hint="eastAsia"/>
          <w:color w:val="000000" w:themeColor="text1"/>
          <w:spacing w:val="14"/>
          <w:sz w:val="24"/>
          <w:lang w:eastAsia="zh-CN"/>
          <w14:textFill>
            <w14:solidFill>
              <w14:schemeClr w14:val="tx1"/>
            </w14:solidFill>
          </w14:textFill>
        </w:rPr>
        <w:t>质量要求：，安全目标：，勘察</w:t>
      </w:r>
      <w:r>
        <w:rPr>
          <w:rFonts w:hint="eastAsia"/>
          <w:color w:val="000000" w:themeColor="text1"/>
          <w:spacing w:val="11"/>
          <w:sz w:val="24"/>
          <w:lang w:eastAsia="zh-CN"/>
          <w14:textFill>
            <w14:solidFill>
              <w14:schemeClr w14:val="tx1"/>
            </w14:solidFill>
          </w14:textFill>
        </w:rPr>
        <w:t>设</w:t>
      </w:r>
      <w:r>
        <w:rPr>
          <w:rFonts w:hint="eastAsia"/>
          <w:color w:val="000000" w:themeColor="text1"/>
          <w:spacing w:val="14"/>
          <w:sz w:val="24"/>
          <w:lang w:eastAsia="zh-CN"/>
          <w14:textFill>
            <w14:solidFill>
              <w14:schemeClr w14:val="tx1"/>
            </w14:solidFill>
          </w14:textFill>
        </w:rPr>
        <w:t>计服务</w:t>
      </w:r>
      <w:r>
        <w:rPr>
          <w:rFonts w:hint="eastAsia"/>
          <w:color w:val="000000" w:themeColor="text1"/>
          <w:spacing w:val="-15"/>
          <w:sz w:val="24"/>
          <w:lang w:eastAsia="zh-CN"/>
          <w14:textFill>
            <w14:solidFill>
              <w14:schemeClr w14:val="tx1"/>
            </w14:solidFill>
          </w14:textFill>
        </w:rPr>
        <w:t>期</w:t>
      </w:r>
      <w:r>
        <w:rPr>
          <w:rFonts w:hint="eastAsia"/>
          <w:color w:val="000000" w:themeColor="text1"/>
          <w:sz w:val="24"/>
          <w:lang w:eastAsia="zh-CN"/>
          <w14:textFill>
            <w14:solidFill>
              <w14:schemeClr w14:val="tx1"/>
            </w14:solidFill>
          </w14:textFill>
        </w:rPr>
        <w:t>限：</w:t>
      </w:r>
      <w:r>
        <w:rPr>
          <w:color w:val="000000" w:themeColor="text1"/>
          <w:sz w:val="24"/>
          <w:u w:val="single"/>
          <w:lang w:eastAsia="zh-CN"/>
          <w14:textFill>
            <w14:solidFill>
              <w14:schemeClr w14:val="tx1"/>
            </w14:solidFill>
          </w14:textFill>
        </w:rPr>
        <w:tab/>
      </w:r>
      <w:r>
        <w:rPr>
          <w:rFonts w:hint="eastAsia"/>
          <w:color w:val="000000" w:themeColor="text1"/>
          <w:sz w:val="24"/>
          <w:lang w:eastAsia="zh-CN"/>
          <w14:textFill>
            <w14:solidFill>
              <w14:schemeClr w14:val="tx1"/>
            </w14:solidFill>
          </w14:textFill>
        </w:rPr>
        <w:t>。</w:t>
      </w:r>
    </w:p>
    <w:p>
      <w:pPr>
        <w:pStyle w:val="30"/>
        <w:numPr>
          <w:ilvl w:val="0"/>
          <w:numId w:val="62"/>
        </w:numPr>
        <w:tabs>
          <w:tab w:val="left" w:pos="1262"/>
        </w:tabs>
        <w:spacing w:line="307" w:lineRule="exact"/>
        <w:ind w:left="1262" w:hanging="3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如我方中标，我方承诺：</w:t>
      </w:r>
    </w:p>
    <w:p>
      <w:pPr>
        <w:pStyle w:val="30"/>
        <w:numPr>
          <w:ilvl w:val="0"/>
          <w:numId w:val="63"/>
        </w:numPr>
        <w:tabs>
          <w:tab w:val="left" w:pos="1563"/>
        </w:tabs>
        <w:spacing w:before="93"/>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在收到中标通知书后，在中标通知书规定的期限内与你方签订合同；</w:t>
      </w:r>
    </w:p>
    <w:p>
      <w:pPr>
        <w:pStyle w:val="30"/>
        <w:numPr>
          <w:ilvl w:val="0"/>
          <w:numId w:val="63"/>
        </w:numPr>
        <w:tabs>
          <w:tab w:val="left" w:pos="1563"/>
        </w:tabs>
        <w:spacing w:before="93"/>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在签订合同时不向你方提出附加条件；</w:t>
      </w:r>
    </w:p>
    <w:p>
      <w:pPr>
        <w:pStyle w:val="30"/>
        <w:numPr>
          <w:ilvl w:val="0"/>
          <w:numId w:val="63"/>
        </w:numPr>
        <w:tabs>
          <w:tab w:val="left" w:pos="1563"/>
        </w:tabs>
        <w:spacing w:before="91" w:line="360" w:lineRule="auto"/>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按照招标文件要求提交履约保证金；</w:t>
      </w:r>
    </w:p>
    <w:p>
      <w:pPr>
        <w:pStyle w:val="30"/>
        <w:numPr>
          <w:ilvl w:val="0"/>
          <w:numId w:val="63"/>
        </w:numPr>
        <w:tabs>
          <w:tab w:val="left" w:pos="1563"/>
        </w:tabs>
        <w:spacing w:before="94" w:line="360" w:lineRule="auto"/>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在合同约定的期限内完成合同规定的全部义务；</w:t>
      </w:r>
    </w:p>
    <w:p>
      <w:pPr>
        <w:pStyle w:val="30"/>
        <w:numPr>
          <w:ilvl w:val="0"/>
          <w:numId w:val="62"/>
        </w:numPr>
        <w:tabs>
          <w:tab w:val="left" w:pos="1327"/>
        </w:tabs>
        <w:spacing w:line="360" w:lineRule="auto"/>
        <w:ind w:right="800" w:firstLine="48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我方在此声明，所递交的投标文件及有关资料内容完整、真实和准确，且不存在招标文件第二章</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投标人须知</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pacing w:val="-24"/>
          <w:sz w:val="24"/>
          <w:lang w:eastAsia="zh-CN"/>
          <w14:textFill>
            <w14:solidFill>
              <w14:schemeClr w14:val="tx1"/>
            </w14:solidFill>
          </w14:textFill>
        </w:rPr>
        <w:t>第</w:t>
      </w:r>
      <w:r>
        <w:rPr>
          <w:rFonts w:ascii="Times New Roman" w:hAnsi="Times New Roman"/>
          <w:color w:val="000000" w:themeColor="text1"/>
          <w:sz w:val="24"/>
          <w:lang w:eastAsia="zh-CN"/>
          <w14:textFill>
            <w14:solidFill>
              <w14:schemeClr w14:val="tx1"/>
            </w14:solidFill>
          </w14:textFill>
        </w:rPr>
        <w:t>1.4.3</w:t>
      </w:r>
      <w:r>
        <w:rPr>
          <w:rFonts w:hint="eastAsia"/>
          <w:color w:val="000000" w:themeColor="text1"/>
          <w:spacing w:val="-12"/>
          <w:sz w:val="24"/>
          <w:lang w:eastAsia="zh-CN"/>
          <w14:textFill>
            <w14:solidFill>
              <w14:schemeClr w14:val="tx1"/>
            </w14:solidFill>
          </w14:textFill>
        </w:rPr>
        <w:t>项和第</w:t>
      </w:r>
      <w:r>
        <w:rPr>
          <w:rFonts w:ascii="Times New Roman" w:hAnsi="Times New Roman"/>
          <w:color w:val="000000" w:themeColor="text1"/>
          <w:sz w:val="24"/>
          <w:lang w:eastAsia="zh-CN"/>
          <w14:textFill>
            <w14:solidFill>
              <w14:schemeClr w14:val="tx1"/>
            </w14:solidFill>
          </w14:textFill>
        </w:rPr>
        <w:t>1.4.4</w:t>
      </w:r>
      <w:r>
        <w:rPr>
          <w:rFonts w:hint="eastAsia"/>
          <w:color w:val="000000" w:themeColor="text1"/>
          <w:sz w:val="24"/>
          <w:lang w:eastAsia="zh-CN"/>
          <w14:textFill>
            <w14:solidFill>
              <w14:schemeClr w14:val="tx1"/>
            </w14:solidFill>
          </w14:textFill>
        </w:rPr>
        <w:t>项规定的任何一种情形。</w:t>
      </w:r>
    </w:p>
    <w:p>
      <w:pPr>
        <w:pStyle w:val="30"/>
        <w:numPr>
          <w:ilvl w:val="0"/>
          <w:numId w:val="62"/>
        </w:numPr>
        <w:tabs>
          <w:tab w:val="left" w:pos="1327"/>
        </w:tabs>
        <w:spacing w:before="2" w:line="360" w:lineRule="auto"/>
        <w:ind w:right="919" w:firstLine="480"/>
        <w:rPr>
          <w:color w:val="000000" w:themeColor="text1"/>
          <w:sz w:val="24"/>
          <w:lang w:eastAsia="zh-CN"/>
          <w14:textFill>
            <w14:solidFill>
              <w14:schemeClr w14:val="tx1"/>
            </w14:solidFill>
          </w14:textFill>
        </w:rPr>
      </w:pPr>
      <w:r>
        <w:rPr>
          <w:rFonts w:hint="eastAsia"/>
          <w:color w:val="000000" w:themeColor="text1"/>
          <w:spacing w:val="-1"/>
          <w:sz w:val="24"/>
          <w:lang w:eastAsia="zh-CN"/>
          <w14:textFill>
            <w14:solidFill>
              <w14:schemeClr w14:val="tx1"/>
            </w14:solidFill>
          </w14:textFill>
        </w:rPr>
        <w:t>在合同协议书正式签署生效之前，本投标函连同你方的中标通知书将构成</w:t>
      </w:r>
      <w:r>
        <w:rPr>
          <w:rFonts w:hint="eastAsia"/>
          <w:color w:val="000000" w:themeColor="text1"/>
          <w:sz w:val="24"/>
          <w:lang w:eastAsia="zh-CN"/>
          <w14:textFill>
            <w14:solidFill>
              <w14:schemeClr w14:val="tx1"/>
            </w14:solidFill>
          </w14:textFill>
        </w:rPr>
        <w:t>我们双方之间共同遵守的文件，对双方具有约束力。</w:t>
      </w:r>
    </w:p>
    <w:p>
      <w:pPr>
        <w:pStyle w:val="30"/>
        <w:numPr>
          <w:ilvl w:val="0"/>
          <w:numId w:val="62"/>
        </w:numPr>
        <w:tabs>
          <w:tab w:val="left" w:pos="1323"/>
          <w:tab w:val="left" w:pos="6002"/>
        </w:tabs>
        <w:ind w:left="1323"/>
        <w:rPr>
          <w:color w:val="000000" w:themeColor="text1"/>
          <w:sz w:val="24"/>
          <w14:textFill>
            <w14:solidFill>
              <w14:schemeClr w14:val="tx1"/>
            </w14:solidFill>
          </w14:textFill>
        </w:rPr>
      </w:pPr>
      <w:r>
        <w:rPr>
          <w:rFonts w:ascii="Times New Roman" w:eastAsia="Times New Roman"/>
          <w:color w:val="000000" w:themeColor="text1"/>
          <w:sz w:val="24"/>
          <w:u w:val="single"/>
          <w:lang w:eastAsia="zh-CN"/>
          <w14:textFill>
            <w14:solidFill>
              <w14:schemeClr w14:val="tx1"/>
            </w14:solidFill>
          </w14:textFill>
        </w:rPr>
        <w:tab/>
      </w:r>
      <w:r>
        <w:rPr>
          <w:rFonts w:hint="eastAsia"/>
          <w:color w:val="000000" w:themeColor="text1"/>
          <w:sz w:val="24"/>
          <w14:textFill>
            <w14:solidFill>
              <w14:schemeClr w14:val="tx1"/>
            </w14:solidFill>
          </w14:textFill>
        </w:rPr>
        <w:t>（其他补充说明</w:t>
      </w:r>
      <w:r>
        <w:rPr>
          <w:rFonts w:hint="eastAsia"/>
          <w:color w:val="000000" w:themeColor="text1"/>
          <w:spacing w:val="-120"/>
          <w:sz w:val="24"/>
          <w14:textFill>
            <w14:solidFill>
              <w14:schemeClr w14:val="tx1"/>
            </w14:solidFill>
          </w14:textFill>
        </w:rPr>
        <w:t>）</w:t>
      </w:r>
      <w:r>
        <w:rPr>
          <w:rFonts w:hint="eastAsia"/>
          <w:color w:val="000000" w:themeColor="text1"/>
          <w:sz w:val="24"/>
          <w14:textFill>
            <w14:solidFill>
              <w14:schemeClr w14:val="tx1"/>
            </w14:solidFill>
          </w14:textFill>
        </w:rPr>
        <w:t>。</w:t>
      </w:r>
    </w:p>
    <w:p>
      <w:pPr>
        <w:pStyle w:val="4"/>
        <w:tabs>
          <w:tab w:val="left" w:pos="4622"/>
          <w:tab w:val="left" w:pos="7488"/>
          <w:tab w:val="left" w:pos="8204"/>
          <w:tab w:val="left" w:pos="9099"/>
        </w:tabs>
        <w:spacing w:line="312" w:lineRule="auto"/>
        <w:ind w:left="3902" w:right="800"/>
        <w:rPr>
          <w:color w:val="000000" w:themeColor="text1"/>
          <w:spacing w:val="-3"/>
          <w:lang w:eastAsia="zh-CN"/>
          <w14:textFill>
            <w14:solidFill>
              <w14:schemeClr w14:val="tx1"/>
            </w14:solidFill>
          </w14:textFill>
        </w:rPr>
      </w:pPr>
      <w:r>
        <w:rPr>
          <w:rFonts w:hint="eastAsia"/>
          <w:color w:val="000000" w:themeColor="text1"/>
          <w:lang w:eastAsia="zh-CN"/>
          <w14:textFill>
            <w14:solidFill>
              <w14:schemeClr w14:val="tx1"/>
            </w14:solidFill>
          </w14:textFill>
        </w:rPr>
        <w:t>投标人</w:t>
      </w:r>
      <w:r>
        <w:rPr>
          <w:rFonts w:hint="eastAsia"/>
          <w:color w:val="000000" w:themeColor="text1"/>
          <w:spacing w:val="-8"/>
          <w:lang w:eastAsia="zh-CN"/>
          <w14:textFill>
            <w14:solidFill>
              <w14:schemeClr w14:val="tx1"/>
            </w14:solidFill>
          </w14:textFill>
        </w:rPr>
        <w:t>：</w:t>
      </w:r>
      <w:r>
        <w:rPr>
          <w:color w:val="000000" w:themeColor="text1"/>
          <w:spacing w:val="-8"/>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（盖单位章</w:t>
      </w:r>
      <w:r>
        <w:rPr>
          <w:rFonts w:hint="eastAsia"/>
          <w:color w:val="000000" w:themeColor="text1"/>
          <w:spacing w:val="-3"/>
          <w:lang w:eastAsia="zh-CN"/>
          <w14:textFill>
            <w14:solidFill>
              <w14:schemeClr w14:val="tx1"/>
            </w14:solidFill>
          </w14:textFill>
        </w:rPr>
        <w:t>）</w:t>
      </w:r>
    </w:p>
    <w:p>
      <w:pPr>
        <w:pStyle w:val="4"/>
        <w:tabs>
          <w:tab w:val="left" w:pos="4622"/>
          <w:tab w:val="left" w:pos="7488"/>
          <w:tab w:val="left" w:pos="8204"/>
          <w:tab w:val="left" w:pos="9099"/>
        </w:tabs>
        <w:spacing w:line="312" w:lineRule="auto"/>
        <w:ind w:left="3902" w:right="800"/>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法定代表人或其委托代理人</w:t>
      </w:r>
      <w:r>
        <w:rPr>
          <w:rFonts w:hint="eastAsia"/>
          <w:color w:val="000000" w:themeColor="text1"/>
          <w:u w:val="single"/>
          <w:lang w:eastAsia="zh-CN"/>
          <w14:textFill>
            <w14:solidFill>
              <w14:schemeClr w14:val="tx1"/>
            </w14:solidFill>
          </w14:textFill>
        </w:rPr>
        <w:t>：</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rFonts w:hint="eastAsia"/>
          <w:color w:val="000000" w:themeColor="text1"/>
          <w:u w:val="single"/>
          <w:lang w:eastAsia="zh-CN"/>
          <w14:textFill>
            <w14:solidFill>
              <w14:schemeClr w14:val="tx1"/>
            </w14:solidFill>
          </w14:textFill>
        </w:rPr>
        <w:t>（</w:t>
      </w:r>
      <w:r>
        <w:rPr>
          <w:rFonts w:hint="eastAsia"/>
          <w:color w:val="000000" w:themeColor="text1"/>
          <w:lang w:eastAsia="zh-CN"/>
          <w14:textFill>
            <w14:solidFill>
              <w14:schemeClr w14:val="tx1"/>
            </w14:solidFill>
          </w14:textFill>
        </w:rPr>
        <w:t>签字</w:t>
      </w:r>
      <w:r>
        <w:rPr>
          <w:rFonts w:hint="eastAsia"/>
          <w:color w:val="000000" w:themeColor="text1"/>
          <w:spacing w:val="-18"/>
          <w:lang w:eastAsia="zh-CN"/>
          <w14:textFill>
            <w14:solidFill>
              <w14:schemeClr w14:val="tx1"/>
            </w14:solidFill>
          </w14:textFill>
        </w:rPr>
        <w:t>）</w:t>
      </w:r>
      <w:r>
        <w:rPr>
          <w:rFonts w:hint="eastAsia"/>
          <w:color w:val="000000" w:themeColor="text1"/>
          <w:lang w:eastAsia="zh-CN"/>
          <w14:textFill>
            <w14:solidFill>
              <w14:schemeClr w14:val="tx1"/>
            </w14:solidFill>
          </w14:textFill>
        </w:rPr>
        <w:t>地</w:t>
      </w:r>
      <w:r>
        <w:rPr>
          <w:color w:val="000000" w:themeColor="text1"/>
          <w:lang w:eastAsia="zh-CN"/>
          <w14:textFill>
            <w14:solidFill>
              <w14:schemeClr w14:val="tx1"/>
            </w14:solidFill>
          </w14:textFill>
        </w:rPr>
        <w:tab/>
      </w:r>
      <w:r>
        <w:rPr>
          <w:rFonts w:hint="eastAsia"/>
          <w:color w:val="000000" w:themeColor="text1"/>
          <w:lang w:eastAsia="zh-CN"/>
          <w14:textFill>
            <w14:solidFill>
              <w14:schemeClr w14:val="tx1"/>
            </w14:solidFill>
          </w14:textFill>
        </w:rPr>
        <w:t>址：</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4622"/>
          <w:tab w:val="left" w:pos="7488"/>
          <w:tab w:val="left" w:pos="8204"/>
          <w:tab w:val="left" w:pos="9099"/>
        </w:tabs>
        <w:spacing w:line="312" w:lineRule="auto"/>
        <w:ind w:left="3902" w:right="800"/>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网址：</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4622"/>
          <w:tab w:val="left" w:pos="7488"/>
          <w:tab w:val="left" w:pos="8204"/>
          <w:tab w:val="left" w:pos="9099"/>
        </w:tabs>
        <w:spacing w:line="312" w:lineRule="auto"/>
        <w:ind w:left="3902" w:right="800"/>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电话：</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4622"/>
          <w:tab w:val="left" w:pos="7488"/>
          <w:tab w:val="left" w:pos="8204"/>
          <w:tab w:val="left" w:pos="9099"/>
        </w:tabs>
        <w:spacing w:line="312" w:lineRule="auto"/>
        <w:ind w:left="3902" w:right="800"/>
        <w:rPr>
          <w:rFonts w:ascii="Times New Roman" w:hAnsi="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传真：</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spacing w:before="10"/>
        <w:rPr>
          <w:color w:val="000000" w:themeColor="text1"/>
          <w:sz w:val="9"/>
          <w:lang w:eastAsia="zh-CN"/>
          <w14:textFill>
            <w14:solidFill>
              <w14:schemeClr w14:val="tx1"/>
            </w14:solidFill>
          </w14:textFill>
        </w:rPr>
      </w:pPr>
    </w:p>
    <w:p>
      <w:pPr>
        <w:pStyle w:val="4"/>
        <w:tabs>
          <w:tab w:val="left" w:pos="9099"/>
        </w:tabs>
        <w:spacing w:before="74"/>
        <w:ind w:left="3902"/>
        <w:rPr>
          <w:rFonts w:ascii="Times New Roman" w:eastAsia="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邮政编码：</w:t>
      </w:r>
      <w:r>
        <w:rPr>
          <w:rFonts w:ascii="Times New Roman" w:eastAsia="Times New Roman"/>
          <w:color w:val="000000" w:themeColor="text1"/>
          <w:u w:val="single"/>
          <w:lang w:eastAsia="zh-CN"/>
          <w14:textFill>
            <w14:solidFill>
              <w14:schemeClr w14:val="tx1"/>
            </w14:solidFill>
          </w14:textFill>
        </w:rPr>
        <w:tab/>
      </w:r>
    </w:p>
    <w:p>
      <w:pPr>
        <w:pStyle w:val="4"/>
        <w:rPr>
          <w:rFonts w:ascii="Times New Roman"/>
          <w:color w:val="000000" w:themeColor="text1"/>
          <w:sz w:val="20"/>
          <w:lang w:eastAsia="zh-CN"/>
          <w14:textFill>
            <w14:solidFill>
              <w14:schemeClr w14:val="tx1"/>
            </w14:solidFill>
          </w14:textFill>
        </w:rPr>
      </w:pPr>
    </w:p>
    <w:p>
      <w:pPr>
        <w:pStyle w:val="4"/>
        <w:rPr>
          <w:rFonts w:ascii="Times New Roman"/>
          <w:color w:val="000000" w:themeColor="text1"/>
          <w:sz w:val="17"/>
          <w:lang w:eastAsia="zh-CN"/>
          <w14:textFill>
            <w14:solidFill>
              <w14:schemeClr w14:val="tx1"/>
            </w14:solidFill>
          </w14:textFill>
        </w:rPr>
      </w:pPr>
    </w:p>
    <w:p>
      <w:pPr>
        <w:pStyle w:val="4"/>
        <w:tabs>
          <w:tab w:val="left" w:pos="6302"/>
          <w:tab w:val="left" w:pos="7382"/>
          <w:tab w:val="left" w:pos="8463"/>
        </w:tabs>
        <w:spacing w:before="66"/>
        <w:ind w:left="5223"/>
        <w:rPr>
          <w:color w:val="000000" w:themeColor="text1"/>
          <w:lang w:eastAsia="zh-CN"/>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年</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月</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日</w:t>
      </w:r>
    </w:p>
    <w:p>
      <w:pPr>
        <w:rPr>
          <w:color w:val="000000" w:themeColor="text1"/>
          <w:lang w:eastAsia="zh-CN"/>
          <w14:textFill>
            <w14:solidFill>
              <w14:schemeClr w14:val="tx1"/>
            </w14:solidFill>
          </w14:textFill>
        </w:rPr>
        <w:sectPr>
          <w:headerReference r:id="rId17" w:type="default"/>
          <w:pgSz w:w="11910" w:h="16840"/>
          <w:pgMar w:top="1460" w:right="720" w:bottom="1280" w:left="1220" w:header="882" w:footer="1093" w:gutter="0"/>
          <w:cols w:space="720" w:num="1"/>
        </w:sectPr>
      </w:pPr>
    </w:p>
    <w:p>
      <w:pPr>
        <w:pStyle w:val="14"/>
        <w:spacing w:before="110"/>
        <w:ind w:left="2212"/>
        <w:rPr>
          <w:color w:val="000000" w:themeColor="text1"/>
          <w:lang w:eastAsia="zh-CN"/>
          <w14:textFill>
            <w14:solidFill>
              <w14:schemeClr w14:val="tx1"/>
            </w14:solidFill>
          </w14:textFill>
        </w:rPr>
      </w:pPr>
      <w:bookmarkStart w:id="37" w:name="_bookmark136"/>
      <w:bookmarkEnd w:id="37"/>
      <w:r>
        <w:rPr>
          <w:rFonts w:hint="eastAsia"/>
          <w:color w:val="000000" w:themeColor="text1"/>
          <w:lang w:eastAsia="zh-CN"/>
          <w14:textFill>
            <w14:solidFill>
              <w14:schemeClr w14:val="tx1"/>
            </w14:solidFill>
          </w14:textFill>
        </w:rPr>
        <w:t>二、授权委托书或法定代表人身份证明</w:t>
      </w:r>
    </w:p>
    <w:p>
      <w:pPr>
        <w:pStyle w:val="4"/>
        <w:spacing w:before="11"/>
        <w:rPr>
          <w:rFonts w:ascii="黑体"/>
          <w:color w:val="000000" w:themeColor="text1"/>
          <w:sz w:val="29"/>
          <w:lang w:eastAsia="zh-CN"/>
          <w14:textFill>
            <w14:solidFill>
              <w14:schemeClr w14:val="tx1"/>
            </w14:solidFill>
          </w14:textFill>
        </w:rPr>
      </w:pPr>
    </w:p>
    <w:p>
      <w:pPr>
        <w:ind w:left="471" w:right="913"/>
        <w:jc w:val="center"/>
        <w:rPr>
          <w:rFonts w:ascii="黑体" w:hAnsi="黑体" w:eastAsia="黑体"/>
          <w:b/>
          <w:color w:val="000000" w:themeColor="text1"/>
          <w:sz w:val="14"/>
          <w:lang w:eastAsia="zh-CN"/>
          <w14:textFill>
            <w14:solidFill>
              <w14:schemeClr w14:val="tx1"/>
            </w14:solidFill>
          </w14:textFill>
        </w:rPr>
      </w:pPr>
      <w:bookmarkStart w:id="38" w:name="_bookmark137"/>
      <w:bookmarkEnd w:id="38"/>
      <w:r>
        <w:rPr>
          <w:rFonts w:hint="eastAsia" w:ascii="黑体" w:hAnsi="黑体" w:eastAsia="黑体"/>
          <w:b/>
          <w:color w:val="000000" w:themeColor="text1"/>
          <w:sz w:val="28"/>
          <w:lang w:eastAsia="zh-CN"/>
          <w14:textFill>
            <w14:solidFill>
              <w14:schemeClr w14:val="tx1"/>
            </w14:solidFill>
          </w14:textFill>
        </w:rPr>
        <w:t>（一）</w:t>
      </w:r>
      <w:r>
        <w:rPr>
          <w:rFonts w:hint="eastAsia" w:ascii="黑体" w:hAnsi="黑体" w:eastAsia="黑体"/>
          <w:color w:val="000000" w:themeColor="text1"/>
          <w:sz w:val="28"/>
          <w:lang w:eastAsia="zh-CN"/>
          <w14:textFill>
            <w14:solidFill>
              <w14:schemeClr w14:val="tx1"/>
            </w14:solidFill>
          </w14:textFill>
        </w:rPr>
        <w:t>授权委托书</w:t>
      </w:r>
    </w:p>
    <w:p>
      <w:pPr>
        <w:pStyle w:val="4"/>
        <w:rPr>
          <w:rFonts w:ascii="黑体"/>
          <w:b/>
          <w:color w:val="000000" w:themeColor="text1"/>
          <w:sz w:val="28"/>
          <w:lang w:eastAsia="zh-CN"/>
          <w14:textFill>
            <w14:solidFill>
              <w14:schemeClr w14:val="tx1"/>
            </w14:solidFill>
          </w14:textFill>
        </w:rPr>
      </w:pPr>
    </w:p>
    <w:p>
      <w:pPr>
        <w:pStyle w:val="4"/>
        <w:rPr>
          <w:rFonts w:ascii="黑体"/>
          <w:b/>
          <w:color w:val="000000" w:themeColor="text1"/>
          <w:sz w:val="34"/>
          <w:lang w:eastAsia="zh-CN"/>
          <w14:textFill>
            <w14:solidFill>
              <w14:schemeClr w14:val="tx1"/>
            </w14:solidFill>
          </w14:textFill>
        </w:rPr>
      </w:pPr>
    </w:p>
    <w:p>
      <w:pPr>
        <w:pStyle w:val="4"/>
        <w:tabs>
          <w:tab w:val="left" w:pos="2068"/>
          <w:tab w:val="left" w:pos="3456"/>
          <w:tab w:val="left" w:pos="3801"/>
          <w:tab w:val="left" w:pos="6190"/>
          <w:tab w:val="left" w:pos="8561"/>
        </w:tabs>
        <w:spacing w:line="343" w:lineRule="auto"/>
        <w:ind w:left="482" w:right="802" w:firstLine="47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本人</w:t>
      </w:r>
      <w:r>
        <w:rPr>
          <w:color w:val="000000" w:themeColor="text1"/>
          <w:u w:val="single"/>
          <w:lang w:eastAsia="zh-CN"/>
          <w14:textFill>
            <w14:solidFill>
              <w14:schemeClr w14:val="tx1"/>
            </w14:solidFill>
          </w14:textFill>
        </w:rPr>
        <w:tab/>
      </w:r>
      <w:r>
        <w:rPr>
          <w:rFonts w:hint="eastAsia"/>
          <w:color w:val="000000" w:themeColor="text1"/>
          <w:u w:val="single"/>
          <w:lang w:eastAsia="zh-CN"/>
          <w14:textFill>
            <w14:solidFill>
              <w14:schemeClr w14:val="tx1"/>
            </w14:solidFill>
          </w14:textFill>
        </w:rPr>
        <w:t>（</w:t>
      </w:r>
      <w:r>
        <w:rPr>
          <w:rFonts w:hint="eastAsia"/>
          <w:color w:val="000000" w:themeColor="text1"/>
          <w:lang w:eastAsia="zh-CN"/>
          <w14:textFill>
            <w14:solidFill>
              <w14:schemeClr w14:val="tx1"/>
            </w14:solidFill>
          </w14:textFill>
        </w:rPr>
        <w:t>姓名</w:t>
      </w:r>
      <w:r>
        <w:rPr>
          <w:rFonts w:hint="eastAsia"/>
          <w:color w:val="000000" w:themeColor="text1"/>
          <w:spacing w:val="-94"/>
          <w:lang w:eastAsia="zh-CN"/>
          <w14:textFill>
            <w14:solidFill>
              <w14:schemeClr w14:val="tx1"/>
            </w14:solidFill>
          </w14:textFill>
        </w:rPr>
        <w:t>）</w:t>
      </w:r>
      <w:r>
        <w:rPr>
          <w:rFonts w:hint="eastAsia"/>
          <w:color w:val="000000" w:themeColor="text1"/>
          <w:lang w:eastAsia="zh-CN"/>
          <w14:textFill>
            <w14:solidFill>
              <w14:schemeClr w14:val="tx1"/>
            </w14:solidFill>
          </w14:textFill>
        </w:rPr>
        <w:t>系</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rFonts w:hint="eastAsia"/>
          <w:color w:val="000000" w:themeColor="text1"/>
          <w:u w:val="single"/>
          <w:lang w:eastAsia="zh-CN"/>
          <w14:textFill>
            <w14:solidFill>
              <w14:schemeClr w14:val="tx1"/>
            </w14:solidFill>
          </w14:textFill>
        </w:rPr>
        <w:t>（</w:t>
      </w:r>
      <w:r>
        <w:rPr>
          <w:rFonts w:hint="eastAsia"/>
          <w:color w:val="000000" w:themeColor="text1"/>
          <w:lang w:eastAsia="zh-CN"/>
          <w14:textFill>
            <w14:solidFill>
              <w14:schemeClr w14:val="tx1"/>
            </w14:solidFill>
          </w14:textFill>
        </w:rPr>
        <w:t>投标人名称</w:t>
      </w:r>
      <w:r>
        <w:rPr>
          <w:rFonts w:hint="eastAsia"/>
          <w:color w:val="000000" w:themeColor="text1"/>
          <w:spacing w:val="-94"/>
          <w:lang w:eastAsia="zh-CN"/>
          <w14:textFill>
            <w14:solidFill>
              <w14:schemeClr w14:val="tx1"/>
            </w14:solidFill>
          </w14:textFill>
        </w:rPr>
        <w:t>）</w:t>
      </w:r>
      <w:r>
        <w:rPr>
          <w:rFonts w:hint="eastAsia"/>
          <w:color w:val="000000" w:themeColor="text1"/>
          <w:lang w:eastAsia="zh-CN"/>
          <w14:textFill>
            <w14:solidFill>
              <w14:schemeClr w14:val="tx1"/>
            </w14:solidFill>
          </w14:textFill>
        </w:rPr>
        <w:t>的法定代表人</w:t>
      </w:r>
      <w:r>
        <w:rPr>
          <w:rFonts w:hint="eastAsia"/>
          <w:color w:val="000000" w:themeColor="text1"/>
          <w:spacing w:val="-94"/>
          <w:lang w:eastAsia="zh-CN"/>
          <w14:textFill>
            <w14:solidFill>
              <w14:schemeClr w14:val="tx1"/>
            </w14:solidFill>
          </w14:textFill>
        </w:rPr>
        <w:t>，</w:t>
      </w:r>
      <w:r>
        <w:rPr>
          <w:rFonts w:hint="eastAsia"/>
          <w:color w:val="000000" w:themeColor="text1"/>
          <w:lang w:eastAsia="zh-CN"/>
          <w14:textFill>
            <w14:solidFill>
              <w14:schemeClr w14:val="tx1"/>
            </w14:solidFill>
          </w14:textFill>
        </w:rPr>
        <w:t>现委托</w:t>
      </w:r>
      <w:r>
        <w:rPr>
          <w:color w:val="000000" w:themeColor="text1"/>
          <w:u w:val="single"/>
          <w:lang w:eastAsia="zh-CN"/>
          <w14:textFill>
            <w14:solidFill>
              <w14:schemeClr w14:val="tx1"/>
            </w14:solidFill>
          </w14:textFill>
        </w:rPr>
        <w:tab/>
      </w:r>
      <w:r>
        <w:rPr>
          <w:rFonts w:hint="eastAsia"/>
          <w:color w:val="000000" w:themeColor="text1"/>
          <w:u w:val="single"/>
          <w:lang w:eastAsia="zh-CN"/>
          <w14:textFill>
            <w14:solidFill>
              <w14:schemeClr w14:val="tx1"/>
            </w14:solidFill>
          </w14:textFill>
        </w:rPr>
        <w:t>（</w:t>
      </w:r>
      <w:r>
        <w:rPr>
          <w:rFonts w:hint="eastAsia"/>
          <w:color w:val="000000" w:themeColor="text1"/>
          <w:lang w:eastAsia="zh-CN"/>
          <w14:textFill>
            <w14:solidFill>
              <w14:schemeClr w14:val="tx1"/>
            </w14:solidFill>
          </w14:textFill>
        </w:rPr>
        <w:t>姓名）为我方代理人。代理人根据授权，以我方名义签署、澄</w:t>
      </w:r>
      <w:r>
        <w:rPr>
          <w:rFonts w:hint="eastAsia"/>
          <w:color w:val="000000" w:themeColor="text1"/>
          <w:spacing w:val="6"/>
          <w:lang w:eastAsia="zh-CN"/>
          <w14:textFill>
            <w14:solidFill>
              <w14:schemeClr w14:val="tx1"/>
            </w14:solidFill>
          </w14:textFill>
        </w:rPr>
        <w:t>清</w:t>
      </w:r>
      <w:r>
        <w:rPr>
          <w:rFonts w:hint="eastAsia"/>
          <w:color w:val="000000" w:themeColor="text1"/>
          <w:lang w:eastAsia="zh-CN"/>
          <w14:textFill>
            <w14:solidFill>
              <w14:schemeClr w14:val="tx1"/>
            </w14:solidFill>
          </w14:textFill>
        </w:rPr>
        <w:t>确认、递交、撤回</w:t>
      </w:r>
      <w:r>
        <w:rPr>
          <w:rFonts w:hint="eastAsia"/>
          <w:color w:val="000000" w:themeColor="text1"/>
          <w:spacing w:val="-14"/>
          <w:lang w:eastAsia="zh-CN"/>
          <w14:textFill>
            <w14:solidFill>
              <w14:schemeClr w14:val="tx1"/>
            </w14:solidFill>
          </w14:textFill>
        </w:rPr>
        <w:t>、</w:t>
      </w:r>
      <w:r>
        <w:rPr>
          <w:rFonts w:hint="eastAsia"/>
          <w:color w:val="000000" w:themeColor="text1"/>
          <w:lang w:eastAsia="zh-CN"/>
          <w14:textFill>
            <w14:solidFill>
              <w14:schemeClr w14:val="tx1"/>
            </w14:solidFill>
          </w14:textFill>
        </w:rPr>
        <w:t>修改</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（项目名称</w:t>
      </w:r>
      <w:r>
        <w:rPr>
          <w:rFonts w:hint="eastAsia"/>
          <w:color w:val="000000" w:themeColor="text1"/>
          <w:spacing w:val="-27"/>
          <w:lang w:eastAsia="zh-CN"/>
          <w14:textFill>
            <w14:solidFill>
              <w14:schemeClr w14:val="tx1"/>
            </w14:solidFill>
          </w14:textFill>
        </w:rPr>
        <w:t>）</w:t>
      </w:r>
      <w:r>
        <w:rPr>
          <w:rFonts w:hint="eastAsia"/>
          <w:color w:val="000000" w:themeColor="text1"/>
          <w:lang w:eastAsia="zh-CN"/>
          <w14:textFill>
            <w14:solidFill>
              <w14:schemeClr w14:val="tx1"/>
            </w14:solidFill>
          </w14:textFill>
        </w:rPr>
        <w:t>投标文件</w:t>
      </w:r>
      <w:r>
        <w:rPr>
          <w:rFonts w:hint="eastAsia"/>
          <w:color w:val="000000" w:themeColor="text1"/>
          <w:spacing w:val="-27"/>
          <w:lang w:eastAsia="zh-CN"/>
          <w14:textFill>
            <w14:solidFill>
              <w14:schemeClr w14:val="tx1"/>
            </w14:solidFill>
          </w14:textFill>
        </w:rPr>
        <w:t>、</w:t>
      </w:r>
      <w:r>
        <w:rPr>
          <w:rFonts w:hint="eastAsia"/>
          <w:color w:val="000000" w:themeColor="text1"/>
          <w:lang w:eastAsia="zh-CN"/>
          <w14:textFill>
            <w14:solidFill>
              <w14:schemeClr w14:val="tx1"/>
            </w14:solidFill>
          </w14:textFill>
        </w:rPr>
        <w:t>签订合同和处理有关事宜，其法律后果由我方承担。</w:t>
      </w:r>
    </w:p>
    <w:p>
      <w:pPr>
        <w:pStyle w:val="4"/>
        <w:spacing w:before="4" w:line="343" w:lineRule="auto"/>
        <w:ind w:left="961" w:right="324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委托期限：自本委托书签署之日起至投标有效期期满。代理人无转委托权。</w:t>
      </w:r>
    </w:p>
    <w:p>
      <w:pPr>
        <w:pStyle w:val="4"/>
        <w:rPr>
          <w:color w:val="000000" w:themeColor="text1"/>
          <w:lang w:eastAsia="zh-CN"/>
          <w14:textFill>
            <w14:solidFill>
              <w14:schemeClr w14:val="tx1"/>
            </w14:solidFill>
          </w14:textFill>
        </w:rPr>
      </w:pPr>
    </w:p>
    <w:p>
      <w:pPr>
        <w:spacing w:before="163"/>
        <w:ind w:left="48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附：法定代表人身份证复印件及委托代理人身份证复印件。</w:t>
      </w:r>
    </w:p>
    <w:p>
      <w:pPr>
        <w:pStyle w:val="4"/>
        <w:rPr>
          <w:color w:val="000000" w:themeColor="text1"/>
          <w:sz w:val="20"/>
          <w:lang w:eastAsia="zh-CN"/>
          <w14:textFill>
            <w14:solidFill>
              <w14:schemeClr w14:val="tx1"/>
            </w14:solidFill>
          </w14:textFill>
        </w:rPr>
      </w:pPr>
    </w:p>
    <w:p>
      <w:pPr>
        <w:pStyle w:val="4"/>
        <w:spacing w:before="4"/>
        <w:rPr>
          <w:color w:val="000000" w:themeColor="text1"/>
          <w:sz w:val="23"/>
          <w:lang w:eastAsia="zh-CN"/>
          <w14:textFill>
            <w14:solidFill>
              <w14:schemeClr w14:val="tx1"/>
            </w14:solidFill>
          </w14:textFill>
        </w:rPr>
      </w:pPr>
    </w:p>
    <w:p>
      <w:pPr>
        <w:pStyle w:val="4"/>
        <w:tabs>
          <w:tab w:val="left" w:pos="7373"/>
          <w:tab w:val="left" w:pos="7973"/>
          <w:tab w:val="left" w:pos="8628"/>
        </w:tabs>
        <w:spacing w:line="624" w:lineRule="auto"/>
        <w:ind w:left="3773" w:right="1030"/>
        <w:rPr>
          <w:rFonts w:ascii="Times New Roman" w:eastAsia="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投标人：</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（盖单位章）法定代表人：</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（签字</w:t>
      </w:r>
      <w:r>
        <w:rPr>
          <w:rFonts w:hint="eastAsia"/>
          <w:color w:val="000000" w:themeColor="text1"/>
          <w:spacing w:val="-17"/>
          <w:lang w:eastAsia="zh-CN"/>
          <w14:textFill>
            <w14:solidFill>
              <w14:schemeClr w14:val="tx1"/>
            </w14:solidFill>
          </w14:textFill>
        </w:rPr>
        <w:t>）</w:t>
      </w:r>
      <w:r>
        <w:rPr>
          <w:rFonts w:hint="eastAsia"/>
          <w:color w:val="000000" w:themeColor="text1"/>
          <w:lang w:eastAsia="zh-CN"/>
          <w14:textFill>
            <w14:solidFill>
              <w14:schemeClr w14:val="tx1"/>
            </w14:solidFill>
          </w14:textFill>
        </w:rPr>
        <w:t>身份证号码：</w:t>
      </w:r>
      <w:r>
        <w:rPr>
          <w:rFonts w:ascii="Times New Roman" w:eastAsia="Times New Roman"/>
          <w:color w:val="000000" w:themeColor="text1"/>
          <w:u w:val="single"/>
          <w:lang w:eastAsia="zh-CN"/>
          <w14:textFill>
            <w14:solidFill>
              <w14:schemeClr w14:val="tx1"/>
            </w14:solidFill>
          </w14:textFill>
        </w:rPr>
        <w:tab/>
      </w:r>
      <w:r>
        <w:rPr>
          <w:rFonts w:ascii="Times New Roman" w:eastAsia="Times New Roman"/>
          <w:color w:val="000000" w:themeColor="text1"/>
          <w:u w:val="single"/>
          <w:lang w:eastAsia="zh-CN"/>
          <w14:textFill>
            <w14:solidFill>
              <w14:schemeClr w14:val="tx1"/>
            </w14:solidFill>
          </w14:textFill>
        </w:rPr>
        <w:tab/>
      </w:r>
      <w:r>
        <w:rPr>
          <w:rFonts w:ascii="Times New Roman" w:eastAsia="Times New Roman"/>
          <w:color w:val="000000" w:themeColor="text1"/>
          <w:u w:val="single"/>
          <w:lang w:eastAsia="zh-CN"/>
          <w14:textFill>
            <w14:solidFill>
              <w14:schemeClr w14:val="tx1"/>
            </w14:solidFill>
          </w14:textFill>
        </w:rPr>
        <w:tab/>
      </w:r>
    </w:p>
    <w:p>
      <w:pPr>
        <w:pStyle w:val="4"/>
        <w:tabs>
          <w:tab w:val="left" w:pos="8185"/>
          <w:tab w:val="left" w:pos="8748"/>
        </w:tabs>
        <w:spacing w:before="2" w:line="626" w:lineRule="auto"/>
        <w:ind w:left="3773" w:right="804"/>
        <w:rPr>
          <w:rFonts w:ascii="Times New Roman" w:eastAsia="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委托代理人：</w:t>
      </w:r>
      <w:r>
        <w:rPr>
          <w:color w:val="000000" w:themeColor="text1"/>
          <w:u w:val="single"/>
          <w:lang w:eastAsia="zh-CN"/>
          <w14:textFill>
            <w14:solidFill>
              <w14:schemeClr w14:val="tx1"/>
            </w14:solidFill>
          </w14:textFill>
        </w:rPr>
        <w:tab/>
      </w:r>
      <w:r>
        <w:rPr>
          <w:rFonts w:hint="eastAsia"/>
          <w:color w:val="000000" w:themeColor="text1"/>
          <w:spacing w:val="4"/>
          <w:lang w:eastAsia="zh-CN"/>
          <w14:textFill>
            <w14:solidFill>
              <w14:schemeClr w14:val="tx1"/>
            </w14:solidFill>
          </w14:textFill>
        </w:rPr>
        <w:t>（签字</w:t>
      </w:r>
      <w:r>
        <w:rPr>
          <w:rFonts w:hint="eastAsia"/>
          <w:color w:val="000000" w:themeColor="text1"/>
          <w:spacing w:val="-15"/>
          <w:lang w:eastAsia="zh-CN"/>
          <w14:textFill>
            <w14:solidFill>
              <w14:schemeClr w14:val="tx1"/>
            </w14:solidFill>
          </w14:textFill>
        </w:rPr>
        <w:t>）</w:t>
      </w:r>
      <w:r>
        <w:rPr>
          <w:rFonts w:hint="eastAsia"/>
          <w:color w:val="000000" w:themeColor="text1"/>
          <w:lang w:eastAsia="zh-CN"/>
          <w14:textFill>
            <w14:solidFill>
              <w14:schemeClr w14:val="tx1"/>
            </w14:solidFill>
          </w14:textFill>
        </w:rPr>
        <w:t>身份证号码：</w:t>
      </w:r>
      <w:r>
        <w:rPr>
          <w:rFonts w:ascii="Times New Roman" w:eastAsia="Times New Roman"/>
          <w:color w:val="000000" w:themeColor="text1"/>
          <w:u w:val="single"/>
          <w:lang w:eastAsia="zh-CN"/>
          <w14:textFill>
            <w14:solidFill>
              <w14:schemeClr w14:val="tx1"/>
            </w14:solidFill>
          </w14:textFill>
        </w:rPr>
        <w:tab/>
      </w:r>
      <w:r>
        <w:rPr>
          <w:rFonts w:ascii="Times New Roman" w:eastAsia="Times New Roman"/>
          <w:color w:val="000000" w:themeColor="text1"/>
          <w:u w:val="single"/>
          <w:lang w:eastAsia="zh-CN"/>
          <w14:textFill>
            <w14:solidFill>
              <w14:schemeClr w14:val="tx1"/>
            </w14:solidFill>
          </w14:textFill>
        </w:rPr>
        <w:tab/>
      </w:r>
    </w:p>
    <w:p>
      <w:pPr>
        <w:pStyle w:val="4"/>
        <w:tabs>
          <w:tab w:val="left" w:pos="5940"/>
          <w:tab w:val="left" w:pos="7260"/>
          <w:tab w:val="left" w:pos="8395"/>
        </w:tabs>
        <w:spacing w:line="304" w:lineRule="exact"/>
        <w:ind w:left="5100"/>
        <w:rPr>
          <w:color w:val="000000" w:themeColor="text1"/>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rFonts w:hint="eastAsia"/>
          <w:color w:val="000000" w:themeColor="text1"/>
          <w14:textFill>
            <w14:solidFill>
              <w14:schemeClr w14:val="tx1"/>
            </w14:solidFill>
          </w14:textFill>
        </w:rPr>
        <w:t>年</w:t>
      </w:r>
      <w:r>
        <w:rPr>
          <w:color w:val="000000" w:themeColor="text1"/>
          <w:u w:val="single"/>
          <w14:textFill>
            <w14:solidFill>
              <w14:schemeClr w14:val="tx1"/>
            </w14:solidFill>
          </w14:textFill>
        </w:rPr>
        <w:tab/>
      </w:r>
      <w:r>
        <w:rPr>
          <w:rFonts w:hint="eastAsia"/>
          <w:color w:val="000000" w:themeColor="text1"/>
          <w14:textFill>
            <w14:solidFill>
              <w14:schemeClr w14:val="tx1"/>
            </w14:solidFill>
          </w14:textFill>
        </w:rPr>
        <w:t>月</w:t>
      </w:r>
      <w:r>
        <w:rPr>
          <w:color w:val="000000" w:themeColor="text1"/>
          <w:u w:val="single"/>
          <w14:textFill>
            <w14:solidFill>
              <w14:schemeClr w14:val="tx1"/>
            </w14:solidFill>
          </w14:textFill>
        </w:rPr>
        <w:tab/>
      </w:r>
      <w:r>
        <w:rPr>
          <w:rFonts w:hint="eastAsia"/>
          <w:color w:val="000000" w:themeColor="text1"/>
          <w14:textFill>
            <w14:solidFill>
              <w14:schemeClr w14:val="tx1"/>
            </w14:solidFill>
          </w14:textFill>
        </w:rPr>
        <w:t>日</w:t>
      </w:r>
    </w:p>
    <w:p>
      <w:pPr>
        <w:pStyle w:val="4"/>
        <w:spacing w:before="9"/>
        <w:rPr>
          <w:color w:val="000000" w:themeColor="text1"/>
          <w:sz w:val="34"/>
          <w14:textFill>
            <w14:solidFill>
              <w14:schemeClr w14:val="tx1"/>
            </w14:solidFill>
          </w14:textFill>
        </w:rPr>
      </w:pPr>
    </w:p>
    <w:p>
      <w:pPr>
        <w:ind w:left="48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w:t>
      </w:r>
    </w:p>
    <w:p>
      <w:pPr>
        <w:pStyle w:val="30"/>
        <w:numPr>
          <w:ilvl w:val="0"/>
          <w:numId w:val="64"/>
        </w:numPr>
        <w:tabs>
          <w:tab w:val="left" w:pos="1062"/>
        </w:tabs>
        <w:spacing w:before="132" w:line="355" w:lineRule="auto"/>
        <w:ind w:right="917" w:firstLine="420"/>
        <w:rPr>
          <w:color w:val="000000" w:themeColor="text1"/>
          <w:sz w:val="21"/>
          <w:lang w:eastAsia="zh-CN"/>
          <w14:textFill>
            <w14:solidFill>
              <w14:schemeClr w14:val="tx1"/>
            </w14:solidFill>
          </w14:textFill>
        </w:rPr>
      </w:pPr>
      <w:r>
        <w:rPr>
          <w:rFonts w:hint="eastAsia"/>
          <w:color w:val="000000" w:themeColor="text1"/>
          <w:spacing w:val="-3"/>
          <w:sz w:val="21"/>
          <w:lang w:eastAsia="zh-CN"/>
          <w14:textFill>
            <w14:solidFill>
              <w14:schemeClr w14:val="tx1"/>
            </w14:solidFill>
          </w14:textFill>
        </w:rPr>
        <w:t>法定代表人和委托代理人必须在授权委托书上亲笔签名，不得使用印章、签名章或其他电子制版签名代替；</w:t>
      </w:r>
    </w:p>
    <w:p>
      <w:pPr>
        <w:pStyle w:val="30"/>
        <w:tabs>
          <w:tab w:val="left" w:pos="1062"/>
        </w:tabs>
        <w:spacing w:before="2"/>
        <w:ind w:left="902" w:firstLine="0"/>
        <w:rPr>
          <w:color w:val="000000" w:themeColor="text1"/>
          <w:sz w:val="21"/>
          <w:lang w:eastAsia="zh-CN"/>
          <w14:textFill>
            <w14:solidFill>
              <w14:schemeClr w14:val="tx1"/>
            </w14:solidFill>
          </w14:textFill>
        </w:rPr>
      </w:pPr>
    </w:p>
    <w:p>
      <w:pPr>
        <w:pStyle w:val="30"/>
        <w:tabs>
          <w:tab w:val="left" w:pos="1062"/>
        </w:tabs>
        <w:spacing w:before="2"/>
        <w:ind w:left="902" w:firstLine="0"/>
        <w:rPr>
          <w:color w:val="000000" w:themeColor="text1"/>
          <w:sz w:val="21"/>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spacing w:before="232"/>
        <w:ind w:left="3081"/>
        <w:rPr>
          <w:rFonts w:ascii="黑体" w:eastAsia="黑体"/>
          <w:color w:val="000000" w:themeColor="text1"/>
          <w:sz w:val="28"/>
          <w:lang w:eastAsia="zh-CN"/>
          <w14:textFill>
            <w14:solidFill>
              <w14:schemeClr w14:val="tx1"/>
            </w14:solidFill>
          </w14:textFill>
        </w:rPr>
      </w:pPr>
      <w:bookmarkStart w:id="39" w:name="_bookmark138"/>
      <w:bookmarkEnd w:id="39"/>
      <w:r>
        <w:rPr>
          <w:rFonts w:hint="eastAsia" w:ascii="黑体" w:eastAsia="黑体"/>
          <w:color w:val="000000" w:themeColor="text1"/>
          <w:sz w:val="28"/>
          <w:lang w:eastAsia="zh-CN"/>
          <w14:textFill>
            <w14:solidFill>
              <w14:schemeClr w14:val="tx1"/>
            </w14:solidFill>
          </w14:textFill>
        </w:rPr>
        <w:t>（二）法定代表人身份证明</w:t>
      </w:r>
    </w:p>
    <w:p>
      <w:pPr>
        <w:pStyle w:val="4"/>
        <w:rPr>
          <w:rFonts w:ascii="黑体"/>
          <w:color w:val="000000" w:themeColor="text1"/>
          <w:sz w:val="28"/>
          <w:lang w:eastAsia="zh-CN"/>
          <w14:textFill>
            <w14:solidFill>
              <w14:schemeClr w14:val="tx1"/>
            </w14:solidFill>
          </w14:textFill>
        </w:rPr>
      </w:pPr>
    </w:p>
    <w:p>
      <w:pPr>
        <w:pStyle w:val="4"/>
        <w:rPr>
          <w:rFonts w:ascii="黑体"/>
          <w:color w:val="000000" w:themeColor="text1"/>
          <w:sz w:val="34"/>
          <w:lang w:eastAsia="zh-CN"/>
          <w14:textFill>
            <w14:solidFill>
              <w14:schemeClr w14:val="tx1"/>
            </w14:solidFill>
          </w14:textFill>
        </w:rPr>
      </w:pPr>
    </w:p>
    <w:p>
      <w:pPr>
        <w:pStyle w:val="4"/>
        <w:tabs>
          <w:tab w:val="left" w:pos="5337"/>
        </w:tabs>
        <w:ind w:left="482"/>
        <w:rPr>
          <w:rFonts w:ascii="Times New Roman" w:eastAsia="Times New Roman"/>
          <w:color w:val="000000" w:themeColor="text1"/>
          <w:lang w:eastAsia="zh-CN"/>
          <w14:textFill>
            <w14:solidFill>
              <w14:schemeClr w14:val="tx1"/>
            </w14:solidFill>
          </w14:textFill>
        </w:rPr>
      </w:pPr>
      <w:r>
        <w:rPr>
          <w:rFonts w:hint="eastAsia"/>
          <w:color w:val="000000" w:themeColor="text1"/>
          <w:spacing w:val="-1"/>
          <w:lang w:eastAsia="zh-CN"/>
          <w14:textFill>
            <w14:solidFill>
              <w14:schemeClr w14:val="tx1"/>
            </w14:solidFill>
          </w14:textFill>
        </w:rPr>
        <w:t>投</w:t>
      </w:r>
      <w:r>
        <w:rPr>
          <w:rFonts w:hint="eastAsia"/>
          <w:color w:val="000000" w:themeColor="text1"/>
          <w:lang w:eastAsia="zh-CN"/>
          <w14:textFill>
            <w14:solidFill>
              <w14:schemeClr w14:val="tx1"/>
            </w14:solidFill>
          </w14:textFill>
        </w:rPr>
        <w:t>标人名称：</w:t>
      </w:r>
      <w:r>
        <w:rPr>
          <w:rFonts w:ascii="Times New Roman" w:eastAsia="Times New Roman"/>
          <w:color w:val="000000" w:themeColor="text1"/>
          <w:u w:val="single"/>
          <w:lang w:eastAsia="zh-CN"/>
          <w14:textFill>
            <w14:solidFill>
              <w14:schemeClr w14:val="tx1"/>
            </w14:solidFill>
          </w14:textFill>
        </w:rPr>
        <w:tab/>
      </w:r>
    </w:p>
    <w:p>
      <w:pPr>
        <w:pStyle w:val="4"/>
        <w:tabs>
          <w:tab w:val="left" w:pos="4257"/>
          <w:tab w:val="left" w:pos="5697"/>
          <w:tab w:val="left" w:pos="7442"/>
          <w:tab w:val="left" w:pos="9099"/>
        </w:tabs>
        <w:spacing w:before="134" w:line="343" w:lineRule="auto"/>
        <w:ind w:left="482" w:right="865"/>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姓名：</w:t>
      </w:r>
      <w:r>
        <w:rPr>
          <w:rFonts w:hint="eastAsia"/>
          <w:color w:val="000000" w:themeColor="text1"/>
          <w:u w:val="single"/>
          <w:lang w:eastAsia="zh-CN"/>
          <w14:textFill>
            <w14:solidFill>
              <w14:schemeClr w14:val="tx1"/>
            </w14:solidFill>
          </w14:textFill>
        </w:rPr>
        <w:t>（法定代表人亲笔签字）</w:t>
      </w:r>
      <w:r>
        <w:rPr>
          <w:rFonts w:hint="eastAsia"/>
          <w:color w:val="000000" w:themeColor="text1"/>
          <w:lang w:eastAsia="zh-CN"/>
          <w14:textFill>
            <w14:solidFill>
              <w14:schemeClr w14:val="tx1"/>
            </w14:solidFill>
          </w14:textFill>
        </w:rPr>
        <w:t>性别：</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年龄：</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职务：</w:t>
      </w:r>
      <w:r>
        <w:rPr>
          <w:rFonts w:ascii="Times New Roman" w:eastAsia="Times New Roman"/>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系</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（投标人名称）的法定代表人。</w:t>
      </w:r>
    </w:p>
    <w:p>
      <w:pPr>
        <w:pStyle w:val="4"/>
        <w:spacing w:line="306" w:lineRule="exact"/>
        <w:ind w:left="961"/>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特此证明。</w:t>
      </w:r>
    </w:p>
    <w:p>
      <w:pPr>
        <w:pStyle w:val="4"/>
        <w:rPr>
          <w:color w:val="000000" w:themeColor="text1"/>
          <w:lang w:eastAsia="zh-CN"/>
          <w14:textFill>
            <w14:solidFill>
              <w14:schemeClr w14:val="tx1"/>
            </w14:solidFill>
          </w14:textFill>
        </w:rPr>
      </w:pPr>
    </w:p>
    <w:p>
      <w:pPr>
        <w:pStyle w:val="4"/>
        <w:spacing w:before="2"/>
        <w:rPr>
          <w:color w:val="000000" w:themeColor="text1"/>
          <w:sz w:val="23"/>
          <w:lang w:eastAsia="zh-CN"/>
          <w14:textFill>
            <w14:solidFill>
              <w14:schemeClr w14:val="tx1"/>
            </w14:solidFill>
          </w14:textFill>
        </w:rPr>
      </w:pPr>
    </w:p>
    <w:p>
      <w:pPr>
        <w:ind w:left="48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附：法定代表人身份证复印件。</w:t>
      </w: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tabs>
          <w:tab w:val="left" w:pos="6602"/>
        </w:tabs>
        <w:spacing w:before="179"/>
        <w:ind w:left="3602"/>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投标人：</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（盖单位章）</w:t>
      </w:r>
    </w:p>
    <w:p>
      <w:pPr>
        <w:pStyle w:val="4"/>
        <w:tabs>
          <w:tab w:val="left" w:pos="5882"/>
          <w:tab w:val="left" w:pos="6842"/>
          <w:tab w:val="left" w:pos="7497"/>
        </w:tabs>
        <w:spacing w:before="134"/>
        <w:ind w:left="4802"/>
        <w:rPr>
          <w:color w:val="000000" w:themeColor="text1"/>
          <w:lang w:eastAsia="zh-CN"/>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年</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月</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日</w:t>
      </w:r>
    </w:p>
    <w:p>
      <w:pPr>
        <w:pStyle w:val="4"/>
        <w:rPr>
          <w:color w:val="000000" w:themeColor="text1"/>
          <w:sz w:val="26"/>
          <w:lang w:eastAsia="zh-CN"/>
          <w14:textFill>
            <w14:solidFill>
              <w14:schemeClr w14:val="tx1"/>
            </w14:solidFill>
          </w14:textFill>
        </w:rPr>
      </w:pPr>
    </w:p>
    <w:p>
      <w:pPr>
        <w:pStyle w:val="4"/>
        <w:rPr>
          <w:color w:val="000000" w:themeColor="text1"/>
          <w:sz w:val="26"/>
          <w:lang w:eastAsia="zh-CN"/>
          <w14:textFill>
            <w14:solidFill>
              <w14:schemeClr w14:val="tx1"/>
            </w14:solidFill>
          </w14:textFill>
        </w:rPr>
      </w:pPr>
    </w:p>
    <w:p>
      <w:pPr>
        <w:pStyle w:val="4"/>
        <w:rPr>
          <w:color w:val="000000" w:themeColor="text1"/>
          <w:sz w:val="26"/>
          <w:lang w:eastAsia="zh-CN"/>
          <w14:textFill>
            <w14:solidFill>
              <w14:schemeClr w14:val="tx1"/>
            </w14:solidFill>
          </w14:textFill>
        </w:rPr>
      </w:pPr>
    </w:p>
    <w:p>
      <w:pPr>
        <w:pStyle w:val="4"/>
        <w:rPr>
          <w:color w:val="000000" w:themeColor="text1"/>
          <w:sz w:val="26"/>
          <w:lang w:eastAsia="zh-CN"/>
          <w14:textFill>
            <w14:solidFill>
              <w14:schemeClr w14:val="tx1"/>
            </w14:solidFill>
          </w14:textFill>
        </w:rPr>
      </w:pPr>
    </w:p>
    <w:p>
      <w:pPr>
        <w:pStyle w:val="4"/>
        <w:rPr>
          <w:color w:val="000000" w:themeColor="text1"/>
          <w:sz w:val="26"/>
          <w:lang w:eastAsia="zh-CN"/>
          <w14:textFill>
            <w14:solidFill>
              <w14:schemeClr w14:val="tx1"/>
            </w14:solidFill>
          </w14:textFill>
        </w:rPr>
      </w:pPr>
    </w:p>
    <w:p>
      <w:pPr>
        <w:pStyle w:val="4"/>
        <w:spacing w:before="10"/>
        <w:rPr>
          <w:color w:val="000000" w:themeColor="text1"/>
          <w:sz w:val="18"/>
          <w:lang w:eastAsia="zh-CN"/>
          <w14:textFill>
            <w14:solidFill>
              <w14:schemeClr w14:val="tx1"/>
            </w14:solidFill>
          </w14:textFill>
        </w:rPr>
      </w:pPr>
    </w:p>
    <w:p>
      <w:pPr>
        <w:spacing w:before="1"/>
        <w:ind w:left="901"/>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注：法定代表人的签字必须是亲笔签名，不得使用印章、签名章或其他电子制版签名代替。</w:t>
      </w:r>
    </w:p>
    <w:p>
      <w:pPr>
        <w:rPr>
          <w:color w:val="000000" w:themeColor="text1"/>
          <w:sz w:val="21"/>
          <w:lang w:eastAsia="zh-CN"/>
          <w14:textFill>
            <w14:solidFill>
              <w14:schemeClr w14:val="tx1"/>
            </w14:solidFill>
          </w14:textFill>
        </w:rPr>
        <w:sectPr>
          <w:pgSz w:w="11910" w:h="16840"/>
          <w:pgMar w:top="1460" w:right="720" w:bottom="1280" w:left="1220" w:header="882" w:footer="1093" w:gutter="0"/>
          <w:cols w:space="720" w:num="1"/>
        </w:sectPr>
      </w:pPr>
    </w:p>
    <w:p>
      <w:pPr>
        <w:spacing w:before="128" w:line="539" w:lineRule="exact"/>
        <w:ind w:left="12" w:right="913" w:hanging="12"/>
        <w:jc w:val="center"/>
        <w:rPr>
          <w:rFonts w:ascii="黑体" w:eastAsia="黑体"/>
          <w:color w:val="000000" w:themeColor="text1"/>
          <w:sz w:val="28"/>
          <w:lang w:eastAsia="zh-CN"/>
          <w14:textFill>
            <w14:solidFill>
              <w14:schemeClr w14:val="tx1"/>
            </w14:solidFill>
          </w14:textFill>
        </w:rPr>
      </w:pPr>
      <w:r>
        <w:rPr>
          <w:rFonts w:hint="eastAsia" w:ascii="黑体" w:hAnsi="宋体" w:eastAsia="黑体" w:cs="宋体"/>
          <w:color w:val="000000" w:themeColor="text1"/>
          <w:sz w:val="28"/>
          <w:lang w:eastAsia="zh-CN"/>
          <w14:textFill>
            <w14:solidFill>
              <w14:schemeClr w14:val="tx1"/>
            </w14:solidFill>
          </w14:textFill>
        </w:rPr>
        <w:t>三、联合体协议书（如有）</w:t>
      </w:r>
    </w:p>
    <w:p>
      <w:pPr>
        <w:pStyle w:val="4"/>
        <w:spacing w:before="9"/>
        <w:rPr>
          <w:rFonts w:ascii="Noto Sans CJK JP Regular"/>
          <w:color w:val="000000" w:themeColor="text1"/>
          <w:sz w:val="17"/>
          <w:highlight w:val="yellow"/>
          <w:lang w:eastAsia="zh-CN"/>
          <w14:textFill>
            <w14:solidFill>
              <w14:schemeClr w14:val="tx1"/>
            </w14:solidFill>
          </w14:textFill>
        </w:rPr>
      </w:pPr>
    </w:p>
    <w:p>
      <w:pPr>
        <w:adjustRightInd w:val="0"/>
        <w:spacing w:line="287" w:lineRule="exact"/>
        <w:ind w:left="222" w:right="-20"/>
        <w:rPr>
          <w:rFonts w:ascii="黑体" w:eastAsia="黑体" w:cs="黑体"/>
          <w:color w:val="000000" w:themeColor="text1"/>
          <w:szCs w:val="21"/>
          <w:highlight w:val="yellow"/>
          <w:lang w:eastAsia="zh-CN"/>
          <w14:textFill>
            <w14:solidFill>
              <w14:schemeClr w14:val="tx1"/>
            </w14:solidFill>
          </w14:textFill>
        </w:rPr>
      </w:pPr>
    </w:p>
    <w:p>
      <w:pPr>
        <w:pStyle w:val="4"/>
        <w:tabs>
          <w:tab w:val="left" w:pos="1798"/>
          <w:tab w:val="left" w:pos="1918"/>
          <w:tab w:val="left" w:pos="5758"/>
        </w:tabs>
        <w:spacing w:line="357" w:lineRule="auto"/>
        <w:ind w:right="264" w:firstLine="480"/>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(所有成员单位名称)自愿组成</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 xml:space="preserve">（联合体名称）联合体， </w:t>
      </w:r>
      <w:r>
        <w:rPr>
          <w:color w:val="000000" w:themeColor="text1"/>
          <w:lang w:eastAsia="zh-CN"/>
          <w14:textFill>
            <w14:solidFill>
              <w14:schemeClr w14:val="tx1"/>
            </w14:solidFill>
          </w14:textFill>
        </w:rPr>
        <w:t>共同参加</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(项目名称)标段勘察设计招标投标。现就联合体投标事宜订立如下协议。</w:t>
      </w:r>
    </w:p>
    <w:p>
      <w:pPr>
        <w:pStyle w:val="4"/>
        <w:tabs>
          <w:tab w:val="left" w:pos="2638"/>
          <w:tab w:val="left" w:pos="5638"/>
        </w:tabs>
        <w:spacing w:before="36"/>
        <w:ind w:left="59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1.(某成员单位名称)为</w:t>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（联合体名称）牵头人。</w:t>
      </w:r>
    </w:p>
    <w:p>
      <w:pPr>
        <w:pStyle w:val="4"/>
        <w:spacing w:before="152" w:line="355" w:lineRule="auto"/>
        <w:ind w:right="237"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2.联合体各成员授权牵头人代表联合体参加投标活动，签署文件，提交和接 收相关的资料、信息及指示，进行合同谈判活动，负责合同实施阶段的组织和协 </w:t>
      </w:r>
      <w:r>
        <w:rPr>
          <w:color w:val="000000" w:themeColor="text1"/>
          <w:lang w:eastAsia="zh-CN"/>
          <w14:textFill>
            <w14:solidFill>
              <w14:schemeClr w14:val="tx1"/>
            </w14:solidFill>
          </w14:textFill>
        </w:rPr>
        <w:t>调工作，以及处理与本招标项目有关的一切事务。</w:t>
      </w:r>
    </w:p>
    <w:p>
      <w:pPr>
        <w:pStyle w:val="4"/>
        <w:spacing w:before="37" w:line="357" w:lineRule="auto"/>
        <w:ind w:right="237"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3.联合体牵头人在本项目中签署的一切文件和处理的一切事宜，联合体各成 员均予以承认。联合体各成员将严格按照招标文件、投标文件和合同的要求全面 </w:t>
      </w:r>
      <w:r>
        <w:rPr>
          <w:color w:val="000000" w:themeColor="text1"/>
          <w:lang w:eastAsia="zh-CN"/>
          <w14:textFill>
            <w14:solidFill>
              <w14:schemeClr w14:val="tx1"/>
            </w14:solidFill>
          </w14:textFill>
        </w:rPr>
        <w:t>履行义务，并向招标人承担连带责任。</w:t>
      </w:r>
    </w:p>
    <w:p>
      <w:pPr>
        <w:pStyle w:val="4"/>
        <w:tabs>
          <w:tab w:val="left" w:pos="7345"/>
          <w:tab w:val="left" w:pos="7438"/>
        </w:tabs>
        <w:spacing w:before="35" w:line="357" w:lineRule="auto"/>
        <w:ind w:right="117" w:firstLine="480"/>
        <w:rPr>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4.联合体各成员单位内部的职责分工如下：</w:t>
      </w:r>
      <w:r>
        <w:rPr>
          <w:color w:val="000000" w:themeColor="text1"/>
          <w:spacing w:val="-4"/>
          <w:u w:val="single" w:color="010101"/>
          <w:lang w:eastAsia="zh-CN"/>
          <w14:textFill>
            <w14:solidFill>
              <w14:schemeClr w14:val="tx1"/>
            </w14:solidFill>
          </w14:textFill>
        </w:rPr>
        <w:t>(牵头人名称)</w:t>
      </w:r>
      <w:r>
        <w:rPr>
          <w:color w:val="000000" w:themeColor="text1"/>
          <w:spacing w:val="-4"/>
          <w:lang w:eastAsia="zh-CN"/>
          <w14:textFill>
            <w14:solidFill>
              <w14:schemeClr w14:val="tx1"/>
            </w14:solidFill>
          </w14:textFill>
        </w:rPr>
        <w:t>承担</w:t>
      </w:r>
      <w:r>
        <w:rPr>
          <w:rFonts w:ascii="Times New Roman" w:hAnsi="Times New Roman" w:eastAsia="Times New Roman"/>
          <w:color w:val="000000" w:themeColor="text1"/>
          <w:spacing w:val="-4"/>
          <w:u w:val="single" w:color="010101"/>
          <w:lang w:eastAsia="zh-CN"/>
          <w14:textFill>
            <w14:solidFill>
              <w14:schemeClr w14:val="tx1"/>
            </w14:solidFill>
          </w14:textFill>
        </w:rPr>
        <w:tab/>
      </w:r>
      <w:r>
        <w:rPr>
          <w:color w:val="000000" w:themeColor="text1"/>
          <w:lang w:eastAsia="zh-CN"/>
          <w14:textFill>
            <w14:solidFill>
              <w14:schemeClr w14:val="tx1"/>
            </w14:solidFill>
          </w14:textFill>
        </w:rPr>
        <w:t xml:space="preserve">专业工程， 占总工程量的%； </w:t>
      </w:r>
      <w:r>
        <w:rPr>
          <w:color w:val="000000" w:themeColor="text1"/>
          <w:u w:val="single" w:color="010101"/>
          <w:lang w:eastAsia="zh-CN"/>
          <w14:textFill>
            <w14:solidFill>
              <w14:schemeClr w14:val="tx1"/>
            </w14:solidFill>
          </w14:textFill>
        </w:rPr>
        <w:t>(成员名称)</w:t>
      </w:r>
      <w:r>
        <w:rPr>
          <w:color w:val="000000" w:themeColor="text1"/>
          <w:lang w:eastAsia="zh-CN"/>
          <w14:textFill>
            <w14:solidFill>
              <w14:schemeClr w14:val="tx1"/>
            </w14:solidFill>
          </w14:textFill>
        </w:rPr>
        <w:t>承担专业工程，占总工程量的</w:t>
      </w:r>
      <w:r>
        <w:rPr>
          <w:rFonts w:ascii="Times New Roman" w:hAnsi="Times New Roman" w:eastAsia="Times New Roman"/>
          <w:color w:val="000000" w:themeColor="text1"/>
          <w:u w:val="single" w:color="010101"/>
          <w:lang w:eastAsia="zh-CN"/>
          <w14:textFill>
            <w14:solidFill>
              <w14:schemeClr w14:val="tx1"/>
            </w14:solidFill>
          </w14:textFill>
        </w:rPr>
        <w:tab/>
      </w:r>
      <w:r>
        <w:rPr>
          <w:rFonts w:ascii="Times New Roman" w:hAnsi="Times New Roman" w:eastAsia="Times New Roman"/>
          <w:color w:val="000000" w:themeColor="text1"/>
          <w:u w:val="single" w:color="010101"/>
          <w:lang w:eastAsia="zh-CN"/>
          <w14:textFill>
            <w14:solidFill>
              <w14:schemeClr w14:val="tx1"/>
            </w14:solidFill>
          </w14:textFill>
        </w:rPr>
        <w:tab/>
      </w:r>
      <w:r>
        <w:rPr>
          <w:color w:val="000000" w:themeColor="text1"/>
          <w:lang w:eastAsia="zh-CN"/>
          <w14:textFill>
            <w14:solidFill>
              <w14:schemeClr w14:val="tx1"/>
            </w14:solidFill>
          </w14:textFill>
        </w:rPr>
        <w:t>%；</w:t>
      </w:r>
    </w:p>
    <w:p>
      <w:pPr>
        <w:pStyle w:val="4"/>
        <w:spacing w:before="35" w:line="357" w:lineRule="auto"/>
        <w:ind w:right="366"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5.投标工作和联合体在中标后工程实施过程中的有关费用按各自承担的工作量分摊。</w:t>
      </w:r>
    </w:p>
    <w:p>
      <w:pPr>
        <w:pStyle w:val="4"/>
        <w:spacing w:before="35" w:line="357" w:lineRule="auto"/>
        <w:ind w:right="237" w:firstLine="480"/>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 xml:space="preserve">6.本协议书自所有成员单位法定代表人签字或盖单位章之日起生效，合同履 </w:t>
      </w:r>
      <w:r>
        <w:rPr>
          <w:color w:val="000000" w:themeColor="text1"/>
          <w:lang w:eastAsia="zh-CN"/>
          <w14:textFill>
            <w14:solidFill>
              <w14:schemeClr w14:val="tx1"/>
            </w14:solidFill>
          </w14:textFill>
        </w:rPr>
        <w:t>行完毕后自动失效。</w:t>
      </w:r>
    </w:p>
    <w:p>
      <w:pPr>
        <w:pStyle w:val="4"/>
        <w:tabs>
          <w:tab w:val="left" w:pos="2638"/>
        </w:tabs>
        <w:spacing w:before="35"/>
        <w:ind w:left="59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7.本协议书一式份，联合体成员和招标人各执一份。</w:t>
      </w:r>
    </w:p>
    <w:p>
      <w:pPr>
        <w:rPr>
          <w:color w:val="000000" w:themeColor="text1"/>
          <w:sz w:val="24"/>
          <w:lang w:eastAsia="zh-CN"/>
          <w14:textFill>
            <w14:solidFill>
              <w14:schemeClr w14:val="tx1"/>
            </w14:solidFill>
          </w14:textFill>
        </w:rPr>
      </w:pPr>
    </w:p>
    <w:p>
      <w:pPr>
        <w:spacing w:before="3"/>
        <w:rPr>
          <w:color w:val="000000" w:themeColor="text1"/>
          <w:sz w:val="30"/>
          <w:szCs w:val="30"/>
          <w:lang w:eastAsia="zh-CN"/>
          <w14:textFill>
            <w14:solidFill>
              <w14:schemeClr w14:val="tx1"/>
            </w14:solidFill>
          </w14:textFill>
        </w:rPr>
      </w:pPr>
    </w:p>
    <w:p>
      <w:pPr>
        <w:pStyle w:val="4"/>
        <w:tabs>
          <w:tab w:val="left" w:pos="5029"/>
          <w:tab w:val="left" w:pos="5269"/>
        </w:tabs>
        <w:spacing w:line="304" w:lineRule="auto"/>
        <w:ind w:left="589" w:right="1954"/>
        <w:rPr>
          <w:color w:val="000000" w:themeColor="text1"/>
          <w:spacing w:val="-1"/>
          <w:lang w:eastAsia="zh-CN"/>
          <w14:textFill>
            <w14:solidFill>
              <w14:schemeClr w14:val="tx1"/>
            </w14:solidFill>
          </w14:textFill>
        </w:rPr>
      </w:pPr>
      <w:r>
        <w:rPr>
          <w:color w:val="000000" w:themeColor="text1"/>
          <w:spacing w:val="-1"/>
          <w:lang w:eastAsia="zh-CN"/>
          <w14:textFill>
            <w14:solidFill>
              <w14:schemeClr w14:val="tx1"/>
            </w14:solidFill>
          </w14:textFill>
        </w:rPr>
        <w:t>联合体牵头人名称：</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 xml:space="preserve">（盖单位章） </w:t>
      </w:r>
    </w:p>
    <w:p>
      <w:pPr>
        <w:pStyle w:val="4"/>
        <w:tabs>
          <w:tab w:val="left" w:pos="5029"/>
          <w:tab w:val="left" w:pos="5269"/>
        </w:tabs>
        <w:spacing w:line="304" w:lineRule="auto"/>
        <w:ind w:left="589" w:right="1954"/>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法定代表人：</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（签字）</w:t>
      </w:r>
    </w:p>
    <w:p>
      <w:pPr>
        <w:spacing w:before="3"/>
        <w:rPr>
          <w:color w:val="000000" w:themeColor="text1"/>
          <w:sz w:val="32"/>
          <w:szCs w:val="32"/>
          <w:lang w:eastAsia="zh-CN"/>
          <w14:textFill>
            <w14:solidFill>
              <w14:schemeClr w14:val="tx1"/>
            </w14:solidFill>
          </w14:textFill>
        </w:rPr>
      </w:pPr>
    </w:p>
    <w:p>
      <w:pPr>
        <w:spacing w:before="3"/>
        <w:rPr>
          <w:color w:val="000000" w:themeColor="text1"/>
          <w:sz w:val="32"/>
          <w:szCs w:val="32"/>
          <w:lang w:eastAsia="zh-CN"/>
          <w14:textFill>
            <w14:solidFill>
              <w14:schemeClr w14:val="tx1"/>
            </w14:solidFill>
          </w14:textFill>
        </w:rPr>
      </w:pPr>
    </w:p>
    <w:p>
      <w:pPr>
        <w:pStyle w:val="4"/>
        <w:tabs>
          <w:tab w:val="left" w:pos="5029"/>
        </w:tabs>
        <w:spacing w:line="304" w:lineRule="auto"/>
        <w:ind w:left="598" w:right="2194" w:hanging="10"/>
        <w:rPr>
          <w:color w:val="000000" w:themeColor="text1"/>
          <w:spacing w:val="-1"/>
          <w:lang w:eastAsia="zh-CN"/>
          <w14:textFill>
            <w14:solidFill>
              <w14:schemeClr w14:val="tx1"/>
            </w14:solidFill>
          </w14:textFill>
        </w:rPr>
      </w:pPr>
      <w:r>
        <w:rPr>
          <w:color w:val="000000" w:themeColor="text1"/>
          <w:spacing w:val="-1"/>
          <w:lang w:eastAsia="zh-CN"/>
          <w14:textFill>
            <w14:solidFill>
              <w14:schemeClr w14:val="tx1"/>
            </w14:solidFill>
          </w14:textFill>
        </w:rPr>
        <w:t>联合体成员名称：</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 xml:space="preserve">（盖单位章） </w:t>
      </w:r>
    </w:p>
    <w:p>
      <w:pPr>
        <w:pStyle w:val="4"/>
        <w:tabs>
          <w:tab w:val="left" w:pos="5029"/>
        </w:tabs>
        <w:spacing w:line="304" w:lineRule="auto"/>
        <w:ind w:left="598" w:right="2194" w:hanging="10"/>
        <w:rPr>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法定代表人：</w:t>
      </w:r>
      <w:r>
        <w:rPr>
          <w:rFonts w:ascii="Times New Roman" w:hAnsi="Times New Roman" w:eastAsia="Times New Roman"/>
          <w:color w:val="000000" w:themeColor="text1"/>
          <w:spacing w:val="-1"/>
          <w:u w:val="single" w:color="010101"/>
          <w:lang w:eastAsia="zh-CN"/>
          <w14:textFill>
            <w14:solidFill>
              <w14:schemeClr w14:val="tx1"/>
            </w14:solidFill>
          </w14:textFill>
        </w:rPr>
        <w:tab/>
      </w:r>
      <w:r>
        <w:rPr>
          <w:color w:val="000000" w:themeColor="text1"/>
          <w:spacing w:val="-1"/>
          <w:lang w:eastAsia="zh-CN"/>
          <w14:textFill>
            <w14:solidFill>
              <w14:schemeClr w14:val="tx1"/>
            </w14:solidFill>
          </w14:textFill>
        </w:rPr>
        <w:t>（签字）</w:t>
      </w:r>
    </w:p>
    <w:p>
      <w:pPr>
        <w:pStyle w:val="4"/>
        <w:spacing w:before="93"/>
        <w:ind w:left="598"/>
        <w:rPr>
          <w:rFonts w:ascii="Times New Roman" w:hAnsi="Times New Roman" w:eastAsia="Times New Roman"/>
          <w:color w:val="000000" w:themeColor="text1"/>
          <w:lang w:eastAsia="zh-CN"/>
          <w14:textFill>
            <w14:solidFill>
              <w14:schemeClr w14:val="tx1"/>
            </w14:solidFill>
          </w14:textFill>
        </w:rPr>
      </w:pPr>
      <w:r>
        <w:rPr>
          <w:rFonts w:ascii="Times New Roman" w:hAnsi="Times New Roman" w:eastAsia="Times New Roman"/>
          <w:color w:val="000000" w:themeColor="text1"/>
          <w:lang w:eastAsia="zh-CN"/>
          <w14:textFill>
            <w14:solidFill>
              <w14:schemeClr w14:val="tx1"/>
            </w14:solidFill>
          </w14:textFill>
        </w:rPr>
        <w:t>……</w:t>
      </w:r>
    </w:p>
    <w:p>
      <w:pPr>
        <w:widowControl/>
        <w:spacing w:line="460" w:lineRule="exact"/>
        <w:ind w:right="480" w:firstLine="3300" w:firstLineChars="1500"/>
        <w:rPr>
          <w:color w:val="000000" w:themeColor="text1"/>
          <w:lang w:eastAsia="zh-CN"/>
          <w14:textFill>
            <w14:solidFill>
              <w14:schemeClr w14:val="tx1"/>
            </w14:solidFill>
          </w14:textFill>
        </w:rPr>
      </w:pPr>
      <w:r>
        <w:rPr>
          <w:rFonts w:ascii="Times New Roman" w:hAnsi="Times New Roman" w:eastAsia="Times New Roman"/>
          <w:color w:val="000000" w:themeColor="text1"/>
          <w:u w:val="single" w:color="010101"/>
          <w:lang w:eastAsia="zh-CN"/>
          <w14:textFill>
            <w14:solidFill>
              <w14:schemeClr w14:val="tx1"/>
            </w14:solidFill>
          </w14:textFill>
        </w:rPr>
        <w:tab/>
      </w:r>
      <w:r>
        <w:rPr>
          <w:rFonts w:hint="eastAsia" w:ascii="Times New Roman" w:hAnsi="Times New Roman" w:eastAsia="Times New Roman"/>
          <w:color w:val="000000" w:themeColor="text1"/>
          <w:u w:val="single" w:color="010101"/>
          <w:lang w:eastAsia="zh-CN"/>
          <w14:textFill>
            <w14:solidFill>
              <w14:schemeClr w14:val="tx1"/>
            </w14:solidFill>
          </w14:textFill>
        </w:rPr>
        <w:t xml:space="preserve">   </w:t>
      </w:r>
      <w:r>
        <w:rPr>
          <w:color w:val="000000" w:themeColor="text1"/>
          <w:lang w:eastAsia="zh-CN"/>
          <w14:textFill>
            <w14:solidFill>
              <w14:schemeClr w14:val="tx1"/>
            </w14:solidFill>
          </w14:textFill>
        </w:rPr>
        <w:t>年</w:t>
      </w:r>
      <w:r>
        <w:rPr>
          <w:rFonts w:ascii="Times New Roman" w:hAnsi="Times New Roman" w:eastAsia="Times New Roman"/>
          <w:color w:val="000000" w:themeColor="text1"/>
          <w:u w:val="single" w:color="010101"/>
          <w:lang w:eastAsia="zh-CN"/>
          <w14:textFill>
            <w14:solidFill>
              <w14:schemeClr w14:val="tx1"/>
            </w14:solidFill>
          </w14:textFill>
        </w:rPr>
        <w:tab/>
      </w:r>
      <w:r>
        <w:rPr>
          <w:rFonts w:hint="eastAsia" w:ascii="Times New Roman" w:hAnsi="Times New Roman" w:eastAsia="Times New Roman"/>
          <w:color w:val="000000" w:themeColor="text1"/>
          <w:u w:val="single" w:color="010101"/>
          <w:lang w:eastAsia="zh-CN"/>
          <w14:textFill>
            <w14:solidFill>
              <w14:schemeClr w14:val="tx1"/>
            </w14:solidFill>
          </w14:textFill>
        </w:rPr>
        <w:t xml:space="preserve"> </w:t>
      </w:r>
      <w:r>
        <w:rPr>
          <w:color w:val="000000" w:themeColor="text1"/>
          <w:lang w:eastAsia="zh-CN"/>
          <w14:textFill>
            <w14:solidFill>
              <w14:schemeClr w14:val="tx1"/>
            </w14:solidFill>
          </w14:textFill>
        </w:rPr>
        <w:t>月</w:t>
      </w:r>
      <w:r>
        <w:rPr>
          <w:rFonts w:ascii="Times New Roman" w:hAnsi="Times New Roman" w:eastAsia="Times New Roman"/>
          <w:color w:val="000000" w:themeColor="text1"/>
          <w:u w:val="single" w:color="010101"/>
          <w:lang w:eastAsia="zh-CN"/>
          <w14:textFill>
            <w14:solidFill>
              <w14:schemeClr w14:val="tx1"/>
            </w14:solidFill>
          </w14:textFill>
        </w:rPr>
        <w:tab/>
      </w:r>
      <w:r>
        <w:rPr>
          <w:rFonts w:hint="eastAsia" w:ascii="Times New Roman" w:hAnsi="Times New Roman" w:eastAsia="Times New Roman"/>
          <w:color w:val="000000" w:themeColor="text1"/>
          <w:u w:val="single" w:color="010101"/>
          <w:lang w:eastAsia="zh-CN"/>
          <w14:textFill>
            <w14:solidFill>
              <w14:schemeClr w14:val="tx1"/>
            </w14:solidFill>
          </w14:textFill>
        </w:rPr>
        <w:t xml:space="preserve">  </w:t>
      </w:r>
      <w:r>
        <w:rPr>
          <w:color w:val="000000" w:themeColor="text1"/>
          <w:lang w:eastAsia="zh-CN"/>
          <w14:textFill>
            <w14:solidFill>
              <w14:schemeClr w14:val="tx1"/>
            </w14:solidFill>
          </w14:textFill>
        </w:rPr>
        <w:t>日</w:t>
      </w:r>
    </w:p>
    <w:p>
      <w:pPr>
        <w:widowControl/>
        <w:spacing w:line="460" w:lineRule="exact"/>
        <w:ind w:right="480" w:firstLine="3300" w:firstLineChars="1500"/>
        <w:rPr>
          <w:color w:val="000000" w:themeColor="text1"/>
          <w:highlight w:val="green"/>
          <w:lang w:eastAsia="zh-CN"/>
          <w14:textFill>
            <w14:solidFill>
              <w14:schemeClr w14:val="tx1"/>
            </w14:solidFill>
          </w14:textFill>
        </w:rPr>
      </w:pPr>
    </w:p>
    <w:p>
      <w:pPr>
        <w:spacing w:before="128"/>
        <w:ind w:right="913"/>
        <w:jc w:val="center"/>
        <w:rPr>
          <w:rFonts w:ascii="黑体" w:eastAsia="黑体"/>
          <w:color w:val="000000" w:themeColor="text1"/>
          <w:sz w:val="28"/>
          <w:lang w:eastAsia="zh-CN"/>
          <w14:textFill>
            <w14:solidFill>
              <w14:schemeClr w14:val="tx1"/>
            </w14:solidFill>
          </w14:textFill>
        </w:rPr>
      </w:pPr>
      <w:r>
        <w:rPr>
          <w:rFonts w:ascii="黑体" w:eastAsia="黑体"/>
          <w:color w:val="000000" w:themeColor="text1"/>
          <w:sz w:val="28"/>
          <w:lang w:eastAsia="zh-CN"/>
          <w14:textFill>
            <w14:solidFill>
              <w14:schemeClr w14:val="tx1"/>
            </w14:solidFill>
          </w14:textFill>
        </w:rPr>
        <w:br w:type="page"/>
      </w:r>
      <w:r>
        <w:rPr>
          <w:rFonts w:hint="eastAsia" w:ascii="黑体" w:eastAsia="黑体"/>
          <w:color w:val="000000" w:themeColor="text1"/>
          <w:sz w:val="28"/>
          <w:lang w:eastAsia="zh-CN"/>
          <w14:textFill>
            <w14:solidFill>
              <w14:schemeClr w14:val="tx1"/>
            </w14:solidFill>
          </w14:textFill>
        </w:rPr>
        <w:t>四、投标保证金</w:t>
      </w:r>
    </w:p>
    <w:p>
      <w:pPr>
        <w:spacing w:before="128"/>
        <w:ind w:right="913"/>
        <w:jc w:val="center"/>
        <w:rPr>
          <w:rFonts w:ascii="黑体" w:eastAsia="黑体"/>
          <w:color w:val="000000" w:themeColor="text1"/>
          <w:sz w:val="28"/>
          <w:lang w:eastAsia="zh-CN"/>
          <w14:textFill>
            <w14:solidFill>
              <w14:schemeClr w14:val="tx1"/>
            </w14:solidFill>
          </w14:textFill>
        </w:rPr>
      </w:pPr>
    </w:p>
    <w:p>
      <w:pPr>
        <w:spacing w:before="218" w:line="360" w:lineRule="auto"/>
        <w:ind w:firstLine="524" w:firstLineChars="200"/>
        <w:rPr>
          <w:rFonts w:ascii="宋体" w:hAnsi="宋体" w:cs="宋体"/>
          <w:sz w:val="23"/>
          <w:szCs w:val="23"/>
          <w:lang w:eastAsia="zh-CN"/>
        </w:rPr>
      </w:pPr>
      <w:r>
        <w:rPr>
          <w:rFonts w:ascii="宋体" w:hAnsi="宋体" w:cs="宋体"/>
          <w:spacing w:val="16"/>
          <w:sz w:val="23"/>
          <w:szCs w:val="23"/>
          <w:lang w:eastAsia="zh-CN"/>
        </w:rPr>
        <w:t>(</w:t>
      </w:r>
      <w:r>
        <w:rPr>
          <w:rFonts w:ascii="宋体" w:hAnsi="宋体" w:cs="宋体"/>
          <w:spacing w:val="8"/>
          <w:sz w:val="23"/>
          <w:szCs w:val="23"/>
          <w:lang w:eastAsia="zh-CN"/>
        </w:rPr>
        <w:t>一) 若采用转账，投标人应在此提供汇款凭证的回单复印件。</w:t>
      </w:r>
    </w:p>
    <w:p>
      <w:pPr>
        <w:pStyle w:val="4"/>
        <w:spacing w:before="2" w:line="360" w:lineRule="auto"/>
        <w:ind w:right="921" w:firstLine="504" w:firstLineChars="200"/>
        <w:jc w:val="both"/>
        <w:rPr>
          <w:color w:val="000000" w:themeColor="text1"/>
          <w:lang w:eastAsia="zh-CN"/>
          <w14:textFill>
            <w14:solidFill>
              <w14:schemeClr w14:val="tx1"/>
            </w14:solidFill>
          </w14:textFill>
        </w:rPr>
      </w:pPr>
      <w:r>
        <w:rPr>
          <w:rFonts w:cs="宋体"/>
          <w:spacing w:val="11"/>
          <w:sz w:val="23"/>
          <w:szCs w:val="23"/>
          <w:lang w:eastAsia="zh-CN"/>
        </w:rPr>
        <w:t>(二) 若采用银行保函或保证保险保函方式的，投标人应在此提</w:t>
      </w:r>
      <w:r>
        <w:rPr>
          <w:rFonts w:cs="宋体"/>
          <w:spacing w:val="10"/>
          <w:sz w:val="23"/>
          <w:szCs w:val="23"/>
          <w:lang w:eastAsia="zh-CN"/>
        </w:rPr>
        <w:t>供银</w:t>
      </w:r>
      <w:r>
        <w:rPr>
          <w:rFonts w:cs="宋体"/>
          <w:spacing w:val="9"/>
          <w:sz w:val="23"/>
          <w:szCs w:val="23"/>
          <w:lang w:eastAsia="zh-CN"/>
        </w:rPr>
        <w:t>行保函或保证保险保函复印件。</w:t>
      </w:r>
    </w:p>
    <w:p>
      <w:pPr>
        <w:pStyle w:val="4"/>
        <w:rPr>
          <w:color w:val="000000" w:themeColor="text1"/>
          <w:lang w:eastAsia="zh-CN"/>
          <w14:textFill>
            <w14:solidFill>
              <w14:schemeClr w14:val="tx1"/>
            </w14:solidFill>
          </w14:textFill>
        </w:rPr>
      </w:pPr>
    </w:p>
    <w:p>
      <w:pPr>
        <w:pStyle w:val="4"/>
        <w:rPr>
          <w:color w:val="000000" w:themeColor="text1"/>
          <w:lang w:eastAsia="zh-CN"/>
          <w14:textFill>
            <w14:solidFill>
              <w14:schemeClr w14:val="tx1"/>
            </w14:solidFill>
          </w14:textFill>
        </w:rPr>
      </w:pPr>
    </w:p>
    <w:p>
      <w:pPr>
        <w:pStyle w:val="4"/>
        <w:rPr>
          <w:color w:val="000000" w:themeColor="text1"/>
          <w:lang w:eastAsia="zh-CN"/>
          <w14:textFill>
            <w14:solidFill>
              <w14:schemeClr w14:val="tx1"/>
            </w14:solidFill>
          </w14:textFill>
        </w:rPr>
      </w:pPr>
    </w:p>
    <w:p>
      <w:pPr>
        <w:pStyle w:val="4"/>
        <w:rPr>
          <w:color w:val="000000" w:themeColor="text1"/>
          <w:lang w:eastAsia="zh-CN"/>
          <w14:textFill>
            <w14:solidFill>
              <w14:schemeClr w14:val="tx1"/>
            </w14:solidFill>
          </w14:textFill>
        </w:rPr>
      </w:pPr>
    </w:p>
    <w:p>
      <w:pPr>
        <w:pStyle w:val="4"/>
        <w:rPr>
          <w:color w:val="000000" w:themeColor="text1"/>
          <w:lang w:eastAsia="zh-CN"/>
          <w14:textFill>
            <w14:solidFill>
              <w14:schemeClr w14:val="tx1"/>
            </w14:solidFill>
          </w14:textFill>
        </w:rPr>
      </w:pPr>
    </w:p>
    <w:p>
      <w:pPr>
        <w:pStyle w:val="4"/>
        <w:spacing w:before="5"/>
        <w:rPr>
          <w:color w:val="000000" w:themeColor="text1"/>
          <w:sz w:val="17"/>
          <w:lang w:eastAsia="zh-CN"/>
          <w14:textFill>
            <w14:solidFill>
              <w14:schemeClr w14:val="tx1"/>
            </w14:solidFill>
          </w14:textFill>
        </w:rPr>
      </w:pPr>
    </w:p>
    <w:p>
      <w:pPr>
        <w:rPr>
          <w:color w:val="000000" w:themeColor="text1"/>
          <w:lang w:eastAsia="zh-CN"/>
          <w14:textFill>
            <w14:solidFill>
              <w14:schemeClr w14:val="tx1"/>
            </w14:solidFill>
          </w14:textFill>
        </w:rPr>
        <w:sectPr>
          <w:pgSz w:w="11910" w:h="16840"/>
          <w:pgMar w:top="1460" w:right="720" w:bottom="1280" w:left="1220" w:header="882" w:footer="1093" w:gutter="0"/>
          <w:cols w:space="720" w:num="1"/>
        </w:sectPr>
      </w:pPr>
    </w:p>
    <w:p>
      <w:pPr>
        <w:spacing w:before="128"/>
        <w:ind w:left="477" w:right="913"/>
        <w:jc w:val="center"/>
        <w:rPr>
          <w:rFonts w:ascii="黑体" w:eastAsia="黑体"/>
          <w:color w:val="000000" w:themeColor="text1"/>
          <w:sz w:val="28"/>
          <w:lang w:eastAsia="zh-CN"/>
          <w14:textFill>
            <w14:solidFill>
              <w14:schemeClr w14:val="tx1"/>
            </w14:solidFill>
          </w14:textFill>
        </w:rPr>
      </w:pPr>
      <w:r>
        <w:rPr>
          <w:rFonts w:hint="eastAsia" w:ascii="黑体" w:eastAsia="黑体"/>
          <w:color w:val="000000" w:themeColor="text1"/>
          <w:sz w:val="28"/>
          <w:lang w:eastAsia="zh-CN"/>
          <w14:textFill>
            <w14:solidFill>
              <w14:schemeClr w14:val="tx1"/>
            </w14:solidFill>
          </w14:textFill>
        </w:rPr>
        <w:t>五、资格审查资料</w:t>
      </w:r>
    </w:p>
    <w:p>
      <w:pPr>
        <w:pStyle w:val="4"/>
        <w:spacing w:before="3"/>
        <w:rPr>
          <w:rFonts w:ascii="黑体"/>
          <w:color w:val="000000" w:themeColor="text1"/>
          <w:sz w:val="35"/>
          <w:lang w:eastAsia="zh-CN"/>
          <w14:textFill>
            <w14:solidFill>
              <w14:schemeClr w14:val="tx1"/>
            </w14:solidFill>
          </w14:textFill>
        </w:rPr>
      </w:pPr>
    </w:p>
    <w:p>
      <w:pPr>
        <w:pStyle w:val="4"/>
        <w:ind w:left="473" w:right="913"/>
        <w:jc w:val="center"/>
        <w:rPr>
          <w:rFonts w:ascii="黑体" w:eastAsia="黑体"/>
          <w:color w:val="000000" w:themeColor="text1"/>
          <w:lang w:eastAsia="zh-CN"/>
          <w14:textFill>
            <w14:solidFill>
              <w14:schemeClr w14:val="tx1"/>
            </w14:solidFill>
          </w14:textFill>
        </w:rPr>
      </w:pPr>
      <w:bookmarkStart w:id="40" w:name="_bookmark144"/>
      <w:bookmarkEnd w:id="40"/>
      <w:r>
        <w:rPr>
          <w:rFonts w:hint="eastAsia" w:ascii="黑体" w:eastAsia="黑体"/>
          <w:color w:val="000000" w:themeColor="text1"/>
          <w:lang w:eastAsia="zh-CN"/>
          <w14:textFill>
            <w14:solidFill>
              <w14:schemeClr w14:val="tx1"/>
            </w14:solidFill>
          </w14:textFill>
        </w:rPr>
        <w:t>（一）投标人基本情况表</w:t>
      </w:r>
    </w:p>
    <w:p>
      <w:pPr>
        <w:pStyle w:val="4"/>
        <w:rPr>
          <w:rFonts w:ascii="黑体"/>
          <w:color w:val="000000" w:themeColor="text1"/>
          <w:sz w:val="20"/>
          <w:lang w:eastAsia="zh-CN"/>
          <w14:textFill>
            <w14:solidFill>
              <w14:schemeClr w14:val="tx1"/>
            </w14:solidFill>
          </w14:textFill>
        </w:rPr>
      </w:pPr>
    </w:p>
    <w:p>
      <w:pPr>
        <w:pStyle w:val="4"/>
        <w:spacing w:before="8"/>
        <w:rPr>
          <w:rFonts w:ascii="黑体"/>
          <w:color w:val="000000" w:themeColor="text1"/>
          <w:sz w:val="14"/>
          <w:lang w:eastAsia="zh-CN"/>
          <w14:textFill>
            <w14:solidFill>
              <w14:schemeClr w14:val="tx1"/>
            </w14:solidFill>
          </w14:textFill>
        </w:rPr>
      </w:pPr>
    </w:p>
    <w:tbl>
      <w:tblPr>
        <w:tblStyle w:val="23"/>
        <w:tblW w:w="8891" w:type="dxa"/>
        <w:tblInd w:w="3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898"/>
        <w:gridCol w:w="1025"/>
        <w:gridCol w:w="1289"/>
        <w:gridCol w:w="413"/>
        <w:gridCol w:w="874"/>
        <w:gridCol w:w="829"/>
        <w:gridCol w:w="284"/>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atLeast"/>
        </w:trPr>
        <w:tc>
          <w:tcPr>
            <w:tcW w:w="2047" w:type="dxa"/>
          </w:tcPr>
          <w:p>
            <w:pPr>
              <w:pStyle w:val="27"/>
              <w:spacing w:before="142"/>
              <w:ind w:left="49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投标人名称</w:t>
            </w:r>
          </w:p>
        </w:tc>
        <w:tc>
          <w:tcPr>
            <w:tcW w:w="6844" w:type="dxa"/>
            <w:gridSpan w:val="8"/>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047" w:type="dxa"/>
          </w:tcPr>
          <w:p>
            <w:pPr>
              <w:pStyle w:val="27"/>
              <w:spacing w:before="145"/>
              <w:ind w:left="60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注册地址</w:t>
            </w:r>
          </w:p>
        </w:tc>
        <w:tc>
          <w:tcPr>
            <w:tcW w:w="3212" w:type="dxa"/>
            <w:gridSpan w:val="3"/>
          </w:tcPr>
          <w:p>
            <w:pPr>
              <w:pStyle w:val="27"/>
              <w:rPr>
                <w:rFonts w:ascii="Times New Roman"/>
                <w:color w:val="000000" w:themeColor="text1"/>
                <w:sz w:val="20"/>
                <w14:textFill>
                  <w14:solidFill>
                    <w14:schemeClr w14:val="tx1"/>
                  </w14:solidFill>
                </w14:textFill>
              </w:rPr>
            </w:pPr>
          </w:p>
        </w:tc>
        <w:tc>
          <w:tcPr>
            <w:tcW w:w="1287" w:type="dxa"/>
            <w:gridSpan w:val="2"/>
          </w:tcPr>
          <w:p>
            <w:pPr>
              <w:pStyle w:val="27"/>
              <w:spacing w:before="145"/>
              <w:ind w:left="2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邮政编码</w:t>
            </w:r>
          </w:p>
        </w:tc>
        <w:tc>
          <w:tcPr>
            <w:tcW w:w="2345" w:type="dxa"/>
            <w:gridSpan w:val="3"/>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047" w:type="dxa"/>
            <w:vMerge w:val="restart"/>
          </w:tcPr>
          <w:p>
            <w:pPr>
              <w:pStyle w:val="27"/>
              <w:spacing w:before="9"/>
              <w:rPr>
                <w:rFonts w:ascii="黑体"/>
                <w:color w:val="000000" w:themeColor="text1"/>
                <w:sz w:val="28"/>
                <w14:textFill>
                  <w14:solidFill>
                    <w14:schemeClr w14:val="tx1"/>
                  </w14:solidFill>
                </w14:textFill>
              </w:rPr>
            </w:pPr>
          </w:p>
          <w:p>
            <w:pPr>
              <w:pStyle w:val="27"/>
              <w:ind w:left="60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联系方式</w:t>
            </w:r>
          </w:p>
        </w:tc>
        <w:tc>
          <w:tcPr>
            <w:tcW w:w="898" w:type="dxa"/>
          </w:tcPr>
          <w:p>
            <w:pPr>
              <w:pStyle w:val="27"/>
              <w:spacing w:before="142"/>
              <w:ind w:left="4"/>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联系人</w:t>
            </w:r>
          </w:p>
        </w:tc>
        <w:tc>
          <w:tcPr>
            <w:tcW w:w="2314" w:type="dxa"/>
            <w:gridSpan w:val="2"/>
          </w:tcPr>
          <w:p>
            <w:pPr>
              <w:pStyle w:val="27"/>
              <w:rPr>
                <w:rFonts w:ascii="Times New Roman"/>
                <w:color w:val="000000" w:themeColor="text1"/>
                <w:sz w:val="20"/>
                <w14:textFill>
                  <w14:solidFill>
                    <w14:schemeClr w14:val="tx1"/>
                  </w14:solidFill>
                </w14:textFill>
              </w:rPr>
            </w:pPr>
          </w:p>
        </w:tc>
        <w:tc>
          <w:tcPr>
            <w:tcW w:w="1287" w:type="dxa"/>
            <w:gridSpan w:val="2"/>
          </w:tcPr>
          <w:p>
            <w:pPr>
              <w:pStyle w:val="27"/>
              <w:spacing w:before="142"/>
              <w:ind w:left="37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电话</w:t>
            </w:r>
          </w:p>
        </w:tc>
        <w:tc>
          <w:tcPr>
            <w:tcW w:w="2345" w:type="dxa"/>
            <w:gridSpan w:val="3"/>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898" w:type="dxa"/>
          </w:tcPr>
          <w:p>
            <w:pPr>
              <w:pStyle w:val="27"/>
              <w:tabs>
                <w:tab w:val="left" w:pos="428"/>
              </w:tabs>
              <w:spacing w:before="145"/>
              <w:ind w:left="5"/>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传</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真</w:t>
            </w:r>
          </w:p>
        </w:tc>
        <w:tc>
          <w:tcPr>
            <w:tcW w:w="2314" w:type="dxa"/>
            <w:gridSpan w:val="2"/>
          </w:tcPr>
          <w:p>
            <w:pPr>
              <w:pStyle w:val="27"/>
              <w:rPr>
                <w:rFonts w:ascii="Times New Roman"/>
                <w:color w:val="000000" w:themeColor="text1"/>
                <w:sz w:val="20"/>
                <w14:textFill>
                  <w14:solidFill>
                    <w14:schemeClr w14:val="tx1"/>
                  </w14:solidFill>
                </w14:textFill>
              </w:rPr>
            </w:pPr>
          </w:p>
        </w:tc>
        <w:tc>
          <w:tcPr>
            <w:tcW w:w="1287" w:type="dxa"/>
            <w:gridSpan w:val="2"/>
          </w:tcPr>
          <w:p>
            <w:pPr>
              <w:pStyle w:val="27"/>
              <w:spacing w:before="145"/>
              <w:ind w:left="2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电子邮件</w:t>
            </w:r>
          </w:p>
        </w:tc>
        <w:tc>
          <w:tcPr>
            <w:tcW w:w="2345" w:type="dxa"/>
            <w:gridSpan w:val="3"/>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atLeast"/>
        </w:trPr>
        <w:tc>
          <w:tcPr>
            <w:tcW w:w="2047" w:type="dxa"/>
          </w:tcPr>
          <w:p>
            <w:pPr>
              <w:pStyle w:val="27"/>
              <w:spacing w:before="142"/>
              <w:ind w:left="49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法定代表人</w:t>
            </w:r>
          </w:p>
        </w:tc>
        <w:tc>
          <w:tcPr>
            <w:tcW w:w="898" w:type="dxa"/>
          </w:tcPr>
          <w:p>
            <w:pPr>
              <w:pStyle w:val="27"/>
              <w:spacing w:before="142"/>
              <w:ind w:left="5"/>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姓名</w:t>
            </w:r>
          </w:p>
        </w:tc>
        <w:tc>
          <w:tcPr>
            <w:tcW w:w="1025" w:type="dxa"/>
          </w:tcPr>
          <w:p>
            <w:pPr>
              <w:pStyle w:val="27"/>
              <w:rPr>
                <w:rFonts w:ascii="Times New Roman"/>
                <w:color w:val="000000" w:themeColor="text1"/>
                <w:sz w:val="20"/>
                <w14:textFill>
                  <w14:solidFill>
                    <w14:schemeClr w14:val="tx1"/>
                  </w14:solidFill>
                </w14:textFill>
              </w:rPr>
            </w:pPr>
          </w:p>
        </w:tc>
        <w:tc>
          <w:tcPr>
            <w:tcW w:w="1289" w:type="dxa"/>
          </w:tcPr>
          <w:p>
            <w:pPr>
              <w:pStyle w:val="27"/>
              <w:spacing w:before="142"/>
              <w:ind w:left="204" w:right="195"/>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技术职称</w:t>
            </w:r>
          </w:p>
        </w:tc>
        <w:tc>
          <w:tcPr>
            <w:tcW w:w="1287" w:type="dxa"/>
            <w:gridSpan w:val="2"/>
          </w:tcPr>
          <w:p>
            <w:pPr>
              <w:pStyle w:val="27"/>
              <w:rPr>
                <w:rFonts w:ascii="Times New Roman"/>
                <w:color w:val="000000" w:themeColor="text1"/>
                <w:sz w:val="20"/>
                <w14:textFill>
                  <w14:solidFill>
                    <w14:schemeClr w14:val="tx1"/>
                  </w14:solidFill>
                </w14:textFill>
              </w:rPr>
            </w:pPr>
          </w:p>
        </w:tc>
        <w:tc>
          <w:tcPr>
            <w:tcW w:w="1113" w:type="dxa"/>
            <w:gridSpan w:val="2"/>
          </w:tcPr>
          <w:p>
            <w:pPr>
              <w:pStyle w:val="27"/>
              <w:spacing w:before="142"/>
              <w:ind w:left="34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电话</w:t>
            </w:r>
          </w:p>
        </w:tc>
        <w:tc>
          <w:tcPr>
            <w:tcW w:w="1232"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2047" w:type="dxa"/>
          </w:tcPr>
          <w:p>
            <w:pPr>
              <w:pStyle w:val="27"/>
              <w:spacing w:before="145"/>
              <w:ind w:left="49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技术负责人</w:t>
            </w:r>
          </w:p>
        </w:tc>
        <w:tc>
          <w:tcPr>
            <w:tcW w:w="898" w:type="dxa"/>
          </w:tcPr>
          <w:p>
            <w:pPr>
              <w:pStyle w:val="27"/>
              <w:spacing w:before="145"/>
              <w:ind w:left="5"/>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姓名</w:t>
            </w:r>
          </w:p>
        </w:tc>
        <w:tc>
          <w:tcPr>
            <w:tcW w:w="1025" w:type="dxa"/>
          </w:tcPr>
          <w:p>
            <w:pPr>
              <w:pStyle w:val="27"/>
              <w:rPr>
                <w:rFonts w:ascii="Times New Roman"/>
                <w:color w:val="000000" w:themeColor="text1"/>
                <w:sz w:val="20"/>
                <w14:textFill>
                  <w14:solidFill>
                    <w14:schemeClr w14:val="tx1"/>
                  </w14:solidFill>
                </w14:textFill>
              </w:rPr>
            </w:pPr>
          </w:p>
        </w:tc>
        <w:tc>
          <w:tcPr>
            <w:tcW w:w="1289" w:type="dxa"/>
          </w:tcPr>
          <w:p>
            <w:pPr>
              <w:pStyle w:val="27"/>
              <w:spacing w:before="145"/>
              <w:ind w:left="204" w:right="195"/>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技术职称</w:t>
            </w:r>
          </w:p>
        </w:tc>
        <w:tc>
          <w:tcPr>
            <w:tcW w:w="1287" w:type="dxa"/>
            <w:gridSpan w:val="2"/>
          </w:tcPr>
          <w:p>
            <w:pPr>
              <w:pStyle w:val="27"/>
              <w:rPr>
                <w:rFonts w:ascii="Times New Roman"/>
                <w:color w:val="000000" w:themeColor="text1"/>
                <w:sz w:val="20"/>
                <w14:textFill>
                  <w14:solidFill>
                    <w14:schemeClr w14:val="tx1"/>
                  </w14:solidFill>
                </w14:textFill>
              </w:rPr>
            </w:pPr>
          </w:p>
        </w:tc>
        <w:tc>
          <w:tcPr>
            <w:tcW w:w="1113" w:type="dxa"/>
            <w:gridSpan w:val="2"/>
          </w:tcPr>
          <w:p>
            <w:pPr>
              <w:pStyle w:val="27"/>
              <w:spacing w:before="145"/>
              <w:ind w:left="34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电话</w:t>
            </w:r>
          </w:p>
        </w:tc>
        <w:tc>
          <w:tcPr>
            <w:tcW w:w="1232"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atLeast"/>
        </w:trPr>
        <w:tc>
          <w:tcPr>
            <w:tcW w:w="2047" w:type="dxa"/>
          </w:tcPr>
          <w:p>
            <w:pPr>
              <w:pStyle w:val="27"/>
              <w:spacing w:before="142"/>
              <w:ind w:right="170"/>
              <w:jc w:val="righ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企业勘察资质证书</w:t>
            </w:r>
          </w:p>
        </w:tc>
        <w:tc>
          <w:tcPr>
            <w:tcW w:w="6844" w:type="dxa"/>
            <w:gridSpan w:val="8"/>
          </w:tcPr>
          <w:p>
            <w:pPr>
              <w:pStyle w:val="27"/>
              <w:tabs>
                <w:tab w:val="left" w:pos="3788"/>
                <w:tab w:val="left" w:pos="5048"/>
              </w:tabs>
              <w:spacing w:before="142"/>
              <w:ind w:left="1056"/>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类型：</w:t>
            </w:r>
            <w:r>
              <w:rPr>
                <w:color w:val="000000" w:themeColor="text1"/>
                <w:sz w:val="21"/>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等</w:t>
            </w:r>
            <w:r>
              <w:rPr>
                <w:rFonts w:hint="eastAsia"/>
                <w:color w:val="000000" w:themeColor="text1"/>
                <w:sz w:val="21"/>
                <w:lang w:eastAsia="zh-CN"/>
                <w14:textFill>
                  <w14:solidFill>
                    <w14:schemeClr w14:val="tx1"/>
                  </w14:solidFill>
                </w14:textFill>
              </w:rPr>
              <w:t>级：</w:t>
            </w:r>
            <w:r>
              <w:rPr>
                <w:color w:val="000000" w:themeColor="text1"/>
                <w:sz w:val="21"/>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证</w:t>
            </w:r>
            <w:r>
              <w:rPr>
                <w:rFonts w:hint="eastAsia"/>
                <w:color w:val="000000" w:themeColor="text1"/>
                <w:sz w:val="21"/>
                <w:lang w:eastAsia="zh-CN"/>
                <w14:textFill>
                  <w14:solidFill>
                    <w14:schemeClr w14:val="tx1"/>
                  </w14:solidFill>
                </w14:textFill>
              </w:rPr>
              <w:t>书</w:t>
            </w:r>
            <w:r>
              <w:rPr>
                <w:rFonts w:hint="eastAsia"/>
                <w:color w:val="000000" w:themeColor="text1"/>
                <w:spacing w:val="-3"/>
                <w:sz w:val="21"/>
                <w:lang w:eastAsia="zh-CN"/>
                <w14:textFill>
                  <w14:solidFill>
                    <w14:schemeClr w14:val="tx1"/>
                  </w14:solidFill>
                </w14:textFill>
              </w:rPr>
              <w:t>号</w:t>
            </w:r>
            <w:r>
              <w:rPr>
                <w:rFonts w:hint="eastAsia"/>
                <w:color w:val="000000" w:themeColor="text1"/>
                <w:sz w:val="2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2047" w:type="dxa"/>
          </w:tcPr>
          <w:p>
            <w:pPr>
              <w:pStyle w:val="27"/>
              <w:spacing w:before="145"/>
              <w:ind w:right="170"/>
              <w:jc w:val="righ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企业设计资质证书</w:t>
            </w:r>
          </w:p>
        </w:tc>
        <w:tc>
          <w:tcPr>
            <w:tcW w:w="6844" w:type="dxa"/>
            <w:gridSpan w:val="8"/>
          </w:tcPr>
          <w:p>
            <w:pPr>
              <w:pStyle w:val="27"/>
              <w:tabs>
                <w:tab w:val="left" w:pos="3788"/>
                <w:tab w:val="left" w:pos="5048"/>
              </w:tabs>
              <w:spacing w:before="145"/>
              <w:ind w:left="1056"/>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类型：</w:t>
            </w:r>
            <w:r>
              <w:rPr>
                <w:color w:val="000000" w:themeColor="text1"/>
                <w:sz w:val="21"/>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等</w:t>
            </w:r>
            <w:r>
              <w:rPr>
                <w:rFonts w:hint="eastAsia"/>
                <w:color w:val="000000" w:themeColor="text1"/>
                <w:sz w:val="21"/>
                <w:lang w:eastAsia="zh-CN"/>
                <w14:textFill>
                  <w14:solidFill>
                    <w14:schemeClr w14:val="tx1"/>
                  </w14:solidFill>
                </w14:textFill>
              </w:rPr>
              <w:t>级：</w:t>
            </w:r>
            <w:r>
              <w:rPr>
                <w:color w:val="000000" w:themeColor="text1"/>
                <w:sz w:val="21"/>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证</w:t>
            </w:r>
            <w:r>
              <w:rPr>
                <w:rFonts w:hint="eastAsia"/>
                <w:color w:val="000000" w:themeColor="text1"/>
                <w:sz w:val="21"/>
                <w:lang w:eastAsia="zh-CN"/>
                <w14:textFill>
                  <w14:solidFill>
                    <w14:schemeClr w14:val="tx1"/>
                  </w14:solidFill>
                </w14:textFill>
              </w:rPr>
              <w:t>书</w:t>
            </w:r>
            <w:r>
              <w:rPr>
                <w:rFonts w:hint="eastAsia"/>
                <w:color w:val="000000" w:themeColor="text1"/>
                <w:spacing w:val="-3"/>
                <w:sz w:val="21"/>
                <w:lang w:eastAsia="zh-CN"/>
                <w14:textFill>
                  <w14:solidFill>
                    <w14:schemeClr w14:val="tx1"/>
                  </w14:solidFill>
                </w14:textFill>
              </w:rPr>
              <w:t>号</w:t>
            </w:r>
            <w:r>
              <w:rPr>
                <w:rFonts w:hint="eastAsia"/>
                <w:color w:val="000000" w:themeColor="text1"/>
                <w:sz w:val="21"/>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047" w:type="dxa"/>
          </w:tcPr>
          <w:p>
            <w:pPr>
              <w:pStyle w:val="27"/>
              <w:spacing w:before="142"/>
              <w:ind w:left="49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营业执照号</w:t>
            </w:r>
          </w:p>
        </w:tc>
        <w:tc>
          <w:tcPr>
            <w:tcW w:w="3212" w:type="dxa"/>
            <w:gridSpan w:val="3"/>
          </w:tcPr>
          <w:p>
            <w:pPr>
              <w:pStyle w:val="27"/>
              <w:rPr>
                <w:rFonts w:ascii="Times New Roman"/>
                <w:color w:val="000000" w:themeColor="text1"/>
                <w:sz w:val="20"/>
                <w14:textFill>
                  <w14:solidFill>
                    <w14:schemeClr w14:val="tx1"/>
                  </w14:solidFill>
                </w14:textFill>
              </w:rPr>
            </w:pPr>
          </w:p>
        </w:tc>
        <w:tc>
          <w:tcPr>
            <w:tcW w:w="3632" w:type="dxa"/>
            <w:gridSpan w:val="5"/>
          </w:tcPr>
          <w:p>
            <w:pPr>
              <w:pStyle w:val="27"/>
              <w:spacing w:before="142"/>
              <w:ind w:left="118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047" w:type="dxa"/>
          </w:tcPr>
          <w:p>
            <w:pPr>
              <w:pStyle w:val="27"/>
              <w:spacing w:before="145"/>
              <w:ind w:left="60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注册资本</w:t>
            </w:r>
          </w:p>
        </w:tc>
        <w:tc>
          <w:tcPr>
            <w:tcW w:w="3212" w:type="dxa"/>
            <w:gridSpan w:val="3"/>
          </w:tcPr>
          <w:p>
            <w:pPr>
              <w:pStyle w:val="27"/>
              <w:rPr>
                <w:rFonts w:ascii="Times New Roman"/>
                <w:color w:val="000000" w:themeColor="text1"/>
                <w:sz w:val="20"/>
                <w14:textFill>
                  <w14:solidFill>
                    <w14:schemeClr w14:val="tx1"/>
                  </w14:solidFill>
                </w14:textFill>
              </w:rPr>
            </w:pPr>
          </w:p>
        </w:tc>
        <w:tc>
          <w:tcPr>
            <w:tcW w:w="413" w:type="dxa"/>
            <w:vMerge w:val="restart"/>
          </w:tcPr>
          <w:p>
            <w:pPr>
              <w:pStyle w:val="27"/>
              <w:rPr>
                <w:rFonts w:ascii="黑体"/>
                <w:color w:val="000000" w:themeColor="text1"/>
                <w:sz w:val="20"/>
                <w14:textFill>
                  <w14:solidFill>
                    <w14:schemeClr w14:val="tx1"/>
                  </w14:solidFill>
                </w14:textFill>
              </w:rPr>
            </w:pPr>
          </w:p>
          <w:p>
            <w:pPr>
              <w:pStyle w:val="27"/>
              <w:spacing w:before="9"/>
              <w:rPr>
                <w:rFonts w:ascii="黑体"/>
                <w:color w:val="000000" w:themeColor="text1"/>
                <w:sz w:val="26"/>
                <w14:textFill>
                  <w14:solidFill>
                    <w14:schemeClr w14:val="tx1"/>
                  </w14:solidFill>
                </w14:textFill>
              </w:rPr>
            </w:pPr>
          </w:p>
          <w:p>
            <w:pPr>
              <w:pStyle w:val="27"/>
              <w:spacing w:line="393" w:lineRule="auto"/>
              <w:ind w:left="105" w:right="84"/>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其中</w:t>
            </w:r>
          </w:p>
        </w:tc>
        <w:tc>
          <w:tcPr>
            <w:tcW w:w="1703" w:type="dxa"/>
            <w:gridSpan w:val="2"/>
          </w:tcPr>
          <w:p>
            <w:pPr>
              <w:pStyle w:val="27"/>
              <w:spacing w:before="145"/>
              <w:ind w:left="2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高级职称人员</w:t>
            </w:r>
          </w:p>
        </w:tc>
        <w:tc>
          <w:tcPr>
            <w:tcW w:w="1516" w:type="dxa"/>
            <w:gridSpan w:val="2"/>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047" w:type="dxa"/>
          </w:tcPr>
          <w:p>
            <w:pPr>
              <w:pStyle w:val="27"/>
              <w:spacing w:before="142"/>
              <w:ind w:left="60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成立日期</w:t>
            </w:r>
          </w:p>
        </w:tc>
        <w:tc>
          <w:tcPr>
            <w:tcW w:w="3212" w:type="dxa"/>
            <w:gridSpan w:val="3"/>
          </w:tcPr>
          <w:p>
            <w:pPr>
              <w:pStyle w:val="27"/>
              <w:rPr>
                <w:rFonts w:ascii="Times New Roman"/>
                <w:color w:val="000000" w:themeColor="text1"/>
                <w:sz w:val="20"/>
                <w14:textFill>
                  <w14:solidFill>
                    <w14:schemeClr w14:val="tx1"/>
                  </w14:solidFill>
                </w14:textFill>
              </w:rPr>
            </w:pPr>
          </w:p>
        </w:tc>
        <w:tc>
          <w:tcPr>
            <w:tcW w:w="413" w:type="dxa"/>
            <w:vMerge w:val="continue"/>
            <w:tcBorders>
              <w:top w:val="nil"/>
            </w:tcBorders>
          </w:tcPr>
          <w:p>
            <w:pPr>
              <w:rPr>
                <w:color w:val="000000" w:themeColor="text1"/>
                <w:sz w:val="2"/>
                <w:szCs w:val="2"/>
                <w14:textFill>
                  <w14:solidFill>
                    <w14:schemeClr w14:val="tx1"/>
                  </w14:solidFill>
                </w14:textFill>
              </w:rPr>
            </w:pPr>
          </w:p>
        </w:tc>
        <w:tc>
          <w:tcPr>
            <w:tcW w:w="1703" w:type="dxa"/>
            <w:gridSpan w:val="2"/>
          </w:tcPr>
          <w:p>
            <w:pPr>
              <w:pStyle w:val="27"/>
              <w:spacing w:before="142"/>
              <w:ind w:left="2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中级职称人员</w:t>
            </w:r>
          </w:p>
        </w:tc>
        <w:tc>
          <w:tcPr>
            <w:tcW w:w="1516" w:type="dxa"/>
            <w:gridSpan w:val="2"/>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047" w:type="dxa"/>
          </w:tcPr>
          <w:p>
            <w:pPr>
              <w:pStyle w:val="27"/>
              <w:spacing w:before="145"/>
              <w:ind w:right="170"/>
              <w:jc w:val="righ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基本账户开户银行</w:t>
            </w:r>
          </w:p>
        </w:tc>
        <w:tc>
          <w:tcPr>
            <w:tcW w:w="3212" w:type="dxa"/>
            <w:gridSpan w:val="3"/>
          </w:tcPr>
          <w:p>
            <w:pPr>
              <w:pStyle w:val="27"/>
              <w:rPr>
                <w:rFonts w:ascii="Times New Roman"/>
                <w:color w:val="000000" w:themeColor="text1"/>
                <w:sz w:val="20"/>
                <w14:textFill>
                  <w14:solidFill>
                    <w14:schemeClr w14:val="tx1"/>
                  </w14:solidFill>
                </w14:textFill>
              </w:rPr>
            </w:pPr>
          </w:p>
        </w:tc>
        <w:tc>
          <w:tcPr>
            <w:tcW w:w="413" w:type="dxa"/>
            <w:vMerge w:val="continue"/>
            <w:tcBorders>
              <w:top w:val="nil"/>
            </w:tcBorders>
          </w:tcPr>
          <w:p>
            <w:pPr>
              <w:rPr>
                <w:color w:val="000000" w:themeColor="text1"/>
                <w:sz w:val="2"/>
                <w:szCs w:val="2"/>
                <w14:textFill>
                  <w14:solidFill>
                    <w14:schemeClr w14:val="tx1"/>
                  </w14:solidFill>
                </w14:textFill>
              </w:rPr>
            </w:pPr>
          </w:p>
        </w:tc>
        <w:tc>
          <w:tcPr>
            <w:tcW w:w="1703" w:type="dxa"/>
            <w:gridSpan w:val="2"/>
          </w:tcPr>
          <w:p>
            <w:pPr>
              <w:pStyle w:val="27"/>
              <w:spacing w:before="145"/>
              <w:ind w:left="2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技术人员数量</w:t>
            </w:r>
          </w:p>
        </w:tc>
        <w:tc>
          <w:tcPr>
            <w:tcW w:w="1516" w:type="dxa"/>
            <w:gridSpan w:val="2"/>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047" w:type="dxa"/>
          </w:tcPr>
          <w:p>
            <w:pPr>
              <w:pStyle w:val="27"/>
              <w:spacing w:before="142"/>
              <w:ind w:right="170"/>
              <w:jc w:val="righ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基本账户银行账号</w:t>
            </w:r>
          </w:p>
        </w:tc>
        <w:tc>
          <w:tcPr>
            <w:tcW w:w="3212" w:type="dxa"/>
            <w:gridSpan w:val="3"/>
          </w:tcPr>
          <w:p>
            <w:pPr>
              <w:pStyle w:val="27"/>
              <w:rPr>
                <w:rFonts w:ascii="Times New Roman"/>
                <w:color w:val="000000" w:themeColor="text1"/>
                <w:sz w:val="20"/>
                <w14:textFill>
                  <w14:solidFill>
                    <w14:schemeClr w14:val="tx1"/>
                  </w14:solidFill>
                </w14:textFill>
              </w:rPr>
            </w:pPr>
          </w:p>
        </w:tc>
        <w:tc>
          <w:tcPr>
            <w:tcW w:w="413" w:type="dxa"/>
            <w:vMerge w:val="continue"/>
            <w:tcBorders>
              <w:top w:val="nil"/>
            </w:tcBorders>
          </w:tcPr>
          <w:p>
            <w:pPr>
              <w:rPr>
                <w:color w:val="000000" w:themeColor="text1"/>
                <w:sz w:val="2"/>
                <w:szCs w:val="2"/>
                <w14:textFill>
                  <w14:solidFill>
                    <w14:schemeClr w14:val="tx1"/>
                  </w14:solidFill>
                </w14:textFill>
              </w:rPr>
            </w:pPr>
          </w:p>
        </w:tc>
        <w:tc>
          <w:tcPr>
            <w:tcW w:w="1703" w:type="dxa"/>
            <w:gridSpan w:val="2"/>
          </w:tcPr>
          <w:p>
            <w:pPr>
              <w:pStyle w:val="27"/>
              <w:spacing w:before="142"/>
              <w:ind w:left="2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各类注册人员</w:t>
            </w:r>
          </w:p>
        </w:tc>
        <w:tc>
          <w:tcPr>
            <w:tcW w:w="1516" w:type="dxa"/>
            <w:gridSpan w:val="2"/>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2047" w:type="dxa"/>
          </w:tcPr>
          <w:p>
            <w:pPr>
              <w:pStyle w:val="27"/>
              <w:spacing w:before="145"/>
              <w:ind w:left="707"/>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经营范围</w:t>
            </w:r>
          </w:p>
        </w:tc>
        <w:tc>
          <w:tcPr>
            <w:tcW w:w="6844" w:type="dxa"/>
            <w:gridSpan w:val="8"/>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40" w:hRule="atLeast"/>
        </w:trPr>
        <w:tc>
          <w:tcPr>
            <w:tcW w:w="2047" w:type="dxa"/>
          </w:tcPr>
          <w:p>
            <w:pPr>
              <w:pStyle w:val="27"/>
              <w:rPr>
                <w:rFonts w:ascii="黑体"/>
                <w:color w:val="000000" w:themeColor="text1"/>
                <w:sz w:val="20"/>
                <w14:textFill>
                  <w14:solidFill>
                    <w14:schemeClr w14:val="tx1"/>
                  </w14:solidFill>
                </w14:textFill>
              </w:rPr>
            </w:pPr>
          </w:p>
          <w:p>
            <w:pPr>
              <w:pStyle w:val="27"/>
              <w:rPr>
                <w:rFonts w:ascii="黑体"/>
                <w:color w:val="000000" w:themeColor="text1"/>
                <w:sz w:val="20"/>
                <w14:textFill>
                  <w14:solidFill>
                    <w14:schemeClr w14:val="tx1"/>
                  </w14:solidFill>
                </w14:textFill>
              </w:rPr>
            </w:pPr>
          </w:p>
          <w:p>
            <w:pPr>
              <w:pStyle w:val="27"/>
              <w:rPr>
                <w:rFonts w:ascii="黑体"/>
                <w:color w:val="000000" w:themeColor="text1"/>
                <w:sz w:val="20"/>
                <w14:textFill>
                  <w14:solidFill>
                    <w14:schemeClr w14:val="tx1"/>
                  </w14:solidFill>
                </w14:textFill>
              </w:rPr>
            </w:pPr>
          </w:p>
          <w:p>
            <w:pPr>
              <w:pStyle w:val="27"/>
              <w:rPr>
                <w:rFonts w:ascii="黑体"/>
                <w:color w:val="000000" w:themeColor="text1"/>
                <w:sz w:val="20"/>
                <w14:textFill>
                  <w14:solidFill>
                    <w14:schemeClr w14:val="tx1"/>
                  </w14:solidFill>
                </w14:textFill>
              </w:rPr>
            </w:pPr>
          </w:p>
          <w:p>
            <w:pPr>
              <w:pStyle w:val="27"/>
              <w:spacing w:before="3"/>
              <w:rPr>
                <w:rFonts w:ascii="黑体"/>
                <w:color w:val="000000" w:themeColor="text1"/>
                <w:sz w:val="23"/>
                <w14:textFill>
                  <w14:solidFill>
                    <w14:schemeClr w14:val="tx1"/>
                  </w14:solidFill>
                </w14:textFill>
              </w:rPr>
            </w:pPr>
          </w:p>
          <w:p>
            <w:pPr>
              <w:pStyle w:val="27"/>
              <w:spacing w:line="391" w:lineRule="auto"/>
              <w:ind w:left="916" w:right="170" w:hanging="73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投标人关联企业情况</w:t>
            </w:r>
          </w:p>
        </w:tc>
        <w:tc>
          <w:tcPr>
            <w:tcW w:w="6844" w:type="dxa"/>
            <w:gridSpan w:val="8"/>
          </w:tcPr>
          <w:p>
            <w:pPr>
              <w:pStyle w:val="27"/>
              <w:spacing w:before="128"/>
              <w:ind w:left="105"/>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投标人应提供关联企业情况，包括：</w:t>
            </w:r>
          </w:p>
          <w:p>
            <w:pPr>
              <w:pStyle w:val="27"/>
              <w:numPr>
                <w:ilvl w:val="0"/>
                <w:numId w:val="65"/>
              </w:numPr>
              <w:tabs>
                <w:tab w:val="left" w:pos="530"/>
              </w:tabs>
              <w:spacing w:before="132" w:line="357" w:lineRule="auto"/>
              <w:ind w:right="98" w:hanging="106"/>
              <w:jc w:val="both"/>
              <w:rPr>
                <w:color w:val="000000" w:themeColor="text1"/>
                <w:sz w:val="21"/>
                <w:lang w:eastAsia="zh-CN"/>
                <w14:textFill>
                  <w14:solidFill>
                    <w14:schemeClr w14:val="tx1"/>
                  </w14:solidFill>
                </w14:textFill>
              </w:rPr>
            </w:pPr>
            <w:r>
              <w:rPr>
                <w:rFonts w:hint="eastAsia"/>
                <w:color w:val="000000" w:themeColor="text1"/>
                <w:spacing w:val="-5"/>
                <w:sz w:val="21"/>
                <w:lang w:eastAsia="zh-CN"/>
                <w14:textFill>
                  <w14:solidFill>
                    <w14:schemeClr w14:val="tx1"/>
                  </w14:solidFill>
                </w14:textFill>
              </w:rPr>
              <w:t>投标人的所有股东名称及相应股权</w:t>
            </w:r>
            <w:r>
              <w:rPr>
                <w:rFonts w:hint="eastAsia"/>
                <w:color w:val="000000" w:themeColor="text1"/>
                <w:spacing w:val="-3"/>
                <w:sz w:val="21"/>
                <w:lang w:eastAsia="zh-CN"/>
                <w14:textFill>
                  <w14:solidFill>
                    <w14:schemeClr w14:val="tx1"/>
                  </w14:solidFill>
                </w14:textFill>
              </w:rPr>
              <w:t>（</w:t>
            </w:r>
            <w:r>
              <w:rPr>
                <w:rFonts w:hint="eastAsia"/>
                <w:color w:val="000000" w:themeColor="text1"/>
                <w:spacing w:val="-2"/>
                <w:sz w:val="21"/>
                <w:lang w:eastAsia="zh-CN"/>
                <w14:textFill>
                  <w14:solidFill>
                    <w14:schemeClr w14:val="tx1"/>
                  </w14:solidFill>
                </w14:textFill>
              </w:rPr>
              <w:t>出资额</w:t>
            </w:r>
            <w:r>
              <w:rPr>
                <w:rFonts w:hint="eastAsia"/>
                <w:color w:val="000000" w:themeColor="text1"/>
                <w:spacing w:val="-27"/>
                <w:sz w:val="21"/>
                <w:lang w:eastAsia="zh-CN"/>
                <w14:textFill>
                  <w14:solidFill>
                    <w14:schemeClr w14:val="tx1"/>
                  </w14:solidFill>
                </w14:textFill>
              </w:rPr>
              <w:t>）</w:t>
            </w:r>
            <w:r>
              <w:rPr>
                <w:rFonts w:hint="eastAsia"/>
                <w:color w:val="000000" w:themeColor="text1"/>
                <w:spacing w:val="-6"/>
                <w:sz w:val="21"/>
                <w:lang w:eastAsia="zh-CN"/>
                <w14:textFill>
                  <w14:solidFill>
                    <w14:schemeClr w14:val="tx1"/>
                  </w14:solidFill>
                </w14:textFill>
              </w:rPr>
              <w:t>比例；如投标人为</w:t>
            </w:r>
            <w:r>
              <w:rPr>
                <w:rFonts w:hint="eastAsia"/>
                <w:color w:val="000000" w:themeColor="text1"/>
                <w:spacing w:val="-3"/>
                <w:sz w:val="21"/>
                <w:lang w:eastAsia="zh-CN"/>
                <w14:textFill>
                  <w14:solidFill>
                    <w14:schemeClr w14:val="tx1"/>
                  </w14:solidFill>
                </w14:textFill>
              </w:rPr>
              <w:t>上</w:t>
            </w:r>
            <w:r>
              <w:rPr>
                <w:rFonts w:hint="eastAsia"/>
                <w:color w:val="000000" w:themeColor="text1"/>
                <w:spacing w:val="-2"/>
                <w:sz w:val="21"/>
                <w:lang w:eastAsia="zh-CN"/>
                <w14:textFill>
                  <w14:solidFill>
                    <w14:schemeClr w14:val="tx1"/>
                  </w14:solidFill>
                </w14:textFill>
              </w:rPr>
              <w:t>市公司，投标人应提供股权</w:t>
            </w:r>
            <w:r>
              <w:rPr>
                <w:rFonts w:hint="eastAsia"/>
                <w:color w:val="000000" w:themeColor="text1"/>
                <w:sz w:val="21"/>
                <w:lang w:eastAsia="zh-CN"/>
                <w14:textFill>
                  <w14:solidFill>
                    <w14:schemeClr w14:val="tx1"/>
                  </w14:solidFill>
                </w14:textFill>
              </w:rPr>
              <w:t>占公司股份总数</w:t>
            </w:r>
            <w:r>
              <w:rPr>
                <w:rFonts w:hint="eastAsia" w:eastAsiaTheme="minorEastAsia"/>
                <w:color w:val="000000" w:themeColor="text1"/>
                <w:sz w:val="21"/>
                <w:lang w:eastAsia="zh-CN"/>
                <w14:textFill>
                  <w14:solidFill>
                    <w14:schemeClr w14:val="tx1"/>
                  </w14:solidFill>
                </w14:textFill>
              </w:rPr>
              <w:t>5</w:t>
            </w:r>
            <w:r>
              <w:rPr>
                <w:rFonts w:ascii="Times New Roman" w:eastAsia="Times New Roman"/>
                <w:color w:val="000000" w:themeColor="text1"/>
                <w:sz w:val="21"/>
                <w:lang w:eastAsia="zh-CN"/>
                <w14:textFill>
                  <w14:solidFill>
                    <w14:schemeClr w14:val="tx1"/>
                  </w14:solidFill>
                </w14:textFill>
              </w:rPr>
              <w:t>%</w:t>
            </w:r>
            <w:r>
              <w:rPr>
                <w:rFonts w:hint="eastAsia"/>
                <w:color w:val="000000" w:themeColor="text1"/>
                <w:sz w:val="21"/>
                <w:lang w:eastAsia="zh-CN"/>
                <w14:textFill>
                  <w14:solidFill>
                    <w14:schemeClr w14:val="tx1"/>
                  </w14:solidFill>
                </w14:textFill>
              </w:rPr>
              <w:t>以上的所有股东名称及</w:t>
            </w:r>
            <w:r>
              <w:rPr>
                <w:rFonts w:hint="eastAsia"/>
                <w:color w:val="000000" w:themeColor="text1"/>
                <w:spacing w:val="-4"/>
                <w:sz w:val="21"/>
                <w:lang w:eastAsia="zh-CN"/>
                <w14:textFill>
                  <w14:solidFill>
                    <w14:schemeClr w14:val="tx1"/>
                  </w14:solidFill>
                </w14:textFill>
              </w:rPr>
              <w:t>相应股权比例；</w:t>
            </w:r>
          </w:p>
          <w:p>
            <w:pPr>
              <w:pStyle w:val="27"/>
              <w:numPr>
                <w:ilvl w:val="0"/>
                <w:numId w:val="65"/>
              </w:numPr>
              <w:tabs>
                <w:tab w:val="left" w:pos="530"/>
              </w:tabs>
              <w:spacing w:line="355" w:lineRule="auto"/>
              <w:ind w:right="96" w:hanging="106"/>
              <w:jc w:val="both"/>
              <w:rPr>
                <w:color w:val="000000" w:themeColor="text1"/>
                <w:sz w:val="21"/>
                <w:lang w:eastAsia="zh-CN"/>
                <w14:textFill>
                  <w14:solidFill>
                    <w14:schemeClr w14:val="tx1"/>
                  </w14:solidFill>
                </w14:textFill>
              </w:rPr>
            </w:pPr>
            <w:r>
              <w:rPr>
                <w:rFonts w:hint="eastAsia"/>
                <w:color w:val="000000" w:themeColor="text1"/>
                <w:spacing w:val="-6"/>
                <w:sz w:val="21"/>
                <w:lang w:eastAsia="zh-CN"/>
                <w14:textFill>
                  <w14:solidFill>
                    <w14:schemeClr w14:val="tx1"/>
                  </w14:solidFill>
                </w14:textFill>
              </w:rPr>
              <w:t>投标人投资</w:t>
            </w:r>
            <w:r>
              <w:rPr>
                <w:rFonts w:hint="eastAsia"/>
                <w:color w:val="000000" w:themeColor="text1"/>
                <w:spacing w:val="-3"/>
                <w:sz w:val="21"/>
                <w:lang w:eastAsia="zh-CN"/>
                <w14:textFill>
                  <w14:solidFill>
                    <w14:schemeClr w14:val="tx1"/>
                  </w14:solidFill>
                </w14:textFill>
              </w:rPr>
              <w:t>（</w:t>
            </w:r>
            <w:r>
              <w:rPr>
                <w:rFonts w:hint="eastAsia"/>
                <w:color w:val="000000" w:themeColor="text1"/>
                <w:sz w:val="21"/>
                <w:lang w:eastAsia="zh-CN"/>
                <w14:textFill>
                  <w14:solidFill>
                    <w14:schemeClr w14:val="tx1"/>
                  </w14:solidFill>
                </w14:textFill>
              </w:rPr>
              <w:t>控股</w:t>
            </w:r>
            <w:r>
              <w:rPr>
                <w:rFonts w:hint="eastAsia"/>
                <w:color w:val="000000" w:themeColor="text1"/>
                <w:spacing w:val="-20"/>
                <w:sz w:val="21"/>
                <w:lang w:eastAsia="zh-CN"/>
                <w14:textFill>
                  <w14:solidFill>
                    <w14:schemeClr w14:val="tx1"/>
                  </w14:solidFill>
                </w14:textFill>
              </w:rPr>
              <w:t>）</w:t>
            </w:r>
            <w:r>
              <w:rPr>
                <w:rFonts w:hint="eastAsia"/>
                <w:color w:val="000000" w:themeColor="text1"/>
                <w:spacing w:val="-6"/>
                <w:sz w:val="21"/>
                <w:lang w:eastAsia="zh-CN"/>
                <w14:textFill>
                  <w14:solidFill>
                    <w14:schemeClr w14:val="tx1"/>
                  </w14:solidFill>
                </w14:textFill>
              </w:rPr>
              <w:t>或管理的下属企业名称、持有股权</w:t>
            </w:r>
            <w:r>
              <w:rPr>
                <w:rFonts w:hint="eastAsia"/>
                <w:color w:val="000000" w:themeColor="text1"/>
                <w:spacing w:val="-3"/>
                <w:sz w:val="21"/>
                <w:lang w:eastAsia="zh-CN"/>
                <w14:textFill>
                  <w14:solidFill>
                    <w14:schemeClr w14:val="tx1"/>
                  </w14:solidFill>
                </w14:textFill>
              </w:rPr>
              <w:t>（</w:t>
            </w:r>
            <w:r>
              <w:rPr>
                <w:rFonts w:hint="eastAsia"/>
                <w:color w:val="000000" w:themeColor="text1"/>
                <w:spacing w:val="-2"/>
                <w:sz w:val="21"/>
                <w:lang w:eastAsia="zh-CN"/>
                <w14:textFill>
                  <w14:solidFill>
                    <w14:schemeClr w14:val="tx1"/>
                  </w14:solidFill>
                </w14:textFill>
              </w:rPr>
              <w:t>出资额</w:t>
            </w:r>
            <w:r>
              <w:rPr>
                <w:rFonts w:hint="eastAsia"/>
                <w:color w:val="000000" w:themeColor="text1"/>
                <w:spacing w:val="-17"/>
                <w:sz w:val="21"/>
                <w:lang w:eastAsia="zh-CN"/>
                <w14:textFill>
                  <w14:solidFill>
                    <w14:schemeClr w14:val="tx1"/>
                  </w14:solidFill>
                </w14:textFill>
              </w:rPr>
              <w:t>）</w:t>
            </w:r>
            <w:r>
              <w:rPr>
                <w:rFonts w:hint="eastAsia"/>
                <w:color w:val="000000" w:themeColor="text1"/>
                <w:sz w:val="21"/>
                <w:lang w:eastAsia="zh-CN"/>
                <w14:textFill>
                  <w14:solidFill>
                    <w14:schemeClr w14:val="tx1"/>
                  </w14:solidFill>
                </w14:textFill>
              </w:rPr>
              <w:t>比例；</w:t>
            </w:r>
          </w:p>
          <w:p>
            <w:pPr>
              <w:pStyle w:val="27"/>
              <w:numPr>
                <w:ilvl w:val="0"/>
                <w:numId w:val="65"/>
              </w:numPr>
              <w:tabs>
                <w:tab w:val="left" w:pos="530"/>
              </w:tabs>
              <w:ind w:left="529"/>
              <w:rPr>
                <w:color w:val="000000" w:themeColor="text1"/>
                <w:sz w:val="21"/>
                <w:lang w:eastAsia="zh-CN"/>
                <w14:textFill>
                  <w14:solidFill>
                    <w14:schemeClr w14:val="tx1"/>
                  </w14:solidFill>
                </w14:textFill>
              </w:rPr>
            </w:pPr>
            <w:r>
              <w:rPr>
                <w:rFonts w:hint="eastAsia"/>
                <w:color w:val="000000" w:themeColor="text1"/>
                <w:spacing w:val="-3"/>
                <w:sz w:val="21"/>
                <w:lang w:eastAsia="zh-CN"/>
                <w14:textFill>
                  <w14:solidFill>
                    <w14:schemeClr w14:val="tx1"/>
                  </w14:solidFill>
                </w14:textFill>
              </w:rPr>
              <w:t>与投标人单位负责人</w:t>
            </w:r>
            <w:r>
              <w:rPr>
                <w:rFonts w:hint="eastAsia"/>
                <w:color w:val="000000" w:themeColor="text1"/>
                <w:sz w:val="21"/>
                <w:lang w:eastAsia="zh-CN"/>
                <w14:textFill>
                  <w14:solidFill>
                    <w14:schemeClr w14:val="tx1"/>
                  </w14:solidFill>
                </w14:textFill>
              </w:rPr>
              <w:t>（</w:t>
            </w:r>
            <w:r>
              <w:rPr>
                <w:rFonts w:hint="eastAsia"/>
                <w:color w:val="000000" w:themeColor="text1"/>
                <w:spacing w:val="-3"/>
                <w:sz w:val="21"/>
                <w:lang w:eastAsia="zh-CN"/>
                <w14:textFill>
                  <w14:solidFill>
                    <w14:schemeClr w14:val="tx1"/>
                  </w14:solidFill>
                </w14:textFill>
              </w:rPr>
              <w:t>即法定代表人</w:t>
            </w:r>
            <w:r>
              <w:rPr>
                <w:rFonts w:hint="eastAsia"/>
                <w:color w:val="000000" w:themeColor="text1"/>
                <w:sz w:val="21"/>
                <w:lang w:eastAsia="zh-CN"/>
                <w14:textFill>
                  <w14:solidFill>
                    <w14:schemeClr w14:val="tx1"/>
                  </w14:solidFill>
                </w14:textFill>
              </w:rPr>
              <w:t>）</w:t>
            </w:r>
            <w:r>
              <w:rPr>
                <w:rFonts w:hint="eastAsia"/>
                <w:color w:val="000000" w:themeColor="text1"/>
                <w:spacing w:val="-3"/>
                <w:sz w:val="21"/>
                <w:lang w:eastAsia="zh-CN"/>
                <w14:textFill>
                  <w14:solidFill>
                    <w14:schemeClr w14:val="tx1"/>
                  </w14:solidFill>
                </w14:textFill>
              </w:rPr>
              <w:t>为同一人的其他单位名称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2047" w:type="dxa"/>
          </w:tcPr>
          <w:p>
            <w:pPr>
              <w:pStyle w:val="27"/>
              <w:spacing w:before="142"/>
              <w:ind w:left="794" w:right="782"/>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备注</w:t>
            </w:r>
          </w:p>
        </w:tc>
        <w:tc>
          <w:tcPr>
            <w:tcW w:w="6844" w:type="dxa"/>
            <w:gridSpan w:val="8"/>
          </w:tcPr>
          <w:p>
            <w:pPr>
              <w:pStyle w:val="27"/>
              <w:rPr>
                <w:rFonts w:ascii="Times New Roman"/>
                <w:color w:val="000000" w:themeColor="text1"/>
                <w:sz w:val="20"/>
                <w14:textFill>
                  <w14:solidFill>
                    <w14:schemeClr w14:val="tx1"/>
                  </w14:solidFill>
                </w14:textFill>
              </w:rPr>
            </w:pPr>
          </w:p>
        </w:tc>
      </w:tr>
    </w:tbl>
    <w:p>
      <w:pPr>
        <w:spacing w:before="126"/>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注：</w:t>
      </w:r>
      <w:r>
        <w:rPr>
          <w:rFonts w:ascii="Times New Roman" w:hAnsi="Times New Roman"/>
          <w:color w:val="000000" w:themeColor="text1"/>
          <w:sz w:val="21"/>
          <w:lang w:eastAsia="zh-CN"/>
          <w14:textFill>
            <w14:solidFill>
              <w14:schemeClr w14:val="tx1"/>
            </w14:solidFill>
          </w14:textFill>
        </w:rPr>
        <w:t>1.</w:t>
      </w:r>
      <w:r>
        <w:rPr>
          <w:rFonts w:hint="eastAsia"/>
          <w:color w:val="000000" w:themeColor="text1"/>
          <w:sz w:val="21"/>
          <w:lang w:eastAsia="zh-CN"/>
          <w14:textFill>
            <w14:solidFill>
              <w14:schemeClr w14:val="tx1"/>
            </w14:solidFill>
          </w14:textFill>
        </w:rPr>
        <w:t>投标人应根据招标文件第二章“投标人须知”第</w:t>
      </w:r>
      <w:r>
        <w:rPr>
          <w:rFonts w:ascii="Times New Roman" w:hAnsi="Times New Roman"/>
          <w:color w:val="000000" w:themeColor="text1"/>
          <w:sz w:val="21"/>
          <w:lang w:eastAsia="zh-CN"/>
          <w14:textFill>
            <w14:solidFill>
              <w14:schemeClr w14:val="tx1"/>
            </w14:solidFill>
          </w14:textFill>
        </w:rPr>
        <w:t>3.5.1</w:t>
      </w:r>
      <w:r>
        <w:rPr>
          <w:rFonts w:hint="eastAsia"/>
          <w:color w:val="000000" w:themeColor="text1"/>
          <w:sz w:val="21"/>
          <w:lang w:eastAsia="zh-CN"/>
          <w14:textFill>
            <w14:solidFill>
              <w14:schemeClr w14:val="tx1"/>
            </w14:solidFill>
          </w14:textFill>
        </w:rPr>
        <w:t>项的要求在本表后附相关证明材料。</w:t>
      </w:r>
    </w:p>
    <w:p>
      <w:pPr>
        <w:spacing w:before="126"/>
        <w:ind w:left="482"/>
        <w:rPr>
          <w:color w:val="000000" w:themeColor="text1"/>
          <w:sz w:val="21"/>
          <w:lang w:eastAsia="zh-CN"/>
          <w14:textFill>
            <w14:solidFill>
              <w14:schemeClr w14:val="tx1"/>
            </w14:solidFill>
          </w14:textFill>
        </w:rPr>
      </w:pPr>
    </w:p>
    <w:p>
      <w:pPr>
        <w:rPr>
          <w:color w:val="000000" w:themeColor="text1"/>
          <w:sz w:val="21"/>
          <w:lang w:eastAsia="zh-CN"/>
          <w14:textFill>
            <w14:solidFill>
              <w14:schemeClr w14:val="tx1"/>
            </w14:solidFill>
          </w14:textFill>
        </w:rPr>
        <w:sectPr>
          <w:footerReference r:id="rId18" w:type="default"/>
          <w:pgSz w:w="11910" w:h="16840"/>
          <w:pgMar w:top="1460" w:right="720" w:bottom="1280" w:left="1220" w:header="882" w:footer="1093" w:gutter="0"/>
          <w:cols w:space="720" w:num="1"/>
        </w:sectPr>
      </w:pPr>
    </w:p>
    <w:p>
      <w:pPr>
        <w:pStyle w:val="4"/>
        <w:spacing w:before="11"/>
        <w:rPr>
          <w:color w:val="000000" w:themeColor="text1"/>
          <w:sz w:val="8"/>
          <w:lang w:eastAsia="zh-CN"/>
          <w14:textFill>
            <w14:solidFill>
              <w14:schemeClr w14:val="tx1"/>
            </w14:solidFill>
          </w14:textFill>
        </w:rPr>
      </w:pPr>
    </w:p>
    <w:p>
      <w:pPr>
        <w:pStyle w:val="4"/>
        <w:spacing w:before="67"/>
        <w:ind w:left="3081"/>
        <w:rPr>
          <w:rFonts w:ascii="黑体" w:eastAsia="黑体"/>
          <w:color w:val="000000" w:themeColor="text1"/>
          <w:lang w:eastAsia="zh-CN"/>
          <w14:textFill>
            <w14:solidFill>
              <w14:schemeClr w14:val="tx1"/>
            </w14:solidFill>
          </w14:textFill>
        </w:rPr>
      </w:pPr>
      <w:bookmarkStart w:id="41" w:name="_bookmark145"/>
      <w:bookmarkEnd w:id="41"/>
      <w:r>
        <w:rPr>
          <w:rFonts w:hint="eastAsia" w:ascii="黑体" w:eastAsia="黑体"/>
          <w:color w:val="000000" w:themeColor="text1"/>
          <w:lang w:eastAsia="zh-CN"/>
          <w14:textFill>
            <w14:solidFill>
              <w14:schemeClr w14:val="tx1"/>
            </w14:solidFill>
          </w14:textFill>
        </w:rPr>
        <w:t>（二）投标人企业组织机构框图</w:t>
      </w: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spacing w:before="6"/>
        <w:rPr>
          <w:rFonts w:ascii="黑体"/>
          <w:color w:val="000000" w:themeColor="text1"/>
          <w:sz w:val="22"/>
          <w:lang w:eastAsia="zh-CN"/>
          <w14:textFill>
            <w14:solidFill>
              <w14:schemeClr w14:val="tx1"/>
            </w14:solidFill>
          </w14:textFill>
        </w:rPr>
      </w:pPr>
    </w:p>
    <w:tbl>
      <w:tblPr>
        <w:tblStyle w:val="23"/>
        <w:tblW w:w="8894" w:type="dxa"/>
        <w:tblInd w:w="3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526" w:hRule="atLeast"/>
        </w:trPr>
        <w:tc>
          <w:tcPr>
            <w:tcW w:w="8894" w:type="dxa"/>
          </w:tcPr>
          <w:p>
            <w:pPr>
              <w:pStyle w:val="27"/>
              <w:rPr>
                <w:rFonts w:ascii="黑体"/>
                <w:color w:val="000000" w:themeColor="text1"/>
                <w:sz w:val="20"/>
                <w:lang w:eastAsia="zh-CN"/>
                <w14:textFill>
                  <w14:solidFill>
                    <w14:schemeClr w14:val="tx1"/>
                  </w14:solidFill>
                </w14:textFill>
              </w:rPr>
            </w:pPr>
          </w:p>
          <w:p>
            <w:pPr>
              <w:pStyle w:val="27"/>
              <w:rPr>
                <w:rFonts w:ascii="黑体"/>
                <w:color w:val="000000" w:themeColor="text1"/>
                <w:sz w:val="20"/>
                <w:lang w:eastAsia="zh-CN"/>
                <w14:textFill>
                  <w14:solidFill>
                    <w14:schemeClr w14:val="tx1"/>
                  </w14:solidFill>
                </w14:textFill>
              </w:rPr>
            </w:pPr>
          </w:p>
          <w:p>
            <w:pPr>
              <w:pStyle w:val="27"/>
              <w:spacing w:before="136"/>
              <w:ind w:left="37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以框图方式表示。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3" w:hRule="atLeast"/>
        </w:trPr>
        <w:tc>
          <w:tcPr>
            <w:tcW w:w="8894" w:type="dxa"/>
          </w:tcPr>
          <w:p>
            <w:pPr>
              <w:pStyle w:val="27"/>
              <w:spacing w:before="128"/>
              <w:ind w:left="378"/>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说明</w:t>
            </w:r>
          </w:p>
        </w:tc>
      </w:tr>
    </w:tbl>
    <w:p>
      <w:pPr>
        <w:rPr>
          <w:color w:val="000000" w:themeColor="text1"/>
          <w:sz w:val="21"/>
          <w14:textFill>
            <w14:solidFill>
              <w14:schemeClr w14:val="tx1"/>
            </w14:solidFill>
          </w14:textFill>
        </w:rPr>
        <w:sectPr>
          <w:pgSz w:w="11910" w:h="16840"/>
          <w:pgMar w:top="1460" w:right="720" w:bottom="1280" w:left="1220" w:header="882" w:footer="1093" w:gutter="0"/>
          <w:cols w:space="720" w:num="1"/>
        </w:sectPr>
      </w:pPr>
    </w:p>
    <w:p>
      <w:pPr>
        <w:pStyle w:val="4"/>
        <w:spacing w:before="11"/>
        <w:rPr>
          <w:rFonts w:ascii="黑体"/>
          <w:color w:val="000000" w:themeColor="text1"/>
          <w:sz w:val="8"/>
          <w14:textFill>
            <w14:solidFill>
              <w14:schemeClr w14:val="tx1"/>
            </w14:solidFill>
          </w14:textFill>
        </w:rPr>
      </w:pPr>
    </w:p>
    <w:p>
      <w:pPr>
        <w:pStyle w:val="4"/>
        <w:spacing w:before="67"/>
        <w:ind w:left="0"/>
        <w:jc w:val="center"/>
        <w:rPr>
          <w:rFonts w:ascii="黑体" w:eastAsia="黑体"/>
          <w:color w:val="000000" w:themeColor="text1"/>
          <w:lang w:eastAsia="zh-CN"/>
          <w14:textFill>
            <w14:solidFill>
              <w14:schemeClr w14:val="tx1"/>
            </w14:solidFill>
          </w14:textFill>
        </w:rPr>
      </w:pPr>
      <w:bookmarkStart w:id="42" w:name="_bookmark146"/>
      <w:bookmarkEnd w:id="42"/>
      <w:r>
        <w:rPr>
          <w:rFonts w:hint="eastAsia" w:ascii="黑体" w:eastAsia="黑体"/>
          <w:color w:val="000000" w:themeColor="text1"/>
          <w:lang w:eastAsia="zh-CN"/>
          <w14:textFill>
            <w14:solidFill>
              <w14:schemeClr w14:val="tx1"/>
            </w14:solidFill>
          </w14:textFill>
        </w:rPr>
        <w:t>（三）2018年1月1日至今完成的类似项目情况表</w:t>
      </w:r>
    </w:p>
    <w:p>
      <w:pPr>
        <w:pStyle w:val="4"/>
        <w:rPr>
          <w:rFonts w:ascii="黑体"/>
          <w:color w:val="000000" w:themeColor="text1"/>
          <w:sz w:val="25"/>
          <w:lang w:eastAsia="zh-CN"/>
          <w14:textFill>
            <w14:solidFill>
              <w14:schemeClr w14:val="tx1"/>
            </w14:solidFill>
          </w14:textFill>
        </w:rPr>
      </w:pPr>
    </w:p>
    <w:tbl>
      <w:tblPr>
        <w:tblStyle w:val="23"/>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7"/>
        <w:gridCol w:w="6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lang w:eastAsia="zh-CN"/>
                <w14:textFill>
                  <w14:solidFill>
                    <w14:schemeClr w14:val="tx1"/>
                  </w14:solidFill>
                </w14:textFill>
              </w:rPr>
            </w:pPr>
          </w:p>
          <w:p>
            <w:pPr>
              <w:pStyle w:val="27"/>
              <w:tabs>
                <w:tab w:val="left" w:pos="642"/>
              </w:tabs>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号</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项目名称</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7"/>
              <w:rPr>
                <w:rFonts w:ascii="黑体"/>
                <w:color w:val="000000" w:themeColor="text1"/>
                <w:sz w:val="18"/>
                <w14:textFill>
                  <w14:solidFill>
                    <w14:schemeClr w14:val="tx1"/>
                  </w14:solidFill>
                </w14:textFill>
              </w:rPr>
            </w:pPr>
          </w:p>
          <w:p>
            <w:pPr>
              <w:pStyle w:val="27"/>
              <w:spacing w:before="1"/>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项目所在地</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发包人名称</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spacing w:before="1"/>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发包人地址</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发包人电话</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项目等级</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项目总投资</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7"/>
              <w:rPr>
                <w:rFonts w:ascii="黑体"/>
                <w:color w:val="000000" w:themeColor="text1"/>
                <w:sz w:val="18"/>
                <w14:textFill>
                  <w14:solidFill>
                    <w14:schemeClr w14:val="tx1"/>
                  </w14:solidFill>
                </w14:textFill>
              </w:rPr>
            </w:pPr>
          </w:p>
          <w:p>
            <w:pPr>
              <w:pStyle w:val="27"/>
              <w:spacing w:before="1"/>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合同价格</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承担的勘察设计工作</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勘察设计服务期限</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项目负责人</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367" w:type="dxa"/>
          </w:tcPr>
          <w:p>
            <w:pPr>
              <w:pStyle w:val="27"/>
              <w:spacing w:before="10"/>
              <w:rPr>
                <w:rFonts w:ascii="黑体"/>
                <w:color w:val="000000" w:themeColor="text1"/>
                <w:sz w:val="18"/>
                <w14:textFill>
                  <w14:solidFill>
                    <w14:schemeClr w14:val="tx1"/>
                  </w14:solidFill>
                </w14:textFill>
              </w:rPr>
            </w:pPr>
          </w:p>
          <w:p>
            <w:pPr>
              <w:pStyle w:val="27"/>
              <w:ind w:left="8"/>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项目完成情况</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jc w:val="center"/>
        </w:trPr>
        <w:tc>
          <w:tcPr>
            <w:tcW w:w="2367" w:type="dxa"/>
          </w:tcPr>
          <w:p>
            <w:pPr>
              <w:pStyle w:val="27"/>
              <w:rPr>
                <w:rFonts w:ascii="黑体"/>
                <w:color w:val="000000" w:themeColor="text1"/>
                <w:sz w:val="20"/>
                <w14:textFill>
                  <w14:solidFill>
                    <w14:schemeClr w14:val="tx1"/>
                  </w14:solidFill>
                </w14:textFill>
              </w:rPr>
            </w:pPr>
          </w:p>
          <w:p>
            <w:pPr>
              <w:pStyle w:val="27"/>
              <w:spacing w:before="11"/>
              <w:rPr>
                <w:rFonts w:ascii="黑体"/>
                <w:color w:val="000000" w:themeColor="text1"/>
                <w:sz w:val="14"/>
                <w14:textFill>
                  <w14:solidFill>
                    <w14:schemeClr w14:val="tx1"/>
                  </w14:solidFill>
                </w14:textFill>
              </w:rPr>
            </w:pPr>
          </w:p>
          <w:p>
            <w:pPr>
              <w:pStyle w:val="27"/>
              <w:ind w:left="11"/>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项目描述</w:t>
            </w:r>
          </w:p>
        </w:tc>
        <w:tc>
          <w:tcPr>
            <w:tcW w:w="6527"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jc w:val="center"/>
        </w:trPr>
        <w:tc>
          <w:tcPr>
            <w:tcW w:w="2367" w:type="dxa"/>
          </w:tcPr>
          <w:p>
            <w:pPr>
              <w:pStyle w:val="27"/>
              <w:spacing w:before="7"/>
              <w:rPr>
                <w:rFonts w:ascii="黑体"/>
                <w:color w:val="000000" w:themeColor="text1"/>
                <w:sz w:val="25"/>
                <w14:textFill>
                  <w14:solidFill>
                    <w14:schemeClr w14:val="tx1"/>
                  </w14:solidFill>
                </w14:textFill>
              </w:rPr>
            </w:pPr>
          </w:p>
          <w:p>
            <w:pPr>
              <w:pStyle w:val="27"/>
              <w:ind w:left="8"/>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备注</w:t>
            </w:r>
          </w:p>
        </w:tc>
        <w:tc>
          <w:tcPr>
            <w:tcW w:w="6527" w:type="dxa"/>
          </w:tcPr>
          <w:p>
            <w:pPr>
              <w:pStyle w:val="27"/>
              <w:rPr>
                <w:rFonts w:ascii="Times New Roman"/>
                <w:color w:val="000000" w:themeColor="text1"/>
                <w:sz w:val="20"/>
                <w14:textFill>
                  <w14:solidFill>
                    <w14:schemeClr w14:val="tx1"/>
                  </w14:solidFill>
                </w14:textFill>
              </w:rPr>
            </w:pPr>
          </w:p>
        </w:tc>
      </w:tr>
    </w:tbl>
    <w:p>
      <w:pPr>
        <w:spacing w:before="44"/>
        <w:ind w:left="218" w:right="8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w:t>
      </w:r>
    </w:p>
    <w:p>
      <w:pPr>
        <w:spacing w:before="44"/>
        <w:ind w:left="218" w:right="84"/>
        <w:rPr>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每张表格只填写一个项目，并标明序号。</w:t>
      </w:r>
    </w:p>
    <w:p>
      <w:pPr>
        <w:spacing w:before="44"/>
        <w:ind w:left="218" w:right="84"/>
        <w:rPr>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项目完成情况：根据先后顺序分为“初步设计已批复”、“施工图设计已审批”等不同阶段，投标人应根 据项目实际完成情况进行填报。</w:t>
      </w:r>
    </w:p>
    <w:p>
      <w:pPr>
        <w:spacing w:before="44"/>
        <w:ind w:left="218" w:right="84"/>
        <w:rPr>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投标人应根据招标文件第二章“投标人须知”第</w:t>
      </w:r>
      <w:r>
        <w:rPr>
          <w:rFonts w:hint="eastAsia" w:ascii="宋体" w:hAnsi="宋体" w:eastAsia="宋体"/>
          <w:color w:val="000000" w:themeColor="text1"/>
          <w:sz w:val="24"/>
          <w:szCs w:val="24"/>
          <w:lang w:eastAsia="zh-CN"/>
          <w14:textFill>
            <w14:solidFill>
              <w14:schemeClr w14:val="tx1"/>
            </w14:solidFill>
          </w14:textFill>
        </w:rPr>
        <w:t>3.5.2</w:t>
      </w:r>
      <w:r>
        <w:rPr>
          <w:rFonts w:hint="eastAsia"/>
          <w:color w:val="000000" w:themeColor="text1"/>
          <w:sz w:val="24"/>
          <w:szCs w:val="24"/>
          <w:lang w:eastAsia="zh-CN"/>
          <w14:textFill>
            <w14:solidFill>
              <w14:schemeClr w14:val="tx1"/>
            </w14:solidFill>
          </w14:textFill>
        </w:rPr>
        <w:t>项的要求在本表后附相关证明材料。</w:t>
      </w:r>
    </w:p>
    <w:p>
      <w:pPr>
        <w:spacing w:before="44"/>
        <w:ind w:left="218" w:right="84"/>
        <w:rPr>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如近年来，投标人法人机构发生合法变更或重组或法人名称变更时，应提供相关部门的合法批件或其他 相关证明材料来证明其所附业绩的继承性。</w:t>
      </w:r>
    </w:p>
    <w:p>
      <w:pPr>
        <w:spacing w:before="44"/>
        <w:ind w:left="218" w:right="84"/>
        <w:rPr>
          <w:color w:val="000000" w:themeColor="text1"/>
          <w:sz w:val="24"/>
          <w:szCs w:val="24"/>
          <w:lang w:eastAsia="zh-CN"/>
          <w14:textFill>
            <w14:solidFill>
              <w14:schemeClr w14:val="tx1"/>
            </w14:solidFill>
          </w14:textFill>
        </w:rPr>
        <w:sectPr>
          <w:pgSz w:w="11910" w:h="16840"/>
          <w:pgMar w:top="1240" w:right="1580" w:bottom="1520" w:left="1580" w:header="968" w:footer="1338" w:gutter="0"/>
          <w:cols w:space="720" w:num="1"/>
        </w:sectPr>
      </w:pPr>
    </w:p>
    <w:p>
      <w:pPr>
        <w:rPr>
          <w:color w:val="000000" w:themeColor="text1"/>
          <w:lang w:eastAsia="zh-CN"/>
          <w14:textFill>
            <w14:solidFill>
              <w14:schemeClr w14:val="tx1"/>
            </w14:solidFill>
          </w14:textFill>
        </w:rPr>
      </w:pPr>
    </w:p>
    <w:p>
      <w:pPr>
        <w:pStyle w:val="4"/>
        <w:spacing w:before="67"/>
        <w:ind w:left="0"/>
        <w:jc w:val="center"/>
        <w:rPr>
          <w:rFonts w:ascii="黑体" w:eastAsia="黑体"/>
          <w:color w:val="000000" w:themeColor="text1"/>
          <w:lang w:eastAsia="zh-CN"/>
          <w14:textFill>
            <w14:solidFill>
              <w14:schemeClr w14:val="tx1"/>
            </w14:solidFill>
          </w14:textFill>
        </w:rPr>
      </w:pPr>
      <w:bookmarkStart w:id="43" w:name="_bookmark147"/>
      <w:bookmarkEnd w:id="43"/>
      <w:r>
        <w:rPr>
          <w:rFonts w:hint="eastAsia" w:ascii="黑体" w:eastAsia="黑体"/>
          <w:color w:val="000000" w:themeColor="text1"/>
          <w:lang w:eastAsia="zh-CN"/>
          <w14:textFill>
            <w14:solidFill>
              <w14:schemeClr w14:val="tx1"/>
            </w14:solidFill>
          </w14:textFill>
        </w:rPr>
        <w:t>（四）投标人的信誉情况表</w:t>
      </w:r>
    </w:p>
    <w:p>
      <w:pPr>
        <w:pStyle w:val="4"/>
        <w:spacing w:before="9"/>
        <w:rPr>
          <w:rFonts w:ascii="黑体"/>
          <w:color w:val="000000" w:themeColor="text1"/>
          <w:sz w:val="29"/>
          <w:lang w:eastAsia="zh-CN"/>
          <w14:textFill>
            <w14:solidFill>
              <w14:schemeClr w14:val="tx1"/>
            </w14:solidFill>
          </w14:textFill>
        </w:rPr>
      </w:pPr>
    </w:p>
    <w:tbl>
      <w:tblPr>
        <w:tblStyle w:val="23"/>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0" w:hRule="atLeast"/>
          <w:jc w:val="center"/>
        </w:trPr>
        <w:tc>
          <w:tcPr>
            <w:tcW w:w="4261" w:type="dxa"/>
          </w:tcPr>
          <w:p>
            <w:pPr>
              <w:pStyle w:val="27"/>
              <w:spacing w:before="9"/>
              <w:rPr>
                <w:rFonts w:ascii="黑体"/>
                <w:color w:val="000000" w:themeColor="text1"/>
                <w:sz w:val="28"/>
                <w:lang w:eastAsia="zh-CN"/>
                <w14:textFill>
                  <w14:solidFill>
                    <w14:schemeClr w14:val="tx1"/>
                  </w14:solidFill>
                </w14:textFill>
              </w:rPr>
            </w:pPr>
          </w:p>
          <w:p>
            <w:pPr>
              <w:pStyle w:val="27"/>
              <w:spacing w:before="1"/>
              <w:ind w:left="1858" w:right="1852"/>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项目</w:t>
            </w:r>
          </w:p>
        </w:tc>
        <w:tc>
          <w:tcPr>
            <w:tcW w:w="4264" w:type="dxa"/>
          </w:tcPr>
          <w:p>
            <w:pPr>
              <w:pStyle w:val="27"/>
              <w:spacing w:before="9"/>
              <w:rPr>
                <w:rFonts w:ascii="黑体"/>
                <w:color w:val="000000" w:themeColor="text1"/>
                <w:sz w:val="28"/>
                <w14:textFill>
                  <w14:solidFill>
                    <w14:schemeClr w14:val="tx1"/>
                  </w14:solidFill>
                </w14:textFill>
              </w:rPr>
            </w:pPr>
          </w:p>
          <w:p>
            <w:pPr>
              <w:pStyle w:val="27"/>
              <w:spacing w:before="1"/>
              <w:ind w:left="1408" w:right="1406"/>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投标人情况说明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1" w:hRule="atLeast"/>
          <w:jc w:val="center"/>
        </w:trPr>
        <w:tc>
          <w:tcPr>
            <w:tcW w:w="4261" w:type="dxa"/>
          </w:tcPr>
          <w:p>
            <w:pPr>
              <w:pStyle w:val="27"/>
              <w:rPr>
                <w:rFonts w:ascii="Times New Roman"/>
                <w:color w:val="000000" w:themeColor="text1"/>
                <w:sz w:val="20"/>
                <w14:textFill>
                  <w14:solidFill>
                    <w14:schemeClr w14:val="tx1"/>
                  </w14:solidFill>
                </w14:textFill>
              </w:rPr>
            </w:pPr>
          </w:p>
        </w:tc>
        <w:tc>
          <w:tcPr>
            <w:tcW w:w="4264"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4261" w:type="dxa"/>
          </w:tcPr>
          <w:p>
            <w:pPr>
              <w:pStyle w:val="27"/>
              <w:rPr>
                <w:rFonts w:ascii="Times New Roman"/>
                <w:color w:val="000000" w:themeColor="text1"/>
                <w:sz w:val="20"/>
                <w14:textFill>
                  <w14:solidFill>
                    <w14:schemeClr w14:val="tx1"/>
                  </w14:solidFill>
                </w14:textFill>
              </w:rPr>
            </w:pPr>
          </w:p>
        </w:tc>
        <w:tc>
          <w:tcPr>
            <w:tcW w:w="4264"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1" w:hRule="atLeast"/>
          <w:jc w:val="center"/>
        </w:trPr>
        <w:tc>
          <w:tcPr>
            <w:tcW w:w="4261" w:type="dxa"/>
          </w:tcPr>
          <w:p>
            <w:pPr>
              <w:pStyle w:val="27"/>
              <w:rPr>
                <w:rFonts w:ascii="Times New Roman"/>
                <w:color w:val="000000" w:themeColor="text1"/>
                <w:sz w:val="20"/>
                <w14:textFill>
                  <w14:solidFill>
                    <w14:schemeClr w14:val="tx1"/>
                  </w14:solidFill>
                </w14:textFill>
              </w:rPr>
            </w:pPr>
          </w:p>
        </w:tc>
        <w:tc>
          <w:tcPr>
            <w:tcW w:w="4264"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4261" w:type="dxa"/>
          </w:tcPr>
          <w:p>
            <w:pPr>
              <w:pStyle w:val="27"/>
              <w:rPr>
                <w:rFonts w:ascii="Times New Roman"/>
                <w:color w:val="000000" w:themeColor="text1"/>
                <w:sz w:val="20"/>
                <w14:textFill>
                  <w14:solidFill>
                    <w14:schemeClr w14:val="tx1"/>
                  </w14:solidFill>
                </w14:textFill>
              </w:rPr>
            </w:pPr>
          </w:p>
        </w:tc>
        <w:tc>
          <w:tcPr>
            <w:tcW w:w="4264"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61" w:hRule="atLeast"/>
          <w:jc w:val="center"/>
        </w:trPr>
        <w:tc>
          <w:tcPr>
            <w:tcW w:w="4261" w:type="dxa"/>
          </w:tcPr>
          <w:p>
            <w:pPr>
              <w:pStyle w:val="27"/>
              <w:rPr>
                <w:rFonts w:ascii="Times New Roman"/>
                <w:color w:val="000000" w:themeColor="text1"/>
                <w:sz w:val="20"/>
                <w14:textFill>
                  <w14:solidFill>
                    <w14:schemeClr w14:val="tx1"/>
                  </w14:solidFill>
                </w14:textFill>
              </w:rPr>
            </w:pPr>
          </w:p>
        </w:tc>
        <w:tc>
          <w:tcPr>
            <w:tcW w:w="4264" w:type="dxa"/>
          </w:tcPr>
          <w:p>
            <w:pPr>
              <w:pStyle w:val="27"/>
              <w:rPr>
                <w:rFonts w:ascii="Times New Roman"/>
                <w:color w:val="000000" w:themeColor="text1"/>
                <w:sz w:val="20"/>
                <w14:textFill>
                  <w14:solidFill>
                    <w14:schemeClr w14:val="tx1"/>
                  </w14:solidFill>
                </w14:textFill>
              </w:rPr>
            </w:pPr>
          </w:p>
        </w:tc>
      </w:tr>
    </w:tbl>
    <w:p>
      <w:pPr>
        <w:spacing w:before="128" w:line="358" w:lineRule="auto"/>
        <w:ind w:left="901" w:right="915" w:hanging="420"/>
        <w:rPr>
          <w:color w:val="000000" w:themeColor="text1"/>
          <w:sz w:val="21"/>
          <w:lang w:eastAsia="zh-CN"/>
          <w14:textFill>
            <w14:solidFill>
              <w14:schemeClr w14:val="tx1"/>
            </w14:solidFill>
          </w14:textFill>
        </w:rPr>
      </w:pPr>
      <w:r>
        <w:rPr>
          <w:rFonts w:hint="eastAsia"/>
          <w:color w:val="000000" w:themeColor="text1"/>
          <w:spacing w:val="-10"/>
          <w:sz w:val="21"/>
          <w:lang w:eastAsia="zh-CN"/>
          <w14:textFill>
            <w14:solidFill>
              <w14:schemeClr w14:val="tx1"/>
            </w14:solidFill>
          </w14:textFill>
        </w:rPr>
        <w:t>注：</w:t>
      </w:r>
      <w:r>
        <w:rPr>
          <w:rFonts w:ascii="Times New Roman" w:hAnsi="Times New Roman"/>
          <w:color w:val="000000" w:themeColor="text1"/>
          <w:spacing w:val="-19"/>
          <w:sz w:val="21"/>
          <w:lang w:eastAsia="zh-CN"/>
          <w14:textFill>
            <w14:solidFill>
              <w14:schemeClr w14:val="tx1"/>
            </w14:solidFill>
          </w14:textFill>
        </w:rPr>
        <w:t>1.</w:t>
      </w:r>
      <w:r>
        <w:rPr>
          <w:rFonts w:hint="eastAsia"/>
          <w:color w:val="000000" w:themeColor="text1"/>
          <w:spacing w:val="-3"/>
          <w:sz w:val="21"/>
          <w:lang w:eastAsia="zh-CN"/>
          <w14:textFill>
            <w14:solidFill>
              <w14:schemeClr w14:val="tx1"/>
            </w14:solidFill>
          </w14:textFill>
        </w:rPr>
        <w:t>投标人应按照招标文件第二章</w:t>
      </w:r>
      <w:r>
        <w:rPr>
          <w:rFonts w:ascii="Times New Roman" w:hAnsi="Times New Roman"/>
          <w:color w:val="000000" w:themeColor="text1"/>
          <w:spacing w:val="-3"/>
          <w:sz w:val="21"/>
          <w:lang w:eastAsia="zh-CN"/>
          <w14:textFill>
            <w14:solidFill>
              <w14:schemeClr w14:val="tx1"/>
            </w14:solidFill>
          </w14:textFill>
        </w:rPr>
        <w:t>“</w:t>
      </w:r>
      <w:r>
        <w:rPr>
          <w:rFonts w:hint="eastAsia"/>
          <w:color w:val="000000" w:themeColor="text1"/>
          <w:spacing w:val="-3"/>
          <w:sz w:val="21"/>
          <w:lang w:eastAsia="zh-CN"/>
          <w14:textFill>
            <w14:solidFill>
              <w14:schemeClr w14:val="tx1"/>
            </w14:solidFill>
          </w14:textFill>
        </w:rPr>
        <w:t>投标人须知</w:t>
      </w:r>
      <w:r>
        <w:rPr>
          <w:rFonts w:ascii="Times New Roman" w:hAnsi="Times New Roman"/>
          <w:color w:val="000000" w:themeColor="text1"/>
          <w:sz w:val="21"/>
          <w:lang w:eastAsia="zh-CN"/>
          <w14:textFill>
            <w14:solidFill>
              <w14:schemeClr w14:val="tx1"/>
            </w14:solidFill>
          </w14:textFill>
        </w:rPr>
        <w:t>”</w:t>
      </w:r>
      <w:r>
        <w:rPr>
          <w:rFonts w:hint="eastAsia"/>
          <w:color w:val="000000" w:themeColor="text1"/>
          <w:spacing w:val="-10"/>
          <w:sz w:val="21"/>
          <w:lang w:eastAsia="zh-CN"/>
          <w14:textFill>
            <w14:solidFill>
              <w14:schemeClr w14:val="tx1"/>
            </w14:solidFill>
          </w14:textFill>
        </w:rPr>
        <w:t>前附表附录</w:t>
      </w:r>
      <w:r>
        <w:rPr>
          <w:rFonts w:ascii="Times New Roman" w:hAnsi="Times New Roman"/>
          <w:color w:val="000000" w:themeColor="text1"/>
          <w:sz w:val="21"/>
          <w:lang w:eastAsia="zh-CN"/>
          <w14:textFill>
            <w14:solidFill>
              <w14:schemeClr w14:val="tx1"/>
            </w14:solidFill>
          </w14:textFill>
        </w:rPr>
        <w:t xml:space="preserve">3 </w:t>
      </w:r>
      <w:r>
        <w:rPr>
          <w:rFonts w:hint="eastAsia"/>
          <w:color w:val="000000" w:themeColor="text1"/>
          <w:sz w:val="21"/>
          <w:lang w:eastAsia="zh-CN"/>
          <w14:textFill>
            <w14:solidFill>
              <w14:schemeClr w14:val="tx1"/>
            </w14:solidFill>
          </w14:textFill>
        </w:rPr>
        <w:t>和</w:t>
      </w:r>
      <w:r>
        <w:rPr>
          <w:rFonts w:ascii="Times New Roman" w:hAnsi="Times New Roman"/>
          <w:color w:val="000000" w:themeColor="text1"/>
          <w:spacing w:val="-3"/>
          <w:sz w:val="21"/>
          <w:lang w:eastAsia="zh-CN"/>
          <w14:textFill>
            <w14:solidFill>
              <w14:schemeClr w14:val="tx1"/>
            </w14:solidFill>
          </w14:textFill>
        </w:rPr>
        <w:t>“</w:t>
      </w:r>
      <w:r>
        <w:rPr>
          <w:rFonts w:hint="eastAsia"/>
          <w:color w:val="000000" w:themeColor="text1"/>
          <w:spacing w:val="-3"/>
          <w:sz w:val="21"/>
          <w:lang w:eastAsia="zh-CN"/>
          <w14:textFill>
            <w14:solidFill>
              <w14:schemeClr w14:val="tx1"/>
            </w14:solidFill>
          </w14:textFill>
        </w:rPr>
        <w:t>投标人须知</w:t>
      </w:r>
      <w:r>
        <w:rPr>
          <w:rFonts w:ascii="Times New Roman" w:hAnsi="Times New Roman"/>
          <w:color w:val="000000" w:themeColor="text1"/>
          <w:sz w:val="21"/>
          <w:lang w:eastAsia="zh-CN"/>
          <w14:textFill>
            <w14:solidFill>
              <w14:schemeClr w14:val="tx1"/>
            </w14:solidFill>
          </w14:textFill>
        </w:rPr>
        <w:t>”</w:t>
      </w:r>
      <w:r>
        <w:rPr>
          <w:rFonts w:hint="eastAsia"/>
          <w:color w:val="000000" w:themeColor="text1"/>
          <w:spacing w:val="-13"/>
          <w:sz w:val="21"/>
          <w:lang w:eastAsia="zh-CN"/>
          <w14:textFill>
            <w14:solidFill>
              <w14:schemeClr w14:val="tx1"/>
            </w14:solidFill>
          </w14:textFill>
        </w:rPr>
        <w:t>正文第</w:t>
      </w:r>
      <w:r>
        <w:rPr>
          <w:rFonts w:ascii="Times New Roman" w:hAnsi="Times New Roman"/>
          <w:color w:val="000000" w:themeColor="text1"/>
          <w:sz w:val="21"/>
          <w:lang w:eastAsia="zh-CN"/>
          <w14:textFill>
            <w14:solidFill>
              <w14:schemeClr w14:val="tx1"/>
            </w14:solidFill>
          </w14:textFill>
        </w:rPr>
        <w:t xml:space="preserve">1.4.4 </w:t>
      </w:r>
      <w:r>
        <w:rPr>
          <w:rFonts w:hint="eastAsia"/>
          <w:color w:val="000000" w:themeColor="text1"/>
          <w:sz w:val="21"/>
          <w:lang w:eastAsia="zh-CN"/>
          <w14:textFill>
            <w14:solidFill>
              <w14:schemeClr w14:val="tx1"/>
            </w14:solidFill>
          </w14:textFill>
        </w:rPr>
        <w:t>项</w:t>
      </w:r>
      <w:r>
        <w:rPr>
          <w:rFonts w:hint="eastAsia"/>
          <w:color w:val="000000" w:themeColor="text1"/>
          <w:spacing w:val="-3"/>
          <w:sz w:val="21"/>
          <w:lang w:eastAsia="zh-CN"/>
          <w14:textFill>
            <w14:solidFill>
              <w14:schemeClr w14:val="tx1"/>
            </w14:solidFill>
          </w14:textFill>
        </w:rPr>
        <w:t>规定，逐条说明其信誉情况。</w:t>
      </w:r>
    </w:p>
    <w:p>
      <w:pPr>
        <w:pStyle w:val="30"/>
        <w:numPr>
          <w:ilvl w:val="0"/>
          <w:numId w:val="66"/>
        </w:numPr>
        <w:tabs>
          <w:tab w:val="left" w:pos="1062"/>
        </w:tabs>
        <w:spacing w:line="358" w:lineRule="auto"/>
        <w:ind w:hanging="159"/>
        <w:rPr>
          <w:color w:val="000000" w:themeColor="text1"/>
          <w:sz w:val="21"/>
          <w:lang w:eastAsia="zh-CN"/>
          <w14:textFill>
            <w14:solidFill>
              <w14:schemeClr w14:val="tx1"/>
            </w14:solidFill>
          </w14:textFill>
        </w:rPr>
      </w:pPr>
      <w:r>
        <w:rPr>
          <w:rFonts w:hint="eastAsia"/>
          <w:color w:val="000000" w:themeColor="text1"/>
          <w:spacing w:val="-18"/>
          <w:sz w:val="21"/>
          <w:lang w:eastAsia="zh-CN"/>
          <w14:textFill>
            <w14:solidFill>
              <w14:schemeClr w14:val="tx1"/>
            </w14:solidFill>
          </w14:textFill>
        </w:rPr>
        <w:t>投标人应根据招标文件第二章“投标人须知”第</w:t>
      </w:r>
      <w:r>
        <w:rPr>
          <w:rFonts w:ascii="Times New Roman" w:hAnsi="Times New Roman"/>
          <w:color w:val="000000" w:themeColor="text1"/>
          <w:sz w:val="21"/>
          <w:lang w:eastAsia="zh-CN"/>
          <w14:textFill>
            <w14:solidFill>
              <w14:schemeClr w14:val="tx1"/>
            </w14:solidFill>
          </w14:textFill>
        </w:rPr>
        <w:t>3.5.3</w:t>
      </w:r>
      <w:r>
        <w:rPr>
          <w:rFonts w:hint="eastAsia"/>
          <w:color w:val="000000" w:themeColor="text1"/>
          <w:spacing w:val="-3"/>
          <w:sz w:val="21"/>
          <w:lang w:eastAsia="zh-CN"/>
          <w14:textFill>
            <w14:solidFill>
              <w14:schemeClr w14:val="tx1"/>
            </w14:solidFill>
          </w14:textFill>
        </w:rPr>
        <w:t>项的要求在本表后附相关证明材料。</w:t>
      </w:r>
    </w:p>
    <w:p>
      <w:pPr>
        <w:spacing w:line="358" w:lineRule="auto"/>
        <w:rPr>
          <w:color w:val="000000" w:themeColor="text1"/>
          <w:sz w:val="21"/>
          <w:lang w:eastAsia="zh-CN"/>
          <w14:textFill>
            <w14:solidFill>
              <w14:schemeClr w14:val="tx1"/>
            </w14:solidFill>
          </w14:textFill>
        </w:rPr>
        <w:sectPr>
          <w:pgSz w:w="11910" w:h="16840"/>
          <w:pgMar w:top="1460" w:right="720" w:bottom="1280" w:left="1220" w:header="882" w:footer="1093" w:gutter="0"/>
          <w:cols w:space="720" w:num="1"/>
        </w:sectPr>
      </w:pPr>
    </w:p>
    <w:p>
      <w:pPr>
        <w:pStyle w:val="4"/>
        <w:spacing w:before="11"/>
        <w:rPr>
          <w:color w:val="000000" w:themeColor="text1"/>
          <w:sz w:val="8"/>
          <w:lang w:eastAsia="zh-CN"/>
          <w14:textFill>
            <w14:solidFill>
              <w14:schemeClr w14:val="tx1"/>
            </w14:solidFill>
          </w14:textFill>
        </w:rPr>
      </w:pPr>
    </w:p>
    <w:p>
      <w:pPr>
        <w:pStyle w:val="4"/>
        <w:spacing w:before="67"/>
        <w:ind w:left="2961"/>
        <w:rPr>
          <w:rFonts w:ascii="黑体" w:eastAsia="黑体"/>
          <w:color w:val="000000" w:themeColor="text1"/>
          <w:lang w:eastAsia="zh-CN"/>
          <w14:textFill>
            <w14:solidFill>
              <w14:schemeClr w14:val="tx1"/>
            </w14:solidFill>
          </w14:textFill>
        </w:rPr>
      </w:pPr>
      <w:bookmarkStart w:id="44" w:name="_bookmark148"/>
      <w:bookmarkEnd w:id="44"/>
      <w:r>
        <w:rPr>
          <w:rFonts w:hint="eastAsia" w:ascii="黑体" w:eastAsia="黑体"/>
          <w:color w:val="000000" w:themeColor="text1"/>
          <w:lang w:eastAsia="zh-CN"/>
          <w14:textFill>
            <w14:solidFill>
              <w14:schemeClr w14:val="tx1"/>
            </w14:solidFill>
          </w14:textFill>
        </w:rPr>
        <w:t>（五）拟委任的项目负责人资历表</w:t>
      </w:r>
    </w:p>
    <w:p>
      <w:pPr>
        <w:pStyle w:val="4"/>
        <w:spacing w:after="1"/>
        <w:rPr>
          <w:rFonts w:ascii="黑体"/>
          <w:color w:val="000000" w:themeColor="text1"/>
          <w:sz w:val="19"/>
          <w:lang w:eastAsia="zh-CN"/>
          <w14:textFill>
            <w14:solidFill>
              <w14:schemeClr w14:val="tx1"/>
            </w14:solidFill>
          </w14:textFill>
        </w:rPr>
      </w:pPr>
    </w:p>
    <w:tbl>
      <w:tblPr>
        <w:tblStyle w:val="23"/>
        <w:tblW w:w="86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486"/>
        <w:gridCol w:w="874"/>
        <w:gridCol w:w="101"/>
        <w:gridCol w:w="1047"/>
        <w:gridCol w:w="1364"/>
        <w:gridCol w:w="334"/>
        <w:gridCol w:w="1522"/>
        <w:gridCol w:w="383"/>
        <w:gridCol w:w="1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8" w:hRule="atLeast"/>
          <w:jc w:val="center"/>
        </w:trPr>
        <w:tc>
          <w:tcPr>
            <w:tcW w:w="1244" w:type="dxa"/>
          </w:tcPr>
          <w:p>
            <w:pPr>
              <w:pStyle w:val="27"/>
              <w:rPr>
                <w:rFonts w:ascii="黑体"/>
                <w:color w:val="000000" w:themeColor="text1"/>
                <w:sz w:val="20"/>
                <w:lang w:eastAsia="zh-CN"/>
                <w14:textFill>
                  <w14:solidFill>
                    <w14:schemeClr w14:val="tx1"/>
                  </w14:solidFill>
                </w14:textFill>
              </w:rPr>
            </w:pPr>
          </w:p>
          <w:p>
            <w:pPr>
              <w:pStyle w:val="27"/>
              <w:tabs>
                <w:tab w:val="left" w:pos="631"/>
              </w:tabs>
              <w:spacing w:before="128"/>
              <w:ind w:right="1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姓</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名</w:t>
            </w:r>
          </w:p>
        </w:tc>
        <w:tc>
          <w:tcPr>
            <w:tcW w:w="1461" w:type="dxa"/>
            <w:gridSpan w:val="3"/>
          </w:tcPr>
          <w:p>
            <w:pPr>
              <w:pStyle w:val="27"/>
              <w:rPr>
                <w:rFonts w:ascii="Times New Roman"/>
                <w:color w:val="000000" w:themeColor="text1"/>
                <w:sz w:val="20"/>
                <w14:textFill>
                  <w14:solidFill>
                    <w14:schemeClr w14:val="tx1"/>
                  </w14:solidFill>
                </w14:textFill>
              </w:rPr>
            </w:pPr>
          </w:p>
        </w:tc>
        <w:tc>
          <w:tcPr>
            <w:tcW w:w="1047" w:type="dxa"/>
          </w:tcPr>
          <w:p>
            <w:pPr>
              <w:pStyle w:val="27"/>
              <w:rPr>
                <w:rFonts w:ascii="黑体"/>
                <w:color w:val="000000" w:themeColor="text1"/>
                <w:sz w:val="20"/>
                <w14:textFill>
                  <w14:solidFill>
                    <w14:schemeClr w14:val="tx1"/>
                  </w14:solidFill>
                </w14:textFill>
              </w:rPr>
            </w:pPr>
          </w:p>
          <w:p>
            <w:pPr>
              <w:pStyle w:val="27"/>
              <w:tabs>
                <w:tab w:val="left" w:pos="638"/>
              </w:tabs>
              <w:spacing w:before="128"/>
              <w:ind w:left="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年</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龄</w:t>
            </w:r>
          </w:p>
        </w:tc>
        <w:tc>
          <w:tcPr>
            <w:tcW w:w="1364" w:type="dxa"/>
          </w:tcPr>
          <w:p>
            <w:pPr>
              <w:pStyle w:val="27"/>
              <w:rPr>
                <w:rFonts w:ascii="Times New Roman"/>
                <w:color w:val="000000" w:themeColor="text1"/>
                <w:sz w:val="20"/>
                <w14:textFill>
                  <w14:solidFill>
                    <w14:schemeClr w14:val="tx1"/>
                  </w14:solidFill>
                </w14:textFill>
              </w:rPr>
            </w:pPr>
          </w:p>
        </w:tc>
        <w:tc>
          <w:tcPr>
            <w:tcW w:w="1856" w:type="dxa"/>
            <w:gridSpan w:val="2"/>
          </w:tcPr>
          <w:p>
            <w:pPr>
              <w:pStyle w:val="27"/>
              <w:spacing w:before="55" w:line="400" w:lineRule="atLeast"/>
              <w:ind w:left="608" w:right="78" w:hanging="524"/>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执业或职业资格证书名称</w:t>
            </w:r>
          </w:p>
        </w:tc>
        <w:tc>
          <w:tcPr>
            <w:tcW w:w="1651" w:type="dxa"/>
            <w:gridSpan w:val="2"/>
          </w:tcPr>
          <w:p>
            <w:pPr>
              <w:pStyle w:val="27"/>
              <w:rPr>
                <w:rFonts w:ascii="Times New Roman"/>
                <w:color w:val="000000" w:themeColor="text1"/>
                <w:sz w:val="2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1244" w:type="dxa"/>
          </w:tcPr>
          <w:p>
            <w:pPr>
              <w:pStyle w:val="27"/>
              <w:rPr>
                <w:rFonts w:ascii="黑体"/>
                <w:color w:val="000000" w:themeColor="text1"/>
                <w:sz w:val="20"/>
                <w:lang w:eastAsia="zh-CN"/>
                <w14:textFill>
                  <w14:solidFill>
                    <w14:schemeClr w14:val="tx1"/>
                  </w14:solidFill>
                </w14:textFill>
              </w:rPr>
            </w:pPr>
          </w:p>
          <w:p>
            <w:pPr>
              <w:pStyle w:val="27"/>
              <w:spacing w:before="160"/>
              <w:ind w:right="13"/>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技术职称</w:t>
            </w:r>
          </w:p>
        </w:tc>
        <w:tc>
          <w:tcPr>
            <w:tcW w:w="1461" w:type="dxa"/>
            <w:gridSpan w:val="3"/>
          </w:tcPr>
          <w:p>
            <w:pPr>
              <w:pStyle w:val="27"/>
              <w:rPr>
                <w:rFonts w:ascii="Times New Roman"/>
                <w:color w:val="000000" w:themeColor="text1"/>
                <w:sz w:val="20"/>
                <w14:textFill>
                  <w14:solidFill>
                    <w14:schemeClr w14:val="tx1"/>
                  </w14:solidFill>
                </w14:textFill>
              </w:rPr>
            </w:pPr>
          </w:p>
        </w:tc>
        <w:tc>
          <w:tcPr>
            <w:tcW w:w="1047" w:type="dxa"/>
          </w:tcPr>
          <w:p>
            <w:pPr>
              <w:pStyle w:val="27"/>
              <w:rPr>
                <w:rFonts w:ascii="黑体"/>
                <w:color w:val="000000" w:themeColor="text1"/>
                <w:sz w:val="20"/>
                <w14:textFill>
                  <w14:solidFill>
                    <w14:schemeClr w14:val="tx1"/>
                  </w14:solidFill>
                </w14:textFill>
              </w:rPr>
            </w:pPr>
          </w:p>
          <w:p>
            <w:pPr>
              <w:pStyle w:val="27"/>
              <w:tabs>
                <w:tab w:val="left" w:pos="638"/>
              </w:tabs>
              <w:spacing w:before="160"/>
              <w:ind w:left="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学</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历</w:t>
            </w:r>
          </w:p>
        </w:tc>
        <w:tc>
          <w:tcPr>
            <w:tcW w:w="1364" w:type="dxa"/>
          </w:tcPr>
          <w:p>
            <w:pPr>
              <w:pStyle w:val="27"/>
              <w:rPr>
                <w:rFonts w:ascii="Times New Roman"/>
                <w:color w:val="000000" w:themeColor="text1"/>
                <w:sz w:val="20"/>
                <w14:textFill>
                  <w14:solidFill>
                    <w14:schemeClr w14:val="tx1"/>
                  </w14:solidFill>
                </w14:textFill>
              </w:rPr>
            </w:pPr>
          </w:p>
        </w:tc>
        <w:tc>
          <w:tcPr>
            <w:tcW w:w="1856" w:type="dxa"/>
            <w:gridSpan w:val="2"/>
          </w:tcPr>
          <w:p>
            <w:pPr>
              <w:pStyle w:val="27"/>
              <w:spacing w:before="28" w:line="460" w:lineRule="exact"/>
              <w:ind w:left="505" w:right="390" w:hanging="10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拟在本工程任职</w:t>
            </w:r>
          </w:p>
        </w:tc>
        <w:tc>
          <w:tcPr>
            <w:tcW w:w="1651" w:type="dxa"/>
            <w:gridSpan w:val="2"/>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9" w:hRule="atLeast"/>
          <w:jc w:val="center"/>
        </w:trPr>
        <w:tc>
          <w:tcPr>
            <w:tcW w:w="1244" w:type="dxa"/>
          </w:tcPr>
          <w:p>
            <w:pPr>
              <w:pStyle w:val="27"/>
              <w:rPr>
                <w:rFonts w:ascii="黑体"/>
                <w:color w:val="000000" w:themeColor="text1"/>
                <w:sz w:val="20"/>
                <w14:textFill>
                  <w14:solidFill>
                    <w14:schemeClr w14:val="tx1"/>
                  </w14:solidFill>
                </w14:textFill>
              </w:rPr>
            </w:pPr>
          </w:p>
          <w:p>
            <w:pPr>
              <w:pStyle w:val="27"/>
              <w:spacing w:before="128"/>
              <w:ind w:right="13"/>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工作年限</w:t>
            </w:r>
          </w:p>
        </w:tc>
        <w:tc>
          <w:tcPr>
            <w:tcW w:w="3872" w:type="dxa"/>
            <w:gridSpan w:val="5"/>
          </w:tcPr>
          <w:p>
            <w:pPr>
              <w:pStyle w:val="27"/>
              <w:rPr>
                <w:rFonts w:ascii="Times New Roman"/>
                <w:color w:val="000000" w:themeColor="text1"/>
                <w:sz w:val="20"/>
                <w14:textFill>
                  <w14:solidFill>
                    <w14:schemeClr w14:val="tx1"/>
                  </w14:solidFill>
                </w14:textFill>
              </w:rPr>
            </w:pPr>
          </w:p>
        </w:tc>
        <w:tc>
          <w:tcPr>
            <w:tcW w:w="1856" w:type="dxa"/>
            <w:gridSpan w:val="2"/>
          </w:tcPr>
          <w:p>
            <w:pPr>
              <w:pStyle w:val="27"/>
              <w:spacing w:before="55" w:line="400" w:lineRule="atLeast"/>
              <w:ind w:left="714" w:right="75" w:hanging="629"/>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从事勘察设计工作年限</w:t>
            </w:r>
          </w:p>
        </w:tc>
        <w:tc>
          <w:tcPr>
            <w:tcW w:w="1651" w:type="dxa"/>
            <w:gridSpan w:val="2"/>
          </w:tcPr>
          <w:p>
            <w:pPr>
              <w:pStyle w:val="27"/>
              <w:rPr>
                <w:rFonts w:ascii="Times New Roman"/>
                <w:color w:val="000000" w:themeColor="text1"/>
                <w:sz w:val="2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jc w:val="center"/>
        </w:trPr>
        <w:tc>
          <w:tcPr>
            <w:tcW w:w="1244" w:type="dxa"/>
            <w:vMerge w:val="restart"/>
          </w:tcPr>
          <w:p>
            <w:pPr>
              <w:pStyle w:val="27"/>
              <w:spacing w:before="6"/>
              <w:rPr>
                <w:rFonts w:ascii="黑体"/>
                <w:color w:val="000000" w:themeColor="text1"/>
                <w:sz w:val="14"/>
                <w:lang w:eastAsia="zh-CN"/>
                <w14:textFill>
                  <w14:solidFill>
                    <w14:schemeClr w14:val="tx1"/>
                  </w14:solidFill>
                </w14:textFill>
              </w:rPr>
            </w:pPr>
          </w:p>
          <w:p>
            <w:pPr>
              <w:pStyle w:val="27"/>
              <w:ind w:left="189"/>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毕业学校</w:t>
            </w:r>
          </w:p>
        </w:tc>
        <w:tc>
          <w:tcPr>
            <w:tcW w:w="486" w:type="dxa"/>
            <w:tcBorders>
              <w:right w:val="nil"/>
            </w:tcBorders>
          </w:tcPr>
          <w:p>
            <w:pPr>
              <w:pStyle w:val="27"/>
              <w:rPr>
                <w:rFonts w:ascii="Times New Roman"/>
                <w:color w:val="000000" w:themeColor="text1"/>
                <w:sz w:val="20"/>
                <w14:textFill>
                  <w14:solidFill>
                    <w14:schemeClr w14:val="tx1"/>
                  </w14:solidFill>
                </w14:textFill>
              </w:rPr>
            </w:pPr>
          </w:p>
        </w:tc>
        <w:tc>
          <w:tcPr>
            <w:tcW w:w="6893" w:type="dxa"/>
            <w:gridSpan w:val="8"/>
            <w:vMerge w:val="restart"/>
            <w:tcBorders>
              <w:left w:val="nil"/>
            </w:tcBorders>
          </w:tcPr>
          <w:p>
            <w:pPr>
              <w:pStyle w:val="27"/>
              <w:tabs>
                <w:tab w:val="left" w:pos="528"/>
                <w:tab w:val="left" w:pos="3363"/>
                <w:tab w:val="left" w:pos="4938"/>
                <w:tab w:val="left" w:pos="6616"/>
              </w:tabs>
              <w:spacing w:before="186"/>
              <w:ind w:left="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年</w:t>
            </w:r>
            <w:r>
              <w:rPr>
                <w:color w:val="000000" w:themeColor="text1"/>
                <w:sz w:val="21"/>
                <w:u w:val="single"/>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月</w:t>
            </w:r>
            <w:r>
              <w:rPr>
                <w:rFonts w:hint="eastAsia"/>
                <w:color w:val="000000" w:themeColor="text1"/>
                <w:sz w:val="21"/>
                <w:lang w:eastAsia="zh-CN"/>
                <w14:textFill>
                  <w14:solidFill>
                    <w14:schemeClr w14:val="tx1"/>
                  </w14:solidFill>
                </w14:textFill>
              </w:rPr>
              <w:t>毕</w:t>
            </w:r>
            <w:r>
              <w:rPr>
                <w:rFonts w:hint="eastAsia"/>
                <w:color w:val="000000" w:themeColor="text1"/>
                <w:spacing w:val="-3"/>
                <w:sz w:val="21"/>
                <w:lang w:eastAsia="zh-CN"/>
                <w14:textFill>
                  <w14:solidFill>
                    <w14:schemeClr w14:val="tx1"/>
                  </w14:solidFill>
                </w14:textFill>
              </w:rPr>
              <w:t>业</w:t>
            </w:r>
            <w:r>
              <w:rPr>
                <w:rFonts w:hint="eastAsia"/>
                <w:color w:val="000000" w:themeColor="text1"/>
                <w:sz w:val="21"/>
                <w:lang w:eastAsia="zh-CN"/>
                <w14:textFill>
                  <w14:solidFill>
                    <w14:schemeClr w14:val="tx1"/>
                  </w14:solidFill>
                </w14:textFill>
              </w:rPr>
              <w:t>于</w:t>
            </w:r>
            <w:r>
              <w:rPr>
                <w:color w:val="000000" w:themeColor="text1"/>
                <w:sz w:val="21"/>
                <w:u w:val="single"/>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学</w:t>
            </w:r>
            <w:r>
              <w:rPr>
                <w:rFonts w:hint="eastAsia"/>
                <w:color w:val="000000" w:themeColor="text1"/>
                <w:sz w:val="21"/>
                <w:lang w:eastAsia="zh-CN"/>
                <w14:textFill>
                  <w14:solidFill>
                    <w14:schemeClr w14:val="tx1"/>
                  </w14:solidFill>
                </w14:textFill>
              </w:rPr>
              <w:t>校</w:t>
            </w:r>
            <w:r>
              <w:rPr>
                <w:color w:val="000000" w:themeColor="text1"/>
                <w:sz w:val="21"/>
                <w:u w:val="single"/>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专</w:t>
            </w:r>
            <w:r>
              <w:rPr>
                <w:rFonts w:hint="eastAsia"/>
                <w:color w:val="000000" w:themeColor="text1"/>
                <w:sz w:val="21"/>
                <w:lang w:eastAsia="zh-CN"/>
                <w14:textFill>
                  <w14:solidFill>
                    <w14:schemeClr w14:val="tx1"/>
                  </w14:solidFill>
                </w14:textFill>
              </w:rPr>
              <w:t>业</w:t>
            </w:r>
            <w:r>
              <w:rPr>
                <w:rFonts w:hint="eastAsia"/>
                <w:color w:val="000000" w:themeColor="text1"/>
                <w:spacing w:val="-3"/>
                <w:sz w:val="21"/>
                <w:lang w:eastAsia="zh-CN"/>
                <w14:textFill>
                  <w14:solidFill>
                    <w14:schemeClr w14:val="tx1"/>
                  </w14:solidFill>
                </w14:textFill>
              </w:rPr>
              <w:t>，</w:t>
            </w:r>
            <w:r>
              <w:rPr>
                <w:rFonts w:hint="eastAsia"/>
                <w:color w:val="000000" w:themeColor="text1"/>
                <w:sz w:val="21"/>
                <w:lang w:eastAsia="zh-CN"/>
                <w14:textFill>
                  <w14:solidFill>
                    <w14:schemeClr w14:val="tx1"/>
                  </w14:solidFill>
                </w14:textFill>
              </w:rPr>
              <w:t>学制</w:t>
            </w:r>
            <w:r>
              <w:rPr>
                <w:color w:val="000000" w:themeColor="text1"/>
                <w:sz w:val="21"/>
                <w:u w:val="single"/>
                <w:lang w:eastAsia="zh-CN"/>
                <w14:textFill>
                  <w14:solidFill>
                    <w14:schemeClr w14:val="tx1"/>
                  </w14:solidFill>
                </w14:textFill>
              </w:rPr>
              <w:tab/>
            </w:r>
            <w:r>
              <w:rPr>
                <w:rFonts w:hint="eastAsia"/>
                <w:color w:val="000000" w:themeColor="text1"/>
                <w:sz w:val="21"/>
                <w:lang w:eastAsia="zh-CN"/>
                <w14:textFill>
                  <w14:solidFill>
                    <w14:schemeClr w14:val="tx1"/>
                  </w14:solidFill>
                </w14:textFill>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 w:hRule="atLeast"/>
          <w:jc w:val="center"/>
        </w:trPr>
        <w:tc>
          <w:tcPr>
            <w:tcW w:w="1244" w:type="dxa"/>
            <w:vMerge w:val="continue"/>
            <w:tcBorders>
              <w:top w:val="nil"/>
            </w:tcBorders>
          </w:tcPr>
          <w:p>
            <w:pPr>
              <w:rPr>
                <w:color w:val="000000" w:themeColor="text1"/>
                <w:sz w:val="2"/>
                <w:szCs w:val="2"/>
                <w:lang w:eastAsia="zh-CN"/>
                <w14:textFill>
                  <w14:solidFill>
                    <w14:schemeClr w14:val="tx1"/>
                  </w14:solidFill>
                </w14:textFill>
              </w:rPr>
            </w:pPr>
          </w:p>
        </w:tc>
        <w:tc>
          <w:tcPr>
            <w:tcW w:w="486" w:type="dxa"/>
            <w:tcBorders>
              <w:right w:val="nil"/>
            </w:tcBorders>
          </w:tcPr>
          <w:p>
            <w:pPr>
              <w:pStyle w:val="27"/>
              <w:rPr>
                <w:rFonts w:ascii="Times New Roman"/>
                <w:color w:val="000000" w:themeColor="text1"/>
                <w:sz w:val="2"/>
                <w:lang w:eastAsia="zh-CN"/>
                <w14:textFill>
                  <w14:solidFill>
                    <w14:schemeClr w14:val="tx1"/>
                  </w14:solidFill>
                </w14:textFill>
              </w:rPr>
            </w:pPr>
          </w:p>
        </w:tc>
        <w:tc>
          <w:tcPr>
            <w:tcW w:w="6893" w:type="dxa"/>
            <w:gridSpan w:val="8"/>
            <w:vMerge w:val="continue"/>
            <w:tcBorders>
              <w:top w:val="nil"/>
              <w:left w:val="nil"/>
            </w:tcBorders>
          </w:tcPr>
          <w:p>
            <w:pPr>
              <w:rPr>
                <w:color w:val="000000" w:themeColor="text1"/>
                <w:sz w:val="2"/>
                <w:szCs w:val="2"/>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623" w:type="dxa"/>
            <w:gridSpan w:val="10"/>
          </w:tcPr>
          <w:p>
            <w:pPr>
              <w:pStyle w:val="27"/>
              <w:spacing w:before="6"/>
              <w:rPr>
                <w:rFonts w:ascii="黑体"/>
                <w:color w:val="000000" w:themeColor="text1"/>
                <w:sz w:val="14"/>
                <w:lang w:eastAsia="zh-CN"/>
                <w14:textFill>
                  <w14:solidFill>
                    <w14:schemeClr w14:val="tx1"/>
                  </w14:solidFill>
                </w14:textFill>
              </w:rPr>
            </w:pPr>
          </w:p>
          <w:p>
            <w:pPr>
              <w:pStyle w:val="27"/>
              <w:tabs>
                <w:tab w:val="left" w:pos="1165"/>
              </w:tabs>
              <w:ind w:left="8"/>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经</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8" w:hRule="atLeast"/>
          <w:jc w:val="center"/>
        </w:trPr>
        <w:tc>
          <w:tcPr>
            <w:tcW w:w="1244" w:type="dxa"/>
          </w:tcPr>
          <w:p>
            <w:pPr>
              <w:pStyle w:val="27"/>
              <w:rPr>
                <w:rFonts w:ascii="黑体"/>
                <w:color w:val="000000" w:themeColor="text1"/>
                <w:sz w:val="20"/>
                <w14:textFill>
                  <w14:solidFill>
                    <w14:schemeClr w14:val="tx1"/>
                  </w14:solidFill>
                </w14:textFill>
              </w:rPr>
            </w:pPr>
          </w:p>
          <w:p>
            <w:pPr>
              <w:pStyle w:val="27"/>
              <w:tabs>
                <w:tab w:val="left" w:pos="459"/>
              </w:tabs>
              <w:spacing w:before="128"/>
              <w:ind w:left="3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时</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间</w:t>
            </w:r>
          </w:p>
        </w:tc>
        <w:tc>
          <w:tcPr>
            <w:tcW w:w="4206" w:type="dxa"/>
            <w:gridSpan w:val="6"/>
          </w:tcPr>
          <w:p>
            <w:pPr>
              <w:pStyle w:val="27"/>
              <w:rPr>
                <w:rFonts w:ascii="黑体"/>
                <w:color w:val="000000" w:themeColor="text1"/>
                <w:sz w:val="20"/>
                <w:lang w:eastAsia="zh-CN"/>
                <w14:textFill>
                  <w14:solidFill>
                    <w14:schemeClr w14:val="tx1"/>
                  </w14:solidFill>
                </w14:textFill>
              </w:rPr>
            </w:pPr>
          </w:p>
          <w:p>
            <w:pPr>
              <w:pStyle w:val="27"/>
              <w:spacing w:before="128"/>
              <w:ind w:left="850"/>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参加过的类似工程项目名称</w:t>
            </w:r>
          </w:p>
        </w:tc>
        <w:tc>
          <w:tcPr>
            <w:tcW w:w="1905" w:type="dxa"/>
            <w:gridSpan w:val="2"/>
          </w:tcPr>
          <w:p>
            <w:pPr>
              <w:pStyle w:val="27"/>
              <w:rPr>
                <w:rFonts w:ascii="黑体"/>
                <w:color w:val="000000" w:themeColor="text1"/>
                <w:sz w:val="20"/>
                <w:lang w:eastAsia="zh-CN"/>
                <w14:textFill>
                  <w14:solidFill>
                    <w14:schemeClr w14:val="tx1"/>
                  </w14:solidFill>
                </w14:textFill>
              </w:rPr>
            </w:pPr>
          </w:p>
          <w:p>
            <w:pPr>
              <w:pStyle w:val="27"/>
              <w:spacing w:before="128"/>
              <w:ind w:left="529"/>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担任职务</w:t>
            </w:r>
          </w:p>
        </w:tc>
        <w:tc>
          <w:tcPr>
            <w:tcW w:w="1268" w:type="dxa"/>
          </w:tcPr>
          <w:p>
            <w:pPr>
              <w:pStyle w:val="27"/>
              <w:spacing w:before="55" w:line="400" w:lineRule="atLeast"/>
              <w:ind w:left="314" w:right="99" w:hanging="21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7"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2604" w:type="dxa"/>
            <w:gridSpan w:val="3"/>
          </w:tcPr>
          <w:p>
            <w:pPr>
              <w:pStyle w:val="27"/>
              <w:spacing w:before="6"/>
              <w:rPr>
                <w:rFonts w:ascii="黑体"/>
                <w:color w:val="000000" w:themeColor="text1"/>
                <w:sz w:val="14"/>
                <w14:textFill>
                  <w14:solidFill>
                    <w14:schemeClr w14:val="tx1"/>
                  </w14:solidFill>
                </w14:textFill>
              </w:rPr>
            </w:pPr>
          </w:p>
          <w:p>
            <w:pPr>
              <w:pStyle w:val="27"/>
              <w:ind w:left="861" w:right="852"/>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获奖情况</w:t>
            </w:r>
          </w:p>
        </w:tc>
        <w:tc>
          <w:tcPr>
            <w:tcW w:w="6019" w:type="dxa"/>
            <w:gridSpan w:val="7"/>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5" w:hRule="atLeast"/>
          <w:jc w:val="center"/>
        </w:trPr>
        <w:tc>
          <w:tcPr>
            <w:tcW w:w="2604" w:type="dxa"/>
            <w:gridSpan w:val="3"/>
          </w:tcPr>
          <w:p>
            <w:pPr>
              <w:pStyle w:val="27"/>
              <w:rPr>
                <w:rFonts w:ascii="黑体"/>
                <w:color w:val="000000" w:themeColor="text1"/>
                <w:sz w:val="20"/>
                <w14:textFill>
                  <w14:solidFill>
                    <w14:schemeClr w14:val="tx1"/>
                  </w14:solidFill>
                </w14:textFill>
              </w:rPr>
            </w:pPr>
          </w:p>
          <w:p>
            <w:pPr>
              <w:pStyle w:val="27"/>
              <w:spacing w:before="6"/>
              <w:rPr>
                <w:rFonts w:ascii="黑体"/>
                <w:color w:val="000000" w:themeColor="text1"/>
                <w:sz w:val="18"/>
                <w14:textFill>
                  <w14:solidFill>
                    <w14:schemeClr w14:val="tx1"/>
                  </w14:solidFill>
                </w14:textFill>
              </w:rPr>
            </w:pPr>
          </w:p>
          <w:p>
            <w:pPr>
              <w:pStyle w:val="27"/>
              <w:ind w:left="563"/>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目前承担的任务</w:t>
            </w:r>
          </w:p>
        </w:tc>
        <w:tc>
          <w:tcPr>
            <w:tcW w:w="6019" w:type="dxa"/>
            <w:gridSpan w:val="7"/>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2" w:hRule="atLeast"/>
          <w:jc w:val="center"/>
        </w:trPr>
        <w:tc>
          <w:tcPr>
            <w:tcW w:w="2604" w:type="dxa"/>
            <w:gridSpan w:val="3"/>
          </w:tcPr>
          <w:p>
            <w:pPr>
              <w:pStyle w:val="27"/>
              <w:rPr>
                <w:rFonts w:ascii="黑体"/>
                <w:color w:val="000000" w:themeColor="text1"/>
                <w:sz w:val="20"/>
                <w14:textFill>
                  <w14:solidFill>
                    <w14:schemeClr w14:val="tx1"/>
                  </w14:solidFill>
                </w14:textFill>
              </w:rPr>
            </w:pPr>
          </w:p>
          <w:p>
            <w:pPr>
              <w:pStyle w:val="27"/>
              <w:spacing w:before="6"/>
              <w:rPr>
                <w:rFonts w:ascii="黑体"/>
                <w:color w:val="000000" w:themeColor="text1"/>
                <w:sz w:val="18"/>
                <w14:textFill>
                  <w14:solidFill>
                    <w14:schemeClr w14:val="tx1"/>
                  </w14:solidFill>
                </w14:textFill>
              </w:rPr>
            </w:pPr>
          </w:p>
          <w:p>
            <w:pPr>
              <w:pStyle w:val="27"/>
              <w:tabs>
                <w:tab w:val="left" w:pos="1564"/>
              </w:tabs>
              <w:ind w:left="827"/>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注</w:t>
            </w:r>
          </w:p>
        </w:tc>
        <w:tc>
          <w:tcPr>
            <w:tcW w:w="6019" w:type="dxa"/>
            <w:gridSpan w:val="7"/>
          </w:tcPr>
          <w:p>
            <w:pPr>
              <w:pStyle w:val="27"/>
              <w:rPr>
                <w:rFonts w:ascii="Times New Roman"/>
                <w:color w:val="000000" w:themeColor="text1"/>
                <w:sz w:val="20"/>
                <w14:textFill>
                  <w14:solidFill>
                    <w14:schemeClr w14:val="tx1"/>
                  </w14:solidFill>
                </w14:textFill>
              </w:rPr>
            </w:pPr>
          </w:p>
        </w:tc>
      </w:tr>
    </w:tbl>
    <w:p>
      <w:pPr>
        <w:spacing w:before="128"/>
        <w:ind w:left="48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注：</w:t>
      </w:r>
      <w:r>
        <w:rPr>
          <w:rFonts w:ascii="Times New Roman" w:eastAsia="Times New Roman"/>
          <w:color w:val="000000" w:themeColor="text1"/>
          <w:sz w:val="21"/>
          <w:lang w:eastAsia="zh-CN"/>
          <w14:textFill>
            <w14:solidFill>
              <w14:schemeClr w14:val="tx1"/>
            </w14:solidFill>
          </w14:textFill>
        </w:rPr>
        <w:t>1.</w:t>
      </w:r>
      <w:r>
        <w:rPr>
          <w:rFonts w:hint="eastAsia"/>
          <w:color w:val="000000" w:themeColor="text1"/>
          <w:sz w:val="21"/>
          <w:lang w:eastAsia="zh-CN"/>
          <w14:textFill>
            <w14:solidFill>
              <w14:schemeClr w14:val="tx1"/>
            </w14:solidFill>
          </w14:textFill>
        </w:rPr>
        <w:t>本表应填写项目负责人相关情况。</w:t>
      </w:r>
    </w:p>
    <w:p>
      <w:pPr>
        <w:spacing w:before="132"/>
        <w:ind w:left="901"/>
        <w:rPr>
          <w:color w:val="000000" w:themeColor="text1"/>
          <w:sz w:val="21"/>
          <w:lang w:eastAsia="zh-CN"/>
          <w14:textFill>
            <w14:solidFill>
              <w14:schemeClr w14:val="tx1"/>
            </w14:solidFill>
          </w14:textFill>
        </w:rPr>
      </w:pPr>
      <w:r>
        <w:rPr>
          <w:rFonts w:ascii="Times New Roman" w:hAnsi="Times New Roman"/>
          <w:color w:val="000000" w:themeColor="text1"/>
          <w:sz w:val="21"/>
          <w:lang w:eastAsia="zh-CN"/>
          <w14:textFill>
            <w14:solidFill>
              <w14:schemeClr w14:val="tx1"/>
            </w14:solidFill>
          </w14:textFill>
        </w:rPr>
        <w:t>2.</w:t>
      </w:r>
      <w:r>
        <w:rPr>
          <w:rFonts w:hint="eastAsia"/>
          <w:color w:val="000000" w:themeColor="text1"/>
          <w:sz w:val="21"/>
          <w:lang w:eastAsia="zh-CN"/>
          <w14:textFill>
            <w14:solidFill>
              <w14:schemeClr w14:val="tx1"/>
            </w14:solidFill>
          </w14:textFill>
        </w:rPr>
        <w:t>投标人应根据招标文件第二章“投标人须知”第</w:t>
      </w:r>
      <w:r>
        <w:rPr>
          <w:rFonts w:ascii="Times New Roman" w:hAnsi="Times New Roman"/>
          <w:color w:val="000000" w:themeColor="text1"/>
          <w:sz w:val="21"/>
          <w:lang w:eastAsia="zh-CN"/>
          <w14:textFill>
            <w14:solidFill>
              <w14:schemeClr w14:val="tx1"/>
            </w14:solidFill>
          </w14:textFill>
        </w:rPr>
        <w:t xml:space="preserve">3.5.4 </w:t>
      </w:r>
      <w:r>
        <w:rPr>
          <w:rFonts w:hint="eastAsia"/>
          <w:color w:val="000000" w:themeColor="text1"/>
          <w:sz w:val="21"/>
          <w:lang w:eastAsia="zh-CN"/>
          <w14:textFill>
            <w14:solidFill>
              <w14:schemeClr w14:val="tx1"/>
            </w14:solidFill>
          </w14:textFill>
        </w:rPr>
        <w:t>项的要求在本表后附相关证明材料。</w:t>
      </w:r>
    </w:p>
    <w:p>
      <w:pPr>
        <w:rPr>
          <w:color w:val="000000" w:themeColor="text1"/>
          <w:sz w:val="21"/>
          <w:lang w:eastAsia="zh-CN"/>
          <w14:textFill>
            <w14:solidFill>
              <w14:schemeClr w14:val="tx1"/>
            </w14:solidFill>
          </w14:textFill>
        </w:rPr>
        <w:sectPr>
          <w:pgSz w:w="11910" w:h="16840"/>
          <w:pgMar w:top="1460" w:right="720" w:bottom="1280" w:left="1220" w:header="882" w:footer="1093" w:gutter="0"/>
          <w:cols w:space="720" w:num="1"/>
        </w:sectPr>
      </w:pPr>
    </w:p>
    <w:p>
      <w:pPr>
        <w:pStyle w:val="4"/>
        <w:spacing w:before="4"/>
        <w:rPr>
          <w:color w:val="000000" w:themeColor="text1"/>
          <w:sz w:val="8"/>
          <w:lang w:eastAsia="zh-CN"/>
          <w14:textFill>
            <w14:solidFill>
              <w14:schemeClr w14:val="tx1"/>
            </w14:solidFill>
          </w14:textFill>
        </w:rPr>
      </w:pPr>
    </w:p>
    <w:p>
      <w:pPr>
        <w:pStyle w:val="4"/>
        <w:spacing w:before="11"/>
        <w:rPr>
          <w:color w:val="000000" w:themeColor="text1"/>
          <w:sz w:val="8"/>
          <w:lang w:eastAsia="zh-CN"/>
          <w14:textFill>
            <w14:solidFill>
              <w14:schemeClr w14:val="tx1"/>
            </w14:solidFill>
          </w14:textFill>
        </w:rPr>
      </w:pPr>
      <w:bookmarkStart w:id="45" w:name="_bookmark150"/>
      <w:bookmarkEnd w:id="45"/>
    </w:p>
    <w:p>
      <w:pPr>
        <w:pStyle w:val="4"/>
        <w:spacing w:before="67"/>
        <w:ind w:left="2961"/>
        <w:rPr>
          <w:rFonts w:ascii="黑体" w:eastAsia="黑体"/>
          <w:color w:val="000000" w:themeColor="text1"/>
          <w:lang w:eastAsia="zh-CN"/>
          <w14:textFill>
            <w14:solidFill>
              <w14:schemeClr w14:val="tx1"/>
            </w14:solidFill>
          </w14:textFill>
        </w:rPr>
      </w:pPr>
      <w:r>
        <w:rPr>
          <w:rFonts w:hint="eastAsia" w:ascii="黑体" w:eastAsia="黑体"/>
          <w:color w:val="000000" w:themeColor="text1"/>
          <w:lang w:eastAsia="zh-CN"/>
          <w14:textFill>
            <w14:solidFill>
              <w14:schemeClr w14:val="tx1"/>
            </w14:solidFill>
          </w14:textFill>
        </w:rPr>
        <w:t>（六）拟委任的分项负责人资历表</w:t>
      </w:r>
    </w:p>
    <w:p>
      <w:pPr>
        <w:pStyle w:val="4"/>
        <w:spacing w:after="1"/>
        <w:rPr>
          <w:rFonts w:ascii="黑体"/>
          <w:color w:val="000000" w:themeColor="text1"/>
          <w:sz w:val="19"/>
          <w:lang w:eastAsia="zh-CN"/>
          <w14:textFill>
            <w14:solidFill>
              <w14:schemeClr w14:val="tx1"/>
            </w14:solidFill>
          </w14:textFill>
        </w:rPr>
      </w:pPr>
    </w:p>
    <w:tbl>
      <w:tblPr>
        <w:tblStyle w:val="23"/>
        <w:tblW w:w="86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486"/>
        <w:gridCol w:w="874"/>
        <w:gridCol w:w="101"/>
        <w:gridCol w:w="1047"/>
        <w:gridCol w:w="1364"/>
        <w:gridCol w:w="334"/>
        <w:gridCol w:w="1522"/>
        <w:gridCol w:w="383"/>
        <w:gridCol w:w="1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8" w:hRule="atLeast"/>
          <w:jc w:val="center"/>
        </w:trPr>
        <w:tc>
          <w:tcPr>
            <w:tcW w:w="1244" w:type="dxa"/>
          </w:tcPr>
          <w:p>
            <w:pPr>
              <w:pStyle w:val="27"/>
              <w:rPr>
                <w:rFonts w:ascii="黑体"/>
                <w:color w:val="000000" w:themeColor="text1"/>
                <w:sz w:val="20"/>
                <w:lang w:eastAsia="zh-CN"/>
                <w14:textFill>
                  <w14:solidFill>
                    <w14:schemeClr w14:val="tx1"/>
                  </w14:solidFill>
                </w14:textFill>
              </w:rPr>
            </w:pPr>
          </w:p>
          <w:p>
            <w:pPr>
              <w:pStyle w:val="27"/>
              <w:tabs>
                <w:tab w:val="left" w:pos="631"/>
              </w:tabs>
              <w:spacing w:before="128"/>
              <w:ind w:right="1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姓</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名</w:t>
            </w:r>
          </w:p>
        </w:tc>
        <w:tc>
          <w:tcPr>
            <w:tcW w:w="1461" w:type="dxa"/>
            <w:gridSpan w:val="3"/>
          </w:tcPr>
          <w:p>
            <w:pPr>
              <w:pStyle w:val="27"/>
              <w:rPr>
                <w:rFonts w:ascii="Times New Roman"/>
                <w:color w:val="000000" w:themeColor="text1"/>
                <w:sz w:val="20"/>
                <w14:textFill>
                  <w14:solidFill>
                    <w14:schemeClr w14:val="tx1"/>
                  </w14:solidFill>
                </w14:textFill>
              </w:rPr>
            </w:pPr>
          </w:p>
        </w:tc>
        <w:tc>
          <w:tcPr>
            <w:tcW w:w="1047" w:type="dxa"/>
          </w:tcPr>
          <w:p>
            <w:pPr>
              <w:pStyle w:val="27"/>
              <w:rPr>
                <w:rFonts w:ascii="黑体"/>
                <w:color w:val="000000" w:themeColor="text1"/>
                <w:sz w:val="20"/>
                <w14:textFill>
                  <w14:solidFill>
                    <w14:schemeClr w14:val="tx1"/>
                  </w14:solidFill>
                </w14:textFill>
              </w:rPr>
            </w:pPr>
          </w:p>
          <w:p>
            <w:pPr>
              <w:pStyle w:val="27"/>
              <w:tabs>
                <w:tab w:val="left" w:pos="638"/>
              </w:tabs>
              <w:spacing w:before="128"/>
              <w:ind w:left="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年</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龄</w:t>
            </w:r>
          </w:p>
        </w:tc>
        <w:tc>
          <w:tcPr>
            <w:tcW w:w="1364" w:type="dxa"/>
          </w:tcPr>
          <w:p>
            <w:pPr>
              <w:pStyle w:val="27"/>
              <w:rPr>
                <w:rFonts w:ascii="Times New Roman"/>
                <w:color w:val="000000" w:themeColor="text1"/>
                <w:sz w:val="20"/>
                <w14:textFill>
                  <w14:solidFill>
                    <w14:schemeClr w14:val="tx1"/>
                  </w14:solidFill>
                </w14:textFill>
              </w:rPr>
            </w:pPr>
          </w:p>
        </w:tc>
        <w:tc>
          <w:tcPr>
            <w:tcW w:w="1856" w:type="dxa"/>
            <w:gridSpan w:val="2"/>
          </w:tcPr>
          <w:p>
            <w:pPr>
              <w:pStyle w:val="27"/>
              <w:spacing w:before="55" w:line="400" w:lineRule="atLeast"/>
              <w:ind w:left="608" w:right="78" w:hanging="524"/>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执业或职业资格证书名称</w:t>
            </w:r>
          </w:p>
        </w:tc>
        <w:tc>
          <w:tcPr>
            <w:tcW w:w="1651" w:type="dxa"/>
            <w:gridSpan w:val="2"/>
          </w:tcPr>
          <w:p>
            <w:pPr>
              <w:pStyle w:val="27"/>
              <w:rPr>
                <w:rFonts w:ascii="Times New Roman"/>
                <w:color w:val="000000" w:themeColor="text1"/>
                <w:sz w:val="2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1244" w:type="dxa"/>
          </w:tcPr>
          <w:p>
            <w:pPr>
              <w:pStyle w:val="27"/>
              <w:rPr>
                <w:rFonts w:ascii="黑体"/>
                <w:color w:val="000000" w:themeColor="text1"/>
                <w:sz w:val="20"/>
                <w:lang w:eastAsia="zh-CN"/>
                <w14:textFill>
                  <w14:solidFill>
                    <w14:schemeClr w14:val="tx1"/>
                  </w14:solidFill>
                </w14:textFill>
              </w:rPr>
            </w:pPr>
          </w:p>
          <w:p>
            <w:pPr>
              <w:pStyle w:val="27"/>
              <w:spacing w:before="160"/>
              <w:ind w:right="13"/>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技术职称</w:t>
            </w:r>
          </w:p>
        </w:tc>
        <w:tc>
          <w:tcPr>
            <w:tcW w:w="1461" w:type="dxa"/>
            <w:gridSpan w:val="3"/>
          </w:tcPr>
          <w:p>
            <w:pPr>
              <w:pStyle w:val="27"/>
              <w:rPr>
                <w:rFonts w:ascii="Times New Roman"/>
                <w:color w:val="000000" w:themeColor="text1"/>
                <w:sz w:val="20"/>
                <w14:textFill>
                  <w14:solidFill>
                    <w14:schemeClr w14:val="tx1"/>
                  </w14:solidFill>
                </w14:textFill>
              </w:rPr>
            </w:pPr>
          </w:p>
        </w:tc>
        <w:tc>
          <w:tcPr>
            <w:tcW w:w="1047" w:type="dxa"/>
          </w:tcPr>
          <w:p>
            <w:pPr>
              <w:pStyle w:val="27"/>
              <w:rPr>
                <w:rFonts w:ascii="黑体"/>
                <w:color w:val="000000" w:themeColor="text1"/>
                <w:sz w:val="20"/>
                <w14:textFill>
                  <w14:solidFill>
                    <w14:schemeClr w14:val="tx1"/>
                  </w14:solidFill>
                </w14:textFill>
              </w:rPr>
            </w:pPr>
          </w:p>
          <w:p>
            <w:pPr>
              <w:pStyle w:val="27"/>
              <w:tabs>
                <w:tab w:val="left" w:pos="638"/>
              </w:tabs>
              <w:spacing w:before="160"/>
              <w:ind w:left="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学</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历</w:t>
            </w:r>
          </w:p>
        </w:tc>
        <w:tc>
          <w:tcPr>
            <w:tcW w:w="1364" w:type="dxa"/>
          </w:tcPr>
          <w:p>
            <w:pPr>
              <w:pStyle w:val="27"/>
              <w:rPr>
                <w:rFonts w:ascii="Times New Roman"/>
                <w:color w:val="000000" w:themeColor="text1"/>
                <w:sz w:val="20"/>
                <w14:textFill>
                  <w14:solidFill>
                    <w14:schemeClr w14:val="tx1"/>
                  </w14:solidFill>
                </w14:textFill>
              </w:rPr>
            </w:pPr>
          </w:p>
        </w:tc>
        <w:tc>
          <w:tcPr>
            <w:tcW w:w="1856" w:type="dxa"/>
            <w:gridSpan w:val="2"/>
          </w:tcPr>
          <w:p>
            <w:pPr>
              <w:pStyle w:val="27"/>
              <w:spacing w:before="28" w:line="460" w:lineRule="exact"/>
              <w:ind w:left="505" w:right="390" w:hanging="10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拟在本工程任职</w:t>
            </w:r>
          </w:p>
        </w:tc>
        <w:tc>
          <w:tcPr>
            <w:tcW w:w="1651" w:type="dxa"/>
            <w:gridSpan w:val="2"/>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9" w:hRule="atLeast"/>
          <w:jc w:val="center"/>
        </w:trPr>
        <w:tc>
          <w:tcPr>
            <w:tcW w:w="1244" w:type="dxa"/>
          </w:tcPr>
          <w:p>
            <w:pPr>
              <w:pStyle w:val="27"/>
              <w:rPr>
                <w:rFonts w:ascii="黑体"/>
                <w:color w:val="000000" w:themeColor="text1"/>
                <w:sz w:val="20"/>
                <w14:textFill>
                  <w14:solidFill>
                    <w14:schemeClr w14:val="tx1"/>
                  </w14:solidFill>
                </w14:textFill>
              </w:rPr>
            </w:pPr>
          </w:p>
          <w:p>
            <w:pPr>
              <w:pStyle w:val="27"/>
              <w:spacing w:before="128"/>
              <w:ind w:right="13"/>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工作年限</w:t>
            </w:r>
          </w:p>
        </w:tc>
        <w:tc>
          <w:tcPr>
            <w:tcW w:w="3872" w:type="dxa"/>
            <w:gridSpan w:val="5"/>
          </w:tcPr>
          <w:p>
            <w:pPr>
              <w:pStyle w:val="27"/>
              <w:rPr>
                <w:rFonts w:ascii="Times New Roman"/>
                <w:color w:val="000000" w:themeColor="text1"/>
                <w:sz w:val="20"/>
                <w14:textFill>
                  <w14:solidFill>
                    <w14:schemeClr w14:val="tx1"/>
                  </w14:solidFill>
                </w14:textFill>
              </w:rPr>
            </w:pPr>
          </w:p>
        </w:tc>
        <w:tc>
          <w:tcPr>
            <w:tcW w:w="1856" w:type="dxa"/>
            <w:gridSpan w:val="2"/>
          </w:tcPr>
          <w:p>
            <w:pPr>
              <w:pStyle w:val="27"/>
              <w:spacing w:before="55" w:line="400" w:lineRule="atLeast"/>
              <w:ind w:left="714" w:right="75" w:hanging="629"/>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从事勘察设计工作年限</w:t>
            </w:r>
          </w:p>
        </w:tc>
        <w:tc>
          <w:tcPr>
            <w:tcW w:w="1651" w:type="dxa"/>
            <w:gridSpan w:val="2"/>
          </w:tcPr>
          <w:p>
            <w:pPr>
              <w:pStyle w:val="27"/>
              <w:rPr>
                <w:rFonts w:ascii="Times New Roman"/>
                <w:color w:val="000000" w:themeColor="text1"/>
                <w:sz w:val="2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jc w:val="center"/>
        </w:trPr>
        <w:tc>
          <w:tcPr>
            <w:tcW w:w="1244" w:type="dxa"/>
            <w:vMerge w:val="restart"/>
          </w:tcPr>
          <w:p>
            <w:pPr>
              <w:pStyle w:val="27"/>
              <w:spacing w:before="6"/>
              <w:rPr>
                <w:rFonts w:ascii="黑体"/>
                <w:color w:val="000000" w:themeColor="text1"/>
                <w:sz w:val="14"/>
                <w:lang w:eastAsia="zh-CN"/>
                <w14:textFill>
                  <w14:solidFill>
                    <w14:schemeClr w14:val="tx1"/>
                  </w14:solidFill>
                </w14:textFill>
              </w:rPr>
            </w:pPr>
          </w:p>
          <w:p>
            <w:pPr>
              <w:pStyle w:val="27"/>
              <w:ind w:left="189"/>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毕业学校</w:t>
            </w:r>
          </w:p>
        </w:tc>
        <w:tc>
          <w:tcPr>
            <w:tcW w:w="486" w:type="dxa"/>
            <w:tcBorders>
              <w:right w:val="nil"/>
            </w:tcBorders>
          </w:tcPr>
          <w:p>
            <w:pPr>
              <w:pStyle w:val="27"/>
              <w:rPr>
                <w:rFonts w:ascii="Times New Roman"/>
                <w:color w:val="000000" w:themeColor="text1"/>
                <w:sz w:val="20"/>
                <w14:textFill>
                  <w14:solidFill>
                    <w14:schemeClr w14:val="tx1"/>
                  </w14:solidFill>
                </w14:textFill>
              </w:rPr>
            </w:pPr>
          </w:p>
        </w:tc>
        <w:tc>
          <w:tcPr>
            <w:tcW w:w="6893" w:type="dxa"/>
            <w:gridSpan w:val="8"/>
            <w:vMerge w:val="restart"/>
            <w:tcBorders>
              <w:left w:val="nil"/>
            </w:tcBorders>
          </w:tcPr>
          <w:p>
            <w:pPr>
              <w:pStyle w:val="27"/>
              <w:tabs>
                <w:tab w:val="left" w:pos="528"/>
                <w:tab w:val="left" w:pos="3363"/>
                <w:tab w:val="left" w:pos="4938"/>
                <w:tab w:val="left" w:pos="6616"/>
              </w:tabs>
              <w:spacing w:before="186"/>
              <w:ind w:left="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年</w:t>
            </w:r>
            <w:r>
              <w:rPr>
                <w:color w:val="000000" w:themeColor="text1"/>
                <w:sz w:val="21"/>
                <w:u w:val="single"/>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月</w:t>
            </w:r>
            <w:r>
              <w:rPr>
                <w:rFonts w:hint="eastAsia"/>
                <w:color w:val="000000" w:themeColor="text1"/>
                <w:sz w:val="21"/>
                <w:lang w:eastAsia="zh-CN"/>
                <w14:textFill>
                  <w14:solidFill>
                    <w14:schemeClr w14:val="tx1"/>
                  </w14:solidFill>
                </w14:textFill>
              </w:rPr>
              <w:t>毕</w:t>
            </w:r>
            <w:r>
              <w:rPr>
                <w:rFonts w:hint="eastAsia"/>
                <w:color w:val="000000" w:themeColor="text1"/>
                <w:spacing w:val="-3"/>
                <w:sz w:val="21"/>
                <w:lang w:eastAsia="zh-CN"/>
                <w14:textFill>
                  <w14:solidFill>
                    <w14:schemeClr w14:val="tx1"/>
                  </w14:solidFill>
                </w14:textFill>
              </w:rPr>
              <w:t>业</w:t>
            </w:r>
            <w:r>
              <w:rPr>
                <w:rFonts w:hint="eastAsia"/>
                <w:color w:val="000000" w:themeColor="text1"/>
                <w:sz w:val="21"/>
                <w:lang w:eastAsia="zh-CN"/>
                <w14:textFill>
                  <w14:solidFill>
                    <w14:schemeClr w14:val="tx1"/>
                  </w14:solidFill>
                </w14:textFill>
              </w:rPr>
              <w:t>于</w:t>
            </w:r>
            <w:r>
              <w:rPr>
                <w:color w:val="000000" w:themeColor="text1"/>
                <w:sz w:val="21"/>
                <w:u w:val="single"/>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学</w:t>
            </w:r>
            <w:r>
              <w:rPr>
                <w:rFonts w:hint="eastAsia"/>
                <w:color w:val="000000" w:themeColor="text1"/>
                <w:sz w:val="21"/>
                <w:lang w:eastAsia="zh-CN"/>
                <w14:textFill>
                  <w14:solidFill>
                    <w14:schemeClr w14:val="tx1"/>
                  </w14:solidFill>
                </w14:textFill>
              </w:rPr>
              <w:t>校</w:t>
            </w:r>
            <w:r>
              <w:rPr>
                <w:color w:val="000000" w:themeColor="text1"/>
                <w:sz w:val="21"/>
                <w:u w:val="single"/>
                <w:lang w:eastAsia="zh-CN"/>
                <w14:textFill>
                  <w14:solidFill>
                    <w14:schemeClr w14:val="tx1"/>
                  </w14:solidFill>
                </w14:textFill>
              </w:rPr>
              <w:tab/>
            </w:r>
            <w:r>
              <w:rPr>
                <w:rFonts w:hint="eastAsia"/>
                <w:color w:val="000000" w:themeColor="text1"/>
                <w:spacing w:val="-3"/>
                <w:sz w:val="21"/>
                <w:lang w:eastAsia="zh-CN"/>
                <w14:textFill>
                  <w14:solidFill>
                    <w14:schemeClr w14:val="tx1"/>
                  </w14:solidFill>
                </w14:textFill>
              </w:rPr>
              <w:t>专</w:t>
            </w:r>
            <w:r>
              <w:rPr>
                <w:rFonts w:hint="eastAsia"/>
                <w:color w:val="000000" w:themeColor="text1"/>
                <w:sz w:val="21"/>
                <w:lang w:eastAsia="zh-CN"/>
                <w14:textFill>
                  <w14:solidFill>
                    <w14:schemeClr w14:val="tx1"/>
                  </w14:solidFill>
                </w14:textFill>
              </w:rPr>
              <w:t>业</w:t>
            </w:r>
            <w:r>
              <w:rPr>
                <w:rFonts w:hint="eastAsia"/>
                <w:color w:val="000000" w:themeColor="text1"/>
                <w:spacing w:val="-3"/>
                <w:sz w:val="21"/>
                <w:lang w:eastAsia="zh-CN"/>
                <w14:textFill>
                  <w14:solidFill>
                    <w14:schemeClr w14:val="tx1"/>
                  </w14:solidFill>
                </w14:textFill>
              </w:rPr>
              <w:t>，</w:t>
            </w:r>
            <w:r>
              <w:rPr>
                <w:rFonts w:hint="eastAsia"/>
                <w:color w:val="000000" w:themeColor="text1"/>
                <w:sz w:val="21"/>
                <w:lang w:eastAsia="zh-CN"/>
                <w14:textFill>
                  <w14:solidFill>
                    <w14:schemeClr w14:val="tx1"/>
                  </w14:solidFill>
                </w14:textFill>
              </w:rPr>
              <w:t>学制</w:t>
            </w:r>
            <w:r>
              <w:rPr>
                <w:color w:val="000000" w:themeColor="text1"/>
                <w:sz w:val="21"/>
                <w:u w:val="single"/>
                <w:lang w:eastAsia="zh-CN"/>
                <w14:textFill>
                  <w14:solidFill>
                    <w14:schemeClr w14:val="tx1"/>
                  </w14:solidFill>
                </w14:textFill>
              </w:rPr>
              <w:tab/>
            </w:r>
            <w:r>
              <w:rPr>
                <w:rFonts w:hint="eastAsia"/>
                <w:color w:val="000000" w:themeColor="text1"/>
                <w:sz w:val="21"/>
                <w:lang w:eastAsia="zh-CN"/>
                <w14:textFill>
                  <w14:solidFill>
                    <w14:schemeClr w14:val="tx1"/>
                  </w14:solidFill>
                </w14:textFill>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 w:hRule="atLeast"/>
          <w:jc w:val="center"/>
        </w:trPr>
        <w:tc>
          <w:tcPr>
            <w:tcW w:w="1244" w:type="dxa"/>
            <w:vMerge w:val="continue"/>
            <w:tcBorders>
              <w:top w:val="nil"/>
            </w:tcBorders>
          </w:tcPr>
          <w:p>
            <w:pPr>
              <w:rPr>
                <w:color w:val="000000" w:themeColor="text1"/>
                <w:sz w:val="2"/>
                <w:szCs w:val="2"/>
                <w:lang w:eastAsia="zh-CN"/>
                <w14:textFill>
                  <w14:solidFill>
                    <w14:schemeClr w14:val="tx1"/>
                  </w14:solidFill>
                </w14:textFill>
              </w:rPr>
            </w:pPr>
          </w:p>
        </w:tc>
        <w:tc>
          <w:tcPr>
            <w:tcW w:w="486" w:type="dxa"/>
            <w:tcBorders>
              <w:right w:val="nil"/>
            </w:tcBorders>
          </w:tcPr>
          <w:p>
            <w:pPr>
              <w:pStyle w:val="27"/>
              <w:rPr>
                <w:rFonts w:ascii="Times New Roman"/>
                <w:color w:val="000000" w:themeColor="text1"/>
                <w:sz w:val="2"/>
                <w:lang w:eastAsia="zh-CN"/>
                <w14:textFill>
                  <w14:solidFill>
                    <w14:schemeClr w14:val="tx1"/>
                  </w14:solidFill>
                </w14:textFill>
              </w:rPr>
            </w:pPr>
          </w:p>
        </w:tc>
        <w:tc>
          <w:tcPr>
            <w:tcW w:w="6893" w:type="dxa"/>
            <w:gridSpan w:val="8"/>
            <w:vMerge w:val="continue"/>
            <w:tcBorders>
              <w:top w:val="nil"/>
              <w:left w:val="nil"/>
            </w:tcBorders>
          </w:tcPr>
          <w:p>
            <w:pPr>
              <w:rPr>
                <w:color w:val="000000" w:themeColor="text1"/>
                <w:sz w:val="2"/>
                <w:szCs w:val="2"/>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623" w:type="dxa"/>
            <w:gridSpan w:val="10"/>
          </w:tcPr>
          <w:p>
            <w:pPr>
              <w:pStyle w:val="27"/>
              <w:spacing w:before="6"/>
              <w:rPr>
                <w:rFonts w:ascii="黑体"/>
                <w:color w:val="000000" w:themeColor="text1"/>
                <w:sz w:val="14"/>
                <w:lang w:eastAsia="zh-CN"/>
                <w14:textFill>
                  <w14:solidFill>
                    <w14:schemeClr w14:val="tx1"/>
                  </w14:solidFill>
                </w14:textFill>
              </w:rPr>
            </w:pPr>
          </w:p>
          <w:p>
            <w:pPr>
              <w:pStyle w:val="27"/>
              <w:tabs>
                <w:tab w:val="left" w:pos="1165"/>
              </w:tabs>
              <w:ind w:left="8"/>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经</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8" w:hRule="atLeast"/>
          <w:jc w:val="center"/>
        </w:trPr>
        <w:tc>
          <w:tcPr>
            <w:tcW w:w="1244" w:type="dxa"/>
          </w:tcPr>
          <w:p>
            <w:pPr>
              <w:pStyle w:val="27"/>
              <w:rPr>
                <w:rFonts w:ascii="黑体"/>
                <w:color w:val="000000" w:themeColor="text1"/>
                <w:sz w:val="20"/>
                <w14:textFill>
                  <w14:solidFill>
                    <w14:schemeClr w14:val="tx1"/>
                  </w14:solidFill>
                </w14:textFill>
              </w:rPr>
            </w:pPr>
          </w:p>
          <w:p>
            <w:pPr>
              <w:pStyle w:val="27"/>
              <w:tabs>
                <w:tab w:val="left" w:pos="459"/>
              </w:tabs>
              <w:spacing w:before="128"/>
              <w:ind w:left="3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时</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间</w:t>
            </w:r>
          </w:p>
        </w:tc>
        <w:tc>
          <w:tcPr>
            <w:tcW w:w="4206" w:type="dxa"/>
            <w:gridSpan w:val="6"/>
          </w:tcPr>
          <w:p>
            <w:pPr>
              <w:pStyle w:val="27"/>
              <w:rPr>
                <w:rFonts w:ascii="黑体"/>
                <w:color w:val="000000" w:themeColor="text1"/>
                <w:sz w:val="20"/>
                <w:lang w:eastAsia="zh-CN"/>
                <w14:textFill>
                  <w14:solidFill>
                    <w14:schemeClr w14:val="tx1"/>
                  </w14:solidFill>
                </w14:textFill>
              </w:rPr>
            </w:pPr>
          </w:p>
          <w:p>
            <w:pPr>
              <w:pStyle w:val="27"/>
              <w:spacing w:before="128"/>
              <w:ind w:left="850"/>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参加过的类似工程项目名称</w:t>
            </w:r>
          </w:p>
        </w:tc>
        <w:tc>
          <w:tcPr>
            <w:tcW w:w="1905" w:type="dxa"/>
            <w:gridSpan w:val="2"/>
          </w:tcPr>
          <w:p>
            <w:pPr>
              <w:pStyle w:val="27"/>
              <w:rPr>
                <w:rFonts w:ascii="黑体"/>
                <w:color w:val="000000" w:themeColor="text1"/>
                <w:sz w:val="20"/>
                <w:lang w:eastAsia="zh-CN"/>
                <w14:textFill>
                  <w14:solidFill>
                    <w14:schemeClr w14:val="tx1"/>
                  </w14:solidFill>
                </w14:textFill>
              </w:rPr>
            </w:pPr>
          </w:p>
          <w:p>
            <w:pPr>
              <w:pStyle w:val="27"/>
              <w:spacing w:before="128"/>
              <w:ind w:left="529"/>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担任职务</w:t>
            </w:r>
          </w:p>
        </w:tc>
        <w:tc>
          <w:tcPr>
            <w:tcW w:w="1268" w:type="dxa"/>
          </w:tcPr>
          <w:p>
            <w:pPr>
              <w:pStyle w:val="27"/>
              <w:spacing w:before="55" w:line="400" w:lineRule="atLeast"/>
              <w:ind w:left="314" w:right="99" w:hanging="212"/>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7"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1244" w:type="dxa"/>
          </w:tcPr>
          <w:p>
            <w:pPr>
              <w:pStyle w:val="27"/>
              <w:rPr>
                <w:rFonts w:ascii="Times New Roman"/>
                <w:color w:val="000000" w:themeColor="text1"/>
                <w:sz w:val="20"/>
                <w14:textFill>
                  <w14:solidFill>
                    <w14:schemeClr w14:val="tx1"/>
                  </w14:solidFill>
                </w14:textFill>
              </w:rPr>
            </w:pPr>
          </w:p>
        </w:tc>
        <w:tc>
          <w:tcPr>
            <w:tcW w:w="4206" w:type="dxa"/>
            <w:gridSpan w:val="6"/>
          </w:tcPr>
          <w:p>
            <w:pPr>
              <w:pStyle w:val="27"/>
              <w:rPr>
                <w:rFonts w:ascii="Times New Roman"/>
                <w:color w:val="000000" w:themeColor="text1"/>
                <w:sz w:val="20"/>
                <w14:textFill>
                  <w14:solidFill>
                    <w14:schemeClr w14:val="tx1"/>
                  </w14:solidFill>
                </w14:textFill>
              </w:rPr>
            </w:pPr>
          </w:p>
        </w:tc>
        <w:tc>
          <w:tcPr>
            <w:tcW w:w="1905" w:type="dxa"/>
            <w:gridSpan w:val="2"/>
          </w:tcPr>
          <w:p>
            <w:pPr>
              <w:pStyle w:val="27"/>
              <w:rPr>
                <w:rFonts w:ascii="Times New Roman"/>
                <w:color w:val="000000" w:themeColor="text1"/>
                <w:sz w:val="20"/>
                <w14:textFill>
                  <w14:solidFill>
                    <w14:schemeClr w14:val="tx1"/>
                  </w14:solidFill>
                </w14:textFill>
              </w:rPr>
            </w:pPr>
          </w:p>
        </w:tc>
        <w:tc>
          <w:tcPr>
            <w:tcW w:w="1268"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jc w:val="center"/>
        </w:trPr>
        <w:tc>
          <w:tcPr>
            <w:tcW w:w="2604" w:type="dxa"/>
            <w:gridSpan w:val="3"/>
          </w:tcPr>
          <w:p>
            <w:pPr>
              <w:pStyle w:val="27"/>
              <w:spacing w:before="6"/>
              <w:rPr>
                <w:rFonts w:ascii="黑体"/>
                <w:color w:val="000000" w:themeColor="text1"/>
                <w:sz w:val="14"/>
                <w14:textFill>
                  <w14:solidFill>
                    <w14:schemeClr w14:val="tx1"/>
                  </w14:solidFill>
                </w14:textFill>
              </w:rPr>
            </w:pPr>
          </w:p>
          <w:p>
            <w:pPr>
              <w:pStyle w:val="27"/>
              <w:ind w:left="861" w:right="852"/>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获奖情况</w:t>
            </w:r>
          </w:p>
        </w:tc>
        <w:tc>
          <w:tcPr>
            <w:tcW w:w="6019" w:type="dxa"/>
            <w:gridSpan w:val="7"/>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5" w:hRule="atLeast"/>
          <w:jc w:val="center"/>
        </w:trPr>
        <w:tc>
          <w:tcPr>
            <w:tcW w:w="2604" w:type="dxa"/>
            <w:gridSpan w:val="3"/>
          </w:tcPr>
          <w:p>
            <w:pPr>
              <w:pStyle w:val="27"/>
              <w:rPr>
                <w:rFonts w:ascii="黑体"/>
                <w:color w:val="000000" w:themeColor="text1"/>
                <w:sz w:val="20"/>
                <w14:textFill>
                  <w14:solidFill>
                    <w14:schemeClr w14:val="tx1"/>
                  </w14:solidFill>
                </w14:textFill>
              </w:rPr>
            </w:pPr>
          </w:p>
          <w:p>
            <w:pPr>
              <w:pStyle w:val="27"/>
              <w:spacing w:before="6"/>
              <w:rPr>
                <w:rFonts w:ascii="黑体"/>
                <w:color w:val="000000" w:themeColor="text1"/>
                <w:sz w:val="18"/>
                <w14:textFill>
                  <w14:solidFill>
                    <w14:schemeClr w14:val="tx1"/>
                  </w14:solidFill>
                </w14:textFill>
              </w:rPr>
            </w:pPr>
          </w:p>
          <w:p>
            <w:pPr>
              <w:pStyle w:val="27"/>
              <w:ind w:left="563"/>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目前承担的任务</w:t>
            </w:r>
          </w:p>
        </w:tc>
        <w:tc>
          <w:tcPr>
            <w:tcW w:w="6019" w:type="dxa"/>
            <w:gridSpan w:val="7"/>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2" w:hRule="atLeast"/>
          <w:jc w:val="center"/>
        </w:trPr>
        <w:tc>
          <w:tcPr>
            <w:tcW w:w="2604" w:type="dxa"/>
            <w:gridSpan w:val="3"/>
          </w:tcPr>
          <w:p>
            <w:pPr>
              <w:pStyle w:val="27"/>
              <w:rPr>
                <w:rFonts w:ascii="黑体"/>
                <w:color w:val="000000" w:themeColor="text1"/>
                <w:sz w:val="20"/>
                <w14:textFill>
                  <w14:solidFill>
                    <w14:schemeClr w14:val="tx1"/>
                  </w14:solidFill>
                </w14:textFill>
              </w:rPr>
            </w:pPr>
          </w:p>
          <w:p>
            <w:pPr>
              <w:pStyle w:val="27"/>
              <w:spacing w:before="6"/>
              <w:rPr>
                <w:rFonts w:ascii="黑体"/>
                <w:color w:val="000000" w:themeColor="text1"/>
                <w:sz w:val="18"/>
                <w14:textFill>
                  <w14:solidFill>
                    <w14:schemeClr w14:val="tx1"/>
                  </w14:solidFill>
                </w14:textFill>
              </w:rPr>
            </w:pPr>
          </w:p>
          <w:p>
            <w:pPr>
              <w:pStyle w:val="27"/>
              <w:tabs>
                <w:tab w:val="left" w:pos="1564"/>
              </w:tabs>
              <w:ind w:left="827"/>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备</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注</w:t>
            </w:r>
          </w:p>
        </w:tc>
        <w:tc>
          <w:tcPr>
            <w:tcW w:w="6019" w:type="dxa"/>
            <w:gridSpan w:val="7"/>
          </w:tcPr>
          <w:p>
            <w:pPr>
              <w:pStyle w:val="27"/>
              <w:rPr>
                <w:rFonts w:ascii="Times New Roman"/>
                <w:color w:val="000000" w:themeColor="text1"/>
                <w:sz w:val="20"/>
                <w14:textFill>
                  <w14:solidFill>
                    <w14:schemeClr w14:val="tx1"/>
                  </w14:solidFill>
                </w14:textFill>
              </w:rPr>
            </w:pPr>
          </w:p>
        </w:tc>
      </w:tr>
    </w:tbl>
    <w:p>
      <w:pPr>
        <w:spacing w:before="128"/>
        <w:ind w:left="48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注：</w:t>
      </w:r>
      <w:r>
        <w:rPr>
          <w:rFonts w:ascii="Times New Roman" w:eastAsia="Times New Roman"/>
          <w:color w:val="000000" w:themeColor="text1"/>
          <w:sz w:val="21"/>
          <w:lang w:eastAsia="zh-CN"/>
          <w14:textFill>
            <w14:solidFill>
              <w14:schemeClr w14:val="tx1"/>
            </w14:solidFill>
          </w14:textFill>
        </w:rPr>
        <w:t>1.</w:t>
      </w:r>
      <w:r>
        <w:rPr>
          <w:rFonts w:hint="eastAsia"/>
          <w:color w:val="000000" w:themeColor="text1"/>
          <w:sz w:val="21"/>
          <w:lang w:eastAsia="zh-CN"/>
          <w14:textFill>
            <w14:solidFill>
              <w14:schemeClr w14:val="tx1"/>
            </w14:solidFill>
          </w14:textFill>
        </w:rPr>
        <w:t>本表应填写分项负责人相关情况。</w:t>
      </w:r>
    </w:p>
    <w:p>
      <w:pPr>
        <w:spacing w:before="132"/>
        <w:ind w:left="901"/>
        <w:rPr>
          <w:rFonts w:ascii="宋体" w:hAnsi="宋体" w:eastAsia="宋体"/>
          <w:sz w:val="24"/>
          <w:u w:val="single"/>
          <w:lang w:eastAsia="zh-CN"/>
        </w:rPr>
      </w:pPr>
      <w:r>
        <w:rPr>
          <w:rFonts w:ascii="Times New Roman" w:hAnsi="Times New Roman"/>
          <w:color w:val="000000" w:themeColor="text1"/>
          <w:sz w:val="21"/>
          <w:lang w:eastAsia="zh-CN"/>
          <w14:textFill>
            <w14:solidFill>
              <w14:schemeClr w14:val="tx1"/>
            </w14:solidFill>
          </w14:textFill>
        </w:rPr>
        <w:t>2.</w:t>
      </w:r>
      <w:r>
        <w:rPr>
          <w:rFonts w:hint="eastAsia"/>
          <w:color w:val="000000" w:themeColor="text1"/>
          <w:sz w:val="21"/>
          <w:lang w:eastAsia="zh-CN"/>
          <w14:textFill>
            <w14:solidFill>
              <w14:schemeClr w14:val="tx1"/>
            </w14:solidFill>
          </w14:textFill>
        </w:rPr>
        <w:t>投标人应根据招标文件第二章“投标人须知”第</w:t>
      </w:r>
      <w:r>
        <w:rPr>
          <w:rFonts w:ascii="Times New Roman" w:hAnsi="Times New Roman"/>
          <w:color w:val="000000" w:themeColor="text1"/>
          <w:sz w:val="21"/>
          <w:lang w:eastAsia="zh-CN"/>
          <w14:textFill>
            <w14:solidFill>
              <w14:schemeClr w14:val="tx1"/>
            </w14:solidFill>
          </w14:textFill>
        </w:rPr>
        <w:t xml:space="preserve">3.5.4 </w:t>
      </w:r>
      <w:r>
        <w:rPr>
          <w:rFonts w:hint="eastAsia"/>
          <w:color w:val="000000" w:themeColor="text1"/>
          <w:sz w:val="21"/>
          <w:lang w:eastAsia="zh-CN"/>
          <w14:textFill>
            <w14:solidFill>
              <w14:schemeClr w14:val="tx1"/>
            </w14:solidFill>
          </w14:textFill>
        </w:rPr>
        <w:t>项的要求在本表后附相关证明材料。</w:t>
      </w:r>
    </w:p>
    <w:p>
      <w:pPr>
        <w:spacing w:before="55"/>
        <w:jc w:val="center"/>
        <w:rPr>
          <w:b/>
          <w:color w:val="000000" w:themeColor="text1"/>
          <w:sz w:val="32"/>
          <w:lang w:eastAsia="zh-CN"/>
          <w14:textFill>
            <w14:solidFill>
              <w14:schemeClr w14:val="tx1"/>
            </w14:solidFill>
          </w14:textFill>
        </w:rPr>
      </w:pPr>
    </w:p>
    <w:p>
      <w:pPr>
        <w:widowControl/>
        <w:rPr>
          <w:b/>
          <w:color w:val="000000" w:themeColor="text1"/>
          <w:sz w:val="32"/>
          <w:lang w:eastAsia="zh-CN"/>
          <w14:textFill>
            <w14:solidFill>
              <w14:schemeClr w14:val="tx1"/>
            </w14:solidFill>
          </w14:textFill>
        </w:rPr>
      </w:pPr>
      <w:r>
        <w:rPr>
          <w:b/>
          <w:color w:val="000000" w:themeColor="text1"/>
          <w:sz w:val="32"/>
          <w:lang w:eastAsia="zh-CN"/>
          <w14:textFill>
            <w14:solidFill>
              <w14:schemeClr w14:val="tx1"/>
            </w14:solidFill>
          </w14:textFill>
        </w:rPr>
        <w:br w:type="page"/>
      </w:r>
    </w:p>
    <w:p>
      <w:pPr>
        <w:widowControl/>
        <w:jc w:val="center"/>
        <w:rPr>
          <w:b/>
          <w:color w:val="000000" w:themeColor="text1"/>
          <w:sz w:val="32"/>
          <w14:textFill>
            <w14:solidFill>
              <w14:schemeClr w14:val="tx1"/>
            </w14:solidFill>
          </w14:textFill>
        </w:rPr>
      </w:pPr>
      <w:r>
        <w:rPr>
          <w:rFonts w:hint="eastAsia"/>
          <w:b/>
          <w:color w:val="000000" w:themeColor="text1"/>
          <w:sz w:val="32"/>
          <w14:textFill>
            <w14:solidFill>
              <w14:schemeClr w14:val="tx1"/>
            </w14:solidFill>
          </w14:textFill>
        </w:rPr>
        <w:t>六</w:t>
      </w:r>
      <w:r>
        <w:rPr>
          <w:b/>
          <w:color w:val="000000" w:themeColor="text1"/>
          <w:sz w:val="32"/>
          <w14:textFill>
            <w14:solidFill>
              <w14:schemeClr w14:val="tx1"/>
            </w14:solidFill>
          </w14:textFill>
        </w:rPr>
        <w:t>、其他资料</w:t>
      </w:r>
    </w:p>
    <w:p>
      <w:pPr>
        <w:pStyle w:val="4"/>
        <w:spacing w:before="9"/>
        <w:rPr>
          <w:b/>
          <w:color w:val="000000" w:themeColor="text1"/>
          <w:sz w:val="34"/>
          <w14:textFill>
            <w14:solidFill>
              <w14:schemeClr w14:val="tx1"/>
            </w14:solidFill>
          </w14:textFill>
        </w:rPr>
      </w:pPr>
    </w:p>
    <w:p>
      <w:pPr>
        <w:pStyle w:val="29"/>
        <w:numPr>
          <w:ilvl w:val="0"/>
          <w:numId w:val="67"/>
        </w:numPr>
        <w:tabs>
          <w:tab w:val="left" w:pos="934"/>
          <w:tab w:val="clear" w:pos="312"/>
        </w:tabs>
        <w:spacing w:line="360" w:lineRule="auto"/>
        <w:ind w:left="440" w:left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 xml:space="preserve"> “</w:t>
      </w:r>
      <w:r>
        <w:rPr>
          <w:rFonts w:hint="eastAsia"/>
          <w:color w:val="000000" w:themeColor="text1"/>
          <w:sz w:val="24"/>
          <w:lang w:eastAsia="zh-CN"/>
          <w14:textFill>
            <w14:solidFill>
              <w14:schemeClr w14:val="tx1"/>
            </w14:solidFill>
          </w14:textFill>
        </w:rPr>
        <w:t>7</w:t>
      </w:r>
      <w:r>
        <w:rPr>
          <w:color w:val="000000" w:themeColor="text1"/>
          <w:sz w:val="24"/>
          <w:lang w:eastAsia="zh-CN"/>
          <w14:textFill>
            <w14:solidFill>
              <w14:schemeClr w14:val="tx1"/>
            </w14:solidFill>
          </w14:textFill>
        </w:rPr>
        <w:t>-</w:t>
      </w:r>
      <w:r>
        <w:rPr>
          <w:rFonts w:hint="eastAsia" w:asciiTheme="minorEastAsia" w:hAnsiTheme="minorEastAsia" w:eastAsiaTheme="minorEastAsia"/>
          <w:color w:val="000000" w:themeColor="text1"/>
          <w:sz w:val="24"/>
          <w:lang w:eastAsia="zh-CN"/>
          <w14:textFill>
            <w14:solidFill>
              <w14:schemeClr w14:val="tx1"/>
            </w14:solidFill>
          </w14:textFill>
        </w:rPr>
        <w:t>1</w:t>
      </w:r>
      <w:r>
        <w:rPr>
          <w:color w:val="000000" w:themeColor="text1"/>
          <w:sz w:val="24"/>
          <w:lang w:eastAsia="zh-CN"/>
          <w14:textFill>
            <w14:solidFill>
              <w14:schemeClr w14:val="tx1"/>
            </w14:solidFill>
          </w14:textFill>
        </w:rPr>
        <w:t>投标人的自评分表”；</w:t>
      </w:r>
    </w:p>
    <w:p>
      <w:pPr>
        <w:pStyle w:val="29"/>
        <w:numPr>
          <w:ilvl w:val="0"/>
          <w:numId w:val="67"/>
        </w:numPr>
        <w:tabs>
          <w:tab w:val="left" w:pos="934"/>
          <w:tab w:val="clear" w:pos="312"/>
        </w:tabs>
        <w:spacing w:line="360" w:lineRule="auto"/>
        <w:ind w:left="440" w:left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提供最新年度广东省公路工程从业单位信用评价等级（若有），</w:t>
      </w:r>
      <w:r>
        <w:rPr>
          <w:color w:val="000000" w:themeColor="text1"/>
          <w:spacing w:val="-5"/>
          <w:sz w:val="24"/>
          <w:lang w:eastAsia="zh-CN"/>
          <w14:textFill>
            <w14:solidFill>
              <w14:schemeClr w14:val="tx1"/>
            </w14:solidFill>
          </w14:textFill>
        </w:rPr>
        <w:t>并标识单位所在</w:t>
      </w:r>
      <w:r>
        <w:rPr>
          <w:color w:val="000000" w:themeColor="text1"/>
          <w:sz w:val="24"/>
          <w:lang w:eastAsia="zh-CN"/>
          <w14:textFill>
            <w14:solidFill>
              <w14:schemeClr w14:val="tx1"/>
            </w14:solidFill>
          </w14:textFill>
        </w:rPr>
        <w:t>位置；</w:t>
      </w:r>
    </w:p>
    <w:p>
      <w:pPr>
        <w:pStyle w:val="29"/>
        <w:numPr>
          <w:ilvl w:val="0"/>
          <w:numId w:val="67"/>
        </w:numPr>
        <w:tabs>
          <w:tab w:val="left" w:pos="934"/>
          <w:tab w:val="clear" w:pos="312"/>
        </w:tabs>
        <w:spacing w:line="360" w:lineRule="auto"/>
        <w:ind w:left="440" w:left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初次进入广东省且在最新年度的全国综合评价结果为C级或D</w:t>
      </w:r>
      <w:r>
        <w:rPr>
          <w:color w:val="000000" w:themeColor="text1"/>
          <w:spacing w:val="-3"/>
          <w:sz w:val="24"/>
          <w:lang w:eastAsia="zh-CN"/>
          <w14:textFill>
            <w14:solidFill>
              <w14:schemeClr w14:val="tx1"/>
            </w14:solidFill>
          </w14:textFill>
        </w:rPr>
        <w:t>级的，提供最新年度</w:t>
      </w:r>
      <w:r>
        <w:rPr>
          <w:color w:val="000000" w:themeColor="text1"/>
          <w:sz w:val="24"/>
          <w:lang w:eastAsia="zh-CN"/>
          <w14:textFill>
            <w14:solidFill>
              <w14:schemeClr w14:val="tx1"/>
            </w14:solidFill>
          </w14:textFill>
        </w:rPr>
        <w:t>的全国综合评价结果单位查询所在页；</w:t>
      </w:r>
    </w:p>
    <w:p>
      <w:pPr>
        <w:pStyle w:val="29"/>
        <w:numPr>
          <w:ilvl w:val="0"/>
          <w:numId w:val="67"/>
        </w:numPr>
        <w:tabs>
          <w:tab w:val="left" w:pos="934"/>
          <w:tab w:val="clear" w:pos="312"/>
        </w:tabs>
        <w:spacing w:line="360" w:lineRule="auto"/>
        <w:ind w:left="440" w:leftChars="200"/>
        <w:rPr>
          <w:color w:val="000000" w:themeColor="text1"/>
          <w:sz w:val="24"/>
          <w:lang w:eastAsia="zh-CN"/>
          <w14:textFill>
            <w14:solidFill>
              <w14:schemeClr w14:val="tx1"/>
            </w14:solidFill>
          </w14:textFill>
        </w:rPr>
      </w:pPr>
      <w:r>
        <w:rPr>
          <w:color w:val="000000" w:themeColor="text1"/>
          <w:spacing w:val="-1"/>
          <w:sz w:val="24"/>
          <w:lang w:eastAsia="zh-CN"/>
          <w14:textFill>
            <w14:solidFill>
              <w14:schemeClr w14:val="tx1"/>
            </w14:solidFill>
          </w14:textFill>
        </w:rPr>
        <w:t>如上一年度有信用评价而最新年度在广东省无信用等级的需提供上一年度有信</w:t>
      </w:r>
      <w:r>
        <w:rPr>
          <w:color w:val="000000" w:themeColor="text1"/>
          <w:sz w:val="24"/>
          <w:lang w:eastAsia="zh-CN"/>
          <w14:textFill>
            <w14:solidFill>
              <w14:schemeClr w14:val="tx1"/>
            </w14:solidFill>
          </w14:textFill>
        </w:rPr>
        <w:t>用评价（若有），并标识单位所在位置。</w:t>
      </w:r>
    </w:p>
    <w:p>
      <w:pPr>
        <w:pStyle w:val="29"/>
        <w:numPr>
          <w:ilvl w:val="0"/>
          <w:numId w:val="67"/>
        </w:numPr>
        <w:tabs>
          <w:tab w:val="left" w:pos="934"/>
          <w:tab w:val="clear" w:pos="312"/>
        </w:tabs>
        <w:spacing w:line="360" w:lineRule="auto"/>
        <w:ind w:left="440" w:left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详细说明投标人在递交投标文件截止日前1年内因公路工程质量、安全、履约问题或招标投标问题等原因被交通运输部、广东省交通运输厅、</w:t>
      </w:r>
      <w:r>
        <w:rPr>
          <w:rFonts w:hint="eastAsia"/>
          <w:color w:val="000000" w:themeColor="text1"/>
          <w:spacing w:val="-2"/>
          <w:sz w:val="24"/>
          <w:lang w:eastAsia="zh-CN"/>
          <w14:textFill>
            <w14:solidFill>
              <w14:schemeClr w14:val="tx1"/>
            </w14:solidFill>
          </w14:textFill>
        </w:rPr>
        <w:t>阳江</w:t>
      </w:r>
      <w:r>
        <w:rPr>
          <w:color w:val="000000" w:themeColor="text1"/>
          <w:spacing w:val="-2"/>
          <w:sz w:val="24"/>
          <w:lang w:eastAsia="zh-CN"/>
          <w14:textFill>
            <w14:solidFill>
              <w14:schemeClr w14:val="tx1"/>
            </w14:solidFill>
          </w14:textFill>
        </w:rPr>
        <w:t>市交通运输局</w:t>
      </w:r>
      <w:r>
        <w:rPr>
          <w:color w:val="000000" w:themeColor="text1"/>
          <w:sz w:val="24"/>
          <w:lang w:eastAsia="zh-CN"/>
          <w14:textFill>
            <w14:solidFill>
              <w14:schemeClr w14:val="tx1"/>
            </w14:solidFill>
          </w14:textFill>
        </w:rPr>
        <w:t>通报批评文件。</w:t>
      </w:r>
    </w:p>
    <w:p>
      <w:pPr>
        <w:pStyle w:val="29"/>
        <w:numPr>
          <w:ilvl w:val="0"/>
          <w:numId w:val="67"/>
        </w:numPr>
        <w:tabs>
          <w:tab w:val="left" w:pos="934"/>
          <w:tab w:val="clear" w:pos="312"/>
        </w:tabs>
        <w:spacing w:line="360" w:lineRule="auto"/>
        <w:ind w:left="440" w:leftChars="20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投标人认为需要的其它内容。</w:t>
      </w:r>
    </w:p>
    <w:p>
      <w:pPr>
        <w:rPr>
          <w:color w:val="000000" w:themeColor="text1"/>
          <w:sz w:val="24"/>
          <w:lang w:eastAsia="zh-CN"/>
          <w14:textFill>
            <w14:solidFill>
              <w14:schemeClr w14:val="tx1"/>
            </w14:solidFill>
          </w14:textFill>
        </w:rPr>
        <w:sectPr>
          <w:footerReference r:id="rId19" w:type="default"/>
          <w:pgSz w:w="11910" w:h="16840"/>
          <w:pgMar w:top="1380" w:right="500" w:bottom="1280" w:left="820" w:header="888" w:footer="1098" w:gutter="0"/>
          <w:cols w:space="720" w:num="1"/>
        </w:sectPr>
      </w:pPr>
    </w:p>
    <w:p>
      <w:pPr>
        <w:pStyle w:val="9"/>
        <w:spacing w:before="135"/>
        <w:ind w:left="0" w:right="318"/>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1</w:t>
      </w:r>
      <w:r>
        <w:rPr>
          <w:color w:val="000000" w:themeColor="text1"/>
          <w:sz w:val="24"/>
          <w:szCs w:val="24"/>
          <w14:textFill>
            <w14:solidFill>
              <w14:schemeClr w14:val="tx1"/>
            </w14:solidFill>
          </w14:textFill>
        </w:rPr>
        <w:t xml:space="preserve"> 投标人自评分表</w:t>
      </w:r>
    </w:p>
    <w:p>
      <w:pPr>
        <w:pStyle w:val="9"/>
        <w:spacing w:before="135"/>
        <w:ind w:left="0" w:right="318"/>
        <w:jc w:val="both"/>
        <w:rPr>
          <w:color w:val="000000" w:themeColor="text1"/>
          <w:sz w:val="24"/>
          <w:szCs w:val="24"/>
          <w14:textFill>
            <w14:solidFill>
              <w14:schemeClr w14:val="tx1"/>
            </w14:solidFill>
          </w14:textFill>
        </w:rPr>
      </w:pPr>
    </w:p>
    <w:p>
      <w:pPr>
        <w:pStyle w:val="4"/>
        <w:spacing w:before="4"/>
        <w:rPr>
          <w:b/>
          <w:color w:val="000000" w:themeColor="text1"/>
          <w:sz w:val="6"/>
          <w14:textFill>
            <w14:solidFill>
              <w14:schemeClr w14:val="tx1"/>
            </w14:solidFill>
          </w14:textFill>
        </w:rPr>
      </w:pPr>
    </w:p>
    <w:tbl>
      <w:tblPr>
        <w:tblStyle w:val="23"/>
        <w:tblW w:w="9749" w:type="dxa"/>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2276"/>
        <w:gridCol w:w="898"/>
        <w:gridCol w:w="1594"/>
        <w:gridCol w:w="1579"/>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8" w:hRule="atLeast"/>
        </w:trPr>
        <w:tc>
          <w:tcPr>
            <w:tcW w:w="1131" w:type="dxa"/>
          </w:tcPr>
          <w:p>
            <w:pPr>
              <w:pStyle w:val="27"/>
              <w:spacing w:before="5"/>
              <w:rPr>
                <w:b/>
                <w:color w:val="000000" w:themeColor="text1"/>
                <w14:textFill>
                  <w14:solidFill>
                    <w14:schemeClr w14:val="tx1"/>
                  </w14:solidFill>
                </w14:textFill>
              </w:rPr>
            </w:pPr>
          </w:p>
          <w:p>
            <w:pPr>
              <w:pStyle w:val="27"/>
              <w:spacing w:before="1"/>
              <w:ind w:right="314"/>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序号</w:t>
            </w:r>
          </w:p>
        </w:tc>
        <w:tc>
          <w:tcPr>
            <w:tcW w:w="2276" w:type="dxa"/>
          </w:tcPr>
          <w:p>
            <w:pPr>
              <w:pStyle w:val="27"/>
              <w:spacing w:before="5"/>
              <w:rPr>
                <w:b/>
                <w:color w:val="000000" w:themeColor="text1"/>
                <w14:textFill>
                  <w14:solidFill>
                    <w14:schemeClr w14:val="tx1"/>
                  </w14:solidFill>
                </w14:textFill>
              </w:rPr>
            </w:pPr>
          </w:p>
          <w:p>
            <w:pPr>
              <w:pStyle w:val="27"/>
              <w:spacing w:before="1"/>
              <w:ind w:left="657"/>
              <w:rPr>
                <w:color w:val="000000" w:themeColor="text1"/>
                <w:sz w:val="24"/>
                <w14:textFill>
                  <w14:solidFill>
                    <w14:schemeClr w14:val="tx1"/>
                  </w14:solidFill>
                </w14:textFill>
              </w:rPr>
            </w:pPr>
            <w:r>
              <w:rPr>
                <w:color w:val="000000" w:themeColor="text1"/>
                <w:sz w:val="24"/>
                <w14:textFill>
                  <w14:solidFill>
                    <w14:schemeClr w14:val="tx1"/>
                  </w14:solidFill>
                </w14:textFill>
              </w:rPr>
              <w:t>评分因素</w:t>
            </w:r>
          </w:p>
        </w:tc>
        <w:tc>
          <w:tcPr>
            <w:tcW w:w="898" w:type="dxa"/>
          </w:tcPr>
          <w:p>
            <w:pPr>
              <w:pStyle w:val="27"/>
              <w:spacing w:before="5"/>
              <w:rPr>
                <w:b/>
                <w:color w:val="000000" w:themeColor="text1"/>
                <w14:textFill>
                  <w14:solidFill>
                    <w14:schemeClr w14:val="tx1"/>
                  </w14:solidFill>
                </w14:textFill>
              </w:rPr>
            </w:pPr>
          </w:p>
          <w:p>
            <w:pPr>
              <w:pStyle w:val="27"/>
              <w:spacing w:before="1"/>
              <w:ind w:left="208"/>
              <w:rPr>
                <w:color w:val="000000" w:themeColor="text1"/>
                <w:sz w:val="24"/>
                <w14:textFill>
                  <w14:solidFill>
                    <w14:schemeClr w14:val="tx1"/>
                  </w14:solidFill>
                </w14:textFill>
              </w:rPr>
            </w:pPr>
            <w:r>
              <w:rPr>
                <w:color w:val="000000" w:themeColor="text1"/>
                <w:sz w:val="24"/>
                <w14:textFill>
                  <w14:solidFill>
                    <w14:schemeClr w14:val="tx1"/>
                  </w14:solidFill>
                </w14:textFill>
              </w:rPr>
              <w:t>满分</w:t>
            </w:r>
          </w:p>
        </w:tc>
        <w:tc>
          <w:tcPr>
            <w:tcW w:w="1594" w:type="dxa"/>
          </w:tcPr>
          <w:p>
            <w:pPr>
              <w:pStyle w:val="27"/>
              <w:spacing w:before="8" w:line="400" w:lineRule="exact"/>
              <w:ind w:left="315" w:right="186" w:hanging="120"/>
              <w:rPr>
                <w:color w:val="000000" w:themeColor="text1"/>
                <w:sz w:val="24"/>
                <w14:textFill>
                  <w14:solidFill>
                    <w14:schemeClr w14:val="tx1"/>
                  </w14:solidFill>
                </w14:textFill>
              </w:rPr>
            </w:pPr>
            <w:r>
              <w:rPr>
                <w:color w:val="000000" w:themeColor="text1"/>
                <w:sz w:val="24"/>
                <w14:textFill>
                  <w14:solidFill>
                    <w14:schemeClr w14:val="tx1"/>
                  </w14:solidFill>
                </w14:textFill>
              </w:rPr>
              <w:t>投标人自我评价得分</w:t>
            </w:r>
          </w:p>
        </w:tc>
        <w:tc>
          <w:tcPr>
            <w:tcW w:w="1579" w:type="dxa"/>
          </w:tcPr>
          <w:p>
            <w:pPr>
              <w:pStyle w:val="27"/>
              <w:spacing w:before="8" w:line="400" w:lineRule="exact"/>
              <w:ind w:left="668" w:right="178" w:hanging="480"/>
              <w:rPr>
                <w:color w:val="000000" w:themeColor="text1"/>
                <w:sz w:val="24"/>
                <w14:textFill>
                  <w14:solidFill>
                    <w14:schemeClr w14:val="tx1"/>
                  </w14:solidFill>
                </w14:textFill>
              </w:rPr>
            </w:pPr>
            <w:r>
              <w:rPr>
                <w:color w:val="000000" w:themeColor="text1"/>
                <w:sz w:val="24"/>
                <w14:textFill>
                  <w14:solidFill>
                    <w14:schemeClr w14:val="tx1"/>
                  </w14:solidFill>
                </w14:textFill>
              </w:rPr>
              <w:t>评分情况说明</w:t>
            </w:r>
          </w:p>
        </w:tc>
        <w:tc>
          <w:tcPr>
            <w:tcW w:w="2271" w:type="dxa"/>
          </w:tcPr>
          <w:p>
            <w:pPr>
              <w:pStyle w:val="27"/>
              <w:spacing w:before="5"/>
              <w:rPr>
                <w:b/>
                <w:color w:val="000000" w:themeColor="text1"/>
                <w14:textFill>
                  <w14:solidFill>
                    <w14:schemeClr w14:val="tx1"/>
                  </w14:solidFill>
                </w14:textFill>
              </w:rPr>
            </w:pPr>
          </w:p>
          <w:p>
            <w:pPr>
              <w:pStyle w:val="27"/>
              <w:spacing w:before="1"/>
              <w:ind w:left="655"/>
              <w:rPr>
                <w:color w:val="000000" w:themeColor="text1"/>
                <w:sz w:val="24"/>
                <w14:textFill>
                  <w14:solidFill>
                    <w14:schemeClr w14:val="tx1"/>
                  </w14:solidFill>
                </w14:textFill>
              </w:rPr>
            </w:pPr>
            <w:r>
              <w:rPr>
                <w:color w:val="000000" w:themeColor="text1"/>
                <w:sz w:val="24"/>
                <w14:textFill>
                  <w14:solidFill>
                    <w14:schemeClr w14:val="tx1"/>
                  </w14:solidFill>
                </w14:textFill>
              </w:rPr>
              <w:t>页码索引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tcPr>
          <w:p>
            <w:pPr>
              <w:pStyle w:val="27"/>
              <w:spacing w:before="11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2276" w:type="dxa"/>
          </w:tcPr>
          <w:p>
            <w:pPr>
              <w:pStyle w:val="27"/>
              <w:rPr>
                <w:rFonts w:ascii="Times New Roman"/>
                <w:color w:val="000000" w:themeColor="text1"/>
                <w14:textFill>
                  <w14:solidFill>
                    <w14:schemeClr w14:val="tx1"/>
                  </w14:solidFill>
                </w14:textFill>
              </w:rPr>
            </w:pPr>
          </w:p>
        </w:tc>
        <w:tc>
          <w:tcPr>
            <w:tcW w:w="898" w:type="dxa"/>
          </w:tcPr>
          <w:p>
            <w:pPr>
              <w:pStyle w:val="27"/>
              <w:rPr>
                <w:rFonts w:ascii="Times New Roman"/>
                <w:color w:val="000000" w:themeColor="text1"/>
                <w14:textFill>
                  <w14:solidFill>
                    <w14:schemeClr w14:val="tx1"/>
                  </w14:solidFill>
                </w14:textFill>
              </w:rPr>
            </w:pPr>
          </w:p>
        </w:tc>
        <w:tc>
          <w:tcPr>
            <w:tcW w:w="1594" w:type="dxa"/>
          </w:tcPr>
          <w:p>
            <w:pPr>
              <w:pStyle w:val="27"/>
              <w:rPr>
                <w:rFonts w:ascii="Times New Roman"/>
                <w:color w:val="000000" w:themeColor="text1"/>
                <w14:textFill>
                  <w14:solidFill>
                    <w14:schemeClr w14:val="tx1"/>
                  </w14:solidFill>
                </w14:textFill>
              </w:rPr>
            </w:pPr>
          </w:p>
        </w:tc>
        <w:tc>
          <w:tcPr>
            <w:tcW w:w="1579" w:type="dxa"/>
          </w:tcPr>
          <w:p>
            <w:pPr>
              <w:pStyle w:val="27"/>
              <w:rPr>
                <w:rFonts w:ascii="Times New Roman"/>
                <w:color w:val="000000" w:themeColor="text1"/>
                <w14:textFill>
                  <w14:solidFill>
                    <w14:schemeClr w14:val="tx1"/>
                  </w14:solidFill>
                </w14:textFill>
              </w:rPr>
            </w:pPr>
          </w:p>
        </w:tc>
        <w:tc>
          <w:tcPr>
            <w:tcW w:w="2271" w:type="dxa"/>
          </w:tcPr>
          <w:p>
            <w:pPr>
              <w:pStyle w:val="27"/>
              <w:rPr>
                <w:rFonts w:ascii="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31" w:type="dxa"/>
          </w:tcPr>
          <w:p>
            <w:pPr>
              <w:pStyle w:val="27"/>
              <w:spacing w:before="1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2276" w:type="dxa"/>
          </w:tcPr>
          <w:p>
            <w:pPr>
              <w:pStyle w:val="27"/>
              <w:rPr>
                <w:rFonts w:ascii="Times New Roman"/>
                <w:color w:val="000000" w:themeColor="text1"/>
                <w14:textFill>
                  <w14:solidFill>
                    <w14:schemeClr w14:val="tx1"/>
                  </w14:solidFill>
                </w14:textFill>
              </w:rPr>
            </w:pPr>
          </w:p>
        </w:tc>
        <w:tc>
          <w:tcPr>
            <w:tcW w:w="898" w:type="dxa"/>
          </w:tcPr>
          <w:p>
            <w:pPr>
              <w:pStyle w:val="27"/>
              <w:rPr>
                <w:rFonts w:ascii="Times New Roman"/>
                <w:color w:val="000000" w:themeColor="text1"/>
                <w14:textFill>
                  <w14:solidFill>
                    <w14:schemeClr w14:val="tx1"/>
                  </w14:solidFill>
                </w14:textFill>
              </w:rPr>
            </w:pPr>
          </w:p>
        </w:tc>
        <w:tc>
          <w:tcPr>
            <w:tcW w:w="1594" w:type="dxa"/>
          </w:tcPr>
          <w:p>
            <w:pPr>
              <w:pStyle w:val="27"/>
              <w:rPr>
                <w:rFonts w:ascii="Times New Roman"/>
                <w:color w:val="000000" w:themeColor="text1"/>
                <w14:textFill>
                  <w14:solidFill>
                    <w14:schemeClr w14:val="tx1"/>
                  </w14:solidFill>
                </w14:textFill>
              </w:rPr>
            </w:pPr>
          </w:p>
        </w:tc>
        <w:tc>
          <w:tcPr>
            <w:tcW w:w="1579" w:type="dxa"/>
          </w:tcPr>
          <w:p>
            <w:pPr>
              <w:pStyle w:val="27"/>
              <w:rPr>
                <w:rFonts w:ascii="Times New Roman"/>
                <w:color w:val="000000" w:themeColor="text1"/>
                <w14:textFill>
                  <w14:solidFill>
                    <w14:schemeClr w14:val="tx1"/>
                  </w14:solidFill>
                </w14:textFill>
              </w:rPr>
            </w:pPr>
          </w:p>
        </w:tc>
        <w:tc>
          <w:tcPr>
            <w:tcW w:w="2271" w:type="dxa"/>
          </w:tcPr>
          <w:p>
            <w:pPr>
              <w:pStyle w:val="27"/>
              <w:rPr>
                <w:rFonts w:ascii="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31" w:type="dxa"/>
          </w:tcPr>
          <w:p>
            <w:pPr>
              <w:pStyle w:val="27"/>
              <w:spacing w:before="1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2276" w:type="dxa"/>
          </w:tcPr>
          <w:p>
            <w:pPr>
              <w:pStyle w:val="27"/>
              <w:rPr>
                <w:rFonts w:ascii="Times New Roman"/>
                <w:color w:val="000000" w:themeColor="text1"/>
                <w14:textFill>
                  <w14:solidFill>
                    <w14:schemeClr w14:val="tx1"/>
                  </w14:solidFill>
                </w14:textFill>
              </w:rPr>
            </w:pPr>
          </w:p>
        </w:tc>
        <w:tc>
          <w:tcPr>
            <w:tcW w:w="898" w:type="dxa"/>
          </w:tcPr>
          <w:p>
            <w:pPr>
              <w:pStyle w:val="27"/>
              <w:rPr>
                <w:rFonts w:ascii="Times New Roman"/>
                <w:color w:val="000000" w:themeColor="text1"/>
                <w14:textFill>
                  <w14:solidFill>
                    <w14:schemeClr w14:val="tx1"/>
                  </w14:solidFill>
                </w14:textFill>
              </w:rPr>
            </w:pPr>
          </w:p>
        </w:tc>
        <w:tc>
          <w:tcPr>
            <w:tcW w:w="1594" w:type="dxa"/>
          </w:tcPr>
          <w:p>
            <w:pPr>
              <w:pStyle w:val="27"/>
              <w:rPr>
                <w:rFonts w:ascii="Times New Roman"/>
                <w:color w:val="000000" w:themeColor="text1"/>
                <w14:textFill>
                  <w14:solidFill>
                    <w14:schemeClr w14:val="tx1"/>
                  </w14:solidFill>
                </w14:textFill>
              </w:rPr>
            </w:pPr>
          </w:p>
        </w:tc>
        <w:tc>
          <w:tcPr>
            <w:tcW w:w="1579" w:type="dxa"/>
          </w:tcPr>
          <w:p>
            <w:pPr>
              <w:pStyle w:val="27"/>
              <w:rPr>
                <w:rFonts w:ascii="Times New Roman"/>
                <w:color w:val="000000" w:themeColor="text1"/>
                <w14:textFill>
                  <w14:solidFill>
                    <w14:schemeClr w14:val="tx1"/>
                  </w14:solidFill>
                </w14:textFill>
              </w:rPr>
            </w:pPr>
          </w:p>
        </w:tc>
        <w:tc>
          <w:tcPr>
            <w:tcW w:w="2271" w:type="dxa"/>
          </w:tcPr>
          <w:p>
            <w:pPr>
              <w:pStyle w:val="27"/>
              <w:rPr>
                <w:rFonts w:ascii="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1131" w:type="dxa"/>
          </w:tcPr>
          <w:p>
            <w:pPr>
              <w:pStyle w:val="27"/>
              <w:spacing w:before="119"/>
              <w:ind w:right="255"/>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276" w:type="dxa"/>
          </w:tcPr>
          <w:p>
            <w:pPr>
              <w:pStyle w:val="27"/>
              <w:rPr>
                <w:rFonts w:ascii="Times New Roman"/>
                <w:color w:val="000000" w:themeColor="text1"/>
                <w14:textFill>
                  <w14:solidFill>
                    <w14:schemeClr w14:val="tx1"/>
                  </w14:solidFill>
                </w14:textFill>
              </w:rPr>
            </w:pPr>
          </w:p>
        </w:tc>
        <w:tc>
          <w:tcPr>
            <w:tcW w:w="898" w:type="dxa"/>
          </w:tcPr>
          <w:p>
            <w:pPr>
              <w:pStyle w:val="27"/>
              <w:rPr>
                <w:rFonts w:ascii="Times New Roman"/>
                <w:color w:val="000000" w:themeColor="text1"/>
                <w14:textFill>
                  <w14:solidFill>
                    <w14:schemeClr w14:val="tx1"/>
                  </w14:solidFill>
                </w14:textFill>
              </w:rPr>
            </w:pPr>
          </w:p>
        </w:tc>
        <w:tc>
          <w:tcPr>
            <w:tcW w:w="1594" w:type="dxa"/>
          </w:tcPr>
          <w:p>
            <w:pPr>
              <w:pStyle w:val="27"/>
              <w:rPr>
                <w:rFonts w:ascii="Times New Roman"/>
                <w:color w:val="000000" w:themeColor="text1"/>
                <w14:textFill>
                  <w14:solidFill>
                    <w14:schemeClr w14:val="tx1"/>
                  </w14:solidFill>
                </w14:textFill>
              </w:rPr>
            </w:pPr>
          </w:p>
        </w:tc>
        <w:tc>
          <w:tcPr>
            <w:tcW w:w="1579" w:type="dxa"/>
          </w:tcPr>
          <w:p>
            <w:pPr>
              <w:pStyle w:val="27"/>
              <w:rPr>
                <w:rFonts w:ascii="Times New Roman"/>
                <w:color w:val="000000" w:themeColor="text1"/>
                <w14:textFill>
                  <w14:solidFill>
                    <w14:schemeClr w14:val="tx1"/>
                  </w14:solidFill>
                </w14:textFill>
              </w:rPr>
            </w:pPr>
          </w:p>
        </w:tc>
        <w:tc>
          <w:tcPr>
            <w:tcW w:w="2271" w:type="dxa"/>
          </w:tcPr>
          <w:p>
            <w:pPr>
              <w:pStyle w:val="27"/>
              <w:rPr>
                <w:rFonts w:ascii="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3" w:hRule="atLeast"/>
        </w:trPr>
        <w:tc>
          <w:tcPr>
            <w:tcW w:w="3407" w:type="dxa"/>
            <w:gridSpan w:val="2"/>
          </w:tcPr>
          <w:p>
            <w:pPr>
              <w:pStyle w:val="27"/>
              <w:spacing w:before="91"/>
              <w:ind w:left="1441" w:right="1435"/>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合计</w:t>
            </w:r>
          </w:p>
        </w:tc>
        <w:tc>
          <w:tcPr>
            <w:tcW w:w="898" w:type="dxa"/>
          </w:tcPr>
          <w:p>
            <w:pPr>
              <w:pStyle w:val="27"/>
              <w:rPr>
                <w:rFonts w:ascii="Times New Roman"/>
                <w:color w:val="000000" w:themeColor="text1"/>
                <w14:textFill>
                  <w14:solidFill>
                    <w14:schemeClr w14:val="tx1"/>
                  </w14:solidFill>
                </w14:textFill>
              </w:rPr>
            </w:pPr>
          </w:p>
        </w:tc>
        <w:tc>
          <w:tcPr>
            <w:tcW w:w="1594" w:type="dxa"/>
          </w:tcPr>
          <w:p>
            <w:pPr>
              <w:pStyle w:val="27"/>
              <w:rPr>
                <w:rFonts w:ascii="Times New Roman"/>
                <w:color w:val="000000" w:themeColor="text1"/>
                <w14:textFill>
                  <w14:solidFill>
                    <w14:schemeClr w14:val="tx1"/>
                  </w14:solidFill>
                </w14:textFill>
              </w:rPr>
            </w:pPr>
          </w:p>
        </w:tc>
        <w:tc>
          <w:tcPr>
            <w:tcW w:w="1579" w:type="dxa"/>
          </w:tcPr>
          <w:p>
            <w:pPr>
              <w:pStyle w:val="27"/>
              <w:rPr>
                <w:rFonts w:ascii="Times New Roman"/>
                <w:color w:val="000000" w:themeColor="text1"/>
                <w14:textFill>
                  <w14:solidFill>
                    <w14:schemeClr w14:val="tx1"/>
                  </w14:solidFill>
                </w14:textFill>
              </w:rPr>
            </w:pPr>
          </w:p>
        </w:tc>
        <w:tc>
          <w:tcPr>
            <w:tcW w:w="2271" w:type="dxa"/>
          </w:tcPr>
          <w:p>
            <w:pPr>
              <w:pStyle w:val="27"/>
              <w:rPr>
                <w:rFonts w:ascii="Times New Roman"/>
                <w:color w:val="000000" w:themeColor="text1"/>
                <w14:textFill>
                  <w14:solidFill>
                    <w14:schemeClr w14:val="tx1"/>
                  </w14:solidFill>
                </w14:textFill>
              </w:rPr>
            </w:pPr>
          </w:p>
        </w:tc>
      </w:tr>
    </w:tbl>
    <w:p>
      <w:pPr>
        <w:pStyle w:val="4"/>
        <w:rPr>
          <w:b/>
          <w:color w:val="000000" w:themeColor="text1"/>
          <w14:textFill>
            <w14:solidFill>
              <w14:schemeClr w14:val="tx1"/>
            </w14:solidFill>
          </w14:textFill>
        </w:rPr>
      </w:pPr>
    </w:p>
    <w:p>
      <w:pPr>
        <w:pStyle w:val="4"/>
        <w:spacing w:before="9"/>
        <w:rPr>
          <w:b/>
          <w:color w:val="000000" w:themeColor="text1"/>
          <w:sz w:val="18"/>
          <w14:textFill>
            <w14:solidFill>
              <w14:schemeClr w14:val="tx1"/>
            </w14:solidFill>
          </w14:textFill>
        </w:rPr>
      </w:pPr>
    </w:p>
    <w:p>
      <w:pPr>
        <w:pStyle w:val="4"/>
        <w:tabs>
          <w:tab w:val="left" w:pos="6381"/>
        </w:tabs>
        <w:spacing w:before="1"/>
        <w:ind w:left="386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投标人：</w:t>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（盖单位公章）</w:t>
      </w:r>
    </w:p>
    <w:p>
      <w:pPr>
        <w:pStyle w:val="4"/>
        <w:tabs>
          <w:tab w:val="left" w:pos="8836"/>
        </w:tabs>
        <w:spacing w:before="160"/>
        <w:ind w:left="3861"/>
        <w:rPr>
          <w:rFonts w:ascii="Times New Roman" w:eastAsia="Times New Roma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投标人的法定代表人或授权人签名：</w:t>
      </w:r>
      <w:r>
        <w:rPr>
          <w:rFonts w:ascii="Times New Roman" w:eastAsia="Times New Roman"/>
          <w:color w:val="000000" w:themeColor="text1"/>
          <w:u w:val="single"/>
          <w:lang w:eastAsia="zh-CN"/>
          <w14:textFill>
            <w14:solidFill>
              <w14:schemeClr w14:val="tx1"/>
            </w14:solidFill>
          </w14:textFill>
        </w:rPr>
        <w:tab/>
      </w:r>
    </w:p>
    <w:p>
      <w:pPr>
        <w:pStyle w:val="4"/>
        <w:tabs>
          <w:tab w:val="left" w:pos="839"/>
          <w:tab w:val="left" w:pos="1559"/>
          <w:tab w:val="left" w:pos="2280"/>
        </w:tabs>
        <w:spacing w:before="161"/>
        <w:ind w:right="342"/>
        <w:jc w:val="center"/>
        <w:rPr>
          <w:color w:val="000000" w:themeColor="text1"/>
          <w:lang w:eastAsia="zh-CN"/>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年</w:t>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月</w:t>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日</w:t>
      </w: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spacing w:before="8"/>
        <w:rPr>
          <w:color w:val="000000" w:themeColor="text1"/>
          <w:sz w:val="18"/>
          <w:lang w:eastAsia="zh-CN"/>
          <w14:textFill>
            <w14:solidFill>
              <w14:schemeClr w14:val="tx1"/>
            </w14:solidFill>
          </w14:textFill>
        </w:rPr>
      </w:pPr>
    </w:p>
    <w:p>
      <w:pPr>
        <w:pStyle w:val="4"/>
        <w:ind w:left="74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注：投标人自评表所填内容仅做为评标参考。</w:t>
      </w:r>
    </w:p>
    <w:p>
      <w:pPr>
        <w:rPr>
          <w:color w:val="000000" w:themeColor="text1"/>
          <w:lang w:eastAsia="zh-CN"/>
          <w14:textFill>
            <w14:solidFill>
              <w14:schemeClr w14:val="tx1"/>
            </w14:solidFill>
          </w14:textFill>
        </w:rPr>
        <w:sectPr>
          <w:pgSz w:w="11910" w:h="16840"/>
          <w:pgMar w:top="1380" w:right="500" w:bottom="1280" w:left="820" w:header="888" w:footer="1098" w:gutter="0"/>
          <w:cols w:space="720" w:num="1"/>
        </w:sectPr>
      </w:pPr>
    </w:p>
    <w:p>
      <w:pPr>
        <w:spacing w:line="1000" w:lineRule="exact"/>
        <w:rPr>
          <w:rFonts w:ascii="黑体" w:eastAsia="黑体"/>
          <w:b/>
          <w:color w:val="000000" w:themeColor="text1"/>
          <w:spacing w:val="40"/>
          <w:sz w:val="52"/>
          <w:szCs w:val="52"/>
          <w:lang w:eastAsia="zh-CN"/>
          <w14:textFill>
            <w14:solidFill>
              <w14:schemeClr w14:val="tx1"/>
            </w14:solidFill>
          </w14:textFill>
        </w:rPr>
      </w:pPr>
    </w:p>
    <w:p>
      <w:pPr>
        <w:pStyle w:val="16"/>
        <w:spacing w:line="360" w:lineRule="auto"/>
        <w:ind w:firstLine="390" w:firstLineChars="108"/>
        <w:rPr>
          <w:rFonts w:ascii="黑体"/>
          <w:b/>
          <w:color w:val="000000" w:themeColor="text1"/>
          <w:sz w:val="36"/>
          <w:szCs w:val="36"/>
          <w:lang w:eastAsia="zh-CN"/>
          <w14:textFill>
            <w14:solidFill>
              <w14:schemeClr w14:val="tx1"/>
            </w14:solidFill>
          </w14:textFill>
        </w:rPr>
      </w:pPr>
      <w:r>
        <w:rPr>
          <w:rFonts w:hint="eastAsia" w:ascii="宋体" w:hAnsi="宋体" w:cs="宋体"/>
          <w:b/>
          <w:sz w:val="36"/>
          <w:szCs w:val="36"/>
          <w:lang w:eastAsia="zh-CN"/>
        </w:rPr>
        <w:t>阳西县儒洞镇边海村进村大桥工程勘察设计</w:t>
      </w:r>
      <w:r>
        <w:rPr>
          <w:rFonts w:hint="eastAsia" w:ascii="黑体"/>
          <w:b/>
          <w:color w:val="000000" w:themeColor="text1"/>
          <w:sz w:val="36"/>
          <w:szCs w:val="36"/>
          <w:lang w:eastAsia="zh-CN"/>
          <w14:textFill>
            <w14:solidFill>
              <w14:schemeClr w14:val="tx1"/>
            </w14:solidFill>
          </w14:textFill>
        </w:rPr>
        <w:t>招标</w:t>
      </w:r>
    </w:p>
    <w:p>
      <w:pPr>
        <w:spacing w:line="360" w:lineRule="auto"/>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ind w:firstLine="480"/>
        <w:jc w:val="center"/>
        <w:rPr>
          <w:b/>
          <w:color w:val="000000" w:themeColor="text1"/>
          <w:sz w:val="36"/>
          <w:szCs w:val="36"/>
          <w:lang w:eastAsia="zh-CN"/>
          <w14:textFill>
            <w14:solidFill>
              <w14:schemeClr w14:val="tx1"/>
            </w14:solidFill>
          </w14:textFill>
        </w:rPr>
      </w:pPr>
      <w:r>
        <w:rPr>
          <w:rFonts w:hint="eastAsia"/>
          <w:b/>
          <w:color w:val="000000" w:themeColor="text1"/>
          <w:sz w:val="44"/>
          <w:szCs w:val="44"/>
          <w:lang w:eastAsia="zh-CN"/>
          <w14:textFill>
            <w14:solidFill>
              <w14:schemeClr w14:val="tx1"/>
            </w14:solidFill>
          </w14:textFill>
        </w:rPr>
        <w:t>投标文件</w:t>
      </w:r>
    </w:p>
    <w:p>
      <w:pPr>
        <w:ind w:firstLine="480"/>
        <w:jc w:val="center"/>
        <w:rPr>
          <w:b/>
          <w:color w:val="000000" w:themeColor="text1"/>
          <w:sz w:val="36"/>
          <w:szCs w:val="36"/>
          <w:u w:val="single"/>
          <w:lang w:eastAsia="zh-CN"/>
          <w14:textFill>
            <w14:solidFill>
              <w14:schemeClr w14:val="tx1"/>
            </w14:solidFill>
          </w14:textFill>
        </w:rPr>
      </w:pPr>
    </w:p>
    <w:p>
      <w:pPr>
        <w:ind w:firstLine="480"/>
        <w:jc w:val="center"/>
        <w:rPr>
          <w:rFonts w:eastAsia="宋体"/>
          <w:b/>
          <w:color w:val="000000" w:themeColor="text1"/>
          <w:sz w:val="36"/>
          <w:szCs w:val="36"/>
          <w:lang w:eastAsia="zh-CN"/>
          <w14:textFill>
            <w14:solidFill>
              <w14:schemeClr w14:val="tx1"/>
            </w14:solidFill>
          </w14:textFill>
        </w:rPr>
      </w:pPr>
      <w:r>
        <w:rPr>
          <w:rFonts w:hint="eastAsia" w:eastAsia="宋体"/>
          <w:b/>
          <w:color w:val="000000" w:themeColor="text1"/>
          <w:sz w:val="36"/>
          <w:szCs w:val="36"/>
          <w:lang w:eastAsia="zh-CN"/>
          <w14:textFill>
            <w14:solidFill>
              <w14:schemeClr w14:val="tx1"/>
            </w14:solidFill>
          </w14:textFill>
        </w:rPr>
        <w:t>（</w:t>
      </w:r>
      <w:r>
        <w:rPr>
          <w:rFonts w:hint="eastAsia"/>
          <w:b/>
          <w:color w:val="000000" w:themeColor="text1"/>
          <w:sz w:val="36"/>
          <w:szCs w:val="36"/>
          <w:lang w:eastAsia="zh-CN"/>
          <w14:textFill>
            <w14:solidFill>
              <w14:schemeClr w14:val="tx1"/>
            </w14:solidFill>
          </w14:textFill>
        </w:rPr>
        <w:t>技术文件</w:t>
      </w:r>
      <w:r>
        <w:rPr>
          <w:rFonts w:hint="eastAsia" w:eastAsia="宋体"/>
          <w:b/>
          <w:color w:val="000000" w:themeColor="text1"/>
          <w:sz w:val="36"/>
          <w:szCs w:val="36"/>
          <w:lang w:eastAsia="zh-CN"/>
          <w14:textFill>
            <w14:solidFill>
              <w14:schemeClr w14:val="tx1"/>
            </w14:solidFill>
          </w14:textFill>
        </w:rPr>
        <w:t>）</w:t>
      </w: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500" w:lineRule="exact"/>
        <w:jc w:val="both"/>
        <w:rPr>
          <w:color w:val="000000" w:themeColor="text1"/>
          <w:sz w:val="28"/>
          <w:lang w:eastAsia="zh-CN"/>
          <w14:textFill>
            <w14:solidFill>
              <w14:schemeClr w14:val="tx1"/>
            </w14:solidFill>
          </w14:textFill>
        </w:rPr>
      </w:pPr>
    </w:p>
    <w:p>
      <w:pPr>
        <w:spacing w:line="360" w:lineRule="auto"/>
        <w:ind w:firstLine="420" w:firstLineChars="150"/>
        <w:jc w:val="center"/>
        <w:rPr>
          <w:color w:val="000000" w:themeColor="text1"/>
          <w:sz w:val="28"/>
          <w:u w:val="single"/>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投标人：</w:t>
      </w:r>
      <w:r>
        <w:rPr>
          <w:rFonts w:hint="eastAsia"/>
          <w:color w:val="000000" w:themeColor="text1"/>
          <w:sz w:val="28"/>
          <w:u w:val="single"/>
          <w:lang w:eastAsia="zh-CN"/>
          <w14:textFill>
            <w14:solidFill>
              <w14:schemeClr w14:val="tx1"/>
            </w14:solidFill>
          </w14:textFill>
        </w:rPr>
        <w:t>（盖单位章）</w:t>
      </w:r>
    </w:p>
    <w:p>
      <w:pPr>
        <w:rPr>
          <w:color w:val="000000" w:themeColor="text1"/>
          <w:sz w:val="28"/>
          <w:lang w:eastAsia="zh-CN"/>
          <w14:textFill>
            <w14:solidFill>
              <w14:schemeClr w14:val="tx1"/>
            </w14:solidFill>
          </w14:textFill>
        </w:rPr>
      </w:pPr>
    </w:p>
    <w:p>
      <w:pPr>
        <w:rPr>
          <w:color w:val="000000" w:themeColor="text1"/>
          <w:sz w:val="28"/>
          <w:lang w:eastAsia="zh-CN"/>
          <w14:textFill>
            <w14:solidFill>
              <w14:schemeClr w14:val="tx1"/>
            </w14:solidFill>
          </w14:textFill>
        </w:rPr>
      </w:pPr>
    </w:p>
    <w:p>
      <w:pPr>
        <w:ind w:firstLine="480"/>
        <w:jc w:val="center"/>
        <w:rPr>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日期年月日</w:t>
      </w: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pStyle w:val="4"/>
        <w:spacing w:before="10"/>
        <w:rPr>
          <w:rFonts w:ascii="黑体"/>
          <w:color w:val="000000" w:themeColor="text1"/>
          <w:sz w:val="17"/>
          <w:lang w:eastAsia="zh-CN"/>
          <w14:textFill>
            <w14:solidFill>
              <w14:schemeClr w14:val="tx1"/>
            </w14:solidFill>
          </w14:textFill>
        </w:rPr>
      </w:pPr>
    </w:p>
    <w:p>
      <w:pPr>
        <w:pStyle w:val="5"/>
        <w:rPr>
          <w:rFonts w:ascii="黑体"/>
          <w:color w:val="000000" w:themeColor="text1"/>
          <w:sz w:val="17"/>
          <w14:textFill>
            <w14:solidFill>
              <w14:schemeClr w14:val="tx1"/>
            </w14:solidFill>
          </w14:textFill>
        </w:rPr>
      </w:pPr>
    </w:p>
    <w:p>
      <w:pPr>
        <w:rPr>
          <w:rFonts w:ascii="黑体"/>
          <w:color w:val="000000" w:themeColor="text1"/>
          <w:sz w:val="17"/>
          <w:lang w:eastAsia="zh-CN"/>
          <w14:textFill>
            <w14:solidFill>
              <w14:schemeClr w14:val="tx1"/>
            </w14:solidFill>
          </w14:textFill>
        </w:rPr>
      </w:pPr>
    </w:p>
    <w:p>
      <w:pPr>
        <w:pStyle w:val="2"/>
        <w:ind w:left="440" w:firstLine="440"/>
        <w:rPr>
          <w:lang w:eastAsia="zh-CN"/>
        </w:rPr>
      </w:pPr>
    </w:p>
    <w:p>
      <w:pPr>
        <w:pStyle w:val="4"/>
        <w:spacing w:before="10"/>
        <w:rPr>
          <w:rFonts w:ascii="黑体"/>
          <w:color w:val="000000" w:themeColor="text1"/>
          <w:sz w:val="17"/>
          <w:lang w:eastAsia="zh-CN"/>
          <w14:textFill>
            <w14:solidFill>
              <w14:schemeClr w14:val="tx1"/>
            </w14:solidFill>
          </w14:textFill>
        </w:rPr>
      </w:pPr>
    </w:p>
    <w:p>
      <w:pPr>
        <w:pStyle w:val="4"/>
        <w:spacing w:before="10"/>
        <w:rPr>
          <w:rFonts w:ascii="黑体"/>
          <w:color w:val="000000" w:themeColor="text1"/>
          <w:sz w:val="17"/>
          <w:lang w:eastAsia="zh-CN"/>
          <w14:textFill>
            <w14:solidFill>
              <w14:schemeClr w14:val="tx1"/>
            </w14:solidFill>
          </w14:textFill>
        </w:rPr>
      </w:pPr>
    </w:p>
    <w:p>
      <w:pPr>
        <w:pStyle w:val="4"/>
        <w:spacing w:before="10"/>
        <w:rPr>
          <w:rFonts w:ascii="黑体"/>
          <w:color w:val="000000" w:themeColor="text1"/>
          <w:sz w:val="17"/>
          <w:lang w:eastAsia="zh-CN"/>
          <w14:textFill>
            <w14:solidFill>
              <w14:schemeClr w14:val="tx1"/>
            </w14:solidFill>
          </w14:textFill>
        </w:rPr>
      </w:pPr>
    </w:p>
    <w:p>
      <w:pPr>
        <w:pStyle w:val="4"/>
        <w:spacing w:before="10"/>
        <w:rPr>
          <w:rFonts w:ascii="黑体"/>
          <w:color w:val="000000" w:themeColor="text1"/>
          <w:sz w:val="17"/>
          <w:lang w:eastAsia="zh-CN"/>
          <w14:textFill>
            <w14:solidFill>
              <w14:schemeClr w14:val="tx1"/>
            </w14:solidFill>
          </w14:textFill>
        </w:rPr>
      </w:pPr>
    </w:p>
    <w:p>
      <w:pPr>
        <w:spacing w:before="69"/>
        <w:ind w:left="471" w:right="913"/>
        <w:jc w:val="center"/>
        <w:rPr>
          <w:rFonts w:ascii="黑体" w:hAnsi="黑体" w:eastAsia="黑体"/>
          <w:b/>
          <w:color w:val="000000" w:themeColor="text1"/>
          <w:sz w:val="14"/>
          <w:lang w:eastAsia="zh-CN"/>
          <w14:textFill>
            <w14:solidFill>
              <w14:schemeClr w14:val="tx1"/>
            </w14:solidFill>
          </w14:textFill>
        </w:rPr>
      </w:pPr>
      <w:r>
        <w:rPr>
          <w:rFonts w:hint="eastAsia" w:ascii="黑体" w:hAnsi="黑体" w:eastAsia="黑体"/>
          <w:color w:val="000000" w:themeColor="text1"/>
          <w:sz w:val="28"/>
          <w:lang w:eastAsia="zh-CN"/>
          <w14:textFill>
            <w14:solidFill>
              <w14:schemeClr w14:val="tx1"/>
            </w14:solidFill>
          </w14:textFill>
        </w:rPr>
        <w:t>七、技术建议书</w:t>
      </w:r>
    </w:p>
    <w:p>
      <w:pPr>
        <w:pStyle w:val="4"/>
        <w:rPr>
          <w:rFonts w:ascii="黑体"/>
          <w:b/>
          <w:color w:val="000000" w:themeColor="text1"/>
          <w:sz w:val="28"/>
          <w:lang w:eastAsia="zh-CN"/>
          <w14:textFill>
            <w14:solidFill>
              <w14:schemeClr w14:val="tx1"/>
            </w14:solidFill>
          </w14:textFill>
        </w:rPr>
      </w:pPr>
    </w:p>
    <w:p>
      <w:pPr>
        <w:pStyle w:val="4"/>
        <w:rPr>
          <w:rFonts w:ascii="黑体"/>
          <w:b/>
          <w:color w:val="000000" w:themeColor="text1"/>
          <w:sz w:val="25"/>
          <w:lang w:eastAsia="zh-CN"/>
          <w14:textFill>
            <w14:solidFill>
              <w14:schemeClr w14:val="tx1"/>
            </w14:solidFill>
          </w14:textFill>
        </w:rPr>
      </w:pPr>
    </w:p>
    <w:p>
      <w:pPr>
        <w:pStyle w:val="4"/>
        <w:ind w:left="482"/>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主要内容包括：</w:t>
      </w:r>
    </w:p>
    <w:p>
      <w:pPr>
        <w:spacing w:before="185" w:line="225" w:lineRule="auto"/>
        <w:ind w:left="492"/>
        <w:rPr>
          <w:rFonts w:ascii="宋体" w:hAnsi="宋体" w:cs="宋体"/>
          <w:sz w:val="23"/>
          <w:szCs w:val="23"/>
          <w:lang w:eastAsia="zh-CN"/>
        </w:rPr>
      </w:pPr>
      <w:r>
        <w:rPr>
          <w:rFonts w:ascii="宋体" w:hAnsi="宋体" w:cs="宋体"/>
          <w:spacing w:val="20"/>
          <w:sz w:val="23"/>
          <w:szCs w:val="23"/>
          <w:lang w:eastAsia="zh-CN"/>
        </w:rPr>
        <w:t>(1) 对招标项目</w:t>
      </w:r>
      <w:r>
        <w:rPr>
          <w:rFonts w:ascii="宋体" w:hAnsi="宋体" w:cs="宋体"/>
          <w:spacing w:val="13"/>
          <w:sz w:val="23"/>
          <w:szCs w:val="23"/>
          <w:lang w:eastAsia="zh-CN"/>
        </w:rPr>
        <w:t>的理解和总体设计初步思路</w:t>
      </w:r>
    </w:p>
    <w:p>
      <w:pPr>
        <w:spacing w:before="183" w:line="227" w:lineRule="auto"/>
        <w:ind w:left="492"/>
        <w:rPr>
          <w:rFonts w:ascii="宋体" w:hAnsi="宋体" w:cs="宋体"/>
          <w:spacing w:val="13"/>
          <w:sz w:val="23"/>
          <w:szCs w:val="23"/>
          <w:lang w:eastAsia="zh-CN"/>
        </w:rPr>
      </w:pPr>
      <w:r>
        <w:rPr>
          <w:rFonts w:ascii="宋体" w:hAnsi="宋体" w:cs="宋体"/>
          <w:spacing w:val="24"/>
          <w:sz w:val="23"/>
          <w:szCs w:val="23"/>
          <w:lang w:eastAsia="zh-CN"/>
        </w:rPr>
        <w:t>(</w:t>
      </w:r>
      <w:r>
        <w:rPr>
          <w:rFonts w:ascii="宋体" w:hAnsi="宋体" w:cs="宋体"/>
          <w:spacing w:val="17"/>
          <w:sz w:val="23"/>
          <w:szCs w:val="23"/>
          <w:lang w:eastAsia="zh-CN"/>
        </w:rPr>
        <w:t>2</w:t>
      </w:r>
      <w:r>
        <w:rPr>
          <w:rFonts w:ascii="宋体" w:hAnsi="宋体" w:cs="宋体"/>
          <w:spacing w:val="12"/>
          <w:sz w:val="23"/>
          <w:szCs w:val="23"/>
          <w:lang w:eastAsia="zh-CN"/>
        </w:rPr>
        <w:t xml:space="preserve">) </w:t>
      </w:r>
      <w:r>
        <w:rPr>
          <w:rFonts w:hint="eastAsia" w:ascii="宋体" w:hAnsi="宋体" w:cs="宋体"/>
          <w:spacing w:val="13"/>
          <w:sz w:val="23"/>
          <w:szCs w:val="23"/>
          <w:lang w:eastAsia="zh-CN"/>
        </w:rPr>
        <w:t>招标项目勘察设计的特点、关键技术问题的认识及其对策措施</w:t>
      </w:r>
    </w:p>
    <w:p>
      <w:pPr>
        <w:spacing w:before="185" w:line="227" w:lineRule="auto"/>
        <w:ind w:left="492"/>
        <w:rPr>
          <w:rFonts w:ascii="宋体" w:hAnsi="宋体" w:cs="宋体"/>
          <w:spacing w:val="12"/>
          <w:sz w:val="23"/>
          <w:szCs w:val="23"/>
          <w:lang w:eastAsia="zh-CN"/>
        </w:rPr>
      </w:pPr>
      <w:r>
        <w:rPr>
          <w:rFonts w:ascii="宋体" w:hAnsi="宋体" w:cs="宋体"/>
          <w:spacing w:val="19"/>
          <w:sz w:val="23"/>
          <w:szCs w:val="23"/>
          <w:lang w:eastAsia="zh-CN"/>
        </w:rPr>
        <w:t>(</w:t>
      </w:r>
      <w:r>
        <w:rPr>
          <w:rFonts w:ascii="宋体" w:hAnsi="宋体" w:cs="宋体"/>
          <w:spacing w:val="15"/>
          <w:sz w:val="23"/>
          <w:szCs w:val="23"/>
          <w:lang w:eastAsia="zh-CN"/>
        </w:rPr>
        <w:t xml:space="preserve">3) </w:t>
      </w:r>
      <w:r>
        <w:rPr>
          <w:rFonts w:hint="eastAsia" w:ascii="宋体" w:hAnsi="宋体" w:cs="宋体"/>
          <w:spacing w:val="12"/>
          <w:sz w:val="23"/>
          <w:szCs w:val="23"/>
          <w:lang w:eastAsia="zh-CN"/>
        </w:rPr>
        <w:t>勘察设计工作量及计划安排</w:t>
      </w:r>
    </w:p>
    <w:p>
      <w:pPr>
        <w:spacing w:before="185" w:line="228" w:lineRule="auto"/>
        <w:ind w:left="492"/>
        <w:rPr>
          <w:rFonts w:ascii="宋体" w:hAnsi="宋体" w:cs="宋体"/>
          <w:spacing w:val="12"/>
          <w:sz w:val="23"/>
          <w:szCs w:val="23"/>
          <w:lang w:eastAsia="zh-CN"/>
        </w:rPr>
      </w:pPr>
      <w:r>
        <w:rPr>
          <w:rFonts w:ascii="宋体" w:hAnsi="宋体" w:cs="宋体"/>
          <w:spacing w:val="14"/>
          <w:sz w:val="23"/>
          <w:szCs w:val="23"/>
          <w:lang w:eastAsia="zh-CN"/>
        </w:rPr>
        <w:t xml:space="preserve">(4) </w:t>
      </w:r>
      <w:r>
        <w:rPr>
          <w:rFonts w:hint="eastAsia" w:ascii="宋体" w:hAnsi="宋体" w:cs="宋体"/>
          <w:spacing w:val="12"/>
          <w:sz w:val="23"/>
          <w:szCs w:val="23"/>
          <w:lang w:eastAsia="zh-CN"/>
        </w:rPr>
        <w:t>勘察设计的质量保证措施、进度保证措施</w:t>
      </w:r>
    </w:p>
    <w:p>
      <w:pPr>
        <w:spacing w:before="181" w:line="227" w:lineRule="auto"/>
        <w:ind w:firstLine="520" w:firstLineChars="200"/>
        <w:rPr>
          <w:rFonts w:ascii="宋体" w:hAnsi="宋体" w:cs="宋体"/>
          <w:sz w:val="23"/>
          <w:szCs w:val="23"/>
          <w:lang w:eastAsia="zh-CN"/>
        </w:rPr>
      </w:pPr>
      <w:r>
        <w:rPr>
          <w:rFonts w:ascii="宋体" w:hAnsi="宋体" w:cs="宋体"/>
          <w:spacing w:val="15"/>
          <w:sz w:val="23"/>
          <w:szCs w:val="23"/>
          <w:lang w:eastAsia="zh-CN"/>
        </w:rPr>
        <w:t>(5) 后续服务的安排及保证措</w:t>
      </w:r>
      <w:r>
        <w:rPr>
          <w:rFonts w:ascii="宋体" w:hAnsi="宋体" w:cs="宋体"/>
          <w:spacing w:val="14"/>
          <w:sz w:val="23"/>
          <w:szCs w:val="23"/>
          <w:lang w:eastAsia="zh-CN"/>
        </w:rPr>
        <w:t>施</w:t>
      </w:r>
    </w:p>
    <w:p>
      <w:pPr>
        <w:pStyle w:val="4"/>
        <w:spacing w:before="132"/>
        <w:ind w:left="482"/>
        <w:rPr>
          <w:color w:val="000000" w:themeColor="text1"/>
          <w:lang w:eastAsia="zh-CN"/>
          <w14:textFill>
            <w14:solidFill>
              <w14:schemeClr w14:val="tx1"/>
            </w14:solidFill>
          </w14:textFill>
        </w:rPr>
      </w:pPr>
      <w:r>
        <w:rPr>
          <w:rFonts w:hint="eastAsia" w:cs="宋体"/>
          <w:spacing w:val="-2"/>
          <w:sz w:val="23"/>
          <w:szCs w:val="23"/>
          <w:lang w:eastAsia="zh-CN"/>
        </w:rPr>
        <w:t>（6）</w:t>
      </w:r>
      <w:r>
        <w:rPr>
          <w:rFonts w:cs="宋体"/>
          <w:spacing w:val="-2"/>
          <w:sz w:val="23"/>
          <w:szCs w:val="23"/>
          <w:lang w:eastAsia="zh-CN"/>
        </w:rPr>
        <w:t>必要的图纸</w:t>
      </w: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spacing w:before="9"/>
        <w:rPr>
          <w:color w:val="000000" w:themeColor="text1"/>
          <w:sz w:val="10"/>
          <w:lang w:eastAsia="zh-CN"/>
          <w14:textFill>
            <w14:solidFill>
              <w14:schemeClr w14:val="tx1"/>
            </w14:solidFill>
          </w14:textFill>
        </w:rPr>
      </w:pPr>
    </w:p>
    <w:p>
      <w:pPr>
        <w:pStyle w:val="4"/>
        <w:rPr>
          <w:color w:val="000000" w:themeColor="text1"/>
          <w:position w:val="8"/>
          <w:sz w:val="9"/>
          <w:lang w:eastAsia="zh-CN"/>
          <w14:textFill>
            <w14:solidFill>
              <w14:schemeClr w14:val="tx1"/>
            </w14:solidFill>
          </w14:textFill>
        </w:rPr>
      </w:pPr>
    </w:p>
    <w:p>
      <w:pPr>
        <w:pStyle w:val="5"/>
      </w:pPr>
    </w:p>
    <w:p>
      <w:pPr>
        <w:pStyle w:val="4"/>
        <w:rPr>
          <w:color w:val="000000" w:themeColor="text1"/>
          <w:position w:val="8"/>
          <w:sz w:val="9"/>
          <w:lang w:eastAsia="zh-CN"/>
          <w14:textFill>
            <w14:solidFill>
              <w14:schemeClr w14:val="tx1"/>
            </w14:solidFill>
          </w14:textFill>
        </w:rPr>
      </w:pPr>
    </w:p>
    <w:p>
      <w:pPr>
        <w:pStyle w:val="5"/>
        <w:rPr>
          <w:color w:val="000000" w:themeColor="text1"/>
          <w:position w:val="8"/>
          <w:sz w:val="9"/>
          <w14:textFill>
            <w14:solidFill>
              <w14:schemeClr w14:val="tx1"/>
            </w14:solidFill>
          </w14:textFill>
        </w:rPr>
      </w:pPr>
    </w:p>
    <w:p>
      <w:pPr>
        <w:rPr>
          <w:color w:val="000000" w:themeColor="text1"/>
          <w:position w:val="8"/>
          <w:sz w:val="9"/>
          <w:lang w:eastAsia="zh-CN"/>
          <w14:textFill>
            <w14:solidFill>
              <w14:schemeClr w14:val="tx1"/>
            </w14:solidFill>
          </w14:textFill>
        </w:rPr>
      </w:pPr>
    </w:p>
    <w:p>
      <w:pPr>
        <w:pStyle w:val="2"/>
        <w:ind w:left="440" w:firstLine="440"/>
        <w:rPr>
          <w:lang w:eastAsia="zh-CN"/>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adjustRightInd w:val="0"/>
        <w:spacing w:before="19" w:line="360" w:lineRule="auto"/>
        <w:rPr>
          <w:rFonts w:cs="黑体"/>
          <w:b/>
          <w:color w:val="000000" w:themeColor="text1"/>
          <w:sz w:val="30"/>
          <w:szCs w:val="30"/>
          <w:lang w:eastAsia="zh-CN"/>
          <w14:textFill>
            <w14:solidFill>
              <w14:schemeClr w14:val="tx1"/>
            </w14:solidFill>
          </w14:textFill>
        </w:rPr>
      </w:pPr>
      <w:r>
        <w:rPr>
          <w:rFonts w:hint="eastAsia" w:cs="黑体"/>
          <w:b/>
          <w:color w:val="000000" w:themeColor="text1"/>
          <w:spacing w:val="2"/>
          <w:w w:val="99"/>
          <w:sz w:val="30"/>
          <w:szCs w:val="30"/>
          <w:lang w:eastAsia="zh-CN"/>
          <w14:textFill>
            <w14:solidFill>
              <w14:schemeClr w14:val="tx1"/>
            </w14:solidFill>
          </w14:textFill>
        </w:rPr>
        <w:t>报</w:t>
      </w:r>
      <w:r>
        <w:rPr>
          <w:rFonts w:hint="eastAsia" w:cs="黑体"/>
          <w:b/>
          <w:color w:val="000000" w:themeColor="text1"/>
          <w:w w:val="99"/>
          <w:sz w:val="30"/>
          <w:szCs w:val="30"/>
          <w:lang w:eastAsia="zh-CN"/>
          <w14:textFill>
            <w14:solidFill>
              <w14:schemeClr w14:val="tx1"/>
            </w14:solidFill>
          </w14:textFill>
        </w:rPr>
        <w:t>价文件封面格式</w:t>
      </w:r>
    </w:p>
    <w:p>
      <w:pPr>
        <w:spacing w:line="1000" w:lineRule="exact"/>
        <w:rPr>
          <w:rFonts w:ascii="黑体" w:eastAsia="黑体"/>
          <w:b/>
          <w:color w:val="000000" w:themeColor="text1"/>
          <w:spacing w:val="40"/>
          <w:sz w:val="52"/>
          <w:szCs w:val="52"/>
          <w:lang w:eastAsia="zh-CN"/>
          <w14:textFill>
            <w14:solidFill>
              <w14:schemeClr w14:val="tx1"/>
            </w14:solidFill>
          </w14:textFill>
        </w:rPr>
      </w:pPr>
    </w:p>
    <w:p>
      <w:pPr>
        <w:spacing w:line="1000" w:lineRule="exact"/>
        <w:rPr>
          <w:rFonts w:ascii="黑体" w:eastAsia="黑体"/>
          <w:b/>
          <w:color w:val="000000" w:themeColor="text1"/>
          <w:spacing w:val="40"/>
          <w:sz w:val="52"/>
          <w:szCs w:val="52"/>
          <w:lang w:eastAsia="zh-CN"/>
          <w14:textFill>
            <w14:solidFill>
              <w14:schemeClr w14:val="tx1"/>
            </w14:solidFill>
          </w14:textFill>
        </w:rPr>
      </w:pPr>
    </w:p>
    <w:p>
      <w:pPr>
        <w:pStyle w:val="16"/>
        <w:spacing w:line="360" w:lineRule="auto"/>
        <w:ind w:firstLine="390" w:firstLineChars="108"/>
        <w:rPr>
          <w:rFonts w:ascii="黑体"/>
          <w:b/>
          <w:color w:val="000000" w:themeColor="text1"/>
          <w:sz w:val="36"/>
          <w:szCs w:val="36"/>
          <w:lang w:eastAsia="zh-CN"/>
          <w14:textFill>
            <w14:solidFill>
              <w14:schemeClr w14:val="tx1"/>
            </w14:solidFill>
          </w14:textFill>
        </w:rPr>
      </w:pPr>
      <w:r>
        <w:rPr>
          <w:rFonts w:hint="eastAsia" w:ascii="宋体" w:hAnsi="宋体" w:cs="宋体"/>
          <w:b/>
          <w:sz w:val="36"/>
          <w:szCs w:val="36"/>
          <w:lang w:eastAsia="zh-CN"/>
        </w:rPr>
        <w:t>阳西县儒洞镇边海村进村大桥工程勘察设计</w:t>
      </w:r>
      <w:r>
        <w:rPr>
          <w:rFonts w:hint="eastAsia" w:ascii="黑体"/>
          <w:b/>
          <w:color w:val="000000" w:themeColor="text1"/>
          <w:sz w:val="36"/>
          <w:szCs w:val="36"/>
          <w:lang w:eastAsia="zh-CN"/>
          <w14:textFill>
            <w14:solidFill>
              <w14:schemeClr w14:val="tx1"/>
            </w14:solidFill>
          </w14:textFill>
        </w:rPr>
        <w:t>招标</w:t>
      </w:r>
    </w:p>
    <w:p>
      <w:pPr>
        <w:spacing w:line="360" w:lineRule="auto"/>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ind w:firstLine="480"/>
        <w:jc w:val="center"/>
        <w:rPr>
          <w:b/>
          <w:color w:val="000000" w:themeColor="text1"/>
          <w:sz w:val="36"/>
          <w:szCs w:val="36"/>
          <w:lang w:eastAsia="zh-CN"/>
          <w14:textFill>
            <w14:solidFill>
              <w14:schemeClr w14:val="tx1"/>
            </w14:solidFill>
          </w14:textFill>
        </w:rPr>
      </w:pPr>
      <w:r>
        <w:rPr>
          <w:rFonts w:hint="eastAsia"/>
          <w:b/>
          <w:color w:val="000000" w:themeColor="text1"/>
          <w:sz w:val="44"/>
          <w:szCs w:val="44"/>
          <w:lang w:eastAsia="zh-CN"/>
          <w14:textFill>
            <w14:solidFill>
              <w14:schemeClr w14:val="tx1"/>
            </w14:solidFill>
          </w14:textFill>
        </w:rPr>
        <w:t>投标文件</w:t>
      </w:r>
    </w:p>
    <w:p>
      <w:pPr>
        <w:ind w:firstLine="480"/>
        <w:jc w:val="center"/>
        <w:rPr>
          <w:b/>
          <w:color w:val="000000" w:themeColor="text1"/>
          <w:sz w:val="36"/>
          <w:szCs w:val="36"/>
          <w:u w:val="single"/>
          <w:lang w:eastAsia="zh-CN"/>
          <w14:textFill>
            <w14:solidFill>
              <w14:schemeClr w14:val="tx1"/>
            </w14:solidFill>
          </w14:textFill>
        </w:rPr>
      </w:pPr>
    </w:p>
    <w:p>
      <w:pPr>
        <w:ind w:firstLine="480"/>
        <w:jc w:val="center"/>
        <w:rPr>
          <w:rFonts w:eastAsia="宋体"/>
          <w:b/>
          <w:color w:val="000000" w:themeColor="text1"/>
          <w:sz w:val="36"/>
          <w:szCs w:val="36"/>
          <w:lang w:eastAsia="zh-CN"/>
          <w14:textFill>
            <w14:solidFill>
              <w14:schemeClr w14:val="tx1"/>
            </w14:solidFill>
          </w14:textFill>
        </w:rPr>
      </w:pPr>
      <w:r>
        <w:rPr>
          <w:rFonts w:hint="eastAsia" w:eastAsia="宋体"/>
          <w:b/>
          <w:color w:val="000000" w:themeColor="text1"/>
          <w:sz w:val="36"/>
          <w:szCs w:val="36"/>
          <w:lang w:eastAsia="zh-CN"/>
          <w14:textFill>
            <w14:solidFill>
              <w14:schemeClr w14:val="tx1"/>
            </w14:solidFill>
          </w14:textFill>
        </w:rPr>
        <w:t>（</w:t>
      </w:r>
      <w:r>
        <w:rPr>
          <w:rFonts w:hint="eastAsia"/>
          <w:b/>
          <w:color w:val="000000" w:themeColor="text1"/>
          <w:sz w:val="36"/>
          <w:szCs w:val="36"/>
          <w:lang w:eastAsia="zh-CN"/>
          <w14:textFill>
            <w14:solidFill>
              <w14:schemeClr w14:val="tx1"/>
            </w14:solidFill>
          </w14:textFill>
        </w:rPr>
        <w:t>报价文件</w:t>
      </w:r>
      <w:r>
        <w:rPr>
          <w:rFonts w:hint="eastAsia" w:eastAsia="宋体"/>
          <w:b/>
          <w:color w:val="000000" w:themeColor="text1"/>
          <w:sz w:val="36"/>
          <w:szCs w:val="36"/>
          <w:lang w:eastAsia="zh-CN"/>
          <w14:textFill>
            <w14:solidFill>
              <w14:schemeClr w14:val="tx1"/>
            </w14:solidFill>
          </w14:textFill>
        </w:rPr>
        <w:t>）</w:t>
      </w: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1000" w:lineRule="exact"/>
        <w:rPr>
          <w:color w:val="000000" w:themeColor="text1"/>
          <w:sz w:val="28"/>
          <w:lang w:eastAsia="zh-CN"/>
          <w14:textFill>
            <w14:solidFill>
              <w14:schemeClr w14:val="tx1"/>
            </w14:solidFill>
          </w14:textFill>
        </w:rPr>
      </w:pPr>
    </w:p>
    <w:p>
      <w:pPr>
        <w:spacing w:line="500" w:lineRule="exact"/>
        <w:jc w:val="both"/>
        <w:rPr>
          <w:color w:val="000000" w:themeColor="text1"/>
          <w:sz w:val="28"/>
          <w:lang w:eastAsia="zh-CN"/>
          <w14:textFill>
            <w14:solidFill>
              <w14:schemeClr w14:val="tx1"/>
            </w14:solidFill>
          </w14:textFill>
        </w:rPr>
      </w:pPr>
    </w:p>
    <w:p>
      <w:pPr>
        <w:spacing w:line="360" w:lineRule="auto"/>
        <w:ind w:firstLine="420" w:firstLineChars="150"/>
        <w:jc w:val="center"/>
        <w:rPr>
          <w:color w:val="000000" w:themeColor="text1"/>
          <w:sz w:val="28"/>
          <w:u w:val="single"/>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投标人：</w:t>
      </w:r>
      <w:r>
        <w:rPr>
          <w:rFonts w:hint="eastAsia"/>
          <w:color w:val="000000" w:themeColor="text1"/>
          <w:sz w:val="28"/>
          <w:u w:val="single"/>
          <w:lang w:eastAsia="zh-CN"/>
          <w14:textFill>
            <w14:solidFill>
              <w14:schemeClr w14:val="tx1"/>
            </w14:solidFill>
          </w14:textFill>
        </w:rPr>
        <w:t>（盖单位章）</w:t>
      </w:r>
    </w:p>
    <w:p>
      <w:pPr>
        <w:rPr>
          <w:color w:val="000000" w:themeColor="text1"/>
          <w:sz w:val="28"/>
          <w:lang w:eastAsia="zh-CN"/>
          <w14:textFill>
            <w14:solidFill>
              <w14:schemeClr w14:val="tx1"/>
            </w14:solidFill>
          </w14:textFill>
        </w:rPr>
      </w:pPr>
    </w:p>
    <w:p>
      <w:pPr>
        <w:rPr>
          <w:color w:val="000000" w:themeColor="text1"/>
          <w:sz w:val="28"/>
          <w:lang w:eastAsia="zh-CN"/>
          <w14:textFill>
            <w14:solidFill>
              <w14:schemeClr w14:val="tx1"/>
            </w14:solidFill>
          </w14:textFill>
        </w:rPr>
      </w:pPr>
    </w:p>
    <w:p>
      <w:pPr>
        <w:ind w:firstLine="480"/>
        <w:jc w:val="center"/>
        <w:rPr>
          <w:color w:val="000000" w:themeColor="text1"/>
          <w:sz w:val="28"/>
          <w:lang w:eastAsia="zh-CN"/>
          <w14:textFill>
            <w14:solidFill>
              <w14:schemeClr w14:val="tx1"/>
            </w14:solidFill>
          </w14:textFill>
        </w:rPr>
      </w:pPr>
      <w:r>
        <w:rPr>
          <w:rFonts w:hint="eastAsia"/>
          <w:color w:val="000000" w:themeColor="text1"/>
          <w:sz w:val="28"/>
          <w:lang w:eastAsia="zh-CN"/>
          <w14:textFill>
            <w14:solidFill>
              <w14:schemeClr w14:val="tx1"/>
            </w14:solidFill>
          </w14:textFill>
        </w:rPr>
        <w:t>日期  年  月  日</w:t>
      </w: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adjustRightInd w:val="0"/>
        <w:spacing w:line="200" w:lineRule="exact"/>
        <w:rPr>
          <w:rFonts w:cs="黑体"/>
          <w:color w:val="000000" w:themeColor="text1"/>
          <w:sz w:val="20"/>
          <w:szCs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spacing w:before="11"/>
        <w:rPr>
          <w:rFonts w:ascii="黑体"/>
          <w:color w:val="000000" w:themeColor="text1"/>
          <w:sz w:val="18"/>
          <w:lang w:eastAsia="zh-CN"/>
          <w14:textFill>
            <w14:solidFill>
              <w14:schemeClr w14:val="tx1"/>
            </w14:solidFill>
          </w14:textFill>
        </w:rPr>
      </w:pPr>
    </w:p>
    <w:p>
      <w:pPr>
        <w:tabs>
          <w:tab w:val="left" w:pos="599"/>
        </w:tabs>
        <w:spacing w:before="58"/>
        <w:ind w:right="438"/>
        <w:jc w:val="center"/>
        <w:rPr>
          <w:rFonts w:ascii="黑体" w:eastAsia="黑体"/>
          <w:color w:val="000000" w:themeColor="text1"/>
          <w:sz w:val="30"/>
          <w:lang w:eastAsia="zh-CN"/>
          <w14:textFill>
            <w14:solidFill>
              <w14:schemeClr w14:val="tx1"/>
            </w14:solidFill>
          </w14:textFill>
        </w:rPr>
      </w:pPr>
      <w:bookmarkStart w:id="46" w:name="_bookmark155"/>
      <w:bookmarkEnd w:id="46"/>
      <w:r>
        <w:rPr>
          <w:rFonts w:hint="eastAsia" w:ascii="黑体" w:eastAsia="黑体"/>
          <w:color w:val="000000" w:themeColor="text1"/>
          <w:sz w:val="30"/>
          <w:lang w:eastAsia="zh-CN"/>
          <w14:textFill>
            <w14:solidFill>
              <w14:schemeClr w14:val="tx1"/>
            </w14:solidFill>
          </w14:textFill>
        </w:rPr>
        <w:t>目</w:t>
      </w:r>
      <w:r>
        <w:rPr>
          <w:rFonts w:ascii="黑体" w:eastAsia="黑体"/>
          <w:color w:val="000000" w:themeColor="text1"/>
          <w:sz w:val="30"/>
          <w:lang w:eastAsia="zh-CN"/>
          <w14:textFill>
            <w14:solidFill>
              <w14:schemeClr w14:val="tx1"/>
            </w14:solidFill>
          </w14:textFill>
        </w:rPr>
        <w:tab/>
      </w:r>
      <w:r>
        <w:rPr>
          <w:rFonts w:hint="eastAsia" w:ascii="黑体" w:eastAsia="黑体"/>
          <w:color w:val="000000" w:themeColor="text1"/>
          <w:sz w:val="30"/>
          <w:lang w:eastAsia="zh-CN"/>
          <w14:textFill>
            <w14:solidFill>
              <w14:schemeClr w14:val="tx1"/>
            </w14:solidFill>
          </w14:textFill>
        </w:rPr>
        <w:t>录</w:t>
      </w: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spacing w:before="198"/>
        <w:ind w:left="1698"/>
        <w:rPr>
          <w:rFonts w:ascii="黑体" w:eastAsia="黑体"/>
          <w:color w:val="000000" w:themeColor="text1"/>
          <w:sz w:val="28"/>
          <w:lang w:eastAsia="zh-CN"/>
          <w14:textFill>
            <w14:solidFill>
              <w14:schemeClr w14:val="tx1"/>
            </w14:solidFill>
          </w14:textFill>
        </w:rPr>
      </w:pPr>
      <w:r>
        <w:rPr>
          <w:rFonts w:hint="eastAsia" w:ascii="黑体" w:eastAsia="黑体"/>
          <w:color w:val="000000" w:themeColor="text1"/>
          <w:sz w:val="28"/>
          <w:lang w:eastAsia="zh-CN"/>
          <w14:textFill>
            <w14:solidFill>
              <w14:schemeClr w14:val="tx1"/>
            </w14:solidFill>
          </w14:textFill>
        </w:rPr>
        <w:t>一、投标函</w:t>
      </w:r>
    </w:p>
    <w:p>
      <w:pPr>
        <w:pStyle w:val="4"/>
        <w:spacing w:before="9"/>
        <w:rPr>
          <w:rFonts w:ascii="黑体"/>
          <w:color w:val="000000" w:themeColor="text1"/>
          <w:sz w:val="26"/>
          <w:lang w:eastAsia="zh-CN"/>
          <w14:textFill>
            <w14:solidFill>
              <w14:schemeClr w14:val="tx1"/>
            </w14:solidFill>
          </w14:textFill>
        </w:rPr>
      </w:pPr>
    </w:p>
    <w:p>
      <w:pPr>
        <w:ind w:left="1698"/>
        <w:rPr>
          <w:rFonts w:ascii="黑体" w:eastAsia="黑体"/>
          <w:color w:val="000000" w:themeColor="text1"/>
          <w:sz w:val="28"/>
          <w:lang w:eastAsia="zh-CN"/>
          <w14:textFill>
            <w14:solidFill>
              <w14:schemeClr w14:val="tx1"/>
            </w14:solidFill>
          </w14:textFill>
        </w:rPr>
      </w:pPr>
      <w:r>
        <w:rPr>
          <w:rFonts w:hint="eastAsia" w:ascii="黑体" w:eastAsia="黑体"/>
          <w:color w:val="000000" w:themeColor="text1"/>
          <w:sz w:val="28"/>
          <w:lang w:eastAsia="zh-CN"/>
          <w14:textFill>
            <w14:solidFill>
              <w14:schemeClr w14:val="tx1"/>
            </w14:solidFill>
          </w14:textFill>
        </w:rPr>
        <w:t>二、勘察设计费用清单</w:t>
      </w:r>
    </w:p>
    <w:p>
      <w:pPr>
        <w:rPr>
          <w:rFonts w:ascii="黑体" w:eastAsia="黑体"/>
          <w:color w:val="000000" w:themeColor="text1"/>
          <w:sz w:val="28"/>
          <w:lang w:eastAsia="zh-CN"/>
          <w14:textFill>
            <w14:solidFill>
              <w14:schemeClr w14:val="tx1"/>
            </w14:solidFill>
          </w14:textFill>
        </w:rPr>
        <w:sectPr>
          <w:headerReference r:id="rId20" w:type="default"/>
          <w:footerReference r:id="rId21" w:type="default"/>
          <w:pgSz w:w="11910" w:h="16850"/>
          <w:pgMar w:top="1480" w:right="720" w:bottom="1040" w:left="1220" w:header="882" w:footer="853" w:gutter="0"/>
          <w:cols w:space="720" w:num="1"/>
        </w:sectPr>
      </w:pPr>
    </w:p>
    <w:p>
      <w:pPr>
        <w:pStyle w:val="4"/>
        <w:rPr>
          <w:rFonts w:ascii="黑体"/>
          <w:color w:val="000000" w:themeColor="text1"/>
          <w:sz w:val="20"/>
          <w:lang w:eastAsia="zh-CN"/>
          <w14:textFill>
            <w14:solidFill>
              <w14:schemeClr w14:val="tx1"/>
            </w14:solidFill>
          </w14:textFill>
        </w:rPr>
      </w:pPr>
    </w:p>
    <w:p>
      <w:pPr>
        <w:spacing w:before="190"/>
        <w:ind w:left="475" w:right="913"/>
        <w:jc w:val="center"/>
        <w:rPr>
          <w:rFonts w:ascii="黑体" w:eastAsia="黑体"/>
          <w:color w:val="000000" w:themeColor="text1"/>
          <w:sz w:val="30"/>
          <w:lang w:eastAsia="zh-CN"/>
          <w14:textFill>
            <w14:solidFill>
              <w14:schemeClr w14:val="tx1"/>
            </w14:solidFill>
          </w14:textFill>
        </w:rPr>
      </w:pPr>
      <w:bookmarkStart w:id="47" w:name="_bookmark156"/>
      <w:bookmarkEnd w:id="47"/>
      <w:r>
        <w:rPr>
          <w:rFonts w:hint="eastAsia" w:ascii="黑体" w:eastAsia="黑体"/>
          <w:color w:val="000000" w:themeColor="text1"/>
          <w:sz w:val="30"/>
          <w:lang w:eastAsia="zh-CN"/>
          <w14:textFill>
            <w14:solidFill>
              <w14:schemeClr w14:val="tx1"/>
            </w14:solidFill>
          </w14:textFill>
        </w:rPr>
        <w:t>一、投标函</w:t>
      </w: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rPr>
          <w:rFonts w:ascii="黑体"/>
          <w:color w:val="000000" w:themeColor="text1"/>
          <w:sz w:val="20"/>
          <w:lang w:eastAsia="zh-CN"/>
          <w14:textFill>
            <w14:solidFill>
              <w14:schemeClr w14:val="tx1"/>
            </w14:solidFill>
          </w14:textFill>
        </w:rPr>
      </w:pPr>
    </w:p>
    <w:p>
      <w:pPr>
        <w:pStyle w:val="4"/>
        <w:tabs>
          <w:tab w:val="left" w:pos="3424"/>
        </w:tabs>
        <w:spacing w:before="203"/>
        <w:ind w:left="544"/>
        <w:rPr>
          <w:color w:val="000000" w:themeColor="text1"/>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rFonts w:hint="eastAsia"/>
          <w:color w:val="000000" w:themeColor="text1"/>
          <w14:textFill>
            <w14:solidFill>
              <w14:schemeClr w14:val="tx1"/>
            </w14:solidFill>
          </w14:textFill>
        </w:rPr>
        <w:t>（招标人名称</w:t>
      </w:r>
      <w:r>
        <w:rPr>
          <w:rFonts w:hint="eastAsia"/>
          <w:color w:val="000000" w:themeColor="text1"/>
          <w:spacing w:val="-120"/>
          <w14:textFill>
            <w14:solidFill>
              <w14:schemeClr w14:val="tx1"/>
            </w14:solidFill>
          </w14:textFill>
        </w:rPr>
        <w:t>）</w:t>
      </w:r>
      <w:r>
        <w:rPr>
          <w:rFonts w:hint="eastAsia"/>
          <w:color w:val="000000" w:themeColor="text1"/>
          <w14:textFill>
            <w14:solidFill>
              <w14:schemeClr w14:val="tx1"/>
            </w14:solidFill>
          </w14:textFill>
        </w:rPr>
        <w:t>：</w:t>
      </w:r>
    </w:p>
    <w:p>
      <w:pPr>
        <w:pStyle w:val="30"/>
        <w:numPr>
          <w:ilvl w:val="1"/>
          <w:numId w:val="68"/>
        </w:numPr>
        <w:tabs>
          <w:tab w:val="left" w:pos="1266"/>
          <w:tab w:val="left" w:pos="3196"/>
          <w:tab w:val="left" w:pos="4766"/>
          <w:tab w:val="left" w:pos="5124"/>
          <w:tab w:val="left" w:pos="6571"/>
          <w:tab w:val="left" w:pos="7654"/>
        </w:tabs>
        <w:spacing w:before="213" w:line="312" w:lineRule="auto"/>
        <w:ind w:right="862"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我方已仔细研究</w:t>
      </w:r>
      <w:r>
        <w:rPr>
          <w:color w:val="000000" w:themeColor="text1"/>
          <w:sz w:val="24"/>
          <w:u w:val="single"/>
          <w:lang w:eastAsia="zh-CN"/>
          <w14:textFill>
            <w14:solidFill>
              <w14:schemeClr w14:val="tx1"/>
            </w14:solidFill>
          </w14:textFill>
        </w:rPr>
        <w:tab/>
      </w:r>
      <w:r>
        <w:rPr>
          <w:color w:val="000000" w:themeColor="text1"/>
          <w:sz w:val="24"/>
          <w:u w:val="single"/>
          <w:lang w:eastAsia="zh-CN"/>
          <w14:textFill>
            <w14:solidFill>
              <w14:schemeClr w14:val="tx1"/>
            </w14:solidFill>
          </w14:textFill>
        </w:rPr>
        <w:tab/>
      </w:r>
      <w:r>
        <w:rPr>
          <w:color w:val="000000" w:themeColor="text1"/>
          <w:sz w:val="24"/>
          <w:u w:val="single"/>
          <w:lang w:eastAsia="zh-CN"/>
          <w14:textFill>
            <w14:solidFill>
              <w14:schemeClr w14:val="tx1"/>
            </w14:solidFill>
          </w14:textFill>
        </w:rPr>
        <w:tab/>
      </w:r>
      <w:r>
        <w:rPr>
          <w:rFonts w:hint="eastAsia"/>
          <w:color w:val="000000" w:themeColor="text1"/>
          <w:sz w:val="24"/>
          <w:lang w:eastAsia="zh-CN"/>
          <w14:textFill>
            <w14:solidFill>
              <w14:schemeClr w14:val="tx1"/>
            </w14:solidFill>
          </w14:textFill>
        </w:rPr>
        <w:t>（项目名称）勘察设</w:t>
      </w:r>
      <w:r>
        <w:rPr>
          <w:rFonts w:hint="eastAsia"/>
          <w:color w:val="000000" w:themeColor="text1"/>
          <w:spacing w:val="-12"/>
          <w:sz w:val="24"/>
          <w:lang w:eastAsia="zh-CN"/>
          <w14:textFill>
            <w14:solidFill>
              <w14:schemeClr w14:val="tx1"/>
            </w14:solidFill>
          </w14:textFill>
        </w:rPr>
        <w:t>计</w:t>
      </w:r>
      <w:r>
        <w:rPr>
          <w:rFonts w:hint="eastAsia"/>
          <w:color w:val="000000" w:themeColor="text1"/>
          <w:sz w:val="24"/>
          <w:lang w:eastAsia="zh-CN"/>
          <w14:textFill>
            <w14:solidFill>
              <w14:schemeClr w14:val="tx1"/>
            </w14:solidFill>
          </w14:textFill>
        </w:rPr>
        <w:t>招标文件的全部内</w:t>
      </w:r>
      <w:r>
        <w:rPr>
          <w:rFonts w:hint="eastAsia"/>
          <w:color w:val="000000" w:themeColor="text1"/>
          <w:spacing w:val="-29"/>
          <w:sz w:val="24"/>
          <w:lang w:eastAsia="zh-CN"/>
          <w14:textFill>
            <w14:solidFill>
              <w14:schemeClr w14:val="tx1"/>
            </w14:solidFill>
          </w14:textFill>
        </w:rPr>
        <w:t>容</w:t>
      </w:r>
      <w:r>
        <w:rPr>
          <w:rFonts w:hint="eastAsia"/>
          <w:color w:val="000000" w:themeColor="text1"/>
          <w:spacing w:val="-75"/>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在考察工程现场后</w:t>
      </w:r>
      <w:r>
        <w:rPr>
          <w:rFonts w:hint="eastAsia"/>
          <w:color w:val="000000" w:themeColor="text1"/>
          <w:spacing w:val="-29"/>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愿意以</w:t>
      </w:r>
      <w:r>
        <w:rPr>
          <w:rFonts w:hint="eastAsia"/>
          <w:color w:val="000000" w:themeColor="text1"/>
          <w:spacing w:val="-13"/>
          <w:sz w:val="24"/>
          <w:lang w:eastAsia="zh-CN"/>
          <w14:textFill>
            <w14:solidFill>
              <w14:schemeClr w14:val="tx1"/>
            </w14:solidFill>
          </w14:textFill>
        </w:rPr>
        <w:t>人</w:t>
      </w:r>
      <w:r>
        <w:rPr>
          <w:rFonts w:hint="eastAsia"/>
          <w:color w:val="000000" w:themeColor="text1"/>
          <w:sz w:val="24"/>
          <w:lang w:eastAsia="zh-CN"/>
          <w14:textFill>
            <w14:solidFill>
              <w14:schemeClr w14:val="tx1"/>
            </w14:solidFill>
          </w14:textFill>
        </w:rPr>
        <w:t>民币（大写）</w:t>
      </w:r>
      <w:r>
        <w:rPr>
          <w:rFonts w:hint="eastAsia"/>
          <w:color w:val="000000" w:themeColor="text1"/>
          <w:sz w:val="24"/>
          <w:u w:val="single"/>
          <w:lang w:eastAsia="zh-CN"/>
          <w14:textFill>
            <w14:solidFill>
              <w14:schemeClr w14:val="tx1"/>
            </w14:solidFill>
          </w14:textFill>
        </w:rPr>
        <w:t xml:space="preserve">      </w:t>
      </w:r>
      <w:r>
        <w:rPr>
          <w:rFonts w:hint="eastAsia"/>
          <w:color w:val="000000" w:themeColor="text1"/>
          <w:sz w:val="24"/>
          <w:lang w:eastAsia="zh-CN"/>
          <w14:textFill>
            <w14:solidFill>
              <w14:schemeClr w14:val="tx1"/>
            </w14:solidFill>
          </w14:textFill>
        </w:rPr>
        <w:t>元（</w:t>
      </w:r>
      <w:r>
        <w:rPr>
          <w:rFonts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u w:val="single"/>
          <w:lang w:eastAsia="zh-CN"/>
          <w14:textFill>
            <w14:solidFill>
              <w14:schemeClr w14:val="tx1"/>
            </w14:solidFill>
          </w14:textFill>
        </w:rPr>
        <w:t xml:space="preserve">      </w:t>
      </w:r>
      <w:r>
        <w:rPr>
          <w:rFonts w:hint="eastAsia"/>
          <w:color w:val="000000" w:themeColor="text1"/>
          <w:sz w:val="24"/>
          <w:lang w:eastAsia="zh-CN"/>
          <w14:textFill>
            <w14:solidFill>
              <w14:schemeClr w14:val="tx1"/>
            </w14:solidFill>
          </w14:textFill>
        </w:rPr>
        <w:t>）的投标总报价</w:t>
      </w:r>
      <w:r>
        <w:rPr>
          <w:rFonts w:hint="eastAsia"/>
          <w:color w:val="000000" w:themeColor="text1"/>
          <w:spacing w:val="2"/>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按</w:t>
      </w:r>
      <w:r>
        <w:rPr>
          <w:rFonts w:hint="eastAsia"/>
          <w:color w:val="000000" w:themeColor="text1"/>
          <w:spacing w:val="2"/>
          <w:sz w:val="24"/>
          <w:lang w:eastAsia="zh-CN"/>
          <w14:textFill>
            <w14:solidFill>
              <w14:schemeClr w14:val="tx1"/>
            </w14:solidFill>
          </w14:textFill>
        </w:rPr>
        <w:t>合同</w:t>
      </w:r>
      <w:r>
        <w:rPr>
          <w:rFonts w:hint="eastAsia"/>
          <w:color w:val="000000" w:themeColor="text1"/>
          <w:sz w:val="24"/>
          <w:lang w:eastAsia="zh-CN"/>
          <w14:textFill>
            <w14:solidFill>
              <w14:schemeClr w14:val="tx1"/>
            </w14:solidFill>
          </w14:textFill>
        </w:rPr>
        <w:t>约定完</w:t>
      </w:r>
      <w:r>
        <w:rPr>
          <w:rFonts w:hint="eastAsia"/>
          <w:color w:val="000000" w:themeColor="text1"/>
          <w:spacing w:val="3"/>
          <w:sz w:val="24"/>
          <w:lang w:eastAsia="zh-CN"/>
          <w14:textFill>
            <w14:solidFill>
              <w14:schemeClr w14:val="tx1"/>
            </w14:solidFill>
          </w14:textFill>
        </w:rPr>
        <w:t>成</w:t>
      </w:r>
      <w:r>
        <w:rPr>
          <w:rFonts w:hint="eastAsia"/>
          <w:color w:val="000000" w:themeColor="text1"/>
          <w:sz w:val="24"/>
          <w:lang w:eastAsia="zh-CN"/>
          <w14:textFill>
            <w14:solidFill>
              <w14:schemeClr w14:val="tx1"/>
            </w14:solidFill>
          </w14:textFill>
        </w:rPr>
        <w:t>勘</w:t>
      </w:r>
      <w:r>
        <w:rPr>
          <w:rFonts w:hint="eastAsia"/>
          <w:color w:val="000000" w:themeColor="text1"/>
          <w:spacing w:val="-16"/>
          <w:sz w:val="24"/>
          <w:lang w:eastAsia="zh-CN"/>
          <w14:textFill>
            <w14:solidFill>
              <w14:schemeClr w14:val="tx1"/>
            </w14:solidFill>
          </w14:textFill>
        </w:rPr>
        <w:t>察</w:t>
      </w:r>
      <w:r>
        <w:rPr>
          <w:rFonts w:hint="eastAsia"/>
          <w:color w:val="000000" w:themeColor="text1"/>
          <w:sz w:val="24"/>
          <w:lang w:eastAsia="zh-CN"/>
          <w14:textFill>
            <w14:solidFill>
              <w14:schemeClr w14:val="tx1"/>
            </w14:solidFill>
          </w14:textFill>
        </w:rPr>
        <w:t>设计工作。</w:t>
      </w:r>
    </w:p>
    <w:p>
      <w:pPr>
        <w:pStyle w:val="30"/>
        <w:numPr>
          <w:ilvl w:val="1"/>
          <w:numId w:val="68"/>
        </w:numPr>
        <w:tabs>
          <w:tab w:val="left" w:pos="1266"/>
        </w:tabs>
        <w:spacing w:before="1" w:line="312" w:lineRule="auto"/>
        <w:ind w:right="865" w:firstLine="480"/>
        <w:jc w:val="both"/>
        <w:rPr>
          <w:color w:val="000000" w:themeColor="text1"/>
          <w:sz w:val="24"/>
          <w:lang w:eastAsia="zh-CN"/>
          <w14:textFill>
            <w14:solidFill>
              <w14:schemeClr w14:val="tx1"/>
            </w14:solidFill>
          </w14:textFill>
        </w:rPr>
      </w:pPr>
      <w:r>
        <w:rPr>
          <w:rFonts w:hint="eastAsia"/>
          <w:color w:val="000000" w:themeColor="text1"/>
          <w:spacing w:val="-3"/>
          <w:sz w:val="24"/>
          <w:lang w:eastAsia="zh-CN"/>
          <w14:textFill>
            <w14:solidFill>
              <w14:schemeClr w14:val="tx1"/>
            </w14:solidFill>
          </w14:textFill>
        </w:rPr>
        <w:t>在合同协议书正式签署生效之前，本投标函连同你方的中标通知书将构成</w:t>
      </w:r>
      <w:r>
        <w:rPr>
          <w:rFonts w:hint="eastAsia"/>
          <w:color w:val="000000" w:themeColor="text1"/>
          <w:spacing w:val="-4"/>
          <w:sz w:val="24"/>
          <w:lang w:eastAsia="zh-CN"/>
          <w14:textFill>
            <w14:solidFill>
              <w14:schemeClr w14:val="tx1"/>
            </w14:solidFill>
          </w14:textFill>
        </w:rPr>
        <w:t>我们双方之间共同遵守的文件，对双方具有约束力。</w:t>
      </w:r>
    </w:p>
    <w:p>
      <w:pPr>
        <w:pStyle w:val="30"/>
        <w:numPr>
          <w:ilvl w:val="1"/>
          <w:numId w:val="68"/>
        </w:numPr>
        <w:tabs>
          <w:tab w:val="left" w:pos="1266"/>
          <w:tab w:val="left" w:pos="5945"/>
        </w:tabs>
        <w:spacing w:before="2"/>
        <w:ind w:left="1265"/>
        <w:rPr>
          <w:color w:val="000000" w:themeColor="text1"/>
          <w:sz w:val="24"/>
          <w14:textFill>
            <w14:solidFill>
              <w14:schemeClr w14:val="tx1"/>
            </w14:solidFill>
          </w14:textFill>
        </w:rPr>
      </w:pPr>
      <w:r>
        <w:rPr>
          <w:rFonts w:ascii="Times New Roman" w:eastAsia="Times New Roman"/>
          <w:color w:val="000000" w:themeColor="text1"/>
          <w:sz w:val="24"/>
          <w:u w:val="single"/>
          <w:lang w:eastAsia="zh-CN"/>
          <w14:textFill>
            <w14:solidFill>
              <w14:schemeClr w14:val="tx1"/>
            </w14:solidFill>
          </w14:textFill>
        </w:rPr>
        <w:tab/>
      </w:r>
      <w:r>
        <w:rPr>
          <w:rFonts w:hint="eastAsia"/>
          <w:color w:val="000000" w:themeColor="text1"/>
          <w:sz w:val="24"/>
          <w14:textFill>
            <w14:solidFill>
              <w14:schemeClr w14:val="tx1"/>
            </w14:solidFill>
          </w14:textFill>
        </w:rPr>
        <w:t>（其他补充说明</w:t>
      </w:r>
      <w:r>
        <w:rPr>
          <w:rFonts w:hint="eastAsia"/>
          <w:color w:val="000000" w:themeColor="text1"/>
          <w:spacing w:val="-120"/>
          <w:sz w:val="24"/>
          <w14:textFill>
            <w14:solidFill>
              <w14:schemeClr w14:val="tx1"/>
            </w14:solidFill>
          </w14:textFill>
        </w:rPr>
        <w:t>）</w:t>
      </w:r>
      <w:r>
        <w:rPr>
          <w:rFonts w:hint="eastAsia"/>
          <w:color w:val="000000" w:themeColor="text1"/>
          <w:sz w:val="24"/>
          <w14:textFill>
            <w14:solidFill>
              <w14:schemeClr w14:val="tx1"/>
            </w14:solidFill>
          </w14:textFill>
        </w:rPr>
        <w:t>。</w:t>
      </w:r>
    </w:p>
    <w:p>
      <w:pPr>
        <w:pStyle w:val="4"/>
        <w:spacing w:before="5"/>
        <w:rPr>
          <w:color w:val="000000" w:themeColor="text1"/>
          <w:sz w:val="38"/>
          <w14:textFill>
            <w14:solidFill>
              <w14:schemeClr w14:val="tx1"/>
            </w14:solidFill>
          </w14:textFill>
        </w:rPr>
      </w:pPr>
    </w:p>
    <w:p>
      <w:pPr>
        <w:pStyle w:val="4"/>
        <w:tabs>
          <w:tab w:val="left" w:pos="7550"/>
          <w:tab w:val="left" w:pos="9156"/>
        </w:tabs>
        <w:spacing w:line="312" w:lineRule="auto"/>
        <w:ind w:left="3845" w:right="807"/>
        <w:jc w:val="both"/>
        <w:rPr>
          <w:color w:val="000000" w:themeColor="text1"/>
          <w:spacing w:val="-5"/>
          <w:lang w:eastAsia="zh-CN"/>
          <w14:textFill>
            <w14:solidFill>
              <w14:schemeClr w14:val="tx1"/>
            </w14:solidFill>
          </w14:textFill>
        </w:rPr>
      </w:pPr>
      <w:r>
        <w:rPr>
          <w:rFonts w:hint="eastAsia"/>
          <w:color w:val="000000" w:themeColor="text1"/>
          <w:lang w:eastAsia="zh-CN"/>
          <w14:textFill>
            <w14:solidFill>
              <w14:schemeClr w14:val="tx1"/>
            </w14:solidFill>
          </w14:textFill>
        </w:rPr>
        <w:t>投标人</w:t>
      </w:r>
      <w:r>
        <w:rPr>
          <w:rFonts w:hint="eastAsia"/>
          <w:color w:val="000000" w:themeColor="text1"/>
          <w:spacing w:val="-8"/>
          <w:lang w:eastAsia="zh-CN"/>
          <w14:textFill>
            <w14:solidFill>
              <w14:schemeClr w14:val="tx1"/>
            </w14:solidFill>
          </w14:textFill>
        </w:rPr>
        <w:t>：</w:t>
      </w:r>
      <w:r>
        <w:rPr>
          <w:color w:val="000000" w:themeColor="text1"/>
          <w:spacing w:val="-8"/>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（盖单位章</w:t>
      </w:r>
      <w:r>
        <w:rPr>
          <w:rFonts w:hint="eastAsia"/>
          <w:color w:val="000000" w:themeColor="text1"/>
          <w:spacing w:val="-5"/>
          <w:lang w:eastAsia="zh-CN"/>
          <w14:textFill>
            <w14:solidFill>
              <w14:schemeClr w14:val="tx1"/>
            </w14:solidFill>
          </w14:textFill>
        </w:rPr>
        <w:t>）</w:t>
      </w:r>
    </w:p>
    <w:p>
      <w:pPr>
        <w:pStyle w:val="4"/>
        <w:tabs>
          <w:tab w:val="left" w:pos="7550"/>
          <w:tab w:val="left" w:pos="9156"/>
        </w:tabs>
        <w:spacing w:line="312" w:lineRule="auto"/>
        <w:ind w:left="3845" w:right="807"/>
        <w:jc w:val="both"/>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法定代表人或其委托代理人</w:t>
      </w:r>
      <w:r>
        <w:rPr>
          <w:rFonts w:hint="eastAsia"/>
          <w:color w:val="000000" w:themeColor="text1"/>
          <w:u w:val="single"/>
          <w:lang w:eastAsia="zh-CN"/>
          <w14:textFill>
            <w14:solidFill>
              <w14:schemeClr w14:val="tx1"/>
            </w14:solidFill>
          </w14:textFill>
        </w:rPr>
        <w:t>：（</w:t>
      </w:r>
      <w:r>
        <w:rPr>
          <w:rFonts w:hint="eastAsia"/>
          <w:color w:val="000000" w:themeColor="text1"/>
          <w:lang w:eastAsia="zh-CN"/>
          <w14:textFill>
            <w14:solidFill>
              <w14:schemeClr w14:val="tx1"/>
            </w14:solidFill>
          </w14:textFill>
        </w:rPr>
        <w:t>签字）</w:t>
      </w:r>
    </w:p>
    <w:p>
      <w:pPr>
        <w:pStyle w:val="4"/>
        <w:tabs>
          <w:tab w:val="left" w:pos="7550"/>
          <w:tab w:val="left" w:pos="9156"/>
        </w:tabs>
        <w:spacing w:line="312" w:lineRule="auto"/>
        <w:ind w:left="3845" w:right="807"/>
        <w:jc w:val="both"/>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地址：</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7550"/>
          <w:tab w:val="left" w:pos="9156"/>
        </w:tabs>
        <w:spacing w:line="312" w:lineRule="auto"/>
        <w:ind w:left="3845" w:right="807"/>
        <w:jc w:val="both"/>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网址：</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7550"/>
          <w:tab w:val="left" w:pos="9156"/>
        </w:tabs>
        <w:spacing w:line="312" w:lineRule="auto"/>
        <w:ind w:left="3845" w:right="807"/>
        <w:jc w:val="both"/>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电话：</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7550"/>
          <w:tab w:val="left" w:pos="9156"/>
        </w:tabs>
        <w:spacing w:line="312" w:lineRule="auto"/>
        <w:ind w:left="3845" w:right="807"/>
        <w:jc w:val="both"/>
        <w:rPr>
          <w:rFonts w:ascii="Times New Roman" w:hAnsi="Times New Roman"/>
          <w:color w:val="000000" w:themeColor="text1"/>
          <w:u w:val="single"/>
          <w:lang w:eastAsia="zh-CN"/>
          <w14:textFill>
            <w14:solidFill>
              <w14:schemeClr w14:val="tx1"/>
            </w14:solidFill>
          </w14:textFill>
        </w:rPr>
      </w:pPr>
      <w:r>
        <w:rPr>
          <w:rFonts w:hint="eastAsia"/>
          <w:color w:val="000000" w:themeColor="text1"/>
          <w:lang w:eastAsia="zh-CN"/>
          <w14:textFill>
            <w14:solidFill>
              <w14:schemeClr w14:val="tx1"/>
            </w14:solidFill>
          </w14:textFill>
        </w:rPr>
        <w:t>传真：</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tabs>
          <w:tab w:val="left" w:pos="7550"/>
          <w:tab w:val="left" w:pos="9156"/>
        </w:tabs>
        <w:spacing w:line="312" w:lineRule="auto"/>
        <w:ind w:left="3845" w:right="807"/>
        <w:jc w:val="both"/>
        <w:rPr>
          <w:rFonts w:ascii="Times New Roman" w:hAnsi="Times New Roman"/>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邮政编码：</w:t>
      </w:r>
      <w:r>
        <w:rPr>
          <w:rFonts w:ascii="Times New Roman" w:hAnsi="Times New Roman"/>
          <w:color w:val="000000" w:themeColor="text1"/>
          <w:u w:val="single"/>
          <w:lang w:eastAsia="zh-CN"/>
          <w14:textFill>
            <w14:solidFill>
              <w14:schemeClr w14:val="tx1"/>
            </w14:solidFill>
          </w14:textFill>
        </w:rPr>
        <w:tab/>
      </w:r>
      <w:r>
        <w:rPr>
          <w:rFonts w:ascii="Times New Roman" w:hAnsi="Times New Roman"/>
          <w:color w:val="000000" w:themeColor="text1"/>
          <w:u w:val="single"/>
          <w:lang w:eastAsia="zh-CN"/>
          <w14:textFill>
            <w14:solidFill>
              <w14:schemeClr w14:val="tx1"/>
            </w14:solidFill>
          </w14:textFill>
        </w:rPr>
        <w:tab/>
      </w:r>
    </w:p>
    <w:p>
      <w:pPr>
        <w:pStyle w:val="4"/>
        <w:spacing w:before="6"/>
        <w:rPr>
          <w:rFonts w:ascii="Times New Roman"/>
          <w:color w:val="000000" w:themeColor="text1"/>
          <w:sz w:val="28"/>
          <w:lang w:eastAsia="zh-CN"/>
          <w14:textFill>
            <w14:solidFill>
              <w14:schemeClr w14:val="tx1"/>
            </w14:solidFill>
          </w14:textFill>
        </w:rPr>
      </w:pPr>
    </w:p>
    <w:p>
      <w:pPr>
        <w:pStyle w:val="4"/>
        <w:tabs>
          <w:tab w:val="left" w:pos="6245"/>
          <w:tab w:val="left" w:pos="7325"/>
          <w:tab w:val="left" w:pos="8405"/>
        </w:tabs>
        <w:spacing w:before="74"/>
        <w:ind w:left="5165"/>
        <w:rPr>
          <w:color w:val="000000" w:themeColor="text1"/>
          <w:lang w:eastAsia="zh-CN"/>
          <w14:textFill>
            <w14:solidFill>
              <w14:schemeClr w14:val="tx1"/>
            </w14:solidFill>
          </w14:textFill>
        </w:rPr>
      </w:pPr>
      <w:r>
        <w:rPr>
          <w:rFonts w:ascii="Times New Roman" w:eastAsia="Times New Roman"/>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年</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月</w:t>
      </w:r>
      <w:r>
        <w:rPr>
          <w:color w:val="000000" w:themeColor="text1"/>
          <w:u w:val="single"/>
          <w:lang w:eastAsia="zh-CN"/>
          <w14:textFill>
            <w14:solidFill>
              <w14:schemeClr w14:val="tx1"/>
            </w14:solidFill>
          </w14:textFill>
        </w:rPr>
        <w:tab/>
      </w:r>
      <w:r>
        <w:rPr>
          <w:rFonts w:hint="eastAsia"/>
          <w:color w:val="000000" w:themeColor="text1"/>
          <w:lang w:eastAsia="zh-CN"/>
          <w14:textFill>
            <w14:solidFill>
              <w14:schemeClr w14:val="tx1"/>
            </w14:solidFill>
          </w14:textFill>
        </w:rPr>
        <w:t>日</w:t>
      </w: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pStyle w:val="4"/>
        <w:rPr>
          <w:color w:val="000000" w:themeColor="text1"/>
          <w:sz w:val="20"/>
          <w:lang w:eastAsia="zh-CN"/>
          <w14:textFill>
            <w14:solidFill>
              <w14:schemeClr w14:val="tx1"/>
            </w14:solidFill>
          </w14:textFill>
        </w:rPr>
      </w:pPr>
    </w:p>
    <w:p>
      <w:pPr>
        <w:spacing w:before="190"/>
        <w:ind w:left="3261"/>
        <w:rPr>
          <w:rFonts w:ascii="黑体" w:eastAsia="黑体"/>
          <w:color w:val="000000" w:themeColor="text1"/>
          <w:sz w:val="30"/>
          <w:lang w:eastAsia="zh-CN"/>
          <w14:textFill>
            <w14:solidFill>
              <w14:schemeClr w14:val="tx1"/>
            </w14:solidFill>
          </w14:textFill>
        </w:rPr>
      </w:pPr>
      <w:bookmarkStart w:id="48" w:name="_bookmark157"/>
      <w:bookmarkEnd w:id="48"/>
      <w:r>
        <w:rPr>
          <w:rFonts w:hint="eastAsia" w:ascii="黑体" w:eastAsia="黑体"/>
          <w:color w:val="000000" w:themeColor="text1"/>
          <w:sz w:val="30"/>
          <w:lang w:eastAsia="zh-CN"/>
          <w14:textFill>
            <w14:solidFill>
              <w14:schemeClr w14:val="tx1"/>
            </w14:solidFill>
          </w14:textFill>
        </w:rPr>
        <w:t>二、勘察设计费用清单</w:t>
      </w:r>
    </w:p>
    <w:p>
      <w:pPr>
        <w:pStyle w:val="4"/>
        <w:spacing w:before="2"/>
        <w:rPr>
          <w:rFonts w:ascii="黑体"/>
          <w:color w:val="000000" w:themeColor="text1"/>
          <w:sz w:val="42"/>
          <w:lang w:eastAsia="zh-CN"/>
          <w14:textFill>
            <w14:solidFill>
              <w14:schemeClr w14:val="tx1"/>
            </w14:solidFill>
          </w14:textFill>
        </w:rPr>
      </w:pPr>
    </w:p>
    <w:p>
      <w:pPr>
        <w:ind w:left="471" w:right="913"/>
        <w:jc w:val="center"/>
        <w:rPr>
          <w:rFonts w:ascii="黑体" w:eastAsia="黑体"/>
          <w:color w:val="000000" w:themeColor="text1"/>
          <w:sz w:val="28"/>
          <w14:textFill>
            <w14:solidFill>
              <w14:schemeClr w14:val="tx1"/>
            </w14:solidFill>
          </w14:textFill>
        </w:rPr>
      </w:pPr>
      <w:bookmarkStart w:id="49" w:name="_bookmark158"/>
      <w:bookmarkEnd w:id="49"/>
      <w:r>
        <w:rPr>
          <w:rFonts w:hint="eastAsia" w:ascii="黑体" w:eastAsia="黑体"/>
          <w:color w:val="000000" w:themeColor="text1"/>
          <w:sz w:val="28"/>
          <w14:textFill>
            <w14:solidFill>
              <w14:schemeClr w14:val="tx1"/>
            </w14:solidFill>
          </w14:textFill>
        </w:rPr>
        <w:t>（一）报价清单说明</w:t>
      </w:r>
    </w:p>
    <w:p>
      <w:pPr>
        <w:pStyle w:val="4"/>
        <w:spacing w:before="8"/>
        <w:rPr>
          <w:rFonts w:ascii="黑体"/>
          <w:color w:val="000000" w:themeColor="text1"/>
          <w:sz w:val="32"/>
          <w14:textFill>
            <w14:solidFill>
              <w14:schemeClr w14:val="tx1"/>
            </w14:solidFill>
          </w14:textFill>
        </w:rPr>
      </w:pPr>
    </w:p>
    <w:p>
      <w:pPr>
        <w:pStyle w:val="30"/>
        <w:numPr>
          <w:ilvl w:val="0"/>
          <w:numId w:val="69"/>
        </w:numPr>
        <w:tabs>
          <w:tab w:val="left" w:pos="1181"/>
        </w:tabs>
        <w:spacing w:line="343" w:lineRule="auto"/>
        <w:ind w:right="755" w:firstLine="480"/>
        <w:rPr>
          <w:color w:val="000000" w:themeColor="text1"/>
          <w:sz w:val="24"/>
          <w:lang w:eastAsia="zh-CN"/>
          <w14:textFill>
            <w14:solidFill>
              <w14:schemeClr w14:val="tx1"/>
            </w14:solidFill>
          </w14:textFill>
        </w:rPr>
      </w:pP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报价清单</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应与</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投标人须知</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通用合同条款</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专用合同条款</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pacing w:val="3"/>
          <w:sz w:val="24"/>
          <w:lang w:eastAsia="zh-CN"/>
          <w14:textFill>
            <w14:solidFill>
              <w14:schemeClr w14:val="tx1"/>
            </w14:solidFill>
          </w14:textFill>
        </w:rPr>
        <w:t>和</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发包人要求</w:t>
      </w:r>
      <w:r>
        <w:rPr>
          <w:rFonts w:ascii="Times New Roman" w:hAnsi="Times New Roman"/>
          <w:color w:val="000000" w:themeColor="text1"/>
          <w:spacing w:val="-13"/>
          <w:sz w:val="24"/>
          <w:lang w:eastAsia="zh-CN"/>
          <w14:textFill>
            <w14:solidFill>
              <w14:schemeClr w14:val="tx1"/>
            </w14:solidFill>
          </w14:textFill>
        </w:rPr>
        <w:t xml:space="preserve">” </w:t>
      </w:r>
      <w:r>
        <w:rPr>
          <w:rFonts w:hint="eastAsia"/>
          <w:color w:val="000000" w:themeColor="text1"/>
          <w:sz w:val="24"/>
          <w:lang w:eastAsia="zh-CN"/>
          <w14:textFill>
            <w14:solidFill>
              <w14:schemeClr w14:val="tx1"/>
            </w14:solidFill>
          </w14:textFill>
        </w:rPr>
        <w:t>一起使用。投标人应根据本招标项目前一阶段（工可阶段或初步设计阶段）批复意见和强制性要求，按照本招标文件规定的勘察设计工作内容和计划工作量，认真阅读分析本招标项目勘察设计原始资料，在编制完成技术文件的前提下，慎重提出</w:t>
      </w:r>
    </w:p>
    <w:p>
      <w:pPr>
        <w:pStyle w:val="4"/>
        <w:spacing w:before="1"/>
        <w:ind w:left="424"/>
        <w:rPr>
          <w:color w:val="000000" w:themeColor="text1"/>
          <w:lang w:eastAsia="zh-CN"/>
          <w14:textFill>
            <w14:solidFill>
              <w14:schemeClr w14:val="tx1"/>
            </w14:solidFill>
          </w14:textFill>
        </w:rPr>
      </w:pPr>
      <w:r>
        <w:rPr>
          <w:rFonts w:ascii="Times New Roman" w:hAnsi="Times New Roman"/>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报价清单</w:t>
      </w:r>
      <w:r>
        <w:rPr>
          <w:rFonts w:ascii="Times New Roman" w:hAnsi="Times New Roman"/>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，并以此做为本招标项目勘察设计费的基础。</w:t>
      </w:r>
    </w:p>
    <w:p>
      <w:pPr>
        <w:pStyle w:val="30"/>
        <w:numPr>
          <w:ilvl w:val="0"/>
          <w:numId w:val="69"/>
        </w:numPr>
        <w:tabs>
          <w:tab w:val="left" w:pos="1205"/>
        </w:tabs>
        <w:spacing w:before="134" w:line="343" w:lineRule="auto"/>
        <w:ind w:right="863" w:firstLine="480"/>
        <w:jc w:val="both"/>
        <w:rPr>
          <w:color w:val="000000" w:themeColor="text1"/>
          <w:sz w:val="24"/>
          <w:lang w:eastAsia="zh-CN"/>
          <w14:textFill>
            <w14:solidFill>
              <w14:schemeClr w14:val="tx1"/>
            </w14:solidFill>
          </w14:textFill>
        </w:rPr>
      </w:pPr>
      <w:r>
        <w:rPr>
          <w:rFonts w:hint="eastAsia"/>
          <w:color w:val="000000" w:themeColor="text1"/>
          <w:spacing w:val="-2"/>
          <w:sz w:val="24"/>
          <w:lang w:eastAsia="zh-CN"/>
          <w14:textFill>
            <w14:solidFill>
              <w14:schemeClr w14:val="tx1"/>
            </w14:solidFill>
          </w14:textFill>
        </w:rPr>
        <w:t>设计人应按照国家有关工程建设标准强制性条文和交通运输部有关标准、规</w:t>
      </w:r>
      <w:r>
        <w:rPr>
          <w:rFonts w:hint="eastAsia"/>
          <w:color w:val="000000" w:themeColor="text1"/>
          <w:sz w:val="24"/>
          <w:lang w:eastAsia="zh-CN"/>
          <w14:textFill>
            <w14:solidFill>
              <w14:schemeClr w14:val="tx1"/>
            </w14:solidFill>
          </w14:textFill>
        </w:rPr>
        <w:t>范、规程、定额、办法、示例等要求的内容和深度，开展本招标项目的勘察设计工</w:t>
      </w:r>
      <w:r>
        <w:rPr>
          <w:rFonts w:hint="eastAsia"/>
          <w:color w:val="000000" w:themeColor="text1"/>
          <w:spacing w:val="-11"/>
          <w:sz w:val="24"/>
          <w:lang w:eastAsia="zh-CN"/>
          <w14:textFill>
            <w14:solidFill>
              <w14:schemeClr w14:val="tx1"/>
            </w14:solidFill>
          </w14:textFill>
        </w:rPr>
        <w:t>作，并将勘察设计费计入相应的报价项目中。</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报价清单</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pacing w:val="-9"/>
          <w:sz w:val="24"/>
          <w:lang w:eastAsia="zh-CN"/>
          <w14:textFill>
            <w14:solidFill>
              <w14:schemeClr w14:val="tx1"/>
            </w14:solidFill>
          </w14:textFill>
        </w:rPr>
        <w:t>所列的报价，应包括测量、</w:t>
      </w:r>
      <w:r>
        <w:rPr>
          <w:rFonts w:hint="eastAsia"/>
          <w:color w:val="000000" w:themeColor="text1"/>
          <w:sz w:val="24"/>
          <w:lang w:eastAsia="zh-CN"/>
          <w14:textFill>
            <w14:solidFill>
              <w14:schemeClr w14:val="tx1"/>
            </w14:solidFill>
          </w14:textFill>
        </w:rPr>
        <w:t>勘察、测试、设计、专题研究等为完成本招标项目勘察设计全过程的一切费用，包</w:t>
      </w:r>
      <w:r>
        <w:rPr>
          <w:rFonts w:hint="eastAsia"/>
          <w:color w:val="000000" w:themeColor="text1"/>
          <w:spacing w:val="-3"/>
          <w:sz w:val="24"/>
          <w:lang w:eastAsia="zh-CN"/>
          <w14:textFill>
            <w14:solidFill>
              <w14:schemeClr w14:val="tx1"/>
            </w14:solidFill>
          </w14:textFill>
        </w:rPr>
        <w:t>括按合同规定应完成的勘察设计费和后续服务费</w:t>
      </w:r>
      <w:r>
        <w:rPr>
          <w:rFonts w:hint="eastAsia"/>
          <w:color w:val="000000" w:themeColor="text1"/>
          <w:sz w:val="24"/>
          <w:lang w:eastAsia="zh-CN"/>
          <w14:textFill>
            <w14:solidFill>
              <w14:schemeClr w14:val="tx1"/>
            </w14:solidFill>
          </w14:textFill>
        </w:rPr>
        <w:t>（招标配合与施工配合</w:t>
      </w:r>
      <w:r>
        <w:rPr>
          <w:rFonts w:hint="eastAsia"/>
          <w:color w:val="000000" w:themeColor="text1"/>
          <w:spacing w:val="-120"/>
          <w:sz w:val="24"/>
          <w:lang w:eastAsia="zh-CN"/>
          <w14:textFill>
            <w14:solidFill>
              <w14:schemeClr w14:val="tx1"/>
            </w14:solidFill>
          </w14:textFill>
        </w:rPr>
        <w:t>）</w:t>
      </w:r>
      <w:r>
        <w:rPr>
          <w:rFonts w:hint="eastAsia"/>
          <w:color w:val="000000" w:themeColor="text1"/>
          <w:spacing w:val="-13"/>
          <w:sz w:val="24"/>
          <w:lang w:eastAsia="zh-CN"/>
          <w14:textFill>
            <w14:solidFill>
              <w14:schemeClr w14:val="tx1"/>
            </w14:solidFill>
          </w14:textFill>
        </w:rPr>
        <w:t>、与勘察设</w:t>
      </w:r>
      <w:r>
        <w:rPr>
          <w:rFonts w:hint="eastAsia"/>
          <w:color w:val="000000" w:themeColor="text1"/>
          <w:sz w:val="24"/>
          <w:lang w:eastAsia="zh-CN"/>
          <w14:textFill>
            <w14:solidFill>
              <w14:schemeClr w14:val="tx1"/>
            </w14:solidFill>
          </w14:textFill>
        </w:rPr>
        <w:t>计文件审查有关的各种会议的会务费以及设计人自行委托咨询的咨询费、利润、税金等与此有关的一切费用。</w:t>
      </w:r>
    </w:p>
    <w:p>
      <w:pPr>
        <w:pStyle w:val="30"/>
        <w:numPr>
          <w:ilvl w:val="0"/>
          <w:numId w:val="69"/>
        </w:numPr>
        <w:tabs>
          <w:tab w:val="left" w:pos="1205"/>
        </w:tabs>
        <w:spacing w:before="2" w:line="343" w:lineRule="auto"/>
        <w:ind w:right="866" w:firstLine="480"/>
        <w:jc w:val="both"/>
        <w:rPr>
          <w:color w:val="000000" w:themeColor="text1"/>
          <w:sz w:val="24"/>
          <w:lang w:eastAsia="zh-CN"/>
          <w14:textFill>
            <w14:solidFill>
              <w14:schemeClr w14:val="tx1"/>
            </w14:solidFill>
          </w14:textFill>
        </w:rPr>
      </w:pP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报价清单</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pacing w:val="-1"/>
          <w:sz w:val="24"/>
          <w:lang w:eastAsia="zh-CN"/>
          <w14:textFill>
            <w14:solidFill>
              <w14:schemeClr w14:val="tx1"/>
            </w14:solidFill>
          </w14:textFill>
        </w:rPr>
        <w:t>为通用表格，投标人应根据本招标项目工作内容，按照表格格式</w:t>
      </w:r>
      <w:r>
        <w:rPr>
          <w:rFonts w:hint="eastAsia"/>
          <w:color w:val="000000" w:themeColor="text1"/>
          <w:sz w:val="24"/>
          <w:lang w:eastAsia="zh-CN"/>
          <w14:textFill>
            <w14:solidFill>
              <w14:schemeClr w14:val="tx1"/>
            </w14:solidFill>
          </w14:textFill>
        </w:rPr>
        <w:t>详细填写，以免遗漏或有误。投标人没有报价的项目，发包人将认为有关费用已包含在其他项目之中，不另行支付。凡清单项目中未包含的但在勘察设计中又必须完成的工作内容，均被认为已包含在清单各项目报价中，发包人不另行支付。</w:t>
      </w:r>
    </w:p>
    <w:p>
      <w:pPr>
        <w:pStyle w:val="30"/>
        <w:numPr>
          <w:ilvl w:val="0"/>
          <w:numId w:val="69"/>
        </w:numPr>
        <w:tabs>
          <w:tab w:val="left" w:pos="1205"/>
        </w:tabs>
        <w:spacing w:before="1"/>
        <w:ind w:left="1204" w:hanging="3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投标人在</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报价清单</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中报价应以人民币为单位。</w:t>
      </w:r>
    </w:p>
    <w:p>
      <w:pPr>
        <w:pStyle w:val="30"/>
        <w:numPr>
          <w:ilvl w:val="0"/>
          <w:numId w:val="69"/>
        </w:numPr>
        <w:tabs>
          <w:tab w:val="left" w:pos="1205"/>
        </w:tabs>
        <w:spacing w:before="134" w:line="343" w:lineRule="auto"/>
        <w:ind w:right="863"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投标人应在</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z w:val="24"/>
          <w:lang w:eastAsia="zh-CN"/>
          <w14:textFill>
            <w14:solidFill>
              <w14:schemeClr w14:val="tx1"/>
            </w14:solidFill>
          </w14:textFill>
        </w:rPr>
        <w:t>报价清单</w:t>
      </w:r>
      <w:r>
        <w:rPr>
          <w:rFonts w:ascii="Times New Roman" w:hAnsi="Times New Roman"/>
          <w:color w:val="000000" w:themeColor="text1"/>
          <w:sz w:val="24"/>
          <w:lang w:eastAsia="zh-CN"/>
          <w14:textFill>
            <w14:solidFill>
              <w14:schemeClr w14:val="tx1"/>
            </w14:solidFill>
          </w14:textFill>
        </w:rPr>
        <w:t>”</w:t>
      </w:r>
      <w:r>
        <w:rPr>
          <w:rFonts w:hint="eastAsia"/>
          <w:color w:val="000000" w:themeColor="text1"/>
          <w:spacing w:val="-1"/>
          <w:sz w:val="24"/>
          <w:lang w:eastAsia="zh-CN"/>
          <w14:textFill>
            <w14:solidFill>
              <w14:schemeClr w14:val="tx1"/>
            </w14:solidFill>
          </w14:textFill>
        </w:rPr>
        <w:t>后附详细的计算说明，包括计算方法、取费依据等，</w:t>
      </w:r>
      <w:r>
        <w:rPr>
          <w:rFonts w:hint="eastAsia"/>
          <w:color w:val="000000" w:themeColor="text1"/>
          <w:sz w:val="24"/>
          <w:lang w:eastAsia="zh-CN"/>
          <w14:textFill>
            <w14:solidFill>
              <w14:schemeClr w14:val="tx1"/>
            </w14:solidFill>
          </w14:textFill>
        </w:rPr>
        <w:t>以便招标人对投标人勘察设计报价的合理性作出判断。</w:t>
      </w:r>
    </w:p>
    <w:p>
      <w:pPr>
        <w:pStyle w:val="30"/>
        <w:numPr>
          <w:ilvl w:val="0"/>
          <w:numId w:val="69"/>
        </w:numPr>
        <w:tabs>
          <w:tab w:val="left" w:pos="1205"/>
        </w:tabs>
        <w:spacing w:before="134" w:line="343" w:lineRule="auto"/>
        <w:ind w:right="863" w:firstLine="480"/>
        <w:jc w:val="both"/>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对于发包人向政府部门申报的前期专项工作，设计人应积极配合发包人和前期专项编制单位，同时，设计人应充分考虑到政府部门审批可能导致的时间延误，合理调配好各阶段的设计工作，努力降低所产生的影响，由此可能产生的费用已包含在投标报价中，发包人不另行支付。</w:t>
      </w:r>
    </w:p>
    <w:p>
      <w:pPr>
        <w:spacing w:line="343" w:lineRule="auto"/>
        <w:jc w:val="both"/>
        <w:rPr>
          <w:color w:val="000000" w:themeColor="text1"/>
          <w:sz w:val="24"/>
          <w:lang w:eastAsia="zh-CN"/>
          <w14:textFill>
            <w14:solidFill>
              <w14:schemeClr w14:val="tx1"/>
            </w14:solidFill>
          </w14:textFill>
        </w:rPr>
      </w:pPr>
    </w:p>
    <w:p>
      <w:pPr>
        <w:spacing w:line="343" w:lineRule="auto"/>
        <w:jc w:val="both"/>
        <w:rPr>
          <w:color w:val="000000" w:themeColor="text1"/>
          <w:sz w:val="24"/>
          <w:lang w:eastAsia="zh-CN"/>
          <w14:textFill>
            <w14:solidFill>
              <w14:schemeClr w14:val="tx1"/>
            </w14:solidFill>
          </w14:textFill>
        </w:rPr>
        <w:sectPr>
          <w:pgSz w:w="11910" w:h="16850"/>
          <w:pgMar w:top="1480" w:right="720" w:bottom="1040" w:left="1220" w:header="882" w:footer="853" w:gutter="0"/>
          <w:cols w:space="720" w:num="1"/>
        </w:sectPr>
      </w:pPr>
    </w:p>
    <w:p>
      <w:pPr>
        <w:spacing w:before="79"/>
        <w:ind w:left="2445"/>
        <w:rPr>
          <w:b/>
          <w:color w:val="000000" w:themeColor="text1"/>
          <w:sz w:val="15"/>
          <w:lang w:eastAsia="zh-CN"/>
          <w14:textFill>
            <w14:solidFill>
              <w14:schemeClr w14:val="tx1"/>
            </w14:solidFill>
          </w14:textFill>
        </w:rPr>
      </w:pPr>
      <w:bookmarkStart w:id="50" w:name="_bookmark159"/>
      <w:bookmarkEnd w:id="50"/>
      <w:r>
        <w:rPr>
          <w:rFonts w:hint="eastAsia" w:ascii="黑体" w:hAnsi="黑体" w:eastAsia="黑体"/>
          <w:color w:val="000000" w:themeColor="text1"/>
          <w:sz w:val="28"/>
          <w:lang w:eastAsia="zh-CN"/>
          <w14:textFill>
            <w14:solidFill>
              <w14:schemeClr w14:val="tx1"/>
            </w14:solidFill>
          </w14:textFill>
        </w:rPr>
        <w:t>（二）公路工程勘察工作报价清单表</w:t>
      </w:r>
    </w:p>
    <w:p>
      <w:pPr>
        <w:tabs>
          <w:tab w:val="left" w:pos="949"/>
          <w:tab w:val="left" w:pos="7145"/>
        </w:tabs>
        <w:spacing w:before="235" w:after="3"/>
        <w:ind w:left="424"/>
        <w:jc w:val="center"/>
        <w:rPr>
          <w:color w:val="000000" w:themeColor="text1"/>
          <w:sz w:val="21"/>
          <w14:textFill>
            <w14:solidFill>
              <w14:schemeClr w14:val="tx1"/>
            </w14:solidFill>
          </w14:textFill>
        </w:rPr>
      </w:pPr>
      <w:r>
        <w:rPr>
          <w:rFonts w:hint="eastAsia" w:eastAsia="宋体"/>
          <w:color w:val="000000" w:themeColor="text1"/>
          <w:sz w:val="21"/>
          <w:lang w:eastAsia="zh-CN"/>
          <w14:textFill>
            <w14:solidFill>
              <w14:schemeClr w14:val="tx1"/>
            </w14:solidFill>
          </w14:textFill>
        </w:rPr>
        <w:t xml:space="preserve">                                                         </w:t>
      </w:r>
      <w:r>
        <w:rPr>
          <w:rFonts w:hint="eastAsia"/>
          <w:color w:val="000000" w:themeColor="text1"/>
          <w:sz w:val="21"/>
          <w14:textFill>
            <w14:solidFill>
              <w14:schemeClr w14:val="tx1"/>
            </w14:solidFill>
          </w14:textFill>
        </w:rPr>
        <w:t>单位：人</w:t>
      </w:r>
      <w:r>
        <w:rPr>
          <w:rFonts w:hint="eastAsia"/>
          <w:color w:val="000000" w:themeColor="text1"/>
          <w:spacing w:val="-3"/>
          <w:sz w:val="21"/>
          <w14:textFill>
            <w14:solidFill>
              <w14:schemeClr w14:val="tx1"/>
            </w14:solidFill>
          </w14:textFill>
        </w:rPr>
        <w:t>民</w:t>
      </w:r>
      <w:r>
        <w:rPr>
          <w:rFonts w:hint="eastAsia"/>
          <w:color w:val="000000" w:themeColor="text1"/>
          <w:sz w:val="21"/>
          <w14:textFill>
            <w14:solidFill>
              <w14:schemeClr w14:val="tx1"/>
            </w14:solidFill>
          </w14:textFill>
        </w:rPr>
        <w:t>币元</w:t>
      </w:r>
    </w:p>
    <w:tbl>
      <w:tblPr>
        <w:tblStyle w:val="23"/>
        <w:tblW w:w="8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794"/>
        <w:gridCol w:w="1288"/>
        <w:gridCol w:w="1639"/>
        <w:gridCol w:w="1465"/>
        <w:gridCol w:w="1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atLeast"/>
          <w:jc w:val="center"/>
        </w:trPr>
        <w:tc>
          <w:tcPr>
            <w:tcW w:w="1133"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序号</w:t>
            </w:r>
          </w:p>
        </w:tc>
        <w:tc>
          <w:tcPr>
            <w:tcW w:w="1794"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项目名称</w:t>
            </w:r>
          </w:p>
        </w:tc>
        <w:tc>
          <w:tcPr>
            <w:tcW w:w="1288"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计量单位</w:t>
            </w:r>
          </w:p>
        </w:tc>
        <w:tc>
          <w:tcPr>
            <w:tcW w:w="1639"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实物工作量</w:t>
            </w:r>
          </w:p>
        </w:tc>
        <w:tc>
          <w:tcPr>
            <w:tcW w:w="1465"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单价金额</w:t>
            </w:r>
          </w:p>
        </w:tc>
        <w:tc>
          <w:tcPr>
            <w:tcW w:w="1463"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合价金额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133" w:type="dxa"/>
            <w:vAlign w:val="center"/>
          </w:tcPr>
          <w:p>
            <w:pPr>
              <w:pStyle w:val="27"/>
              <w:jc w:val="center"/>
              <w:rPr>
                <w:rFonts w:ascii="Times New Roman"/>
                <w:b/>
                <w:color w:val="000000" w:themeColor="text1"/>
                <w:sz w:val="20"/>
                <w14:textFill>
                  <w14:solidFill>
                    <w14:schemeClr w14:val="tx1"/>
                  </w14:solidFill>
                </w14:textFill>
              </w:rPr>
            </w:pPr>
            <w:r>
              <w:rPr>
                <w:rFonts w:ascii="Times New Roman"/>
                <w:b/>
                <w:color w:val="000000" w:themeColor="text1"/>
                <w:w w:val="99"/>
                <w:sz w:val="20"/>
                <w14:textFill>
                  <w14:solidFill>
                    <w14:schemeClr w14:val="tx1"/>
                  </w14:solidFill>
                </w14:textFill>
              </w:rPr>
              <w:t>1</w:t>
            </w:r>
          </w:p>
        </w:tc>
        <w:tc>
          <w:tcPr>
            <w:tcW w:w="1794"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初测</w:t>
            </w:r>
          </w:p>
        </w:tc>
        <w:tc>
          <w:tcPr>
            <w:tcW w:w="1288" w:type="dxa"/>
            <w:vAlign w:val="center"/>
          </w:tcPr>
          <w:p>
            <w:pPr>
              <w:pStyle w:val="27"/>
              <w:jc w:val="center"/>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km</w:t>
            </w:r>
          </w:p>
        </w:tc>
        <w:tc>
          <w:tcPr>
            <w:tcW w:w="1639" w:type="dxa"/>
            <w:vAlign w:val="center"/>
          </w:tcPr>
          <w:p>
            <w:pPr>
              <w:pStyle w:val="27"/>
              <w:jc w:val="center"/>
              <w:rPr>
                <w:rFonts w:hint="default" w:ascii="Times New Roman" w:eastAsia="宋体"/>
                <w:color w:val="000000" w:themeColor="text1"/>
                <w:sz w:val="20"/>
                <w:lang w:val="en-US" w:eastAsia="zh-CN"/>
                <w14:textFill>
                  <w14:solidFill>
                    <w14:schemeClr w14:val="tx1"/>
                  </w14:solidFill>
                </w14:textFill>
              </w:rPr>
            </w:pPr>
            <w:r>
              <w:rPr>
                <w:rFonts w:hint="eastAsia" w:ascii="Times New Roman" w:eastAsia="宋体"/>
                <w:color w:val="000000" w:themeColor="text1"/>
                <w:sz w:val="20"/>
                <w:lang w:val="en-US" w:eastAsia="zh-CN"/>
                <w14:textFill>
                  <w14:solidFill>
                    <w14:schemeClr w14:val="tx1"/>
                  </w14:solidFill>
                </w14:textFill>
              </w:rPr>
              <w:t>0.458</w:t>
            </w:r>
          </w:p>
        </w:tc>
        <w:tc>
          <w:tcPr>
            <w:tcW w:w="1465" w:type="dxa"/>
            <w:vAlign w:val="center"/>
          </w:tcPr>
          <w:p>
            <w:pPr>
              <w:pStyle w:val="27"/>
              <w:jc w:val="center"/>
              <w:rPr>
                <w:rFonts w:ascii="Times New Roman"/>
                <w:color w:val="000000" w:themeColor="text1"/>
                <w:sz w:val="20"/>
                <w14:textFill>
                  <w14:solidFill>
                    <w14:schemeClr w14:val="tx1"/>
                  </w14:solidFill>
                </w14:textFill>
              </w:rPr>
            </w:pPr>
          </w:p>
        </w:tc>
        <w:tc>
          <w:tcPr>
            <w:tcW w:w="1463" w:type="dxa"/>
            <w:vAlign w:val="center"/>
          </w:tcPr>
          <w:p>
            <w:pPr>
              <w:pStyle w:val="27"/>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0" w:hRule="atLeast"/>
          <w:jc w:val="center"/>
        </w:trPr>
        <w:tc>
          <w:tcPr>
            <w:tcW w:w="1133" w:type="dxa"/>
            <w:vAlign w:val="center"/>
          </w:tcPr>
          <w:p>
            <w:pPr>
              <w:pStyle w:val="27"/>
              <w:jc w:val="center"/>
              <w:rPr>
                <w:rFonts w:ascii="Times New Roman"/>
                <w:b/>
                <w:color w:val="000000" w:themeColor="text1"/>
                <w:sz w:val="20"/>
                <w14:textFill>
                  <w14:solidFill>
                    <w14:schemeClr w14:val="tx1"/>
                  </w14:solidFill>
                </w14:textFill>
              </w:rPr>
            </w:pPr>
            <w:r>
              <w:rPr>
                <w:rFonts w:ascii="Times New Roman"/>
                <w:b/>
                <w:color w:val="000000" w:themeColor="text1"/>
                <w:w w:val="99"/>
                <w:sz w:val="20"/>
                <w14:textFill>
                  <w14:solidFill>
                    <w14:schemeClr w14:val="tx1"/>
                  </w14:solidFill>
                </w14:textFill>
              </w:rPr>
              <w:t>2</w:t>
            </w:r>
          </w:p>
        </w:tc>
        <w:tc>
          <w:tcPr>
            <w:tcW w:w="1794"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定测</w:t>
            </w:r>
          </w:p>
        </w:tc>
        <w:tc>
          <w:tcPr>
            <w:tcW w:w="1288" w:type="dxa"/>
            <w:vAlign w:val="center"/>
          </w:tcPr>
          <w:p>
            <w:pPr>
              <w:pStyle w:val="27"/>
              <w:jc w:val="center"/>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km</w:t>
            </w:r>
          </w:p>
        </w:tc>
        <w:tc>
          <w:tcPr>
            <w:tcW w:w="1639" w:type="dxa"/>
            <w:vAlign w:val="center"/>
          </w:tcPr>
          <w:p>
            <w:pPr>
              <w:pStyle w:val="27"/>
              <w:jc w:val="center"/>
              <w:rPr>
                <w:rFonts w:ascii="Times New Roman"/>
                <w:color w:val="000000" w:themeColor="text1"/>
                <w:sz w:val="20"/>
                <w14:textFill>
                  <w14:solidFill>
                    <w14:schemeClr w14:val="tx1"/>
                  </w14:solidFill>
                </w14:textFill>
              </w:rPr>
            </w:pPr>
            <w:r>
              <w:rPr>
                <w:rFonts w:hint="eastAsia" w:ascii="Times New Roman" w:eastAsia="宋体"/>
                <w:color w:val="000000" w:themeColor="text1"/>
                <w:sz w:val="20"/>
                <w:lang w:val="en-US" w:eastAsia="zh-CN"/>
                <w14:textFill>
                  <w14:solidFill>
                    <w14:schemeClr w14:val="tx1"/>
                  </w14:solidFill>
                </w14:textFill>
              </w:rPr>
              <w:t>0.458</w:t>
            </w:r>
          </w:p>
        </w:tc>
        <w:tc>
          <w:tcPr>
            <w:tcW w:w="1465" w:type="dxa"/>
            <w:vAlign w:val="center"/>
          </w:tcPr>
          <w:p>
            <w:pPr>
              <w:pStyle w:val="27"/>
              <w:jc w:val="center"/>
              <w:rPr>
                <w:rFonts w:ascii="Times New Roman"/>
                <w:color w:val="000000" w:themeColor="text1"/>
                <w:sz w:val="20"/>
                <w14:textFill>
                  <w14:solidFill>
                    <w14:schemeClr w14:val="tx1"/>
                  </w14:solidFill>
                </w14:textFill>
              </w:rPr>
            </w:pPr>
          </w:p>
        </w:tc>
        <w:tc>
          <w:tcPr>
            <w:tcW w:w="1463" w:type="dxa"/>
            <w:vAlign w:val="center"/>
          </w:tcPr>
          <w:p>
            <w:pPr>
              <w:pStyle w:val="27"/>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jc w:val="center"/>
        </w:trPr>
        <w:tc>
          <w:tcPr>
            <w:tcW w:w="1133" w:type="dxa"/>
            <w:vAlign w:val="center"/>
          </w:tcPr>
          <w:p>
            <w:pPr>
              <w:pStyle w:val="27"/>
              <w:jc w:val="center"/>
              <w:rPr>
                <w:rFonts w:ascii="Times New Roman" w:eastAsiaTheme="minorEastAsia"/>
                <w:b/>
                <w:color w:val="000000" w:themeColor="text1"/>
                <w:sz w:val="20"/>
                <w:lang w:eastAsia="zh-CN"/>
                <w14:textFill>
                  <w14:solidFill>
                    <w14:schemeClr w14:val="tx1"/>
                  </w14:solidFill>
                </w14:textFill>
              </w:rPr>
            </w:pPr>
            <w:r>
              <w:rPr>
                <w:rFonts w:hint="eastAsia" w:ascii="Times New Roman" w:eastAsiaTheme="minorEastAsia"/>
                <w:b/>
                <w:color w:val="000000" w:themeColor="text1"/>
                <w:w w:val="99"/>
                <w:sz w:val="20"/>
                <w:lang w:eastAsia="zh-CN"/>
                <w14:textFill>
                  <w14:solidFill>
                    <w14:schemeClr w14:val="tx1"/>
                  </w14:solidFill>
                </w14:textFill>
              </w:rPr>
              <w:t>3</w:t>
            </w:r>
          </w:p>
        </w:tc>
        <w:tc>
          <w:tcPr>
            <w:tcW w:w="1794" w:type="dxa"/>
            <w:vAlign w:val="center"/>
          </w:tcPr>
          <w:p>
            <w:pPr>
              <w:pStyle w:val="27"/>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勘探</w:t>
            </w:r>
          </w:p>
        </w:tc>
        <w:tc>
          <w:tcPr>
            <w:tcW w:w="1288" w:type="dxa"/>
            <w:vAlign w:val="center"/>
          </w:tcPr>
          <w:p>
            <w:pPr>
              <w:pStyle w:val="27"/>
              <w:jc w:val="center"/>
              <w:rPr>
                <w:rFonts w:ascii="Times New Roman"/>
                <w:color w:val="000000" w:themeColor="text1"/>
                <w:sz w:val="20"/>
                <w14:textFill>
                  <w14:solidFill>
                    <w14:schemeClr w14:val="tx1"/>
                  </w14:solidFill>
                </w14:textFill>
              </w:rPr>
            </w:pPr>
          </w:p>
        </w:tc>
        <w:tc>
          <w:tcPr>
            <w:tcW w:w="1639" w:type="dxa"/>
            <w:vAlign w:val="center"/>
          </w:tcPr>
          <w:p>
            <w:pPr>
              <w:pStyle w:val="27"/>
              <w:jc w:val="center"/>
              <w:rPr>
                <w:rFonts w:ascii="Times New Roman"/>
                <w:color w:val="000000" w:themeColor="text1"/>
                <w:sz w:val="20"/>
                <w14:textFill>
                  <w14:solidFill>
                    <w14:schemeClr w14:val="tx1"/>
                  </w14:solidFill>
                </w14:textFill>
              </w:rPr>
            </w:pPr>
          </w:p>
        </w:tc>
        <w:tc>
          <w:tcPr>
            <w:tcW w:w="1465" w:type="dxa"/>
            <w:vAlign w:val="center"/>
          </w:tcPr>
          <w:p>
            <w:pPr>
              <w:pStyle w:val="27"/>
              <w:jc w:val="center"/>
              <w:rPr>
                <w:rFonts w:ascii="Times New Roman"/>
                <w:color w:val="000000" w:themeColor="text1"/>
                <w:sz w:val="20"/>
                <w14:textFill>
                  <w14:solidFill>
                    <w14:schemeClr w14:val="tx1"/>
                  </w14:solidFill>
                </w14:textFill>
              </w:rPr>
            </w:pPr>
          </w:p>
        </w:tc>
        <w:tc>
          <w:tcPr>
            <w:tcW w:w="1463" w:type="dxa"/>
            <w:vAlign w:val="center"/>
          </w:tcPr>
          <w:p>
            <w:pPr>
              <w:pStyle w:val="27"/>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jc w:val="center"/>
        </w:trPr>
        <w:tc>
          <w:tcPr>
            <w:tcW w:w="1133" w:type="dxa"/>
            <w:vAlign w:val="center"/>
          </w:tcPr>
          <w:p>
            <w:pPr>
              <w:pStyle w:val="27"/>
              <w:jc w:val="center"/>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-1</w:t>
            </w:r>
          </w:p>
        </w:tc>
        <w:tc>
          <w:tcPr>
            <w:tcW w:w="1794" w:type="dxa"/>
            <w:vAlign w:val="center"/>
          </w:tcPr>
          <w:p>
            <w:pPr>
              <w:pStyle w:val="27"/>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钻孔（陆地孔）</w:t>
            </w:r>
          </w:p>
        </w:tc>
        <w:tc>
          <w:tcPr>
            <w:tcW w:w="1288" w:type="dxa"/>
            <w:vAlign w:val="center"/>
          </w:tcPr>
          <w:p>
            <w:pPr>
              <w:pStyle w:val="27"/>
              <w:jc w:val="center"/>
              <w:rPr>
                <w:rFonts w:ascii="Times New Roman"/>
                <w:color w:val="000000" w:themeColor="text1"/>
                <w:sz w:val="20"/>
                <w14:textFill>
                  <w14:solidFill>
                    <w14:schemeClr w14:val="tx1"/>
                  </w14:solidFill>
                </w14:textFill>
              </w:rPr>
            </w:pPr>
            <w:r>
              <w:rPr>
                <w:rFonts w:ascii="Times New Roman"/>
                <w:color w:val="000000" w:themeColor="text1"/>
                <w:w w:val="99"/>
                <w:sz w:val="20"/>
                <w14:textFill>
                  <w14:solidFill>
                    <w14:schemeClr w14:val="tx1"/>
                  </w14:solidFill>
                </w14:textFill>
              </w:rPr>
              <w:t>m</w:t>
            </w:r>
          </w:p>
        </w:tc>
        <w:tc>
          <w:tcPr>
            <w:tcW w:w="1639" w:type="dxa"/>
            <w:vAlign w:val="center"/>
          </w:tcPr>
          <w:p>
            <w:pPr>
              <w:pStyle w:val="27"/>
              <w:jc w:val="center"/>
              <w:rPr>
                <w:rFonts w:hint="default" w:ascii="Times New Roman" w:eastAsia="宋体"/>
                <w:color w:val="000000" w:themeColor="text1"/>
                <w:sz w:val="20"/>
                <w:lang w:val="en-US" w:eastAsia="zh-CN"/>
                <w14:textFill>
                  <w14:solidFill>
                    <w14:schemeClr w14:val="tx1"/>
                  </w14:solidFill>
                </w14:textFill>
              </w:rPr>
            </w:pPr>
            <w:r>
              <w:rPr>
                <w:rFonts w:hint="eastAsia" w:ascii="Times New Roman" w:eastAsia="宋体"/>
                <w:color w:val="000000" w:themeColor="text1"/>
                <w:sz w:val="20"/>
                <w:lang w:val="en-US" w:eastAsia="zh-CN"/>
                <w14:textFill>
                  <w14:solidFill>
                    <w14:schemeClr w14:val="tx1"/>
                  </w14:solidFill>
                </w14:textFill>
              </w:rPr>
              <w:t>50（暂定）</w:t>
            </w:r>
          </w:p>
        </w:tc>
        <w:tc>
          <w:tcPr>
            <w:tcW w:w="1465" w:type="dxa"/>
            <w:vAlign w:val="center"/>
          </w:tcPr>
          <w:p>
            <w:pPr>
              <w:pStyle w:val="27"/>
              <w:jc w:val="center"/>
              <w:rPr>
                <w:rFonts w:ascii="Times New Roman"/>
                <w:color w:val="000000" w:themeColor="text1"/>
                <w:sz w:val="20"/>
                <w14:textFill>
                  <w14:solidFill>
                    <w14:schemeClr w14:val="tx1"/>
                  </w14:solidFill>
                </w14:textFill>
              </w:rPr>
            </w:pPr>
          </w:p>
        </w:tc>
        <w:tc>
          <w:tcPr>
            <w:tcW w:w="1463" w:type="dxa"/>
            <w:vAlign w:val="center"/>
          </w:tcPr>
          <w:p>
            <w:pPr>
              <w:pStyle w:val="27"/>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7" w:hRule="atLeast"/>
          <w:jc w:val="center"/>
        </w:trPr>
        <w:tc>
          <w:tcPr>
            <w:tcW w:w="1133" w:type="dxa"/>
            <w:vAlign w:val="center"/>
          </w:tcPr>
          <w:p>
            <w:pPr>
              <w:pStyle w:val="27"/>
              <w:jc w:val="center"/>
              <w:rPr>
                <w:rFonts w:hint="eastAsia" w:ascii="Times New Roman" w:eastAsia="宋体"/>
                <w:color w:val="000000" w:themeColor="text1"/>
                <w:sz w:val="20"/>
                <w:lang w:eastAsia="zh-CN"/>
                <w14:textFill>
                  <w14:solidFill>
                    <w14:schemeClr w14:val="tx1"/>
                  </w14:solidFill>
                </w14:textFill>
              </w:rPr>
            </w:pPr>
            <w:r>
              <w:rPr>
                <w:rFonts w:ascii="Times New Roman"/>
                <w:color w:val="000000" w:themeColor="text1"/>
                <w:sz w:val="20"/>
                <w14:textFill>
                  <w14:solidFill>
                    <w14:schemeClr w14:val="tx1"/>
                  </w14:solidFill>
                </w14:textFill>
              </w:rPr>
              <w:t>-</w:t>
            </w:r>
            <w:r>
              <w:rPr>
                <w:rFonts w:hint="eastAsia" w:ascii="Times New Roman" w:eastAsia="宋体"/>
                <w:color w:val="000000" w:themeColor="text1"/>
                <w:sz w:val="20"/>
                <w:lang w:val="en-US" w:eastAsia="zh-CN"/>
                <w14:textFill>
                  <w14:solidFill>
                    <w14:schemeClr w14:val="tx1"/>
                  </w14:solidFill>
                </w14:textFill>
              </w:rPr>
              <w:t>2</w:t>
            </w:r>
          </w:p>
        </w:tc>
        <w:tc>
          <w:tcPr>
            <w:tcW w:w="1794" w:type="dxa"/>
            <w:vAlign w:val="center"/>
          </w:tcPr>
          <w:p>
            <w:pPr>
              <w:pStyle w:val="27"/>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钻孔（水中孔）</w:t>
            </w:r>
          </w:p>
        </w:tc>
        <w:tc>
          <w:tcPr>
            <w:tcW w:w="1288" w:type="dxa"/>
            <w:vAlign w:val="center"/>
          </w:tcPr>
          <w:p>
            <w:pPr>
              <w:pStyle w:val="27"/>
              <w:jc w:val="center"/>
              <w:rPr>
                <w:rFonts w:ascii="Times New Roman"/>
                <w:color w:val="000000" w:themeColor="text1"/>
                <w:sz w:val="20"/>
                <w14:textFill>
                  <w14:solidFill>
                    <w14:schemeClr w14:val="tx1"/>
                  </w14:solidFill>
                </w14:textFill>
              </w:rPr>
            </w:pPr>
            <w:r>
              <w:rPr>
                <w:rFonts w:ascii="Times New Roman"/>
                <w:color w:val="000000" w:themeColor="text1"/>
                <w:w w:val="99"/>
                <w:sz w:val="20"/>
                <w14:textFill>
                  <w14:solidFill>
                    <w14:schemeClr w14:val="tx1"/>
                  </w14:solidFill>
                </w14:textFill>
              </w:rPr>
              <w:t>m</w:t>
            </w:r>
          </w:p>
        </w:tc>
        <w:tc>
          <w:tcPr>
            <w:tcW w:w="1639" w:type="dxa"/>
            <w:vAlign w:val="center"/>
          </w:tcPr>
          <w:p>
            <w:pPr>
              <w:pStyle w:val="27"/>
              <w:jc w:val="center"/>
              <w:rPr>
                <w:rFonts w:hint="default" w:ascii="Times New Roman" w:eastAsia="宋体"/>
                <w:color w:val="000000" w:themeColor="text1"/>
                <w:sz w:val="20"/>
                <w:lang w:val="en-US" w:eastAsia="zh-CN"/>
                <w14:textFill>
                  <w14:solidFill>
                    <w14:schemeClr w14:val="tx1"/>
                  </w14:solidFill>
                </w14:textFill>
              </w:rPr>
            </w:pPr>
            <w:r>
              <w:rPr>
                <w:rFonts w:hint="eastAsia" w:ascii="Times New Roman" w:eastAsia="宋体"/>
                <w:color w:val="000000" w:themeColor="text1"/>
                <w:sz w:val="20"/>
                <w:lang w:val="en-US" w:eastAsia="zh-CN"/>
                <w14:textFill>
                  <w14:solidFill>
                    <w14:schemeClr w14:val="tx1"/>
                  </w14:solidFill>
                </w14:textFill>
              </w:rPr>
              <w:t>245（暂定）</w:t>
            </w:r>
          </w:p>
        </w:tc>
        <w:tc>
          <w:tcPr>
            <w:tcW w:w="1465" w:type="dxa"/>
            <w:vAlign w:val="center"/>
          </w:tcPr>
          <w:p>
            <w:pPr>
              <w:pStyle w:val="27"/>
              <w:jc w:val="center"/>
              <w:rPr>
                <w:rFonts w:ascii="Times New Roman"/>
                <w:color w:val="000000" w:themeColor="text1"/>
                <w:sz w:val="20"/>
                <w14:textFill>
                  <w14:solidFill>
                    <w14:schemeClr w14:val="tx1"/>
                  </w14:solidFill>
                </w14:textFill>
              </w:rPr>
            </w:pPr>
          </w:p>
        </w:tc>
        <w:tc>
          <w:tcPr>
            <w:tcW w:w="1463" w:type="dxa"/>
            <w:vAlign w:val="center"/>
          </w:tcPr>
          <w:p>
            <w:pPr>
              <w:pStyle w:val="27"/>
              <w:jc w:val="center"/>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jc w:val="center"/>
        </w:trPr>
        <w:tc>
          <w:tcPr>
            <w:tcW w:w="7319" w:type="dxa"/>
            <w:gridSpan w:val="5"/>
            <w:vAlign w:val="center"/>
          </w:tcPr>
          <w:p>
            <w:pPr>
              <w:pStyle w:val="27"/>
              <w:jc w:val="center"/>
              <w:rPr>
                <w:rFonts w:ascii="Times New Roman"/>
                <w:color w:val="000000" w:themeColor="text1"/>
                <w:sz w:val="20"/>
                <w14:textFill>
                  <w14:solidFill>
                    <w14:schemeClr w14:val="tx1"/>
                  </w14:solidFill>
                </w14:textFill>
              </w:rPr>
            </w:pPr>
            <w:r>
              <w:rPr>
                <w:b/>
                <w:color w:val="000000" w:themeColor="text1"/>
                <w:sz w:val="20"/>
                <w14:textFill>
                  <w14:solidFill>
                    <w14:schemeClr w14:val="tx1"/>
                  </w14:solidFill>
                </w14:textFill>
              </w:rPr>
              <w:t>合计</w:t>
            </w:r>
          </w:p>
        </w:tc>
        <w:tc>
          <w:tcPr>
            <w:tcW w:w="1463" w:type="dxa"/>
            <w:vAlign w:val="center"/>
          </w:tcPr>
          <w:p>
            <w:pPr>
              <w:pStyle w:val="27"/>
              <w:jc w:val="center"/>
              <w:rPr>
                <w:rFonts w:ascii="Times New Roman"/>
                <w:color w:val="000000" w:themeColor="text1"/>
                <w:sz w:val="20"/>
                <w14:textFill>
                  <w14:solidFill>
                    <w14:schemeClr w14:val="tx1"/>
                  </w14:solidFill>
                </w14:textFill>
              </w:rPr>
            </w:pPr>
          </w:p>
        </w:tc>
      </w:tr>
    </w:tbl>
    <w:p>
      <w:pPr>
        <w:spacing w:before="1" w:line="242" w:lineRule="auto"/>
        <w:ind w:left="1055" w:right="920" w:hanging="420"/>
        <w:jc w:val="both"/>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注：本清单格式仅为示例，投标人应根据本招标项目工程特点、按照《公路工程地质勘察规范》《公路勘测规范》《公路勘测细则》及合同条款的相关规定，核实勘察工作内容及工作量，分别列出并填写本表各勘察项目的分项及子项。同时，投标人应将详细的计算说明（包括每一分项、子项的计算依据及计算过程等）附在报价清单后面。</w:t>
      </w:r>
    </w:p>
    <w:p>
      <w:pPr>
        <w:spacing w:line="242" w:lineRule="auto"/>
        <w:jc w:val="both"/>
        <w:rPr>
          <w:color w:val="000000" w:themeColor="text1"/>
          <w:sz w:val="21"/>
          <w:lang w:eastAsia="zh-CN"/>
          <w14:textFill>
            <w14:solidFill>
              <w14:schemeClr w14:val="tx1"/>
            </w14:solidFill>
          </w14:textFill>
        </w:rPr>
        <w:sectPr>
          <w:pgSz w:w="11910" w:h="16850"/>
          <w:pgMar w:top="1480" w:right="720" w:bottom="1040" w:left="1220" w:header="882" w:footer="853" w:gutter="0"/>
          <w:cols w:space="720" w:num="1"/>
        </w:sectPr>
      </w:pPr>
    </w:p>
    <w:p>
      <w:pPr>
        <w:spacing w:before="70"/>
        <w:ind w:left="2452"/>
        <w:rPr>
          <w:rFonts w:ascii="黑体" w:hAnsi="黑体" w:eastAsia="黑体"/>
          <w:b/>
          <w:color w:val="000000" w:themeColor="text1"/>
          <w:sz w:val="14"/>
          <w:lang w:eastAsia="zh-CN"/>
          <w14:textFill>
            <w14:solidFill>
              <w14:schemeClr w14:val="tx1"/>
            </w14:solidFill>
          </w14:textFill>
        </w:rPr>
      </w:pPr>
      <w:bookmarkStart w:id="51" w:name="_bookmark160"/>
      <w:bookmarkEnd w:id="51"/>
      <w:r>
        <w:rPr>
          <w:rFonts w:hint="eastAsia" w:ascii="黑体" w:hAnsi="黑体" w:eastAsia="黑体"/>
          <w:color w:val="000000" w:themeColor="text1"/>
          <w:sz w:val="28"/>
          <w:lang w:eastAsia="zh-CN"/>
          <w14:textFill>
            <w14:solidFill>
              <w14:schemeClr w14:val="tx1"/>
            </w14:solidFill>
          </w14:textFill>
        </w:rPr>
        <w:t>（三）公路工程设计工作报价清单表</w:t>
      </w:r>
    </w:p>
    <w:p>
      <w:pPr>
        <w:tabs>
          <w:tab w:val="left" w:pos="949"/>
          <w:tab w:val="left" w:pos="7145"/>
        </w:tabs>
        <w:spacing w:after="4"/>
        <w:rPr>
          <w:color w:val="000000" w:themeColor="text1"/>
          <w:sz w:val="21"/>
          <w:lang w:eastAsia="zh-CN"/>
          <w14:textFill>
            <w14:solidFill>
              <w14:schemeClr w14:val="tx1"/>
            </w14:solidFill>
          </w14:textFill>
        </w:rPr>
      </w:pPr>
    </w:p>
    <w:p>
      <w:pPr>
        <w:tabs>
          <w:tab w:val="left" w:pos="949"/>
          <w:tab w:val="left" w:pos="7145"/>
        </w:tabs>
        <w:spacing w:after="4"/>
        <w:ind w:left="424"/>
        <w:jc w:val="center"/>
        <w:rPr>
          <w:color w:val="000000" w:themeColor="text1"/>
          <w:sz w:val="21"/>
          <w14:textFill>
            <w14:solidFill>
              <w14:schemeClr w14:val="tx1"/>
            </w14:solidFill>
          </w14:textFill>
        </w:rPr>
      </w:pPr>
      <w:r>
        <w:rPr>
          <w:rFonts w:hint="eastAsia" w:eastAsia="宋体"/>
          <w:color w:val="000000" w:themeColor="text1"/>
          <w:sz w:val="21"/>
          <w:lang w:eastAsia="zh-CN"/>
          <w14:textFill>
            <w14:solidFill>
              <w14:schemeClr w14:val="tx1"/>
            </w14:solidFill>
          </w14:textFill>
        </w:rPr>
        <w:t xml:space="preserve">                                                </w:t>
      </w:r>
      <w:r>
        <w:rPr>
          <w:rFonts w:hint="eastAsia"/>
          <w:color w:val="000000" w:themeColor="text1"/>
          <w:sz w:val="21"/>
          <w14:textFill>
            <w14:solidFill>
              <w14:schemeClr w14:val="tx1"/>
            </w14:solidFill>
          </w14:textFill>
        </w:rPr>
        <w:t>单位：人</w:t>
      </w:r>
      <w:r>
        <w:rPr>
          <w:rFonts w:hint="eastAsia"/>
          <w:color w:val="000000" w:themeColor="text1"/>
          <w:spacing w:val="-3"/>
          <w:sz w:val="21"/>
          <w14:textFill>
            <w14:solidFill>
              <w14:schemeClr w14:val="tx1"/>
            </w14:solidFill>
          </w14:textFill>
        </w:rPr>
        <w:t>民</w:t>
      </w:r>
      <w:r>
        <w:rPr>
          <w:rFonts w:hint="eastAsia"/>
          <w:color w:val="000000" w:themeColor="text1"/>
          <w:sz w:val="21"/>
          <w14:textFill>
            <w14:solidFill>
              <w14:schemeClr w14:val="tx1"/>
            </w14:solidFill>
          </w14:textFill>
        </w:rPr>
        <w:t>币元</w:t>
      </w:r>
    </w:p>
    <w:tbl>
      <w:tblPr>
        <w:tblStyle w:val="23"/>
        <w:tblW w:w="8846" w:type="dxa"/>
        <w:tblInd w:w="3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3440"/>
        <w:gridCol w:w="1133"/>
        <w:gridCol w:w="1286"/>
        <w:gridCol w:w="1107"/>
        <w:gridCol w:w="1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754" w:type="dxa"/>
          </w:tcPr>
          <w:p>
            <w:pPr>
              <w:pStyle w:val="27"/>
              <w:spacing w:before="80"/>
              <w:ind w:left="146" w:right="137"/>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3440" w:type="dxa"/>
          </w:tcPr>
          <w:p>
            <w:pPr>
              <w:pStyle w:val="27"/>
              <w:tabs>
                <w:tab w:val="left" w:pos="851"/>
              </w:tabs>
              <w:spacing w:before="49"/>
              <w:ind w:left="8"/>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rFonts w:hint="eastAsia"/>
                <w:color w:val="000000" w:themeColor="text1"/>
                <w:sz w:val="21"/>
                <w14:textFill>
                  <w14:solidFill>
                    <w14:schemeClr w14:val="tx1"/>
                  </w14:solidFill>
                </w14:textFill>
              </w:rPr>
              <w:t>目</w:t>
            </w:r>
          </w:p>
        </w:tc>
        <w:tc>
          <w:tcPr>
            <w:tcW w:w="1133" w:type="dxa"/>
          </w:tcPr>
          <w:p>
            <w:pPr>
              <w:pStyle w:val="27"/>
              <w:spacing w:before="49"/>
              <w:ind w:left="14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计量单位</w:t>
            </w:r>
          </w:p>
        </w:tc>
        <w:tc>
          <w:tcPr>
            <w:tcW w:w="1286" w:type="dxa"/>
          </w:tcPr>
          <w:p>
            <w:pPr>
              <w:pStyle w:val="27"/>
              <w:spacing w:before="49"/>
              <w:ind w:left="11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实物工作量</w:t>
            </w:r>
          </w:p>
        </w:tc>
        <w:tc>
          <w:tcPr>
            <w:tcW w:w="1107" w:type="dxa"/>
          </w:tcPr>
          <w:p>
            <w:pPr>
              <w:pStyle w:val="27"/>
              <w:spacing w:before="49"/>
              <w:ind w:left="13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单价金额</w:t>
            </w:r>
          </w:p>
        </w:tc>
        <w:tc>
          <w:tcPr>
            <w:tcW w:w="1126" w:type="dxa"/>
          </w:tcPr>
          <w:p>
            <w:pPr>
              <w:pStyle w:val="27"/>
              <w:spacing w:before="49"/>
              <w:ind w:left="14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合价金额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54" w:type="dxa"/>
          </w:tcPr>
          <w:p>
            <w:pPr>
              <w:pStyle w:val="27"/>
              <w:spacing w:before="90" w:line="250" w:lineRule="exact"/>
              <w:ind w:left="9"/>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一</w:t>
            </w:r>
          </w:p>
        </w:tc>
        <w:tc>
          <w:tcPr>
            <w:tcW w:w="3440" w:type="dxa"/>
          </w:tcPr>
          <w:p>
            <w:pPr>
              <w:pStyle w:val="27"/>
              <w:spacing w:before="90" w:line="250" w:lineRule="exact"/>
              <w:ind w:left="323"/>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初步设计</w:t>
            </w:r>
          </w:p>
        </w:tc>
        <w:tc>
          <w:tcPr>
            <w:tcW w:w="1133" w:type="dxa"/>
          </w:tcPr>
          <w:p>
            <w:pPr>
              <w:pStyle w:val="27"/>
              <w:rPr>
                <w:rFonts w:ascii="Times New Roman"/>
                <w:color w:val="000000" w:themeColor="text1"/>
                <w:sz w:val="20"/>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54" w:type="dxa"/>
          </w:tcPr>
          <w:p>
            <w:pPr>
              <w:pStyle w:val="27"/>
              <w:spacing w:before="118" w:line="221" w:lineRule="exact"/>
              <w:ind w:left="9"/>
              <w:jc w:val="center"/>
              <w:rPr>
                <w:rFonts w:hint="eastAsia" w:ascii="Times New Roman" w:eastAsia="宋体"/>
                <w:b/>
                <w:color w:val="000000" w:themeColor="text1"/>
                <w:sz w:val="21"/>
                <w:lang w:eastAsia="zh-CN"/>
                <w14:textFill>
                  <w14:solidFill>
                    <w14:schemeClr w14:val="tx1"/>
                  </w14:solidFill>
                </w14:textFill>
              </w:rPr>
            </w:pPr>
            <w:r>
              <w:rPr>
                <w:rFonts w:hint="eastAsia" w:ascii="Times New Roman" w:eastAsia="宋体"/>
                <w:b/>
                <w:color w:val="000000" w:themeColor="text1"/>
                <w:sz w:val="21"/>
                <w:lang w:val="en-US" w:eastAsia="zh-CN"/>
                <w14:textFill>
                  <w14:solidFill>
                    <w14:schemeClr w14:val="tx1"/>
                  </w14:solidFill>
                </w14:textFill>
              </w:rPr>
              <w:t>1</w:t>
            </w:r>
          </w:p>
        </w:tc>
        <w:tc>
          <w:tcPr>
            <w:tcW w:w="3440" w:type="dxa"/>
          </w:tcPr>
          <w:p>
            <w:pPr>
              <w:pStyle w:val="27"/>
              <w:spacing w:before="89" w:line="250" w:lineRule="exact"/>
              <w:ind w:left="323"/>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桥梁</w:t>
            </w:r>
          </w:p>
        </w:tc>
        <w:tc>
          <w:tcPr>
            <w:tcW w:w="1133" w:type="dxa"/>
          </w:tcPr>
          <w:p>
            <w:pPr>
              <w:pStyle w:val="27"/>
              <w:rPr>
                <w:rFonts w:ascii="Times New Roman"/>
                <w:color w:val="000000" w:themeColor="text1"/>
                <w:sz w:val="20"/>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54" w:type="dxa"/>
          </w:tcPr>
          <w:p>
            <w:pPr>
              <w:pStyle w:val="27"/>
              <w:spacing w:before="125" w:line="215" w:lineRule="exact"/>
              <w:ind w:left="142" w:right="137"/>
              <w:jc w:val="center"/>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-1</w:t>
            </w:r>
          </w:p>
        </w:tc>
        <w:tc>
          <w:tcPr>
            <w:tcW w:w="3440" w:type="dxa"/>
          </w:tcPr>
          <w:p>
            <w:pPr>
              <w:pStyle w:val="27"/>
              <w:spacing w:before="90" w:line="250" w:lineRule="exact"/>
              <w:ind w:left="323"/>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Ⅰ级</w:t>
            </w:r>
          </w:p>
        </w:tc>
        <w:tc>
          <w:tcPr>
            <w:tcW w:w="1133" w:type="dxa"/>
            <w:vAlign w:val="center"/>
          </w:tcPr>
          <w:p>
            <w:pPr>
              <w:pStyle w:val="27"/>
              <w:jc w:val="center"/>
              <w:rPr>
                <w:rFonts w:hint="default" w:ascii="Times New Roman" w:eastAsia="宋体"/>
                <w:color w:val="000000" w:themeColor="text1"/>
                <w:sz w:val="20"/>
                <w:lang w:val="en-US" w:eastAsia="zh-CN"/>
                <w14:textFill>
                  <w14:solidFill>
                    <w14:schemeClr w14:val="tx1"/>
                  </w14:solidFill>
                </w14:textFill>
              </w:rPr>
            </w:pPr>
            <w:r>
              <w:rPr>
                <w:rFonts w:hint="eastAsia" w:ascii="Times New Roman" w:eastAsia="宋体"/>
                <w:color w:val="000000" w:themeColor="text1"/>
                <w:sz w:val="20"/>
                <w:lang w:val="en-US" w:eastAsia="zh-CN"/>
                <w14:textFill>
                  <w14:solidFill>
                    <w14:schemeClr w14:val="tx1"/>
                  </w14:solidFill>
                </w14:textFill>
              </w:rPr>
              <w:t>0.458</w:t>
            </w: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tcPr>
          <w:p>
            <w:pPr>
              <w:pStyle w:val="27"/>
              <w:spacing w:before="125" w:line="215" w:lineRule="exact"/>
              <w:ind w:left="142" w:right="137"/>
              <w:jc w:val="center"/>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-2</w:t>
            </w:r>
          </w:p>
        </w:tc>
        <w:tc>
          <w:tcPr>
            <w:tcW w:w="3440" w:type="dxa"/>
          </w:tcPr>
          <w:p>
            <w:pPr>
              <w:pStyle w:val="27"/>
              <w:spacing w:before="89" w:line="250" w:lineRule="exact"/>
              <w:ind w:left="323"/>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Ⅱ级</w:t>
            </w:r>
          </w:p>
        </w:tc>
        <w:tc>
          <w:tcPr>
            <w:tcW w:w="1133" w:type="dxa"/>
            <w:vAlign w:val="center"/>
          </w:tcPr>
          <w:p>
            <w:pPr>
              <w:pStyle w:val="27"/>
              <w:jc w:val="center"/>
              <w:rPr>
                <w:rFonts w:ascii="Times New Roman"/>
                <w:color w:val="000000" w:themeColor="text1"/>
                <w:sz w:val="20"/>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trPr>
        <w:tc>
          <w:tcPr>
            <w:tcW w:w="754" w:type="dxa"/>
          </w:tcPr>
          <w:p>
            <w:pPr>
              <w:pStyle w:val="27"/>
              <w:spacing w:before="127" w:line="215" w:lineRule="exact"/>
              <w:ind w:left="142" w:right="137"/>
              <w:jc w:val="center"/>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-3</w:t>
            </w:r>
          </w:p>
        </w:tc>
        <w:tc>
          <w:tcPr>
            <w:tcW w:w="3440" w:type="dxa"/>
          </w:tcPr>
          <w:p>
            <w:pPr>
              <w:pStyle w:val="27"/>
              <w:spacing w:before="92" w:line="250" w:lineRule="exact"/>
              <w:ind w:left="323"/>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Ⅲ级</w:t>
            </w:r>
          </w:p>
        </w:tc>
        <w:tc>
          <w:tcPr>
            <w:tcW w:w="1133" w:type="dxa"/>
          </w:tcPr>
          <w:p>
            <w:pPr>
              <w:pStyle w:val="27"/>
              <w:rPr>
                <w:rFonts w:ascii="Times New Roman"/>
                <w:color w:val="000000" w:themeColor="text1"/>
                <w:sz w:val="20"/>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tcPr>
          <w:p>
            <w:pPr>
              <w:pStyle w:val="27"/>
              <w:spacing w:before="89" w:line="250" w:lineRule="exact"/>
              <w:ind w:left="9"/>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二</w:t>
            </w:r>
          </w:p>
        </w:tc>
        <w:tc>
          <w:tcPr>
            <w:tcW w:w="3440" w:type="dxa"/>
          </w:tcPr>
          <w:p>
            <w:pPr>
              <w:pStyle w:val="27"/>
              <w:spacing w:before="89" w:line="250" w:lineRule="exact"/>
              <w:ind w:left="323"/>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施工图设计</w:t>
            </w:r>
          </w:p>
        </w:tc>
        <w:tc>
          <w:tcPr>
            <w:tcW w:w="1133" w:type="dxa"/>
          </w:tcPr>
          <w:p>
            <w:pPr>
              <w:pStyle w:val="27"/>
              <w:rPr>
                <w:rFonts w:ascii="Times New Roman"/>
                <w:color w:val="000000" w:themeColor="text1"/>
                <w:sz w:val="20"/>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vAlign w:val="top"/>
          </w:tcPr>
          <w:p>
            <w:pPr>
              <w:pStyle w:val="27"/>
              <w:spacing w:before="118" w:line="221" w:lineRule="exact"/>
              <w:ind w:left="9" w:leftChars="0"/>
              <w:jc w:val="center"/>
              <w:rPr>
                <w:rFonts w:hint="eastAsia" w:ascii="Times New Roman" w:hAnsi="Calibri" w:eastAsia="Calibri" w:cs="Times New Roman"/>
                <w:b/>
                <w:color w:val="000000" w:themeColor="text1"/>
                <w:sz w:val="21"/>
                <w:szCs w:val="22"/>
                <w:lang w:val="en-US" w:eastAsia="en-US" w:bidi="ar-SA"/>
                <w14:textFill>
                  <w14:solidFill>
                    <w14:schemeClr w14:val="tx1"/>
                  </w14:solidFill>
                </w14:textFill>
              </w:rPr>
            </w:pPr>
            <w:r>
              <w:rPr>
                <w:rFonts w:ascii="Times New Roman"/>
                <w:b/>
                <w:color w:val="000000" w:themeColor="text1"/>
                <w:sz w:val="21"/>
                <w14:textFill>
                  <w14:solidFill>
                    <w14:schemeClr w14:val="tx1"/>
                  </w14:solidFill>
                </w14:textFill>
              </w:rPr>
              <w:t>2</w:t>
            </w:r>
          </w:p>
        </w:tc>
        <w:tc>
          <w:tcPr>
            <w:tcW w:w="3440" w:type="dxa"/>
            <w:vAlign w:val="top"/>
          </w:tcPr>
          <w:p>
            <w:pPr>
              <w:pStyle w:val="27"/>
              <w:spacing w:before="89" w:line="250" w:lineRule="exact"/>
              <w:ind w:left="323" w:leftChars="0"/>
              <w:rPr>
                <w:rFonts w:hint="eastAsia" w:ascii="Calibri" w:hAnsi="Calibri" w:eastAsia="Calibri" w:cs="Times New Roman"/>
                <w:b/>
                <w:color w:val="000000" w:themeColor="text1"/>
                <w:sz w:val="21"/>
                <w:szCs w:val="22"/>
                <w:lang w:val="en-US" w:eastAsia="en-US" w:bidi="ar-SA"/>
                <w14:textFill>
                  <w14:solidFill>
                    <w14:schemeClr w14:val="tx1"/>
                  </w14:solidFill>
                </w14:textFill>
              </w:rPr>
            </w:pPr>
            <w:r>
              <w:rPr>
                <w:rFonts w:hint="eastAsia"/>
                <w:b/>
                <w:color w:val="000000" w:themeColor="text1"/>
                <w:sz w:val="21"/>
                <w14:textFill>
                  <w14:solidFill>
                    <w14:schemeClr w14:val="tx1"/>
                  </w14:solidFill>
                </w14:textFill>
              </w:rPr>
              <w:t>桥梁</w:t>
            </w:r>
          </w:p>
        </w:tc>
        <w:tc>
          <w:tcPr>
            <w:tcW w:w="1133" w:type="dxa"/>
            <w:vAlign w:val="top"/>
          </w:tcPr>
          <w:p>
            <w:pPr>
              <w:pStyle w:val="27"/>
              <w:rPr>
                <w:rFonts w:ascii="Times New Roman" w:hAnsi="Calibri" w:eastAsia="Calibri" w:cs="Times New Roman"/>
                <w:color w:val="000000" w:themeColor="text1"/>
                <w:sz w:val="20"/>
                <w:szCs w:val="22"/>
                <w:lang w:val="en-US" w:eastAsia="en-US" w:bidi="ar-SA"/>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vAlign w:val="top"/>
          </w:tcPr>
          <w:p>
            <w:pPr>
              <w:pStyle w:val="27"/>
              <w:spacing w:before="125" w:line="215" w:lineRule="exact"/>
              <w:ind w:left="142" w:leftChars="0" w:right="137" w:rightChars="0"/>
              <w:jc w:val="center"/>
              <w:rPr>
                <w:rFonts w:hint="eastAsia" w:ascii="Times New Roman" w:hAnsi="Calibri" w:eastAsia="Calibri" w:cs="Times New Roman"/>
                <w:color w:val="000000" w:themeColor="text1"/>
                <w:sz w:val="20"/>
                <w:szCs w:val="22"/>
                <w:lang w:val="en-US" w:eastAsia="en-US" w:bidi="ar-SA"/>
                <w14:textFill>
                  <w14:solidFill>
                    <w14:schemeClr w14:val="tx1"/>
                  </w14:solidFill>
                </w14:textFill>
              </w:rPr>
            </w:pPr>
            <w:r>
              <w:rPr>
                <w:rFonts w:ascii="Times New Roman"/>
                <w:color w:val="000000" w:themeColor="text1"/>
                <w:sz w:val="20"/>
                <w14:textFill>
                  <w14:solidFill>
                    <w14:schemeClr w14:val="tx1"/>
                  </w14:solidFill>
                </w14:textFill>
              </w:rPr>
              <w:t>-1</w:t>
            </w:r>
          </w:p>
        </w:tc>
        <w:tc>
          <w:tcPr>
            <w:tcW w:w="3440" w:type="dxa"/>
            <w:vAlign w:val="top"/>
          </w:tcPr>
          <w:p>
            <w:pPr>
              <w:pStyle w:val="27"/>
              <w:spacing w:before="90" w:line="250" w:lineRule="exact"/>
              <w:ind w:left="323" w:leftChars="0"/>
              <w:rPr>
                <w:rFonts w:hint="eastAsia" w:ascii="Calibri" w:hAnsi="Calibri" w:eastAsia="Calibri" w:cs="Times New Roman"/>
                <w:color w:val="000000" w:themeColor="text1"/>
                <w:sz w:val="21"/>
                <w:szCs w:val="22"/>
                <w:lang w:val="en-US" w:eastAsia="en-US" w:bidi="ar-SA"/>
                <w14:textFill>
                  <w14:solidFill>
                    <w14:schemeClr w14:val="tx1"/>
                  </w14:solidFill>
                </w14:textFill>
              </w:rPr>
            </w:pPr>
            <w:r>
              <w:rPr>
                <w:rFonts w:hint="eastAsia"/>
                <w:color w:val="000000" w:themeColor="text1"/>
                <w:sz w:val="21"/>
                <w14:textFill>
                  <w14:solidFill>
                    <w14:schemeClr w14:val="tx1"/>
                  </w14:solidFill>
                </w14:textFill>
              </w:rPr>
              <w:t>Ⅰ级</w:t>
            </w:r>
          </w:p>
        </w:tc>
        <w:tc>
          <w:tcPr>
            <w:tcW w:w="1133" w:type="dxa"/>
            <w:vAlign w:val="center"/>
          </w:tcPr>
          <w:p>
            <w:pPr>
              <w:pStyle w:val="27"/>
              <w:jc w:val="center"/>
              <w:rPr>
                <w:rFonts w:hint="default" w:ascii="Times New Roman" w:hAnsi="Calibri" w:eastAsia="宋体" w:cs="Times New Roman"/>
                <w:color w:val="000000" w:themeColor="text1"/>
                <w:sz w:val="20"/>
                <w:szCs w:val="22"/>
                <w:lang w:val="en-US" w:eastAsia="zh-CN" w:bidi="ar-SA"/>
                <w14:textFill>
                  <w14:solidFill>
                    <w14:schemeClr w14:val="tx1"/>
                  </w14:solidFill>
                </w14:textFill>
              </w:rPr>
            </w:pPr>
            <w:r>
              <w:rPr>
                <w:rFonts w:hint="eastAsia" w:ascii="Times New Roman" w:eastAsia="宋体"/>
                <w:color w:val="000000" w:themeColor="text1"/>
                <w:sz w:val="20"/>
                <w:lang w:val="en-US" w:eastAsia="zh-CN"/>
                <w14:textFill>
                  <w14:solidFill>
                    <w14:schemeClr w14:val="tx1"/>
                  </w14:solidFill>
                </w14:textFill>
              </w:rPr>
              <w:t>0.458</w:t>
            </w: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vAlign w:val="top"/>
          </w:tcPr>
          <w:p>
            <w:pPr>
              <w:pStyle w:val="27"/>
              <w:spacing w:before="125" w:line="215" w:lineRule="exact"/>
              <w:ind w:left="142" w:leftChars="0" w:right="137" w:rightChars="0"/>
              <w:jc w:val="center"/>
              <w:rPr>
                <w:rFonts w:hint="eastAsia" w:ascii="Times New Roman" w:hAnsi="Calibri" w:eastAsia="Calibri" w:cs="Times New Roman"/>
                <w:color w:val="000000" w:themeColor="text1"/>
                <w:sz w:val="20"/>
                <w:szCs w:val="22"/>
                <w:lang w:val="en-US" w:eastAsia="en-US" w:bidi="ar-SA"/>
                <w14:textFill>
                  <w14:solidFill>
                    <w14:schemeClr w14:val="tx1"/>
                  </w14:solidFill>
                </w14:textFill>
              </w:rPr>
            </w:pPr>
            <w:r>
              <w:rPr>
                <w:rFonts w:ascii="Times New Roman"/>
                <w:color w:val="000000" w:themeColor="text1"/>
                <w:sz w:val="20"/>
                <w14:textFill>
                  <w14:solidFill>
                    <w14:schemeClr w14:val="tx1"/>
                  </w14:solidFill>
                </w14:textFill>
              </w:rPr>
              <w:t>-2</w:t>
            </w:r>
          </w:p>
        </w:tc>
        <w:tc>
          <w:tcPr>
            <w:tcW w:w="3440" w:type="dxa"/>
            <w:vAlign w:val="top"/>
          </w:tcPr>
          <w:p>
            <w:pPr>
              <w:pStyle w:val="27"/>
              <w:spacing w:before="90" w:line="250" w:lineRule="exact"/>
              <w:ind w:left="323" w:leftChars="0"/>
              <w:rPr>
                <w:rFonts w:hint="eastAsia" w:ascii="Calibri" w:hAnsi="Calibri" w:eastAsia="Calibri" w:cs="Times New Roman"/>
                <w:color w:val="000000" w:themeColor="text1"/>
                <w:sz w:val="21"/>
                <w:szCs w:val="22"/>
                <w:lang w:val="en-US" w:eastAsia="en-US" w:bidi="ar-SA"/>
                <w14:textFill>
                  <w14:solidFill>
                    <w14:schemeClr w14:val="tx1"/>
                  </w14:solidFill>
                </w14:textFill>
              </w:rPr>
            </w:pPr>
            <w:r>
              <w:rPr>
                <w:rFonts w:hint="eastAsia"/>
                <w:color w:val="000000" w:themeColor="text1"/>
                <w:sz w:val="21"/>
                <w14:textFill>
                  <w14:solidFill>
                    <w14:schemeClr w14:val="tx1"/>
                  </w14:solidFill>
                </w14:textFill>
              </w:rPr>
              <w:t>Ⅱ级</w:t>
            </w:r>
          </w:p>
        </w:tc>
        <w:tc>
          <w:tcPr>
            <w:tcW w:w="1133" w:type="dxa"/>
            <w:vAlign w:val="center"/>
          </w:tcPr>
          <w:p>
            <w:pPr>
              <w:pStyle w:val="27"/>
              <w:jc w:val="center"/>
              <w:rPr>
                <w:rFonts w:ascii="Times New Roman" w:hAnsi="Calibri" w:eastAsia="Calibri" w:cs="Times New Roman"/>
                <w:color w:val="000000" w:themeColor="text1"/>
                <w:sz w:val="20"/>
                <w:szCs w:val="22"/>
                <w:lang w:val="en-US" w:eastAsia="en-US" w:bidi="ar-SA"/>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vAlign w:val="top"/>
          </w:tcPr>
          <w:p>
            <w:pPr>
              <w:pStyle w:val="27"/>
              <w:spacing w:before="127" w:line="215" w:lineRule="exact"/>
              <w:ind w:left="142" w:leftChars="0" w:right="137" w:rightChars="0"/>
              <w:jc w:val="center"/>
              <w:rPr>
                <w:rFonts w:hint="eastAsia" w:ascii="Times New Roman" w:hAnsi="Calibri" w:eastAsia="Calibri" w:cs="Times New Roman"/>
                <w:color w:val="000000" w:themeColor="text1"/>
                <w:sz w:val="20"/>
                <w:szCs w:val="22"/>
                <w:lang w:val="en-US" w:eastAsia="en-US" w:bidi="ar-SA"/>
                <w14:textFill>
                  <w14:solidFill>
                    <w14:schemeClr w14:val="tx1"/>
                  </w14:solidFill>
                </w14:textFill>
              </w:rPr>
            </w:pPr>
            <w:r>
              <w:rPr>
                <w:rFonts w:ascii="Times New Roman"/>
                <w:color w:val="000000" w:themeColor="text1"/>
                <w:sz w:val="20"/>
                <w14:textFill>
                  <w14:solidFill>
                    <w14:schemeClr w14:val="tx1"/>
                  </w14:solidFill>
                </w14:textFill>
              </w:rPr>
              <w:t>-3</w:t>
            </w:r>
          </w:p>
        </w:tc>
        <w:tc>
          <w:tcPr>
            <w:tcW w:w="3440" w:type="dxa"/>
            <w:vAlign w:val="top"/>
          </w:tcPr>
          <w:p>
            <w:pPr>
              <w:pStyle w:val="27"/>
              <w:spacing w:before="92" w:line="250" w:lineRule="exact"/>
              <w:ind w:left="323" w:leftChars="0"/>
              <w:rPr>
                <w:rFonts w:hint="eastAsia" w:ascii="Calibri" w:hAnsi="Calibri" w:eastAsia="Calibri" w:cs="Times New Roman"/>
                <w:color w:val="000000" w:themeColor="text1"/>
                <w:sz w:val="21"/>
                <w:szCs w:val="22"/>
                <w:lang w:val="en-US" w:eastAsia="en-US" w:bidi="ar-SA"/>
                <w14:textFill>
                  <w14:solidFill>
                    <w14:schemeClr w14:val="tx1"/>
                  </w14:solidFill>
                </w14:textFill>
              </w:rPr>
            </w:pPr>
            <w:r>
              <w:rPr>
                <w:rFonts w:hint="eastAsia"/>
                <w:color w:val="000000" w:themeColor="text1"/>
                <w:sz w:val="21"/>
                <w14:textFill>
                  <w14:solidFill>
                    <w14:schemeClr w14:val="tx1"/>
                  </w14:solidFill>
                </w14:textFill>
              </w:rPr>
              <w:t>Ⅲ级</w:t>
            </w:r>
          </w:p>
        </w:tc>
        <w:tc>
          <w:tcPr>
            <w:tcW w:w="1133" w:type="dxa"/>
            <w:vAlign w:val="top"/>
          </w:tcPr>
          <w:p>
            <w:pPr>
              <w:pStyle w:val="27"/>
              <w:rPr>
                <w:rFonts w:ascii="Times New Roman" w:hAnsi="Calibri" w:eastAsia="Calibri" w:cs="Times New Roman"/>
                <w:color w:val="000000" w:themeColor="text1"/>
                <w:sz w:val="20"/>
                <w:szCs w:val="22"/>
                <w:lang w:val="en-US" w:eastAsia="en-US" w:bidi="ar-SA"/>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vAlign w:val="top"/>
          </w:tcPr>
          <w:p>
            <w:pPr>
              <w:pStyle w:val="27"/>
              <w:spacing w:before="90" w:line="250" w:lineRule="exact"/>
              <w:ind w:left="9" w:leftChars="0"/>
              <w:jc w:val="center"/>
              <w:rPr>
                <w:rFonts w:hint="eastAsia" w:ascii="黑体" w:hAnsi="Calibri" w:eastAsia="黑体" w:cs="Times New Roman"/>
                <w:b/>
                <w:color w:val="000000" w:themeColor="text1"/>
                <w:sz w:val="21"/>
                <w:szCs w:val="22"/>
                <w:lang w:val="en-US" w:eastAsia="en-US" w:bidi="ar-SA"/>
                <w14:textFill>
                  <w14:solidFill>
                    <w14:schemeClr w14:val="tx1"/>
                  </w14:solidFill>
                </w14:textFill>
              </w:rPr>
            </w:pPr>
            <w:r>
              <w:rPr>
                <w:rFonts w:hint="eastAsia" w:ascii="黑体" w:eastAsia="黑体"/>
                <w:b/>
                <w:color w:val="000000" w:themeColor="text1"/>
                <w:sz w:val="21"/>
                <w14:textFill>
                  <w14:solidFill>
                    <w14:schemeClr w14:val="tx1"/>
                  </w14:solidFill>
                </w14:textFill>
              </w:rPr>
              <w:t>三</w:t>
            </w:r>
          </w:p>
        </w:tc>
        <w:tc>
          <w:tcPr>
            <w:tcW w:w="3440" w:type="dxa"/>
            <w:vAlign w:val="top"/>
          </w:tcPr>
          <w:p>
            <w:pPr>
              <w:pStyle w:val="27"/>
              <w:spacing w:before="90" w:line="250" w:lineRule="exact"/>
              <w:ind w:left="323" w:leftChars="0"/>
              <w:rPr>
                <w:rFonts w:hint="eastAsia" w:ascii="黑体" w:hAnsi="Calibri" w:eastAsia="黑体" w:cs="Times New Roman"/>
                <w:b/>
                <w:color w:val="000000" w:themeColor="text1"/>
                <w:sz w:val="21"/>
                <w:szCs w:val="22"/>
                <w:lang w:val="en-US" w:eastAsia="en-US" w:bidi="ar-SA"/>
                <w14:textFill>
                  <w14:solidFill>
                    <w14:schemeClr w14:val="tx1"/>
                  </w14:solidFill>
                </w14:textFill>
              </w:rPr>
            </w:pPr>
            <w:r>
              <w:rPr>
                <w:rFonts w:hint="eastAsia" w:ascii="黑体" w:eastAsia="黑体"/>
                <w:b/>
                <w:color w:val="000000" w:themeColor="text1"/>
                <w:sz w:val="21"/>
                <w14:textFill>
                  <w14:solidFill>
                    <w14:schemeClr w14:val="tx1"/>
                  </w14:solidFill>
                </w14:textFill>
              </w:rPr>
              <w:t>其他</w:t>
            </w:r>
          </w:p>
        </w:tc>
        <w:tc>
          <w:tcPr>
            <w:tcW w:w="1133" w:type="dxa"/>
            <w:vAlign w:val="top"/>
          </w:tcPr>
          <w:p>
            <w:pPr>
              <w:pStyle w:val="27"/>
              <w:rPr>
                <w:rFonts w:ascii="Times New Roman" w:hAnsi="Calibri" w:eastAsia="Calibri" w:cs="Times New Roman"/>
                <w:color w:val="000000" w:themeColor="text1"/>
                <w:sz w:val="20"/>
                <w:szCs w:val="22"/>
                <w:lang w:val="en-US" w:eastAsia="en-US" w:bidi="ar-SA"/>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54" w:type="dxa"/>
            <w:vAlign w:val="top"/>
          </w:tcPr>
          <w:p>
            <w:pPr>
              <w:pStyle w:val="27"/>
              <w:spacing w:before="113" w:line="226" w:lineRule="exact"/>
              <w:ind w:left="141" w:leftChars="0" w:right="137" w:rightChars="0"/>
              <w:jc w:val="center"/>
              <w:rPr>
                <w:rFonts w:hint="eastAsia" w:ascii="Times New Roman" w:hAnsi="Calibri" w:eastAsia="Calibri" w:cs="Times New Roman"/>
                <w:color w:val="000000" w:themeColor="text1"/>
                <w:sz w:val="21"/>
                <w:szCs w:val="22"/>
                <w:lang w:val="en-US" w:eastAsia="en-US" w:bidi="ar-SA"/>
                <w14:textFill>
                  <w14:solidFill>
                    <w14:schemeClr w14:val="tx1"/>
                  </w14:solidFill>
                </w14:textFill>
              </w:rPr>
            </w:pPr>
          </w:p>
        </w:tc>
        <w:tc>
          <w:tcPr>
            <w:tcW w:w="3440" w:type="dxa"/>
            <w:vAlign w:val="top"/>
          </w:tcPr>
          <w:p>
            <w:pPr>
              <w:pStyle w:val="27"/>
              <w:spacing w:before="90" w:line="250" w:lineRule="exact"/>
              <w:ind w:left="323" w:leftChars="0"/>
              <w:rPr>
                <w:rFonts w:hint="eastAsia" w:ascii="Calibri" w:hAnsi="Calibri" w:eastAsia="Calibri" w:cs="Times New Roman"/>
                <w:color w:val="000000" w:themeColor="text1"/>
                <w:sz w:val="21"/>
                <w:szCs w:val="22"/>
                <w:lang w:val="en-US" w:eastAsia="en-US" w:bidi="ar-SA"/>
                <w14:textFill>
                  <w14:solidFill>
                    <w14:schemeClr w14:val="tx1"/>
                  </w14:solidFill>
                </w14:textFill>
              </w:rPr>
            </w:pPr>
            <w:r>
              <w:rPr>
                <w:rFonts w:hint="eastAsia"/>
                <w:color w:val="000000" w:themeColor="text1"/>
                <w:sz w:val="21"/>
                <w14:textFill>
                  <w14:solidFill>
                    <w14:schemeClr w14:val="tx1"/>
                  </w14:solidFill>
                </w14:textFill>
              </w:rPr>
              <w:t>…</w:t>
            </w:r>
          </w:p>
        </w:tc>
        <w:tc>
          <w:tcPr>
            <w:tcW w:w="1133" w:type="dxa"/>
            <w:vAlign w:val="top"/>
          </w:tcPr>
          <w:p>
            <w:pPr>
              <w:pStyle w:val="27"/>
              <w:rPr>
                <w:rFonts w:ascii="Times New Roman" w:hAnsi="Calibri" w:eastAsia="Calibri" w:cs="Times New Roman"/>
                <w:color w:val="000000" w:themeColor="text1"/>
                <w:sz w:val="20"/>
                <w:szCs w:val="22"/>
                <w:lang w:val="en-US" w:eastAsia="en-US" w:bidi="ar-SA"/>
                <w14:textFill>
                  <w14:solidFill>
                    <w14:schemeClr w14:val="tx1"/>
                  </w14:solidFill>
                </w14:textFill>
              </w:rPr>
            </w:pPr>
          </w:p>
        </w:tc>
        <w:tc>
          <w:tcPr>
            <w:tcW w:w="1286" w:type="dxa"/>
          </w:tcPr>
          <w:p>
            <w:pPr>
              <w:pStyle w:val="27"/>
              <w:rPr>
                <w:rFonts w:ascii="Times New Roman"/>
                <w:color w:val="000000" w:themeColor="text1"/>
                <w:sz w:val="20"/>
                <w14:textFill>
                  <w14:solidFill>
                    <w14:schemeClr w14:val="tx1"/>
                  </w14:solidFill>
                </w14:textFill>
              </w:rPr>
            </w:pPr>
          </w:p>
        </w:tc>
        <w:tc>
          <w:tcPr>
            <w:tcW w:w="1107" w:type="dxa"/>
          </w:tcPr>
          <w:p>
            <w:pPr>
              <w:pStyle w:val="27"/>
              <w:rPr>
                <w:rFonts w:ascii="Times New Roman"/>
                <w:color w:val="000000" w:themeColor="text1"/>
                <w:sz w:val="20"/>
                <w14:textFill>
                  <w14:solidFill>
                    <w14:schemeClr w14:val="tx1"/>
                  </w14:solidFill>
                </w14:textFill>
              </w:rPr>
            </w:pPr>
          </w:p>
        </w:tc>
        <w:tc>
          <w:tcPr>
            <w:tcW w:w="1126" w:type="dxa"/>
          </w:tcPr>
          <w:p>
            <w:pPr>
              <w:pStyle w:val="27"/>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7720" w:type="dxa"/>
            <w:gridSpan w:val="5"/>
            <w:vAlign w:val="center"/>
          </w:tcPr>
          <w:p>
            <w:pPr>
              <w:pStyle w:val="27"/>
              <w:tabs>
                <w:tab w:val="left" w:pos="1816"/>
              </w:tabs>
              <w:jc w:val="both"/>
              <w:rPr>
                <w:rFonts w:hint="eastAsia" w:ascii="Times New Roman" w:eastAsia="宋体"/>
                <w:color w:val="000000" w:themeColor="text1"/>
                <w:sz w:val="20"/>
                <w:lang w:eastAsia="zh-CN"/>
                <w14:textFill>
                  <w14:solidFill>
                    <w14:schemeClr w14:val="tx1"/>
                  </w14:solidFill>
                </w14:textFill>
              </w:rPr>
            </w:pPr>
            <w:r>
              <w:rPr>
                <w:rFonts w:hint="eastAsia" w:ascii="黑体" w:eastAsia="黑体"/>
                <w:b/>
                <w:color w:val="000000" w:themeColor="text1"/>
                <w:sz w:val="21"/>
                <w14:textFill>
                  <w14:solidFill>
                    <w14:schemeClr w14:val="tx1"/>
                  </w14:solidFill>
                </w14:textFill>
              </w:rPr>
              <w:t>合计：</w:t>
            </w:r>
          </w:p>
        </w:tc>
        <w:tc>
          <w:tcPr>
            <w:tcW w:w="1126" w:type="dxa"/>
          </w:tcPr>
          <w:p>
            <w:pPr>
              <w:pStyle w:val="27"/>
              <w:rPr>
                <w:rFonts w:ascii="Times New Roman"/>
                <w:color w:val="000000" w:themeColor="text1"/>
                <w:sz w:val="20"/>
                <w14:textFill>
                  <w14:solidFill>
                    <w14:schemeClr w14:val="tx1"/>
                  </w14:solidFill>
                </w14:textFill>
              </w:rPr>
            </w:pPr>
          </w:p>
        </w:tc>
      </w:tr>
    </w:tbl>
    <w:p>
      <w:pPr>
        <w:spacing w:before="5" w:line="232" w:lineRule="auto"/>
        <w:ind w:left="284" w:right="614" w:hanging="142"/>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注：</w:t>
      </w:r>
      <w:r>
        <w:rPr>
          <w:rFonts w:ascii="Times New Roman" w:eastAsia="Times New Roman"/>
          <w:color w:val="000000" w:themeColor="text1"/>
          <w:sz w:val="21"/>
          <w:lang w:eastAsia="zh-CN"/>
          <w14:textFill>
            <w14:solidFill>
              <w14:schemeClr w14:val="tx1"/>
            </w14:solidFill>
          </w14:textFill>
        </w:rPr>
        <w:t xml:space="preserve">1. </w:t>
      </w:r>
      <w:r>
        <w:rPr>
          <w:rFonts w:hint="eastAsia"/>
          <w:color w:val="000000" w:themeColor="text1"/>
          <w:sz w:val="21"/>
          <w:lang w:eastAsia="zh-CN"/>
          <w14:textFill>
            <w14:solidFill>
              <w14:schemeClr w14:val="tx1"/>
            </w14:solidFill>
          </w14:textFill>
        </w:rPr>
        <w:t>本清单格式仅为示例，投标人应根据本招标项目工程特点和设计工作内容，分别列出并填写本表各设计项目的分项及子项。</w:t>
      </w:r>
    </w:p>
    <w:p>
      <w:pPr>
        <w:spacing w:before="5" w:line="232" w:lineRule="auto"/>
        <w:ind w:left="110" w:leftChars="50" w:right="614" w:firstLine="420" w:firstLineChars="200"/>
        <w:rPr>
          <w:rFonts w:ascii="Times New Roman" w:eastAsia="Times New Roman"/>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2.</w:t>
      </w:r>
      <w:r>
        <w:rPr>
          <w:rFonts w:hint="eastAsia" w:ascii="Times New Roman" w:eastAsia="Times New Roman"/>
          <w:color w:val="000000" w:themeColor="text1"/>
          <w:sz w:val="21"/>
          <w:lang w:eastAsia="zh-CN"/>
          <w14:textFill>
            <w14:solidFill>
              <w14:schemeClr w14:val="tx1"/>
            </w14:solidFill>
          </w14:textFill>
        </w:rPr>
        <w:t>本清单表中“其他”是指工程设计实际需要或提供相关服务收取的费用。包括总体设计费、主体设计协调费、采用标准设计和复用设计费、非标准设备设计文件编制费、施工图预算编制费、竣工图编制费等。</w:t>
      </w:r>
    </w:p>
    <w:p>
      <w:pPr>
        <w:pStyle w:val="4"/>
        <w:ind w:firstLine="420" w:firstLineChars="200"/>
        <w:rPr>
          <w:color w:val="000000" w:themeColor="text1"/>
          <w:sz w:val="20"/>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3.</w:t>
      </w:r>
      <w:r>
        <w:rPr>
          <w:rFonts w:hint="eastAsia" w:ascii="Times New Roman" w:eastAsia="Times New Roman"/>
          <w:color w:val="000000" w:themeColor="text1"/>
          <w:sz w:val="21"/>
          <w:lang w:eastAsia="zh-CN"/>
          <w14:textFill>
            <w14:solidFill>
              <w14:schemeClr w14:val="tx1"/>
            </w14:solidFill>
          </w14:textFill>
        </w:rPr>
        <w:t>投标人应将详细的计算说明（包括每一分项、子项的计算依据及计算过程等）附在报价清单后面。</w:t>
      </w:r>
    </w:p>
    <w:p>
      <w:pPr>
        <w:pStyle w:val="4"/>
        <w:spacing w:before="1"/>
        <w:rPr>
          <w:color w:val="000000" w:themeColor="text1"/>
          <w:sz w:val="10"/>
          <w14:textFill>
            <w14:solidFill>
              <w14:schemeClr w14:val="tx1"/>
            </w14:solidFill>
          </w14:textFill>
        </w:rPr>
      </w:pPr>
    </w:p>
    <w:p>
      <w:pPr>
        <w:pStyle w:val="4"/>
        <w:rPr>
          <w:color w:val="000000" w:themeColor="text1"/>
          <w:sz w:val="20"/>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rFonts w:hint="eastAsia"/>
          <w:color w:val="000000" w:themeColor="text1"/>
          <w:position w:val="9"/>
          <w:sz w:val="9"/>
          <w:lang w:eastAsia="zh-CN"/>
          <w14:textFill>
            <w14:solidFill>
              <w14:schemeClr w14:val="tx1"/>
            </w14:solidFill>
          </w14:textFill>
        </w:rPr>
      </w:pPr>
    </w:p>
    <w:p>
      <w:pPr>
        <w:ind w:left="424"/>
        <w:rPr>
          <w:color w:val="000000" w:themeColor="text1"/>
          <w:sz w:val="21"/>
          <w:lang w:eastAsia="zh-CN"/>
          <w14:textFill>
            <w14:solidFill>
              <w14:schemeClr w14:val="tx1"/>
            </w14:solidFill>
          </w14:textFill>
        </w:rPr>
      </w:pPr>
      <w:r>
        <w:rPr>
          <w:rFonts w:hint="eastAsia"/>
          <w:color w:val="000000" w:themeColor="text1"/>
          <w:position w:val="9"/>
          <w:sz w:val="9"/>
          <w:lang w:eastAsia="zh-CN"/>
          <w14:textFill>
            <w14:solidFill>
              <w14:schemeClr w14:val="tx1"/>
            </w14:solidFill>
          </w14:textFill>
        </w:rPr>
        <w:t>①</w:t>
      </w:r>
      <w:r>
        <w:rPr>
          <w:rFonts w:hint="eastAsia"/>
          <w:color w:val="000000" w:themeColor="text1"/>
          <w:sz w:val="18"/>
          <w:lang w:eastAsia="zh-CN"/>
          <w14:textFill>
            <w14:solidFill>
              <w14:schemeClr w14:val="tx1"/>
            </w14:solidFill>
          </w14:textFill>
        </w:rPr>
        <w:t>如果采用单价合同计价模式，招标人在报价清单表中应填入预估数量，作为投标的共同基础。</w:t>
      </w:r>
    </w:p>
    <w:p>
      <w:pPr>
        <w:rPr>
          <w:color w:val="000000" w:themeColor="text1"/>
          <w:sz w:val="21"/>
          <w:lang w:eastAsia="zh-CN"/>
          <w14:textFill>
            <w14:solidFill>
              <w14:schemeClr w14:val="tx1"/>
            </w14:solidFill>
          </w14:textFill>
        </w:rPr>
        <w:sectPr>
          <w:pgSz w:w="11910" w:h="16850"/>
          <w:pgMar w:top="1480" w:right="720" w:bottom="1040" w:left="1220" w:header="882" w:footer="853" w:gutter="0"/>
          <w:cols w:space="720" w:num="1"/>
        </w:sectPr>
      </w:pPr>
    </w:p>
    <w:p>
      <w:pPr>
        <w:spacing w:before="191"/>
        <w:ind w:left="412" w:right="913"/>
        <w:jc w:val="center"/>
        <w:rPr>
          <w:rFonts w:ascii="黑体" w:eastAsia="黑体"/>
          <w:color w:val="000000" w:themeColor="text1"/>
          <w:sz w:val="28"/>
          <w:lang w:eastAsia="zh-CN"/>
          <w14:textFill>
            <w14:solidFill>
              <w14:schemeClr w14:val="tx1"/>
            </w14:solidFill>
          </w14:textFill>
        </w:rPr>
      </w:pPr>
      <w:bookmarkStart w:id="52" w:name="_bookmark161"/>
      <w:bookmarkEnd w:id="52"/>
      <w:r>
        <w:rPr>
          <w:rFonts w:hint="eastAsia" w:ascii="黑体" w:eastAsia="黑体"/>
          <w:color w:val="000000" w:themeColor="text1"/>
          <w:sz w:val="28"/>
          <w:lang w:eastAsia="zh-CN"/>
          <w14:textFill>
            <w14:solidFill>
              <w14:schemeClr w14:val="tx1"/>
            </w14:solidFill>
          </w14:textFill>
        </w:rPr>
        <w:t>（五）报价清单汇总表</w:t>
      </w:r>
    </w:p>
    <w:p>
      <w:pPr>
        <w:tabs>
          <w:tab w:val="left" w:pos="949"/>
          <w:tab w:val="left" w:pos="7145"/>
        </w:tabs>
        <w:spacing w:after="4"/>
        <w:ind w:left="424" w:right="898" w:rightChars="408"/>
        <w:jc w:val="right"/>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单位：人</w:t>
      </w:r>
      <w:r>
        <w:rPr>
          <w:rFonts w:hint="eastAsia"/>
          <w:color w:val="000000" w:themeColor="text1"/>
          <w:spacing w:val="-3"/>
          <w:sz w:val="21"/>
          <w:lang w:eastAsia="zh-CN"/>
          <w14:textFill>
            <w14:solidFill>
              <w14:schemeClr w14:val="tx1"/>
            </w14:solidFill>
          </w14:textFill>
        </w:rPr>
        <w:t>民</w:t>
      </w:r>
      <w:r>
        <w:rPr>
          <w:rFonts w:hint="eastAsia"/>
          <w:color w:val="000000" w:themeColor="text1"/>
          <w:sz w:val="21"/>
          <w:lang w:eastAsia="zh-CN"/>
          <w14:textFill>
            <w14:solidFill>
              <w14:schemeClr w14:val="tx1"/>
            </w14:solidFill>
          </w14:textFill>
        </w:rPr>
        <w:t>币元</w:t>
      </w:r>
    </w:p>
    <w:tbl>
      <w:tblPr>
        <w:tblStyle w:val="23"/>
        <w:tblW w:w="8718" w:type="dxa"/>
        <w:tblInd w:w="3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2923"/>
        <w:gridCol w:w="1717"/>
        <w:gridCol w:w="3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 w:hRule="atLeast"/>
        </w:trPr>
        <w:tc>
          <w:tcPr>
            <w:tcW w:w="854" w:type="dxa"/>
          </w:tcPr>
          <w:p>
            <w:pPr>
              <w:pStyle w:val="27"/>
              <w:spacing w:before="79" w:line="299" w:lineRule="exact"/>
              <w:ind w:left="104" w:right="94"/>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序号</w:t>
            </w:r>
          </w:p>
        </w:tc>
        <w:tc>
          <w:tcPr>
            <w:tcW w:w="2923" w:type="dxa"/>
          </w:tcPr>
          <w:p>
            <w:pPr>
              <w:pStyle w:val="27"/>
              <w:spacing w:before="79" w:line="299" w:lineRule="exact"/>
              <w:ind w:left="146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项目</w:t>
            </w:r>
          </w:p>
        </w:tc>
        <w:tc>
          <w:tcPr>
            <w:tcW w:w="1717" w:type="dxa"/>
          </w:tcPr>
          <w:p>
            <w:pPr>
              <w:pStyle w:val="27"/>
              <w:spacing w:before="79" w:line="299" w:lineRule="exact"/>
              <w:ind w:left="56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费用合计</w:t>
            </w:r>
          </w:p>
        </w:tc>
        <w:tc>
          <w:tcPr>
            <w:tcW w:w="3224" w:type="dxa"/>
          </w:tcPr>
          <w:p>
            <w:pPr>
              <w:pStyle w:val="27"/>
              <w:spacing w:before="79" w:line="299" w:lineRule="exact"/>
              <w:ind w:left="1168" w:right="1155"/>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54" w:type="dxa"/>
          </w:tcPr>
          <w:p>
            <w:pPr>
              <w:pStyle w:val="27"/>
              <w:spacing w:before="81" w:line="299" w:lineRule="exact"/>
              <w:ind w:left="104" w:right="97"/>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rFonts w:ascii="Times New Roman" w:eastAsia="Times New Roman"/>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p>
        </w:tc>
        <w:tc>
          <w:tcPr>
            <w:tcW w:w="2923" w:type="dxa"/>
          </w:tcPr>
          <w:p>
            <w:pPr>
              <w:pStyle w:val="27"/>
              <w:spacing w:before="81" w:line="299" w:lineRule="exact"/>
              <w:ind w:left="108"/>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公路工程勘察</w:t>
            </w:r>
          </w:p>
        </w:tc>
        <w:tc>
          <w:tcPr>
            <w:tcW w:w="1717" w:type="dxa"/>
          </w:tcPr>
          <w:p>
            <w:pPr>
              <w:pStyle w:val="27"/>
              <w:rPr>
                <w:rFonts w:ascii="Times New Roman"/>
                <w:color w:val="000000" w:themeColor="text1"/>
                <w14:textFill>
                  <w14:solidFill>
                    <w14:schemeClr w14:val="tx1"/>
                  </w14:solidFill>
                </w14:textFill>
              </w:rPr>
            </w:pPr>
          </w:p>
        </w:tc>
        <w:tc>
          <w:tcPr>
            <w:tcW w:w="3224" w:type="dxa"/>
          </w:tcPr>
          <w:p>
            <w:pPr>
              <w:pStyle w:val="27"/>
              <w:rPr>
                <w:rFonts w:ascii="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854" w:type="dxa"/>
          </w:tcPr>
          <w:p>
            <w:pPr>
              <w:pStyle w:val="27"/>
              <w:spacing w:before="79" w:line="302" w:lineRule="exact"/>
              <w:ind w:left="104" w:right="97"/>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rFonts w:ascii="Times New Roman" w:eastAsia="Times New Roman"/>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w:t>
            </w:r>
          </w:p>
        </w:tc>
        <w:tc>
          <w:tcPr>
            <w:tcW w:w="2923" w:type="dxa"/>
          </w:tcPr>
          <w:p>
            <w:pPr>
              <w:pStyle w:val="27"/>
              <w:spacing w:before="79" w:line="302" w:lineRule="exact"/>
              <w:ind w:left="108"/>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公路工程设计</w:t>
            </w:r>
          </w:p>
        </w:tc>
        <w:tc>
          <w:tcPr>
            <w:tcW w:w="1717" w:type="dxa"/>
          </w:tcPr>
          <w:p>
            <w:pPr>
              <w:pStyle w:val="27"/>
              <w:jc w:val="center"/>
              <w:rPr>
                <w:rFonts w:ascii="Times New Roman" w:eastAsia="宋体"/>
                <w:color w:val="000000" w:themeColor="text1"/>
                <w:lang w:eastAsia="zh-CN"/>
                <w14:textFill>
                  <w14:solidFill>
                    <w14:schemeClr w14:val="tx1"/>
                  </w14:solidFill>
                </w14:textFill>
              </w:rPr>
            </w:pPr>
          </w:p>
        </w:tc>
        <w:tc>
          <w:tcPr>
            <w:tcW w:w="3224" w:type="dxa"/>
          </w:tcPr>
          <w:p>
            <w:pPr>
              <w:pStyle w:val="27"/>
              <w:rPr>
                <w:rFonts w:ascii="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854" w:type="dxa"/>
          </w:tcPr>
          <w:p>
            <w:pPr>
              <w:pStyle w:val="27"/>
              <w:spacing w:before="79" w:line="301" w:lineRule="exact"/>
              <w:ind w:left="104" w:right="97"/>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rFonts w:ascii="Times New Roman" w:eastAsia="Times New Roman"/>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w:t>
            </w:r>
          </w:p>
        </w:tc>
        <w:tc>
          <w:tcPr>
            <w:tcW w:w="2923" w:type="dxa"/>
          </w:tcPr>
          <w:p>
            <w:pPr>
              <w:pStyle w:val="27"/>
              <w:spacing w:before="79" w:line="301" w:lineRule="exact"/>
              <w:ind w:left="108"/>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勘察设计费用合计</w:t>
            </w:r>
          </w:p>
        </w:tc>
        <w:tc>
          <w:tcPr>
            <w:tcW w:w="1717" w:type="dxa"/>
          </w:tcPr>
          <w:p>
            <w:pPr>
              <w:pStyle w:val="27"/>
              <w:rPr>
                <w:rFonts w:ascii="Times New Roman"/>
                <w:color w:val="000000" w:themeColor="text1"/>
                <w14:textFill>
                  <w14:solidFill>
                    <w14:schemeClr w14:val="tx1"/>
                  </w14:solidFill>
                </w14:textFill>
              </w:rPr>
            </w:pPr>
          </w:p>
        </w:tc>
        <w:tc>
          <w:tcPr>
            <w:tcW w:w="3224" w:type="dxa"/>
          </w:tcPr>
          <w:p>
            <w:pPr>
              <w:pStyle w:val="27"/>
              <w:spacing w:before="79" w:line="301" w:lineRule="exact"/>
              <w:ind w:left="109"/>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854" w:type="dxa"/>
          </w:tcPr>
          <w:p>
            <w:pPr>
              <w:pStyle w:val="27"/>
              <w:spacing w:before="79" w:line="301" w:lineRule="exact"/>
              <w:ind w:left="108"/>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w:t>
            </w:r>
          </w:p>
        </w:tc>
        <w:tc>
          <w:tcPr>
            <w:tcW w:w="2923" w:type="dxa"/>
          </w:tcPr>
          <w:p>
            <w:pPr>
              <w:pStyle w:val="27"/>
              <w:spacing w:before="79" w:line="301" w:lineRule="exact"/>
              <w:ind w:left="108"/>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其他</w:t>
            </w:r>
          </w:p>
        </w:tc>
        <w:tc>
          <w:tcPr>
            <w:tcW w:w="1717" w:type="dxa"/>
          </w:tcPr>
          <w:p>
            <w:pPr>
              <w:pStyle w:val="27"/>
              <w:rPr>
                <w:rFonts w:ascii="Times New Roman"/>
                <w:color w:val="000000" w:themeColor="text1"/>
                <w14:textFill>
                  <w14:solidFill>
                    <w14:schemeClr w14:val="tx1"/>
                  </w14:solidFill>
                </w14:textFill>
              </w:rPr>
            </w:pPr>
          </w:p>
        </w:tc>
        <w:tc>
          <w:tcPr>
            <w:tcW w:w="3224" w:type="dxa"/>
          </w:tcPr>
          <w:p>
            <w:pPr>
              <w:pStyle w:val="27"/>
              <w:spacing w:before="79" w:line="301" w:lineRule="exact"/>
              <w:ind w:left="109"/>
              <w:rPr>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854" w:type="dxa"/>
          </w:tcPr>
          <w:p>
            <w:pPr>
              <w:pStyle w:val="27"/>
              <w:spacing w:before="79" w:line="301" w:lineRule="exact"/>
              <w:ind w:left="104" w:right="97"/>
              <w:jc w:val="center"/>
              <w:rPr>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w:t>
            </w:r>
            <w:r>
              <w:rPr>
                <w:rFonts w:hint="eastAsia" w:ascii="Times New Roman" w:eastAsiaTheme="minorEastAsia"/>
                <w:b/>
                <w:color w:val="000000" w:themeColor="text1"/>
                <w:sz w:val="24"/>
                <w:lang w:eastAsia="zh-CN"/>
                <w14:textFill>
                  <w14:solidFill>
                    <w14:schemeClr w14:val="tx1"/>
                  </w14:solidFill>
                </w14:textFill>
              </w:rPr>
              <w:t>5</w:t>
            </w:r>
            <w:r>
              <w:rPr>
                <w:rFonts w:hint="eastAsia" w:ascii="宋体" w:hAnsi="宋体" w:eastAsia="宋体" w:cs="宋体"/>
                <w:b/>
                <w:color w:val="000000" w:themeColor="text1"/>
                <w:sz w:val="24"/>
                <w14:textFill>
                  <w14:solidFill>
                    <w14:schemeClr w14:val="tx1"/>
                  </w14:solidFill>
                </w14:textFill>
              </w:rPr>
              <w:t>）</w:t>
            </w:r>
          </w:p>
        </w:tc>
        <w:tc>
          <w:tcPr>
            <w:tcW w:w="2923" w:type="dxa"/>
          </w:tcPr>
          <w:p>
            <w:pPr>
              <w:pStyle w:val="27"/>
              <w:spacing w:before="79" w:line="301" w:lineRule="exact"/>
              <w:ind w:left="108"/>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投标报价总计</w:t>
            </w:r>
          </w:p>
        </w:tc>
        <w:tc>
          <w:tcPr>
            <w:tcW w:w="1717" w:type="dxa"/>
          </w:tcPr>
          <w:p>
            <w:pPr>
              <w:pStyle w:val="27"/>
              <w:rPr>
                <w:rFonts w:ascii="Times New Roman"/>
                <w:color w:val="000000" w:themeColor="text1"/>
                <w14:textFill>
                  <w14:solidFill>
                    <w14:schemeClr w14:val="tx1"/>
                  </w14:solidFill>
                </w14:textFill>
              </w:rPr>
            </w:pPr>
          </w:p>
        </w:tc>
        <w:tc>
          <w:tcPr>
            <w:tcW w:w="3224" w:type="dxa"/>
          </w:tcPr>
          <w:p>
            <w:pPr>
              <w:pStyle w:val="27"/>
              <w:spacing w:before="79" w:line="301" w:lineRule="exact"/>
              <w:ind w:left="109" w:right="-29"/>
              <w:rPr>
                <w:color w:val="000000" w:themeColor="text1"/>
                <w:sz w:val="24"/>
                <w14:textFill>
                  <w14:solidFill>
                    <w14:schemeClr w14:val="tx1"/>
                  </w14:solidFill>
                </w14:textFill>
              </w:rPr>
            </w:pPr>
            <w:r>
              <w:rPr>
                <w:rFonts w:hint="eastAsia" w:ascii="宋体" w:hAnsi="宋体" w:eastAsia="宋体" w:cs="宋体"/>
                <w:color w:val="000000" w:themeColor="text1"/>
                <w:spacing w:val="-4"/>
                <w:sz w:val="24"/>
                <w14:textFill>
                  <w14:solidFill>
                    <w14:schemeClr w14:val="tx1"/>
                  </w14:solidFill>
                </w14:textFill>
              </w:rPr>
              <w:t>（</w:t>
            </w:r>
            <w:r>
              <w:rPr>
                <w:rFonts w:hint="eastAsia" w:ascii="Times New Roman" w:eastAsiaTheme="minorEastAsia"/>
                <w:color w:val="000000" w:themeColor="text1"/>
                <w:spacing w:val="-4"/>
                <w:sz w:val="24"/>
                <w:lang w:eastAsia="zh-CN"/>
                <w14:textFill>
                  <w14:solidFill>
                    <w14:schemeClr w14:val="tx1"/>
                  </w14:solidFill>
                </w14:textFill>
              </w:rPr>
              <w:t>5</w:t>
            </w:r>
            <w:r>
              <w:rPr>
                <w:rFonts w:hint="eastAsia" w:ascii="宋体" w:hAnsi="宋体" w:eastAsia="宋体" w:cs="宋体"/>
                <w:color w:val="000000" w:themeColor="text1"/>
                <w:spacing w:val="-4"/>
                <w:sz w:val="24"/>
                <w14:textFill>
                  <w14:solidFill>
                    <w14:schemeClr w14:val="tx1"/>
                  </w14:solidFill>
                </w14:textFill>
              </w:rPr>
              <w:t>）</w:t>
            </w:r>
            <w:r>
              <w:rPr>
                <w:rFonts w:ascii="Times New Roman" w:eastAsia="Times New Roman"/>
                <w:color w:val="000000" w:themeColor="text1"/>
                <w:spacing w:val="-4"/>
                <w:sz w:val="24"/>
                <w14:textFill>
                  <w14:solidFill>
                    <w14:schemeClr w14:val="tx1"/>
                  </w14:solidFill>
                </w14:textFill>
              </w:rPr>
              <w:t>=</w:t>
            </w:r>
            <w:r>
              <w:rPr>
                <w:rFonts w:hint="eastAsia" w:ascii="宋体" w:hAnsi="宋体" w:eastAsia="宋体" w:cs="宋体"/>
                <w:color w:val="000000" w:themeColor="text1"/>
                <w:spacing w:val="-4"/>
                <w:sz w:val="24"/>
                <w14:textFill>
                  <w14:solidFill>
                    <w14:schemeClr w14:val="tx1"/>
                  </w14:solidFill>
                </w14:textFill>
              </w:rPr>
              <w:t>（</w:t>
            </w:r>
            <w:r>
              <w:rPr>
                <w:rFonts w:ascii="Times New Roman" w:eastAsia="Times New Roman"/>
                <w:color w:val="000000" w:themeColor="text1"/>
                <w:spacing w:val="-4"/>
                <w:sz w:val="24"/>
                <w14:textFill>
                  <w14:solidFill>
                    <w14:schemeClr w14:val="tx1"/>
                  </w14:solidFill>
                </w14:textFill>
              </w:rPr>
              <w:t>3</w:t>
            </w:r>
            <w:r>
              <w:rPr>
                <w:rFonts w:hint="eastAsia" w:ascii="宋体" w:hAnsi="宋体" w:eastAsia="宋体" w:cs="宋体"/>
                <w:color w:val="000000" w:themeColor="text1"/>
                <w:spacing w:val="-4"/>
                <w:sz w:val="24"/>
                <w14:textFill>
                  <w14:solidFill>
                    <w14:schemeClr w14:val="tx1"/>
                  </w14:solidFill>
                </w14:textFill>
              </w:rPr>
              <w:t>）</w:t>
            </w:r>
            <w:r>
              <w:rPr>
                <w:rFonts w:ascii="Times New Roman" w:eastAsia="Times New Roman"/>
                <w:color w:val="000000" w:themeColor="text1"/>
                <w:spacing w:val="-4"/>
                <w:sz w:val="24"/>
                <w14:textFill>
                  <w14:solidFill>
                    <w14:schemeClr w14:val="tx1"/>
                  </w14:solidFill>
                </w14:textFill>
              </w:rPr>
              <w:t>+</w:t>
            </w:r>
            <w:r>
              <w:rPr>
                <w:rFonts w:hint="eastAsia" w:ascii="宋体" w:hAnsi="宋体" w:eastAsia="宋体" w:cs="宋体"/>
                <w:color w:val="000000" w:themeColor="text1"/>
                <w:spacing w:val="-4"/>
                <w:sz w:val="24"/>
                <w14:textFill>
                  <w14:solidFill>
                    <w14:schemeClr w14:val="tx1"/>
                  </w14:solidFill>
                </w14:textFill>
              </w:rPr>
              <w:t>（</w:t>
            </w:r>
            <w:r>
              <w:rPr>
                <w:rFonts w:ascii="Times New Roman" w:eastAsia="Times New Roman"/>
                <w:color w:val="000000" w:themeColor="text1"/>
                <w:spacing w:val="-4"/>
                <w:sz w:val="24"/>
                <w14:textFill>
                  <w14:solidFill>
                    <w14:schemeClr w14:val="tx1"/>
                  </w14:solidFill>
                </w14:textFill>
              </w:rPr>
              <w:t>4</w:t>
            </w:r>
            <w:r>
              <w:rPr>
                <w:rFonts w:hint="eastAsia" w:ascii="宋体" w:hAnsi="宋体" w:eastAsia="宋体" w:cs="宋体"/>
                <w:color w:val="000000" w:themeColor="text1"/>
                <w:spacing w:val="-4"/>
                <w:sz w:val="24"/>
                <w14:textFill>
                  <w14:solidFill>
                    <w14:schemeClr w14:val="tx1"/>
                  </w14:solidFill>
                </w14:textFill>
              </w:rPr>
              <w:t>）</w:t>
            </w:r>
          </w:p>
        </w:tc>
      </w:tr>
    </w:tbl>
    <w:p>
      <w:pPr>
        <w:pStyle w:val="4"/>
        <w:rPr>
          <w:color w:val="000000" w:themeColor="text1"/>
          <w:sz w:val="20"/>
          <w:highlight w:val="yellow"/>
          <w14:textFill>
            <w14:solidFill>
              <w14:schemeClr w14:val="tx1"/>
            </w14:solidFill>
          </w14:textFill>
        </w:rPr>
      </w:pPr>
    </w:p>
    <w:p>
      <w:pPr>
        <w:pStyle w:val="4"/>
        <w:rPr>
          <w:color w:val="000000" w:themeColor="text1"/>
          <w:sz w:val="20"/>
          <w:highlight w:val="yellow"/>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before="84"/>
        <w:ind w:left="498" w:right="506"/>
        <w:rPr>
          <w:rFonts w:ascii="宋体" w:hAnsi="宋体" w:eastAsia="宋体" w:cs="宋体"/>
          <w:color w:val="000000" w:themeColor="text1"/>
          <w:sz w:val="2"/>
          <w:szCs w:val="2"/>
          <w:lang w:eastAsia="zh-CN"/>
          <w14:textFill>
            <w14:solidFill>
              <w14:schemeClr w14:val="tx1"/>
            </w14:solidFill>
          </w14:textFill>
        </w:rPr>
      </w:pPr>
    </w:p>
    <w:p>
      <w:pPr>
        <w:rPr>
          <w:color w:val="000000" w:themeColor="text1"/>
          <w14:textFill>
            <w14:solidFill>
              <w14:schemeClr w14:val="tx1"/>
            </w14:solidFill>
          </w14:textFill>
        </w:rPr>
      </w:pPr>
    </w:p>
    <w:sectPr>
      <w:pgSz w:w="11910" w:h="16840"/>
      <w:pgMar w:top="1240" w:right="1300" w:bottom="1520" w:left="1300" w:header="968" w:footer="133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lotter">
    <w:altName w:val="Times New Roman"/>
    <w:panose1 w:val="00000000000000000000"/>
    <w:charset w:val="00"/>
    <w:family w:val="roman"/>
    <w:pitch w:val="default"/>
    <w:sig w:usb0="00000000" w:usb1="00000000" w:usb2="00000000" w:usb3="00000000" w:csb0="00040001" w:csb1="00000000"/>
  </w:font>
  <w:font w:name="Noto Sans CJK JP Regular">
    <w:altName w:val="Arial"/>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lang w:eastAsia="zh-CN"/>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lang w:eastAsia="zh-CN"/>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lang w:eastAsia="zh-C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lang w:eastAsia="zh-CN"/>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left="-220" w:leftChars="-100"/>
      <w:rPr>
        <w:sz w:val="20"/>
        <w:szCs w:val="20"/>
      </w:rPr>
    </w:pPr>
    <w:r>
      <w:rPr>
        <w:sz w:val="20"/>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lang w:eastAsia="zh-CN"/>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lang w:eastAsia="zh-CN"/>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lang w:eastAsia="zh-CN"/>
      </w:rPr>
      <mc:AlternateContent>
        <mc:Choice Requires="wps">
          <w:drawing>
            <wp:anchor distT="0" distB="0" distL="114300" distR="114300" simplePos="0" relativeHeight="251661312" behindDoc="1" locked="0" layoutInCell="1" allowOverlap="1">
              <wp:simplePos x="0" y="0"/>
              <wp:positionH relativeFrom="page">
                <wp:posOffset>1129030</wp:posOffset>
              </wp:positionH>
              <wp:positionV relativeFrom="page">
                <wp:posOffset>601345</wp:posOffset>
              </wp:positionV>
              <wp:extent cx="5357495" cy="15875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5357495" cy="158750"/>
                      </a:xfrm>
                      <a:prstGeom prst="rect">
                        <a:avLst/>
                      </a:prstGeom>
                      <a:noFill/>
                      <a:ln w="9525">
                        <a:noFill/>
                      </a:ln>
                      <a:effectLst/>
                    </wps:spPr>
                    <wps:txbx>
                      <w:txbxContent>
                        <w:p/>
                      </w:txbxContent>
                    </wps:txbx>
                    <wps:bodyPr lIns="0" tIns="0" rIns="0" bIns="0" upright="1"/>
                  </wps:wsp>
                </a:graphicData>
              </a:graphic>
            </wp:anchor>
          </w:drawing>
        </mc:Choice>
        <mc:Fallback>
          <w:pict>
            <v:shape id="_x0000_s1026" o:spid="_x0000_s1026" o:spt="202" type="#_x0000_t202" style="position:absolute;left:0pt;margin-left:88.9pt;margin-top:47.35pt;height:12.5pt;width:421.85pt;mso-position-horizontal-relative:page;mso-position-vertical-relative:page;z-index:-251655168;mso-width-relative:page;mso-height-relative:page;" filled="f" stroked="f" coordsize="21600,21600" o:gfxdata="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3xLZy2QAAAAsBAAAPAAAAAAAAAAEAIAAAACIAAABk&#10;cnMvZG93bnJldi54bWxQSwECFAAUAAAACACHTuJAzRGkR8wBAACNAwAADgAAAAAAAAABACAAAAAo&#10;AQAAZHJzL2Uyb0RvYy54bWxQSwUGAAAAAAYABgBZAQAAZgUAAAAA&#10;">
              <v:fill on="f" focussize="0,0"/>
              <v:stroke on="f"/>
              <v:imagedata o:title=""/>
              <o:lock v:ext="edit" aspectratio="f"/>
              <v:textbox inset="0mm,0mm,0mm,0mm">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1">
    <w:nsid w:val="825EC3C5"/>
    <w:multiLevelType w:val="multilevel"/>
    <w:tmpl w:val="825EC3C5"/>
    <w:lvl w:ilvl="0" w:tentative="0">
      <w:start w:val="1"/>
      <w:numFmt w:val="decimal"/>
      <w:lvlText w:val="（%1）"/>
      <w:lvlJc w:val="left"/>
      <w:pPr>
        <w:ind w:left="424" w:hanging="601"/>
      </w:pPr>
      <w:rPr>
        <w:rFonts w:hint="default" w:ascii="宋体" w:hAnsi="宋体" w:eastAsia="宋体" w:cs="宋体"/>
        <w:spacing w:val="-44"/>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2">
    <w:nsid w:val="883B3669"/>
    <w:multiLevelType w:val="multilevel"/>
    <w:tmpl w:val="883B3669"/>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3">
    <w:nsid w:val="91B69C97"/>
    <w:multiLevelType w:val="multilevel"/>
    <w:tmpl w:val="91B69C97"/>
    <w:lvl w:ilvl="0" w:tentative="0">
      <w:start w:val="1"/>
      <w:numFmt w:val="decimal"/>
      <w:lvlText w:val="（%1）"/>
      <w:lvlJc w:val="left"/>
      <w:pPr>
        <w:ind w:left="424" w:hanging="601"/>
      </w:pPr>
      <w:rPr>
        <w:rFonts w:hint="default" w:ascii="宋体" w:hAnsi="宋体" w:eastAsia="宋体" w:cs="宋体"/>
        <w:spacing w:val="-22"/>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4">
    <w:nsid w:val="9377BC45"/>
    <w:multiLevelType w:val="multilevel"/>
    <w:tmpl w:val="9377BC45"/>
    <w:lvl w:ilvl="0" w:tentative="0">
      <w:start w:val="1"/>
      <w:numFmt w:val="decimal"/>
      <w:lvlText w:val="（%1）"/>
      <w:lvlJc w:val="left"/>
      <w:pPr>
        <w:ind w:left="424" w:hanging="601"/>
      </w:pPr>
      <w:rPr>
        <w:rFonts w:hint="default" w:ascii="宋体" w:hAnsi="宋体" w:eastAsia="宋体" w:cs="宋体"/>
        <w:spacing w:val="-29"/>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5">
    <w:nsid w:val="9ACF65A0"/>
    <w:multiLevelType w:val="multilevel"/>
    <w:tmpl w:val="9ACF65A0"/>
    <w:lvl w:ilvl="0" w:tentative="0">
      <w:start w:val="4"/>
      <w:numFmt w:val="decimal"/>
      <w:lvlText w:val="%1"/>
      <w:lvlJc w:val="left"/>
      <w:pPr>
        <w:ind w:left="1326" w:hanging="420"/>
      </w:pPr>
      <w:rPr>
        <w:rFonts w:hint="default" w:cs="Times New Roman"/>
      </w:rPr>
    </w:lvl>
    <w:lvl w:ilvl="1" w:tentative="0">
      <w:start w:val="4"/>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8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6">
    <w:nsid w:val="9C11E984"/>
    <w:multiLevelType w:val="multilevel"/>
    <w:tmpl w:val="9C11E984"/>
    <w:lvl w:ilvl="0" w:tentative="0">
      <w:start w:val="8"/>
      <w:numFmt w:val="decimal"/>
      <w:lvlText w:val="%1"/>
      <w:lvlJc w:val="left"/>
      <w:pPr>
        <w:ind w:left="1326" w:hanging="420"/>
      </w:pPr>
      <w:rPr>
        <w:rFonts w:hint="default" w:cs="Times New Roman"/>
      </w:rPr>
    </w:lvl>
    <w:lvl w:ilvl="1" w:tentative="0">
      <w:start w:val="2"/>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4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7">
    <w:nsid w:val="9D5D7490"/>
    <w:multiLevelType w:val="multilevel"/>
    <w:tmpl w:val="9D5D7490"/>
    <w:lvl w:ilvl="0" w:tentative="0">
      <w:start w:val="1"/>
      <w:numFmt w:val="decimal"/>
      <w:lvlText w:val="（%1）"/>
      <w:lvlJc w:val="left"/>
      <w:pPr>
        <w:ind w:left="1505" w:hanging="601"/>
      </w:pPr>
      <w:rPr>
        <w:rFonts w:hint="default" w:ascii="宋体" w:hAnsi="宋体" w:eastAsia="宋体" w:cs="宋体"/>
        <w:spacing w:val="-44"/>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8">
    <w:nsid w:val="9F81B9F9"/>
    <w:multiLevelType w:val="multilevel"/>
    <w:tmpl w:val="9F81B9F9"/>
    <w:lvl w:ilvl="0" w:tentative="0">
      <w:start w:val="12"/>
      <w:numFmt w:val="decimal"/>
      <w:lvlText w:val="%1"/>
      <w:lvlJc w:val="left"/>
      <w:pPr>
        <w:ind w:left="1446" w:hanging="540"/>
      </w:pPr>
      <w:rPr>
        <w:rFonts w:hint="default" w:cs="Times New Roman"/>
      </w:rPr>
    </w:lvl>
    <w:lvl w:ilvl="1" w:tentative="0">
      <w:start w:val="2"/>
      <w:numFmt w:val="decimal"/>
      <w:lvlText w:val="%1.%2"/>
      <w:lvlJc w:val="left"/>
      <w:pPr>
        <w:ind w:left="1446" w:hanging="54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720"/>
      </w:pPr>
      <w:rPr>
        <w:rFonts w:hint="default" w:ascii="Times New Roman" w:hAnsi="Times New Roman" w:eastAsia="Times New Roman" w:cs="Times New Roman"/>
        <w:spacing w:val="-13"/>
        <w:w w:val="100"/>
        <w:sz w:val="24"/>
        <w:szCs w:val="24"/>
      </w:rPr>
    </w:lvl>
    <w:lvl w:ilvl="3" w:tentative="0">
      <w:start w:val="0"/>
      <w:numFmt w:val="bullet"/>
      <w:lvlText w:val="•"/>
      <w:lvlJc w:val="left"/>
      <w:pPr>
        <w:ind w:left="2663" w:hanging="720"/>
      </w:pPr>
      <w:rPr>
        <w:rFonts w:hint="default"/>
      </w:rPr>
    </w:lvl>
    <w:lvl w:ilvl="4" w:tentative="0">
      <w:start w:val="0"/>
      <w:numFmt w:val="bullet"/>
      <w:lvlText w:val="•"/>
      <w:lvlJc w:val="left"/>
      <w:pPr>
        <w:ind w:left="3706" w:hanging="720"/>
      </w:pPr>
      <w:rPr>
        <w:rFonts w:hint="default"/>
      </w:rPr>
    </w:lvl>
    <w:lvl w:ilvl="5" w:tentative="0">
      <w:start w:val="0"/>
      <w:numFmt w:val="bullet"/>
      <w:lvlText w:val="•"/>
      <w:lvlJc w:val="left"/>
      <w:pPr>
        <w:ind w:left="4749" w:hanging="720"/>
      </w:pPr>
      <w:rPr>
        <w:rFonts w:hint="default"/>
      </w:rPr>
    </w:lvl>
    <w:lvl w:ilvl="6" w:tentative="0">
      <w:start w:val="0"/>
      <w:numFmt w:val="bullet"/>
      <w:lvlText w:val="•"/>
      <w:lvlJc w:val="left"/>
      <w:pPr>
        <w:ind w:left="5793" w:hanging="720"/>
      </w:pPr>
      <w:rPr>
        <w:rFonts w:hint="default"/>
      </w:rPr>
    </w:lvl>
    <w:lvl w:ilvl="7" w:tentative="0">
      <w:start w:val="0"/>
      <w:numFmt w:val="bullet"/>
      <w:lvlText w:val="•"/>
      <w:lvlJc w:val="left"/>
      <w:pPr>
        <w:ind w:left="6836" w:hanging="720"/>
      </w:pPr>
      <w:rPr>
        <w:rFonts w:hint="default"/>
      </w:rPr>
    </w:lvl>
    <w:lvl w:ilvl="8" w:tentative="0">
      <w:start w:val="0"/>
      <w:numFmt w:val="bullet"/>
      <w:lvlText w:val="•"/>
      <w:lvlJc w:val="left"/>
      <w:pPr>
        <w:ind w:left="7879" w:hanging="720"/>
      </w:pPr>
      <w:rPr>
        <w:rFonts w:hint="default"/>
      </w:rPr>
    </w:lvl>
  </w:abstractNum>
  <w:abstractNum w:abstractNumId="9">
    <w:nsid w:val="A0C93552"/>
    <w:multiLevelType w:val="multilevel"/>
    <w:tmpl w:val="A0C93552"/>
    <w:lvl w:ilvl="0" w:tentative="0">
      <w:start w:val="1"/>
      <w:numFmt w:val="decimal"/>
      <w:lvlText w:val="%1"/>
      <w:lvlJc w:val="left"/>
      <w:pPr>
        <w:ind w:left="1326" w:hanging="420"/>
      </w:pPr>
      <w:rPr>
        <w:rFonts w:hint="default" w:cs="Times New Roman"/>
      </w:rPr>
    </w:lvl>
    <w:lvl w:ilvl="1" w:tentative="0">
      <w:start w:val="8"/>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720"/>
      </w:pPr>
      <w:rPr>
        <w:rFonts w:hint="default" w:ascii="Times New Roman" w:hAnsi="Times New Roman" w:eastAsia="Times New Roman" w:cs="Times New Roman"/>
        <w:spacing w:val="-14"/>
        <w:w w:val="100"/>
        <w:sz w:val="24"/>
        <w:szCs w:val="24"/>
      </w:rPr>
    </w:lvl>
    <w:lvl w:ilvl="3" w:tentative="0">
      <w:start w:val="0"/>
      <w:numFmt w:val="bullet"/>
      <w:lvlText w:val="•"/>
      <w:lvlJc w:val="left"/>
      <w:pPr>
        <w:ind w:left="3241" w:hanging="720"/>
      </w:pPr>
      <w:rPr>
        <w:rFonts w:hint="default"/>
      </w:rPr>
    </w:lvl>
    <w:lvl w:ilvl="4" w:tentative="0">
      <w:start w:val="0"/>
      <w:numFmt w:val="bullet"/>
      <w:lvlText w:val="•"/>
      <w:lvlJc w:val="left"/>
      <w:pPr>
        <w:ind w:left="4202" w:hanging="720"/>
      </w:pPr>
      <w:rPr>
        <w:rFonts w:hint="default"/>
      </w:rPr>
    </w:lvl>
    <w:lvl w:ilvl="5" w:tentative="0">
      <w:start w:val="0"/>
      <w:numFmt w:val="bullet"/>
      <w:lvlText w:val="•"/>
      <w:lvlJc w:val="left"/>
      <w:pPr>
        <w:ind w:left="5162" w:hanging="720"/>
      </w:pPr>
      <w:rPr>
        <w:rFonts w:hint="default"/>
      </w:rPr>
    </w:lvl>
    <w:lvl w:ilvl="6" w:tentative="0">
      <w:start w:val="0"/>
      <w:numFmt w:val="bullet"/>
      <w:lvlText w:val="•"/>
      <w:lvlJc w:val="left"/>
      <w:pPr>
        <w:ind w:left="6123" w:hanging="720"/>
      </w:pPr>
      <w:rPr>
        <w:rFonts w:hint="default"/>
      </w:rPr>
    </w:lvl>
    <w:lvl w:ilvl="7" w:tentative="0">
      <w:start w:val="0"/>
      <w:numFmt w:val="bullet"/>
      <w:lvlText w:val="•"/>
      <w:lvlJc w:val="left"/>
      <w:pPr>
        <w:ind w:left="7084" w:hanging="720"/>
      </w:pPr>
      <w:rPr>
        <w:rFonts w:hint="default"/>
      </w:rPr>
    </w:lvl>
    <w:lvl w:ilvl="8" w:tentative="0">
      <w:start w:val="0"/>
      <w:numFmt w:val="bullet"/>
      <w:lvlText w:val="•"/>
      <w:lvlJc w:val="left"/>
      <w:pPr>
        <w:ind w:left="8044" w:hanging="720"/>
      </w:pPr>
      <w:rPr>
        <w:rFonts w:hint="default"/>
      </w:rPr>
    </w:lvl>
  </w:abstractNum>
  <w:abstractNum w:abstractNumId="10">
    <w:nsid w:val="A0F05207"/>
    <w:multiLevelType w:val="multilevel"/>
    <w:tmpl w:val="A0F05207"/>
    <w:lvl w:ilvl="0" w:tentative="0">
      <w:start w:val="1"/>
      <w:numFmt w:val="decimal"/>
      <w:lvlText w:val="%1"/>
      <w:lvlJc w:val="left"/>
      <w:pPr>
        <w:ind w:left="1504" w:hanging="600"/>
      </w:pPr>
      <w:rPr>
        <w:rFonts w:hint="default" w:cs="Times New Roman"/>
      </w:rPr>
    </w:lvl>
    <w:lvl w:ilvl="1" w:tentative="0">
      <w:start w:val="1"/>
      <w:numFmt w:val="decimal"/>
      <w:lvlText w:val="%1.%2"/>
      <w:lvlJc w:val="left"/>
      <w:pPr>
        <w:ind w:left="1504" w:hanging="600"/>
      </w:pPr>
      <w:rPr>
        <w:rFonts w:hint="default" w:cs="Times New Roman"/>
      </w:rPr>
    </w:lvl>
    <w:lvl w:ilvl="2" w:tentative="0">
      <w:start w:val="2"/>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1"/>
      <w:numFmt w:val="decimal"/>
      <w:lvlText w:val="%1.%2.%3.%4"/>
      <w:lvlJc w:val="left"/>
      <w:pPr>
        <w:ind w:left="1684" w:hanging="780"/>
      </w:pPr>
      <w:rPr>
        <w:rFonts w:hint="default" w:ascii="Times New Roman" w:hAnsi="Times New Roman" w:eastAsia="Times New Roman" w:cs="Times New Roman"/>
        <w:w w:val="100"/>
        <w:sz w:val="24"/>
        <w:szCs w:val="24"/>
      </w:rPr>
    </w:lvl>
    <w:lvl w:ilvl="4" w:tentative="0">
      <w:start w:val="0"/>
      <w:numFmt w:val="bullet"/>
      <w:lvlText w:val="•"/>
      <w:lvlJc w:val="left"/>
      <w:pPr>
        <w:ind w:left="4442" w:hanging="780"/>
      </w:pPr>
      <w:rPr>
        <w:rFonts w:hint="default"/>
      </w:rPr>
    </w:lvl>
    <w:lvl w:ilvl="5" w:tentative="0">
      <w:start w:val="0"/>
      <w:numFmt w:val="bullet"/>
      <w:lvlText w:val="•"/>
      <w:lvlJc w:val="left"/>
      <w:pPr>
        <w:ind w:left="5362" w:hanging="780"/>
      </w:pPr>
      <w:rPr>
        <w:rFonts w:hint="default"/>
      </w:rPr>
    </w:lvl>
    <w:lvl w:ilvl="6" w:tentative="0">
      <w:start w:val="0"/>
      <w:numFmt w:val="bullet"/>
      <w:lvlText w:val="•"/>
      <w:lvlJc w:val="left"/>
      <w:pPr>
        <w:ind w:left="6283" w:hanging="780"/>
      </w:pPr>
      <w:rPr>
        <w:rFonts w:hint="default"/>
      </w:rPr>
    </w:lvl>
    <w:lvl w:ilvl="7" w:tentative="0">
      <w:start w:val="0"/>
      <w:numFmt w:val="bullet"/>
      <w:lvlText w:val="•"/>
      <w:lvlJc w:val="left"/>
      <w:pPr>
        <w:ind w:left="7204" w:hanging="780"/>
      </w:pPr>
      <w:rPr>
        <w:rFonts w:hint="default"/>
      </w:rPr>
    </w:lvl>
    <w:lvl w:ilvl="8" w:tentative="0">
      <w:start w:val="0"/>
      <w:numFmt w:val="bullet"/>
      <w:lvlText w:val="•"/>
      <w:lvlJc w:val="left"/>
      <w:pPr>
        <w:ind w:left="8124" w:hanging="780"/>
      </w:pPr>
      <w:rPr>
        <w:rFonts w:hint="default"/>
      </w:rPr>
    </w:lvl>
  </w:abstractNum>
  <w:abstractNum w:abstractNumId="11">
    <w:nsid w:val="A9AC3AA7"/>
    <w:multiLevelType w:val="multilevel"/>
    <w:tmpl w:val="A9AC3AA7"/>
    <w:lvl w:ilvl="0" w:tentative="0">
      <w:start w:val="9"/>
      <w:numFmt w:val="decimal"/>
      <w:lvlText w:val="%1"/>
      <w:lvlJc w:val="left"/>
      <w:pPr>
        <w:ind w:left="1326" w:hanging="420"/>
      </w:pPr>
      <w:rPr>
        <w:rFonts w:hint="default" w:cs="Times New Roman"/>
      </w:rPr>
    </w:lvl>
    <w:lvl w:ilvl="1" w:tentative="0">
      <w:start w:val="4"/>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8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12">
    <w:nsid w:val="AAF3F3FA"/>
    <w:multiLevelType w:val="multilevel"/>
    <w:tmpl w:val="AAF3F3FA"/>
    <w:lvl w:ilvl="0" w:tentative="0">
      <w:start w:val="1"/>
      <w:numFmt w:val="decimal"/>
      <w:lvlText w:val="（%1）"/>
      <w:lvlJc w:val="left"/>
      <w:pPr>
        <w:ind w:left="424" w:hanging="601"/>
      </w:pPr>
      <w:rPr>
        <w:rFonts w:hint="default" w:ascii="宋体" w:hAnsi="宋体" w:eastAsia="宋体" w:cs="宋体"/>
        <w:spacing w:val="-29"/>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13">
    <w:nsid w:val="B0ED9BEA"/>
    <w:multiLevelType w:val="multilevel"/>
    <w:tmpl w:val="B0ED9BEA"/>
    <w:lvl w:ilvl="0" w:tentative="0">
      <w:start w:val="5"/>
      <w:numFmt w:val="decimal"/>
      <w:lvlText w:val="%1"/>
      <w:lvlJc w:val="left"/>
      <w:pPr>
        <w:ind w:left="1326" w:hanging="420"/>
      </w:pPr>
      <w:rPr>
        <w:rFonts w:hint="default" w:cs="Times New Roman"/>
      </w:rPr>
    </w:lvl>
    <w:lvl w:ilvl="1" w:tentative="0">
      <w:start w:val="4"/>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2558" w:hanging="600"/>
      </w:pPr>
      <w:rPr>
        <w:rFonts w:hint="default"/>
      </w:rPr>
    </w:lvl>
    <w:lvl w:ilvl="4" w:tentative="0">
      <w:start w:val="0"/>
      <w:numFmt w:val="bullet"/>
      <w:lvlText w:val="•"/>
      <w:lvlJc w:val="left"/>
      <w:pPr>
        <w:ind w:left="3616" w:hanging="600"/>
      </w:pPr>
      <w:rPr>
        <w:rFonts w:hint="default"/>
      </w:rPr>
    </w:lvl>
    <w:lvl w:ilvl="5" w:tentative="0">
      <w:start w:val="0"/>
      <w:numFmt w:val="bullet"/>
      <w:lvlText w:val="•"/>
      <w:lvlJc w:val="left"/>
      <w:pPr>
        <w:ind w:left="4674" w:hanging="600"/>
      </w:pPr>
      <w:rPr>
        <w:rFonts w:hint="default"/>
      </w:rPr>
    </w:lvl>
    <w:lvl w:ilvl="6" w:tentative="0">
      <w:start w:val="0"/>
      <w:numFmt w:val="bullet"/>
      <w:lvlText w:val="•"/>
      <w:lvlJc w:val="left"/>
      <w:pPr>
        <w:ind w:left="5733" w:hanging="600"/>
      </w:pPr>
      <w:rPr>
        <w:rFonts w:hint="default"/>
      </w:rPr>
    </w:lvl>
    <w:lvl w:ilvl="7" w:tentative="0">
      <w:start w:val="0"/>
      <w:numFmt w:val="bullet"/>
      <w:lvlText w:val="•"/>
      <w:lvlJc w:val="left"/>
      <w:pPr>
        <w:ind w:left="6791" w:hanging="600"/>
      </w:pPr>
      <w:rPr>
        <w:rFonts w:hint="default"/>
      </w:rPr>
    </w:lvl>
    <w:lvl w:ilvl="8" w:tentative="0">
      <w:start w:val="0"/>
      <w:numFmt w:val="bullet"/>
      <w:lvlText w:val="•"/>
      <w:lvlJc w:val="left"/>
      <w:pPr>
        <w:ind w:left="7849" w:hanging="600"/>
      </w:pPr>
      <w:rPr>
        <w:rFonts w:hint="default"/>
      </w:rPr>
    </w:lvl>
  </w:abstractNum>
  <w:abstractNum w:abstractNumId="14">
    <w:nsid w:val="B23A94A9"/>
    <w:multiLevelType w:val="multilevel"/>
    <w:tmpl w:val="B23A94A9"/>
    <w:lvl w:ilvl="0" w:tentative="0">
      <w:start w:val="1"/>
      <w:numFmt w:val="lowerLetter"/>
      <w:lvlText w:val="%1."/>
      <w:lvlJc w:val="left"/>
      <w:pPr>
        <w:ind w:left="1070" w:hanging="167"/>
      </w:pPr>
      <w:rPr>
        <w:rFonts w:hint="default" w:ascii="Times New Roman" w:hAnsi="Times New Roman" w:eastAsia="Times New Roman" w:cs="Times New Roman"/>
        <w:spacing w:val="-1"/>
        <w:w w:val="100"/>
        <w:sz w:val="22"/>
        <w:szCs w:val="22"/>
      </w:rPr>
    </w:lvl>
    <w:lvl w:ilvl="1" w:tentative="0">
      <w:start w:val="0"/>
      <w:numFmt w:val="bullet"/>
      <w:lvlText w:val="•"/>
      <w:lvlJc w:val="left"/>
      <w:pPr>
        <w:ind w:left="1968" w:hanging="167"/>
      </w:pPr>
      <w:rPr>
        <w:rFonts w:hint="default"/>
      </w:rPr>
    </w:lvl>
    <w:lvl w:ilvl="2" w:tentative="0">
      <w:start w:val="0"/>
      <w:numFmt w:val="bullet"/>
      <w:lvlText w:val="•"/>
      <w:lvlJc w:val="left"/>
      <w:pPr>
        <w:ind w:left="2857" w:hanging="167"/>
      </w:pPr>
      <w:rPr>
        <w:rFonts w:hint="default"/>
      </w:rPr>
    </w:lvl>
    <w:lvl w:ilvl="3" w:tentative="0">
      <w:start w:val="0"/>
      <w:numFmt w:val="bullet"/>
      <w:lvlText w:val="•"/>
      <w:lvlJc w:val="left"/>
      <w:pPr>
        <w:ind w:left="3745" w:hanging="167"/>
      </w:pPr>
      <w:rPr>
        <w:rFonts w:hint="default"/>
      </w:rPr>
    </w:lvl>
    <w:lvl w:ilvl="4" w:tentative="0">
      <w:start w:val="0"/>
      <w:numFmt w:val="bullet"/>
      <w:lvlText w:val="•"/>
      <w:lvlJc w:val="left"/>
      <w:pPr>
        <w:ind w:left="4634" w:hanging="167"/>
      </w:pPr>
      <w:rPr>
        <w:rFonts w:hint="default"/>
      </w:rPr>
    </w:lvl>
    <w:lvl w:ilvl="5" w:tentative="0">
      <w:start w:val="0"/>
      <w:numFmt w:val="bullet"/>
      <w:lvlText w:val="•"/>
      <w:lvlJc w:val="left"/>
      <w:pPr>
        <w:ind w:left="5523" w:hanging="167"/>
      </w:pPr>
      <w:rPr>
        <w:rFonts w:hint="default"/>
      </w:rPr>
    </w:lvl>
    <w:lvl w:ilvl="6" w:tentative="0">
      <w:start w:val="0"/>
      <w:numFmt w:val="bullet"/>
      <w:lvlText w:val="•"/>
      <w:lvlJc w:val="left"/>
      <w:pPr>
        <w:ind w:left="6411" w:hanging="167"/>
      </w:pPr>
      <w:rPr>
        <w:rFonts w:hint="default"/>
      </w:rPr>
    </w:lvl>
    <w:lvl w:ilvl="7" w:tentative="0">
      <w:start w:val="0"/>
      <w:numFmt w:val="bullet"/>
      <w:lvlText w:val="•"/>
      <w:lvlJc w:val="left"/>
      <w:pPr>
        <w:ind w:left="7300" w:hanging="167"/>
      </w:pPr>
      <w:rPr>
        <w:rFonts w:hint="default"/>
      </w:rPr>
    </w:lvl>
    <w:lvl w:ilvl="8" w:tentative="0">
      <w:start w:val="0"/>
      <w:numFmt w:val="bullet"/>
      <w:lvlText w:val="•"/>
      <w:lvlJc w:val="left"/>
      <w:pPr>
        <w:ind w:left="8189" w:hanging="167"/>
      </w:pPr>
      <w:rPr>
        <w:rFonts w:hint="default"/>
      </w:rPr>
    </w:lvl>
  </w:abstractNum>
  <w:abstractNum w:abstractNumId="15">
    <w:nsid w:val="B53F3350"/>
    <w:multiLevelType w:val="multilevel"/>
    <w:tmpl w:val="B53F3350"/>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16">
    <w:nsid w:val="B88D21A8"/>
    <w:multiLevelType w:val="multilevel"/>
    <w:tmpl w:val="B88D21A8"/>
    <w:lvl w:ilvl="0" w:tentative="0">
      <w:start w:val="3"/>
      <w:numFmt w:val="decimal"/>
      <w:lvlText w:val="%1"/>
      <w:lvlJc w:val="left"/>
      <w:pPr>
        <w:ind w:left="1326" w:hanging="420"/>
      </w:pPr>
      <w:rPr>
        <w:rFonts w:hint="default" w:cs="Times New Roman"/>
      </w:rPr>
    </w:lvl>
    <w:lvl w:ilvl="1" w:tentative="0">
      <w:start w:val="4"/>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60"/>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17">
    <w:nsid w:val="BCECA0B4"/>
    <w:multiLevelType w:val="multilevel"/>
    <w:tmpl w:val="BCECA0B4"/>
    <w:lvl w:ilvl="0" w:tentative="0">
      <w:start w:val="6"/>
      <w:numFmt w:val="decimal"/>
      <w:lvlText w:val="%1"/>
      <w:lvlJc w:val="left"/>
      <w:pPr>
        <w:ind w:left="1326" w:hanging="420"/>
      </w:pPr>
      <w:rPr>
        <w:rFonts w:hint="default" w:cs="Times New Roman"/>
      </w:rPr>
    </w:lvl>
    <w:lvl w:ilvl="1" w:tentative="0">
      <w:start w:val="6"/>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29"/>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18">
    <w:nsid w:val="BDA1395C"/>
    <w:multiLevelType w:val="multilevel"/>
    <w:tmpl w:val="BDA1395C"/>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19">
    <w:nsid w:val="BE8A4F4C"/>
    <w:multiLevelType w:val="multilevel"/>
    <w:tmpl w:val="BE8A4F4C"/>
    <w:lvl w:ilvl="0" w:tentative="0">
      <w:start w:val="5"/>
      <w:numFmt w:val="decimal"/>
      <w:lvlText w:val="%1"/>
      <w:lvlJc w:val="left"/>
      <w:pPr>
        <w:ind w:left="1326" w:hanging="420"/>
      </w:pPr>
      <w:rPr>
        <w:rFonts w:hint="default" w:cs="Times New Roman"/>
      </w:rPr>
    </w:lvl>
    <w:lvl w:ilvl="1" w:tentative="0">
      <w:start w:val="6"/>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2558" w:hanging="600"/>
      </w:pPr>
      <w:rPr>
        <w:rFonts w:hint="default"/>
      </w:rPr>
    </w:lvl>
    <w:lvl w:ilvl="4" w:tentative="0">
      <w:start w:val="0"/>
      <w:numFmt w:val="bullet"/>
      <w:lvlText w:val="•"/>
      <w:lvlJc w:val="left"/>
      <w:pPr>
        <w:ind w:left="3616" w:hanging="600"/>
      </w:pPr>
      <w:rPr>
        <w:rFonts w:hint="default"/>
      </w:rPr>
    </w:lvl>
    <w:lvl w:ilvl="5" w:tentative="0">
      <w:start w:val="0"/>
      <w:numFmt w:val="bullet"/>
      <w:lvlText w:val="•"/>
      <w:lvlJc w:val="left"/>
      <w:pPr>
        <w:ind w:left="4674" w:hanging="600"/>
      </w:pPr>
      <w:rPr>
        <w:rFonts w:hint="default"/>
      </w:rPr>
    </w:lvl>
    <w:lvl w:ilvl="6" w:tentative="0">
      <w:start w:val="0"/>
      <w:numFmt w:val="bullet"/>
      <w:lvlText w:val="•"/>
      <w:lvlJc w:val="left"/>
      <w:pPr>
        <w:ind w:left="5733" w:hanging="600"/>
      </w:pPr>
      <w:rPr>
        <w:rFonts w:hint="default"/>
      </w:rPr>
    </w:lvl>
    <w:lvl w:ilvl="7" w:tentative="0">
      <w:start w:val="0"/>
      <w:numFmt w:val="bullet"/>
      <w:lvlText w:val="•"/>
      <w:lvlJc w:val="left"/>
      <w:pPr>
        <w:ind w:left="6791" w:hanging="600"/>
      </w:pPr>
      <w:rPr>
        <w:rFonts w:hint="default"/>
      </w:rPr>
    </w:lvl>
    <w:lvl w:ilvl="8" w:tentative="0">
      <w:start w:val="0"/>
      <w:numFmt w:val="bullet"/>
      <w:lvlText w:val="•"/>
      <w:lvlJc w:val="left"/>
      <w:pPr>
        <w:ind w:left="7849" w:hanging="600"/>
      </w:pPr>
      <w:rPr>
        <w:rFonts w:hint="default"/>
      </w:rPr>
    </w:lvl>
  </w:abstractNum>
  <w:abstractNum w:abstractNumId="20">
    <w:nsid w:val="BF50FE6B"/>
    <w:multiLevelType w:val="multilevel"/>
    <w:tmpl w:val="BF50FE6B"/>
    <w:lvl w:ilvl="0" w:tentative="0">
      <w:start w:val="13"/>
      <w:numFmt w:val="decimal"/>
      <w:lvlText w:val="%1"/>
      <w:lvlJc w:val="left"/>
      <w:pPr>
        <w:ind w:left="1446" w:hanging="540"/>
      </w:pPr>
      <w:rPr>
        <w:rFonts w:hint="default" w:cs="Times New Roman"/>
      </w:rPr>
    </w:lvl>
    <w:lvl w:ilvl="1" w:tentative="0">
      <w:start w:val="2"/>
      <w:numFmt w:val="decimal"/>
      <w:lvlText w:val="%1.%2"/>
      <w:lvlJc w:val="left"/>
      <w:pPr>
        <w:ind w:left="1446" w:hanging="54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720"/>
      </w:pPr>
      <w:rPr>
        <w:rFonts w:hint="default" w:ascii="Times New Roman" w:hAnsi="Times New Roman" w:eastAsia="Times New Roman" w:cs="Times New Roman"/>
        <w:spacing w:val="-14"/>
        <w:w w:val="100"/>
        <w:sz w:val="24"/>
        <w:szCs w:val="24"/>
      </w:rPr>
    </w:lvl>
    <w:lvl w:ilvl="3" w:tentative="0">
      <w:start w:val="0"/>
      <w:numFmt w:val="bullet"/>
      <w:lvlText w:val="•"/>
      <w:lvlJc w:val="left"/>
      <w:pPr>
        <w:ind w:left="3334" w:hanging="720"/>
      </w:pPr>
      <w:rPr>
        <w:rFonts w:hint="default"/>
      </w:rPr>
    </w:lvl>
    <w:lvl w:ilvl="4" w:tentative="0">
      <w:start w:val="0"/>
      <w:numFmt w:val="bullet"/>
      <w:lvlText w:val="•"/>
      <w:lvlJc w:val="left"/>
      <w:pPr>
        <w:ind w:left="4282" w:hanging="720"/>
      </w:pPr>
      <w:rPr>
        <w:rFonts w:hint="default"/>
      </w:rPr>
    </w:lvl>
    <w:lvl w:ilvl="5" w:tentative="0">
      <w:start w:val="0"/>
      <w:numFmt w:val="bullet"/>
      <w:lvlText w:val="•"/>
      <w:lvlJc w:val="left"/>
      <w:pPr>
        <w:ind w:left="5229" w:hanging="720"/>
      </w:pPr>
      <w:rPr>
        <w:rFonts w:hint="default"/>
      </w:rPr>
    </w:lvl>
    <w:lvl w:ilvl="6" w:tentative="0">
      <w:start w:val="0"/>
      <w:numFmt w:val="bullet"/>
      <w:lvlText w:val="•"/>
      <w:lvlJc w:val="left"/>
      <w:pPr>
        <w:ind w:left="6176" w:hanging="720"/>
      </w:pPr>
      <w:rPr>
        <w:rFonts w:hint="default"/>
      </w:rPr>
    </w:lvl>
    <w:lvl w:ilvl="7" w:tentative="0">
      <w:start w:val="0"/>
      <w:numFmt w:val="bullet"/>
      <w:lvlText w:val="•"/>
      <w:lvlJc w:val="left"/>
      <w:pPr>
        <w:ind w:left="7124" w:hanging="720"/>
      </w:pPr>
      <w:rPr>
        <w:rFonts w:hint="default"/>
      </w:rPr>
    </w:lvl>
    <w:lvl w:ilvl="8" w:tentative="0">
      <w:start w:val="0"/>
      <w:numFmt w:val="bullet"/>
      <w:lvlText w:val="•"/>
      <w:lvlJc w:val="left"/>
      <w:pPr>
        <w:ind w:left="8071" w:hanging="720"/>
      </w:pPr>
      <w:rPr>
        <w:rFonts w:hint="default"/>
      </w:rPr>
    </w:lvl>
  </w:abstractNum>
  <w:abstractNum w:abstractNumId="21">
    <w:nsid w:val="C0915F4F"/>
    <w:multiLevelType w:val="multilevel"/>
    <w:tmpl w:val="C0915F4F"/>
    <w:lvl w:ilvl="0" w:tentative="0">
      <w:start w:val="1"/>
      <w:numFmt w:val="lowerLetter"/>
      <w:lvlText w:val="%1."/>
      <w:lvlJc w:val="left"/>
      <w:pPr>
        <w:ind w:left="1070" w:hanging="167"/>
      </w:pPr>
      <w:rPr>
        <w:rFonts w:hint="default" w:ascii="Times New Roman" w:hAnsi="Times New Roman" w:eastAsia="Times New Roman" w:cs="Times New Roman"/>
        <w:spacing w:val="-1"/>
        <w:w w:val="100"/>
        <w:sz w:val="22"/>
        <w:szCs w:val="22"/>
      </w:rPr>
    </w:lvl>
    <w:lvl w:ilvl="1" w:tentative="0">
      <w:start w:val="0"/>
      <w:numFmt w:val="bullet"/>
      <w:lvlText w:val="•"/>
      <w:lvlJc w:val="left"/>
      <w:pPr>
        <w:ind w:left="1968" w:hanging="167"/>
      </w:pPr>
      <w:rPr>
        <w:rFonts w:hint="default"/>
      </w:rPr>
    </w:lvl>
    <w:lvl w:ilvl="2" w:tentative="0">
      <w:start w:val="0"/>
      <w:numFmt w:val="bullet"/>
      <w:lvlText w:val="•"/>
      <w:lvlJc w:val="left"/>
      <w:pPr>
        <w:ind w:left="2857" w:hanging="167"/>
      </w:pPr>
      <w:rPr>
        <w:rFonts w:hint="default"/>
      </w:rPr>
    </w:lvl>
    <w:lvl w:ilvl="3" w:tentative="0">
      <w:start w:val="0"/>
      <w:numFmt w:val="bullet"/>
      <w:lvlText w:val="•"/>
      <w:lvlJc w:val="left"/>
      <w:pPr>
        <w:ind w:left="3745" w:hanging="167"/>
      </w:pPr>
      <w:rPr>
        <w:rFonts w:hint="default"/>
      </w:rPr>
    </w:lvl>
    <w:lvl w:ilvl="4" w:tentative="0">
      <w:start w:val="0"/>
      <w:numFmt w:val="bullet"/>
      <w:lvlText w:val="•"/>
      <w:lvlJc w:val="left"/>
      <w:pPr>
        <w:ind w:left="4634" w:hanging="167"/>
      </w:pPr>
      <w:rPr>
        <w:rFonts w:hint="default"/>
      </w:rPr>
    </w:lvl>
    <w:lvl w:ilvl="5" w:tentative="0">
      <w:start w:val="0"/>
      <w:numFmt w:val="bullet"/>
      <w:lvlText w:val="•"/>
      <w:lvlJc w:val="left"/>
      <w:pPr>
        <w:ind w:left="5523" w:hanging="167"/>
      </w:pPr>
      <w:rPr>
        <w:rFonts w:hint="default"/>
      </w:rPr>
    </w:lvl>
    <w:lvl w:ilvl="6" w:tentative="0">
      <w:start w:val="0"/>
      <w:numFmt w:val="bullet"/>
      <w:lvlText w:val="•"/>
      <w:lvlJc w:val="left"/>
      <w:pPr>
        <w:ind w:left="6411" w:hanging="167"/>
      </w:pPr>
      <w:rPr>
        <w:rFonts w:hint="default"/>
      </w:rPr>
    </w:lvl>
    <w:lvl w:ilvl="7" w:tentative="0">
      <w:start w:val="0"/>
      <w:numFmt w:val="bullet"/>
      <w:lvlText w:val="•"/>
      <w:lvlJc w:val="left"/>
      <w:pPr>
        <w:ind w:left="7300" w:hanging="167"/>
      </w:pPr>
      <w:rPr>
        <w:rFonts w:hint="default"/>
      </w:rPr>
    </w:lvl>
    <w:lvl w:ilvl="8" w:tentative="0">
      <w:start w:val="0"/>
      <w:numFmt w:val="bullet"/>
      <w:lvlText w:val="•"/>
      <w:lvlJc w:val="left"/>
      <w:pPr>
        <w:ind w:left="8189" w:hanging="167"/>
      </w:pPr>
      <w:rPr>
        <w:rFonts w:hint="default"/>
      </w:rPr>
    </w:lvl>
  </w:abstractNum>
  <w:abstractNum w:abstractNumId="22">
    <w:nsid w:val="C4E0D24A"/>
    <w:multiLevelType w:val="multilevel"/>
    <w:tmpl w:val="C4E0D24A"/>
    <w:lvl w:ilvl="0" w:tentative="0">
      <w:start w:val="1"/>
      <w:numFmt w:val="decimal"/>
      <w:lvlText w:val="%1"/>
      <w:lvlJc w:val="left"/>
      <w:pPr>
        <w:ind w:left="1326" w:hanging="420"/>
      </w:pPr>
      <w:rPr>
        <w:rFonts w:hint="default" w:cs="Times New Roman"/>
      </w:rPr>
    </w:lvl>
    <w:lvl w:ilvl="1" w:tentative="0">
      <w:start w:val="7"/>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41"/>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23">
    <w:nsid w:val="C90D1B09"/>
    <w:multiLevelType w:val="multilevel"/>
    <w:tmpl w:val="C90D1B09"/>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24">
    <w:nsid w:val="C9412743"/>
    <w:multiLevelType w:val="multilevel"/>
    <w:tmpl w:val="C9412743"/>
    <w:lvl w:ilvl="0" w:tentative="0">
      <w:start w:val="2"/>
      <w:numFmt w:val="decimal"/>
      <w:lvlText w:val="%1."/>
      <w:lvlJc w:val="left"/>
      <w:pPr>
        <w:ind w:left="1061" w:hanging="160"/>
      </w:pPr>
      <w:rPr>
        <w:rFonts w:hint="default" w:ascii="Times New Roman" w:hAnsi="Times New Roman" w:eastAsia="Times New Roman" w:cs="Times New Roman"/>
        <w:w w:val="100"/>
        <w:sz w:val="19"/>
        <w:szCs w:val="19"/>
      </w:rPr>
    </w:lvl>
    <w:lvl w:ilvl="1" w:tentative="0">
      <w:start w:val="0"/>
      <w:numFmt w:val="bullet"/>
      <w:lvlText w:val="•"/>
      <w:lvlJc w:val="left"/>
      <w:pPr>
        <w:ind w:left="1950" w:hanging="160"/>
      </w:pPr>
      <w:rPr>
        <w:rFonts w:hint="default"/>
      </w:rPr>
    </w:lvl>
    <w:lvl w:ilvl="2" w:tentative="0">
      <w:start w:val="0"/>
      <w:numFmt w:val="bullet"/>
      <w:lvlText w:val="•"/>
      <w:lvlJc w:val="left"/>
      <w:pPr>
        <w:ind w:left="2841" w:hanging="160"/>
      </w:pPr>
      <w:rPr>
        <w:rFonts w:hint="default"/>
      </w:rPr>
    </w:lvl>
    <w:lvl w:ilvl="3" w:tentative="0">
      <w:start w:val="0"/>
      <w:numFmt w:val="bullet"/>
      <w:lvlText w:val="•"/>
      <w:lvlJc w:val="left"/>
      <w:pPr>
        <w:ind w:left="3731" w:hanging="160"/>
      </w:pPr>
      <w:rPr>
        <w:rFonts w:hint="default"/>
      </w:rPr>
    </w:lvl>
    <w:lvl w:ilvl="4" w:tentative="0">
      <w:start w:val="0"/>
      <w:numFmt w:val="bullet"/>
      <w:lvlText w:val="•"/>
      <w:lvlJc w:val="left"/>
      <w:pPr>
        <w:ind w:left="4622" w:hanging="160"/>
      </w:pPr>
      <w:rPr>
        <w:rFonts w:hint="default"/>
      </w:rPr>
    </w:lvl>
    <w:lvl w:ilvl="5" w:tentative="0">
      <w:start w:val="0"/>
      <w:numFmt w:val="bullet"/>
      <w:lvlText w:val="•"/>
      <w:lvlJc w:val="left"/>
      <w:pPr>
        <w:ind w:left="5513" w:hanging="160"/>
      </w:pPr>
      <w:rPr>
        <w:rFonts w:hint="default"/>
      </w:rPr>
    </w:lvl>
    <w:lvl w:ilvl="6" w:tentative="0">
      <w:start w:val="0"/>
      <w:numFmt w:val="bullet"/>
      <w:lvlText w:val="•"/>
      <w:lvlJc w:val="left"/>
      <w:pPr>
        <w:ind w:left="6403" w:hanging="160"/>
      </w:pPr>
      <w:rPr>
        <w:rFonts w:hint="default"/>
      </w:rPr>
    </w:lvl>
    <w:lvl w:ilvl="7" w:tentative="0">
      <w:start w:val="0"/>
      <w:numFmt w:val="bullet"/>
      <w:lvlText w:val="•"/>
      <w:lvlJc w:val="left"/>
      <w:pPr>
        <w:ind w:left="7294" w:hanging="160"/>
      </w:pPr>
      <w:rPr>
        <w:rFonts w:hint="default"/>
      </w:rPr>
    </w:lvl>
    <w:lvl w:ilvl="8" w:tentative="0">
      <w:start w:val="0"/>
      <w:numFmt w:val="bullet"/>
      <w:lvlText w:val="•"/>
      <w:lvlJc w:val="left"/>
      <w:pPr>
        <w:ind w:left="8185" w:hanging="160"/>
      </w:pPr>
      <w:rPr>
        <w:rFonts w:hint="default"/>
      </w:rPr>
    </w:lvl>
  </w:abstractNum>
  <w:abstractNum w:abstractNumId="25">
    <w:nsid w:val="D1EB1714"/>
    <w:multiLevelType w:val="multilevel"/>
    <w:tmpl w:val="D1EB1714"/>
    <w:lvl w:ilvl="0" w:tentative="0">
      <w:start w:val="5"/>
      <w:numFmt w:val="decimal"/>
      <w:lvlText w:val="%1"/>
      <w:lvlJc w:val="left"/>
      <w:pPr>
        <w:ind w:left="1446" w:hanging="540"/>
      </w:pPr>
      <w:rPr>
        <w:rFonts w:hint="default" w:cs="Times New Roman"/>
      </w:rPr>
    </w:lvl>
    <w:lvl w:ilvl="1" w:tentative="0">
      <w:start w:val="10"/>
      <w:numFmt w:val="decimal"/>
      <w:lvlText w:val="%1.%2"/>
      <w:lvlJc w:val="left"/>
      <w:pPr>
        <w:ind w:left="1446" w:hanging="54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720"/>
      </w:pPr>
      <w:rPr>
        <w:rFonts w:hint="default" w:ascii="Times New Roman" w:hAnsi="Times New Roman" w:eastAsia="Times New Roman" w:cs="Times New Roman"/>
        <w:spacing w:val="-14"/>
        <w:w w:val="100"/>
        <w:sz w:val="24"/>
        <w:szCs w:val="24"/>
      </w:rPr>
    </w:lvl>
    <w:lvl w:ilvl="3" w:tentative="0">
      <w:start w:val="0"/>
      <w:numFmt w:val="bullet"/>
      <w:lvlText w:val="•"/>
      <w:lvlJc w:val="left"/>
      <w:pPr>
        <w:ind w:left="3334" w:hanging="720"/>
      </w:pPr>
      <w:rPr>
        <w:rFonts w:hint="default"/>
      </w:rPr>
    </w:lvl>
    <w:lvl w:ilvl="4" w:tentative="0">
      <w:start w:val="0"/>
      <w:numFmt w:val="bullet"/>
      <w:lvlText w:val="•"/>
      <w:lvlJc w:val="left"/>
      <w:pPr>
        <w:ind w:left="4282" w:hanging="720"/>
      </w:pPr>
      <w:rPr>
        <w:rFonts w:hint="default"/>
      </w:rPr>
    </w:lvl>
    <w:lvl w:ilvl="5" w:tentative="0">
      <w:start w:val="0"/>
      <w:numFmt w:val="bullet"/>
      <w:lvlText w:val="•"/>
      <w:lvlJc w:val="left"/>
      <w:pPr>
        <w:ind w:left="5229" w:hanging="720"/>
      </w:pPr>
      <w:rPr>
        <w:rFonts w:hint="default"/>
      </w:rPr>
    </w:lvl>
    <w:lvl w:ilvl="6" w:tentative="0">
      <w:start w:val="0"/>
      <w:numFmt w:val="bullet"/>
      <w:lvlText w:val="•"/>
      <w:lvlJc w:val="left"/>
      <w:pPr>
        <w:ind w:left="6176" w:hanging="720"/>
      </w:pPr>
      <w:rPr>
        <w:rFonts w:hint="default"/>
      </w:rPr>
    </w:lvl>
    <w:lvl w:ilvl="7" w:tentative="0">
      <w:start w:val="0"/>
      <w:numFmt w:val="bullet"/>
      <w:lvlText w:val="•"/>
      <w:lvlJc w:val="left"/>
      <w:pPr>
        <w:ind w:left="7124" w:hanging="720"/>
      </w:pPr>
      <w:rPr>
        <w:rFonts w:hint="default"/>
      </w:rPr>
    </w:lvl>
    <w:lvl w:ilvl="8" w:tentative="0">
      <w:start w:val="0"/>
      <w:numFmt w:val="bullet"/>
      <w:lvlText w:val="•"/>
      <w:lvlJc w:val="left"/>
      <w:pPr>
        <w:ind w:left="8071" w:hanging="720"/>
      </w:pPr>
      <w:rPr>
        <w:rFonts w:hint="default"/>
      </w:rPr>
    </w:lvl>
  </w:abstractNum>
  <w:abstractNum w:abstractNumId="26">
    <w:nsid w:val="D7936317"/>
    <w:multiLevelType w:val="multilevel"/>
    <w:tmpl w:val="D7936317"/>
    <w:lvl w:ilvl="0" w:tentative="0">
      <w:start w:val="1"/>
      <w:numFmt w:val="decimal"/>
      <w:lvlText w:val="%1."/>
      <w:lvlJc w:val="left"/>
      <w:pPr>
        <w:ind w:left="482" w:hanging="361"/>
      </w:pPr>
      <w:rPr>
        <w:rFonts w:hint="default" w:ascii="Times New Roman" w:hAnsi="Times New Roman" w:eastAsia="Times New Roman" w:cs="Times New Roman"/>
        <w:spacing w:val="-27"/>
        <w:w w:val="100"/>
        <w:sz w:val="22"/>
        <w:szCs w:val="22"/>
      </w:rPr>
    </w:lvl>
    <w:lvl w:ilvl="1" w:tentative="0">
      <w:start w:val="0"/>
      <w:numFmt w:val="bullet"/>
      <w:lvlText w:val="•"/>
      <w:lvlJc w:val="left"/>
      <w:pPr>
        <w:ind w:left="1428" w:hanging="361"/>
      </w:pPr>
      <w:rPr>
        <w:rFonts w:hint="default"/>
      </w:rPr>
    </w:lvl>
    <w:lvl w:ilvl="2" w:tentative="0">
      <w:start w:val="0"/>
      <w:numFmt w:val="bullet"/>
      <w:lvlText w:val="•"/>
      <w:lvlJc w:val="left"/>
      <w:pPr>
        <w:ind w:left="2377" w:hanging="361"/>
      </w:pPr>
      <w:rPr>
        <w:rFonts w:hint="default"/>
      </w:rPr>
    </w:lvl>
    <w:lvl w:ilvl="3" w:tentative="0">
      <w:start w:val="0"/>
      <w:numFmt w:val="bullet"/>
      <w:lvlText w:val="•"/>
      <w:lvlJc w:val="left"/>
      <w:pPr>
        <w:ind w:left="3325" w:hanging="361"/>
      </w:pPr>
      <w:rPr>
        <w:rFonts w:hint="default"/>
      </w:rPr>
    </w:lvl>
    <w:lvl w:ilvl="4" w:tentative="0">
      <w:start w:val="0"/>
      <w:numFmt w:val="bullet"/>
      <w:lvlText w:val="•"/>
      <w:lvlJc w:val="left"/>
      <w:pPr>
        <w:ind w:left="4274" w:hanging="361"/>
      </w:pPr>
      <w:rPr>
        <w:rFonts w:hint="default"/>
      </w:rPr>
    </w:lvl>
    <w:lvl w:ilvl="5" w:tentative="0">
      <w:start w:val="0"/>
      <w:numFmt w:val="bullet"/>
      <w:lvlText w:val="•"/>
      <w:lvlJc w:val="left"/>
      <w:pPr>
        <w:ind w:left="5223" w:hanging="361"/>
      </w:pPr>
      <w:rPr>
        <w:rFonts w:hint="default"/>
      </w:rPr>
    </w:lvl>
    <w:lvl w:ilvl="6" w:tentative="0">
      <w:start w:val="0"/>
      <w:numFmt w:val="bullet"/>
      <w:lvlText w:val="•"/>
      <w:lvlJc w:val="left"/>
      <w:pPr>
        <w:ind w:left="6171" w:hanging="361"/>
      </w:pPr>
      <w:rPr>
        <w:rFonts w:hint="default"/>
      </w:rPr>
    </w:lvl>
    <w:lvl w:ilvl="7" w:tentative="0">
      <w:start w:val="0"/>
      <w:numFmt w:val="bullet"/>
      <w:lvlText w:val="•"/>
      <w:lvlJc w:val="left"/>
      <w:pPr>
        <w:ind w:left="7120" w:hanging="361"/>
      </w:pPr>
      <w:rPr>
        <w:rFonts w:hint="default"/>
      </w:rPr>
    </w:lvl>
    <w:lvl w:ilvl="8" w:tentative="0">
      <w:start w:val="0"/>
      <w:numFmt w:val="bullet"/>
      <w:lvlText w:val="•"/>
      <w:lvlJc w:val="left"/>
      <w:pPr>
        <w:ind w:left="8069" w:hanging="361"/>
      </w:pPr>
      <w:rPr>
        <w:rFonts w:hint="default"/>
      </w:rPr>
    </w:lvl>
  </w:abstractNum>
  <w:abstractNum w:abstractNumId="27">
    <w:nsid w:val="DAD3A854"/>
    <w:multiLevelType w:val="multilevel"/>
    <w:tmpl w:val="DAD3A854"/>
    <w:lvl w:ilvl="0" w:tentative="0">
      <w:start w:val="3"/>
      <w:numFmt w:val="decimal"/>
      <w:lvlText w:val="%1"/>
      <w:lvlJc w:val="left"/>
      <w:pPr>
        <w:ind w:left="1326" w:hanging="420"/>
      </w:pPr>
      <w:rPr>
        <w:rFonts w:hint="default" w:cs="Times New Roman"/>
      </w:rPr>
    </w:lvl>
    <w:lvl w:ilvl="1" w:tentative="0">
      <w:start w:val="2"/>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8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28">
    <w:nsid w:val="E0294EC7"/>
    <w:multiLevelType w:val="multilevel"/>
    <w:tmpl w:val="E0294EC7"/>
    <w:lvl w:ilvl="0" w:tentative="0">
      <w:start w:val="8"/>
      <w:numFmt w:val="decimal"/>
      <w:lvlText w:val="%1"/>
      <w:lvlJc w:val="left"/>
      <w:pPr>
        <w:ind w:left="1326" w:hanging="420"/>
      </w:pPr>
      <w:rPr>
        <w:rFonts w:hint="default" w:cs="Times New Roman"/>
      </w:rPr>
    </w:lvl>
    <w:lvl w:ilvl="1" w:tentative="0">
      <w:start w:val="3"/>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1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29">
    <w:nsid w:val="E504947C"/>
    <w:multiLevelType w:val="multilevel"/>
    <w:tmpl w:val="E504947C"/>
    <w:lvl w:ilvl="0" w:tentative="0">
      <w:start w:val="1"/>
      <w:numFmt w:val="decimal"/>
      <w:lvlText w:val="（%1）"/>
      <w:lvlJc w:val="left"/>
      <w:pPr>
        <w:ind w:left="424" w:hanging="601"/>
      </w:pPr>
      <w:rPr>
        <w:rFonts w:hint="default" w:ascii="宋体" w:hAnsi="宋体" w:eastAsia="宋体" w:cs="宋体"/>
        <w:spacing w:val="-44"/>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30">
    <w:nsid w:val="E7B27C5B"/>
    <w:multiLevelType w:val="multilevel"/>
    <w:tmpl w:val="E7B27C5B"/>
    <w:lvl w:ilvl="0" w:tentative="0">
      <w:start w:val="4"/>
      <w:numFmt w:val="decimal"/>
      <w:lvlText w:val="%1"/>
      <w:lvlJc w:val="left"/>
      <w:pPr>
        <w:ind w:left="1326" w:hanging="420"/>
      </w:pPr>
      <w:rPr>
        <w:rFonts w:hint="default" w:cs="Times New Roman"/>
      </w:rPr>
    </w:lvl>
    <w:lvl w:ilvl="1" w:tentative="0">
      <w:start w:val="3"/>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3381" w:hanging="600"/>
      </w:pPr>
      <w:rPr>
        <w:rFonts w:hint="default"/>
      </w:rPr>
    </w:lvl>
    <w:lvl w:ilvl="4" w:tentative="0">
      <w:start w:val="0"/>
      <w:numFmt w:val="bullet"/>
      <w:lvlText w:val="•"/>
      <w:lvlJc w:val="left"/>
      <w:pPr>
        <w:ind w:left="4322" w:hanging="600"/>
      </w:pPr>
      <w:rPr>
        <w:rFonts w:hint="default"/>
      </w:rPr>
    </w:lvl>
    <w:lvl w:ilvl="5" w:tentative="0">
      <w:start w:val="0"/>
      <w:numFmt w:val="bullet"/>
      <w:lvlText w:val="•"/>
      <w:lvlJc w:val="left"/>
      <w:pPr>
        <w:ind w:left="5262" w:hanging="600"/>
      </w:pPr>
      <w:rPr>
        <w:rFonts w:hint="default"/>
      </w:rPr>
    </w:lvl>
    <w:lvl w:ilvl="6" w:tentative="0">
      <w:start w:val="0"/>
      <w:numFmt w:val="bullet"/>
      <w:lvlText w:val="•"/>
      <w:lvlJc w:val="left"/>
      <w:pPr>
        <w:ind w:left="6203" w:hanging="600"/>
      </w:pPr>
      <w:rPr>
        <w:rFonts w:hint="default"/>
      </w:rPr>
    </w:lvl>
    <w:lvl w:ilvl="7" w:tentative="0">
      <w:start w:val="0"/>
      <w:numFmt w:val="bullet"/>
      <w:lvlText w:val="•"/>
      <w:lvlJc w:val="left"/>
      <w:pPr>
        <w:ind w:left="7144" w:hanging="600"/>
      </w:pPr>
      <w:rPr>
        <w:rFonts w:hint="default"/>
      </w:rPr>
    </w:lvl>
    <w:lvl w:ilvl="8" w:tentative="0">
      <w:start w:val="0"/>
      <w:numFmt w:val="bullet"/>
      <w:lvlText w:val="•"/>
      <w:lvlJc w:val="left"/>
      <w:pPr>
        <w:ind w:left="8084" w:hanging="600"/>
      </w:pPr>
      <w:rPr>
        <w:rFonts w:hint="default"/>
      </w:rPr>
    </w:lvl>
  </w:abstractNum>
  <w:abstractNum w:abstractNumId="31">
    <w:nsid w:val="F0E89278"/>
    <w:multiLevelType w:val="multilevel"/>
    <w:tmpl w:val="F0E89278"/>
    <w:lvl w:ilvl="0" w:tentative="0">
      <w:start w:val="2"/>
      <w:numFmt w:val="decimal"/>
      <w:lvlText w:val="%1"/>
      <w:lvlJc w:val="left"/>
      <w:pPr>
        <w:ind w:left="1504" w:hanging="600"/>
      </w:pPr>
      <w:rPr>
        <w:rFonts w:hint="default" w:cs="Times New Roman"/>
      </w:rPr>
    </w:lvl>
    <w:lvl w:ilvl="1" w:tentative="0">
      <w:start w:val="2"/>
      <w:numFmt w:val="decimal"/>
      <w:lvlText w:val="%1.%2"/>
      <w:lvlJc w:val="left"/>
      <w:pPr>
        <w:ind w:left="1504" w:hanging="600"/>
      </w:pPr>
      <w:rPr>
        <w:rFonts w:hint="default" w:cs="Times New Roman"/>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4039" w:hanging="600"/>
      </w:pPr>
      <w:rPr>
        <w:rFonts w:hint="default"/>
      </w:rPr>
    </w:lvl>
    <w:lvl w:ilvl="4" w:tentative="0">
      <w:start w:val="0"/>
      <w:numFmt w:val="bullet"/>
      <w:lvlText w:val="•"/>
      <w:lvlJc w:val="left"/>
      <w:pPr>
        <w:ind w:left="4886" w:hanging="600"/>
      </w:pPr>
      <w:rPr>
        <w:rFonts w:hint="default"/>
      </w:rPr>
    </w:lvl>
    <w:lvl w:ilvl="5" w:tentative="0">
      <w:start w:val="0"/>
      <w:numFmt w:val="bullet"/>
      <w:lvlText w:val="•"/>
      <w:lvlJc w:val="left"/>
      <w:pPr>
        <w:ind w:left="5733" w:hanging="600"/>
      </w:pPr>
      <w:rPr>
        <w:rFonts w:hint="default"/>
      </w:rPr>
    </w:lvl>
    <w:lvl w:ilvl="6" w:tentative="0">
      <w:start w:val="0"/>
      <w:numFmt w:val="bullet"/>
      <w:lvlText w:val="•"/>
      <w:lvlJc w:val="left"/>
      <w:pPr>
        <w:ind w:left="6579" w:hanging="600"/>
      </w:pPr>
      <w:rPr>
        <w:rFonts w:hint="default"/>
      </w:rPr>
    </w:lvl>
    <w:lvl w:ilvl="7" w:tentative="0">
      <w:start w:val="0"/>
      <w:numFmt w:val="bullet"/>
      <w:lvlText w:val="•"/>
      <w:lvlJc w:val="left"/>
      <w:pPr>
        <w:ind w:left="7426" w:hanging="600"/>
      </w:pPr>
      <w:rPr>
        <w:rFonts w:hint="default"/>
      </w:rPr>
    </w:lvl>
    <w:lvl w:ilvl="8" w:tentative="0">
      <w:start w:val="0"/>
      <w:numFmt w:val="bullet"/>
      <w:lvlText w:val="•"/>
      <w:lvlJc w:val="left"/>
      <w:pPr>
        <w:ind w:left="8273" w:hanging="600"/>
      </w:pPr>
      <w:rPr>
        <w:rFonts w:hint="default"/>
      </w:rPr>
    </w:lvl>
  </w:abstractNum>
  <w:abstractNum w:abstractNumId="32">
    <w:nsid w:val="F1FCDEFA"/>
    <w:multiLevelType w:val="multilevel"/>
    <w:tmpl w:val="F1FCDEFA"/>
    <w:lvl w:ilvl="0" w:tentative="0">
      <w:start w:val="1"/>
      <w:numFmt w:val="decimal"/>
      <w:lvlText w:val="（%1）"/>
      <w:lvlJc w:val="left"/>
      <w:pPr>
        <w:ind w:left="105" w:hanging="530"/>
      </w:pPr>
      <w:rPr>
        <w:rFonts w:hint="default" w:ascii="宋体" w:hAnsi="宋体" w:eastAsia="宋体" w:cs="宋体"/>
        <w:spacing w:val="-25"/>
        <w:w w:val="100"/>
        <w:sz w:val="19"/>
        <w:szCs w:val="19"/>
      </w:rPr>
    </w:lvl>
    <w:lvl w:ilvl="1" w:tentative="0">
      <w:start w:val="0"/>
      <w:numFmt w:val="bullet"/>
      <w:lvlText w:val="•"/>
      <w:lvlJc w:val="left"/>
      <w:pPr>
        <w:ind w:left="773" w:hanging="530"/>
      </w:pPr>
      <w:rPr>
        <w:rFonts w:hint="default"/>
      </w:rPr>
    </w:lvl>
    <w:lvl w:ilvl="2" w:tentative="0">
      <w:start w:val="0"/>
      <w:numFmt w:val="bullet"/>
      <w:lvlText w:val="•"/>
      <w:lvlJc w:val="left"/>
      <w:pPr>
        <w:ind w:left="1446" w:hanging="530"/>
      </w:pPr>
      <w:rPr>
        <w:rFonts w:hint="default"/>
      </w:rPr>
    </w:lvl>
    <w:lvl w:ilvl="3" w:tentative="0">
      <w:start w:val="0"/>
      <w:numFmt w:val="bullet"/>
      <w:lvlText w:val="•"/>
      <w:lvlJc w:val="left"/>
      <w:pPr>
        <w:ind w:left="2120" w:hanging="530"/>
      </w:pPr>
      <w:rPr>
        <w:rFonts w:hint="default"/>
      </w:rPr>
    </w:lvl>
    <w:lvl w:ilvl="4" w:tentative="0">
      <w:start w:val="0"/>
      <w:numFmt w:val="bullet"/>
      <w:lvlText w:val="•"/>
      <w:lvlJc w:val="left"/>
      <w:pPr>
        <w:ind w:left="2793" w:hanging="530"/>
      </w:pPr>
      <w:rPr>
        <w:rFonts w:hint="default"/>
      </w:rPr>
    </w:lvl>
    <w:lvl w:ilvl="5" w:tentative="0">
      <w:start w:val="0"/>
      <w:numFmt w:val="bullet"/>
      <w:lvlText w:val="•"/>
      <w:lvlJc w:val="left"/>
      <w:pPr>
        <w:ind w:left="3467" w:hanging="530"/>
      </w:pPr>
      <w:rPr>
        <w:rFonts w:hint="default"/>
      </w:rPr>
    </w:lvl>
    <w:lvl w:ilvl="6" w:tentative="0">
      <w:start w:val="0"/>
      <w:numFmt w:val="bullet"/>
      <w:lvlText w:val="•"/>
      <w:lvlJc w:val="left"/>
      <w:pPr>
        <w:ind w:left="4140" w:hanging="530"/>
      </w:pPr>
      <w:rPr>
        <w:rFonts w:hint="default"/>
      </w:rPr>
    </w:lvl>
    <w:lvl w:ilvl="7" w:tentative="0">
      <w:start w:val="0"/>
      <w:numFmt w:val="bullet"/>
      <w:lvlText w:val="•"/>
      <w:lvlJc w:val="left"/>
      <w:pPr>
        <w:ind w:left="4813" w:hanging="530"/>
      </w:pPr>
      <w:rPr>
        <w:rFonts w:hint="default"/>
      </w:rPr>
    </w:lvl>
    <w:lvl w:ilvl="8" w:tentative="0">
      <w:start w:val="0"/>
      <w:numFmt w:val="bullet"/>
      <w:lvlText w:val="•"/>
      <w:lvlJc w:val="left"/>
      <w:pPr>
        <w:ind w:left="5487" w:hanging="530"/>
      </w:pPr>
      <w:rPr>
        <w:rFonts w:hint="default"/>
      </w:rPr>
    </w:lvl>
  </w:abstractNum>
  <w:abstractNum w:abstractNumId="33">
    <w:nsid w:val="F3A33954"/>
    <w:multiLevelType w:val="multilevel"/>
    <w:tmpl w:val="F3A33954"/>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34">
    <w:nsid w:val="F46CCC20"/>
    <w:multiLevelType w:val="multilevel"/>
    <w:tmpl w:val="F46CCC20"/>
    <w:lvl w:ilvl="0" w:tentative="0">
      <w:start w:val="1"/>
      <w:numFmt w:val="decimal"/>
      <w:lvlText w:val="%1."/>
      <w:lvlJc w:val="left"/>
      <w:pPr>
        <w:ind w:left="482" w:hanging="160"/>
      </w:pPr>
      <w:rPr>
        <w:rFonts w:hint="default" w:ascii="Times New Roman" w:hAnsi="Times New Roman" w:eastAsia="Times New Roman" w:cs="Times New Roman"/>
        <w:w w:val="100"/>
        <w:sz w:val="19"/>
        <w:szCs w:val="19"/>
      </w:rPr>
    </w:lvl>
    <w:lvl w:ilvl="1" w:tentative="0">
      <w:start w:val="0"/>
      <w:numFmt w:val="bullet"/>
      <w:lvlText w:val="•"/>
      <w:lvlJc w:val="left"/>
      <w:pPr>
        <w:ind w:left="1428" w:hanging="160"/>
      </w:pPr>
      <w:rPr>
        <w:rFonts w:hint="default"/>
      </w:rPr>
    </w:lvl>
    <w:lvl w:ilvl="2" w:tentative="0">
      <w:start w:val="0"/>
      <w:numFmt w:val="bullet"/>
      <w:lvlText w:val="•"/>
      <w:lvlJc w:val="left"/>
      <w:pPr>
        <w:ind w:left="2377" w:hanging="160"/>
      </w:pPr>
      <w:rPr>
        <w:rFonts w:hint="default"/>
      </w:rPr>
    </w:lvl>
    <w:lvl w:ilvl="3" w:tentative="0">
      <w:start w:val="0"/>
      <w:numFmt w:val="bullet"/>
      <w:lvlText w:val="•"/>
      <w:lvlJc w:val="left"/>
      <w:pPr>
        <w:ind w:left="3325" w:hanging="160"/>
      </w:pPr>
      <w:rPr>
        <w:rFonts w:hint="default"/>
      </w:rPr>
    </w:lvl>
    <w:lvl w:ilvl="4" w:tentative="0">
      <w:start w:val="0"/>
      <w:numFmt w:val="bullet"/>
      <w:lvlText w:val="•"/>
      <w:lvlJc w:val="left"/>
      <w:pPr>
        <w:ind w:left="4274" w:hanging="160"/>
      </w:pPr>
      <w:rPr>
        <w:rFonts w:hint="default"/>
      </w:rPr>
    </w:lvl>
    <w:lvl w:ilvl="5" w:tentative="0">
      <w:start w:val="0"/>
      <w:numFmt w:val="bullet"/>
      <w:lvlText w:val="•"/>
      <w:lvlJc w:val="left"/>
      <w:pPr>
        <w:ind w:left="5223" w:hanging="160"/>
      </w:pPr>
      <w:rPr>
        <w:rFonts w:hint="default"/>
      </w:rPr>
    </w:lvl>
    <w:lvl w:ilvl="6" w:tentative="0">
      <w:start w:val="0"/>
      <w:numFmt w:val="bullet"/>
      <w:lvlText w:val="•"/>
      <w:lvlJc w:val="left"/>
      <w:pPr>
        <w:ind w:left="6171" w:hanging="160"/>
      </w:pPr>
      <w:rPr>
        <w:rFonts w:hint="default"/>
      </w:rPr>
    </w:lvl>
    <w:lvl w:ilvl="7" w:tentative="0">
      <w:start w:val="0"/>
      <w:numFmt w:val="bullet"/>
      <w:lvlText w:val="•"/>
      <w:lvlJc w:val="left"/>
      <w:pPr>
        <w:ind w:left="7120" w:hanging="160"/>
      </w:pPr>
      <w:rPr>
        <w:rFonts w:hint="default"/>
      </w:rPr>
    </w:lvl>
    <w:lvl w:ilvl="8" w:tentative="0">
      <w:start w:val="0"/>
      <w:numFmt w:val="bullet"/>
      <w:lvlText w:val="•"/>
      <w:lvlJc w:val="left"/>
      <w:pPr>
        <w:ind w:left="8069" w:hanging="160"/>
      </w:pPr>
      <w:rPr>
        <w:rFonts w:hint="default"/>
      </w:rPr>
    </w:lvl>
  </w:abstractNum>
  <w:abstractNum w:abstractNumId="35">
    <w:nsid w:val="F4A942FE"/>
    <w:multiLevelType w:val="multilevel"/>
    <w:tmpl w:val="F4A942FE"/>
    <w:lvl w:ilvl="0" w:tentative="0">
      <w:start w:val="14"/>
      <w:numFmt w:val="decimal"/>
      <w:lvlText w:val="%1"/>
      <w:lvlJc w:val="left"/>
      <w:pPr>
        <w:ind w:left="1446" w:hanging="540"/>
      </w:pPr>
      <w:rPr>
        <w:rFonts w:hint="default" w:cs="Times New Roman"/>
      </w:rPr>
    </w:lvl>
    <w:lvl w:ilvl="1" w:tentative="0">
      <w:start w:val="2"/>
      <w:numFmt w:val="decimal"/>
      <w:lvlText w:val="%1.%2"/>
      <w:lvlJc w:val="left"/>
      <w:pPr>
        <w:ind w:left="1446" w:hanging="54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64" w:hanging="660"/>
      </w:pPr>
      <w:rPr>
        <w:rFonts w:hint="default" w:ascii="Times New Roman" w:hAnsi="Times New Roman" w:eastAsia="Times New Roman" w:cs="Times New Roman"/>
        <w:w w:val="100"/>
        <w:sz w:val="24"/>
        <w:szCs w:val="24"/>
      </w:rPr>
    </w:lvl>
    <w:lvl w:ilvl="3" w:tentative="0">
      <w:start w:val="0"/>
      <w:numFmt w:val="bullet"/>
      <w:lvlText w:val="•"/>
      <w:lvlJc w:val="left"/>
      <w:pPr>
        <w:ind w:left="3428" w:hanging="660"/>
      </w:pPr>
      <w:rPr>
        <w:rFonts w:hint="default"/>
      </w:rPr>
    </w:lvl>
    <w:lvl w:ilvl="4" w:tentative="0">
      <w:start w:val="0"/>
      <w:numFmt w:val="bullet"/>
      <w:lvlText w:val="•"/>
      <w:lvlJc w:val="left"/>
      <w:pPr>
        <w:ind w:left="4362" w:hanging="660"/>
      </w:pPr>
      <w:rPr>
        <w:rFonts w:hint="default"/>
      </w:rPr>
    </w:lvl>
    <w:lvl w:ilvl="5" w:tentative="0">
      <w:start w:val="0"/>
      <w:numFmt w:val="bullet"/>
      <w:lvlText w:val="•"/>
      <w:lvlJc w:val="left"/>
      <w:pPr>
        <w:ind w:left="5296" w:hanging="660"/>
      </w:pPr>
      <w:rPr>
        <w:rFonts w:hint="default"/>
      </w:rPr>
    </w:lvl>
    <w:lvl w:ilvl="6" w:tentative="0">
      <w:start w:val="0"/>
      <w:numFmt w:val="bullet"/>
      <w:lvlText w:val="•"/>
      <w:lvlJc w:val="left"/>
      <w:pPr>
        <w:ind w:left="6230" w:hanging="660"/>
      </w:pPr>
      <w:rPr>
        <w:rFonts w:hint="default"/>
      </w:rPr>
    </w:lvl>
    <w:lvl w:ilvl="7" w:tentative="0">
      <w:start w:val="0"/>
      <w:numFmt w:val="bullet"/>
      <w:lvlText w:val="•"/>
      <w:lvlJc w:val="left"/>
      <w:pPr>
        <w:ind w:left="7164" w:hanging="660"/>
      </w:pPr>
      <w:rPr>
        <w:rFonts w:hint="default"/>
      </w:rPr>
    </w:lvl>
    <w:lvl w:ilvl="8" w:tentative="0">
      <w:start w:val="0"/>
      <w:numFmt w:val="bullet"/>
      <w:lvlText w:val="•"/>
      <w:lvlJc w:val="left"/>
      <w:pPr>
        <w:ind w:left="8098" w:hanging="660"/>
      </w:pPr>
      <w:rPr>
        <w:rFonts w:hint="default"/>
      </w:rPr>
    </w:lvl>
  </w:abstractNum>
  <w:abstractNum w:abstractNumId="36">
    <w:nsid w:val="F585BF25"/>
    <w:multiLevelType w:val="multilevel"/>
    <w:tmpl w:val="F585BF25"/>
    <w:lvl w:ilvl="0" w:tentative="0">
      <w:start w:val="6"/>
      <w:numFmt w:val="decimal"/>
      <w:lvlText w:val="%1"/>
      <w:lvlJc w:val="left"/>
      <w:pPr>
        <w:ind w:left="1326" w:hanging="420"/>
      </w:pPr>
      <w:rPr>
        <w:rFonts w:hint="default" w:cs="Times New Roman"/>
      </w:rPr>
    </w:lvl>
    <w:lvl w:ilvl="1" w:tentative="0">
      <w:start w:val="7"/>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8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37">
    <w:nsid w:val="F689643B"/>
    <w:multiLevelType w:val="multilevel"/>
    <w:tmpl w:val="F689643B"/>
    <w:lvl w:ilvl="0" w:tentative="0">
      <w:start w:val="1"/>
      <w:numFmt w:val="decimal"/>
      <w:lvlText w:val="%1"/>
      <w:lvlJc w:val="left"/>
      <w:pPr>
        <w:ind w:left="1504" w:hanging="600"/>
      </w:pPr>
      <w:rPr>
        <w:rFonts w:hint="default" w:cs="Times New Roman"/>
      </w:rPr>
    </w:lvl>
    <w:lvl w:ilvl="1" w:tentative="0">
      <w:start w:val="1"/>
      <w:numFmt w:val="decimal"/>
      <w:lvlText w:val="%1.%2"/>
      <w:lvlJc w:val="left"/>
      <w:pPr>
        <w:ind w:left="1504" w:hanging="600"/>
      </w:pPr>
      <w:rPr>
        <w:rFonts w:hint="default" w:cs="Times New Roman"/>
      </w:rPr>
    </w:lvl>
    <w:lvl w:ilvl="2" w:tentative="0">
      <w:start w:val="3"/>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1"/>
      <w:numFmt w:val="decimal"/>
      <w:lvlText w:val="%1.%2.%3.%4"/>
      <w:lvlJc w:val="left"/>
      <w:pPr>
        <w:ind w:left="1684" w:hanging="780"/>
      </w:pPr>
      <w:rPr>
        <w:rFonts w:hint="default" w:ascii="Times New Roman" w:hAnsi="Times New Roman" w:eastAsia="Times New Roman" w:cs="Times New Roman"/>
        <w:w w:val="100"/>
        <w:sz w:val="24"/>
        <w:szCs w:val="24"/>
      </w:rPr>
    </w:lvl>
    <w:lvl w:ilvl="4" w:tentative="0">
      <w:start w:val="0"/>
      <w:numFmt w:val="bullet"/>
      <w:lvlText w:val="•"/>
      <w:lvlJc w:val="left"/>
      <w:pPr>
        <w:ind w:left="4442" w:hanging="780"/>
      </w:pPr>
      <w:rPr>
        <w:rFonts w:hint="default"/>
      </w:rPr>
    </w:lvl>
    <w:lvl w:ilvl="5" w:tentative="0">
      <w:start w:val="0"/>
      <w:numFmt w:val="bullet"/>
      <w:lvlText w:val="•"/>
      <w:lvlJc w:val="left"/>
      <w:pPr>
        <w:ind w:left="5362" w:hanging="780"/>
      </w:pPr>
      <w:rPr>
        <w:rFonts w:hint="default"/>
      </w:rPr>
    </w:lvl>
    <w:lvl w:ilvl="6" w:tentative="0">
      <w:start w:val="0"/>
      <w:numFmt w:val="bullet"/>
      <w:lvlText w:val="•"/>
      <w:lvlJc w:val="left"/>
      <w:pPr>
        <w:ind w:left="6283" w:hanging="780"/>
      </w:pPr>
      <w:rPr>
        <w:rFonts w:hint="default"/>
      </w:rPr>
    </w:lvl>
    <w:lvl w:ilvl="7" w:tentative="0">
      <w:start w:val="0"/>
      <w:numFmt w:val="bullet"/>
      <w:lvlText w:val="•"/>
      <w:lvlJc w:val="left"/>
      <w:pPr>
        <w:ind w:left="7204" w:hanging="780"/>
      </w:pPr>
      <w:rPr>
        <w:rFonts w:hint="default"/>
      </w:rPr>
    </w:lvl>
    <w:lvl w:ilvl="8" w:tentative="0">
      <w:start w:val="0"/>
      <w:numFmt w:val="bullet"/>
      <w:lvlText w:val="•"/>
      <w:lvlJc w:val="left"/>
      <w:pPr>
        <w:ind w:left="8124" w:hanging="780"/>
      </w:pPr>
      <w:rPr>
        <w:rFonts w:hint="default"/>
      </w:rPr>
    </w:lvl>
  </w:abstractNum>
  <w:abstractNum w:abstractNumId="38">
    <w:nsid w:val="FEC2EA36"/>
    <w:multiLevelType w:val="multilevel"/>
    <w:tmpl w:val="FEC2EA36"/>
    <w:lvl w:ilvl="0" w:tentative="0">
      <w:start w:val="1"/>
      <w:numFmt w:val="decimal"/>
      <w:lvlText w:val="%1"/>
      <w:lvlJc w:val="left"/>
      <w:pPr>
        <w:ind w:left="1504" w:hanging="600"/>
      </w:pPr>
      <w:rPr>
        <w:rFonts w:hint="default" w:cs="Times New Roman"/>
      </w:rPr>
    </w:lvl>
    <w:lvl w:ilvl="1" w:tentative="0">
      <w:start w:val="1"/>
      <w:numFmt w:val="decimal"/>
      <w:lvlText w:val="%1.%2"/>
      <w:lvlJc w:val="left"/>
      <w:pPr>
        <w:ind w:left="1504" w:hanging="600"/>
      </w:pPr>
      <w:rPr>
        <w:rFonts w:hint="default" w:cs="Times New Roman"/>
      </w:rPr>
    </w:lvl>
    <w:lvl w:ilvl="2" w:tentative="0">
      <w:start w:val="5"/>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1"/>
      <w:numFmt w:val="decimal"/>
      <w:lvlText w:val="%1.%2.%3.%4"/>
      <w:lvlJc w:val="left"/>
      <w:pPr>
        <w:ind w:left="424" w:hanging="780"/>
      </w:pPr>
      <w:rPr>
        <w:rFonts w:hint="default" w:ascii="Times New Roman" w:hAnsi="Times New Roman" w:eastAsia="Times New Roman" w:cs="Times New Roman"/>
        <w:spacing w:val="-16"/>
        <w:w w:val="100"/>
        <w:sz w:val="24"/>
        <w:szCs w:val="24"/>
      </w:rPr>
    </w:lvl>
    <w:lvl w:ilvl="4" w:tentative="0">
      <w:start w:val="0"/>
      <w:numFmt w:val="bullet"/>
      <w:lvlText w:val="•"/>
      <w:lvlJc w:val="left"/>
      <w:pPr>
        <w:ind w:left="4322" w:hanging="780"/>
      </w:pPr>
      <w:rPr>
        <w:rFonts w:hint="default"/>
      </w:rPr>
    </w:lvl>
    <w:lvl w:ilvl="5" w:tentative="0">
      <w:start w:val="0"/>
      <w:numFmt w:val="bullet"/>
      <w:lvlText w:val="•"/>
      <w:lvlJc w:val="left"/>
      <w:pPr>
        <w:ind w:left="5262" w:hanging="780"/>
      </w:pPr>
      <w:rPr>
        <w:rFonts w:hint="default"/>
      </w:rPr>
    </w:lvl>
    <w:lvl w:ilvl="6" w:tentative="0">
      <w:start w:val="0"/>
      <w:numFmt w:val="bullet"/>
      <w:lvlText w:val="•"/>
      <w:lvlJc w:val="left"/>
      <w:pPr>
        <w:ind w:left="6203" w:hanging="780"/>
      </w:pPr>
      <w:rPr>
        <w:rFonts w:hint="default"/>
      </w:rPr>
    </w:lvl>
    <w:lvl w:ilvl="7" w:tentative="0">
      <w:start w:val="0"/>
      <w:numFmt w:val="bullet"/>
      <w:lvlText w:val="•"/>
      <w:lvlJc w:val="left"/>
      <w:pPr>
        <w:ind w:left="7144" w:hanging="780"/>
      </w:pPr>
      <w:rPr>
        <w:rFonts w:hint="default"/>
      </w:rPr>
    </w:lvl>
    <w:lvl w:ilvl="8" w:tentative="0">
      <w:start w:val="0"/>
      <w:numFmt w:val="bullet"/>
      <w:lvlText w:val="•"/>
      <w:lvlJc w:val="left"/>
      <w:pPr>
        <w:ind w:left="8084" w:hanging="780"/>
      </w:pPr>
      <w:rPr>
        <w:rFonts w:hint="default"/>
      </w:rPr>
    </w:lvl>
  </w:abstractNum>
  <w:abstractNum w:abstractNumId="39">
    <w:nsid w:val="01836A6D"/>
    <w:multiLevelType w:val="multilevel"/>
    <w:tmpl w:val="01836A6D"/>
    <w:lvl w:ilvl="0" w:tentative="0">
      <w:start w:val="11"/>
      <w:numFmt w:val="decimal"/>
      <w:lvlText w:val="%1"/>
      <w:lvlJc w:val="left"/>
      <w:pPr>
        <w:ind w:left="1432" w:hanging="526"/>
      </w:pPr>
      <w:rPr>
        <w:rFonts w:hint="default" w:cs="Times New Roman"/>
      </w:rPr>
    </w:lvl>
    <w:lvl w:ilvl="1" w:tentative="0">
      <w:start w:val="2"/>
      <w:numFmt w:val="decimal"/>
      <w:lvlText w:val="%1.%2"/>
      <w:lvlJc w:val="left"/>
      <w:pPr>
        <w:ind w:left="1432" w:hanging="526"/>
      </w:pPr>
      <w:rPr>
        <w:rFonts w:hint="default" w:ascii="Times New Roman" w:hAnsi="Times New Roman" w:eastAsia="Times New Roman" w:cs="Times New Roman"/>
        <w:b/>
        <w:bCs/>
        <w:spacing w:val="-15"/>
        <w:w w:val="99"/>
        <w:sz w:val="24"/>
        <w:szCs w:val="24"/>
      </w:rPr>
    </w:lvl>
    <w:lvl w:ilvl="2" w:tentative="0">
      <w:start w:val="1"/>
      <w:numFmt w:val="decimal"/>
      <w:lvlText w:val="%1.%2.%3"/>
      <w:lvlJc w:val="left"/>
      <w:pPr>
        <w:ind w:left="424" w:hanging="713"/>
      </w:pPr>
      <w:rPr>
        <w:rFonts w:hint="default" w:ascii="Times New Roman" w:hAnsi="Times New Roman" w:eastAsia="Times New Roman" w:cs="Times New Roman"/>
        <w:spacing w:val="-60"/>
        <w:w w:val="100"/>
        <w:sz w:val="24"/>
        <w:szCs w:val="24"/>
      </w:rPr>
    </w:lvl>
    <w:lvl w:ilvl="3" w:tentative="0">
      <w:start w:val="0"/>
      <w:numFmt w:val="bullet"/>
      <w:lvlText w:val="•"/>
      <w:lvlJc w:val="left"/>
      <w:pPr>
        <w:ind w:left="3334" w:hanging="713"/>
      </w:pPr>
      <w:rPr>
        <w:rFonts w:hint="default"/>
      </w:rPr>
    </w:lvl>
    <w:lvl w:ilvl="4" w:tentative="0">
      <w:start w:val="0"/>
      <w:numFmt w:val="bullet"/>
      <w:lvlText w:val="•"/>
      <w:lvlJc w:val="left"/>
      <w:pPr>
        <w:ind w:left="4282" w:hanging="713"/>
      </w:pPr>
      <w:rPr>
        <w:rFonts w:hint="default"/>
      </w:rPr>
    </w:lvl>
    <w:lvl w:ilvl="5" w:tentative="0">
      <w:start w:val="0"/>
      <w:numFmt w:val="bullet"/>
      <w:lvlText w:val="•"/>
      <w:lvlJc w:val="left"/>
      <w:pPr>
        <w:ind w:left="5229" w:hanging="713"/>
      </w:pPr>
      <w:rPr>
        <w:rFonts w:hint="default"/>
      </w:rPr>
    </w:lvl>
    <w:lvl w:ilvl="6" w:tentative="0">
      <w:start w:val="0"/>
      <w:numFmt w:val="bullet"/>
      <w:lvlText w:val="•"/>
      <w:lvlJc w:val="left"/>
      <w:pPr>
        <w:ind w:left="6176" w:hanging="713"/>
      </w:pPr>
      <w:rPr>
        <w:rFonts w:hint="default"/>
      </w:rPr>
    </w:lvl>
    <w:lvl w:ilvl="7" w:tentative="0">
      <w:start w:val="0"/>
      <w:numFmt w:val="bullet"/>
      <w:lvlText w:val="•"/>
      <w:lvlJc w:val="left"/>
      <w:pPr>
        <w:ind w:left="7124" w:hanging="713"/>
      </w:pPr>
      <w:rPr>
        <w:rFonts w:hint="default"/>
      </w:rPr>
    </w:lvl>
    <w:lvl w:ilvl="8" w:tentative="0">
      <w:start w:val="0"/>
      <w:numFmt w:val="bullet"/>
      <w:lvlText w:val="•"/>
      <w:lvlJc w:val="left"/>
      <w:pPr>
        <w:ind w:left="8071" w:hanging="713"/>
      </w:pPr>
      <w:rPr>
        <w:rFonts w:hint="default"/>
      </w:rPr>
    </w:lvl>
  </w:abstractNum>
  <w:abstractNum w:abstractNumId="40">
    <w:nsid w:val="03A63A41"/>
    <w:multiLevelType w:val="multilevel"/>
    <w:tmpl w:val="03A63A41"/>
    <w:lvl w:ilvl="0" w:tentative="0">
      <w:start w:val="1"/>
      <w:numFmt w:val="lowerLetter"/>
      <w:lvlText w:val="%1."/>
      <w:lvlJc w:val="left"/>
      <w:pPr>
        <w:ind w:left="1070" w:hanging="167"/>
      </w:pPr>
      <w:rPr>
        <w:rFonts w:hint="default" w:ascii="Times New Roman" w:hAnsi="Times New Roman" w:eastAsia="Times New Roman" w:cs="Times New Roman"/>
        <w:spacing w:val="-1"/>
        <w:w w:val="100"/>
        <w:sz w:val="22"/>
        <w:szCs w:val="22"/>
      </w:rPr>
    </w:lvl>
    <w:lvl w:ilvl="1" w:tentative="0">
      <w:start w:val="0"/>
      <w:numFmt w:val="bullet"/>
      <w:lvlText w:val="•"/>
      <w:lvlJc w:val="left"/>
      <w:pPr>
        <w:ind w:left="1968" w:hanging="167"/>
      </w:pPr>
      <w:rPr>
        <w:rFonts w:hint="default"/>
      </w:rPr>
    </w:lvl>
    <w:lvl w:ilvl="2" w:tentative="0">
      <w:start w:val="0"/>
      <w:numFmt w:val="bullet"/>
      <w:lvlText w:val="•"/>
      <w:lvlJc w:val="left"/>
      <w:pPr>
        <w:ind w:left="2857" w:hanging="167"/>
      </w:pPr>
      <w:rPr>
        <w:rFonts w:hint="default"/>
      </w:rPr>
    </w:lvl>
    <w:lvl w:ilvl="3" w:tentative="0">
      <w:start w:val="0"/>
      <w:numFmt w:val="bullet"/>
      <w:lvlText w:val="•"/>
      <w:lvlJc w:val="left"/>
      <w:pPr>
        <w:ind w:left="3745" w:hanging="167"/>
      </w:pPr>
      <w:rPr>
        <w:rFonts w:hint="default"/>
      </w:rPr>
    </w:lvl>
    <w:lvl w:ilvl="4" w:tentative="0">
      <w:start w:val="0"/>
      <w:numFmt w:val="bullet"/>
      <w:lvlText w:val="•"/>
      <w:lvlJc w:val="left"/>
      <w:pPr>
        <w:ind w:left="4634" w:hanging="167"/>
      </w:pPr>
      <w:rPr>
        <w:rFonts w:hint="default"/>
      </w:rPr>
    </w:lvl>
    <w:lvl w:ilvl="5" w:tentative="0">
      <w:start w:val="0"/>
      <w:numFmt w:val="bullet"/>
      <w:lvlText w:val="•"/>
      <w:lvlJc w:val="left"/>
      <w:pPr>
        <w:ind w:left="5523" w:hanging="167"/>
      </w:pPr>
      <w:rPr>
        <w:rFonts w:hint="default"/>
      </w:rPr>
    </w:lvl>
    <w:lvl w:ilvl="6" w:tentative="0">
      <w:start w:val="0"/>
      <w:numFmt w:val="bullet"/>
      <w:lvlText w:val="•"/>
      <w:lvlJc w:val="left"/>
      <w:pPr>
        <w:ind w:left="6411" w:hanging="167"/>
      </w:pPr>
      <w:rPr>
        <w:rFonts w:hint="default"/>
      </w:rPr>
    </w:lvl>
    <w:lvl w:ilvl="7" w:tentative="0">
      <w:start w:val="0"/>
      <w:numFmt w:val="bullet"/>
      <w:lvlText w:val="•"/>
      <w:lvlJc w:val="left"/>
      <w:pPr>
        <w:ind w:left="7300" w:hanging="167"/>
      </w:pPr>
      <w:rPr>
        <w:rFonts w:hint="default"/>
      </w:rPr>
    </w:lvl>
    <w:lvl w:ilvl="8" w:tentative="0">
      <w:start w:val="0"/>
      <w:numFmt w:val="bullet"/>
      <w:lvlText w:val="•"/>
      <w:lvlJc w:val="left"/>
      <w:pPr>
        <w:ind w:left="8189" w:hanging="167"/>
      </w:pPr>
      <w:rPr>
        <w:rFonts w:hint="default"/>
      </w:rPr>
    </w:lvl>
  </w:abstractNum>
  <w:abstractNum w:abstractNumId="41">
    <w:nsid w:val="0F9F9CCA"/>
    <w:multiLevelType w:val="multilevel"/>
    <w:tmpl w:val="0F9F9CCA"/>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42">
    <w:nsid w:val="10D591E5"/>
    <w:multiLevelType w:val="multilevel"/>
    <w:tmpl w:val="10D591E5"/>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43">
    <w:nsid w:val="12EADF99"/>
    <w:multiLevelType w:val="multilevel"/>
    <w:tmpl w:val="12EADF99"/>
    <w:lvl w:ilvl="0" w:tentative="0">
      <w:start w:val="1"/>
      <w:numFmt w:val="lowerLetter"/>
      <w:lvlText w:val="%1."/>
      <w:lvlJc w:val="left"/>
      <w:pPr>
        <w:ind w:left="1070" w:hanging="167"/>
      </w:pPr>
      <w:rPr>
        <w:rFonts w:hint="default" w:ascii="Times New Roman" w:hAnsi="Times New Roman" w:eastAsia="Times New Roman" w:cs="Times New Roman"/>
        <w:spacing w:val="-1"/>
        <w:w w:val="100"/>
        <w:sz w:val="22"/>
        <w:szCs w:val="22"/>
      </w:rPr>
    </w:lvl>
    <w:lvl w:ilvl="1" w:tentative="0">
      <w:start w:val="0"/>
      <w:numFmt w:val="bullet"/>
      <w:lvlText w:val="•"/>
      <w:lvlJc w:val="left"/>
      <w:pPr>
        <w:ind w:left="1968" w:hanging="167"/>
      </w:pPr>
      <w:rPr>
        <w:rFonts w:hint="default"/>
      </w:rPr>
    </w:lvl>
    <w:lvl w:ilvl="2" w:tentative="0">
      <w:start w:val="0"/>
      <w:numFmt w:val="bullet"/>
      <w:lvlText w:val="•"/>
      <w:lvlJc w:val="left"/>
      <w:pPr>
        <w:ind w:left="2857" w:hanging="167"/>
      </w:pPr>
      <w:rPr>
        <w:rFonts w:hint="default"/>
      </w:rPr>
    </w:lvl>
    <w:lvl w:ilvl="3" w:tentative="0">
      <w:start w:val="0"/>
      <w:numFmt w:val="bullet"/>
      <w:lvlText w:val="•"/>
      <w:lvlJc w:val="left"/>
      <w:pPr>
        <w:ind w:left="3745" w:hanging="167"/>
      </w:pPr>
      <w:rPr>
        <w:rFonts w:hint="default"/>
      </w:rPr>
    </w:lvl>
    <w:lvl w:ilvl="4" w:tentative="0">
      <w:start w:val="0"/>
      <w:numFmt w:val="bullet"/>
      <w:lvlText w:val="•"/>
      <w:lvlJc w:val="left"/>
      <w:pPr>
        <w:ind w:left="4634" w:hanging="167"/>
      </w:pPr>
      <w:rPr>
        <w:rFonts w:hint="default"/>
      </w:rPr>
    </w:lvl>
    <w:lvl w:ilvl="5" w:tentative="0">
      <w:start w:val="0"/>
      <w:numFmt w:val="bullet"/>
      <w:lvlText w:val="•"/>
      <w:lvlJc w:val="left"/>
      <w:pPr>
        <w:ind w:left="5523" w:hanging="167"/>
      </w:pPr>
      <w:rPr>
        <w:rFonts w:hint="default"/>
      </w:rPr>
    </w:lvl>
    <w:lvl w:ilvl="6" w:tentative="0">
      <w:start w:val="0"/>
      <w:numFmt w:val="bullet"/>
      <w:lvlText w:val="•"/>
      <w:lvlJc w:val="left"/>
      <w:pPr>
        <w:ind w:left="6411" w:hanging="167"/>
      </w:pPr>
      <w:rPr>
        <w:rFonts w:hint="default"/>
      </w:rPr>
    </w:lvl>
    <w:lvl w:ilvl="7" w:tentative="0">
      <w:start w:val="0"/>
      <w:numFmt w:val="bullet"/>
      <w:lvlText w:val="•"/>
      <w:lvlJc w:val="left"/>
      <w:pPr>
        <w:ind w:left="7300" w:hanging="167"/>
      </w:pPr>
      <w:rPr>
        <w:rFonts w:hint="default"/>
      </w:rPr>
    </w:lvl>
    <w:lvl w:ilvl="8" w:tentative="0">
      <w:start w:val="0"/>
      <w:numFmt w:val="bullet"/>
      <w:lvlText w:val="•"/>
      <w:lvlJc w:val="left"/>
      <w:pPr>
        <w:ind w:left="8189" w:hanging="167"/>
      </w:pPr>
      <w:rPr>
        <w:rFonts w:hint="default"/>
      </w:rPr>
    </w:lvl>
  </w:abstractNum>
  <w:abstractNum w:abstractNumId="44">
    <w:nsid w:val="1450273B"/>
    <w:multiLevelType w:val="multilevel"/>
    <w:tmpl w:val="1450273B"/>
    <w:lvl w:ilvl="0" w:tentative="0">
      <w:start w:val="5"/>
      <w:numFmt w:val="decimal"/>
      <w:lvlText w:val="%1"/>
      <w:lvlJc w:val="left"/>
      <w:pPr>
        <w:ind w:left="1326" w:hanging="420"/>
      </w:pPr>
      <w:rPr>
        <w:rFonts w:hint="default" w:cs="Times New Roman"/>
      </w:rPr>
    </w:lvl>
    <w:lvl w:ilvl="1" w:tentative="0">
      <w:start w:val="9"/>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3381" w:hanging="600"/>
      </w:pPr>
      <w:rPr>
        <w:rFonts w:hint="default"/>
      </w:rPr>
    </w:lvl>
    <w:lvl w:ilvl="4" w:tentative="0">
      <w:start w:val="0"/>
      <w:numFmt w:val="bullet"/>
      <w:lvlText w:val="•"/>
      <w:lvlJc w:val="left"/>
      <w:pPr>
        <w:ind w:left="4322" w:hanging="600"/>
      </w:pPr>
      <w:rPr>
        <w:rFonts w:hint="default"/>
      </w:rPr>
    </w:lvl>
    <w:lvl w:ilvl="5" w:tentative="0">
      <w:start w:val="0"/>
      <w:numFmt w:val="bullet"/>
      <w:lvlText w:val="•"/>
      <w:lvlJc w:val="left"/>
      <w:pPr>
        <w:ind w:left="5262" w:hanging="600"/>
      </w:pPr>
      <w:rPr>
        <w:rFonts w:hint="default"/>
      </w:rPr>
    </w:lvl>
    <w:lvl w:ilvl="6" w:tentative="0">
      <w:start w:val="0"/>
      <w:numFmt w:val="bullet"/>
      <w:lvlText w:val="•"/>
      <w:lvlJc w:val="left"/>
      <w:pPr>
        <w:ind w:left="6203" w:hanging="600"/>
      </w:pPr>
      <w:rPr>
        <w:rFonts w:hint="default"/>
      </w:rPr>
    </w:lvl>
    <w:lvl w:ilvl="7" w:tentative="0">
      <w:start w:val="0"/>
      <w:numFmt w:val="bullet"/>
      <w:lvlText w:val="•"/>
      <w:lvlJc w:val="left"/>
      <w:pPr>
        <w:ind w:left="7144" w:hanging="600"/>
      </w:pPr>
      <w:rPr>
        <w:rFonts w:hint="default"/>
      </w:rPr>
    </w:lvl>
    <w:lvl w:ilvl="8" w:tentative="0">
      <w:start w:val="0"/>
      <w:numFmt w:val="bullet"/>
      <w:lvlText w:val="•"/>
      <w:lvlJc w:val="left"/>
      <w:pPr>
        <w:ind w:left="8084" w:hanging="600"/>
      </w:pPr>
      <w:rPr>
        <w:rFonts w:hint="default"/>
      </w:rPr>
    </w:lvl>
  </w:abstractNum>
  <w:abstractNum w:abstractNumId="45">
    <w:nsid w:val="18F74015"/>
    <w:multiLevelType w:val="multilevel"/>
    <w:tmpl w:val="18F74015"/>
    <w:lvl w:ilvl="0" w:tentative="0">
      <w:start w:val="1"/>
      <w:numFmt w:val="decimal"/>
      <w:lvlText w:val="%1"/>
      <w:lvlJc w:val="left"/>
      <w:pPr>
        <w:ind w:left="1504" w:hanging="600"/>
      </w:pPr>
      <w:rPr>
        <w:rFonts w:hint="default" w:cs="Times New Roman"/>
      </w:rPr>
    </w:lvl>
    <w:lvl w:ilvl="1" w:tentative="0">
      <w:start w:val="1"/>
      <w:numFmt w:val="decimal"/>
      <w:lvlText w:val="%1.%2"/>
      <w:lvlJc w:val="left"/>
      <w:pPr>
        <w:ind w:left="1504" w:hanging="600"/>
      </w:pPr>
      <w:rPr>
        <w:rFonts w:hint="default" w:cs="Times New Roman"/>
      </w:rPr>
    </w:lvl>
    <w:lvl w:ilvl="2" w:tentative="0">
      <w:start w:val="6"/>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1"/>
      <w:numFmt w:val="decimal"/>
      <w:lvlText w:val="%1.%2.%3.%4"/>
      <w:lvlJc w:val="left"/>
      <w:pPr>
        <w:ind w:left="424" w:hanging="780"/>
      </w:pPr>
      <w:rPr>
        <w:rFonts w:hint="default" w:ascii="Times New Roman" w:hAnsi="Times New Roman" w:eastAsia="Times New Roman" w:cs="Times New Roman"/>
        <w:spacing w:val="-15"/>
        <w:w w:val="100"/>
        <w:sz w:val="24"/>
        <w:szCs w:val="24"/>
      </w:rPr>
    </w:lvl>
    <w:lvl w:ilvl="4" w:tentative="0">
      <w:start w:val="0"/>
      <w:numFmt w:val="bullet"/>
      <w:lvlText w:val="•"/>
      <w:lvlJc w:val="left"/>
      <w:pPr>
        <w:ind w:left="4322" w:hanging="780"/>
      </w:pPr>
      <w:rPr>
        <w:rFonts w:hint="default"/>
      </w:rPr>
    </w:lvl>
    <w:lvl w:ilvl="5" w:tentative="0">
      <w:start w:val="0"/>
      <w:numFmt w:val="bullet"/>
      <w:lvlText w:val="•"/>
      <w:lvlJc w:val="left"/>
      <w:pPr>
        <w:ind w:left="5262" w:hanging="780"/>
      </w:pPr>
      <w:rPr>
        <w:rFonts w:hint="default"/>
      </w:rPr>
    </w:lvl>
    <w:lvl w:ilvl="6" w:tentative="0">
      <w:start w:val="0"/>
      <w:numFmt w:val="bullet"/>
      <w:lvlText w:val="•"/>
      <w:lvlJc w:val="left"/>
      <w:pPr>
        <w:ind w:left="6203" w:hanging="780"/>
      </w:pPr>
      <w:rPr>
        <w:rFonts w:hint="default"/>
      </w:rPr>
    </w:lvl>
    <w:lvl w:ilvl="7" w:tentative="0">
      <w:start w:val="0"/>
      <w:numFmt w:val="bullet"/>
      <w:lvlText w:val="•"/>
      <w:lvlJc w:val="left"/>
      <w:pPr>
        <w:ind w:left="7144" w:hanging="780"/>
      </w:pPr>
      <w:rPr>
        <w:rFonts w:hint="default"/>
      </w:rPr>
    </w:lvl>
    <w:lvl w:ilvl="8" w:tentative="0">
      <w:start w:val="0"/>
      <w:numFmt w:val="bullet"/>
      <w:lvlText w:val="•"/>
      <w:lvlJc w:val="left"/>
      <w:pPr>
        <w:ind w:left="8084" w:hanging="780"/>
      </w:pPr>
      <w:rPr>
        <w:rFonts w:hint="default"/>
      </w:rPr>
    </w:lvl>
  </w:abstractNum>
  <w:abstractNum w:abstractNumId="46">
    <w:nsid w:val="1AD50295"/>
    <w:multiLevelType w:val="multilevel"/>
    <w:tmpl w:val="1AD50295"/>
    <w:lvl w:ilvl="0" w:tentative="0">
      <w:start w:val="9"/>
      <w:numFmt w:val="decimal"/>
      <w:lvlText w:val="%1"/>
      <w:lvlJc w:val="left"/>
      <w:pPr>
        <w:ind w:left="1326" w:hanging="420"/>
      </w:pPr>
      <w:rPr>
        <w:rFonts w:hint="default" w:cs="Times New Roman"/>
      </w:rPr>
    </w:lvl>
    <w:lvl w:ilvl="1" w:tentative="0">
      <w:start w:val="2"/>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8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47">
    <w:nsid w:val="1BCBBCF0"/>
    <w:multiLevelType w:val="multilevel"/>
    <w:tmpl w:val="1BCBBCF0"/>
    <w:lvl w:ilvl="0" w:tentative="0">
      <w:start w:val="1"/>
      <w:numFmt w:val="decimal"/>
      <w:lvlText w:val="（%1）"/>
      <w:lvlJc w:val="left"/>
      <w:pPr>
        <w:ind w:left="424" w:hanging="601"/>
      </w:pPr>
      <w:rPr>
        <w:rFonts w:hint="default" w:ascii="宋体" w:hAnsi="宋体" w:eastAsia="宋体" w:cs="宋体"/>
        <w:spacing w:val="-44"/>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48">
    <w:nsid w:val="23E97754"/>
    <w:multiLevelType w:val="multilevel"/>
    <w:tmpl w:val="23E97754"/>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49">
    <w:nsid w:val="2F2D79CE"/>
    <w:multiLevelType w:val="multilevel"/>
    <w:tmpl w:val="2F2D79CE"/>
    <w:lvl w:ilvl="0" w:tentative="0">
      <w:start w:val="4"/>
      <w:numFmt w:val="decimal"/>
      <w:lvlText w:val="%1"/>
      <w:lvlJc w:val="left"/>
      <w:pPr>
        <w:ind w:left="1326" w:hanging="420"/>
      </w:pPr>
      <w:rPr>
        <w:rFonts w:hint="default" w:cs="Times New Roman"/>
      </w:rPr>
    </w:lvl>
    <w:lvl w:ilvl="1" w:tentative="0">
      <w:start w:val="2"/>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8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50">
    <w:nsid w:val="30A0AC00"/>
    <w:multiLevelType w:val="multilevel"/>
    <w:tmpl w:val="30A0AC00"/>
    <w:lvl w:ilvl="0" w:tentative="0">
      <w:start w:val="1"/>
      <w:numFmt w:val="decimal"/>
      <w:lvlText w:val="%1"/>
      <w:lvlJc w:val="left"/>
      <w:pPr>
        <w:ind w:left="1504" w:hanging="600"/>
      </w:pPr>
      <w:rPr>
        <w:rFonts w:hint="default" w:cs="Times New Roman"/>
      </w:rPr>
    </w:lvl>
    <w:lvl w:ilvl="1" w:tentative="0">
      <w:start w:val="1"/>
      <w:numFmt w:val="decimal"/>
      <w:lvlText w:val="%1.%2"/>
      <w:lvlJc w:val="left"/>
      <w:pPr>
        <w:ind w:left="1504" w:hanging="600"/>
      </w:pPr>
      <w:rPr>
        <w:rFonts w:hint="default" w:cs="Times New Roman"/>
      </w:rPr>
    </w:lvl>
    <w:lvl w:ilvl="2" w:tentative="0">
      <w:start w:val="4"/>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1"/>
      <w:numFmt w:val="decimal"/>
      <w:lvlText w:val="%1.%2.%3.%4"/>
      <w:lvlJc w:val="left"/>
      <w:pPr>
        <w:ind w:left="424" w:hanging="780"/>
      </w:pPr>
      <w:rPr>
        <w:rFonts w:hint="default" w:ascii="Times New Roman" w:hAnsi="Times New Roman" w:eastAsia="Times New Roman" w:cs="Times New Roman"/>
        <w:spacing w:val="-43"/>
        <w:w w:val="100"/>
        <w:sz w:val="24"/>
        <w:szCs w:val="24"/>
      </w:rPr>
    </w:lvl>
    <w:lvl w:ilvl="4" w:tentative="0">
      <w:start w:val="0"/>
      <w:numFmt w:val="bullet"/>
      <w:lvlText w:val="•"/>
      <w:lvlJc w:val="left"/>
      <w:pPr>
        <w:ind w:left="4322" w:hanging="780"/>
      </w:pPr>
      <w:rPr>
        <w:rFonts w:hint="default"/>
      </w:rPr>
    </w:lvl>
    <w:lvl w:ilvl="5" w:tentative="0">
      <w:start w:val="0"/>
      <w:numFmt w:val="bullet"/>
      <w:lvlText w:val="•"/>
      <w:lvlJc w:val="left"/>
      <w:pPr>
        <w:ind w:left="5262" w:hanging="780"/>
      </w:pPr>
      <w:rPr>
        <w:rFonts w:hint="default"/>
      </w:rPr>
    </w:lvl>
    <w:lvl w:ilvl="6" w:tentative="0">
      <w:start w:val="0"/>
      <w:numFmt w:val="bullet"/>
      <w:lvlText w:val="•"/>
      <w:lvlJc w:val="left"/>
      <w:pPr>
        <w:ind w:left="6203" w:hanging="780"/>
      </w:pPr>
      <w:rPr>
        <w:rFonts w:hint="default"/>
      </w:rPr>
    </w:lvl>
    <w:lvl w:ilvl="7" w:tentative="0">
      <w:start w:val="0"/>
      <w:numFmt w:val="bullet"/>
      <w:lvlText w:val="•"/>
      <w:lvlJc w:val="left"/>
      <w:pPr>
        <w:ind w:left="7144" w:hanging="780"/>
      </w:pPr>
      <w:rPr>
        <w:rFonts w:hint="default"/>
      </w:rPr>
    </w:lvl>
    <w:lvl w:ilvl="8" w:tentative="0">
      <w:start w:val="0"/>
      <w:numFmt w:val="bullet"/>
      <w:lvlText w:val="•"/>
      <w:lvlJc w:val="left"/>
      <w:pPr>
        <w:ind w:left="8084" w:hanging="780"/>
      </w:pPr>
      <w:rPr>
        <w:rFonts w:hint="default"/>
      </w:rPr>
    </w:lvl>
  </w:abstractNum>
  <w:abstractNum w:abstractNumId="51">
    <w:nsid w:val="32A7AF2D"/>
    <w:multiLevelType w:val="multilevel"/>
    <w:tmpl w:val="32A7AF2D"/>
    <w:lvl w:ilvl="0" w:tentative="0">
      <w:start w:val="1"/>
      <w:numFmt w:val="decimal"/>
      <w:lvlText w:val="%1."/>
      <w:lvlJc w:val="left"/>
      <w:pPr>
        <w:ind w:left="844" w:hanging="420"/>
      </w:pPr>
      <w:rPr>
        <w:rFonts w:hint="default" w:ascii="黑体" w:hAnsi="黑体" w:eastAsia="黑体" w:cs="黑体"/>
        <w:w w:val="100"/>
        <w:sz w:val="28"/>
        <w:szCs w:val="28"/>
      </w:rPr>
    </w:lvl>
    <w:lvl w:ilvl="1" w:tentative="0">
      <w:start w:val="1"/>
      <w:numFmt w:val="decimal"/>
      <w:lvlText w:val="%1.%2"/>
      <w:lvlJc w:val="left"/>
      <w:pPr>
        <w:ind w:left="904" w:hanging="480"/>
      </w:pPr>
      <w:rPr>
        <w:rFonts w:hint="default" w:ascii="黑体" w:hAnsi="黑体" w:eastAsia="黑体" w:cs="黑体"/>
        <w:w w:val="100"/>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1500" w:hanging="600"/>
      </w:pPr>
      <w:rPr>
        <w:rFonts w:hint="default"/>
      </w:rPr>
    </w:lvl>
    <w:lvl w:ilvl="4" w:tentative="0">
      <w:start w:val="0"/>
      <w:numFmt w:val="bullet"/>
      <w:lvlText w:val="•"/>
      <w:lvlJc w:val="left"/>
      <w:pPr>
        <w:ind w:left="2709" w:hanging="600"/>
      </w:pPr>
      <w:rPr>
        <w:rFonts w:hint="default"/>
      </w:rPr>
    </w:lvl>
    <w:lvl w:ilvl="5" w:tentative="0">
      <w:start w:val="0"/>
      <w:numFmt w:val="bullet"/>
      <w:lvlText w:val="•"/>
      <w:lvlJc w:val="left"/>
      <w:pPr>
        <w:ind w:left="3918" w:hanging="600"/>
      </w:pPr>
      <w:rPr>
        <w:rFonts w:hint="default"/>
      </w:rPr>
    </w:lvl>
    <w:lvl w:ilvl="6" w:tentative="0">
      <w:start w:val="0"/>
      <w:numFmt w:val="bullet"/>
      <w:lvlText w:val="•"/>
      <w:lvlJc w:val="left"/>
      <w:pPr>
        <w:ind w:left="5128" w:hanging="600"/>
      </w:pPr>
      <w:rPr>
        <w:rFonts w:hint="default"/>
      </w:rPr>
    </w:lvl>
    <w:lvl w:ilvl="7" w:tentative="0">
      <w:start w:val="0"/>
      <w:numFmt w:val="bullet"/>
      <w:lvlText w:val="•"/>
      <w:lvlJc w:val="left"/>
      <w:pPr>
        <w:ind w:left="6337" w:hanging="600"/>
      </w:pPr>
      <w:rPr>
        <w:rFonts w:hint="default"/>
      </w:rPr>
    </w:lvl>
    <w:lvl w:ilvl="8" w:tentative="0">
      <w:start w:val="0"/>
      <w:numFmt w:val="bullet"/>
      <w:lvlText w:val="•"/>
      <w:lvlJc w:val="left"/>
      <w:pPr>
        <w:ind w:left="7547" w:hanging="600"/>
      </w:pPr>
      <w:rPr>
        <w:rFonts w:hint="default"/>
      </w:rPr>
    </w:lvl>
  </w:abstractNum>
  <w:abstractNum w:abstractNumId="52">
    <w:nsid w:val="35E83B33"/>
    <w:multiLevelType w:val="multilevel"/>
    <w:tmpl w:val="35E83B33"/>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53">
    <w:nsid w:val="38EAC418"/>
    <w:multiLevelType w:val="multilevel"/>
    <w:tmpl w:val="38EAC418"/>
    <w:lvl w:ilvl="0" w:tentative="0">
      <w:start w:val="1"/>
      <w:numFmt w:val="decimal"/>
      <w:lvlText w:val="%1."/>
      <w:lvlJc w:val="left"/>
      <w:pPr>
        <w:ind w:left="663" w:hanging="181"/>
      </w:pPr>
      <w:rPr>
        <w:rFonts w:hint="default" w:ascii="Times New Roman" w:hAnsi="Times New Roman" w:eastAsia="Times New Roman" w:cs="Times New Roman"/>
        <w:w w:val="100"/>
        <w:sz w:val="22"/>
        <w:szCs w:val="22"/>
      </w:rPr>
    </w:lvl>
    <w:lvl w:ilvl="1" w:tentative="0">
      <w:start w:val="1"/>
      <w:numFmt w:val="decimal"/>
      <w:lvlText w:val="%2."/>
      <w:lvlJc w:val="left"/>
      <w:pPr>
        <w:ind w:left="424" w:hanging="361"/>
      </w:pPr>
      <w:rPr>
        <w:rFonts w:hint="default" w:ascii="Times New Roman" w:hAnsi="Times New Roman" w:eastAsia="Times New Roman" w:cs="Times New Roman"/>
        <w:spacing w:val="-120"/>
        <w:w w:val="100"/>
        <w:sz w:val="22"/>
        <w:szCs w:val="22"/>
      </w:rPr>
    </w:lvl>
    <w:lvl w:ilvl="2" w:tentative="0">
      <w:start w:val="0"/>
      <w:numFmt w:val="bullet"/>
      <w:lvlText w:val="•"/>
      <w:lvlJc w:val="left"/>
      <w:pPr>
        <w:ind w:left="1694" w:hanging="361"/>
      </w:pPr>
      <w:rPr>
        <w:rFonts w:hint="default"/>
      </w:rPr>
    </w:lvl>
    <w:lvl w:ilvl="3" w:tentative="0">
      <w:start w:val="0"/>
      <w:numFmt w:val="bullet"/>
      <w:lvlText w:val="•"/>
      <w:lvlJc w:val="left"/>
      <w:pPr>
        <w:ind w:left="2728" w:hanging="361"/>
      </w:pPr>
      <w:rPr>
        <w:rFonts w:hint="default"/>
      </w:rPr>
    </w:lvl>
    <w:lvl w:ilvl="4" w:tentative="0">
      <w:start w:val="0"/>
      <w:numFmt w:val="bullet"/>
      <w:lvlText w:val="•"/>
      <w:lvlJc w:val="left"/>
      <w:pPr>
        <w:ind w:left="3762" w:hanging="361"/>
      </w:pPr>
      <w:rPr>
        <w:rFonts w:hint="default"/>
      </w:rPr>
    </w:lvl>
    <w:lvl w:ilvl="5" w:tentative="0">
      <w:start w:val="0"/>
      <w:numFmt w:val="bullet"/>
      <w:lvlText w:val="•"/>
      <w:lvlJc w:val="left"/>
      <w:pPr>
        <w:ind w:left="4796" w:hanging="361"/>
      </w:pPr>
      <w:rPr>
        <w:rFonts w:hint="default"/>
      </w:rPr>
    </w:lvl>
    <w:lvl w:ilvl="6" w:tentative="0">
      <w:start w:val="0"/>
      <w:numFmt w:val="bullet"/>
      <w:lvlText w:val="•"/>
      <w:lvlJc w:val="left"/>
      <w:pPr>
        <w:ind w:left="5830" w:hanging="361"/>
      </w:pPr>
      <w:rPr>
        <w:rFonts w:hint="default"/>
      </w:rPr>
    </w:lvl>
    <w:lvl w:ilvl="7" w:tentative="0">
      <w:start w:val="0"/>
      <w:numFmt w:val="bullet"/>
      <w:lvlText w:val="•"/>
      <w:lvlJc w:val="left"/>
      <w:pPr>
        <w:ind w:left="6864" w:hanging="361"/>
      </w:pPr>
      <w:rPr>
        <w:rFonts w:hint="default"/>
      </w:rPr>
    </w:lvl>
    <w:lvl w:ilvl="8" w:tentative="0">
      <w:start w:val="0"/>
      <w:numFmt w:val="bullet"/>
      <w:lvlText w:val="•"/>
      <w:lvlJc w:val="left"/>
      <w:pPr>
        <w:ind w:left="7898" w:hanging="361"/>
      </w:pPr>
      <w:rPr>
        <w:rFonts w:hint="default"/>
      </w:rPr>
    </w:lvl>
  </w:abstractNum>
  <w:abstractNum w:abstractNumId="54">
    <w:nsid w:val="3B8127DF"/>
    <w:multiLevelType w:val="multilevel"/>
    <w:tmpl w:val="3B8127DF"/>
    <w:lvl w:ilvl="0" w:tentative="0">
      <w:start w:val="1"/>
      <w:numFmt w:val="decimal"/>
      <w:lvlText w:val="%1."/>
      <w:lvlJc w:val="left"/>
      <w:pPr>
        <w:ind w:left="772" w:hanging="348"/>
      </w:pPr>
      <w:rPr>
        <w:rFonts w:hint="default" w:ascii="Times New Roman" w:hAnsi="Times New Roman" w:eastAsia="Times New Roman" w:cs="Times New Roman"/>
        <w:b/>
        <w:bCs/>
        <w:w w:val="100"/>
        <w:sz w:val="28"/>
        <w:szCs w:val="28"/>
      </w:rPr>
    </w:lvl>
    <w:lvl w:ilvl="1" w:tentative="0">
      <w:start w:val="1"/>
      <w:numFmt w:val="decimal"/>
      <w:lvlText w:val="%1.%2"/>
      <w:lvlJc w:val="left"/>
      <w:pPr>
        <w:ind w:left="424" w:hanging="540"/>
      </w:pPr>
      <w:rPr>
        <w:rFonts w:hint="default" w:cs="Times New Roman"/>
        <w:spacing w:val="-18"/>
        <w:w w:val="100"/>
      </w:rPr>
    </w:lvl>
    <w:lvl w:ilvl="2" w:tentative="0">
      <w:start w:val="1"/>
      <w:numFmt w:val="decimal"/>
      <w:lvlText w:val="%1.%2.%3"/>
      <w:lvlJc w:val="left"/>
      <w:pPr>
        <w:ind w:left="1504" w:hanging="540"/>
      </w:pPr>
      <w:rPr>
        <w:rFonts w:hint="default" w:ascii="Times New Roman" w:hAnsi="Times New Roman" w:eastAsia="Times New Roman" w:cs="Times New Roman"/>
        <w:w w:val="100"/>
        <w:sz w:val="24"/>
        <w:szCs w:val="24"/>
      </w:rPr>
    </w:lvl>
    <w:lvl w:ilvl="3" w:tentative="0">
      <w:start w:val="1"/>
      <w:numFmt w:val="decimal"/>
      <w:lvlText w:val="%1.%2.%3.%4"/>
      <w:lvlJc w:val="left"/>
      <w:pPr>
        <w:ind w:left="424" w:hanging="540"/>
      </w:pPr>
      <w:rPr>
        <w:rFonts w:hint="default" w:ascii="Times New Roman" w:hAnsi="Times New Roman" w:eastAsia="Times New Roman" w:cs="Times New Roman"/>
        <w:spacing w:val="-118"/>
        <w:w w:val="100"/>
        <w:sz w:val="24"/>
        <w:szCs w:val="24"/>
      </w:rPr>
    </w:lvl>
    <w:lvl w:ilvl="4" w:tentative="0">
      <w:start w:val="0"/>
      <w:numFmt w:val="bullet"/>
      <w:lvlText w:val="•"/>
      <w:lvlJc w:val="left"/>
      <w:pPr>
        <w:ind w:left="1500" w:hanging="540"/>
      </w:pPr>
      <w:rPr>
        <w:rFonts w:hint="default"/>
      </w:rPr>
    </w:lvl>
    <w:lvl w:ilvl="5" w:tentative="0">
      <w:start w:val="0"/>
      <w:numFmt w:val="bullet"/>
      <w:lvlText w:val="•"/>
      <w:lvlJc w:val="left"/>
      <w:pPr>
        <w:ind w:left="1560" w:hanging="540"/>
      </w:pPr>
      <w:rPr>
        <w:rFonts w:hint="default"/>
      </w:rPr>
    </w:lvl>
    <w:lvl w:ilvl="6" w:tentative="0">
      <w:start w:val="0"/>
      <w:numFmt w:val="bullet"/>
      <w:lvlText w:val="•"/>
      <w:lvlJc w:val="left"/>
      <w:pPr>
        <w:ind w:left="1620" w:hanging="540"/>
      </w:pPr>
      <w:rPr>
        <w:rFonts w:hint="default"/>
      </w:rPr>
    </w:lvl>
    <w:lvl w:ilvl="7" w:tentative="0">
      <w:start w:val="0"/>
      <w:numFmt w:val="bullet"/>
      <w:lvlText w:val="•"/>
      <w:lvlJc w:val="left"/>
      <w:pPr>
        <w:ind w:left="1680" w:hanging="540"/>
      </w:pPr>
      <w:rPr>
        <w:rFonts w:hint="default"/>
      </w:rPr>
    </w:lvl>
    <w:lvl w:ilvl="8" w:tentative="0">
      <w:start w:val="0"/>
      <w:numFmt w:val="bullet"/>
      <w:lvlText w:val="•"/>
      <w:lvlJc w:val="left"/>
      <w:pPr>
        <w:ind w:left="4442" w:hanging="540"/>
      </w:pPr>
      <w:rPr>
        <w:rFonts w:hint="default"/>
      </w:rPr>
    </w:lvl>
  </w:abstractNum>
  <w:abstractNum w:abstractNumId="55">
    <w:nsid w:val="40B249F9"/>
    <w:multiLevelType w:val="multilevel"/>
    <w:tmpl w:val="40B249F9"/>
    <w:lvl w:ilvl="0" w:tentative="0">
      <w:start w:val="1"/>
      <w:numFmt w:val="decimal"/>
      <w:lvlText w:val="（%1）"/>
      <w:lvlJc w:val="left"/>
      <w:pPr>
        <w:ind w:left="424" w:hanging="601"/>
      </w:pPr>
      <w:rPr>
        <w:rFonts w:hint="default" w:ascii="宋体" w:hAnsi="宋体" w:eastAsia="宋体" w:cs="宋体"/>
        <w:spacing w:val="-29"/>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56">
    <w:nsid w:val="4258023A"/>
    <w:multiLevelType w:val="multilevel"/>
    <w:tmpl w:val="4258023A"/>
    <w:lvl w:ilvl="0" w:tentative="0">
      <w:start w:val="1"/>
      <w:numFmt w:val="decimal"/>
      <w:lvlText w:val="（%1）"/>
      <w:lvlJc w:val="left"/>
      <w:pPr>
        <w:ind w:left="1563" w:hanging="601"/>
      </w:pPr>
      <w:rPr>
        <w:rFonts w:hint="default" w:ascii="宋体" w:hAnsi="宋体" w:eastAsia="宋体" w:cs="宋体"/>
        <w:w w:val="100"/>
        <w:sz w:val="22"/>
        <w:szCs w:val="22"/>
      </w:rPr>
    </w:lvl>
    <w:lvl w:ilvl="1" w:tentative="0">
      <w:start w:val="0"/>
      <w:numFmt w:val="bullet"/>
      <w:lvlText w:val="•"/>
      <w:lvlJc w:val="left"/>
      <w:pPr>
        <w:ind w:left="2400" w:hanging="601"/>
      </w:pPr>
      <w:rPr>
        <w:rFonts w:hint="default"/>
      </w:rPr>
    </w:lvl>
    <w:lvl w:ilvl="2" w:tentative="0">
      <w:start w:val="0"/>
      <w:numFmt w:val="bullet"/>
      <w:lvlText w:val="•"/>
      <w:lvlJc w:val="left"/>
      <w:pPr>
        <w:ind w:left="3241" w:hanging="601"/>
      </w:pPr>
      <w:rPr>
        <w:rFonts w:hint="default"/>
      </w:rPr>
    </w:lvl>
    <w:lvl w:ilvl="3" w:tentative="0">
      <w:start w:val="0"/>
      <w:numFmt w:val="bullet"/>
      <w:lvlText w:val="•"/>
      <w:lvlJc w:val="left"/>
      <w:pPr>
        <w:ind w:left="4081" w:hanging="601"/>
      </w:pPr>
      <w:rPr>
        <w:rFonts w:hint="default"/>
      </w:rPr>
    </w:lvl>
    <w:lvl w:ilvl="4" w:tentative="0">
      <w:start w:val="0"/>
      <w:numFmt w:val="bullet"/>
      <w:lvlText w:val="•"/>
      <w:lvlJc w:val="left"/>
      <w:pPr>
        <w:ind w:left="4922" w:hanging="601"/>
      </w:pPr>
      <w:rPr>
        <w:rFonts w:hint="default"/>
      </w:rPr>
    </w:lvl>
    <w:lvl w:ilvl="5" w:tentative="0">
      <w:start w:val="0"/>
      <w:numFmt w:val="bullet"/>
      <w:lvlText w:val="•"/>
      <w:lvlJc w:val="left"/>
      <w:pPr>
        <w:ind w:left="5763" w:hanging="601"/>
      </w:pPr>
      <w:rPr>
        <w:rFonts w:hint="default"/>
      </w:rPr>
    </w:lvl>
    <w:lvl w:ilvl="6" w:tentative="0">
      <w:start w:val="0"/>
      <w:numFmt w:val="bullet"/>
      <w:lvlText w:val="•"/>
      <w:lvlJc w:val="left"/>
      <w:pPr>
        <w:ind w:left="6603" w:hanging="601"/>
      </w:pPr>
      <w:rPr>
        <w:rFonts w:hint="default"/>
      </w:rPr>
    </w:lvl>
    <w:lvl w:ilvl="7" w:tentative="0">
      <w:start w:val="0"/>
      <w:numFmt w:val="bullet"/>
      <w:lvlText w:val="•"/>
      <w:lvlJc w:val="left"/>
      <w:pPr>
        <w:ind w:left="7444" w:hanging="601"/>
      </w:pPr>
      <w:rPr>
        <w:rFonts w:hint="default"/>
      </w:rPr>
    </w:lvl>
    <w:lvl w:ilvl="8" w:tentative="0">
      <w:start w:val="0"/>
      <w:numFmt w:val="bullet"/>
      <w:lvlText w:val="•"/>
      <w:lvlJc w:val="left"/>
      <w:pPr>
        <w:ind w:left="8285" w:hanging="601"/>
      </w:pPr>
      <w:rPr>
        <w:rFonts w:hint="default"/>
      </w:rPr>
    </w:lvl>
  </w:abstractNum>
  <w:abstractNum w:abstractNumId="57">
    <w:nsid w:val="4A51D704"/>
    <w:multiLevelType w:val="multilevel"/>
    <w:tmpl w:val="4A51D704"/>
    <w:lvl w:ilvl="0" w:tentative="0">
      <w:start w:val="9"/>
      <w:numFmt w:val="decimal"/>
      <w:lvlText w:val="%1"/>
      <w:lvlJc w:val="left"/>
      <w:pPr>
        <w:ind w:left="1326" w:hanging="420"/>
      </w:pPr>
      <w:rPr>
        <w:rFonts w:hint="default" w:cs="Times New Roman"/>
      </w:rPr>
    </w:lvl>
    <w:lvl w:ilvl="1" w:tentative="0">
      <w:start w:val="3"/>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600"/>
      </w:pPr>
      <w:rPr>
        <w:rFonts w:hint="default" w:ascii="Times New Roman" w:hAnsi="Times New Roman" w:eastAsia="Times New Roman" w:cs="Times New Roman"/>
        <w:spacing w:val="-44"/>
        <w:w w:val="100"/>
        <w:sz w:val="24"/>
        <w:szCs w:val="24"/>
      </w:rPr>
    </w:lvl>
    <w:lvl w:ilvl="3" w:tentative="0">
      <w:start w:val="0"/>
      <w:numFmt w:val="bullet"/>
      <w:lvlText w:val="•"/>
      <w:lvlJc w:val="left"/>
      <w:pPr>
        <w:ind w:left="3241" w:hanging="600"/>
      </w:pPr>
      <w:rPr>
        <w:rFonts w:hint="default"/>
      </w:rPr>
    </w:lvl>
    <w:lvl w:ilvl="4" w:tentative="0">
      <w:start w:val="0"/>
      <w:numFmt w:val="bullet"/>
      <w:lvlText w:val="•"/>
      <w:lvlJc w:val="left"/>
      <w:pPr>
        <w:ind w:left="4202" w:hanging="600"/>
      </w:pPr>
      <w:rPr>
        <w:rFonts w:hint="default"/>
      </w:rPr>
    </w:lvl>
    <w:lvl w:ilvl="5" w:tentative="0">
      <w:start w:val="0"/>
      <w:numFmt w:val="bullet"/>
      <w:lvlText w:val="•"/>
      <w:lvlJc w:val="left"/>
      <w:pPr>
        <w:ind w:left="5162" w:hanging="600"/>
      </w:pPr>
      <w:rPr>
        <w:rFonts w:hint="default"/>
      </w:rPr>
    </w:lvl>
    <w:lvl w:ilvl="6" w:tentative="0">
      <w:start w:val="0"/>
      <w:numFmt w:val="bullet"/>
      <w:lvlText w:val="•"/>
      <w:lvlJc w:val="left"/>
      <w:pPr>
        <w:ind w:left="6123" w:hanging="600"/>
      </w:pPr>
      <w:rPr>
        <w:rFonts w:hint="default"/>
      </w:rPr>
    </w:lvl>
    <w:lvl w:ilvl="7" w:tentative="0">
      <w:start w:val="0"/>
      <w:numFmt w:val="bullet"/>
      <w:lvlText w:val="•"/>
      <w:lvlJc w:val="left"/>
      <w:pPr>
        <w:ind w:left="7084" w:hanging="600"/>
      </w:pPr>
      <w:rPr>
        <w:rFonts w:hint="default"/>
      </w:rPr>
    </w:lvl>
    <w:lvl w:ilvl="8" w:tentative="0">
      <w:start w:val="0"/>
      <w:numFmt w:val="bullet"/>
      <w:lvlText w:val="•"/>
      <w:lvlJc w:val="left"/>
      <w:pPr>
        <w:ind w:left="8044" w:hanging="600"/>
      </w:pPr>
      <w:rPr>
        <w:rFonts w:hint="default"/>
      </w:rPr>
    </w:lvl>
  </w:abstractNum>
  <w:abstractNum w:abstractNumId="58">
    <w:nsid w:val="4CD1E351"/>
    <w:multiLevelType w:val="multilevel"/>
    <w:tmpl w:val="4CD1E351"/>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59">
    <w:nsid w:val="5153C72E"/>
    <w:multiLevelType w:val="singleLevel"/>
    <w:tmpl w:val="5153C72E"/>
    <w:lvl w:ilvl="0" w:tentative="0">
      <w:start w:val="1"/>
      <w:numFmt w:val="decimal"/>
      <w:lvlText w:val="%1."/>
      <w:lvlJc w:val="left"/>
      <w:pPr>
        <w:tabs>
          <w:tab w:val="left" w:pos="312"/>
        </w:tabs>
      </w:pPr>
    </w:lvl>
  </w:abstractNum>
  <w:abstractNum w:abstractNumId="60">
    <w:nsid w:val="59EEFD2A"/>
    <w:multiLevelType w:val="multilevel"/>
    <w:tmpl w:val="59EEFD2A"/>
    <w:lvl w:ilvl="0" w:tentative="0">
      <w:start w:val="4"/>
      <w:numFmt w:val="decimal"/>
      <w:lvlText w:val="%1"/>
      <w:lvlJc w:val="left"/>
      <w:pPr>
        <w:ind w:left="1326" w:hanging="420"/>
      </w:pPr>
      <w:rPr>
        <w:rFonts w:hint="default" w:cs="Times New Roman"/>
      </w:rPr>
    </w:lvl>
    <w:lvl w:ilvl="1" w:tentative="0">
      <w:start w:val="7"/>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3381" w:hanging="600"/>
      </w:pPr>
      <w:rPr>
        <w:rFonts w:hint="default"/>
      </w:rPr>
    </w:lvl>
    <w:lvl w:ilvl="4" w:tentative="0">
      <w:start w:val="0"/>
      <w:numFmt w:val="bullet"/>
      <w:lvlText w:val="•"/>
      <w:lvlJc w:val="left"/>
      <w:pPr>
        <w:ind w:left="4322" w:hanging="600"/>
      </w:pPr>
      <w:rPr>
        <w:rFonts w:hint="default"/>
      </w:rPr>
    </w:lvl>
    <w:lvl w:ilvl="5" w:tentative="0">
      <w:start w:val="0"/>
      <w:numFmt w:val="bullet"/>
      <w:lvlText w:val="•"/>
      <w:lvlJc w:val="left"/>
      <w:pPr>
        <w:ind w:left="5262" w:hanging="600"/>
      </w:pPr>
      <w:rPr>
        <w:rFonts w:hint="default"/>
      </w:rPr>
    </w:lvl>
    <w:lvl w:ilvl="6" w:tentative="0">
      <w:start w:val="0"/>
      <w:numFmt w:val="bullet"/>
      <w:lvlText w:val="•"/>
      <w:lvlJc w:val="left"/>
      <w:pPr>
        <w:ind w:left="6203" w:hanging="600"/>
      </w:pPr>
      <w:rPr>
        <w:rFonts w:hint="default"/>
      </w:rPr>
    </w:lvl>
    <w:lvl w:ilvl="7" w:tentative="0">
      <w:start w:val="0"/>
      <w:numFmt w:val="bullet"/>
      <w:lvlText w:val="•"/>
      <w:lvlJc w:val="left"/>
      <w:pPr>
        <w:ind w:left="7144" w:hanging="600"/>
      </w:pPr>
      <w:rPr>
        <w:rFonts w:hint="default"/>
      </w:rPr>
    </w:lvl>
    <w:lvl w:ilvl="8" w:tentative="0">
      <w:start w:val="0"/>
      <w:numFmt w:val="bullet"/>
      <w:lvlText w:val="•"/>
      <w:lvlJc w:val="left"/>
      <w:pPr>
        <w:ind w:left="8084" w:hanging="600"/>
      </w:pPr>
      <w:rPr>
        <w:rFonts w:hint="default"/>
      </w:rPr>
    </w:lvl>
  </w:abstractNum>
  <w:abstractNum w:abstractNumId="61">
    <w:nsid w:val="5A252151"/>
    <w:multiLevelType w:val="singleLevel"/>
    <w:tmpl w:val="5A252151"/>
    <w:lvl w:ilvl="0" w:tentative="0">
      <w:start w:val="1"/>
      <w:numFmt w:val="decimal"/>
      <w:suff w:val="nothing"/>
      <w:lvlText w:val="（%1）"/>
      <w:lvlJc w:val="left"/>
      <w:rPr>
        <w:rFonts w:cs="Times New Roman"/>
      </w:rPr>
    </w:lvl>
  </w:abstractNum>
  <w:abstractNum w:abstractNumId="62">
    <w:nsid w:val="5A3C3275"/>
    <w:multiLevelType w:val="singleLevel"/>
    <w:tmpl w:val="5A3C3275"/>
    <w:lvl w:ilvl="0" w:tentative="0">
      <w:start w:val="1"/>
      <w:numFmt w:val="decimal"/>
      <w:suff w:val="nothing"/>
      <w:lvlText w:val="（%1）"/>
      <w:lvlJc w:val="left"/>
    </w:lvl>
  </w:abstractNum>
  <w:abstractNum w:abstractNumId="63">
    <w:nsid w:val="5FCE4367"/>
    <w:multiLevelType w:val="multilevel"/>
    <w:tmpl w:val="5FCE4367"/>
    <w:lvl w:ilvl="0" w:tentative="0">
      <w:start w:val="1"/>
      <w:numFmt w:val="decimal"/>
      <w:lvlText w:val="（%1）"/>
      <w:lvlJc w:val="left"/>
      <w:pPr>
        <w:ind w:left="1505" w:hanging="601"/>
      </w:pPr>
      <w:rPr>
        <w:rFonts w:hint="default" w:ascii="宋体" w:hAnsi="宋体" w:eastAsia="宋体" w:cs="宋体"/>
        <w:w w:val="100"/>
        <w:sz w:val="22"/>
        <w:szCs w:val="22"/>
      </w:rPr>
    </w:lvl>
    <w:lvl w:ilvl="1" w:tentative="0">
      <w:start w:val="0"/>
      <w:numFmt w:val="bullet"/>
      <w:lvlText w:val="•"/>
      <w:lvlJc w:val="left"/>
      <w:pPr>
        <w:ind w:left="2346" w:hanging="601"/>
      </w:pPr>
      <w:rPr>
        <w:rFonts w:hint="default"/>
      </w:rPr>
    </w:lvl>
    <w:lvl w:ilvl="2" w:tentative="0">
      <w:start w:val="0"/>
      <w:numFmt w:val="bullet"/>
      <w:lvlText w:val="•"/>
      <w:lvlJc w:val="left"/>
      <w:pPr>
        <w:ind w:left="3193" w:hanging="601"/>
      </w:pPr>
      <w:rPr>
        <w:rFonts w:hint="default"/>
      </w:rPr>
    </w:lvl>
    <w:lvl w:ilvl="3" w:tentative="0">
      <w:start w:val="0"/>
      <w:numFmt w:val="bullet"/>
      <w:lvlText w:val="•"/>
      <w:lvlJc w:val="left"/>
      <w:pPr>
        <w:ind w:left="4039" w:hanging="601"/>
      </w:pPr>
      <w:rPr>
        <w:rFonts w:hint="default"/>
      </w:rPr>
    </w:lvl>
    <w:lvl w:ilvl="4" w:tentative="0">
      <w:start w:val="0"/>
      <w:numFmt w:val="bullet"/>
      <w:lvlText w:val="•"/>
      <w:lvlJc w:val="left"/>
      <w:pPr>
        <w:ind w:left="4886" w:hanging="601"/>
      </w:pPr>
      <w:rPr>
        <w:rFonts w:hint="default"/>
      </w:rPr>
    </w:lvl>
    <w:lvl w:ilvl="5" w:tentative="0">
      <w:start w:val="0"/>
      <w:numFmt w:val="bullet"/>
      <w:lvlText w:val="•"/>
      <w:lvlJc w:val="left"/>
      <w:pPr>
        <w:ind w:left="5733" w:hanging="601"/>
      </w:pPr>
      <w:rPr>
        <w:rFonts w:hint="default"/>
      </w:rPr>
    </w:lvl>
    <w:lvl w:ilvl="6" w:tentative="0">
      <w:start w:val="0"/>
      <w:numFmt w:val="bullet"/>
      <w:lvlText w:val="•"/>
      <w:lvlJc w:val="left"/>
      <w:pPr>
        <w:ind w:left="6579" w:hanging="601"/>
      </w:pPr>
      <w:rPr>
        <w:rFonts w:hint="default"/>
      </w:rPr>
    </w:lvl>
    <w:lvl w:ilvl="7" w:tentative="0">
      <w:start w:val="0"/>
      <w:numFmt w:val="bullet"/>
      <w:lvlText w:val="•"/>
      <w:lvlJc w:val="left"/>
      <w:pPr>
        <w:ind w:left="7426" w:hanging="601"/>
      </w:pPr>
      <w:rPr>
        <w:rFonts w:hint="default"/>
      </w:rPr>
    </w:lvl>
    <w:lvl w:ilvl="8" w:tentative="0">
      <w:start w:val="0"/>
      <w:numFmt w:val="bullet"/>
      <w:lvlText w:val="•"/>
      <w:lvlJc w:val="left"/>
      <w:pPr>
        <w:ind w:left="8273" w:hanging="601"/>
      </w:pPr>
      <w:rPr>
        <w:rFonts w:hint="default"/>
      </w:rPr>
    </w:lvl>
  </w:abstractNum>
  <w:abstractNum w:abstractNumId="64">
    <w:nsid w:val="610EFE5C"/>
    <w:multiLevelType w:val="multilevel"/>
    <w:tmpl w:val="610EFE5C"/>
    <w:lvl w:ilvl="0" w:tentative="0">
      <w:start w:val="10"/>
      <w:numFmt w:val="decimal"/>
      <w:lvlText w:val="%1"/>
      <w:lvlJc w:val="left"/>
      <w:pPr>
        <w:ind w:left="1446" w:hanging="540"/>
      </w:pPr>
      <w:rPr>
        <w:rFonts w:hint="default" w:cs="Times New Roman"/>
      </w:rPr>
    </w:lvl>
    <w:lvl w:ilvl="1" w:tentative="0">
      <w:start w:val="2"/>
      <w:numFmt w:val="decimal"/>
      <w:lvlText w:val="%1.%2"/>
      <w:lvlJc w:val="left"/>
      <w:pPr>
        <w:ind w:left="1446" w:hanging="540"/>
      </w:pPr>
      <w:rPr>
        <w:rFonts w:hint="default" w:ascii="Times New Roman" w:hAnsi="Times New Roman" w:eastAsia="Times New Roman" w:cs="Times New Roman"/>
        <w:b/>
        <w:bCs/>
        <w:w w:val="99"/>
        <w:sz w:val="24"/>
        <w:szCs w:val="24"/>
      </w:rPr>
    </w:lvl>
    <w:lvl w:ilvl="2" w:tentative="0">
      <w:start w:val="1"/>
      <w:numFmt w:val="decimal"/>
      <w:lvlText w:val="%1.%2.%3"/>
      <w:lvlJc w:val="left"/>
      <w:pPr>
        <w:ind w:left="424" w:hanging="720"/>
      </w:pPr>
      <w:rPr>
        <w:rFonts w:hint="default" w:ascii="Times New Roman" w:hAnsi="Times New Roman" w:eastAsia="Times New Roman" w:cs="Times New Roman"/>
        <w:spacing w:val="-13"/>
        <w:w w:val="100"/>
        <w:sz w:val="24"/>
        <w:szCs w:val="24"/>
      </w:rPr>
    </w:lvl>
    <w:lvl w:ilvl="3" w:tentative="0">
      <w:start w:val="0"/>
      <w:numFmt w:val="bullet"/>
      <w:lvlText w:val="•"/>
      <w:lvlJc w:val="left"/>
      <w:pPr>
        <w:ind w:left="3334" w:hanging="720"/>
      </w:pPr>
      <w:rPr>
        <w:rFonts w:hint="default"/>
      </w:rPr>
    </w:lvl>
    <w:lvl w:ilvl="4" w:tentative="0">
      <w:start w:val="0"/>
      <w:numFmt w:val="bullet"/>
      <w:lvlText w:val="•"/>
      <w:lvlJc w:val="left"/>
      <w:pPr>
        <w:ind w:left="4282" w:hanging="720"/>
      </w:pPr>
      <w:rPr>
        <w:rFonts w:hint="default"/>
      </w:rPr>
    </w:lvl>
    <w:lvl w:ilvl="5" w:tentative="0">
      <w:start w:val="0"/>
      <w:numFmt w:val="bullet"/>
      <w:lvlText w:val="•"/>
      <w:lvlJc w:val="left"/>
      <w:pPr>
        <w:ind w:left="5229" w:hanging="720"/>
      </w:pPr>
      <w:rPr>
        <w:rFonts w:hint="default"/>
      </w:rPr>
    </w:lvl>
    <w:lvl w:ilvl="6" w:tentative="0">
      <w:start w:val="0"/>
      <w:numFmt w:val="bullet"/>
      <w:lvlText w:val="•"/>
      <w:lvlJc w:val="left"/>
      <w:pPr>
        <w:ind w:left="6176" w:hanging="720"/>
      </w:pPr>
      <w:rPr>
        <w:rFonts w:hint="default"/>
      </w:rPr>
    </w:lvl>
    <w:lvl w:ilvl="7" w:tentative="0">
      <w:start w:val="0"/>
      <w:numFmt w:val="bullet"/>
      <w:lvlText w:val="•"/>
      <w:lvlJc w:val="left"/>
      <w:pPr>
        <w:ind w:left="7124" w:hanging="720"/>
      </w:pPr>
      <w:rPr>
        <w:rFonts w:hint="default"/>
      </w:rPr>
    </w:lvl>
    <w:lvl w:ilvl="8" w:tentative="0">
      <w:start w:val="0"/>
      <w:numFmt w:val="bullet"/>
      <w:lvlText w:val="•"/>
      <w:lvlJc w:val="left"/>
      <w:pPr>
        <w:ind w:left="8071" w:hanging="720"/>
      </w:pPr>
      <w:rPr>
        <w:rFonts w:hint="default"/>
      </w:rPr>
    </w:lvl>
  </w:abstractNum>
  <w:abstractNum w:abstractNumId="65">
    <w:nsid w:val="68B298F7"/>
    <w:multiLevelType w:val="multilevel"/>
    <w:tmpl w:val="68B298F7"/>
    <w:lvl w:ilvl="0" w:tentative="0">
      <w:start w:val="1"/>
      <w:numFmt w:val="decimal"/>
      <w:lvlText w:val="（%1）"/>
      <w:lvlJc w:val="left"/>
      <w:pPr>
        <w:ind w:left="424" w:hanging="601"/>
      </w:pPr>
      <w:rPr>
        <w:rFonts w:hint="default" w:ascii="宋体" w:hAnsi="宋体" w:eastAsia="宋体" w:cs="宋体"/>
        <w:spacing w:val="-44"/>
        <w:w w:val="100"/>
        <w:sz w:val="22"/>
        <w:szCs w:val="22"/>
      </w:rPr>
    </w:lvl>
    <w:lvl w:ilvl="1" w:tentative="0">
      <w:start w:val="0"/>
      <w:numFmt w:val="bullet"/>
      <w:lvlText w:val="•"/>
      <w:lvlJc w:val="left"/>
      <w:pPr>
        <w:ind w:left="1374" w:hanging="601"/>
      </w:pPr>
      <w:rPr>
        <w:rFonts w:hint="default"/>
      </w:rPr>
    </w:lvl>
    <w:lvl w:ilvl="2" w:tentative="0">
      <w:start w:val="0"/>
      <w:numFmt w:val="bullet"/>
      <w:lvlText w:val="•"/>
      <w:lvlJc w:val="left"/>
      <w:pPr>
        <w:ind w:left="2329" w:hanging="601"/>
      </w:pPr>
      <w:rPr>
        <w:rFonts w:hint="default"/>
      </w:rPr>
    </w:lvl>
    <w:lvl w:ilvl="3" w:tentative="0">
      <w:start w:val="0"/>
      <w:numFmt w:val="bullet"/>
      <w:lvlText w:val="•"/>
      <w:lvlJc w:val="left"/>
      <w:pPr>
        <w:ind w:left="3283" w:hanging="601"/>
      </w:pPr>
      <w:rPr>
        <w:rFonts w:hint="default"/>
      </w:rPr>
    </w:lvl>
    <w:lvl w:ilvl="4" w:tentative="0">
      <w:start w:val="0"/>
      <w:numFmt w:val="bullet"/>
      <w:lvlText w:val="•"/>
      <w:lvlJc w:val="left"/>
      <w:pPr>
        <w:ind w:left="4238" w:hanging="601"/>
      </w:pPr>
      <w:rPr>
        <w:rFonts w:hint="default"/>
      </w:rPr>
    </w:lvl>
    <w:lvl w:ilvl="5" w:tentative="0">
      <w:start w:val="0"/>
      <w:numFmt w:val="bullet"/>
      <w:lvlText w:val="•"/>
      <w:lvlJc w:val="left"/>
      <w:pPr>
        <w:ind w:left="5193" w:hanging="601"/>
      </w:pPr>
      <w:rPr>
        <w:rFonts w:hint="default"/>
      </w:rPr>
    </w:lvl>
    <w:lvl w:ilvl="6" w:tentative="0">
      <w:start w:val="0"/>
      <w:numFmt w:val="bullet"/>
      <w:lvlText w:val="•"/>
      <w:lvlJc w:val="left"/>
      <w:pPr>
        <w:ind w:left="6147" w:hanging="601"/>
      </w:pPr>
      <w:rPr>
        <w:rFonts w:hint="default"/>
      </w:rPr>
    </w:lvl>
    <w:lvl w:ilvl="7" w:tentative="0">
      <w:start w:val="0"/>
      <w:numFmt w:val="bullet"/>
      <w:lvlText w:val="•"/>
      <w:lvlJc w:val="left"/>
      <w:pPr>
        <w:ind w:left="7102" w:hanging="601"/>
      </w:pPr>
      <w:rPr>
        <w:rFonts w:hint="default"/>
      </w:rPr>
    </w:lvl>
    <w:lvl w:ilvl="8" w:tentative="0">
      <w:start w:val="0"/>
      <w:numFmt w:val="bullet"/>
      <w:lvlText w:val="•"/>
      <w:lvlJc w:val="left"/>
      <w:pPr>
        <w:ind w:left="8057" w:hanging="601"/>
      </w:pPr>
      <w:rPr>
        <w:rFonts w:hint="default"/>
      </w:rPr>
    </w:lvl>
  </w:abstractNum>
  <w:abstractNum w:abstractNumId="66">
    <w:nsid w:val="6AFC2A1C"/>
    <w:multiLevelType w:val="multilevel"/>
    <w:tmpl w:val="6AFC2A1C"/>
    <w:lvl w:ilvl="0" w:tentative="0">
      <w:start w:val="1"/>
      <w:numFmt w:val="decimal"/>
      <w:lvlText w:val="%1."/>
      <w:lvlJc w:val="left"/>
      <w:pPr>
        <w:ind w:left="424" w:hanging="276"/>
      </w:pPr>
      <w:rPr>
        <w:rFonts w:hint="default" w:ascii="Times New Roman" w:hAnsi="Times New Roman" w:eastAsia="Times New Roman" w:cs="Times New Roman"/>
        <w:spacing w:val="-24"/>
        <w:w w:val="100"/>
        <w:sz w:val="24"/>
        <w:szCs w:val="24"/>
      </w:rPr>
    </w:lvl>
    <w:lvl w:ilvl="1" w:tentative="0">
      <w:start w:val="2"/>
      <w:numFmt w:val="decimal"/>
      <w:lvlText w:val="%2."/>
      <w:lvlJc w:val="left"/>
      <w:pPr>
        <w:ind w:left="1055" w:hanging="264"/>
      </w:pPr>
      <w:rPr>
        <w:rFonts w:hint="default" w:ascii="Times New Roman" w:hAnsi="Times New Roman" w:eastAsia="Times New Roman" w:cs="Times New Roman"/>
        <w:w w:val="100"/>
        <w:sz w:val="21"/>
        <w:szCs w:val="21"/>
      </w:rPr>
    </w:lvl>
    <w:lvl w:ilvl="2" w:tentative="0">
      <w:start w:val="0"/>
      <w:numFmt w:val="bullet"/>
      <w:lvlText w:val="•"/>
      <w:lvlJc w:val="left"/>
      <w:pPr>
        <w:ind w:left="2049" w:hanging="264"/>
      </w:pPr>
      <w:rPr>
        <w:rFonts w:hint="default"/>
      </w:rPr>
    </w:lvl>
    <w:lvl w:ilvl="3" w:tentative="0">
      <w:start w:val="0"/>
      <w:numFmt w:val="bullet"/>
      <w:lvlText w:val="•"/>
      <w:lvlJc w:val="left"/>
      <w:pPr>
        <w:ind w:left="3039" w:hanging="264"/>
      </w:pPr>
      <w:rPr>
        <w:rFonts w:hint="default"/>
      </w:rPr>
    </w:lvl>
    <w:lvl w:ilvl="4" w:tentative="0">
      <w:start w:val="0"/>
      <w:numFmt w:val="bullet"/>
      <w:lvlText w:val="•"/>
      <w:lvlJc w:val="left"/>
      <w:pPr>
        <w:ind w:left="4028" w:hanging="264"/>
      </w:pPr>
      <w:rPr>
        <w:rFonts w:hint="default"/>
      </w:rPr>
    </w:lvl>
    <w:lvl w:ilvl="5" w:tentative="0">
      <w:start w:val="0"/>
      <w:numFmt w:val="bullet"/>
      <w:lvlText w:val="•"/>
      <w:lvlJc w:val="left"/>
      <w:pPr>
        <w:ind w:left="5018" w:hanging="264"/>
      </w:pPr>
      <w:rPr>
        <w:rFonts w:hint="default"/>
      </w:rPr>
    </w:lvl>
    <w:lvl w:ilvl="6" w:tentative="0">
      <w:start w:val="0"/>
      <w:numFmt w:val="bullet"/>
      <w:lvlText w:val="•"/>
      <w:lvlJc w:val="left"/>
      <w:pPr>
        <w:ind w:left="6008" w:hanging="264"/>
      </w:pPr>
      <w:rPr>
        <w:rFonts w:hint="default"/>
      </w:rPr>
    </w:lvl>
    <w:lvl w:ilvl="7" w:tentative="0">
      <w:start w:val="0"/>
      <w:numFmt w:val="bullet"/>
      <w:lvlText w:val="•"/>
      <w:lvlJc w:val="left"/>
      <w:pPr>
        <w:ind w:left="6997" w:hanging="264"/>
      </w:pPr>
      <w:rPr>
        <w:rFonts w:hint="default"/>
      </w:rPr>
    </w:lvl>
    <w:lvl w:ilvl="8" w:tentative="0">
      <w:start w:val="0"/>
      <w:numFmt w:val="bullet"/>
      <w:lvlText w:val="•"/>
      <w:lvlJc w:val="left"/>
      <w:pPr>
        <w:ind w:left="7987" w:hanging="264"/>
      </w:pPr>
      <w:rPr>
        <w:rFonts w:hint="default"/>
      </w:rPr>
    </w:lvl>
  </w:abstractNum>
  <w:abstractNum w:abstractNumId="67">
    <w:nsid w:val="700FDCEF"/>
    <w:multiLevelType w:val="multilevel"/>
    <w:tmpl w:val="700FDCEF"/>
    <w:lvl w:ilvl="0" w:tentative="0">
      <w:start w:val="1"/>
      <w:numFmt w:val="decimal"/>
      <w:lvlText w:val="%1"/>
      <w:lvlJc w:val="left"/>
      <w:pPr>
        <w:ind w:left="1326" w:hanging="420"/>
      </w:pPr>
      <w:rPr>
        <w:rFonts w:hint="default" w:cs="Times New Roman"/>
      </w:rPr>
    </w:lvl>
    <w:lvl w:ilvl="1" w:tentative="0">
      <w:start w:val="2"/>
      <w:numFmt w:val="decimal"/>
      <w:lvlText w:val="%1.%2"/>
      <w:lvlJc w:val="left"/>
      <w:pPr>
        <w:ind w:left="1326" w:hanging="420"/>
      </w:pPr>
      <w:rPr>
        <w:rFonts w:hint="default" w:ascii="Times New Roman" w:hAnsi="Times New Roman" w:eastAsia="Times New Roman" w:cs="Times New Roman"/>
        <w:b/>
        <w:bCs/>
        <w:w w:val="99"/>
        <w:sz w:val="24"/>
        <w:szCs w:val="24"/>
      </w:rPr>
    </w:lvl>
    <w:lvl w:ilvl="2" w:tentative="0">
      <w:start w:val="1"/>
      <w:numFmt w:val="decimal"/>
      <w:lvlText w:val="%1.%2.%3"/>
      <w:lvlJc w:val="left"/>
      <w:pPr>
        <w:ind w:left="1504" w:hanging="600"/>
      </w:pPr>
      <w:rPr>
        <w:rFonts w:hint="default" w:ascii="Times New Roman" w:hAnsi="Times New Roman" w:eastAsia="Times New Roman" w:cs="Times New Roman"/>
        <w:w w:val="100"/>
        <w:sz w:val="24"/>
        <w:szCs w:val="24"/>
      </w:rPr>
    </w:lvl>
    <w:lvl w:ilvl="3" w:tentative="0">
      <w:start w:val="0"/>
      <w:numFmt w:val="bullet"/>
      <w:lvlText w:val="•"/>
      <w:lvlJc w:val="left"/>
      <w:pPr>
        <w:ind w:left="3381" w:hanging="600"/>
      </w:pPr>
      <w:rPr>
        <w:rFonts w:hint="default"/>
      </w:rPr>
    </w:lvl>
    <w:lvl w:ilvl="4" w:tentative="0">
      <w:start w:val="0"/>
      <w:numFmt w:val="bullet"/>
      <w:lvlText w:val="•"/>
      <w:lvlJc w:val="left"/>
      <w:pPr>
        <w:ind w:left="4322" w:hanging="600"/>
      </w:pPr>
      <w:rPr>
        <w:rFonts w:hint="default"/>
      </w:rPr>
    </w:lvl>
    <w:lvl w:ilvl="5" w:tentative="0">
      <w:start w:val="0"/>
      <w:numFmt w:val="bullet"/>
      <w:lvlText w:val="•"/>
      <w:lvlJc w:val="left"/>
      <w:pPr>
        <w:ind w:left="5262" w:hanging="600"/>
      </w:pPr>
      <w:rPr>
        <w:rFonts w:hint="default"/>
      </w:rPr>
    </w:lvl>
    <w:lvl w:ilvl="6" w:tentative="0">
      <w:start w:val="0"/>
      <w:numFmt w:val="bullet"/>
      <w:lvlText w:val="•"/>
      <w:lvlJc w:val="left"/>
      <w:pPr>
        <w:ind w:left="6203" w:hanging="600"/>
      </w:pPr>
      <w:rPr>
        <w:rFonts w:hint="default"/>
      </w:rPr>
    </w:lvl>
    <w:lvl w:ilvl="7" w:tentative="0">
      <w:start w:val="0"/>
      <w:numFmt w:val="bullet"/>
      <w:lvlText w:val="•"/>
      <w:lvlJc w:val="left"/>
      <w:pPr>
        <w:ind w:left="7144" w:hanging="600"/>
      </w:pPr>
      <w:rPr>
        <w:rFonts w:hint="default"/>
      </w:rPr>
    </w:lvl>
    <w:lvl w:ilvl="8" w:tentative="0">
      <w:start w:val="0"/>
      <w:numFmt w:val="bullet"/>
      <w:lvlText w:val="•"/>
      <w:lvlJc w:val="left"/>
      <w:pPr>
        <w:ind w:left="8084" w:hanging="600"/>
      </w:pPr>
      <w:rPr>
        <w:rFonts w:hint="default"/>
      </w:rPr>
    </w:lvl>
  </w:abstractNum>
  <w:abstractNum w:abstractNumId="68">
    <w:nsid w:val="77633216"/>
    <w:multiLevelType w:val="multilevel"/>
    <w:tmpl w:val="77633216"/>
    <w:lvl w:ilvl="0" w:tentative="0">
      <w:start w:val="1"/>
      <w:numFmt w:val="decimal"/>
      <w:lvlText w:val="%1"/>
      <w:lvlJc w:val="left"/>
      <w:pPr>
        <w:ind w:left="1432" w:hanging="526"/>
      </w:pPr>
      <w:rPr>
        <w:rFonts w:hint="default" w:cs="Times New Roman"/>
      </w:rPr>
    </w:lvl>
    <w:lvl w:ilvl="1" w:tentative="0">
      <w:start w:val="11"/>
      <w:numFmt w:val="decimal"/>
      <w:lvlText w:val="%1.%2"/>
      <w:lvlJc w:val="left"/>
      <w:pPr>
        <w:ind w:left="1432" w:hanging="526"/>
      </w:pPr>
      <w:rPr>
        <w:rFonts w:hint="default" w:ascii="Times New Roman" w:hAnsi="Times New Roman" w:eastAsia="Times New Roman" w:cs="Times New Roman"/>
        <w:b/>
        <w:bCs/>
        <w:spacing w:val="-15"/>
        <w:w w:val="99"/>
        <w:sz w:val="24"/>
        <w:szCs w:val="24"/>
      </w:rPr>
    </w:lvl>
    <w:lvl w:ilvl="2" w:tentative="0">
      <w:start w:val="1"/>
      <w:numFmt w:val="decimal"/>
      <w:lvlText w:val="%1.%2.%3"/>
      <w:lvlJc w:val="left"/>
      <w:pPr>
        <w:ind w:left="424" w:hanging="720"/>
      </w:pPr>
      <w:rPr>
        <w:rFonts w:hint="default" w:ascii="Times New Roman" w:hAnsi="Times New Roman" w:eastAsia="Times New Roman" w:cs="Times New Roman"/>
        <w:spacing w:val="-42"/>
        <w:w w:val="100"/>
        <w:sz w:val="24"/>
        <w:szCs w:val="24"/>
      </w:rPr>
    </w:lvl>
    <w:lvl w:ilvl="3" w:tentative="0">
      <w:start w:val="0"/>
      <w:numFmt w:val="bullet"/>
      <w:lvlText w:val="•"/>
      <w:lvlJc w:val="left"/>
      <w:pPr>
        <w:ind w:left="3334" w:hanging="720"/>
      </w:pPr>
      <w:rPr>
        <w:rFonts w:hint="default"/>
      </w:rPr>
    </w:lvl>
    <w:lvl w:ilvl="4" w:tentative="0">
      <w:start w:val="0"/>
      <w:numFmt w:val="bullet"/>
      <w:lvlText w:val="•"/>
      <w:lvlJc w:val="left"/>
      <w:pPr>
        <w:ind w:left="4282" w:hanging="720"/>
      </w:pPr>
      <w:rPr>
        <w:rFonts w:hint="default"/>
      </w:rPr>
    </w:lvl>
    <w:lvl w:ilvl="5" w:tentative="0">
      <w:start w:val="0"/>
      <w:numFmt w:val="bullet"/>
      <w:lvlText w:val="•"/>
      <w:lvlJc w:val="left"/>
      <w:pPr>
        <w:ind w:left="5229" w:hanging="720"/>
      </w:pPr>
      <w:rPr>
        <w:rFonts w:hint="default"/>
      </w:rPr>
    </w:lvl>
    <w:lvl w:ilvl="6" w:tentative="0">
      <w:start w:val="0"/>
      <w:numFmt w:val="bullet"/>
      <w:lvlText w:val="•"/>
      <w:lvlJc w:val="left"/>
      <w:pPr>
        <w:ind w:left="6176" w:hanging="720"/>
      </w:pPr>
      <w:rPr>
        <w:rFonts w:hint="default"/>
      </w:rPr>
    </w:lvl>
    <w:lvl w:ilvl="7" w:tentative="0">
      <w:start w:val="0"/>
      <w:numFmt w:val="bullet"/>
      <w:lvlText w:val="•"/>
      <w:lvlJc w:val="left"/>
      <w:pPr>
        <w:ind w:left="7124" w:hanging="720"/>
      </w:pPr>
      <w:rPr>
        <w:rFonts w:hint="default"/>
      </w:rPr>
    </w:lvl>
    <w:lvl w:ilvl="8" w:tentative="0">
      <w:start w:val="0"/>
      <w:numFmt w:val="bullet"/>
      <w:lvlText w:val="•"/>
      <w:lvlJc w:val="left"/>
      <w:pPr>
        <w:ind w:left="8071" w:hanging="720"/>
      </w:pPr>
      <w:rPr>
        <w:rFonts w:hint="default"/>
      </w:rPr>
    </w:lvl>
  </w:abstractNum>
  <w:num w:numId="1">
    <w:abstractNumId w:val="61"/>
  </w:num>
  <w:num w:numId="2">
    <w:abstractNumId w:val="62"/>
  </w:num>
  <w:num w:numId="3">
    <w:abstractNumId w:val="51"/>
  </w:num>
  <w:num w:numId="4">
    <w:abstractNumId w:val="31"/>
  </w:num>
  <w:num w:numId="5">
    <w:abstractNumId w:val="48"/>
  </w:num>
  <w:num w:numId="6">
    <w:abstractNumId w:val="15"/>
  </w:num>
  <w:num w:numId="7">
    <w:abstractNumId w:val="55"/>
  </w:num>
  <w:num w:numId="8">
    <w:abstractNumId w:val="41"/>
  </w:num>
  <w:num w:numId="9">
    <w:abstractNumId w:val="52"/>
  </w:num>
  <w:num w:numId="10">
    <w:abstractNumId w:val="40"/>
  </w:num>
  <w:num w:numId="11">
    <w:abstractNumId w:val="21"/>
  </w:num>
  <w:num w:numId="12">
    <w:abstractNumId w:val="43"/>
  </w:num>
  <w:num w:numId="13">
    <w:abstractNumId w:val="14"/>
  </w:num>
  <w:num w:numId="14">
    <w:abstractNumId w:val="54"/>
  </w:num>
  <w:num w:numId="15">
    <w:abstractNumId w:val="10"/>
  </w:num>
  <w:num w:numId="16">
    <w:abstractNumId w:val="37"/>
  </w:num>
  <w:num w:numId="17">
    <w:abstractNumId w:val="50"/>
  </w:num>
  <w:num w:numId="18">
    <w:abstractNumId w:val="38"/>
  </w:num>
  <w:num w:numId="19">
    <w:abstractNumId w:val="45"/>
  </w:num>
  <w:num w:numId="20">
    <w:abstractNumId w:val="67"/>
  </w:num>
  <w:num w:numId="21">
    <w:abstractNumId w:val="29"/>
  </w:num>
  <w:num w:numId="22">
    <w:abstractNumId w:val="22"/>
  </w:num>
  <w:num w:numId="23">
    <w:abstractNumId w:val="9"/>
  </w:num>
  <w:num w:numId="24">
    <w:abstractNumId w:val="68"/>
  </w:num>
  <w:num w:numId="25">
    <w:abstractNumId w:val="27"/>
  </w:num>
  <w:num w:numId="26">
    <w:abstractNumId w:val="16"/>
  </w:num>
  <w:num w:numId="27">
    <w:abstractNumId w:val="49"/>
  </w:num>
  <w:num w:numId="28">
    <w:abstractNumId w:val="30"/>
  </w:num>
  <w:num w:numId="29">
    <w:abstractNumId w:val="5"/>
  </w:num>
  <w:num w:numId="30">
    <w:abstractNumId w:val="60"/>
  </w:num>
  <w:num w:numId="31">
    <w:abstractNumId w:val="18"/>
  </w:num>
  <w:num w:numId="32">
    <w:abstractNumId w:val="13"/>
  </w:num>
  <w:num w:numId="33">
    <w:abstractNumId w:val="4"/>
  </w:num>
  <w:num w:numId="34">
    <w:abstractNumId w:val="7"/>
  </w:num>
  <w:num w:numId="35">
    <w:abstractNumId w:val="12"/>
  </w:num>
  <w:num w:numId="36">
    <w:abstractNumId w:val="3"/>
  </w:num>
  <w:num w:numId="37">
    <w:abstractNumId w:val="47"/>
  </w:num>
  <w:num w:numId="38">
    <w:abstractNumId w:val="19"/>
  </w:num>
  <w:num w:numId="39">
    <w:abstractNumId w:val="44"/>
  </w:num>
  <w:num w:numId="40">
    <w:abstractNumId w:val="25"/>
  </w:num>
  <w:num w:numId="41">
    <w:abstractNumId w:val="65"/>
  </w:num>
  <w:num w:numId="42">
    <w:abstractNumId w:val="0"/>
  </w:num>
  <w:num w:numId="43">
    <w:abstractNumId w:val="17"/>
  </w:num>
  <w:num w:numId="44">
    <w:abstractNumId w:val="36"/>
  </w:num>
  <w:num w:numId="45">
    <w:abstractNumId w:val="58"/>
  </w:num>
  <w:num w:numId="46">
    <w:abstractNumId w:val="42"/>
  </w:num>
  <w:num w:numId="47">
    <w:abstractNumId w:val="6"/>
  </w:num>
  <w:num w:numId="48">
    <w:abstractNumId w:val="28"/>
  </w:num>
  <w:num w:numId="49">
    <w:abstractNumId w:val="46"/>
  </w:num>
  <w:num w:numId="50">
    <w:abstractNumId w:val="57"/>
  </w:num>
  <w:num w:numId="51">
    <w:abstractNumId w:val="11"/>
  </w:num>
  <w:num w:numId="52">
    <w:abstractNumId w:val="64"/>
  </w:num>
  <w:num w:numId="53">
    <w:abstractNumId w:val="1"/>
  </w:num>
  <w:num w:numId="54">
    <w:abstractNumId w:val="2"/>
  </w:num>
  <w:num w:numId="55">
    <w:abstractNumId w:val="39"/>
  </w:num>
  <w:num w:numId="56">
    <w:abstractNumId w:val="8"/>
  </w:num>
  <w:num w:numId="57">
    <w:abstractNumId w:val="20"/>
  </w:num>
  <w:num w:numId="58">
    <w:abstractNumId w:val="23"/>
  </w:num>
  <w:num w:numId="59">
    <w:abstractNumId w:val="35"/>
  </w:num>
  <w:num w:numId="60">
    <w:abstractNumId w:val="63"/>
  </w:num>
  <w:num w:numId="61">
    <w:abstractNumId w:val="33"/>
  </w:num>
  <w:num w:numId="62">
    <w:abstractNumId w:val="26"/>
  </w:num>
  <w:num w:numId="63">
    <w:abstractNumId w:val="56"/>
  </w:num>
  <w:num w:numId="64">
    <w:abstractNumId w:val="34"/>
  </w:num>
  <w:num w:numId="65">
    <w:abstractNumId w:val="32"/>
  </w:num>
  <w:num w:numId="66">
    <w:abstractNumId w:val="24"/>
  </w:num>
  <w:num w:numId="67">
    <w:abstractNumId w:val="59"/>
  </w:num>
  <w:num w:numId="68">
    <w:abstractNumId w:val="53"/>
  </w:num>
  <w:num w:numId="69">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zOGZiNTdhY2I4ZWYwNzdlNTg1ZDU1ZTAwYzgxNjEifQ=="/>
  </w:docVars>
  <w:rsids>
    <w:rsidRoot w:val="662F74BC"/>
    <w:rsid w:val="00016251"/>
    <w:rsid w:val="00020554"/>
    <w:rsid w:val="000214C1"/>
    <w:rsid w:val="00033C05"/>
    <w:rsid w:val="00046946"/>
    <w:rsid w:val="000816F0"/>
    <w:rsid w:val="001319A1"/>
    <w:rsid w:val="0016597A"/>
    <w:rsid w:val="00170585"/>
    <w:rsid w:val="00245BD7"/>
    <w:rsid w:val="00280C28"/>
    <w:rsid w:val="00285085"/>
    <w:rsid w:val="002A1FE4"/>
    <w:rsid w:val="002B7C71"/>
    <w:rsid w:val="002C4DF2"/>
    <w:rsid w:val="002D6AFB"/>
    <w:rsid w:val="002D70DC"/>
    <w:rsid w:val="003C62CA"/>
    <w:rsid w:val="00402593"/>
    <w:rsid w:val="00416041"/>
    <w:rsid w:val="0046796D"/>
    <w:rsid w:val="004D1A35"/>
    <w:rsid w:val="00511209"/>
    <w:rsid w:val="00530F40"/>
    <w:rsid w:val="00541DFF"/>
    <w:rsid w:val="00587555"/>
    <w:rsid w:val="00693100"/>
    <w:rsid w:val="00732078"/>
    <w:rsid w:val="007A1E78"/>
    <w:rsid w:val="00882F8F"/>
    <w:rsid w:val="00890AA4"/>
    <w:rsid w:val="008B72F9"/>
    <w:rsid w:val="00914755"/>
    <w:rsid w:val="00931977"/>
    <w:rsid w:val="0093753F"/>
    <w:rsid w:val="00960231"/>
    <w:rsid w:val="009D1316"/>
    <w:rsid w:val="00A67874"/>
    <w:rsid w:val="00AA15C0"/>
    <w:rsid w:val="00B457D5"/>
    <w:rsid w:val="00B507EE"/>
    <w:rsid w:val="00B621D9"/>
    <w:rsid w:val="00BC5EED"/>
    <w:rsid w:val="00BD4E2B"/>
    <w:rsid w:val="00C21A6D"/>
    <w:rsid w:val="00C227C8"/>
    <w:rsid w:val="00CE4483"/>
    <w:rsid w:val="00D70132"/>
    <w:rsid w:val="00D70431"/>
    <w:rsid w:val="00D744CC"/>
    <w:rsid w:val="00DE3A9E"/>
    <w:rsid w:val="00EA1FE7"/>
    <w:rsid w:val="00EB3907"/>
    <w:rsid w:val="00EB5291"/>
    <w:rsid w:val="00ED29FD"/>
    <w:rsid w:val="00F82929"/>
    <w:rsid w:val="00FF16E1"/>
    <w:rsid w:val="0125748F"/>
    <w:rsid w:val="01671BDD"/>
    <w:rsid w:val="018A7679"/>
    <w:rsid w:val="019B5382"/>
    <w:rsid w:val="01CC6CCE"/>
    <w:rsid w:val="01DE4D61"/>
    <w:rsid w:val="01F369F5"/>
    <w:rsid w:val="020016E9"/>
    <w:rsid w:val="02AF383B"/>
    <w:rsid w:val="030A6CC4"/>
    <w:rsid w:val="0341645D"/>
    <w:rsid w:val="0365214C"/>
    <w:rsid w:val="03C2759E"/>
    <w:rsid w:val="03FC60DA"/>
    <w:rsid w:val="04433290"/>
    <w:rsid w:val="04515DA8"/>
    <w:rsid w:val="047563BF"/>
    <w:rsid w:val="0486237A"/>
    <w:rsid w:val="04FE4606"/>
    <w:rsid w:val="05184F9C"/>
    <w:rsid w:val="057E74F5"/>
    <w:rsid w:val="05BC61DF"/>
    <w:rsid w:val="05D45367"/>
    <w:rsid w:val="06023C82"/>
    <w:rsid w:val="06AE5BB8"/>
    <w:rsid w:val="06F15AA5"/>
    <w:rsid w:val="07181283"/>
    <w:rsid w:val="0845254C"/>
    <w:rsid w:val="089D4136"/>
    <w:rsid w:val="08CA47FF"/>
    <w:rsid w:val="08DA2C94"/>
    <w:rsid w:val="08FC37A8"/>
    <w:rsid w:val="093C74AB"/>
    <w:rsid w:val="09572537"/>
    <w:rsid w:val="09EE3789"/>
    <w:rsid w:val="0A003F9C"/>
    <w:rsid w:val="0A1347A6"/>
    <w:rsid w:val="0A1A5818"/>
    <w:rsid w:val="0A47106E"/>
    <w:rsid w:val="0AAE2AE3"/>
    <w:rsid w:val="0AE37FA3"/>
    <w:rsid w:val="0B016BFE"/>
    <w:rsid w:val="0B0417E9"/>
    <w:rsid w:val="0B153087"/>
    <w:rsid w:val="0B363184"/>
    <w:rsid w:val="0B3C1DCB"/>
    <w:rsid w:val="0B62670E"/>
    <w:rsid w:val="0B6D4294"/>
    <w:rsid w:val="0BA8707A"/>
    <w:rsid w:val="0BB50A03"/>
    <w:rsid w:val="0C05627A"/>
    <w:rsid w:val="0C9A7529"/>
    <w:rsid w:val="0D0227BA"/>
    <w:rsid w:val="0D25175B"/>
    <w:rsid w:val="0D3D7C96"/>
    <w:rsid w:val="0D501777"/>
    <w:rsid w:val="0D563D08"/>
    <w:rsid w:val="0D6214AA"/>
    <w:rsid w:val="0D8B27AF"/>
    <w:rsid w:val="0D9F625A"/>
    <w:rsid w:val="0DC31AF9"/>
    <w:rsid w:val="0E2A5AB6"/>
    <w:rsid w:val="0E2F3A82"/>
    <w:rsid w:val="0E6A4ABA"/>
    <w:rsid w:val="0EAB6CCE"/>
    <w:rsid w:val="0EB75826"/>
    <w:rsid w:val="0EE361A9"/>
    <w:rsid w:val="0F323857"/>
    <w:rsid w:val="0F3D5822"/>
    <w:rsid w:val="0FA1450C"/>
    <w:rsid w:val="0FFA6900"/>
    <w:rsid w:val="103449ED"/>
    <w:rsid w:val="1065378B"/>
    <w:rsid w:val="107B0C5D"/>
    <w:rsid w:val="10B82C18"/>
    <w:rsid w:val="10F756DA"/>
    <w:rsid w:val="1122342A"/>
    <w:rsid w:val="11477335"/>
    <w:rsid w:val="1154735C"/>
    <w:rsid w:val="116E48C1"/>
    <w:rsid w:val="11E608FC"/>
    <w:rsid w:val="11F34DC7"/>
    <w:rsid w:val="123C49C0"/>
    <w:rsid w:val="126D202A"/>
    <w:rsid w:val="126D6927"/>
    <w:rsid w:val="12745F08"/>
    <w:rsid w:val="129B16E6"/>
    <w:rsid w:val="12B91B6C"/>
    <w:rsid w:val="13124349"/>
    <w:rsid w:val="135068F3"/>
    <w:rsid w:val="1356385F"/>
    <w:rsid w:val="136917E4"/>
    <w:rsid w:val="138C54D3"/>
    <w:rsid w:val="13975796"/>
    <w:rsid w:val="139F590B"/>
    <w:rsid w:val="13DB24AF"/>
    <w:rsid w:val="145B0BCD"/>
    <w:rsid w:val="14A21959"/>
    <w:rsid w:val="14FA47C8"/>
    <w:rsid w:val="159B37AB"/>
    <w:rsid w:val="15A9236C"/>
    <w:rsid w:val="15AC7D89"/>
    <w:rsid w:val="15B9504B"/>
    <w:rsid w:val="15CB6D21"/>
    <w:rsid w:val="167C30C3"/>
    <w:rsid w:val="16C54FA2"/>
    <w:rsid w:val="171B3F42"/>
    <w:rsid w:val="17321EED"/>
    <w:rsid w:val="17343EF7"/>
    <w:rsid w:val="17A34B99"/>
    <w:rsid w:val="17B86AAE"/>
    <w:rsid w:val="17F55D8B"/>
    <w:rsid w:val="18321AC2"/>
    <w:rsid w:val="18512847"/>
    <w:rsid w:val="186F4511"/>
    <w:rsid w:val="18A46E1B"/>
    <w:rsid w:val="19230E8D"/>
    <w:rsid w:val="198F3627"/>
    <w:rsid w:val="19B66E06"/>
    <w:rsid w:val="19CF6119"/>
    <w:rsid w:val="19D86212"/>
    <w:rsid w:val="1A475CB0"/>
    <w:rsid w:val="1A6F218E"/>
    <w:rsid w:val="1A705206"/>
    <w:rsid w:val="1A8509E3"/>
    <w:rsid w:val="1AA11864"/>
    <w:rsid w:val="1AA47422"/>
    <w:rsid w:val="1ADA6C76"/>
    <w:rsid w:val="1B1C2196"/>
    <w:rsid w:val="1B23671D"/>
    <w:rsid w:val="1B6F3710"/>
    <w:rsid w:val="1B8F6A2D"/>
    <w:rsid w:val="1BC82E20"/>
    <w:rsid w:val="1C0A3439"/>
    <w:rsid w:val="1C5F7A13"/>
    <w:rsid w:val="1C623275"/>
    <w:rsid w:val="1C8A69E1"/>
    <w:rsid w:val="1CA218C3"/>
    <w:rsid w:val="1CAE2016"/>
    <w:rsid w:val="1CB87339"/>
    <w:rsid w:val="1CBB2985"/>
    <w:rsid w:val="1CC932F4"/>
    <w:rsid w:val="1CE50C39"/>
    <w:rsid w:val="1CF00880"/>
    <w:rsid w:val="1D101BF1"/>
    <w:rsid w:val="1D293D92"/>
    <w:rsid w:val="1D3F35B6"/>
    <w:rsid w:val="1D504EC1"/>
    <w:rsid w:val="1E0C16EA"/>
    <w:rsid w:val="1E157715"/>
    <w:rsid w:val="1E221BCE"/>
    <w:rsid w:val="1E2D50DF"/>
    <w:rsid w:val="1EA7302D"/>
    <w:rsid w:val="1EA9518B"/>
    <w:rsid w:val="1EFB52BB"/>
    <w:rsid w:val="1F4B6242"/>
    <w:rsid w:val="1F6C62F9"/>
    <w:rsid w:val="1FD61FB0"/>
    <w:rsid w:val="1FD737B6"/>
    <w:rsid w:val="1FEB3581"/>
    <w:rsid w:val="20073030"/>
    <w:rsid w:val="20280331"/>
    <w:rsid w:val="208F6602"/>
    <w:rsid w:val="20E35710"/>
    <w:rsid w:val="2124426A"/>
    <w:rsid w:val="213845A4"/>
    <w:rsid w:val="214473ED"/>
    <w:rsid w:val="219A6B87"/>
    <w:rsid w:val="219E6AFD"/>
    <w:rsid w:val="21A47E8B"/>
    <w:rsid w:val="21D544E9"/>
    <w:rsid w:val="21DA38AD"/>
    <w:rsid w:val="222955AF"/>
    <w:rsid w:val="22346695"/>
    <w:rsid w:val="225B49EE"/>
    <w:rsid w:val="226C6BFB"/>
    <w:rsid w:val="22A2261D"/>
    <w:rsid w:val="22F90D0A"/>
    <w:rsid w:val="237D2742"/>
    <w:rsid w:val="2383647E"/>
    <w:rsid w:val="23BA3996"/>
    <w:rsid w:val="23DF164F"/>
    <w:rsid w:val="240115C5"/>
    <w:rsid w:val="24262DDA"/>
    <w:rsid w:val="24374FE7"/>
    <w:rsid w:val="24521E21"/>
    <w:rsid w:val="2466767A"/>
    <w:rsid w:val="2483022C"/>
    <w:rsid w:val="249935AC"/>
    <w:rsid w:val="24D97E4C"/>
    <w:rsid w:val="254B6F9C"/>
    <w:rsid w:val="255045B2"/>
    <w:rsid w:val="25757B75"/>
    <w:rsid w:val="25777D91"/>
    <w:rsid w:val="25BA7C7E"/>
    <w:rsid w:val="25C24D84"/>
    <w:rsid w:val="26055378"/>
    <w:rsid w:val="26286395"/>
    <w:rsid w:val="263B0FF9"/>
    <w:rsid w:val="263F10D4"/>
    <w:rsid w:val="26467763"/>
    <w:rsid w:val="268F629C"/>
    <w:rsid w:val="273D46C2"/>
    <w:rsid w:val="277A5916"/>
    <w:rsid w:val="277B343D"/>
    <w:rsid w:val="281178FD"/>
    <w:rsid w:val="289B3D96"/>
    <w:rsid w:val="29336BF5"/>
    <w:rsid w:val="29363ABF"/>
    <w:rsid w:val="294F2DD3"/>
    <w:rsid w:val="29CE5AA6"/>
    <w:rsid w:val="29DA6B40"/>
    <w:rsid w:val="29E31A75"/>
    <w:rsid w:val="2A085BAA"/>
    <w:rsid w:val="2A241B69"/>
    <w:rsid w:val="2AAD6003"/>
    <w:rsid w:val="2AAE58D7"/>
    <w:rsid w:val="2AC776EE"/>
    <w:rsid w:val="2BCF23D2"/>
    <w:rsid w:val="2BD77ACC"/>
    <w:rsid w:val="2BF00F19"/>
    <w:rsid w:val="2CA3753F"/>
    <w:rsid w:val="2CAB0320"/>
    <w:rsid w:val="2CF021D7"/>
    <w:rsid w:val="2D0E5D21"/>
    <w:rsid w:val="2D5704A8"/>
    <w:rsid w:val="2DA12F6F"/>
    <w:rsid w:val="2E4A3CC2"/>
    <w:rsid w:val="2E7323AD"/>
    <w:rsid w:val="2EB07E70"/>
    <w:rsid w:val="2EB15955"/>
    <w:rsid w:val="2EC03AEE"/>
    <w:rsid w:val="2F9652B7"/>
    <w:rsid w:val="2FB41BE1"/>
    <w:rsid w:val="2FB614B6"/>
    <w:rsid w:val="2FBB6ACC"/>
    <w:rsid w:val="2FBC3542"/>
    <w:rsid w:val="2FDC2E5C"/>
    <w:rsid w:val="2FDE0A0C"/>
    <w:rsid w:val="2FDE53C3"/>
    <w:rsid w:val="2FE9188B"/>
    <w:rsid w:val="3069477A"/>
    <w:rsid w:val="30AE6631"/>
    <w:rsid w:val="31053951"/>
    <w:rsid w:val="31224929"/>
    <w:rsid w:val="312D57A8"/>
    <w:rsid w:val="3154394E"/>
    <w:rsid w:val="31653193"/>
    <w:rsid w:val="3183186B"/>
    <w:rsid w:val="32625925"/>
    <w:rsid w:val="32737B32"/>
    <w:rsid w:val="3296480C"/>
    <w:rsid w:val="32A23F73"/>
    <w:rsid w:val="32F83B93"/>
    <w:rsid w:val="332A23E1"/>
    <w:rsid w:val="33380434"/>
    <w:rsid w:val="336E7CDB"/>
    <w:rsid w:val="33E02FA5"/>
    <w:rsid w:val="33F22CD8"/>
    <w:rsid w:val="33FB1B8D"/>
    <w:rsid w:val="3482405C"/>
    <w:rsid w:val="34A83397"/>
    <w:rsid w:val="34D50630"/>
    <w:rsid w:val="354A6B81"/>
    <w:rsid w:val="355359F9"/>
    <w:rsid w:val="3558300F"/>
    <w:rsid w:val="355B0222"/>
    <w:rsid w:val="35C12962"/>
    <w:rsid w:val="35C27027"/>
    <w:rsid w:val="35D62830"/>
    <w:rsid w:val="361F3BF4"/>
    <w:rsid w:val="36267620"/>
    <w:rsid w:val="36307F5D"/>
    <w:rsid w:val="36363350"/>
    <w:rsid w:val="363E2205"/>
    <w:rsid w:val="3687595A"/>
    <w:rsid w:val="369812C8"/>
    <w:rsid w:val="36BB6700"/>
    <w:rsid w:val="36DB4F6E"/>
    <w:rsid w:val="371116C7"/>
    <w:rsid w:val="373F4487"/>
    <w:rsid w:val="375352B5"/>
    <w:rsid w:val="37753A04"/>
    <w:rsid w:val="37773931"/>
    <w:rsid w:val="378E2D18"/>
    <w:rsid w:val="37E34E12"/>
    <w:rsid w:val="383E473E"/>
    <w:rsid w:val="38763ED8"/>
    <w:rsid w:val="38AA1DD4"/>
    <w:rsid w:val="38DA5112"/>
    <w:rsid w:val="38F372D7"/>
    <w:rsid w:val="392751D2"/>
    <w:rsid w:val="397865C9"/>
    <w:rsid w:val="39873CFE"/>
    <w:rsid w:val="3995038E"/>
    <w:rsid w:val="39955FF2"/>
    <w:rsid w:val="39E3734B"/>
    <w:rsid w:val="3A555D6F"/>
    <w:rsid w:val="3A8D1EDA"/>
    <w:rsid w:val="3AA7481D"/>
    <w:rsid w:val="3AB24DAC"/>
    <w:rsid w:val="3AB456BF"/>
    <w:rsid w:val="3AEA6D99"/>
    <w:rsid w:val="3AEC66D3"/>
    <w:rsid w:val="3B5A188F"/>
    <w:rsid w:val="3B936B4F"/>
    <w:rsid w:val="3BD86C58"/>
    <w:rsid w:val="3C0161AE"/>
    <w:rsid w:val="3C6504EB"/>
    <w:rsid w:val="3CA628B2"/>
    <w:rsid w:val="3D077BC9"/>
    <w:rsid w:val="3D784514"/>
    <w:rsid w:val="3DF36219"/>
    <w:rsid w:val="3DF85D5D"/>
    <w:rsid w:val="3DFE1371"/>
    <w:rsid w:val="3DFF27EE"/>
    <w:rsid w:val="3E76482F"/>
    <w:rsid w:val="3EFF3DB9"/>
    <w:rsid w:val="3F3632C1"/>
    <w:rsid w:val="3F6525B0"/>
    <w:rsid w:val="3FB6105E"/>
    <w:rsid w:val="3FCE7035"/>
    <w:rsid w:val="3FD634AE"/>
    <w:rsid w:val="40384169"/>
    <w:rsid w:val="408E3D89"/>
    <w:rsid w:val="409969B6"/>
    <w:rsid w:val="40A11D0E"/>
    <w:rsid w:val="411C75E7"/>
    <w:rsid w:val="4158597A"/>
    <w:rsid w:val="4166128B"/>
    <w:rsid w:val="4186654E"/>
    <w:rsid w:val="4196652E"/>
    <w:rsid w:val="41AF045B"/>
    <w:rsid w:val="41CC0BF5"/>
    <w:rsid w:val="422B7AE1"/>
    <w:rsid w:val="427F0FEE"/>
    <w:rsid w:val="42885837"/>
    <w:rsid w:val="42957651"/>
    <w:rsid w:val="433D2782"/>
    <w:rsid w:val="433E65C2"/>
    <w:rsid w:val="436112E1"/>
    <w:rsid w:val="438C2802"/>
    <w:rsid w:val="43A938E9"/>
    <w:rsid w:val="43D146B8"/>
    <w:rsid w:val="43E3619A"/>
    <w:rsid w:val="440337F3"/>
    <w:rsid w:val="4428785A"/>
    <w:rsid w:val="4441183E"/>
    <w:rsid w:val="44463B5B"/>
    <w:rsid w:val="444A2E06"/>
    <w:rsid w:val="449E2E76"/>
    <w:rsid w:val="44AD531C"/>
    <w:rsid w:val="44D97CC8"/>
    <w:rsid w:val="44E977E0"/>
    <w:rsid w:val="44F248E6"/>
    <w:rsid w:val="450B3BFA"/>
    <w:rsid w:val="45886FF9"/>
    <w:rsid w:val="458B0897"/>
    <w:rsid w:val="45EC538F"/>
    <w:rsid w:val="461940F5"/>
    <w:rsid w:val="462A00B0"/>
    <w:rsid w:val="4693164F"/>
    <w:rsid w:val="46C36072"/>
    <w:rsid w:val="46C93D6D"/>
    <w:rsid w:val="46D11969"/>
    <w:rsid w:val="47887784"/>
    <w:rsid w:val="48117779"/>
    <w:rsid w:val="482A4397"/>
    <w:rsid w:val="48594C7C"/>
    <w:rsid w:val="48673082"/>
    <w:rsid w:val="48863C5C"/>
    <w:rsid w:val="48E32746"/>
    <w:rsid w:val="49093E4C"/>
    <w:rsid w:val="491171D2"/>
    <w:rsid w:val="491F7C74"/>
    <w:rsid w:val="494B2817"/>
    <w:rsid w:val="49AE2DA6"/>
    <w:rsid w:val="49B26D3A"/>
    <w:rsid w:val="4A184D63"/>
    <w:rsid w:val="4A6F415E"/>
    <w:rsid w:val="4ACC47A3"/>
    <w:rsid w:val="4ADD7DE7"/>
    <w:rsid w:val="4B225D19"/>
    <w:rsid w:val="4B5A4F93"/>
    <w:rsid w:val="4B5F25AA"/>
    <w:rsid w:val="4B725897"/>
    <w:rsid w:val="4B83273C"/>
    <w:rsid w:val="4B9C7C39"/>
    <w:rsid w:val="4BCB40E3"/>
    <w:rsid w:val="4BD50ABE"/>
    <w:rsid w:val="4C0F2222"/>
    <w:rsid w:val="4C365A00"/>
    <w:rsid w:val="4C480112"/>
    <w:rsid w:val="4C5916EF"/>
    <w:rsid w:val="4C5E4F57"/>
    <w:rsid w:val="4C6F4A6E"/>
    <w:rsid w:val="4C765DFD"/>
    <w:rsid w:val="4CDC5A0A"/>
    <w:rsid w:val="4D0C49B3"/>
    <w:rsid w:val="4D1675E0"/>
    <w:rsid w:val="4DC1754C"/>
    <w:rsid w:val="4DFA2A5E"/>
    <w:rsid w:val="4E037B64"/>
    <w:rsid w:val="4E1F24C4"/>
    <w:rsid w:val="4E3010AF"/>
    <w:rsid w:val="4E893B14"/>
    <w:rsid w:val="4EEC05F8"/>
    <w:rsid w:val="4F2E6E63"/>
    <w:rsid w:val="4F440434"/>
    <w:rsid w:val="4F836BD8"/>
    <w:rsid w:val="4FBE421A"/>
    <w:rsid w:val="4FD37A4B"/>
    <w:rsid w:val="4FF0215A"/>
    <w:rsid w:val="500756F9"/>
    <w:rsid w:val="50106568"/>
    <w:rsid w:val="50610B72"/>
    <w:rsid w:val="5075461D"/>
    <w:rsid w:val="50760AC1"/>
    <w:rsid w:val="5077487B"/>
    <w:rsid w:val="50BC689B"/>
    <w:rsid w:val="50D37CC2"/>
    <w:rsid w:val="50E408F3"/>
    <w:rsid w:val="515101DE"/>
    <w:rsid w:val="517B5C63"/>
    <w:rsid w:val="517D7C2E"/>
    <w:rsid w:val="51BD627C"/>
    <w:rsid w:val="51F76B24"/>
    <w:rsid w:val="5209326F"/>
    <w:rsid w:val="521C7446"/>
    <w:rsid w:val="524A2661"/>
    <w:rsid w:val="526337A7"/>
    <w:rsid w:val="52CB19E0"/>
    <w:rsid w:val="52CC1D29"/>
    <w:rsid w:val="531609B9"/>
    <w:rsid w:val="531E71EE"/>
    <w:rsid w:val="53A82E64"/>
    <w:rsid w:val="53AA0B16"/>
    <w:rsid w:val="53C055D5"/>
    <w:rsid w:val="53F87A3F"/>
    <w:rsid w:val="540957A8"/>
    <w:rsid w:val="54581266"/>
    <w:rsid w:val="54D016EA"/>
    <w:rsid w:val="550566C5"/>
    <w:rsid w:val="550B72FE"/>
    <w:rsid w:val="550D751A"/>
    <w:rsid w:val="552D196B"/>
    <w:rsid w:val="55313209"/>
    <w:rsid w:val="55AE4859"/>
    <w:rsid w:val="55E32AD2"/>
    <w:rsid w:val="56523597"/>
    <w:rsid w:val="56C8194B"/>
    <w:rsid w:val="56CD6F61"/>
    <w:rsid w:val="573A241D"/>
    <w:rsid w:val="57596A47"/>
    <w:rsid w:val="575C3664"/>
    <w:rsid w:val="576948FE"/>
    <w:rsid w:val="57805DDE"/>
    <w:rsid w:val="579932E7"/>
    <w:rsid w:val="57B54BD5"/>
    <w:rsid w:val="57B679F5"/>
    <w:rsid w:val="580E3A55"/>
    <w:rsid w:val="58207565"/>
    <w:rsid w:val="58252165"/>
    <w:rsid w:val="582C7CB7"/>
    <w:rsid w:val="58766279"/>
    <w:rsid w:val="58C73406"/>
    <w:rsid w:val="591470C9"/>
    <w:rsid w:val="59480B21"/>
    <w:rsid w:val="59576FB6"/>
    <w:rsid w:val="59D979CB"/>
    <w:rsid w:val="59EC3BA2"/>
    <w:rsid w:val="5A4B5A25"/>
    <w:rsid w:val="5AAE0E58"/>
    <w:rsid w:val="5AF80325"/>
    <w:rsid w:val="5B953AD8"/>
    <w:rsid w:val="5B9B762E"/>
    <w:rsid w:val="5C052EEE"/>
    <w:rsid w:val="5C133B0B"/>
    <w:rsid w:val="5CC76201"/>
    <w:rsid w:val="5CEB0141"/>
    <w:rsid w:val="5CFD1C22"/>
    <w:rsid w:val="5D1B53AF"/>
    <w:rsid w:val="5D99194B"/>
    <w:rsid w:val="5DAA3B58"/>
    <w:rsid w:val="5DB449D7"/>
    <w:rsid w:val="5DC64BBC"/>
    <w:rsid w:val="5E4E4E2C"/>
    <w:rsid w:val="5E714676"/>
    <w:rsid w:val="5EBD5B0D"/>
    <w:rsid w:val="5F102754"/>
    <w:rsid w:val="608D150F"/>
    <w:rsid w:val="60E90E3C"/>
    <w:rsid w:val="6125216C"/>
    <w:rsid w:val="6190493F"/>
    <w:rsid w:val="61C52BAF"/>
    <w:rsid w:val="61D94A0C"/>
    <w:rsid w:val="61DC0910"/>
    <w:rsid w:val="61E433B1"/>
    <w:rsid w:val="61FA41DA"/>
    <w:rsid w:val="62035F2D"/>
    <w:rsid w:val="622639C9"/>
    <w:rsid w:val="62522A10"/>
    <w:rsid w:val="625557F9"/>
    <w:rsid w:val="625E13B5"/>
    <w:rsid w:val="62674B11"/>
    <w:rsid w:val="627B3D15"/>
    <w:rsid w:val="629B5AC5"/>
    <w:rsid w:val="63147CC6"/>
    <w:rsid w:val="63424833"/>
    <w:rsid w:val="638650D4"/>
    <w:rsid w:val="63870498"/>
    <w:rsid w:val="638B42DC"/>
    <w:rsid w:val="6421269A"/>
    <w:rsid w:val="644840CB"/>
    <w:rsid w:val="646709F5"/>
    <w:rsid w:val="64742EBF"/>
    <w:rsid w:val="64A82DBC"/>
    <w:rsid w:val="64AE5AEA"/>
    <w:rsid w:val="64D35E5F"/>
    <w:rsid w:val="64EE4C72"/>
    <w:rsid w:val="65097B98"/>
    <w:rsid w:val="6516562F"/>
    <w:rsid w:val="6523128F"/>
    <w:rsid w:val="65295CAB"/>
    <w:rsid w:val="65F85908"/>
    <w:rsid w:val="6612673F"/>
    <w:rsid w:val="661324B7"/>
    <w:rsid w:val="661E50E3"/>
    <w:rsid w:val="662F74BC"/>
    <w:rsid w:val="6655487D"/>
    <w:rsid w:val="66571353"/>
    <w:rsid w:val="665C5C0C"/>
    <w:rsid w:val="66AA6977"/>
    <w:rsid w:val="66C832A1"/>
    <w:rsid w:val="6716225F"/>
    <w:rsid w:val="675C4EAE"/>
    <w:rsid w:val="67876043"/>
    <w:rsid w:val="678C2521"/>
    <w:rsid w:val="678F3DBF"/>
    <w:rsid w:val="67957627"/>
    <w:rsid w:val="67EA267E"/>
    <w:rsid w:val="67FC1489"/>
    <w:rsid w:val="6804655B"/>
    <w:rsid w:val="68097099"/>
    <w:rsid w:val="68186060"/>
    <w:rsid w:val="684B57B4"/>
    <w:rsid w:val="685E3EBD"/>
    <w:rsid w:val="6865349E"/>
    <w:rsid w:val="6908449E"/>
    <w:rsid w:val="690E3308"/>
    <w:rsid w:val="6935244A"/>
    <w:rsid w:val="6A366774"/>
    <w:rsid w:val="6A647785"/>
    <w:rsid w:val="6AD424F1"/>
    <w:rsid w:val="6B0A032C"/>
    <w:rsid w:val="6B0B19AE"/>
    <w:rsid w:val="6B1F48F3"/>
    <w:rsid w:val="6B3E7FD6"/>
    <w:rsid w:val="6B511920"/>
    <w:rsid w:val="6BCA186A"/>
    <w:rsid w:val="6BD957D8"/>
    <w:rsid w:val="6C1E31D8"/>
    <w:rsid w:val="6C357EF2"/>
    <w:rsid w:val="6C5A1B58"/>
    <w:rsid w:val="6C6560D4"/>
    <w:rsid w:val="6C865790"/>
    <w:rsid w:val="6C976054"/>
    <w:rsid w:val="6D284A9A"/>
    <w:rsid w:val="6D5B09CB"/>
    <w:rsid w:val="6D606D8F"/>
    <w:rsid w:val="6D6C0E2A"/>
    <w:rsid w:val="6D7B106D"/>
    <w:rsid w:val="6DA37024"/>
    <w:rsid w:val="6E002E86"/>
    <w:rsid w:val="6E1424FC"/>
    <w:rsid w:val="6E231ABB"/>
    <w:rsid w:val="6E245261"/>
    <w:rsid w:val="6E331948"/>
    <w:rsid w:val="6E6307D2"/>
    <w:rsid w:val="6E8C5474"/>
    <w:rsid w:val="6EB83AA6"/>
    <w:rsid w:val="6EE60768"/>
    <w:rsid w:val="6F4047F2"/>
    <w:rsid w:val="700847C7"/>
    <w:rsid w:val="703F45D4"/>
    <w:rsid w:val="70B160AB"/>
    <w:rsid w:val="712D267F"/>
    <w:rsid w:val="716C6309"/>
    <w:rsid w:val="71777D9E"/>
    <w:rsid w:val="71DE6A1D"/>
    <w:rsid w:val="720C498A"/>
    <w:rsid w:val="72330169"/>
    <w:rsid w:val="723914F7"/>
    <w:rsid w:val="723C700D"/>
    <w:rsid w:val="72640322"/>
    <w:rsid w:val="72D763EF"/>
    <w:rsid w:val="72DA4A88"/>
    <w:rsid w:val="72E4155E"/>
    <w:rsid w:val="7309711B"/>
    <w:rsid w:val="733A5527"/>
    <w:rsid w:val="738A025C"/>
    <w:rsid w:val="739A7D73"/>
    <w:rsid w:val="73E334C8"/>
    <w:rsid w:val="742A559B"/>
    <w:rsid w:val="74416441"/>
    <w:rsid w:val="748B3D8C"/>
    <w:rsid w:val="749869A9"/>
    <w:rsid w:val="74AE3AD6"/>
    <w:rsid w:val="74B66E2F"/>
    <w:rsid w:val="74CC0400"/>
    <w:rsid w:val="75483F2B"/>
    <w:rsid w:val="761A519B"/>
    <w:rsid w:val="762F1005"/>
    <w:rsid w:val="766528BB"/>
    <w:rsid w:val="768A0573"/>
    <w:rsid w:val="77087B85"/>
    <w:rsid w:val="770C0F88"/>
    <w:rsid w:val="771816DB"/>
    <w:rsid w:val="7746449A"/>
    <w:rsid w:val="775330CB"/>
    <w:rsid w:val="7770053A"/>
    <w:rsid w:val="7791148D"/>
    <w:rsid w:val="77C00EA0"/>
    <w:rsid w:val="77CE4F95"/>
    <w:rsid w:val="77D3069E"/>
    <w:rsid w:val="77FC0FFD"/>
    <w:rsid w:val="78210A63"/>
    <w:rsid w:val="783D5976"/>
    <w:rsid w:val="7840713B"/>
    <w:rsid w:val="786A065C"/>
    <w:rsid w:val="787212BF"/>
    <w:rsid w:val="78847C7B"/>
    <w:rsid w:val="78A31478"/>
    <w:rsid w:val="78AA0A59"/>
    <w:rsid w:val="78EE696A"/>
    <w:rsid w:val="79520AB6"/>
    <w:rsid w:val="79534C4C"/>
    <w:rsid w:val="79A310D5"/>
    <w:rsid w:val="79C773E8"/>
    <w:rsid w:val="7A056BAC"/>
    <w:rsid w:val="7A3D14D1"/>
    <w:rsid w:val="7AB20D8B"/>
    <w:rsid w:val="7AD149C3"/>
    <w:rsid w:val="7AE2097E"/>
    <w:rsid w:val="7B007056"/>
    <w:rsid w:val="7B140FB6"/>
    <w:rsid w:val="7B18614D"/>
    <w:rsid w:val="7B1E6E6D"/>
    <w:rsid w:val="7B3645E4"/>
    <w:rsid w:val="7B503B39"/>
    <w:rsid w:val="7B841A35"/>
    <w:rsid w:val="7C0466D2"/>
    <w:rsid w:val="7C605FFE"/>
    <w:rsid w:val="7C75667A"/>
    <w:rsid w:val="7C8B0BA1"/>
    <w:rsid w:val="7CE41D79"/>
    <w:rsid w:val="7D3E3E65"/>
    <w:rsid w:val="7D6E4DE6"/>
    <w:rsid w:val="7D8E26F7"/>
    <w:rsid w:val="7DB34736"/>
    <w:rsid w:val="7DC75C09"/>
    <w:rsid w:val="7DE71E07"/>
    <w:rsid w:val="7E94074B"/>
    <w:rsid w:val="7EC23181"/>
    <w:rsid w:val="7EFB1A5B"/>
    <w:rsid w:val="7F3B68AE"/>
    <w:rsid w:val="7F5E259D"/>
    <w:rsid w:val="7FAD47E9"/>
    <w:rsid w:val="7FBB79EF"/>
    <w:rsid w:val="7FCA37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Calibri" w:hAnsi="Calibri" w:eastAsia="Calibri" w:cs="Times New Roman"/>
      <w:sz w:val="22"/>
      <w:szCs w:val="22"/>
      <w:lang w:val="en-US" w:eastAsia="en-US" w:bidi="ar-SA"/>
    </w:rPr>
  </w:style>
  <w:style w:type="paragraph" w:styleId="7">
    <w:name w:val="heading 1"/>
    <w:basedOn w:val="1"/>
    <w:next w:val="1"/>
    <w:qFormat/>
    <w:uiPriority w:val="0"/>
    <w:pPr>
      <w:outlineLvl w:val="0"/>
    </w:pPr>
    <w:rPr>
      <w:rFonts w:ascii="黑体" w:hAnsi="黑体" w:eastAsia="黑体"/>
      <w:sz w:val="60"/>
      <w:szCs w:val="60"/>
    </w:rPr>
  </w:style>
  <w:style w:type="paragraph" w:styleId="8">
    <w:name w:val="heading 2"/>
    <w:basedOn w:val="1"/>
    <w:next w:val="1"/>
    <w:qFormat/>
    <w:uiPriority w:val="1"/>
    <w:pPr>
      <w:ind w:left="312"/>
      <w:outlineLvl w:val="1"/>
    </w:pPr>
    <w:rPr>
      <w:rFonts w:ascii="黑体" w:hAnsi="黑体" w:eastAsia="黑体"/>
      <w:b/>
      <w:bCs/>
      <w:sz w:val="36"/>
      <w:szCs w:val="36"/>
    </w:rPr>
  </w:style>
  <w:style w:type="paragraph" w:styleId="9">
    <w:name w:val="heading 3"/>
    <w:basedOn w:val="1"/>
    <w:next w:val="1"/>
    <w:qFormat/>
    <w:uiPriority w:val="1"/>
    <w:pPr>
      <w:spacing w:before="419"/>
      <w:ind w:left="312"/>
      <w:outlineLvl w:val="2"/>
    </w:pPr>
    <w:rPr>
      <w:rFonts w:ascii="黑体" w:hAnsi="黑体" w:eastAsia="黑体"/>
      <w:sz w:val="36"/>
      <w:szCs w:val="36"/>
    </w:rPr>
  </w:style>
  <w:style w:type="paragraph" w:styleId="10">
    <w:name w:val="heading 5"/>
    <w:basedOn w:val="1"/>
    <w:next w:val="1"/>
    <w:qFormat/>
    <w:uiPriority w:val="1"/>
    <w:pPr>
      <w:spacing w:before="1"/>
      <w:ind w:left="118"/>
      <w:outlineLvl w:val="4"/>
    </w:pPr>
    <w:rPr>
      <w:rFonts w:ascii="宋体" w:hAnsi="宋体" w:eastAsia="宋体"/>
      <w:sz w:val="32"/>
      <w:szCs w:val="32"/>
    </w:rPr>
  </w:style>
  <w:style w:type="paragraph" w:styleId="11">
    <w:name w:val="heading 6"/>
    <w:basedOn w:val="1"/>
    <w:next w:val="1"/>
    <w:qFormat/>
    <w:uiPriority w:val="1"/>
    <w:pPr>
      <w:spacing w:before="7"/>
      <w:outlineLvl w:val="5"/>
    </w:pPr>
    <w:rPr>
      <w:rFonts w:ascii="黑体" w:hAnsi="黑体" w:eastAsia="黑体"/>
      <w:sz w:val="30"/>
      <w:szCs w:val="30"/>
    </w:rPr>
  </w:style>
  <w:style w:type="paragraph" w:styleId="12">
    <w:name w:val="heading 7"/>
    <w:basedOn w:val="1"/>
    <w:next w:val="1"/>
    <w:qFormat/>
    <w:uiPriority w:val="1"/>
    <w:pPr>
      <w:spacing w:before="13"/>
      <w:ind w:left="118"/>
      <w:outlineLvl w:val="6"/>
    </w:pPr>
    <w:rPr>
      <w:rFonts w:ascii="黑体" w:hAnsi="黑体" w:eastAsia="黑体"/>
      <w:b/>
      <w:bCs/>
      <w:sz w:val="28"/>
      <w:szCs w:val="28"/>
    </w:rPr>
  </w:style>
  <w:style w:type="paragraph" w:styleId="13">
    <w:name w:val="heading 8"/>
    <w:basedOn w:val="1"/>
    <w:next w:val="1"/>
    <w:qFormat/>
    <w:uiPriority w:val="1"/>
    <w:pPr>
      <w:spacing w:before="13"/>
      <w:ind w:left="118"/>
      <w:outlineLvl w:val="7"/>
    </w:pPr>
    <w:rPr>
      <w:rFonts w:ascii="黑体" w:hAnsi="黑体" w:eastAsia="黑体"/>
      <w:sz w:val="28"/>
      <w:szCs w:val="28"/>
    </w:rPr>
  </w:style>
  <w:style w:type="paragraph" w:styleId="14">
    <w:name w:val="heading 9"/>
    <w:basedOn w:val="1"/>
    <w:next w:val="1"/>
    <w:qFormat/>
    <w:uiPriority w:val="1"/>
    <w:pPr>
      <w:spacing w:before="36"/>
      <w:ind w:left="1831"/>
      <w:outlineLvl w:val="8"/>
    </w:pPr>
    <w:rPr>
      <w:rFonts w:ascii="黑体" w:hAnsi="黑体" w:eastAsia="黑体"/>
      <w:b/>
      <w:bCs/>
      <w:sz w:val="27"/>
      <w:szCs w:val="27"/>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3"/>
    <w:qFormat/>
    <w:uiPriority w:val="0"/>
    <w:pPr>
      <w:spacing w:after="120"/>
      <w:ind w:left="420" w:leftChars="200" w:firstLine="420" w:firstLineChars="200"/>
    </w:pPr>
    <w:rPr>
      <w:rFonts w:ascii="宋体" w:hAnsi="宋体"/>
      <w:color w:val="FF0000"/>
      <w:szCs w:val="24"/>
    </w:rPr>
  </w:style>
  <w:style w:type="paragraph" w:styleId="3">
    <w:name w:val="Body Text First Indent"/>
    <w:basedOn w:val="4"/>
    <w:next w:val="6"/>
    <w:qFormat/>
    <w:uiPriority w:val="0"/>
    <w:pPr>
      <w:spacing w:line="312" w:lineRule="auto"/>
      <w:ind w:firstLine="420"/>
    </w:pPr>
  </w:style>
  <w:style w:type="paragraph" w:styleId="4">
    <w:name w:val="Body Text"/>
    <w:basedOn w:val="1"/>
    <w:next w:val="5"/>
    <w:qFormat/>
    <w:uiPriority w:val="1"/>
    <w:pPr>
      <w:spacing w:before="26"/>
      <w:ind w:left="118"/>
    </w:pPr>
    <w:rPr>
      <w:rFonts w:ascii="宋体" w:hAnsi="宋体" w:eastAsia="宋体"/>
      <w:sz w:val="24"/>
      <w:szCs w:val="24"/>
    </w:rPr>
  </w:style>
  <w:style w:type="paragraph" w:customStyle="1" w:styleId="5">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6">
    <w:name w:val="toc 6"/>
    <w:basedOn w:val="1"/>
    <w:next w:val="1"/>
    <w:qFormat/>
    <w:uiPriority w:val="39"/>
    <w:pPr>
      <w:ind w:left="2100" w:leftChars="1000"/>
    </w:pPr>
  </w:style>
  <w:style w:type="paragraph" w:styleId="15">
    <w:name w:val="annotation text"/>
    <w:basedOn w:val="1"/>
    <w:link w:val="35"/>
    <w:qFormat/>
    <w:uiPriority w:val="0"/>
    <w:rPr>
      <w:rFonts w:ascii="Times New Roman" w:hAnsi="Times New Roman"/>
    </w:rPr>
  </w:style>
  <w:style w:type="paragraph" w:styleId="16">
    <w:name w:val="Body Text Indent"/>
    <w:basedOn w:val="1"/>
    <w:qFormat/>
    <w:uiPriority w:val="99"/>
    <w:pPr>
      <w:ind w:firstLine="480"/>
      <w:jc w:val="center"/>
    </w:pPr>
    <w:rPr>
      <w:rFonts w:eastAsia="黑体"/>
      <w:sz w:val="44"/>
    </w:rPr>
  </w:style>
  <w:style w:type="paragraph" w:styleId="17">
    <w:name w:val="Balloon Text"/>
    <w:basedOn w:val="1"/>
    <w:link w:val="31"/>
    <w:qFormat/>
    <w:uiPriority w:val="0"/>
    <w:rPr>
      <w:sz w:val="18"/>
      <w:szCs w:val="18"/>
    </w:rPr>
  </w:style>
  <w:style w:type="paragraph" w:styleId="18">
    <w:name w:val="footer"/>
    <w:basedOn w:val="1"/>
    <w:qFormat/>
    <w:uiPriority w:val="0"/>
    <w:pPr>
      <w:tabs>
        <w:tab w:val="center" w:pos="4153"/>
        <w:tab w:val="right" w:pos="8306"/>
      </w:tabs>
      <w:snapToGrid w:val="0"/>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20">
    <w:name w:val="toc 1"/>
    <w:basedOn w:val="1"/>
    <w:next w:val="1"/>
    <w:qFormat/>
    <w:uiPriority w:val="1"/>
    <w:pPr>
      <w:spacing w:before="15"/>
    </w:pPr>
    <w:rPr>
      <w:rFonts w:ascii="黑体" w:hAnsi="黑体" w:eastAsia="黑体"/>
      <w:sz w:val="24"/>
      <w:szCs w:val="24"/>
    </w:rPr>
  </w:style>
  <w:style w:type="paragraph" w:styleId="21">
    <w:name w:val="toc 2"/>
    <w:basedOn w:val="1"/>
    <w:next w:val="1"/>
    <w:qFormat/>
    <w:uiPriority w:val="1"/>
    <w:pPr>
      <w:ind w:left="312"/>
    </w:pPr>
    <w:rPr>
      <w:rFonts w:ascii="宋体" w:hAnsi="宋体" w:eastAsia="宋体"/>
      <w:b/>
      <w:bCs/>
      <w:sz w:val="30"/>
      <w:szCs w:val="30"/>
    </w:rPr>
  </w:style>
  <w:style w:type="paragraph" w:styleId="22">
    <w:name w:val="annotation subject"/>
    <w:basedOn w:val="15"/>
    <w:next w:val="15"/>
    <w:link w:val="36"/>
    <w:qFormat/>
    <w:uiPriority w:val="0"/>
    <w:rPr>
      <w:rFonts w:ascii="Calibri" w:hAnsi="Calibri"/>
      <w:b/>
      <w:bCs/>
    </w:rPr>
  </w:style>
  <w:style w:type="character" w:styleId="25">
    <w:name w:val="Hyperlink"/>
    <w:basedOn w:val="24"/>
    <w:qFormat/>
    <w:uiPriority w:val="0"/>
    <w:rPr>
      <w:color w:val="0000FF"/>
      <w:u w:val="single"/>
    </w:rPr>
  </w:style>
  <w:style w:type="character" w:styleId="26">
    <w:name w:val="annotation reference"/>
    <w:qFormat/>
    <w:uiPriority w:val="0"/>
    <w:rPr>
      <w:sz w:val="21"/>
      <w:szCs w:val="21"/>
    </w:rPr>
  </w:style>
  <w:style w:type="paragraph" w:customStyle="1" w:styleId="27">
    <w:name w:val="Table Paragraph"/>
    <w:basedOn w:val="1"/>
    <w:qFormat/>
    <w:uiPriority w:val="1"/>
  </w:style>
  <w:style w:type="paragraph" w:customStyle="1" w:styleId="28">
    <w:name w:val="居中"/>
    <w:qFormat/>
    <w:uiPriority w:val="0"/>
    <w:pPr>
      <w:jc w:val="center"/>
    </w:pPr>
    <w:rPr>
      <w:rFonts w:ascii="宋体" w:hAnsi="Calibri" w:eastAsia="宋体" w:cs="Times New Roman"/>
      <w:kern w:val="2"/>
      <w:sz w:val="24"/>
      <w:szCs w:val="22"/>
      <w:lang w:val="en-US" w:eastAsia="zh-CN" w:bidi="ar-SA"/>
    </w:rPr>
  </w:style>
  <w:style w:type="paragraph" w:customStyle="1" w:styleId="29">
    <w:name w:val="列出段落1"/>
    <w:basedOn w:val="1"/>
    <w:qFormat/>
    <w:uiPriority w:val="1"/>
  </w:style>
  <w:style w:type="paragraph" w:customStyle="1" w:styleId="30">
    <w:name w:val="列表段落1"/>
    <w:basedOn w:val="1"/>
    <w:qFormat/>
    <w:uiPriority w:val="99"/>
    <w:pPr>
      <w:ind w:left="424" w:firstLine="480"/>
    </w:pPr>
  </w:style>
  <w:style w:type="character" w:customStyle="1" w:styleId="31">
    <w:name w:val="批注框文本 Char"/>
    <w:basedOn w:val="24"/>
    <w:link w:val="17"/>
    <w:qFormat/>
    <w:uiPriority w:val="0"/>
    <w:rPr>
      <w:rFonts w:eastAsia="Calibri"/>
      <w:sz w:val="18"/>
      <w:szCs w:val="18"/>
      <w:lang w:eastAsia="en-US"/>
    </w:rPr>
  </w:style>
  <w:style w:type="paragraph" w:customStyle="1" w:styleId="32">
    <w:name w:val="表格文字"/>
    <w:basedOn w:val="1"/>
    <w:qFormat/>
    <w:uiPriority w:val="0"/>
    <w:pPr>
      <w:adjustRightInd w:val="0"/>
      <w:spacing w:line="420" w:lineRule="atLeast"/>
      <w:textAlignment w:val="baseline"/>
    </w:pPr>
    <w:rPr>
      <w:rFonts w:eastAsia="宋体"/>
      <w:sz w:val="21"/>
      <w:szCs w:val="20"/>
      <w:lang w:eastAsia="zh-CN"/>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styleId="34">
    <w:name w:val="List Paragraph"/>
    <w:basedOn w:val="1"/>
    <w:qFormat/>
    <w:uiPriority w:val="99"/>
    <w:pPr>
      <w:ind w:firstLine="420" w:firstLineChars="200"/>
    </w:pPr>
  </w:style>
  <w:style w:type="character" w:customStyle="1" w:styleId="35">
    <w:name w:val="批注文字 Char"/>
    <w:basedOn w:val="24"/>
    <w:link w:val="15"/>
    <w:qFormat/>
    <w:uiPriority w:val="0"/>
    <w:rPr>
      <w:rFonts w:ascii="Times New Roman" w:hAnsi="Times New Roman" w:eastAsia="Calibri" w:cs="Times New Roman"/>
      <w:sz w:val="22"/>
      <w:szCs w:val="22"/>
      <w:lang w:eastAsia="en-US"/>
    </w:rPr>
  </w:style>
  <w:style w:type="character" w:customStyle="1" w:styleId="36">
    <w:name w:val="批注主题 Char"/>
    <w:basedOn w:val="35"/>
    <w:link w:val="22"/>
    <w:qFormat/>
    <w:uiPriority w:val="0"/>
    <w:rPr>
      <w:rFonts w:ascii="Calibri" w:hAnsi="Calibri" w:eastAsia="Calibri" w:cs="Times New Roman"/>
      <w:b/>
      <w:bCs/>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0BCC2-267E-4914-B11D-76938C03A042}">
  <ds:schemaRefs/>
</ds:datastoreItem>
</file>

<file path=docProps/app.xml><?xml version="1.0" encoding="utf-8"?>
<Properties xmlns="http://schemas.openxmlformats.org/officeDocument/2006/extended-properties" xmlns:vt="http://schemas.openxmlformats.org/officeDocument/2006/docPropsVTypes">
  <Template>Normal</Template>
  <Pages>138</Pages>
  <Words>64863</Words>
  <Characters>67988</Characters>
  <Lines>531</Lines>
  <Paragraphs>149</Paragraphs>
  <TotalTime>9</TotalTime>
  <ScaleCrop>false</ScaleCrop>
  <LinksUpToDate>false</LinksUpToDate>
  <CharactersWithSpaces>69504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2019-09-23T02:13:00Z</dcterms:created>
  <dc:creator>home</dc:creator>
  <cp:lastModifiedBy>WPS_1629423432</cp:lastModifiedBy>
  <cp:lastPrinted>2023-05-10T03:52:00Z</cp:lastPrinted>
  <dcterms:modified xsi:type="dcterms:W3CDTF">2023-06-07T03:20:56Z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8537170477F44C9A8DC0A251C0E57CB8</vt:lpwstr>
  </property>
</Properties>
</file>