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狮子洋通道土建工程（T2～T4标、T11～T16标）施工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狮子洋通道项目已由广东省发展和改革委员会以粤发改核准〔2021〕15号批准建设，狮子洋通道项目施工图设计已由广东省交通运输厅以粤交基〔2023〕236号 批准，项目业主为广东湾区交通建设投资有限公司，建设资金来自资本金及国内银行贷款，出资比例为资本金25%，银行贷款75%。</w:t>
      </w:r>
    </w:p>
    <w:p>
      <w:pPr/>
      <w:r>
        <w:rPr>
          <w:rFonts w:ascii="标宋" w:eastAsia="标宋" w:hint="eastAsia"/>
          <w:sz w:val="21.0"/>
          <w:szCs w:val="21.0"/>
          <w:color w:val="000000"/>
        </w:rPr>
        <w:t xml:space="preserve">    东莞市虎门镇连升北路（布料市场段）一期工程项目已由东莞市发展和改革局以东发改虎投审〔2022〕8号批准建设，东莞市虎门镇连升北路（布料市场段）一期工程项目施工图设计已由东莞市交通运输局以东交建〔2023〕0021号 批准，项目业主为东莞市虎门镇工程建设中心，建设资金来自虎门镇财政投资，项目出资比例为100%。由东莞市虎门镇人民政府委托广东湾区交通建设投资有限公司作为招标人对该项目进行公开招标。</w:t>
      </w:r>
    </w:p>
    <w:p>
      <w:pPr/>
      <w:r>
        <w:rPr>
          <w:rFonts w:ascii="标宋" w:eastAsia="标宋" w:hint="eastAsia"/>
          <w:sz w:val="21.0"/>
          <w:szCs w:val="21.0"/>
          <w:color w:val="000000"/>
        </w:rPr>
        <w:t xml:space="preserve">    现由广东湾区交通建设投资有限公司作为招标人对上述两个项目施工进行公开招标。上述两个项目已具备招标条件，现对上述两个项目的土建工程施工采用资格后审方式进行公开招标。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2.1.项目概况与招标范围</w:t>
      </w:r>
    </w:p>
    <w:p>
      <w:pPr/>
      <w:r>
        <w:rPr>
          <w:rFonts w:ascii="" w:eastAsia="" w:hint="eastAsia"/>
          <w:sz w:val="21.0"/>
          <w:szCs w:val="21.0"/>
          <w:color w:val="000000"/>
        </w:rPr>
        <w:t xml:space="preserve">2.1.1狮子洋通道项目概况、建设地点及规模</w:t>
      </w:r>
    </w:p>
    <w:p>
      <w:pPr/>
      <w:r>
        <w:rPr>
          <w:rFonts w:ascii="" w:eastAsia="" w:hint="eastAsia"/>
          <w:sz w:val="21.0"/>
          <w:szCs w:val="21.0"/>
          <w:color w:val="000000"/>
        </w:rPr>
        <w:t xml:space="preserve">狮子洋通道工程包含狮子洋通道工程主体工程(含上下层)、下层桂阁大道段、下层轮渡路改扩建工程。</w:t>
      </w:r>
    </w:p>
    <w:p>
      <w:pPr/>
      <w:r>
        <w:rPr>
          <w:rFonts w:ascii="" w:eastAsia="" w:hint="eastAsia"/>
          <w:sz w:val="21.0"/>
          <w:szCs w:val="21.0"/>
          <w:color w:val="000000"/>
        </w:rPr>
        <w:t xml:space="preserve">主体工程上层路线起于广州市南沙区大岗镇，顺接广中江高速公路，经南沙区东涌镇、黄阁镇后跨越珠江口，经东莞市沙田镇，终于虎门镇，对接常虎高速公路，与广深高速公路交叉，全长约35.1公里。全线设置11处互通立交；设置服务区1处；应急救援中心2处。</w:t>
      </w:r>
    </w:p>
    <w:p>
      <w:pPr/>
      <w:r>
        <w:rPr>
          <w:rFonts w:ascii="" w:eastAsia="" w:hint="eastAsia"/>
          <w:sz w:val="21.0"/>
          <w:szCs w:val="21.0"/>
          <w:color w:val="000000"/>
        </w:rPr>
        <w:t xml:space="preserve">主体工程下层路线起于广州市南沙区黄阁镇连溪大道处，顺接下层桂阁大道段，与上层共走廊，跨越珠江口，终于东莞市沙田镇龙船洲村，与下层白沙南路段对接，长约15.3公里。</w:t>
      </w:r>
    </w:p>
    <w:p>
      <w:pPr/>
      <w:r>
        <w:rPr>
          <w:rFonts w:ascii="" w:eastAsia="" w:hint="eastAsia"/>
          <w:sz w:val="21.0"/>
          <w:szCs w:val="21.0"/>
          <w:color w:val="000000"/>
        </w:rPr>
        <w:t xml:space="preserve">下层桂阁大道段起于广州市南沙区大岗镇,经东涌镇、黄阁镇，终于黄阁镇鸡谷山路与连溪大道交叉口，长约15.8公里；</w:t>
      </w:r>
    </w:p>
    <w:p>
      <w:pPr/>
      <w:r>
        <w:rPr>
          <w:rFonts w:ascii="" w:eastAsia="" w:hint="eastAsia"/>
          <w:sz w:val="21.0"/>
          <w:szCs w:val="21.0"/>
          <w:color w:val="000000"/>
        </w:rPr>
        <w:t xml:space="preserve">下层轮渡路改扩建段起于东莞市沙田镇，连接狮子洋通道主体工程下层福隆互通，向东沿既有轮渡路改扩建，终于省道S256(莞太路)，长约6.2公里。</w:t>
      </w:r>
    </w:p>
    <w:p>
      <w:pPr/>
      <w:r>
        <w:rPr>
          <w:rFonts w:ascii="" w:eastAsia="" w:hint="eastAsia"/>
          <w:sz w:val="21.0"/>
          <w:szCs w:val="21.0"/>
          <w:color w:val="000000"/>
        </w:rPr>
        <w:t xml:space="preserve">2.1.2东莞市虎门镇连升北路（布料市场段）一期工程项目概况、建设地点及规模</w:t>
      </w:r>
    </w:p>
    <w:p>
      <w:pPr/>
      <w:r>
        <w:rPr>
          <w:rFonts w:ascii="" w:eastAsia="" w:hint="eastAsia"/>
          <w:sz w:val="21.0"/>
          <w:szCs w:val="21.0"/>
          <w:color w:val="000000"/>
        </w:rPr>
        <w:t xml:space="preserve">东莞市虎门镇连升北路（布料市场段）一期工程：本工程为下穿轮渡路隧道，隧道长度约350米，道路等级为一级公路兼城市主干路，设计速度为60km/h，双向6车道，道路标准横断面宽度为45.75m。</w:t>
      </w:r>
    </w:p>
    <w:p>
      <w:pPr/>
      <w:r>
        <w:rPr>
          <w:rFonts w:ascii="" w:eastAsia="" w:hint="eastAsia"/>
          <w:sz w:val="21.0"/>
          <w:szCs w:val="21.0"/>
          <w:color w:val="000000"/>
        </w:rPr>
        <w:t xml:space="preserve"> 2.1.3招标范围</w:t>
      </w:r>
    </w:p>
    <w:p>
      <w:pPr/>
      <w:r>
        <w:rPr>
          <w:rFonts w:ascii="" w:eastAsia="" w:hint="eastAsia"/>
          <w:sz w:val="21.0"/>
          <w:szCs w:val="21.0"/>
          <w:color w:val="000000"/>
        </w:rPr>
        <w:t xml:space="preserve">狮子洋通道土建工程（T2～T4标、T11～T16标）施工、东莞市虎门镇连升北路（布料市场段）一期工程项目。</w:t>
      </w:r>
    </w:p>
    <w:p>
      <w:pPr/>
      <w:r>
        <w:rPr>
          <w:rFonts w:ascii="" w:eastAsia="" w:hint="eastAsia"/>
          <w:sz w:val="21.0"/>
          <w:szCs w:val="21.0"/>
          <w:color w:val="000000"/>
        </w:rPr>
        <w:t xml:space="preserve"> 2.2 标段划分</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3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9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B类桥隧比较大工程（桥隧比≥35%）</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 3</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K4+719～K8+676.7</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3.9577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具有国家住房和城乡建设部核发的公路工程施工总承包特级资质；或公路工程施工总承包一级资质且隧道工程专业承包一级资质且桥梁工程专业承包一级资质。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B类桥隧比较大工程（桥隧比≥35%）</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 4</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K8+676.7～K11+034.7</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2.358</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具有国家住房和城乡建设部核发的公路工程施工总承包特级资质；或公路工程施工总承包一级资质且隧道工程专业承包一级资质且桥梁工程专业承包一级资质。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B类桥隧比较大工程（桥隧比≥35%）</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T12</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K29+290～K34+080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4.790</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具有国家住房和城乡建设部核发的公路工程施工总承包特级资质；或公路工程施工总承包一级资质且隧道工程专业承包一级资质且桥梁工程专业承包一级资质。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C类特大桥梁工程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 2</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K0+000～K4+719</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4.719</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C类特大桥梁工程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T11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K26+675～K29+290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2.615</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E类预制梁板工程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T13</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K0+000～K11+034.7</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11.0347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E类预制梁板工程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T14</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K11+034.7～K21+913 </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10.8783</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T5～T8标所有梁板预制。</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E类预制梁板工程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T15</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K21+913～K26+675</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4.762</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具有国家住房和城乡建设部核发的公路工程施工总承包特级资质；或公路工程施工总承包一级资质且桥梁工程专业承包一级资质。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E类预制梁板工程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T16</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K26+675～K34+080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7.405</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T11～T12标所有梁板预制。</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具有国家住房和城乡建设部核发的公路工程施工总承包特级资质；或公路工程施工总承包一级资质且桥梁工程专业承包一 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注：具体桩号和工程数量以招标文件工程量清单和施工图为准。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3.1本次招标要求投标人须具备上述第2.2款表中所列相应资质、具有类似工程业绩，并在人员、设备、资金等方面具有相应的施工能力。</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 在本次招标中，被广东省交通运输厅最新一年度的信用评价等级评定为AA级信用等级的投标人，最多可对其中2个标段进行投标，其余的投标人最多可对其中1个标段进行投标①，但均只允许中1个标段。（本款所指的信用等级为广东省交通运输厅最新年度发布的信用等级，报名阶段无需承诺是否在此次投标过程中使用）。</w:t>
      </w:r>
    </w:p>
    <w:p>
      <w:pPr/>
      <w:r>
        <w:rPr>
          <w:rFonts w:ascii="" w:eastAsia="" w:hint="eastAsia"/>
          <w:sz w:val="21.0"/>
          <w:szCs w:val="21.0"/>
          <w:color w:val="000000"/>
        </w:rPr>
        <w:t xml:space="preserve">狮子洋通道土建工程T5、T6、T7、T8、T9、T10标段承包人不能参与本次招标投标。</w:t>
      </w:r>
    </w:p>
    <w:p>
      <w:pPr/>
      <w:r>
        <w:rPr>
          <w:rFonts w:ascii="" w:eastAsia="" w:hint="eastAsia"/>
          <w:sz w:val="21.0"/>
          <w:szCs w:val="21.0"/>
          <w:color w:val="000000"/>
        </w:rPr>
        <w:t xml:space="preserve">本次招标的中标单位不能参与狮子洋通道项目的后续土建工程施工标段（路面标段和下层白沙南路段除外）投标。</w:t>
      </w:r>
    </w:p>
    <w:p>
      <w:pPr/>
      <w:r>
        <w:rPr>
          <w:rFonts w:ascii="" w:eastAsia="" w:hint="eastAsia"/>
          <w:sz w:val="21.0"/>
          <w:szCs w:val="21.0"/>
          <w:color w:val="000000"/>
        </w:rPr>
        <w:t xml:space="preserve">注：①如投标人在公共资源交易中心网站投标登记的标段数量超过本规定，造成投标人在本招标项目投标登记失败的，后果由投标人自负，招标人不承担任何责任。 </w:t>
      </w:r>
    </w:p>
    <w:p>
      <w:pPr/>
      <w:r>
        <w:rPr>
          <w:rFonts w:ascii="" w:eastAsia="" w:hint="eastAsia"/>
          <w:sz w:val="21.0"/>
          <w:szCs w:val="21.0"/>
          <w:color w:val="000000"/>
        </w:rPr>
        <w:t xml:space="preserve">3.4与招标人存在利害关系可能影响招标公正性的法人，不得参加投标；若单位负责人①为同一人、或者存在控股②、管理关系③的不同单位，不得参加同一标段投标或者未划分标段的同一招标项目投标，否则按否决其投标处理。</w:t>
      </w:r>
    </w:p>
    <w:p>
      <w:pPr/>
      <w:r>
        <w:rPr>
          <w:rFonts w:ascii="" w:eastAsia="" w:hint="eastAsia"/>
          <w:sz w:val="21.0"/>
          <w:szCs w:val="21.0"/>
          <w:color w:val="000000"/>
        </w:rPr>
        <w:t xml:space="preserve">注：①单位负责人是指单位的法定代表人或者法律、行政法规规定代表单位行使职权的主要负责人。 ②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③管理关系是指不具有出资持股关系的其它单位之间存在的管理与被管理关系。</w:t>
      </w:r>
    </w:p>
    <w:p>
      <w:pPr/>
      <w:r>
        <w:rPr>
          <w:rFonts w:ascii="" w:eastAsia="" w:hint="eastAsia"/>
          <w:sz w:val="21.0"/>
          <w:szCs w:val="21.0"/>
          <w:color w:val="000000"/>
        </w:rPr>
        <w:t xml:space="preserve">3.5 在“信用中国”网站（http://www.creditchina.gov.cn/)中被列入失信被执行人名单的投标人，在国家企业信用信息公示系统（www.gsxt.gov.cn）中被列入严重违法失信企业名单的投标人，均按否决投标处理。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3.6 投标人已在广州公共资源交易中心办理企业信息登记，投标人企业信息登记的办理详情参见广州公共资源交易网（http://www.gzggzy.cn）服务指南栏目。</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2023年06月06日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2023年06月12日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2023年06月29日09时00分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2023年6月13日00时00分至2023年6月29日09时00分将电子文件完整上传。递交投标文件纸质文件截止时间为2023年6月29日09时00分，投标人应于2023年6月29日08时30分至2023年6月29日09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本次招标公告同时在广东省招标投标监管网、广州公共资源交易网、“粤采易”阳光采购平台上发布。如公告详细内容不一致者，以广东省招标投标监管网发布的公告为准。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依法有权选择以下任一方式：（1）在广州公共资源交易网站发布公告延长投标登记时间，在延期延期投标登记时间内，已投标登记投标人的资料仍有效并可自行补充资料，未投标登记的投标人可根据公告的约定进行投标登记；（2）依法重新组织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广东湾区交通建设投资有限公司</w:t>
            </w:r>
          </w:p>
          <w:p>
            <w:pPr/>
            <w:r>
              <w:rPr>
                <w:rFonts w:ascii="标宋" w:eastAsia="标宋" w:hint="eastAsia"/>
                <w:sz w:val="21.0"/>
                <w:szCs w:val="21.0"/>
                <w:color w:val="000000"/>
              </w:rPr>
              <w:t xml:space="preserve">地址：  广州市南沙区南江二路8号广州视联国际科技广场18栋</w:t>
            </w:r>
          </w:p>
          <w:p>
            <w:pPr/>
            <w:r>
              <w:rPr>
                <w:rFonts w:ascii="标宋" w:eastAsia="标宋" w:hint="eastAsia"/>
                <w:sz w:val="21.0"/>
                <w:szCs w:val="21.0"/>
                <w:color w:val="000000"/>
              </w:rPr>
              <w:t xml:space="preserve">邮政编码：  511462</w:t>
            </w:r>
          </w:p>
          <w:p>
            <w:pPr/>
            <w:r>
              <w:rPr>
                <w:rFonts w:ascii="标宋" w:eastAsia="标宋" w:hint="eastAsia"/>
                <w:sz w:val="21.0"/>
                <w:szCs w:val="21.0"/>
                <w:color w:val="000000"/>
              </w:rPr>
              <w:t xml:space="preserve">联系人：  王先生、曾先生</w:t>
            </w:r>
          </w:p>
          <w:p>
            <w:pPr/>
            <w:r>
              <w:rPr>
                <w:rFonts w:ascii="标宋" w:eastAsia="标宋" w:hint="eastAsia"/>
                <w:sz w:val="21.0"/>
                <w:szCs w:val="21.0"/>
                <w:color w:val="000000"/>
              </w:rPr>
              <w:t xml:space="preserve">电 话：  020-39998843 </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shiziyang1013@163.com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