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0" w:firstLineChars="100"/>
        <w:jc w:val="left"/>
        <w:rPr>
          <w:rFonts w:ascii="华文细黑" w:hAnsi="华文细黑" w:eastAsia="华文细黑"/>
          <w:b/>
          <w:szCs w:val="21"/>
        </w:rPr>
      </w:pPr>
      <w:r>
        <w:rPr>
          <w:rFonts w:hint="eastAsia" w:ascii="华文细黑" w:hAnsi="华文细黑" w:eastAsia="华文细黑"/>
          <w:b/>
          <w:szCs w:val="21"/>
        </w:rPr>
        <w:t>版本号：2015-1</w:t>
      </w:r>
    </w:p>
    <w:p>
      <w:pPr>
        <w:pStyle w:val="34"/>
      </w:pPr>
    </w:p>
    <w:p>
      <w:pPr>
        <w:jc w:val="center"/>
        <w:rPr>
          <w:rFonts w:ascii="宋体" w:hAnsi="宋体"/>
          <w:b/>
          <w:sz w:val="52"/>
          <w:szCs w:val="52"/>
        </w:rPr>
      </w:pPr>
      <w:r>
        <w:rPr>
          <w:rFonts w:hint="eastAsia" w:ascii="宋体" w:hAnsi="宋体"/>
          <w:b/>
          <w:sz w:val="52"/>
          <w:szCs w:val="52"/>
        </w:rPr>
        <w:t>聚龙湾启动区鹅潭路周边市政配套</w:t>
      </w:r>
    </w:p>
    <w:p>
      <w:pPr>
        <w:jc w:val="center"/>
        <w:rPr>
          <w:rFonts w:ascii="宋体" w:hAnsi="宋体"/>
          <w:b/>
          <w:sz w:val="52"/>
          <w:szCs w:val="52"/>
        </w:rPr>
      </w:pPr>
      <w:r>
        <w:rPr>
          <w:rFonts w:hint="eastAsia" w:ascii="宋体" w:hAnsi="宋体"/>
          <w:b/>
          <w:sz w:val="52"/>
          <w:szCs w:val="52"/>
        </w:rPr>
        <w:t>道路勘察设计</w:t>
      </w:r>
    </w:p>
    <w:p>
      <w:pPr>
        <w:pStyle w:val="34"/>
      </w:pPr>
    </w:p>
    <w:p>
      <w:pPr>
        <w:pStyle w:val="34"/>
      </w:pPr>
    </w:p>
    <w:p>
      <w:pPr>
        <w:pStyle w:val="34"/>
      </w:pPr>
    </w:p>
    <w:p>
      <w:pPr>
        <w:pStyle w:val="34"/>
      </w:pPr>
    </w:p>
    <w:p>
      <w:pPr>
        <w:pStyle w:val="34"/>
      </w:pPr>
    </w:p>
    <w:p>
      <w:pPr>
        <w:pStyle w:val="34"/>
      </w:pPr>
    </w:p>
    <w:p>
      <w:pPr>
        <w:jc w:val="center"/>
        <w:rPr>
          <w:rFonts w:ascii="宋体" w:hAnsi="宋体"/>
        </w:rPr>
      </w:pPr>
      <w:r>
        <w:rPr>
          <w:rFonts w:hint="eastAsia" w:ascii="宋体" w:hAnsi="宋体"/>
          <w:b/>
          <w:sz w:val="52"/>
          <w:szCs w:val="52"/>
        </w:rPr>
        <w:t>招标文件</w:t>
      </w:r>
    </w:p>
    <w:p>
      <w:pPr>
        <w:rPr>
          <w:rFonts w:ascii="宋体" w:hAnsi="宋体"/>
        </w:rPr>
      </w:pPr>
    </w:p>
    <w:p>
      <w:pPr>
        <w:rPr>
          <w:rFonts w:ascii="宋体" w:hAnsi="宋体"/>
        </w:rPr>
      </w:pPr>
    </w:p>
    <w:p>
      <w:pPr>
        <w:rPr>
          <w:rFonts w:ascii="宋体" w:hAnsi="宋体"/>
          <w:sz w:val="24"/>
        </w:rPr>
      </w:pPr>
    </w:p>
    <w:p>
      <w:pPr>
        <w:rPr>
          <w:rFonts w:ascii="宋体" w:hAnsi="宋体"/>
          <w:sz w:val="24"/>
        </w:rPr>
      </w:pPr>
    </w:p>
    <w:p>
      <w:pPr>
        <w:rPr>
          <w:rFonts w:ascii="宋体" w:hAnsi="宋体"/>
          <w:sz w:val="24"/>
        </w:rPr>
      </w:pPr>
    </w:p>
    <w:p>
      <w:pPr>
        <w:pStyle w:val="34"/>
      </w:pPr>
    </w:p>
    <w:p>
      <w:pPr>
        <w:pStyle w:val="34"/>
      </w:pPr>
    </w:p>
    <w:p>
      <w:pPr>
        <w:pStyle w:val="34"/>
      </w:pPr>
    </w:p>
    <w:p>
      <w:pPr>
        <w:pStyle w:val="34"/>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w:t>
      </w:r>
    </w:p>
    <w:p>
      <w:pPr>
        <w:rPr>
          <w:rFonts w:ascii="宋体" w:hAnsi="宋体"/>
          <w:sz w:val="24"/>
        </w:rPr>
        <w:sectPr>
          <w:headerReference r:id="rId3" w:type="default"/>
          <w:pgSz w:w="11906" w:h="16838"/>
          <w:pgMar w:top="1440" w:right="1440" w:bottom="1440" w:left="1440" w:header="851" w:footer="992" w:gutter="0"/>
          <w:cols w:space="425" w:num="1"/>
          <w:docGrid w:type="linesAndChars" w:linePitch="312" w:charSpace="0"/>
        </w:sectPr>
      </w:pPr>
    </w:p>
    <w:p>
      <w:pPr>
        <w:spacing w:line="360" w:lineRule="auto"/>
        <w:rPr>
          <w:rFonts w:ascii="宋体" w:hAnsi="宋体"/>
          <w:sz w:val="24"/>
        </w:rPr>
      </w:pPr>
      <w:r>
        <w:rPr>
          <w:rFonts w:hint="eastAsia" w:ascii="宋体" w:hAnsi="宋体"/>
          <w:sz w:val="24"/>
        </w:rPr>
        <w:t>招标人（章）：广州珠江产业园投资发展有限公司</w:t>
      </w:r>
    </w:p>
    <w:p>
      <w:pPr>
        <w:spacing w:line="360" w:lineRule="auto"/>
        <w:rPr>
          <w:rFonts w:ascii="宋体" w:hAnsi="宋体"/>
          <w:sz w:val="24"/>
        </w:rPr>
      </w:pPr>
      <w:r>
        <w:rPr>
          <w:rFonts w:hint="eastAsia" w:ascii="宋体" w:hAnsi="宋体"/>
          <w:sz w:val="24"/>
        </w:rPr>
        <w:t>授权代表：周工</w:t>
      </w:r>
    </w:p>
    <w:p>
      <w:pPr>
        <w:spacing w:line="360" w:lineRule="auto"/>
        <w:rPr>
          <w:rFonts w:ascii="宋体" w:hAnsi="宋体"/>
          <w:sz w:val="24"/>
        </w:rPr>
      </w:pPr>
      <w:r>
        <w:rPr>
          <w:rFonts w:hint="eastAsia" w:ascii="宋体" w:hAnsi="宋体"/>
          <w:sz w:val="24"/>
        </w:rPr>
        <w:t>地址：广州市荔湾区达江路侨芳苑东侧</w:t>
      </w:r>
    </w:p>
    <w:p>
      <w:pPr>
        <w:spacing w:line="360" w:lineRule="auto"/>
        <w:rPr>
          <w:rFonts w:ascii="宋体" w:hAnsi="宋体"/>
          <w:sz w:val="24"/>
        </w:rPr>
      </w:pPr>
      <w:r>
        <w:rPr>
          <w:rFonts w:hint="eastAsia" w:ascii="宋体" w:hAnsi="宋体"/>
          <w:sz w:val="24"/>
        </w:rPr>
        <w:t>邮政编码：</w:t>
      </w:r>
      <w:r>
        <w:rPr>
          <w:rFonts w:hint="eastAsia" w:ascii="宋体" w:hAnsi="宋体" w:cs="宋体"/>
          <w:sz w:val="24"/>
        </w:rPr>
        <w:t>/</w:t>
      </w:r>
    </w:p>
    <w:p>
      <w:pPr>
        <w:spacing w:line="360" w:lineRule="auto"/>
        <w:rPr>
          <w:rFonts w:ascii="宋体" w:hAnsi="宋体"/>
          <w:sz w:val="24"/>
        </w:rPr>
      </w:pPr>
      <w:r>
        <w:rPr>
          <w:rFonts w:hint="eastAsia" w:ascii="宋体" w:hAnsi="宋体"/>
          <w:sz w:val="24"/>
        </w:rPr>
        <w:t>电话：020-87300365</w:t>
      </w:r>
    </w:p>
    <w:p>
      <w:pPr>
        <w:spacing w:line="360" w:lineRule="auto"/>
        <w:rPr>
          <w:rFonts w:ascii="宋体" w:hAnsi="宋体"/>
          <w:sz w:val="24"/>
        </w:rPr>
      </w:pPr>
      <w:r>
        <w:rPr>
          <w:rFonts w:hint="eastAsia" w:ascii="宋体" w:hAnsi="宋体"/>
          <w:sz w:val="24"/>
        </w:rPr>
        <w:t>传真：</w:t>
      </w:r>
      <w:r>
        <w:rPr>
          <w:rFonts w:ascii="宋体" w:hAnsi="宋体"/>
          <w:sz w:val="24"/>
          <w:u w:val="single"/>
        </w:rPr>
        <w:t>/</w:t>
      </w:r>
    </w:p>
    <w:p>
      <w:pPr>
        <w:spacing w:line="360" w:lineRule="auto"/>
        <w:rPr>
          <w:rFonts w:ascii="宋体" w:hAnsi="宋体"/>
          <w:sz w:val="24"/>
        </w:rPr>
      </w:pPr>
      <w:r>
        <w:rPr>
          <w:rFonts w:hint="eastAsia" w:ascii="宋体" w:hAnsi="宋体"/>
          <w:sz w:val="24"/>
        </w:rPr>
        <w:t>电子邮箱：</w:t>
      </w:r>
      <w:r>
        <w:rPr>
          <w:rFonts w:hint="eastAsia" w:ascii="宋体" w:hAnsi="宋体"/>
          <w:sz w:val="24"/>
          <w:u w:val="single"/>
        </w:rPr>
        <w:t>/</w:t>
      </w:r>
    </w:p>
    <w:p>
      <w:pPr>
        <w:spacing w:line="360" w:lineRule="auto"/>
        <w:rPr>
          <w:rFonts w:ascii="宋体" w:hAnsi="宋体"/>
          <w:sz w:val="24"/>
        </w:rPr>
      </w:pPr>
    </w:p>
    <w:p>
      <w:pPr>
        <w:spacing w:line="400" w:lineRule="exact"/>
        <w:rPr>
          <w:rFonts w:hint="eastAsia" w:ascii="宋体" w:hAnsi="宋体"/>
          <w:sz w:val="24"/>
        </w:rPr>
      </w:pPr>
    </w:p>
    <w:p>
      <w:pPr>
        <w:spacing w:line="400" w:lineRule="exact"/>
        <w:rPr>
          <w:rFonts w:ascii="宋体" w:hAnsi="宋体"/>
          <w:sz w:val="24"/>
        </w:rPr>
      </w:pPr>
      <w:bookmarkStart w:id="50" w:name="_GoBack"/>
      <w:bookmarkEnd w:id="50"/>
      <w:r>
        <w:rPr>
          <w:rFonts w:hint="eastAsia" w:ascii="宋体" w:hAnsi="宋体"/>
          <w:sz w:val="24"/>
        </w:rPr>
        <w:t>招标代理（章）：广州珠江监理咨询集团有限公司</w:t>
      </w:r>
    </w:p>
    <w:p>
      <w:pPr>
        <w:spacing w:line="360" w:lineRule="auto"/>
        <w:rPr>
          <w:rFonts w:ascii="宋体" w:hAnsi="宋体"/>
          <w:sz w:val="24"/>
        </w:rPr>
      </w:pPr>
      <w:r>
        <w:rPr>
          <w:rFonts w:hint="eastAsia" w:ascii="宋体" w:hAnsi="宋体"/>
          <w:sz w:val="24"/>
        </w:rPr>
        <w:t>授权代表：张工、赵工</w:t>
      </w:r>
    </w:p>
    <w:p>
      <w:pPr>
        <w:spacing w:line="360" w:lineRule="auto"/>
        <w:ind w:left="720" w:hanging="720" w:hangingChars="300"/>
        <w:rPr>
          <w:rFonts w:ascii="宋体" w:hAnsi="宋体"/>
          <w:sz w:val="24"/>
        </w:rPr>
      </w:pPr>
      <w:r>
        <w:rPr>
          <w:rFonts w:hint="eastAsia" w:ascii="宋体" w:hAnsi="宋体"/>
          <w:sz w:val="24"/>
        </w:rPr>
        <w:t>地址：广州市越秀区永泰路50号101房</w:t>
      </w:r>
    </w:p>
    <w:p>
      <w:pPr>
        <w:spacing w:line="360" w:lineRule="auto"/>
        <w:rPr>
          <w:rFonts w:ascii="宋体" w:hAnsi="宋体"/>
          <w:sz w:val="24"/>
        </w:rPr>
      </w:pPr>
      <w:r>
        <w:rPr>
          <w:rFonts w:hint="eastAsia" w:ascii="宋体" w:hAnsi="宋体"/>
          <w:sz w:val="24"/>
        </w:rPr>
        <w:t>邮政编码：510095</w:t>
      </w:r>
    </w:p>
    <w:p>
      <w:pPr>
        <w:spacing w:line="360" w:lineRule="auto"/>
        <w:rPr>
          <w:rFonts w:ascii="宋体" w:hAnsi="宋体"/>
          <w:sz w:val="24"/>
        </w:rPr>
      </w:pPr>
      <w:r>
        <w:rPr>
          <w:rFonts w:hint="eastAsia" w:ascii="宋体" w:hAnsi="宋体"/>
          <w:sz w:val="24"/>
        </w:rPr>
        <w:t>电话：</w:t>
      </w:r>
      <w:r>
        <w:rPr>
          <w:rFonts w:ascii="宋体" w:hAnsi="宋体"/>
          <w:sz w:val="24"/>
        </w:rPr>
        <w:t>020-83</w:t>
      </w:r>
      <w:r>
        <w:rPr>
          <w:rFonts w:hint="eastAsia" w:ascii="宋体" w:hAnsi="宋体"/>
          <w:sz w:val="24"/>
        </w:rPr>
        <w:t>492175</w:t>
      </w:r>
    </w:p>
    <w:p>
      <w:pPr>
        <w:spacing w:line="360" w:lineRule="auto"/>
        <w:rPr>
          <w:rFonts w:ascii="宋体" w:hAnsi="宋体"/>
          <w:sz w:val="24"/>
        </w:rPr>
      </w:pPr>
      <w:r>
        <w:rPr>
          <w:rFonts w:hint="eastAsia" w:ascii="宋体" w:hAnsi="宋体"/>
          <w:sz w:val="24"/>
        </w:rPr>
        <w:t>传真：</w:t>
      </w:r>
      <w:r>
        <w:rPr>
          <w:rFonts w:hint="eastAsia" w:ascii="宋体" w:hAnsi="宋体"/>
          <w:sz w:val="24"/>
          <w:u w:val="single"/>
        </w:rPr>
        <w:t>/</w:t>
      </w:r>
      <w:r>
        <w:rPr>
          <w:rFonts w:hint="eastAsia" w:ascii="宋体" w:hAnsi="宋体"/>
          <w:sz w:val="24"/>
        </w:rPr>
        <w:t xml:space="preserve"> </w:t>
      </w:r>
    </w:p>
    <w:p>
      <w:pPr>
        <w:spacing w:line="360" w:lineRule="auto"/>
        <w:rPr>
          <w:rFonts w:ascii="宋体" w:hAnsi="宋体"/>
          <w:sz w:val="24"/>
        </w:rPr>
      </w:pPr>
      <w:r>
        <w:rPr>
          <w:rFonts w:hint="eastAsia" w:ascii="宋体" w:hAnsi="宋体"/>
          <w:sz w:val="24"/>
        </w:rPr>
        <w:t>电子邮箱：</w:t>
      </w:r>
      <w:r>
        <w:rPr>
          <w:rFonts w:hint="eastAsia" w:ascii="宋体" w:hAnsi="宋体"/>
          <w:sz w:val="24"/>
          <w:u w:val="single"/>
        </w:rPr>
        <w:t>/</w:t>
      </w:r>
    </w:p>
    <w:p>
      <w:pPr>
        <w:rPr>
          <w:rFonts w:ascii="宋体" w:hAnsi="宋体"/>
          <w:sz w:val="24"/>
        </w:rPr>
      </w:pPr>
    </w:p>
    <w:p>
      <w:pPr>
        <w:rPr>
          <w:rFonts w:ascii="宋体" w:hAnsi="宋体"/>
        </w:rPr>
        <w:sectPr>
          <w:type w:val="continuous"/>
          <w:pgSz w:w="11906" w:h="16838"/>
          <w:pgMar w:top="1440" w:right="1466" w:bottom="1440" w:left="1440" w:header="851" w:footer="992" w:gutter="0"/>
          <w:cols w:equalWidth="0" w:num="2">
            <w:col w:w="4287" w:space="425"/>
            <w:col w:w="4287"/>
          </w:cols>
          <w:docGrid w:type="linesAndChars" w:linePitch="312" w:charSpace="0"/>
        </w:sectPr>
      </w:pPr>
    </w:p>
    <w:p>
      <w:pPr>
        <w:jc w:val="center"/>
        <w:rPr>
          <w:rFonts w:ascii="宋体" w:hAnsi="宋体"/>
          <w:b/>
          <w:sz w:val="32"/>
          <w:szCs w:val="32"/>
        </w:rPr>
      </w:pPr>
      <w:r>
        <w:rPr>
          <w:rFonts w:hint="eastAsia" w:ascii="宋体" w:hAnsi="宋体"/>
          <w:b/>
          <w:sz w:val="32"/>
          <w:szCs w:val="32"/>
        </w:rPr>
        <w:t>招标文件修改申报表</w:t>
      </w:r>
    </w:p>
    <w:p>
      <w:pPr>
        <w:spacing w:line="360" w:lineRule="auto"/>
        <w:ind w:firstLine="485"/>
        <w:rPr>
          <w:rFonts w:ascii="宋体" w:hAnsi="宋体"/>
          <w:sz w:val="24"/>
        </w:rPr>
      </w:pPr>
      <w:r>
        <w:rPr>
          <w:rFonts w:hint="eastAsia" w:ascii="宋体" w:hAnsi="宋体"/>
          <w:sz w:val="24"/>
        </w:rPr>
        <w:t>招标人（或招标代理机构）按照范本格式编制招标文件。如果修改，范本被删除的内容应标注删除线，新增内容应标注下划线。修改的内容请填在下表中，以便管理机构对招标人（或招标代理机构）作出的改动进行评估，避免因不恰当的改动而引起纠纷造成不良后果。与范本条款不同之处，均在本表中列明，并以现文为准，原文不再有效。</w:t>
      </w:r>
    </w:p>
    <w:tbl>
      <w:tblPr>
        <w:tblStyle w:val="28"/>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34"/>
        <w:gridCol w:w="3715"/>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blHeader/>
          <w:jc w:val="center"/>
        </w:trPr>
        <w:tc>
          <w:tcPr>
            <w:tcW w:w="732" w:type="dxa"/>
            <w:vAlign w:val="center"/>
          </w:tcPr>
          <w:p>
            <w:pPr>
              <w:spacing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序号</w:t>
            </w:r>
          </w:p>
        </w:tc>
        <w:tc>
          <w:tcPr>
            <w:tcW w:w="1434" w:type="dxa"/>
            <w:vAlign w:val="center"/>
          </w:tcPr>
          <w:p>
            <w:pPr>
              <w:spacing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章节、条目</w:t>
            </w:r>
          </w:p>
        </w:tc>
        <w:tc>
          <w:tcPr>
            <w:tcW w:w="3715" w:type="dxa"/>
            <w:vAlign w:val="center"/>
          </w:tcPr>
          <w:p>
            <w:pPr>
              <w:spacing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范本原文</w:t>
            </w:r>
          </w:p>
        </w:tc>
        <w:tc>
          <w:tcPr>
            <w:tcW w:w="3261" w:type="dxa"/>
            <w:vAlign w:val="center"/>
          </w:tcPr>
          <w:p>
            <w:pPr>
              <w:spacing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拟删改的内容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第一章</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招标公告</w:t>
            </w:r>
          </w:p>
        </w:tc>
        <w:tc>
          <w:tcPr>
            <w:tcW w:w="3261" w:type="dxa"/>
            <w:vAlign w:val="center"/>
          </w:tcPr>
          <w:p>
            <w:pPr>
              <w:tabs>
                <w:tab w:val="left" w:pos="0"/>
              </w:tabs>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asciiTheme="minorEastAsia" w:hAnsiTheme="minorEastAsia" w:eastAsiaTheme="minorEastAsia" w:cstheme="minorEastAsia"/>
                <w:color w:val="auto"/>
                <w:szCs w:val="21"/>
              </w:rPr>
              <w:t>.2.1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招标文件在招标管理机构备案。</w:t>
            </w:r>
          </w:p>
        </w:tc>
        <w:tc>
          <w:tcPr>
            <w:tcW w:w="3261" w:type="dxa"/>
            <w:vAlign w:val="center"/>
          </w:tcPr>
          <w:p>
            <w:pPr>
              <w:tabs>
                <w:tab w:val="left" w:pos="0"/>
              </w:tabs>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招标人安排投标人代表对工程现场进行考察，目的是使每个投标人查看现场并获得编制投标文件所需要的一切资料。</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投标人自行对工程现场进行考察，招标人不另行组织投标人进行现场考察。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2.3.2~2.3.5</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2.3.2  每个投标人参加现场考察的人数不宜超过3人，外国投标人代表应自带中文翻译。</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2.3.3  现场考察期间招标人将召开一次会议，接受投标人代表的提问。</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2.3.4 现场考察集合时间：。</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2.3.5 现场考察集合地点：。</w:t>
            </w:r>
          </w:p>
        </w:tc>
        <w:tc>
          <w:tcPr>
            <w:tcW w:w="3261"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投标人和其他利害关系人如对招标文件及随后收到的有关资料有任何异议的，应当在收到文件5日内以书面形式向招标人或代理机构提出意见，或者向招标管理机构提出书面投诉，逾期视为无异议。</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潜在投标人或者其他利害关系人对招标文件有异议的，应当在投标截止时间18日前向招标人（或招标代理）提出，逾期视为无异议。招标人应当自收到异议之日起3日内作出答复；作出答复前，应当暂停招标投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2.4.3</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应在收到招标文件5日内将需要澄清的一切问题上传到广州建设工程交易中心网站进行网上答疑（或应尽快传真给招标人或者代理机构），投标人应在投标截止前10日停止质疑。招标人对已发出的招标文件进行必要的澄清或者修改的，将统一整理为按时序编号的补充材料，在交易中心网站“</w:t>
            </w:r>
            <w:r>
              <w:rPr>
                <w:color w:val="auto"/>
              </w:rPr>
              <w:fldChar w:fldCharType="begin"/>
            </w:r>
            <w:r>
              <w:rPr>
                <w:color w:val="auto"/>
              </w:rPr>
              <w:instrText xml:space="preserve"> HYPERLINK "http://www.gzzb.gd.cn/t05wz/t0206zbdy/util/index_dyyz.jsp" </w:instrText>
            </w:r>
            <w:r>
              <w:rPr>
                <w:color w:val="auto"/>
              </w:rPr>
              <w:fldChar w:fldCharType="separate"/>
            </w:r>
            <w:r>
              <w:rPr>
                <w:rFonts w:hint="eastAsia" w:asciiTheme="minorEastAsia" w:hAnsiTheme="minorEastAsia" w:eastAsiaTheme="minorEastAsia" w:cstheme="minorEastAsia"/>
                <w:color w:val="auto"/>
                <w:szCs w:val="21"/>
              </w:rPr>
              <w:t>招标答疑</w:t>
            </w:r>
            <w:r>
              <w:rPr>
                <w:rFonts w:hint="eastAsia" w:asciiTheme="minorEastAsia" w:hAnsiTheme="minorEastAsia" w:eastAsiaTheme="minorEastAsia" w:cstheme="minorEastAsia"/>
                <w:color w:val="auto"/>
                <w:szCs w:val="21"/>
              </w:rPr>
              <w:fldChar w:fldCharType="end"/>
            </w:r>
            <w:r>
              <w:rPr>
                <w:rFonts w:hint="eastAsia" w:asciiTheme="minorEastAsia" w:hAnsiTheme="minorEastAsia" w:eastAsiaTheme="minorEastAsia" w:cstheme="minorEastAsia"/>
                <w:color w:val="auto"/>
                <w:szCs w:val="21"/>
              </w:rPr>
              <w:t>”中公开登载（或以书面形式通知所有招标文件收受人）。补充材料是招标文件的组成部分，对投标人起约束作用。补充材料如与原招标文件不符，以最新的修改为准。</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宋体" w:hAnsi="宋体" w:cs="宋体"/>
                <w:color w:val="auto"/>
                <w:szCs w:val="21"/>
                <w:u w:val="single"/>
              </w:rPr>
              <w:t>投标人需要澄清的问题应在规定的时间内（招标公告开始发布后至投标截止时间前18日），按交易平台的操作指引上传至交易平台网站。招标人对已发出的招标文件进行必要的澄清或者修改的，招标人应当在投标截止时间至少15日前，招标人对已发出的招标文件进行必要的澄清、修改或者对投标人提出问题的回答，将统一整理为按时序编号的补充材料，在广州公共资源交易中心网站的交易业务 “建设工程”专栏的 “项目查询（日程安排、答疑纪要）”中发布,输入项目编号在本项目的“答疑纪要”环节即可查看。澄清及补充材料一旦发出，视为已发给所有投标人，投标人应及时查询。澄清及补充材料是招标文件的组成部分，对投标人起约束作用。补充材料如与原招标文件不符，以最新的修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2.4.4</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2.4.4投标人收到书面补充材料后，应该在首页上签名盖章，并立即传真给招标人或者代理机构，说明收到有关资料。</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澄清及补充材料一旦发出，视为各投标人已收到，请各投标人及时自行查询。投标人应及时在广州公共资源交易中心项目答疑纪要专区中查询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2.4.5</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网上答疑的操作指南为：登陆广州公共资源交易中心网站→进入“我是投标人”→进入“新建设工程交易平台”→进入“我的投标”→进入“招标答疑提问”→通过项目编号或名称找到所需的项目→在上述的答疑时间内点击“答疑提问”进入到提问区域→无记名或匿名提出问题。具体操作方法详见《房建市政全流程电子化项目操作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szCs w:val="21"/>
              </w:rPr>
              <w:t>2.6</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b/>
                <w:color w:val="auto"/>
                <w:szCs w:val="21"/>
              </w:rPr>
              <w:t>投标时间和地点</w:t>
            </w:r>
          </w:p>
        </w:tc>
        <w:tc>
          <w:tcPr>
            <w:tcW w:w="3261" w:type="dxa"/>
            <w:vAlign w:val="center"/>
          </w:tcPr>
          <w:p>
            <w:pPr>
              <w:jc w:val="left"/>
              <w:rPr>
                <w:rFonts w:asciiTheme="minorEastAsia" w:hAnsiTheme="minorEastAsia" w:eastAsiaTheme="minorEastAsia" w:cstheme="minorEastAsia"/>
                <w:color w:val="auto"/>
                <w:szCs w:val="21"/>
              </w:rPr>
            </w:pPr>
            <w:r>
              <w:rPr>
                <w:rFonts w:hint="eastAsia" w:ascii="宋体" w:hAnsi="宋体" w:cs="宋体"/>
                <w:b/>
                <w:color w:val="auto"/>
                <w:kern w:val="0"/>
                <w:szCs w:val="21"/>
                <w:u w:val="single"/>
              </w:rPr>
              <w:t>投标时间、投标文件的递交和接收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10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投标截止时间为年月日时分，投标地点为。</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具体投标截止时间以招标人（招标代理机构）的最新通知为准，请各投标人留意交易平台网站发布的本工程相关信息。到投标截止时间止，招标人收到的投标文件少于3家的，招标人将重新组织招标。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投标人应在投标截止时间前递交投标文件，逾期概不受理。</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投标人通过下载招标文件的交易平台递交电子投标文件。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2.6.3</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投标人递交投标文件后应自行离开投标地点，不得逗留及影响他人递交投标文件。</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 xml:space="preserve"> 投标人完成电子投标文件上传后，交易平台即时向投标人发出递交回执通知。递交时间以递交回执通知载明的传输完成时间为准。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2.6.4</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如按招标公告要求需要提交投标文件光盘（备用），备用光盘不得加密。如使用投标文件光盘（备用）时无法读取或导入的，则视为未提交投标文件。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2.6.5</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逾期送达的投标文件，电子招标投标交易平台将予以拒收。逾期未上传成功的电子投标文件，招标人拒绝接收。逾期或未在指定地点递交投标文件光盘的,招标人拒绝接收其投标文件光盘。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15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w:t>
            </w:r>
            <w:r>
              <w:rPr>
                <w:rFonts w:asciiTheme="minorEastAsia" w:hAnsiTheme="minorEastAsia" w:eastAsiaTheme="minorEastAsia" w:cstheme="minorEastAsia"/>
                <w:color w:val="auto"/>
                <w:szCs w:val="21"/>
              </w:rPr>
              <w:t>6</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spacing w:line="360" w:lineRule="exact"/>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投标截止时间自招标人（招标代理机构）从招标文件发布起始日计：备标时间不少于</w:t>
            </w:r>
            <w:r>
              <w:rPr>
                <w:rFonts w:asciiTheme="minorEastAsia" w:hAnsiTheme="minorEastAsia" w:eastAsiaTheme="minorEastAsia" w:cstheme="minorEastAsia"/>
                <w:color w:val="auto"/>
                <w:szCs w:val="21"/>
                <w:u w:val="single"/>
              </w:rPr>
              <w:t>2</w:t>
            </w:r>
            <w:r>
              <w:rPr>
                <w:rFonts w:hint="eastAsia" w:asciiTheme="minorEastAsia" w:hAnsiTheme="minorEastAsia" w:eastAsiaTheme="minorEastAsia" w:cstheme="minorEastAsia"/>
                <w:color w:val="auto"/>
                <w:szCs w:val="21"/>
                <w:u w:val="single"/>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szCs w:val="21"/>
              </w:rPr>
              <w:t>2.7</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b/>
                <w:bCs/>
                <w:color w:val="auto"/>
                <w:szCs w:val="21"/>
              </w:rPr>
              <w:t>投标文件编号</w:t>
            </w:r>
          </w:p>
        </w:tc>
        <w:tc>
          <w:tcPr>
            <w:tcW w:w="3261" w:type="dxa"/>
            <w:vAlign w:val="center"/>
          </w:tcPr>
          <w:p>
            <w:pPr>
              <w:spacing w:line="360" w:lineRule="exact"/>
              <w:jc w:val="left"/>
              <w:rPr>
                <w:rFonts w:asciiTheme="minorEastAsia" w:hAnsiTheme="minorEastAsia" w:eastAsiaTheme="minorEastAsia" w:cstheme="minorEastAsia"/>
                <w:color w:val="auto"/>
                <w:szCs w:val="21"/>
              </w:rPr>
            </w:pPr>
            <w:r>
              <w:rPr>
                <w:rFonts w:hint="eastAsia" w:ascii="宋体" w:hAnsi="宋体" w:cs="宋体"/>
                <w:b/>
                <w:color w:val="auto"/>
                <w:kern w:val="0"/>
                <w:szCs w:val="21"/>
                <w:u w:val="single"/>
              </w:rPr>
              <w:t>投标文件的修改与撤回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asciiTheme="minorEastAsia" w:hAnsiTheme="minorEastAsia" w:eastAsiaTheme="minorEastAsia" w:cstheme="minorEastAsia"/>
                <w:color w:val="auto"/>
                <w:szCs w:val="21"/>
              </w:rPr>
              <w:t>7</w:t>
            </w:r>
          </w:p>
        </w:tc>
        <w:tc>
          <w:tcPr>
            <w:tcW w:w="1434" w:type="dxa"/>
            <w:vAlign w:val="center"/>
          </w:tcPr>
          <w:p>
            <w:pPr>
              <w:jc w:val="center"/>
              <w:rPr>
                <w:rFonts w:ascii="宋体" w:hAnsi="宋体"/>
                <w:color w:val="auto"/>
                <w:szCs w:val="21"/>
              </w:rPr>
            </w:pPr>
            <w:r>
              <w:rPr>
                <w:rFonts w:hint="eastAsia" w:ascii="宋体" w:hAnsi="宋体"/>
                <w:color w:val="auto"/>
                <w:szCs w:val="21"/>
              </w:rPr>
              <w:t>2.7.1</w:t>
            </w:r>
          </w:p>
        </w:tc>
        <w:tc>
          <w:tcPr>
            <w:tcW w:w="3715" w:type="dxa"/>
            <w:vAlign w:val="center"/>
          </w:tcPr>
          <w:p>
            <w:pPr>
              <w:jc w:val="left"/>
              <w:rPr>
                <w:rFonts w:ascii="宋体" w:hAnsi="宋体"/>
                <w:b/>
                <w:bCs/>
                <w:color w:val="auto"/>
                <w:szCs w:val="21"/>
              </w:rPr>
            </w:pPr>
            <w:r>
              <w:rPr>
                <w:rFonts w:hint="eastAsia" w:ascii="宋体" w:hAnsi="宋体"/>
                <w:color w:val="auto"/>
                <w:szCs w:val="21"/>
              </w:rPr>
              <w:t>技术文件（设计方案、电子文件、展示板）接收时不得启封，送达评标地点后，由招标管理机构的监督人员，或者交易服务机构见证人启封并编号，参与开标、评标的其他人员应当回避。评标结果揭晓前，负责编号的工作人员不得向他人透露投标文件编号的情况。</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spacing w:line="360" w:lineRule="exact"/>
              <w:jc w:val="left"/>
              <w:rPr>
                <w:rFonts w:ascii="宋体" w:hAnsi="宋体" w:cs="宋体"/>
                <w:b/>
                <w:color w:val="auto"/>
                <w:kern w:val="0"/>
                <w:szCs w:val="21"/>
                <w:u w:val="single"/>
              </w:rPr>
            </w:pPr>
            <w:r>
              <w:rPr>
                <w:rFonts w:ascii="宋体" w:hAnsi="宋体"/>
                <w:color w:val="auto"/>
                <w:szCs w:val="21"/>
                <w:u w:val="single"/>
              </w:rPr>
              <w:t>在规定的投标截止时间前，投标人可以修改或撤回已递交的投标文件。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18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2.7.2如果实行网上投标，投标文件由远程招标投标服务系统随机编号。</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投标人修改或撤回已递交的投标文件，需在交易平台发出撤回通知，并按要求加盖电子印章。电子招标投标交易平台收到通知后，即时向投标人发布确认回执通知。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19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2.7.3</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2.7.3技术文件的正本、副本、展示图纸、模型、计算机文件的编号应当一致。</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修改后再次递交的，按2.6的规定执行。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asciiTheme="minorEastAsia" w:hAnsiTheme="minorEastAsia" w:eastAsiaTheme="minorEastAsia" w:cstheme="minorEastAsia"/>
                <w:color w:val="auto"/>
                <w:szCs w:val="21"/>
              </w:rPr>
              <w:t>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2.7.4</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u w:val="single"/>
              </w:rPr>
            </w:pPr>
            <w:r>
              <w:rPr>
                <w:rFonts w:hint="eastAsia" w:ascii="宋体" w:hAnsi="宋体" w:cs="宋体"/>
                <w:color w:val="auto"/>
                <w:kern w:val="0"/>
                <w:szCs w:val="21"/>
                <w:u w:val="single"/>
              </w:rPr>
              <w:t>在投标截止时间后，投标人不得补充、修改或更换投标文件。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asciiTheme="minorEastAsia" w:hAnsiTheme="minorEastAsia" w:eastAsiaTheme="minorEastAsia" w:cstheme="minorEastAsia"/>
                <w:color w:val="auto"/>
                <w:szCs w:val="21"/>
              </w:rPr>
              <w:t>.8.1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2.8.</w:t>
            </w:r>
            <w:r>
              <w:rPr>
                <w:rFonts w:asciiTheme="minorEastAsia" w:hAnsiTheme="minorEastAsia" w:eastAsiaTheme="minorEastAsia" w:cstheme="minorEastAsia"/>
                <w:color w:val="auto"/>
                <w:szCs w:val="21"/>
              </w:rPr>
              <w:t>1</w:t>
            </w:r>
            <w:r>
              <w:rPr>
                <w:rFonts w:hint="eastAsia" w:ascii="宋体" w:hAnsi="宋体"/>
                <w:color w:val="auto"/>
              </w:rPr>
              <w:t>按招标文件规定获得补偿的投标文件，评标后不予退回。</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rPr>
                <w:rFonts w:asciiTheme="minorEastAsia" w:hAnsiTheme="minorEastAsia" w:eastAsiaTheme="minorEastAsia" w:cstheme="minorEastAsia"/>
                <w:color w:val="auto"/>
                <w:szCs w:val="21"/>
              </w:rPr>
            </w:pPr>
            <w:r>
              <w:rPr>
                <w:rFonts w:hint="eastAsia" w:ascii="宋体" w:hAnsi="宋体"/>
                <w:color w:val="auto"/>
                <w:u w:val="single"/>
              </w:rPr>
              <w:t>投标文件评标后不予退回。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2.8.2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2.8.2招标人有权在评标结束后公开展示获得补偿费用的所有投标方案成果，并通过传播媒介、杂志、书刊或其它形式介绍、展示及评价该方案成果，所有展示、推介、广告均不再向投标人支付费用。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rPr>
                <w:rFonts w:asciiTheme="minorEastAsia" w:hAnsiTheme="minorEastAsia" w:eastAsiaTheme="minorEastAsia" w:cstheme="minorEastAsia"/>
                <w:color w:val="auto"/>
                <w:szCs w:val="21"/>
              </w:rPr>
            </w:pPr>
            <w:r>
              <w:rPr>
                <w:rFonts w:hint="eastAsia" w:ascii="宋体" w:hAnsi="宋体"/>
                <w:color w:val="auto"/>
                <w:szCs w:val="21"/>
              </w:rPr>
              <w:t>招标人有权在评标结束后公开展示</w:t>
            </w:r>
            <w:r>
              <w:rPr>
                <w:rFonts w:hint="eastAsia" w:ascii="宋体" w:hAnsi="宋体"/>
                <w:strike/>
                <w:color w:val="auto"/>
                <w:szCs w:val="21"/>
              </w:rPr>
              <w:t>获得补偿费用的</w:t>
            </w:r>
            <w:r>
              <w:rPr>
                <w:rFonts w:hint="eastAsia" w:ascii="宋体" w:hAnsi="宋体"/>
                <w:color w:val="auto"/>
                <w:szCs w:val="21"/>
              </w:rPr>
              <w:t>所有投标方案成果，并通过传播媒介、杂志、书刊或其它形式介绍、展示及评价该方案成果，所有展示、推介、广告均不再向投标人支付费用。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szCs w:val="21"/>
              </w:rPr>
              <w:t>2.9.1</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color w:val="auto"/>
                <w:szCs w:val="21"/>
              </w:rPr>
              <w:t>授予合同并支付定金后，中标方案的一次性使用权归招标人所有（署名权除外）。</w:t>
            </w:r>
          </w:p>
        </w:tc>
        <w:tc>
          <w:tcPr>
            <w:tcW w:w="3261" w:type="dxa"/>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b/>
                <w:color w:val="auto"/>
                <w:szCs w:val="21"/>
              </w:rPr>
            </w:pPr>
            <w:r>
              <w:rPr>
                <w:rFonts w:hint="eastAsia" w:ascii="宋体" w:hAnsi="宋体"/>
                <w:color w:val="auto"/>
                <w:szCs w:val="21"/>
              </w:rPr>
              <w:t>授予合同并支付定金后，中标方案的一次性使用权、</w:t>
            </w:r>
            <w:r>
              <w:rPr>
                <w:rFonts w:hint="eastAsia" w:ascii="宋体" w:hAnsi="宋体"/>
                <w:color w:val="auto"/>
                <w:szCs w:val="21"/>
                <w:u w:val="single"/>
              </w:rPr>
              <w:t>知识产权、发表权、展览权</w:t>
            </w:r>
            <w:r>
              <w:rPr>
                <w:rFonts w:hint="eastAsia" w:ascii="宋体" w:hAnsi="宋体"/>
                <w:color w:val="auto"/>
                <w:szCs w:val="21"/>
              </w:rPr>
              <w:t>归招标人所有（署名权除外）。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2.9.2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2.9.2如果招标人、中标人使用未中标方案作为本项目实施方案，招标人向提交方案的投标人付给招标文件规定的补偿费后，该方案的著作权、版权、专利权和使用权归招标人所有（署名权除外），招标人、中标人可以在本工程使用该方案。</w:t>
            </w:r>
          </w:p>
        </w:tc>
        <w:tc>
          <w:tcPr>
            <w:tcW w:w="3261"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2.10.1</w:t>
            </w:r>
          </w:p>
        </w:tc>
        <w:tc>
          <w:tcPr>
            <w:tcW w:w="3715" w:type="dxa"/>
          </w:tcPr>
          <w:p>
            <w:pPr>
              <w:jc w:val="left"/>
              <w:rPr>
                <w:rFonts w:asciiTheme="minorEastAsia" w:hAnsiTheme="minorEastAsia" w:eastAsiaTheme="minorEastAsia" w:cstheme="minorEastAsia"/>
                <w:color w:val="auto"/>
                <w:szCs w:val="21"/>
              </w:rPr>
            </w:pPr>
            <w:r>
              <w:rPr>
                <w:rFonts w:hint="eastAsia" w:ascii="宋体" w:hAnsi="宋体"/>
                <w:color w:val="auto"/>
              </w:rPr>
              <w:t>除特殊情况外，招标人有权在工程建设中根据需要对选定的实施方案进行调整和修改。招标人有权在实施方案中参考使用获得补偿费用的所有投标方案成果的部分内容，被使用部分的方案使用费按招标文件规定执行。</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bookmarkStart w:id="0" w:name="_Hlk80200146"/>
            <w:r>
              <w:rPr>
                <w:rFonts w:hint="eastAsia" w:ascii="宋体" w:hAnsi="宋体"/>
                <w:color w:val="auto"/>
                <w:u w:val="single"/>
              </w:rPr>
              <w:t>除特殊情况外，招标人有权在工程建设中根据需要对选定的实施方案进行调整和修改。</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26</w:t>
            </w:r>
          </w:p>
        </w:tc>
        <w:tc>
          <w:tcPr>
            <w:tcW w:w="1434" w:type="dxa"/>
            <w:vAlign w:val="center"/>
          </w:tcPr>
          <w:p>
            <w:pPr>
              <w:jc w:val="center"/>
              <w:rPr>
                <w:rFonts w:ascii="宋体" w:hAnsi="宋体"/>
                <w:color w:val="auto"/>
              </w:rPr>
            </w:pPr>
            <w:r>
              <w:rPr>
                <w:rFonts w:hint="eastAsia" w:ascii="宋体" w:hAnsi="宋体"/>
                <w:color w:val="auto"/>
                <w:szCs w:val="21"/>
              </w:rPr>
              <w:t>2.11</w:t>
            </w:r>
          </w:p>
        </w:tc>
        <w:tc>
          <w:tcPr>
            <w:tcW w:w="3715" w:type="dxa"/>
          </w:tcPr>
          <w:p>
            <w:pPr>
              <w:jc w:val="left"/>
              <w:rPr>
                <w:rFonts w:ascii="宋体" w:hAnsi="宋体"/>
                <w:color w:val="auto"/>
              </w:rPr>
            </w:pPr>
          </w:p>
        </w:tc>
        <w:tc>
          <w:tcPr>
            <w:tcW w:w="3261" w:type="dxa"/>
            <w:vAlign w:val="center"/>
          </w:tcPr>
          <w:p>
            <w:pPr>
              <w:jc w:val="left"/>
              <w:rPr>
                <w:rFonts w:ascii="宋体" w:hAnsi="宋体"/>
                <w:b/>
                <w:bCs/>
                <w:color w:val="auto"/>
              </w:rPr>
            </w:pPr>
            <w:r>
              <w:rPr>
                <w:rFonts w:hint="eastAsia" w:ascii="宋体" w:hAnsi="宋体"/>
                <w:b/>
                <w:bCs/>
                <w:color w:val="auto"/>
              </w:rPr>
              <w:t>电子招标投标解密失败及突发状况的补救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27</w:t>
            </w:r>
          </w:p>
        </w:tc>
        <w:tc>
          <w:tcPr>
            <w:tcW w:w="1434" w:type="dxa"/>
            <w:vAlign w:val="center"/>
          </w:tcPr>
          <w:p>
            <w:pPr>
              <w:jc w:val="center"/>
              <w:rPr>
                <w:rFonts w:ascii="宋体" w:hAnsi="宋体"/>
                <w:color w:val="auto"/>
                <w:szCs w:val="21"/>
              </w:rPr>
            </w:pPr>
            <w:r>
              <w:rPr>
                <w:rFonts w:hint="eastAsia" w:ascii="宋体" w:hAnsi="宋体"/>
                <w:color w:val="auto"/>
                <w:szCs w:val="21"/>
              </w:rPr>
              <w:t>2.11.1</w:t>
            </w:r>
          </w:p>
        </w:tc>
        <w:tc>
          <w:tcPr>
            <w:tcW w:w="3715" w:type="dxa"/>
          </w:tcPr>
          <w:p>
            <w:pPr>
              <w:jc w:val="left"/>
              <w:rPr>
                <w:rFonts w:ascii="宋体" w:hAnsi="宋体"/>
                <w:color w:val="auto"/>
              </w:rPr>
            </w:pPr>
          </w:p>
        </w:tc>
        <w:tc>
          <w:tcPr>
            <w:tcW w:w="3261" w:type="dxa"/>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color w:val="auto"/>
                <w:szCs w:val="21"/>
                <w:u w:val="single"/>
              </w:rPr>
            </w:pPr>
            <w:r>
              <w:rPr>
                <w:rFonts w:hint="eastAsia" w:ascii="宋体" w:hAnsi="宋体"/>
                <w:color w:val="auto"/>
                <w:szCs w:val="21"/>
                <w:u w:val="single"/>
              </w:rPr>
              <w:t>提交投标文件光盘备用</w:t>
            </w:r>
          </w:p>
          <w:p>
            <w:pPr>
              <w:jc w:val="left"/>
              <w:rPr>
                <w:rFonts w:ascii="宋体" w:hAnsi="宋体"/>
                <w:b/>
                <w:bCs/>
                <w:color w:val="auto"/>
              </w:rPr>
            </w:pPr>
            <w:r>
              <w:rPr>
                <w:rFonts w:hint="eastAsia" w:ascii="宋体" w:hAnsi="宋体"/>
                <w:color w:val="auto"/>
                <w:szCs w:val="21"/>
                <w:u w:val="single"/>
              </w:rPr>
              <w:t>投标人可制作非加密的电子投标文件刻入光盘（1份），在招标公告规定的时间、地点提交备用。1份投标文件光盘（备用）包括“资格审查文件光盘”“商务文件光盘”“技术文件（勘察设计方案）光盘”“保密文件光盘”共4只光盘。刻录好的投标文件光盘分别密封在不透明的密封袋并作标记，其中“开标文件光盘”“资格审查文件光盘”“商务文件光盘”应分别在密封袋上写明（1）招标人名称；（2）“[工程名称][开标文件光盘或资格审查文件光盘或商务文件光盘]”字样；（3）投标人名称；并在封口处加盖投标人单位公章（联合体投标时，只需牵头方盖章即可）；“技术文件（勘察设计方案）光盘”“保密文件光盘”应仅在密封袋上写明（1）招标人名称；（2）“[工程名称][技术文件（勘察设计方案）光盘或保密文件光盘]”字样；递交的投标文件光盘（备用）不得加密。备用光盘无法读取或导入的，则视为未提交投标文件光盘（备用）。如果投标人没有按规定通过交易平台网上递交电子投标文件的，不再读取提交的光盘。投标人也可不提交投标文件光盘（备用），但应自行承担不提交光盘（备用）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28</w:t>
            </w:r>
          </w:p>
        </w:tc>
        <w:tc>
          <w:tcPr>
            <w:tcW w:w="1434" w:type="dxa"/>
            <w:vAlign w:val="center"/>
          </w:tcPr>
          <w:p>
            <w:pPr>
              <w:jc w:val="center"/>
              <w:rPr>
                <w:rFonts w:ascii="宋体" w:hAnsi="宋体"/>
                <w:color w:val="auto"/>
                <w:szCs w:val="21"/>
              </w:rPr>
            </w:pPr>
            <w:r>
              <w:rPr>
                <w:rFonts w:hint="eastAsia" w:ascii="宋体" w:hAnsi="宋体"/>
                <w:color w:val="auto"/>
                <w:szCs w:val="21"/>
              </w:rPr>
              <w:t>2.11.2</w:t>
            </w:r>
          </w:p>
        </w:tc>
        <w:tc>
          <w:tcPr>
            <w:tcW w:w="3715" w:type="dxa"/>
          </w:tcPr>
          <w:p>
            <w:pPr>
              <w:jc w:val="left"/>
              <w:rPr>
                <w:rFonts w:ascii="宋体" w:hAnsi="宋体"/>
                <w:color w:val="auto"/>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b/>
                <w:bCs/>
                <w:color w:val="auto"/>
              </w:rPr>
            </w:pPr>
            <w:r>
              <w:rPr>
                <w:rFonts w:hint="eastAsia" w:ascii="宋体" w:hAnsi="宋体"/>
                <w:color w:val="auto"/>
                <w:szCs w:val="21"/>
                <w:u w:val="single"/>
              </w:rPr>
              <w:t>补救方案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29</w:t>
            </w:r>
          </w:p>
        </w:tc>
        <w:tc>
          <w:tcPr>
            <w:tcW w:w="1434" w:type="dxa"/>
            <w:vAlign w:val="center"/>
          </w:tcPr>
          <w:p>
            <w:pPr>
              <w:jc w:val="center"/>
              <w:rPr>
                <w:rFonts w:ascii="宋体" w:hAnsi="宋体"/>
                <w:color w:val="auto"/>
                <w:szCs w:val="21"/>
              </w:rPr>
            </w:pPr>
            <w:r>
              <w:rPr>
                <w:rFonts w:hint="eastAsia" w:ascii="宋体" w:hAnsi="宋体"/>
                <w:color w:val="auto"/>
                <w:szCs w:val="21"/>
              </w:rPr>
              <w:t>2.11.2.1</w:t>
            </w:r>
          </w:p>
        </w:tc>
        <w:tc>
          <w:tcPr>
            <w:tcW w:w="3715" w:type="dxa"/>
          </w:tcPr>
          <w:p>
            <w:pPr>
              <w:jc w:val="left"/>
              <w:rPr>
                <w:rFonts w:ascii="宋体" w:hAnsi="宋体"/>
                <w:color w:val="auto"/>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b/>
                <w:bCs/>
                <w:color w:val="auto"/>
              </w:rPr>
            </w:pPr>
            <w:r>
              <w:rPr>
                <w:rFonts w:hint="eastAsia" w:ascii="宋体" w:hAnsi="宋体"/>
                <w:color w:val="auto"/>
                <w:szCs w:val="21"/>
                <w:u w:val="single"/>
              </w:rPr>
              <w:t>投标文件解密失败的补救方案：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30</w:t>
            </w:r>
          </w:p>
        </w:tc>
        <w:tc>
          <w:tcPr>
            <w:tcW w:w="1434" w:type="dxa"/>
            <w:vAlign w:val="center"/>
          </w:tcPr>
          <w:p>
            <w:pPr>
              <w:jc w:val="center"/>
              <w:rPr>
                <w:rFonts w:ascii="宋体" w:hAnsi="宋体"/>
                <w:color w:val="auto"/>
                <w:szCs w:val="21"/>
              </w:rPr>
            </w:pPr>
            <w:r>
              <w:rPr>
                <w:rFonts w:hint="eastAsia" w:ascii="宋体" w:hAnsi="宋体"/>
                <w:color w:val="auto"/>
                <w:szCs w:val="21"/>
              </w:rPr>
              <w:t>2.11.2.2</w:t>
            </w:r>
          </w:p>
        </w:tc>
        <w:tc>
          <w:tcPr>
            <w:tcW w:w="3715" w:type="dxa"/>
          </w:tcPr>
          <w:p>
            <w:pPr>
              <w:jc w:val="left"/>
              <w:rPr>
                <w:rFonts w:ascii="宋体" w:hAnsi="宋体"/>
                <w:color w:val="auto"/>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b/>
                <w:bCs/>
                <w:color w:val="auto"/>
              </w:rPr>
            </w:pPr>
            <w:r>
              <w:rPr>
                <w:rFonts w:hint="eastAsia" w:ascii="宋体" w:hAnsi="宋体"/>
                <w:color w:val="auto"/>
                <w:szCs w:val="21"/>
                <w:u w:val="single"/>
              </w:rPr>
              <w:t>评标时突发情况的补救方案：若遇不可抗力发生（如：网络瘫痪、服务器损坏、交易系统故障短期无法恢复等因素），由评标委员会开启现场递交的全部投标文件光盘，并按光盘内容进行评审。投标人未递交投标文件光盘（备用）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31</w:t>
            </w:r>
          </w:p>
        </w:tc>
        <w:tc>
          <w:tcPr>
            <w:tcW w:w="1434" w:type="dxa"/>
            <w:vAlign w:val="center"/>
          </w:tcPr>
          <w:p>
            <w:pPr>
              <w:jc w:val="center"/>
              <w:rPr>
                <w:rFonts w:ascii="宋体" w:hAnsi="宋体"/>
                <w:color w:val="auto"/>
                <w:szCs w:val="21"/>
              </w:rPr>
            </w:pPr>
            <w:r>
              <w:rPr>
                <w:rFonts w:hint="eastAsia" w:ascii="宋体" w:hAnsi="宋体"/>
                <w:color w:val="auto"/>
                <w:szCs w:val="21"/>
              </w:rPr>
              <w:t>2.11.2.3</w:t>
            </w:r>
          </w:p>
        </w:tc>
        <w:tc>
          <w:tcPr>
            <w:tcW w:w="3715" w:type="dxa"/>
          </w:tcPr>
          <w:p>
            <w:pPr>
              <w:jc w:val="left"/>
              <w:rPr>
                <w:rFonts w:ascii="宋体" w:hAnsi="宋体"/>
                <w:color w:val="auto"/>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b/>
                <w:bCs/>
                <w:color w:val="auto"/>
              </w:rPr>
            </w:pPr>
            <w:r>
              <w:rPr>
                <w:rFonts w:hint="eastAsia" w:ascii="宋体" w:hAnsi="宋体"/>
                <w:color w:val="auto"/>
                <w:szCs w:val="21"/>
                <w:u w:val="single"/>
              </w:rPr>
              <w:t>除发生上述情况外，开标评标均以投标人通过交易平台网上递交的电子投标文件为准。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3.1.2</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3.1.2投标文件由商务文件和技术文件两部分组成。各部分投标文件应分别编制，各自独立包装。商务文件和技术文件两部分组成的总页数建议不超过＿页。</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宋体" w:hAnsi="宋体"/>
                <w:color w:val="auto"/>
                <w:szCs w:val="21"/>
                <w:u w:val="single"/>
              </w:rPr>
              <w:t>投标文件由下列部分组成：（1）资格审查文件；（2）商务文件；（3）技术文件（勘察设计方案）；（4）投标文件光盘（备用）。注：投标人也可不提交投标文件光盘（备用）。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3.1.3</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文件一式4份（若涉及到保密信封、计算机文件、展示图纸、模型时，保密信封、计算机文件、展示图纸、模型仅各提供一份即可），其中正本1份，封面标注“正本”字样，副本3份，封面标注“副本”字样。正本与副本不符的内容，以正本为准。</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投标文件全部采用电子文档，投标文件所附证书证件均为原件清晰扫描件或电子证书，并采用单位数字证书，按招标文件要求在相应位置加盖电子印章，投标文件中需个人签字或盖章的，应本人手签或盖章后扫描上传，具体操作详见交易平台发布的相关操作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3.1.4</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color w:val="auto"/>
                <w:szCs w:val="21"/>
              </w:rPr>
              <w:t>投标文件应做到清晰、完整，文本、图纸规格应当尽量统一。除非另有规定，否则投标文件的计量单位宜采用国际标准计量单位，尺寸齐全、准确，所有文字说明和文字标注以中文为准，报价均为人民币，时间均为北京时间。</w:t>
            </w:r>
          </w:p>
        </w:tc>
        <w:tc>
          <w:tcPr>
            <w:tcW w:w="3261" w:type="dxa"/>
          </w:tcPr>
          <w:p>
            <w:pPr>
              <w:jc w:val="left"/>
              <w:rPr>
                <w:rFonts w:ascii="宋体" w:hAnsi="宋体"/>
                <w:b/>
                <w:color w:val="auto"/>
                <w:szCs w:val="21"/>
              </w:rPr>
            </w:pPr>
            <w:r>
              <w:rPr>
                <w:rFonts w:hint="eastAsia" w:ascii="宋体" w:hAnsi="宋体"/>
                <w:b/>
                <w:color w:val="auto"/>
                <w:szCs w:val="21"/>
              </w:rPr>
              <w:t>修改：</w:t>
            </w:r>
          </w:p>
          <w:p>
            <w:pPr>
              <w:rPr>
                <w:rFonts w:ascii="宋体" w:hAnsi="宋体"/>
                <w:b/>
                <w:color w:val="auto"/>
                <w:szCs w:val="21"/>
              </w:rPr>
            </w:pPr>
            <w:r>
              <w:rPr>
                <w:rFonts w:hint="eastAsia" w:ascii="宋体" w:hAnsi="宋体"/>
                <w:color w:val="auto"/>
                <w:szCs w:val="21"/>
              </w:rPr>
              <w:t>投标文件应做到清晰、完整，文本、图纸</w:t>
            </w:r>
            <w:r>
              <w:rPr>
                <w:rFonts w:hint="eastAsia" w:ascii="宋体" w:hAnsi="宋体"/>
                <w:color w:val="auto"/>
                <w:szCs w:val="21"/>
                <w:u w:val="single"/>
              </w:rPr>
              <w:t>文件大小应满足交易平台的要求</w:t>
            </w:r>
            <w:r>
              <w:rPr>
                <w:rFonts w:hint="eastAsia" w:ascii="宋体" w:hAnsi="宋体"/>
                <w:color w:val="auto"/>
                <w:szCs w:val="21"/>
              </w:rPr>
              <w:t>。除非另有规定，否则投标文件的计量单位宜采用国际标准计量单位，尺寸齐全、准确，所有文字说明和文字标注以中文为准，报价均为人民币，时间均为北京时间。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3.1.6</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联合体投标时，除《联合体共同投标协议》必须联合体各方分别按要求进行签字或盖章外，其余资料由联合体主办方签字或盖章即可。资料中“投标人”、“投标申请人”、“投标人名称”等此类位置应填写联合体各方的单位全称【格式表示为：(主)单位全称 (成)单位全称】。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r>
              <w:rPr>
                <w:rFonts w:asciiTheme="minorEastAsia" w:hAnsiTheme="minorEastAsia" w:eastAsiaTheme="minorEastAsia" w:cstheme="minorEastAsia"/>
                <w:color w:val="auto"/>
                <w:szCs w:val="21"/>
              </w:rPr>
              <w:t>.1.7</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投标文件加密要求：递交的电子投标文件必须进行加密。具体操作详见交易平台发布的相关操作指引。未按要求加密的投标文件，交易平台将予以拒收。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37</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r>
              <w:rPr>
                <w:rFonts w:asciiTheme="minorEastAsia" w:hAnsiTheme="minorEastAsia" w:eastAsiaTheme="minorEastAsia" w:cstheme="minorEastAsia"/>
                <w:color w:val="auto"/>
                <w:szCs w:val="21"/>
              </w:rPr>
              <w:t>.2</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b/>
                <w:bCs/>
                <w:color w:val="auto"/>
              </w:rPr>
              <w:t>商务文件（含资格审查文件）编制要求</w:t>
            </w:r>
          </w:p>
        </w:tc>
        <w:tc>
          <w:tcPr>
            <w:tcW w:w="3261" w:type="dxa"/>
            <w:vAlign w:val="center"/>
          </w:tcPr>
          <w:p>
            <w:pPr>
              <w:jc w:val="left"/>
              <w:rPr>
                <w:rFonts w:ascii="宋体" w:hAnsi="宋体"/>
                <w:b/>
                <w:color w:val="auto"/>
                <w:szCs w:val="21"/>
              </w:rPr>
            </w:pPr>
            <w:r>
              <w:rPr>
                <w:rFonts w:hint="eastAsia" w:ascii="宋体" w:hAnsi="宋体"/>
                <w:b/>
                <w:color w:val="auto"/>
                <w:szCs w:val="21"/>
              </w:rPr>
              <w:t>商务文件编制要求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3.2.1 商务文件由下列资料组成：</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（1）封面：写明项目名称、商务文件、投标人单位及年月日；加盖投标人公章。</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（2）目录。</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（3）投标书（格式见附录</w:t>
            </w:r>
            <w:r>
              <w:rPr>
                <w:rFonts w:hint="eastAsia" w:asciiTheme="minorEastAsia" w:hAnsiTheme="minorEastAsia" w:eastAsiaTheme="minorEastAsia" w:cstheme="minorEastAsia"/>
                <w:color w:val="auto"/>
                <w:szCs w:val="21"/>
                <w:lang w:val="en-US" w:eastAsia="zh-CN"/>
              </w:rPr>
              <w:t>7</w:t>
            </w:r>
            <w:r>
              <w:rPr>
                <w:rFonts w:hint="eastAsia" w:asciiTheme="minorEastAsia" w:hAnsiTheme="minorEastAsia" w:eastAsiaTheme="minorEastAsia" w:cstheme="minorEastAsia"/>
                <w:color w:val="auto"/>
                <w:szCs w:val="21"/>
              </w:rPr>
              <w:t>）及联合体共同投标协议（如果有）（格式见附录8）； 勘察设计费报价表（格式见附录）。</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（4）填妥并盖章的《投标申请表》（格式见附录1、2、3）。</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（5）企业营业执照副本复印件。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（6）企业资质证书副本复印件。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（7）项目负责人注册证书或职称证书复印件。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（8）各专业负责人注册证书或职称证书复印件。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（9）企业类似工程业绩证明材料复印件。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（10）项目负责人类似工程业绩证明材料复印件。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为本项目拟投入的技术力量。主要包括项目负责人及各专业负责人的资格、设计经历及业务能力，主要设计人员的资格、设计经历及业务能力，工程勘察人员的资格、业务能力和工程经验，参加本项目人员配置情况等，对资格、获奖及经历等内容必须附上有关的证明材料，并能保证材料的真实性；（格式见附录）。</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（12）提供勘察、设计优质服务的保证措施和设计周期以及保证设计进度的措施，与各相关部门及当地政府协调措施，代办设计报建的措施；提出工程施工期间设计配合措施。</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（13）满足第一章第1.2条（资格审查合格条件）评审要求的资料。</w:t>
            </w:r>
          </w:p>
        </w:tc>
        <w:tc>
          <w:tcPr>
            <w:tcW w:w="3261" w:type="dxa"/>
            <w:vAlign w:val="center"/>
          </w:tcPr>
          <w:p>
            <w:pPr>
              <w:pStyle w:val="34"/>
              <w:numPr>
                <w:ilvl w:val="255"/>
                <w:numId w:val="0"/>
              </w:numPr>
              <w:jc w:val="left"/>
              <w:rPr>
                <w:rFonts w:ascii="宋体" w:hAnsi="宋体"/>
                <w:b/>
                <w:color w:val="auto"/>
                <w:szCs w:val="21"/>
              </w:rPr>
            </w:pPr>
            <w:r>
              <w:rPr>
                <w:rFonts w:hint="eastAsia" w:ascii="宋体" w:hAnsi="宋体"/>
                <w:b/>
                <w:color w:val="auto"/>
                <w:szCs w:val="21"/>
              </w:rPr>
              <w:t>修改：</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3.2.1 商务文件由下列资料组成：</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（1）封面：写明项目名称、商务文件、投标人单位及年月日；加盖投标人电子公章。</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（2）目录。</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（3）投标书（格式见附录6）及联合体共同投标协议（如果有）（格式见附录7）； 勘察设计费报价表（格式见附录5）。</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（4）填妥并盖章的《投标申请表》（格式见附录1、2、3）。</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（5）企业营业执照副本扫描件（或香港企业在香港进行商业登记的证明文书扫描件）。</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（6）企业资质证书副本扫描件（或香港企业在广东省住房和城乡建设主管部门备案的证明材料）。</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（7）项目负责人注册证书或职称证书扫描件（或香港专业人士在广东省住房和城乡建设主管部门备案的证明材料扫描件）。</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（8）各专业负责人注册证书或职称证书扫描件（或香港专业人士在广东省住房和城乡建设主管部门备案的证明材料扫描件）。</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（9）企业类似工程业绩证明材料扫描件。</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（10）项目负责人类似工程业绩证明材料扫描件。</w:t>
            </w:r>
          </w:p>
          <w:p>
            <w:pPr>
              <w:pStyle w:val="34"/>
              <w:numPr>
                <w:ilvl w:val="255"/>
                <w:numId w:val="0"/>
              </w:num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为本项目拟投入的技术力量。主要包括项目负责人及各专业负责人的资格、设计经历及业务能力，主要设计人员的资格、设计经历及业务能力，工程勘察人员的资格、业务能力和工程经验，参加本项目人员配置情况等，对资格、获奖及经历等内容必须附上有关的证明材料，并能保证材料的真实性；（格式见附录）。</w:t>
            </w:r>
          </w:p>
          <w:p>
            <w:pPr>
              <w:pStyle w:val="34"/>
              <w:numPr>
                <w:ilvl w:val="255"/>
                <w:numId w:val="0"/>
              </w:numPr>
              <w:rPr>
                <w:color w:val="auto"/>
              </w:rPr>
            </w:pPr>
            <w:r>
              <w:rPr>
                <w:rFonts w:hint="eastAsia" w:asciiTheme="minorEastAsia" w:hAnsiTheme="minorEastAsia" w:eastAsiaTheme="minorEastAsia" w:cstheme="minorEastAsia"/>
                <w:color w:val="auto"/>
                <w:szCs w:val="21"/>
              </w:rPr>
              <w:t>(12) 投标人认为有必要的其他资料。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3.2.2</w:t>
            </w:r>
          </w:p>
        </w:tc>
        <w:tc>
          <w:tcPr>
            <w:tcW w:w="3715" w:type="dxa"/>
            <w:vAlign w:val="center"/>
          </w:tcPr>
          <w:p>
            <w:pPr>
              <w:jc w:val="left"/>
              <w:rPr>
                <w:rFonts w:asciiTheme="minorEastAsia" w:hAnsiTheme="minorEastAsia" w:eastAsiaTheme="minorEastAsia" w:cstheme="minorEastAsia"/>
                <w:color w:val="auto"/>
                <w:szCs w:val="21"/>
              </w:rPr>
            </w:pPr>
            <w:r>
              <w:rPr>
                <w:rFonts w:hint="eastAsia" w:hAnsi="宋体"/>
                <w:color w:val="auto"/>
                <w:szCs w:val="21"/>
              </w:rPr>
              <w:t>商务投标文件的密封要求：投标人应确保投标文件密闭封装，外包装材料不应留有可在包封后添加或抽取投标文件的空隙。外面标注“项目名称”及“商务文件”字样。</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宋体" w:hAnsi="宋体" w:cs="宋体"/>
                <w:color w:val="auto"/>
                <w:szCs w:val="21"/>
                <w:u w:val="single"/>
              </w:rPr>
              <w:t>商务投标文件的签署要求：联合体投标时，除《联合体共同投标协议》必须联合体各方分别按要求进行签字或盖章外，其余资料由联合体主办方签字或盖章即可。资料中“投标人”、“投标申请人”、“投标人名称”等此类位置应填写联合体各方的单位全称【格式表示为：(主)</w:t>
            </w:r>
            <w:r>
              <w:rPr>
                <w:rFonts w:hint="eastAsia" w:asciiTheme="minorEastAsia" w:hAnsiTheme="minorEastAsia" w:eastAsiaTheme="minorEastAsia" w:cstheme="minorEastAsia"/>
                <w:color w:val="auto"/>
                <w:szCs w:val="21"/>
                <w:u w:val="single"/>
              </w:rPr>
              <w:t>单位全称</w:t>
            </w:r>
            <w:r>
              <w:rPr>
                <w:rFonts w:hint="eastAsia" w:ascii="宋体" w:hAnsi="宋体" w:cs="宋体"/>
                <w:color w:val="auto"/>
                <w:szCs w:val="21"/>
                <w:u w:val="single"/>
              </w:rPr>
              <w:t>(成)</w:t>
            </w:r>
            <w:r>
              <w:rPr>
                <w:rFonts w:hint="eastAsia" w:asciiTheme="minorEastAsia" w:hAnsiTheme="minorEastAsia" w:eastAsiaTheme="minorEastAsia" w:cstheme="minorEastAsia"/>
                <w:color w:val="auto"/>
                <w:szCs w:val="21"/>
                <w:u w:val="single"/>
              </w:rPr>
              <w:t>单位全称</w:t>
            </w:r>
            <w:r>
              <w:rPr>
                <w:rFonts w:hint="eastAsia" w:ascii="宋体" w:hAnsi="宋体" w:cs="宋体"/>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szCs w:val="21"/>
              </w:rPr>
              <w:t>3.2.3</w:t>
            </w:r>
          </w:p>
        </w:tc>
        <w:tc>
          <w:tcPr>
            <w:tcW w:w="3715" w:type="dxa"/>
            <w:vAlign w:val="center"/>
          </w:tcPr>
          <w:p>
            <w:pPr>
              <w:jc w:val="left"/>
              <w:rPr>
                <w:rFonts w:hAnsi="宋体"/>
                <w:color w:val="auto"/>
                <w:szCs w:val="21"/>
              </w:rPr>
            </w:pPr>
            <w:r>
              <w:rPr>
                <w:rFonts w:hint="eastAsia" w:ascii="宋体" w:hAnsi="宋体"/>
                <w:color w:val="auto"/>
                <w:szCs w:val="21"/>
              </w:rPr>
              <w:t>接收投标文件时，如果包封上没有按上述规定密封或加写标志，招标人予以拒绝，并退还给投标人。</w:t>
            </w:r>
          </w:p>
        </w:tc>
        <w:tc>
          <w:tcPr>
            <w:tcW w:w="3261" w:type="dxa"/>
            <w:vAlign w:val="center"/>
          </w:tcPr>
          <w:p>
            <w:pPr>
              <w:jc w:val="left"/>
              <w:rPr>
                <w:rFonts w:ascii="宋体" w:hAnsi="宋体" w:cs="宋体"/>
                <w:bCs/>
                <w:color w:val="auto"/>
                <w:szCs w:val="21"/>
              </w:rPr>
            </w:pPr>
            <w:r>
              <w:rPr>
                <w:rFonts w:hint="eastAsia" w:ascii="宋体" w:hAnsi="宋体"/>
                <w:bCs/>
                <w:color w:val="auto"/>
                <w:szCs w:val="21"/>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asciiTheme="minorEastAsia" w:hAnsiTheme="minorEastAsia" w:eastAsiaTheme="minorEastAsia" w:cstheme="minorEastAsia"/>
                <w:color w:val="auto"/>
                <w:szCs w:val="21"/>
              </w:rPr>
              <w:t>3</w:t>
            </w:r>
          </w:p>
        </w:tc>
        <w:tc>
          <w:tcPr>
            <w:tcW w:w="1434" w:type="dxa"/>
            <w:vAlign w:val="center"/>
          </w:tcPr>
          <w:p>
            <w:pPr>
              <w:jc w:val="center"/>
              <w:rPr>
                <w:rFonts w:ascii="宋体" w:hAnsi="宋体"/>
                <w:color w:val="auto"/>
                <w:szCs w:val="21"/>
              </w:rPr>
            </w:pPr>
            <w:r>
              <w:rPr>
                <w:rFonts w:hint="eastAsia" w:ascii="宋体" w:hAnsi="宋体"/>
                <w:color w:val="auto"/>
              </w:rPr>
              <w:t>3.3</w:t>
            </w:r>
          </w:p>
        </w:tc>
        <w:tc>
          <w:tcPr>
            <w:tcW w:w="3715" w:type="dxa"/>
            <w:vAlign w:val="center"/>
          </w:tcPr>
          <w:p>
            <w:pPr>
              <w:jc w:val="left"/>
              <w:rPr>
                <w:rFonts w:ascii="宋体" w:hAnsi="宋体"/>
                <w:color w:val="auto"/>
                <w:szCs w:val="21"/>
              </w:rPr>
            </w:pPr>
            <w:r>
              <w:rPr>
                <w:rFonts w:hint="eastAsia" w:ascii="宋体" w:hAnsi="宋体"/>
                <w:b/>
                <w:bCs/>
                <w:color w:val="auto"/>
                <w:szCs w:val="21"/>
              </w:rPr>
              <w:t>技术文件编制要求</w:t>
            </w:r>
          </w:p>
        </w:tc>
        <w:tc>
          <w:tcPr>
            <w:tcW w:w="3261" w:type="dxa"/>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bCs/>
                <w:color w:val="auto"/>
                <w:szCs w:val="21"/>
              </w:rPr>
            </w:pPr>
            <w:r>
              <w:rPr>
                <w:rFonts w:hint="eastAsia" w:ascii="宋体" w:hAnsi="宋体"/>
                <w:b/>
                <w:bCs/>
                <w:color w:val="auto"/>
                <w:szCs w:val="21"/>
              </w:rPr>
              <w:t>技术文件</w:t>
            </w:r>
            <w:r>
              <w:rPr>
                <w:rFonts w:hint="eastAsia" w:ascii="宋体" w:hAnsi="宋体"/>
                <w:b/>
                <w:bCs/>
                <w:color w:val="auto"/>
                <w:szCs w:val="21"/>
                <w:u w:val="single"/>
              </w:rPr>
              <w:t>（勘察设计方案）</w:t>
            </w:r>
            <w:r>
              <w:rPr>
                <w:rFonts w:hint="eastAsia" w:ascii="宋体" w:hAnsi="宋体"/>
                <w:b/>
                <w:bCs/>
                <w:color w:val="auto"/>
                <w:szCs w:val="21"/>
              </w:rPr>
              <w:t>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3.3.1</w:t>
            </w:r>
          </w:p>
        </w:tc>
        <w:tc>
          <w:tcPr>
            <w:tcW w:w="3715" w:type="dxa"/>
            <w:vAlign w:val="center"/>
          </w:tcPr>
          <w:p>
            <w:pPr>
              <w:jc w:val="left"/>
              <w:rPr>
                <w:rFonts w:ascii="宋体" w:hAnsi="宋体" w:cs="宋体"/>
                <w:color w:val="auto"/>
                <w:szCs w:val="21"/>
              </w:rPr>
            </w:pPr>
            <w:r>
              <w:rPr>
                <w:rFonts w:hint="eastAsia" w:ascii="宋体" w:hAnsi="宋体" w:cs="宋体"/>
                <w:color w:val="auto"/>
                <w:szCs w:val="21"/>
              </w:rPr>
              <w:t xml:space="preserve">3.3.1 </w:t>
            </w:r>
            <w:r>
              <w:rPr>
                <w:rFonts w:hint="eastAsia" w:ascii="宋体" w:hAnsi="宋体" w:cs="宋体"/>
                <w:b/>
                <w:color w:val="auto"/>
                <w:szCs w:val="21"/>
              </w:rPr>
              <w:t>技术文件由下列资料组成：</w:t>
            </w:r>
          </w:p>
          <w:p>
            <w:pPr>
              <w:jc w:val="left"/>
              <w:rPr>
                <w:rFonts w:ascii="宋体" w:hAnsi="宋体" w:cs="宋体"/>
                <w:color w:val="auto"/>
                <w:szCs w:val="21"/>
              </w:rPr>
            </w:pPr>
            <w:r>
              <w:rPr>
                <w:rFonts w:hint="eastAsia" w:ascii="宋体" w:hAnsi="宋体" w:cs="宋体"/>
                <w:color w:val="auto"/>
                <w:szCs w:val="21"/>
              </w:rPr>
              <w:t>(a) 保密信封。</w:t>
            </w:r>
          </w:p>
          <w:p>
            <w:pPr>
              <w:jc w:val="left"/>
              <w:rPr>
                <w:rFonts w:ascii="宋体" w:hAnsi="宋体" w:cs="宋体"/>
                <w:color w:val="auto"/>
                <w:szCs w:val="21"/>
              </w:rPr>
            </w:pPr>
            <w:r>
              <w:rPr>
                <w:rFonts w:hint="eastAsia" w:ascii="宋体" w:hAnsi="宋体" w:cs="宋体"/>
                <w:color w:val="auto"/>
                <w:szCs w:val="21"/>
              </w:rPr>
              <w:t>(b) 设计方案。</w:t>
            </w:r>
          </w:p>
          <w:p>
            <w:pPr>
              <w:jc w:val="left"/>
              <w:rPr>
                <w:rFonts w:ascii="宋体" w:hAnsi="宋体" w:cs="宋体"/>
                <w:color w:val="auto"/>
                <w:szCs w:val="21"/>
              </w:rPr>
            </w:pPr>
            <w:r>
              <w:rPr>
                <w:rFonts w:hint="eastAsia" w:ascii="宋体" w:hAnsi="宋体" w:cs="宋体"/>
                <w:color w:val="auto"/>
                <w:szCs w:val="21"/>
              </w:rPr>
              <w:t>(c) 计算机文件。</w:t>
            </w:r>
          </w:p>
          <w:p>
            <w:pPr>
              <w:jc w:val="left"/>
              <w:rPr>
                <w:rFonts w:ascii="宋体" w:hAnsi="宋体" w:cs="宋体"/>
                <w:color w:val="auto"/>
                <w:szCs w:val="21"/>
              </w:rPr>
            </w:pPr>
            <w:r>
              <w:rPr>
                <w:rFonts w:hint="eastAsia" w:ascii="宋体" w:hAnsi="宋体" w:cs="宋体"/>
                <w:color w:val="auto"/>
                <w:szCs w:val="21"/>
              </w:rPr>
              <w:t>(d) 展示图纸。</w:t>
            </w:r>
          </w:p>
          <w:p>
            <w:pPr>
              <w:jc w:val="left"/>
              <w:rPr>
                <w:rFonts w:hAnsi="宋体"/>
                <w:color w:val="auto"/>
                <w:szCs w:val="21"/>
              </w:rPr>
            </w:pPr>
            <w:r>
              <w:rPr>
                <w:rFonts w:hint="eastAsia" w:ascii="宋体" w:hAnsi="宋体" w:cs="宋体"/>
                <w:color w:val="auto"/>
                <w:szCs w:val="21"/>
              </w:rPr>
              <w:t>(e)。</w:t>
            </w:r>
          </w:p>
        </w:tc>
        <w:tc>
          <w:tcPr>
            <w:tcW w:w="3261" w:type="dxa"/>
            <w:vAlign w:val="center"/>
          </w:tcPr>
          <w:p>
            <w:pPr>
              <w:ind w:left="718" w:hanging="718" w:hangingChars="342"/>
              <w:jc w:val="left"/>
              <w:rPr>
                <w:rFonts w:ascii="宋体" w:hAnsi="宋体"/>
                <w:color w:val="auto"/>
                <w:szCs w:val="21"/>
              </w:rPr>
            </w:pPr>
            <w:r>
              <w:rPr>
                <w:rFonts w:hint="eastAsia" w:ascii="宋体" w:hAnsi="宋体" w:cs="宋体"/>
                <w:color w:val="auto"/>
                <w:szCs w:val="21"/>
              </w:rPr>
              <w:t>3.3.1</w:t>
            </w:r>
            <w:r>
              <w:rPr>
                <w:rFonts w:hint="eastAsia" w:ascii="宋体" w:hAnsi="宋体"/>
                <w:b/>
                <w:color w:val="auto"/>
                <w:szCs w:val="21"/>
              </w:rPr>
              <w:t>技术文件</w:t>
            </w:r>
            <w:r>
              <w:rPr>
                <w:rFonts w:hint="eastAsia" w:ascii="宋体" w:hAnsi="宋体"/>
                <w:b/>
                <w:bCs/>
                <w:color w:val="auto"/>
                <w:szCs w:val="21"/>
                <w:u w:val="single"/>
              </w:rPr>
              <w:t>（勘察设计方案）</w:t>
            </w:r>
            <w:r>
              <w:rPr>
                <w:rFonts w:hint="eastAsia" w:ascii="宋体" w:hAnsi="宋体"/>
                <w:b/>
                <w:color w:val="auto"/>
                <w:szCs w:val="21"/>
              </w:rPr>
              <w:t>由下列资料组成：</w:t>
            </w:r>
          </w:p>
          <w:p>
            <w:pPr>
              <w:wordWrap w:val="0"/>
              <w:topLinePunct/>
              <w:jc w:val="left"/>
              <w:rPr>
                <w:rFonts w:ascii="宋体" w:hAnsi="宋体"/>
                <w:color w:val="auto"/>
                <w:szCs w:val="21"/>
              </w:rPr>
            </w:pPr>
            <w:r>
              <w:rPr>
                <w:rFonts w:hint="eastAsia" w:hAnsi="宋体"/>
                <w:color w:val="auto"/>
                <w:szCs w:val="21"/>
              </w:rPr>
              <w:t xml:space="preserve">  </w:t>
            </w:r>
            <w:r>
              <w:rPr>
                <w:rFonts w:hint="eastAsia" w:ascii="宋体" w:hAnsi="宋体"/>
                <w:color w:val="auto"/>
                <w:szCs w:val="21"/>
              </w:rPr>
              <w:t>(a) 设计方案。</w:t>
            </w:r>
          </w:p>
          <w:p>
            <w:pPr>
              <w:jc w:val="left"/>
              <w:rPr>
                <w:rFonts w:ascii="宋体" w:hAnsi="宋体" w:cs="宋体"/>
                <w:color w:val="auto"/>
                <w:szCs w:val="21"/>
              </w:rPr>
            </w:pPr>
            <w:r>
              <w:rPr>
                <w:rFonts w:hint="eastAsia" w:ascii="宋体" w:hAnsi="宋体"/>
                <w:color w:val="auto"/>
                <w:szCs w:val="21"/>
              </w:rPr>
              <w:t xml:space="preserve">  (b) 勘察方案。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3.3.2</w:t>
            </w:r>
          </w:p>
        </w:tc>
        <w:tc>
          <w:tcPr>
            <w:tcW w:w="3715" w:type="dxa"/>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3.3.2 </w:t>
            </w:r>
            <w:r>
              <w:rPr>
                <w:rFonts w:hint="eastAsia" w:asciiTheme="minorEastAsia" w:hAnsiTheme="minorEastAsia" w:eastAsiaTheme="minorEastAsia" w:cstheme="minorEastAsia"/>
                <w:b/>
                <w:bCs/>
                <w:color w:val="auto"/>
                <w:szCs w:val="21"/>
              </w:rPr>
              <w:t>保密要求</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技术投标文件必须隐匿投标人及专业技术人员的名称，除保密信封内的分辨投标人身份的文件外，投标人不得在技术文件的设计方案、计算机文件、展示图纸、设计模型上标注或做任何可以辨认投标人及专业技术人员身份的名称、印章、商标。</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3.3.2 保密要求</w:t>
            </w:r>
          </w:p>
          <w:p>
            <w:pPr>
              <w:jc w:val="left"/>
              <w:rPr>
                <w:rFonts w:asciiTheme="minorEastAsia" w:hAnsiTheme="minorEastAsia" w:eastAsiaTheme="minorEastAsia" w:cstheme="minorEastAsia"/>
                <w:color w:val="auto"/>
                <w:szCs w:val="21"/>
              </w:rPr>
            </w:pPr>
            <w:r>
              <w:rPr>
                <w:rFonts w:hint="eastAsia" w:ascii="宋体" w:hAnsi="宋体"/>
                <w:color w:val="auto"/>
                <w:szCs w:val="21"/>
                <w:u w:val="single"/>
              </w:rPr>
              <w:t>技术文件</w:t>
            </w:r>
            <w:r>
              <w:rPr>
                <w:rFonts w:hint="eastAsia" w:ascii="宋体" w:hAnsi="宋体"/>
                <w:bCs/>
                <w:color w:val="auto"/>
                <w:szCs w:val="21"/>
                <w:u w:val="single"/>
              </w:rPr>
              <w:t>（勘察设计方案）</w:t>
            </w:r>
            <w:r>
              <w:rPr>
                <w:rFonts w:hint="eastAsia" w:ascii="宋体" w:hAnsi="宋体"/>
                <w:color w:val="auto"/>
                <w:szCs w:val="21"/>
              </w:rPr>
              <w:t>必须隐匿投标人及专业技术人员的名称</w:t>
            </w:r>
            <w:r>
              <w:rPr>
                <w:rFonts w:hint="eastAsia" w:ascii="宋体" w:hAnsi="宋体"/>
                <w:color w:val="auto"/>
                <w:szCs w:val="21"/>
                <w:u w:val="single"/>
              </w:rPr>
              <w:t>及投标报价信息</w:t>
            </w:r>
            <w:r>
              <w:rPr>
                <w:rFonts w:hint="eastAsia" w:ascii="宋体" w:hAnsi="宋体"/>
                <w:color w:val="auto"/>
                <w:szCs w:val="21"/>
              </w:rPr>
              <w:t>，除</w:t>
            </w:r>
            <w:r>
              <w:rPr>
                <w:rFonts w:hint="eastAsia" w:ascii="宋体" w:hAnsi="宋体"/>
                <w:color w:val="auto"/>
                <w:szCs w:val="21"/>
                <w:u w:val="single"/>
              </w:rPr>
              <w:t>“保密文件光盘”</w:t>
            </w:r>
            <w:r>
              <w:rPr>
                <w:rFonts w:hint="eastAsia" w:ascii="宋体" w:hAnsi="宋体"/>
                <w:color w:val="auto"/>
                <w:szCs w:val="21"/>
              </w:rPr>
              <w:t>内的分辨投标人身份的文件外，投标人不得在</w:t>
            </w:r>
            <w:r>
              <w:rPr>
                <w:rFonts w:hint="eastAsia" w:ascii="宋体" w:hAnsi="宋体"/>
                <w:color w:val="auto"/>
                <w:szCs w:val="21"/>
                <w:u w:val="single"/>
              </w:rPr>
              <w:t>技术文件</w:t>
            </w:r>
            <w:r>
              <w:rPr>
                <w:rFonts w:hint="eastAsia" w:ascii="宋体" w:hAnsi="宋体"/>
                <w:bCs/>
                <w:color w:val="auto"/>
                <w:szCs w:val="21"/>
                <w:u w:val="single"/>
              </w:rPr>
              <w:t>（勘察设计方案）</w:t>
            </w:r>
            <w:r>
              <w:rPr>
                <w:rFonts w:hint="eastAsia" w:ascii="宋体" w:hAnsi="宋体"/>
                <w:color w:val="auto"/>
                <w:szCs w:val="21"/>
              </w:rPr>
              <w:t>上标注或做任何可以辨认投标人及专业技术人员身份的名称、印章、商标</w:t>
            </w:r>
            <w:r>
              <w:rPr>
                <w:rFonts w:hint="eastAsia" w:ascii="宋体" w:hAnsi="宋体"/>
                <w:color w:val="auto"/>
                <w:szCs w:val="21"/>
                <w:u w:val="single"/>
              </w:rPr>
              <w:t>、图形，也不得显示投标报价信息</w:t>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szCs w:val="21"/>
              </w:rPr>
              <w:t>3.3.3</w:t>
            </w:r>
          </w:p>
        </w:tc>
        <w:tc>
          <w:tcPr>
            <w:tcW w:w="3715" w:type="dxa"/>
            <w:vAlign w:val="center"/>
          </w:tcPr>
          <w:p>
            <w:pPr>
              <w:rPr>
                <w:rFonts w:ascii="宋体" w:hAnsi="宋体"/>
                <w:b/>
                <w:bCs/>
                <w:color w:val="auto"/>
                <w:szCs w:val="21"/>
              </w:rPr>
            </w:pPr>
            <w:r>
              <w:rPr>
                <w:rFonts w:hint="eastAsia" w:ascii="宋体" w:hAnsi="宋体"/>
                <w:b/>
                <w:bCs/>
                <w:color w:val="auto"/>
                <w:szCs w:val="21"/>
              </w:rPr>
              <w:t>3</w:t>
            </w:r>
            <w:r>
              <w:rPr>
                <w:rFonts w:ascii="宋体" w:hAnsi="宋体"/>
                <w:b/>
                <w:bCs/>
                <w:color w:val="auto"/>
                <w:szCs w:val="21"/>
              </w:rPr>
              <w:t>.3.3</w:t>
            </w:r>
            <w:r>
              <w:rPr>
                <w:rFonts w:hint="eastAsia" w:ascii="宋体" w:hAnsi="宋体"/>
                <w:b/>
                <w:bCs/>
                <w:color w:val="auto"/>
                <w:szCs w:val="21"/>
              </w:rPr>
              <w:t>保密信封</w:t>
            </w:r>
          </w:p>
          <w:p>
            <w:pPr>
              <w:rPr>
                <w:rFonts w:ascii="宋体" w:hAnsi="宋体"/>
                <w:bCs/>
                <w:color w:val="auto"/>
                <w:szCs w:val="21"/>
              </w:rPr>
            </w:pPr>
            <w:r>
              <w:rPr>
                <w:rFonts w:hint="eastAsia" w:ascii="宋体" w:hAnsi="宋体"/>
                <w:bCs/>
                <w:color w:val="auto"/>
                <w:szCs w:val="21"/>
              </w:rPr>
              <w:t>（1）设计投标保密信封，内附A3规格制作的表现图1张，加盖投标人公章，项目负责人署名。表现图内容应与设计方案一致（并注明表现图在设计方案中的页码或图号），用于分辨投标文件对应的投标人身份。</w:t>
            </w:r>
          </w:p>
          <w:p>
            <w:pPr>
              <w:spacing w:line="360" w:lineRule="auto"/>
              <w:jc w:val="left"/>
              <w:rPr>
                <w:rFonts w:asciiTheme="minorEastAsia" w:hAnsiTheme="minorEastAsia" w:eastAsiaTheme="minorEastAsia" w:cstheme="minorEastAsia"/>
                <w:color w:val="auto"/>
                <w:szCs w:val="21"/>
              </w:rPr>
            </w:pPr>
            <w:r>
              <w:rPr>
                <w:rFonts w:hint="eastAsia" w:ascii="宋体" w:hAnsi="宋体"/>
                <w:bCs/>
                <w:color w:val="auto"/>
                <w:szCs w:val="21"/>
              </w:rPr>
              <w:t>（2）保密信封用不透明信封独立密封，外面标注“项目名称”及“保密信封”字样。</w:t>
            </w:r>
          </w:p>
        </w:tc>
        <w:tc>
          <w:tcPr>
            <w:tcW w:w="3261" w:type="dxa"/>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b/>
                <w:bCs/>
                <w:color w:val="auto"/>
                <w:szCs w:val="21"/>
              </w:rPr>
            </w:pPr>
            <w:r>
              <w:rPr>
                <w:rFonts w:hint="eastAsia" w:ascii="宋体" w:hAnsi="宋体"/>
                <w:b/>
                <w:bCs/>
                <w:color w:val="auto"/>
                <w:szCs w:val="21"/>
                <w:u w:val="single"/>
              </w:rPr>
              <w:t>3</w:t>
            </w:r>
            <w:r>
              <w:rPr>
                <w:rFonts w:ascii="宋体" w:hAnsi="宋体"/>
                <w:b/>
                <w:bCs/>
                <w:color w:val="auto"/>
                <w:szCs w:val="21"/>
                <w:u w:val="single"/>
              </w:rPr>
              <w:t>.3.3</w:t>
            </w:r>
            <w:r>
              <w:rPr>
                <w:rFonts w:hint="eastAsia" w:ascii="宋体" w:hAnsi="宋体"/>
                <w:b/>
                <w:bCs/>
                <w:color w:val="auto"/>
                <w:szCs w:val="21"/>
                <w:u w:val="single"/>
              </w:rPr>
              <w:t>技术文件（勘察设计方案）光盘和保密文件光盘</w:t>
            </w:r>
          </w:p>
          <w:p>
            <w:pPr>
              <w:jc w:val="left"/>
              <w:rPr>
                <w:rFonts w:ascii="宋体" w:hAnsi="宋体"/>
                <w:color w:val="auto"/>
                <w:szCs w:val="21"/>
                <w:u w:val="single"/>
              </w:rPr>
            </w:pPr>
            <w:r>
              <w:rPr>
                <w:rFonts w:hint="eastAsia" w:ascii="宋体" w:hAnsi="宋体"/>
                <w:color w:val="auto"/>
                <w:szCs w:val="21"/>
                <w:u w:val="single"/>
              </w:rPr>
              <w:t>（1）评标时若遇不可抗力发生（如：网络瘫痪、服务器损坏、交易系统故障短期无法恢复等因素），由评标委员会开启现场递交的全部投标文件光盘（备用），并按光盘内容进行评审。保密文件光盘内附一张JPG格式内容为表现图的图形文件，</w:t>
            </w:r>
            <w:r>
              <w:rPr>
                <w:rFonts w:hint="eastAsia" w:ascii="宋体" w:hAnsi="宋体"/>
                <w:b/>
                <w:bCs/>
                <w:color w:val="auto"/>
                <w:szCs w:val="21"/>
                <w:u w:val="single"/>
              </w:rPr>
              <w:t>加盖投标人公章</w:t>
            </w:r>
            <w:r>
              <w:rPr>
                <w:rFonts w:hint="eastAsia" w:ascii="宋体" w:hAnsi="宋体"/>
                <w:color w:val="auto"/>
                <w:szCs w:val="21"/>
                <w:u w:val="single"/>
              </w:rPr>
              <w:t>。表现图内容应与设计方案一致（并注明表现图在设计方案中的页码或图号），用于分辨投标文件对应的投标人身份。</w:t>
            </w:r>
          </w:p>
          <w:p>
            <w:pPr>
              <w:jc w:val="left"/>
              <w:rPr>
                <w:rFonts w:asciiTheme="minorEastAsia" w:hAnsiTheme="minorEastAsia" w:eastAsiaTheme="minorEastAsia" w:cstheme="minorEastAsia"/>
                <w:bCs/>
                <w:color w:val="auto"/>
                <w:szCs w:val="21"/>
              </w:rPr>
            </w:pPr>
            <w:r>
              <w:rPr>
                <w:rFonts w:hint="eastAsia" w:ascii="宋体" w:hAnsi="宋体"/>
                <w:color w:val="auto"/>
                <w:szCs w:val="21"/>
                <w:u w:val="single"/>
              </w:rPr>
              <w:t>（2）技术文件（勘察设计方案）光盘、保密文件光盘接收时不得启封，当符合上款条件需要对技术文件（勘察设计方案）进行评审时，由交易服务机构见证人对技术文件（勘察设计方案）光盘启封密封袋并编号，参与开标、评标的其他人员应当回避，完成编号后送交评标委员会进行评审。评标结果揭晓前，负责编号的工作人员不得向他人透露投标文件编号的情况。在完成技术文件（勘察设计方案）评审后，由交易服务机构见证人和评标委员会共同开启保密文件光盘密封袋揭晓投标人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47</w:t>
            </w:r>
          </w:p>
        </w:tc>
        <w:tc>
          <w:tcPr>
            <w:tcW w:w="1434" w:type="dxa"/>
            <w:vAlign w:val="center"/>
          </w:tcPr>
          <w:p>
            <w:pPr>
              <w:jc w:val="center"/>
              <w:rPr>
                <w:rFonts w:asciiTheme="minorEastAsia" w:hAnsiTheme="minorEastAsia" w:eastAsiaTheme="minorEastAsia" w:cstheme="minorEastAsia"/>
                <w:color w:val="auto"/>
                <w:szCs w:val="21"/>
              </w:rPr>
            </w:pPr>
            <w:r>
              <w:rPr>
                <w:rFonts w:ascii="宋体" w:hAnsi="宋体"/>
                <w:color w:val="auto"/>
              </w:rPr>
              <w:t>3.3.4</w:t>
            </w:r>
          </w:p>
        </w:tc>
        <w:tc>
          <w:tcPr>
            <w:tcW w:w="3715" w:type="dxa"/>
            <w:vAlign w:val="center"/>
          </w:tcPr>
          <w:p>
            <w:pPr>
              <w:pStyle w:val="14"/>
              <w:ind w:firstLine="0" w:firstLineChars="0"/>
              <w:jc w:val="left"/>
              <w:rPr>
                <w:rFonts w:hAnsi="宋体" w:cs="宋体"/>
                <w:color w:val="auto"/>
                <w:kern w:val="2"/>
                <w:sz w:val="21"/>
                <w:szCs w:val="21"/>
              </w:rPr>
            </w:pPr>
            <w:r>
              <w:rPr>
                <w:rFonts w:hint="eastAsia" w:hAnsi="宋体" w:cs="宋体"/>
                <w:color w:val="auto"/>
                <w:kern w:val="2"/>
                <w:sz w:val="21"/>
                <w:szCs w:val="21"/>
              </w:rPr>
              <w:t>（1）设计方案以A3(297mm×420mm) 规格编排装订成册  （含封面及封底建议不超过  页）。</w:t>
            </w:r>
          </w:p>
          <w:p>
            <w:pPr>
              <w:pStyle w:val="14"/>
              <w:ind w:firstLine="0" w:firstLineChars="0"/>
              <w:jc w:val="left"/>
              <w:rPr>
                <w:rFonts w:hAnsi="宋体" w:cs="宋体"/>
                <w:color w:val="auto"/>
                <w:kern w:val="2"/>
                <w:sz w:val="21"/>
                <w:szCs w:val="21"/>
              </w:rPr>
            </w:pPr>
            <w:r>
              <w:rPr>
                <w:rFonts w:hint="eastAsia" w:hAnsi="宋体" w:cs="宋体"/>
                <w:color w:val="auto"/>
                <w:kern w:val="2"/>
                <w:sz w:val="21"/>
                <w:szCs w:val="21"/>
              </w:rPr>
              <w:t>…</w:t>
            </w:r>
          </w:p>
          <w:p>
            <w:pPr>
              <w:pStyle w:val="14"/>
              <w:ind w:firstLine="0" w:firstLineChars="0"/>
              <w:jc w:val="left"/>
              <w:rPr>
                <w:rFonts w:hAnsi="宋体"/>
                <w:color w:val="auto"/>
                <w:kern w:val="2"/>
                <w:sz w:val="21"/>
                <w:szCs w:val="24"/>
              </w:rPr>
            </w:pPr>
            <w:r>
              <w:rPr>
                <w:rFonts w:hint="eastAsia" w:hAnsi="宋体" w:cs="宋体"/>
                <w:b/>
                <w:color w:val="auto"/>
                <w:sz w:val="21"/>
                <w:szCs w:val="21"/>
              </w:rPr>
              <w:t>如本项目含勘察，则需增加如下内容：</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rPr>
                <w:rFonts w:ascii="宋体" w:hAnsi="宋体"/>
                <w:b/>
                <w:color w:val="auto"/>
                <w:szCs w:val="21"/>
              </w:rPr>
            </w:pPr>
            <w:r>
              <w:rPr>
                <w:rFonts w:hint="eastAsia" w:ascii="宋体" w:hAnsi="宋体"/>
                <w:b/>
                <w:color w:val="auto"/>
                <w:szCs w:val="21"/>
                <w:u w:val="single"/>
              </w:rPr>
              <w:t>技术文件（勘察设计方案）</w:t>
            </w:r>
          </w:p>
          <w:p>
            <w:pPr>
              <w:pStyle w:val="14"/>
              <w:ind w:firstLine="0" w:firstLineChars="0"/>
              <w:rPr>
                <w:rFonts w:hAnsi="宋体"/>
                <w:bCs/>
                <w:color w:val="auto"/>
                <w:sz w:val="21"/>
                <w:szCs w:val="21"/>
                <w:u w:val="single"/>
              </w:rPr>
            </w:pPr>
            <w:r>
              <w:rPr>
                <w:rFonts w:hint="eastAsia" w:hAnsi="宋体"/>
                <w:bCs/>
                <w:color w:val="auto"/>
                <w:sz w:val="21"/>
                <w:szCs w:val="21"/>
                <w:u w:val="single"/>
              </w:rPr>
              <w:t>（1）设计方案文件内容：</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(a) 封面：写明项目名称、编制年月；</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(b) 目录。</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(c) 设计说明书（含本项目的难点、建议和工程创新）。</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(d) 投标人认为有必要提供的其他资料。</w:t>
            </w:r>
          </w:p>
          <w:p>
            <w:pPr>
              <w:pStyle w:val="14"/>
              <w:ind w:firstLine="0" w:firstLineChars="0"/>
              <w:rPr>
                <w:rFonts w:hAnsi="宋体"/>
                <w:bCs/>
                <w:color w:val="auto"/>
                <w:sz w:val="21"/>
                <w:szCs w:val="21"/>
                <w:u w:val="single"/>
              </w:rPr>
            </w:pPr>
            <w:r>
              <w:rPr>
                <w:rFonts w:hint="eastAsia" w:hAnsi="宋体"/>
                <w:bCs/>
                <w:color w:val="auto"/>
                <w:sz w:val="21"/>
                <w:szCs w:val="21"/>
                <w:u w:val="single"/>
              </w:rPr>
              <w:t>（2）勘察部分内容：</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(a) 针对项目场地及工程性质采用的勘察方案及建议，本次勘察的重点、难点及建议。</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(b) 勘察工作流程和相应的工期进度计划。</w:t>
            </w:r>
            <w:r>
              <w:rPr>
                <w:rFonts w:hint="eastAsia" w:hAnsi="宋体"/>
                <w:bCs/>
                <w:color w:val="auto"/>
                <w:sz w:val="21"/>
                <w:szCs w:val="21"/>
                <w:u w:val="single"/>
              </w:rPr>
              <w:tab/>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(c) 勘察报告综合评价深度，勘察成果文件内容目录。</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(d) 投标人掌握的勘察工作有关的法律法规、标准、规范一览表。</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(e) 需要建设单位配合的事项。</w:t>
            </w:r>
          </w:p>
          <w:p>
            <w:pPr>
              <w:pStyle w:val="14"/>
              <w:ind w:firstLine="0" w:firstLineChars="0"/>
              <w:rPr>
                <w:rFonts w:hAnsi="宋体"/>
                <w:bCs/>
                <w:color w:val="auto"/>
                <w:sz w:val="21"/>
                <w:szCs w:val="21"/>
                <w:u w:val="single"/>
              </w:rPr>
            </w:pPr>
            <w:r>
              <w:rPr>
                <w:rFonts w:hint="eastAsia" w:hAnsi="宋体"/>
                <w:bCs/>
                <w:color w:val="auto"/>
                <w:sz w:val="21"/>
                <w:szCs w:val="21"/>
                <w:u w:val="single"/>
              </w:rPr>
              <w:t xml:space="preserve"> (f) 投标人参与施工验槽，解决工程设计和施工中与勘察工作有关问题的服务承诺、响应时间。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3.3.5</w:t>
            </w:r>
          </w:p>
        </w:tc>
        <w:tc>
          <w:tcPr>
            <w:tcW w:w="3715" w:type="dxa"/>
            <w:vAlign w:val="center"/>
          </w:tcPr>
          <w:p>
            <w:pPr>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 xml:space="preserve">3.3.5 </w:t>
            </w:r>
            <w:r>
              <w:rPr>
                <w:rFonts w:hint="eastAsia" w:asciiTheme="minorEastAsia" w:hAnsiTheme="minorEastAsia" w:eastAsiaTheme="minorEastAsia" w:cstheme="minorEastAsia"/>
                <w:b/>
                <w:color w:val="auto"/>
                <w:szCs w:val="21"/>
              </w:rPr>
              <w:t>计算机文件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（1）计算机文件包括内容：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 一张用于识别投标方案的JPG格式的图型文件。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(b) 一套PDF格式或PPT格式制作的电子版文本文件。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(c) 一套WORD格式的电子版文本文件。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(d) 一套AutoCAD格式的设计图形文件。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（2）计算机文件应从网上投递到勘察设计远程招标投标服务系统。同时还要刻录光盘1套，随纸质文本文件一起提交。</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3.3.5 投标文件光盘（备用）</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投标文件光盘（备用）的封装要求详见招标文件第二章第2.11.1款的规定。投标人可自主选择是否递交投标文件光盘（备用）。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49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3.3.6</w:t>
            </w:r>
          </w:p>
        </w:tc>
        <w:tc>
          <w:tcPr>
            <w:tcW w:w="3715" w:type="dxa"/>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 xml:space="preserve">3.3.6 </w:t>
            </w:r>
            <w:r>
              <w:rPr>
                <w:rFonts w:hint="eastAsia" w:asciiTheme="minorEastAsia" w:hAnsiTheme="minorEastAsia" w:eastAsiaTheme="minorEastAsia" w:cstheme="minorEastAsia"/>
                <w:b/>
                <w:color w:val="auto"/>
                <w:szCs w:val="21"/>
              </w:rPr>
              <w:t>展示图纸</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设计方案展示图纸制作一套，不宜超过幅，内容为表现图、分析示意图、总平面图等，可以水平或垂直展示，图纸规格不宜大于A0（约1189mm×841mm），图纸比例由投标人根据视觉效果自行决定，展示图纸宜裱在轻质板上。</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（2）展示图纸用不透明包装物包装密封，外面标注“项目名称”及“展示图纸”字样。</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dstrike/>
                <w:color w:val="auto"/>
                <w:szCs w:val="21"/>
              </w:rPr>
            </w:pPr>
            <w:r>
              <w:rPr>
                <w:rFonts w:hint="eastAsia" w:asciiTheme="minorEastAsia" w:hAnsiTheme="minorEastAsia" w:eastAsiaTheme="minorEastAsia" w:cstheme="minorEastAsia"/>
                <w:color w:val="auto"/>
                <w:szCs w:val="21"/>
              </w:rPr>
              <w:t xml:space="preserve">3.3.6 </w:t>
            </w:r>
            <w:r>
              <w:rPr>
                <w:rFonts w:hint="eastAsia" w:asciiTheme="minorEastAsia" w:hAnsiTheme="minorEastAsia" w:eastAsiaTheme="minorEastAsia" w:cstheme="minorEastAsia"/>
                <w:b/>
                <w:color w:val="auto"/>
                <w:szCs w:val="21"/>
              </w:rPr>
              <w:t>展示图纸</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不单独提供展示图，所有展示图编入投标文件。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3.4.1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3.4.1 投标人□需要/□不需要提交投标保证金元，投标保证金于年月日前交到。</w:t>
            </w:r>
          </w:p>
        </w:tc>
        <w:tc>
          <w:tcPr>
            <w:tcW w:w="3261" w:type="dxa"/>
          </w:tcPr>
          <w:p>
            <w:pPr>
              <w:jc w:val="left"/>
              <w:rPr>
                <w:rFonts w:ascii="宋体" w:hAnsi="宋体"/>
                <w:b/>
                <w:color w:val="auto"/>
                <w:szCs w:val="21"/>
              </w:rPr>
            </w:pPr>
            <w:r>
              <w:rPr>
                <w:rFonts w:hint="eastAsia" w:ascii="宋体" w:hAnsi="宋体"/>
                <w:b/>
                <w:color w:val="auto"/>
                <w:szCs w:val="21"/>
              </w:rPr>
              <w:t>修改：</w:t>
            </w:r>
          </w:p>
          <w:p>
            <w:pPr>
              <w:rPr>
                <w:rFonts w:ascii="宋体" w:hAnsi="宋体" w:cs="宋体"/>
                <w:b/>
                <w:color w:val="auto"/>
                <w:szCs w:val="21"/>
              </w:rPr>
            </w:pPr>
            <w:r>
              <w:rPr>
                <w:rFonts w:hint="eastAsia" w:ascii="宋体" w:hAnsi="宋体" w:cs="宋体"/>
                <w:color w:val="auto"/>
                <w:szCs w:val="21"/>
              </w:rPr>
              <w:t>3.4.1.</w:t>
            </w:r>
            <w:r>
              <w:rPr>
                <w:rFonts w:hint="eastAsia" w:ascii="宋体" w:hAnsi="宋体" w:cs="宋体"/>
                <w:color w:val="auto"/>
                <w:szCs w:val="21"/>
                <w:u w:val="single"/>
              </w:rPr>
              <w:t>投标人■需要，提交投标保证金5万元/□不需要。</w:t>
            </w:r>
          </w:p>
          <w:p>
            <w:pPr>
              <w:rPr>
                <w:rFonts w:ascii="宋体" w:hAnsi="宋体" w:cs="宋体"/>
                <w:color w:val="auto"/>
                <w:szCs w:val="21"/>
                <w:u w:val="single"/>
              </w:rPr>
            </w:pPr>
            <w:r>
              <w:rPr>
                <w:rFonts w:hint="eastAsia" w:ascii="宋体" w:hAnsi="宋体" w:cs="宋体"/>
                <w:color w:val="auto"/>
                <w:szCs w:val="21"/>
                <w:u w:val="single"/>
              </w:rPr>
              <w:t>3.4.1.</w:t>
            </w:r>
            <w:r>
              <w:rPr>
                <w:rFonts w:ascii="宋体" w:hAnsi="宋体" w:cs="宋体"/>
                <w:color w:val="auto"/>
                <w:szCs w:val="21"/>
                <w:u w:val="single"/>
              </w:rPr>
              <w:t>1</w:t>
            </w:r>
            <w:r>
              <w:rPr>
                <w:rFonts w:hint="eastAsia" w:ascii="宋体" w:hAnsi="宋体" w:cs="宋体"/>
                <w:color w:val="auto"/>
                <w:szCs w:val="21"/>
                <w:u w:val="single"/>
              </w:rPr>
              <w:t xml:space="preserve"> 缴纳时间：投标截止时间前</w:t>
            </w:r>
          </w:p>
          <w:p>
            <w:pPr>
              <w:rPr>
                <w:rFonts w:ascii="宋体" w:hAnsi="宋体" w:cs="宋体"/>
                <w:color w:val="auto"/>
                <w:szCs w:val="21"/>
                <w:u w:val="single"/>
              </w:rPr>
            </w:pPr>
            <w:r>
              <w:rPr>
                <w:rFonts w:hint="eastAsia" w:ascii="宋体" w:hAnsi="宋体" w:cs="宋体"/>
                <w:color w:val="auto"/>
                <w:szCs w:val="21"/>
                <w:u w:val="single"/>
              </w:rPr>
              <w:t>3.4.1.</w:t>
            </w:r>
            <w:r>
              <w:rPr>
                <w:rFonts w:ascii="宋体" w:hAnsi="宋体" w:cs="宋体"/>
                <w:color w:val="auto"/>
                <w:szCs w:val="21"/>
                <w:u w:val="single"/>
              </w:rPr>
              <w:t>2</w:t>
            </w:r>
            <w:r>
              <w:rPr>
                <w:rFonts w:hint="eastAsia" w:ascii="宋体" w:hAnsi="宋体" w:cs="宋体"/>
                <w:color w:val="auto"/>
                <w:szCs w:val="21"/>
                <w:u w:val="single"/>
              </w:rPr>
              <w:t xml:space="preserve"> 投标保证金的形式：投标保证金可采用转账、现金、支票、投标保函、投标保证保险的形式。</w:t>
            </w:r>
          </w:p>
          <w:p>
            <w:pPr>
              <w:pStyle w:val="22"/>
              <w:ind w:left="0" w:leftChars="0"/>
              <w:rPr>
                <w:rFonts w:ascii="宋体" w:hAnsi="宋体" w:cs="宋体"/>
                <w:color w:val="auto"/>
                <w:szCs w:val="21"/>
                <w:u w:val="single"/>
              </w:rPr>
            </w:pPr>
            <w:r>
              <w:rPr>
                <w:rFonts w:hint="eastAsia" w:ascii="宋体" w:hAnsi="宋体" w:cs="宋体"/>
                <w:color w:val="auto"/>
                <w:szCs w:val="21"/>
                <w:u w:val="single"/>
              </w:rPr>
              <w:t>（1）如采用现金或者支票方式提交的，由广州公共资源交易中心代收。保证金从投标人基本账户转账至广州公共资源交易中心，缴纳情况以广州公共资源交易中心数据库记录的信息为准。具体操作步骤参见广州公共资源交易中心最新的投标保证金缴纳操作流程。</w:t>
            </w:r>
          </w:p>
          <w:p>
            <w:pPr>
              <w:pStyle w:val="22"/>
              <w:ind w:left="0" w:leftChars="0"/>
              <w:rPr>
                <w:rFonts w:ascii="宋体" w:hAnsi="宋体" w:cs="宋体"/>
                <w:color w:val="auto"/>
                <w:szCs w:val="21"/>
                <w:u w:val="single"/>
              </w:rPr>
            </w:pPr>
            <w:r>
              <w:rPr>
                <w:rFonts w:hint="eastAsia" w:ascii="宋体" w:hAnsi="宋体" w:cs="宋体"/>
                <w:color w:val="auto"/>
                <w:szCs w:val="21"/>
                <w:u w:val="single"/>
              </w:rPr>
              <w:t>（2）如采用投标保函或投标保证保险的形式提交的，投标保函需开具给招标人，保证保险需开具给招标人（受益人也必须是招标人）。在开标前不需要提交纸质原件，投标人应在投标文件中提交投标保函或投标保证保险等的原件清晰扫描件并加盖投标人电子印章。完成评标后，由中标候选人在中标候选人公示前提交纸质原件给招标代理单位，纸质原件将在网上公示。</w:t>
            </w:r>
          </w:p>
          <w:p>
            <w:pPr>
              <w:pStyle w:val="22"/>
              <w:ind w:left="0" w:leftChars="0"/>
              <w:rPr>
                <w:rFonts w:ascii="宋体" w:hAnsi="宋体" w:cs="宋体"/>
                <w:color w:val="auto"/>
                <w:szCs w:val="21"/>
                <w:u w:val="single"/>
              </w:rPr>
            </w:pPr>
            <w:r>
              <w:rPr>
                <w:rFonts w:hint="eastAsia" w:ascii="宋体" w:hAnsi="宋体" w:cs="宋体"/>
                <w:color w:val="auto"/>
                <w:szCs w:val="21"/>
                <w:u w:val="single"/>
              </w:rPr>
              <w:t>（3）本项目允许递交电子保函，开具情况以广州公共资源交易中心数据库记录的信息为准。具体操作详见广州公共资源交易中心电子保函操作指引；</w:t>
            </w:r>
          </w:p>
          <w:p>
            <w:pPr>
              <w:pStyle w:val="22"/>
              <w:ind w:left="0" w:leftChars="0"/>
              <w:rPr>
                <w:rFonts w:ascii="宋体" w:hAnsi="宋体" w:cs="宋体"/>
                <w:color w:val="auto"/>
                <w:szCs w:val="21"/>
                <w:u w:val="single"/>
              </w:rPr>
            </w:pPr>
            <w:r>
              <w:rPr>
                <w:rFonts w:hint="eastAsia" w:ascii="宋体" w:hAnsi="宋体" w:cs="宋体"/>
                <w:color w:val="auto"/>
                <w:szCs w:val="21"/>
                <w:u w:val="single"/>
              </w:rPr>
              <w:t>（4）投标保证金有效期应当与投标有效期一致。若投标有效期延长的，投标保证金有效期应相应延长，且延长后的有效期应满足前述要求。</w:t>
            </w:r>
          </w:p>
          <w:p>
            <w:pPr>
              <w:pStyle w:val="22"/>
              <w:ind w:left="0" w:leftChars="0"/>
              <w:rPr>
                <w:rFonts w:ascii="宋体" w:hAnsi="宋体" w:cs="宋体"/>
                <w:color w:val="auto"/>
              </w:rPr>
            </w:pPr>
            <w:r>
              <w:rPr>
                <w:rFonts w:hint="eastAsia" w:ascii="宋体" w:hAnsi="宋体" w:cs="宋体"/>
                <w:color w:val="auto"/>
                <w:szCs w:val="21"/>
                <w:u w:val="single"/>
              </w:rPr>
              <w:t>（5）投标保证金的退还：由招标代理机构通知广州公共资源交易中心无息退还，或直接通知退还投标保函或投标保证保险。</w:t>
            </w:r>
          </w:p>
          <w:p>
            <w:pPr>
              <w:rPr>
                <w:rFonts w:ascii="宋体" w:hAnsi="宋体" w:cs="宋体"/>
                <w:color w:val="auto"/>
                <w:szCs w:val="21"/>
                <w:u w:val="single"/>
              </w:rPr>
            </w:pPr>
            <w:r>
              <w:rPr>
                <w:rFonts w:hint="eastAsia" w:ascii="宋体" w:hAnsi="宋体" w:cs="宋体"/>
                <w:color w:val="auto"/>
                <w:szCs w:val="21"/>
                <w:u w:val="single"/>
              </w:rPr>
              <w:t>注：1.联合体投标的，投标保证金由牵头人递交。</w:t>
            </w:r>
          </w:p>
          <w:p>
            <w:pPr>
              <w:jc w:val="left"/>
              <w:rPr>
                <w:rFonts w:asciiTheme="minorEastAsia" w:hAnsiTheme="minorEastAsia" w:eastAsiaTheme="minorEastAsia" w:cstheme="minorEastAsia"/>
                <w:color w:val="auto"/>
                <w:szCs w:val="21"/>
              </w:rPr>
            </w:pPr>
            <w:r>
              <w:rPr>
                <w:rFonts w:hint="eastAsia" w:ascii="宋体" w:hAnsi="宋体" w:cs="宋体"/>
                <w:color w:val="auto"/>
                <w:szCs w:val="21"/>
                <w:u w:val="single"/>
              </w:rPr>
              <w:t>2.保证金从投标人基本账户递交，（操作指引详情见广州公共资源交易中心网站），对于未能按要求交纳投标保证金的投标人，招标人将视为不响应招标文件而予以拒绝，责任由投标人自负。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bookmarkStart w:id="1" w:name="_Hlk117002381"/>
            <w:r>
              <w:rPr>
                <w:rFonts w:asciiTheme="minorEastAsia" w:hAnsiTheme="minorEastAsia" w:eastAsiaTheme="minorEastAsia" w:cstheme="minorEastAsia"/>
                <w:color w:val="auto"/>
                <w:szCs w:val="21"/>
              </w:rPr>
              <w:t>51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3.5</w:t>
            </w:r>
            <w:r>
              <w:rPr>
                <w:rFonts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rPr>
              <w:t>6</w:t>
            </w:r>
          </w:p>
        </w:tc>
        <w:tc>
          <w:tcPr>
            <w:tcW w:w="3715" w:type="dxa"/>
            <w:vAlign w:val="center"/>
          </w:tcPr>
          <w:p>
            <w:pPr>
              <w:jc w:val="left"/>
              <w:rPr>
                <w:rFonts w:asciiTheme="minorEastAsia" w:hAnsiTheme="minorEastAsia" w:eastAsiaTheme="minorEastAsia" w:cstheme="minorEastAsia"/>
                <w:color w:val="auto"/>
                <w:szCs w:val="21"/>
              </w:rPr>
            </w:pPr>
          </w:p>
        </w:tc>
        <w:tc>
          <w:tcPr>
            <w:tcW w:w="3261" w:type="dxa"/>
            <w:vAlign w:val="center"/>
          </w:tcPr>
          <w:p>
            <w:pPr>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新增：</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b/>
                <w:bCs/>
                <w:color w:val="auto"/>
                <w:szCs w:val="21"/>
                <w:u w:val="single"/>
              </w:rPr>
              <w:t>3.5   资格审查文件编制要求</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3.5.1资格审查文件由下列资料组成：</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（1）目录。</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（2）法定代表人证明书及法定代表人授权委托书（如果有）（格式见附录</w:t>
            </w:r>
            <w:r>
              <w:rPr>
                <w:rFonts w:asciiTheme="minorEastAsia" w:hAnsiTheme="minorEastAsia" w:eastAsiaTheme="minorEastAsia" w:cstheme="minorEastAsia"/>
                <w:color w:val="auto"/>
                <w:szCs w:val="21"/>
                <w:u w:val="single"/>
              </w:rPr>
              <w:t>7</w:t>
            </w:r>
            <w:r>
              <w:rPr>
                <w:rFonts w:hint="eastAsia" w:asciiTheme="minorEastAsia" w:hAnsiTheme="minorEastAsia" w:eastAsiaTheme="minorEastAsia" w:cstheme="minorEastAsia"/>
                <w:color w:val="auto"/>
                <w:szCs w:val="21"/>
                <w:u w:val="single"/>
              </w:rPr>
              <w:t>）。</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（3）投标人声明（格式见附录</w:t>
            </w:r>
            <w:r>
              <w:rPr>
                <w:rFonts w:asciiTheme="minorEastAsia" w:hAnsiTheme="minorEastAsia" w:eastAsiaTheme="minorEastAsia" w:cstheme="minorEastAsia"/>
                <w:color w:val="auto"/>
                <w:szCs w:val="21"/>
                <w:u w:val="single"/>
              </w:rPr>
              <w:t>20</w:t>
            </w:r>
            <w:r>
              <w:rPr>
                <w:rFonts w:hint="eastAsia" w:asciiTheme="minorEastAsia" w:hAnsiTheme="minorEastAsia" w:eastAsiaTheme="minorEastAsia" w:cstheme="minorEastAsia"/>
                <w:color w:val="auto"/>
                <w:szCs w:val="21"/>
                <w:u w:val="single"/>
              </w:rPr>
              <w:t>）</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（4）《联合体共同投标协议》（格式见附录</w:t>
            </w:r>
            <w:r>
              <w:rPr>
                <w:rFonts w:asciiTheme="minorEastAsia" w:hAnsiTheme="minorEastAsia" w:eastAsiaTheme="minorEastAsia" w:cstheme="minorEastAsia"/>
                <w:color w:val="auto"/>
                <w:szCs w:val="21"/>
                <w:u w:val="single"/>
              </w:rPr>
              <w:t>7</w:t>
            </w:r>
            <w:r>
              <w:rPr>
                <w:rFonts w:hint="eastAsia" w:asciiTheme="minorEastAsia" w:hAnsiTheme="minorEastAsia" w:eastAsiaTheme="minorEastAsia" w:cstheme="minorEastAsia"/>
                <w:color w:val="auto"/>
                <w:szCs w:val="21"/>
                <w:u w:val="single"/>
              </w:rPr>
              <w:t>，联合体投标时递交，填妥并由联合体各方共同签名盖章。</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（5）企业营业执照副本（或香港企业在香港进行商业登记的证明文书扫描件）。</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（6）企业资质证书副本（或香港企业在广东省住房和城乡建设主管部门备案的证明材料）。</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（7）资格审查前，投标人须在广州公共资源交易中心办理企业信息登记，拟担任本工程项目负责人须是本企业在广州公共资源交易中心已办理信息登记的在册人员。</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（8）项目负责人职称证书（或香港专业人士在广东省住房和城乡建设主管部门备案的证明材料扫描件）。</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（9）满足招标公告第1.2条（资格审查合格条件）评审要求的其他资料。</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注：资格审查文件中的(7)取自广州公共资源交易中心企业信息库，投标人档案信息库中记录的该部分上传件将被视为投标人递交投标文件的一部分，不需重复提交。评标委员会对该部分资料的审查将以投标截止时间在广州公共资源交易中心企业信息库内的信息和上传件为依据。若招标人延长投标截止时间的，以上资料的评审时点也相应延长。投标人应及时维护其在广州公共资源交易中心企业信息库登记的信息及上传件，确保各项信息及上传件在有效期内。</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color w:val="auto"/>
                <w:szCs w:val="21"/>
                <w:u w:val="single"/>
              </w:rPr>
              <w:t>3.5.2 资格审查文件的签署要求：对于联合体投标人，文件落款中的“投标人”应填写联合体各方的单位全称【格式为：（主）单位全称（成）单位全称】。《联合体共同投标协议》必须由联合体成员各方盖章或签名。资格审查文件其他需要盖章或签字的部分可仅由联合体牵头人盖章或签字，视作符合要求。</w:t>
            </w:r>
            <w:r>
              <w:rPr>
                <w:rFonts w:hint="eastAsia" w:asciiTheme="minorEastAsia" w:hAnsiTheme="minorEastAsia" w:eastAsiaTheme="minorEastAsia" w:cstheme="minorEastAsia"/>
                <w:color w:val="auto"/>
                <w:szCs w:val="21"/>
                <w:u w:val="single"/>
              </w:rPr>
              <w:cr/>
            </w:r>
            <w:r>
              <w:rPr>
                <w:rFonts w:hint="eastAsia" w:asciiTheme="minorEastAsia" w:hAnsiTheme="minorEastAsia" w:eastAsiaTheme="minorEastAsia" w:cstheme="minorEastAsia"/>
                <w:b/>
                <w:bCs/>
                <w:color w:val="auto"/>
                <w:szCs w:val="21"/>
                <w:u w:val="single"/>
              </w:rPr>
              <w:t>3.6   投标文件光盘（备用）</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3.6.1投标文件光盘（备用）1份包括“资格审查文件光盘”“商务文件光盘”“技术文件（勘察设计方案）光盘”“保密文件光盘”共4只光盘。</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（1）资格审查文件光盘包括下列内容：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(a) 一套PDF格式制作的电子版资格审查文件文本文件。</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(b) 一套WORD格式的电子版资格审查文件文本文件。</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（2）商务文件光盘包括下列内容：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(a) 一套PDF格式制作的电子版商务文件文本文件。</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(b) 一套WORD格式的电子版商务文件文本文件。（3）技术文件（勘察设计方案）光盘包括下列内容：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(a) 一套PDF格式制作的电子版技术文件（勘察设计方案）文本文件。</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(b) 一套WORD或PPT格式的电子版（勘察设计方案）文本文件（不须包含设计图形部分内容）。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(c) 一套AutoCAD格式的设计图形文件。</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（4）保密文件光盘包括下列内容：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(a) 一张JPG格式内容为表现图的图形文件，</w:t>
            </w:r>
            <w:r>
              <w:rPr>
                <w:rFonts w:hint="eastAsia" w:asciiTheme="minorEastAsia" w:hAnsiTheme="minorEastAsia" w:eastAsiaTheme="minorEastAsia" w:cstheme="minorEastAsia"/>
                <w:b/>
                <w:bCs/>
                <w:color w:val="auto"/>
                <w:szCs w:val="21"/>
                <w:u w:val="single"/>
              </w:rPr>
              <w:t>加盖投标人公章</w:t>
            </w:r>
            <w:r>
              <w:rPr>
                <w:rFonts w:hint="eastAsia" w:asciiTheme="minorEastAsia" w:hAnsiTheme="minorEastAsia" w:eastAsiaTheme="minorEastAsia" w:cstheme="minorEastAsia"/>
                <w:color w:val="auto"/>
                <w:szCs w:val="21"/>
                <w:u w:val="single"/>
              </w:rPr>
              <w:t>。表现图内容应与设计方案一致（并注明表现图在设计方案中的页码或图号），用于分辨投标文件对应的投标人身份。</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3.6.2投标文件光盘（备用）的封装要求详见招标文件第二章第2.11.1款的规定。投标人可自主选择是否递交投标文件光盘（备用）。</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4.1.1</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投标人有下列情况之一的，招标人将拒绝接收投标人的投标文件：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 在投标截止期后逾期或未在指定地点递交投标文件的。</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(b) 投标文件未按招标文件要求密封的。</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(c) 项目负责人未携本人身份证原件准时出席收标会或未按要求签到的。</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(d) 在投标截止时，投标人代表未同时凭法定代表人证明书原件、法定代表人授权委托书原件（非法定代表人参加时提供）、本人身份证原件递交投标文件的。</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投标人有下列情况之一的，招标人将拒绝接收投标人的投标文件或者投标文件光盘：</w:t>
            </w:r>
          </w:p>
          <w:p>
            <w:pPr>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 xml:space="preserve">  (a) 在投标截止期后逾期或未在指定交易平台递交电子投标文件的，招标人（或招标代理）拒绝接收其电子投标文件。</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u w:val="single"/>
              </w:rPr>
              <w:t xml:space="preserve">  (b)　投标人代表未凭法定代表人证明书原件、法定代表人授权委托书原件（非法定代表人递交投标文件光盘时提供）、本人身份证复印件（提供原件核对）在招标公告规定的时间和地点（如项目招标投标活动安排变更，时间和地点按照最新规定）递交投标文件光盘（备用），或电子光盘未按招标文件规定封装的，招标人（或招标代理）拒绝接收其投标文件光盘（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r>
              <w:rPr>
                <w:rFonts w:asciiTheme="minorEastAsia" w:hAnsiTheme="minorEastAsia" w:eastAsiaTheme="minorEastAsia" w:cstheme="minorEastAsia"/>
                <w:color w:val="auto"/>
                <w:szCs w:val="21"/>
              </w:rPr>
              <w:t>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4.1.2</w:t>
            </w:r>
          </w:p>
        </w:tc>
        <w:tc>
          <w:tcPr>
            <w:tcW w:w="3715" w:type="dxa"/>
            <w:vAlign w:val="center"/>
          </w:tcPr>
          <w:p>
            <w:pPr>
              <w:jc w:val="left"/>
              <w:rPr>
                <w:rFonts w:ascii="宋体" w:hAnsi="宋体"/>
                <w:color w:val="auto"/>
              </w:rPr>
            </w:pPr>
            <w:r>
              <w:rPr>
                <w:rFonts w:hint="eastAsia" w:ascii="宋体" w:hAnsi="宋体"/>
                <w:color w:val="auto"/>
              </w:rPr>
              <w:t>商务投标文件有下列情况之一的，由评标委员会确定其为废标：</w:t>
            </w:r>
          </w:p>
          <w:p>
            <w:pPr>
              <w:jc w:val="left"/>
              <w:rPr>
                <w:rFonts w:ascii="宋体" w:hAnsi="宋体"/>
                <w:color w:val="auto"/>
              </w:rPr>
            </w:pPr>
            <w:r>
              <w:rPr>
                <w:rFonts w:hint="eastAsia" w:ascii="宋体" w:hAnsi="宋体"/>
                <w:color w:val="auto"/>
              </w:rPr>
              <w:t>（a）投标人与招标人、评标委员会成员或者其他投标人串通投标。</w:t>
            </w:r>
          </w:p>
          <w:p>
            <w:pPr>
              <w:jc w:val="left"/>
              <w:rPr>
                <w:rFonts w:ascii="宋体" w:hAnsi="宋体"/>
                <w:color w:val="auto"/>
              </w:rPr>
            </w:pPr>
            <w:r>
              <w:rPr>
                <w:rFonts w:hint="eastAsia" w:ascii="宋体" w:hAnsi="宋体"/>
                <w:color w:val="auto"/>
              </w:rPr>
              <w:t xml:space="preserve">（b）商务文件封面未盖投标人公章。 </w:t>
            </w:r>
          </w:p>
          <w:p>
            <w:pPr>
              <w:jc w:val="left"/>
              <w:rPr>
                <w:rFonts w:ascii="宋体" w:hAnsi="宋体"/>
                <w:color w:val="auto"/>
              </w:rPr>
            </w:pPr>
            <w:r>
              <w:rPr>
                <w:rFonts w:hint="eastAsia" w:ascii="宋体" w:hAnsi="宋体"/>
                <w:color w:val="auto"/>
              </w:rPr>
              <w:t xml:space="preserve">（c）《投标书》未加盖投标人公章。 </w:t>
            </w:r>
          </w:p>
          <w:p>
            <w:pPr>
              <w:jc w:val="left"/>
              <w:rPr>
                <w:rFonts w:ascii="宋体" w:hAnsi="宋体"/>
                <w:color w:val="auto"/>
              </w:rPr>
            </w:pPr>
            <w:r>
              <w:rPr>
                <w:rFonts w:hint="eastAsia" w:ascii="宋体" w:hAnsi="宋体"/>
                <w:color w:val="auto"/>
              </w:rPr>
              <w:t xml:space="preserve">（d）《投标书》未经法定代表人或者其授权代表签名。 </w:t>
            </w:r>
          </w:p>
          <w:p>
            <w:pPr>
              <w:jc w:val="left"/>
              <w:rPr>
                <w:rFonts w:ascii="宋体" w:hAnsi="宋体"/>
                <w:color w:val="auto"/>
              </w:rPr>
            </w:pPr>
            <w:r>
              <w:rPr>
                <w:rFonts w:hint="eastAsia" w:ascii="宋体" w:hAnsi="宋体"/>
                <w:color w:val="auto"/>
              </w:rPr>
              <w:t>（e）《投标书》包含有招标人不能接受的偏差，并且投标人拒绝书面撤回偏差。</w:t>
            </w:r>
          </w:p>
          <w:p>
            <w:pPr>
              <w:jc w:val="left"/>
              <w:rPr>
                <w:rFonts w:ascii="宋体" w:hAnsi="宋体"/>
                <w:color w:val="auto"/>
              </w:rPr>
            </w:pPr>
            <w:r>
              <w:rPr>
                <w:rFonts w:hint="eastAsia" w:ascii="宋体" w:hAnsi="宋体"/>
                <w:color w:val="auto"/>
              </w:rPr>
              <w:t>（f）《投标书》未按招标文件规定的格式填写，内容不全或者关键字迹模糊无法辨认的。</w:t>
            </w:r>
          </w:p>
          <w:p>
            <w:pPr>
              <w:jc w:val="left"/>
              <w:rPr>
                <w:rFonts w:ascii="宋体" w:hAnsi="宋体"/>
                <w:color w:val="auto"/>
              </w:rPr>
            </w:pPr>
            <w:r>
              <w:rPr>
                <w:rFonts w:hint="eastAsia" w:ascii="宋体" w:hAnsi="宋体"/>
                <w:color w:val="auto"/>
              </w:rPr>
              <w:t>（g）证明材料有弄虚作假者。</w:t>
            </w:r>
          </w:p>
          <w:p>
            <w:pPr>
              <w:jc w:val="left"/>
              <w:rPr>
                <w:rFonts w:ascii="宋体" w:hAnsi="宋体"/>
                <w:color w:val="auto"/>
              </w:rPr>
            </w:pPr>
            <w:r>
              <w:rPr>
                <w:rFonts w:hint="eastAsia" w:ascii="宋体" w:hAnsi="宋体"/>
                <w:color w:val="auto"/>
              </w:rPr>
              <w:t>（h）不按第三章投标文件编制要求编制的投标文件。</w:t>
            </w:r>
          </w:p>
          <w:p>
            <w:pPr>
              <w:jc w:val="left"/>
              <w:rPr>
                <w:rFonts w:ascii="宋体" w:hAnsi="宋体"/>
                <w:color w:val="auto"/>
              </w:rPr>
            </w:pPr>
            <w:r>
              <w:rPr>
                <w:rFonts w:hint="eastAsia" w:ascii="宋体" w:hAnsi="宋体"/>
                <w:color w:val="auto"/>
              </w:rPr>
              <w:t>（i）未按照招标文件要求提交投标保证金的。</w:t>
            </w:r>
          </w:p>
          <w:p>
            <w:pPr>
              <w:jc w:val="left"/>
              <w:rPr>
                <w:rFonts w:ascii="宋体" w:hAnsi="宋体"/>
                <w:color w:val="auto"/>
              </w:rPr>
            </w:pPr>
            <w:r>
              <w:rPr>
                <w:rFonts w:hint="eastAsia" w:ascii="宋体" w:hAnsi="宋体"/>
                <w:color w:val="auto"/>
              </w:rPr>
              <w:t>（j）不按照要求对投标文件进行澄清、说明或者补正的。</w:t>
            </w:r>
          </w:p>
          <w:p>
            <w:pPr>
              <w:jc w:val="left"/>
              <w:rPr>
                <w:rFonts w:ascii="宋体" w:hAnsi="宋体"/>
                <w:color w:val="auto"/>
              </w:rPr>
            </w:pPr>
            <w:r>
              <w:rPr>
                <w:rFonts w:hint="eastAsia" w:ascii="宋体" w:hAnsi="宋体"/>
                <w:color w:val="auto"/>
              </w:rPr>
              <w:t>（k）未按照招标文件要求进行投标报价的。</w:t>
            </w:r>
          </w:p>
          <w:p>
            <w:pPr>
              <w:jc w:val="left"/>
              <w:rPr>
                <w:rFonts w:asciiTheme="minorEastAsia" w:hAnsiTheme="minorEastAsia" w:eastAsiaTheme="minorEastAsia" w:cstheme="minorEastAsia"/>
                <w:color w:val="auto"/>
                <w:szCs w:val="21"/>
              </w:rPr>
            </w:pPr>
            <w:r>
              <w:rPr>
                <w:rFonts w:hint="eastAsia" w:ascii="宋体" w:hAnsi="宋体"/>
                <w:color w:val="auto"/>
              </w:rPr>
              <w:t>(l) 以联合体形式投标的，未向招标人提交联合体共同投标协议。</w:t>
            </w:r>
          </w:p>
        </w:tc>
        <w:tc>
          <w:tcPr>
            <w:tcW w:w="3261" w:type="dxa"/>
          </w:tcPr>
          <w:p>
            <w:pPr>
              <w:jc w:val="left"/>
              <w:rPr>
                <w:rFonts w:ascii="宋体" w:hAnsi="宋体"/>
                <w:b/>
                <w:color w:val="auto"/>
                <w:szCs w:val="21"/>
              </w:rPr>
            </w:pPr>
            <w:r>
              <w:rPr>
                <w:rFonts w:hint="eastAsia" w:ascii="宋体" w:hAnsi="宋体"/>
                <w:b/>
                <w:color w:val="auto"/>
                <w:szCs w:val="21"/>
              </w:rPr>
              <w:t>修改：</w:t>
            </w:r>
          </w:p>
          <w:p>
            <w:pPr>
              <w:rPr>
                <w:rFonts w:ascii="宋体" w:hAnsi="宋体"/>
                <w:b/>
                <w:color w:val="auto"/>
                <w:szCs w:val="21"/>
              </w:rPr>
            </w:pPr>
            <w:r>
              <w:rPr>
                <w:rFonts w:hint="eastAsia" w:ascii="宋体" w:hAnsi="宋体"/>
                <w:color w:val="auto"/>
                <w:szCs w:val="21"/>
              </w:rPr>
              <w:t>商务投标文件有下列情况之一的，由评标委员会确定其为废标：</w:t>
            </w:r>
          </w:p>
          <w:p>
            <w:pPr>
              <w:rPr>
                <w:rFonts w:ascii="宋体" w:hAnsi="宋体"/>
                <w:color w:val="auto"/>
                <w:szCs w:val="21"/>
              </w:rPr>
            </w:pPr>
            <w:r>
              <w:rPr>
                <w:rFonts w:hint="eastAsia" w:ascii="宋体" w:hAnsi="宋体"/>
                <w:color w:val="auto"/>
                <w:szCs w:val="21"/>
              </w:rPr>
              <w:t>（a）投标人与招标人、评标委员会成员或者其他投标人串通投标。</w:t>
            </w:r>
          </w:p>
          <w:p>
            <w:pPr>
              <w:rPr>
                <w:rFonts w:ascii="宋体" w:hAnsi="宋体"/>
                <w:color w:val="auto"/>
                <w:szCs w:val="21"/>
                <w:u w:val="single"/>
              </w:rPr>
            </w:pPr>
            <w:r>
              <w:rPr>
                <w:rFonts w:hint="eastAsia" w:ascii="宋体" w:hAnsi="宋体"/>
                <w:color w:val="auto"/>
                <w:szCs w:val="21"/>
                <w:u w:val="single"/>
              </w:rPr>
              <w:t>（b）投标人与其他投标人加密打包投标文件电脑机器特征码一致的。</w:t>
            </w:r>
          </w:p>
          <w:p>
            <w:pPr>
              <w:rPr>
                <w:rFonts w:ascii="宋体" w:hAnsi="宋体"/>
                <w:color w:val="auto"/>
                <w:szCs w:val="21"/>
              </w:rPr>
            </w:pPr>
            <w:r>
              <w:rPr>
                <w:rFonts w:hint="eastAsia" w:ascii="宋体" w:hAnsi="宋体"/>
                <w:color w:val="auto"/>
                <w:szCs w:val="21"/>
                <w:u w:val="single"/>
              </w:rPr>
              <w:t>（c）</w:t>
            </w:r>
            <w:r>
              <w:rPr>
                <w:rFonts w:hint="eastAsia" w:ascii="宋体" w:hAnsi="宋体"/>
                <w:color w:val="auto"/>
                <w:szCs w:val="21"/>
              </w:rPr>
              <w:t>商务文件封面未盖投标人公章。</w:t>
            </w:r>
          </w:p>
          <w:p>
            <w:pPr>
              <w:rPr>
                <w:rFonts w:ascii="宋体" w:hAnsi="宋体"/>
                <w:color w:val="auto"/>
                <w:szCs w:val="21"/>
              </w:rPr>
            </w:pPr>
            <w:r>
              <w:rPr>
                <w:rFonts w:hint="eastAsia" w:ascii="宋体" w:hAnsi="宋体"/>
                <w:color w:val="auto"/>
                <w:szCs w:val="21"/>
                <w:u w:val="single"/>
              </w:rPr>
              <w:t>（d）</w:t>
            </w:r>
            <w:r>
              <w:rPr>
                <w:rFonts w:hint="eastAsia" w:ascii="宋体" w:hAnsi="宋体"/>
                <w:color w:val="auto"/>
                <w:szCs w:val="21"/>
              </w:rPr>
              <w:t xml:space="preserve">《投标书》未加盖投标人公章。 </w:t>
            </w:r>
          </w:p>
          <w:p>
            <w:pPr>
              <w:rPr>
                <w:rFonts w:ascii="宋体" w:hAnsi="宋体"/>
                <w:color w:val="auto"/>
                <w:szCs w:val="21"/>
              </w:rPr>
            </w:pPr>
            <w:r>
              <w:rPr>
                <w:rFonts w:hint="eastAsia" w:ascii="宋体" w:hAnsi="宋体"/>
                <w:color w:val="auto"/>
                <w:szCs w:val="21"/>
                <w:u w:val="single"/>
              </w:rPr>
              <w:t>（e）</w:t>
            </w:r>
            <w:r>
              <w:rPr>
                <w:rFonts w:hint="eastAsia" w:ascii="宋体" w:hAnsi="宋体"/>
                <w:color w:val="auto"/>
                <w:szCs w:val="21"/>
              </w:rPr>
              <w:t xml:space="preserve">《投标书》未经法定代表人或者其授权代表签名。 </w:t>
            </w:r>
          </w:p>
          <w:p>
            <w:pPr>
              <w:rPr>
                <w:rFonts w:ascii="宋体" w:hAnsi="宋体"/>
                <w:color w:val="auto"/>
                <w:szCs w:val="21"/>
              </w:rPr>
            </w:pPr>
            <w:r>
              <w:rPr>
                <w:rFonts w:hint="eastAsia" w:ascii="宋体" w:hAnsi="宋体"/>
                <w:color w:val="auto"/>
                <w:szCs w:val="21"/>
                <w:u w:val="single"/>
              </w:rPr>
              <w:t>（f）</w:t>
            </w:r>
            <w:r>
              <w:rPr>
                <w:rFonts w:hint="eastAsia" w:ascii="宋体" w:hAnsi="宋体"/>
                <w:color w:val="auto"/>
                <w:szCs w:val="21"/>
              </w:rPr>
              <w:t>《投标书》包含有招标人不能接受的偏差，并且投标人拒绝书面撤回偏差。</w:t>
            </w:r>
          </w:p>
          <w:p>
            <w:pPr>
              <w:rPr>
                <w:rFonts w:ascii="宋体" w:hAnsi="宋体"/>
                <w:color w:val="auto"/>
                <w:szCs w:val="21"/>
              </w:rPr>
            </w:pPr>
            <w:r>
              <w:rPr>
                <w:rFonts w:hint="eastAsia" w:ascii="宋体" w:hAnsi="宋体"/>
                <w:color w:val="auto"/>
                <w:szCs w:val="21"/>
                <w:u w:val="single"/>
              </w:rPr>
              <w:t>（g）</w:t>
            </w:r>
            <w:r>
              <w:rPr>
                <w:rFonts w:hint="eastAsia" w:ascii="宋体" w:hAnsi="宋体"/>
                <w:color w:val="auto"/>
                <w:szCs w:val="21"/>
              </w:rPr>
              <w:t>《投标书》未按招标文件规定的格式填写，内容不全或者关键字迹模糊无法辨认的。</w:t>
            </w:r>
          </w:p>
          <w:p>
            <w:pPr>
              <w:rPr>
                <w:rFonts w:ascii="宋体" w:hAnsi="宋体"/>
                <w:color w:val="auto"/>
                <w:szCs w:val="21"/>
              </w:rPr>
            </w:pPr>
            <w:r>
              <w:rPr>
                <w:rFonts w:hint="eastAsia" w:ascii="宋体" w:hAnsi="宋体"/>
                <w:color w:val="auto"/>
                <w:szCs w:val="21"/>
                <w:u w:val="single"/>
              </w:rPr>
              <w:t>（h）</w:t>
            </w:r>
            <w:r>
              <w:rPr>
                <w:rFonts w:hint="eastAsia" w:ascii="宋体" w:hAnsi="宋体"/>
                <w:color w:val="auto"/>
                <w:szCs w:val="21"/>
              </w:rPr>
              <w:t>证明材料有弄虚作假者。</w:t>
            </w:r>
          </w:p>
          <w:p>
            <w:pPr>
              <w:rPr>
                <w:rFonts w:ascii="宋体" w:hAnsi="宋体"/>
                <w:color w:val="auto"/>
                <w:szCs w:val="21"/>
              </w:rPr>
            </w:pPr>
            <w:r>
              <w:rPr>
                <w:rFonts w:hint="eastAsia" w:ascii="宋体" w:hAnsi="宋体"/>
                <w:color w:val="auto"/>
                <w:szCs w:val="21"/>
                <w:u w:val="single"/>
              </w:rPr>
              <w:t>（i）</w:t>
            </w:r>
            <w:r>
              <w:rPr>
                <w:rFonts w:hint="eastAsia" w:ascii="宋体" w:hAnsi="宋体"/>
                <w:color w:val="auto"/>
                <w:szCs w:val="21"/>
              </w:rPr>
              <w:t>不按第三章投标文件编制要求编制的投标文件。</w:t>
            </w:r>
          </w:p>
          <w:p>
            <w:pPr>
              <w:rPr>
                <w:rFonts w:ascii="宋体" w:hAnsi="宋体"/>
                <w:color w:val="auto"/>
                <w:szCs w:val="21"/>
              </w:rPr>
            </w:pPr>
            <w:r>
              <w:rPr>
                <w:rFonts w:hint="eastAsia" w:ascii="宋体" w:hAnsi="宋体"/>
                <w:color w:val="auto"/>
                <w:szCs w:val="21"/>
                <w:u w:val="single"/>
              </w:rPr>
              <w:t>（j）</w:t>
            </w:r>
            <w:r>
              <w:rPr>
                <w:rFonts w:hint="eastAsia" w:ascii="宋体" w:hAnsi="宋体"/>
                <w:color w:val="auto"/>
                <w:szCs w:val="21"/>
              </w:rPr>
              <w:t>未按照招标文件要求提交投标保证金的。</w:t>
            </w:r>
          </w:p>
          <w:p>
            <w:pPr>
              <w:rPr>
                <w:rFonts w:ascii="宋体" w:hAnsi="宋体"/>
                <w:color w:val="auto"/>
                <w:szCs w:val="21"/>
              </w:rPr>
            </w:pPr>
            <w:r>
              <w:rPr>
                <w:rFonts w:hint="eastAsia" w:ascii="宋体" w:hAnsi="宋体"/>
                <w:color w:val="auto"/>
                <w:szCs w:val="21"/>
                <w:u w:val="single"/>
              </w:rPr>
              <w:t>（k）</w:t>
            </w:r>
            <w:r>
              <w:rPr>
                <w:rFonts w:hint="eastAsia" w:ascii="宋体" w:hAnsi="宋体"/>
                <w:color w:val="auto"/>
                <w:szCs w:val="21"/>
              </w:rPr>
              <w:t>不按照要求对投标文件进行澄清、说明或者补正的。</w:t>
            </w:r>
          </w:p>
          <w:p>
            <w:pPr>
              <w:rPr>
                <w:rFonts w:ascii="宋体" w:hAnsi="宋体"/>
                <w:color w:val="auto"/>
                <w:szCs w:val="21"/>
              </w:rPr>
            </w:pPr>
            <w:r>
              <w:rPr>
                <w:rFonts w:hint="eastAsia" w:ascii="宋体" w:hAnsi="宋体"/>
                <w:color w:val="auto"/>
                <w:szCs w:val="21"/>
                <w:u w:val="single"/>
              </w:rPr>
              <w:t>（l）</w:t>
            </w:r>
            <w:r>
              <w:rPr>
                <w:rFonts w:hint="eastAsia" w:ascii="宋体" w:hAnsi="宋体"/>
                <w:color w:val="auto"/>
                <w:szCs w:val="21"/>
              </w:rPr>
              <w:t>未按照招标文件要求进行投标报价的。</w:t>
            </w:r>
          </w:p>
          <w:p>
            <w:pPr>
              <w:jc w:val="left"/>
              <w:rPr>
                <w:rFonts w:asciiTheme="minorEastAsia" w:hAnsiTheme="minorEastAsia" w:eastAsiaTheme="minorEastAsia" w:cstheme="minorEastAsia"/>
                <w:color w:val="auto"/>
                <w:szCs w:val="21"/>
                <w:u w:val="single"/>
              </w:rPr>
            </w:pPr>
            <w:r>
              <w:rPr>
                <w:rFonts w:hint="eastAsia" w:ascii="宋体" w:hAnsi="宋体"/>
                <w:color w:val="auto"/>
                <w:szCs w:val="21"/>
                <w:u w:val="single"/>
              </w:rPr>
              <w:t>(m)</w:t>
            </w:r>
            <w:r>
              <w:rPr>
                <w:rFonts w:hint="eastAsia" w:ascii="宋体" w:hAnsi="宋体"/>
                <w:color w:val="auto"/>
                <w:szCs w:val="21"/>
              </w:rPr>
              <w:t xml:space="preserve"> 以联合体形式投标的，未向招标人提交联合体共同投标协议。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4.1.3</w:t>
            </w:r>
          </w:p>
        </w:tc>
        <w:tc>
          <w:tcPr>
            <w:tcW w:w="3715" w:type="dxa"/>
            <w:vAlign w:val="center"/>
          </w:tcPr>
          <w:p>
            <w:pPr>
              <w:jc w:val="left"/>
              <w:rPr>
                <w:rFonts w:ascii="宋体" w:hAnsi="宋体"/>
                <w:color w:val="auto"/>
              </w:rPr>
            </w:pPr>
            <w:r>
              <w:rPr>
                <w:rFonts w:hint="eastAsia" w:ascii="宋体" w:hAnsi="宋体"/>
                <w:color w:val="auto"/>
              </w:rPr>
              <w:t>技术投标文件有下列情况之一的，由评标委员会确定其为废标：</w:t>
            </w:r>
          </w:p>
          <w:p>
            <w:pPr>
              <w:jc w:val="left"/>
              <w:rPr>
                <w:rFonts w:ascii="宋体" w:hAnsi="宋体"/>
                <w:color w:val="auto"/>
              </w:rPr>
            </w:pPr>
            <w:r>
              <w:rPr>
                <w:rFonts w:hint="eastAsia" w:ascii="宋体" w:hAnsi="宋体"/>
                <w:color w:val="auto"/>
              </w:rPr>
              <w:t xml:space="preserve">（a）投标人在设计方案内标注名称、印章、商标等记认符号，使人辨认出投标人或其专业技术人员的身份。 </w:t>
            </w:r>
          </w:p>
          <w:p>
            <w:pPr>
              <w:jc w:val="left"/>
              <w:rPr>
                <w:rFonts w:ascii="宋体" w:hAnsi="宋体"/>
                <w:color w:val="auto"/>
              </w:rPr>
            </w:pPr>
            <w:r>
              <w:rPr>
                <w:rFonts w:hint="eastAsia" w:ascii="宋体" w:hAnsi="宋体"/>
                <w:color w:val="auto"/>
              </w:rPr>
              <w:t xml:space="preserve">（b）有互相雷同或串通投标的。 </w:t>
            </w:r>
          </w:p>
          <w:p>
            <w:pPr>
              <w:jc w:val="left"/>
              <w:rPr>
                <w:rFonts w:ascii="宋体" w:hAnsi="宋体"/>
                <w:color w:val="auto"/>
              </w:rPr>
            </w:pPr>
            <w:r>
              <w:rPr>
                <w:rFonts w:hint="eastAsia" w:ascii="宋体" w:hAnsi="宋体"/>
                <w:color w:val="auto"/>
              </w:rPr>
              <w:t xml:space="preserve">（c）有明显抄袭行为。 </w:t>
            </w:r>
          </w:p>
          <w:p>
            <w:pPr>
              <w:jc w:val="left"/>
              <w:rPr>
                <w:rFonts w:ascii="宋体" w:hAnsi="宋体"/>
                <w:color w:val="auto"/>
              </w:rPr>
            </w:pPr>
            <w:r>
              <w:rPr>
                <w:rFonts w:hint="eastAsia" w:ascii="宋体" w:hAnsi="宋体"/>
                <w:color w:val="auto"/>
              </w:rPr>
              <w:t>（d）侵犯他人著作权和特许权。</w:t>
            </w:r>
          </w:p>
          <w:p>
            <w:pPr>
              <w:jc w:val="left"/>
              <w:rPr>
                <w:rFonts w:asciiTheme="minorEastAsia" w:hAnsiTheme="minorEastAsia" w:eastAsiaTheme="minorEastAsia" w:cstheme="minorEastAsia"/>
                <w:color w:val="auto"/>
                <w:szCs w:val="21"/>
              </w:rPr>
            </w:pPr>
            <w:r>
              <w:rPr>
                <w:rFonts w:hint="eastAsia" w:ascii="宋体" w:hAnsi="宋体"/>
                <w:color w:val="auto"/>
              </w:rPr>
              <w:t>（e）不按第三章投标文件编制要求编制投标文件。</w:t>
            </w:r>
          </w:p>
        </w:tc>
        <w:tc>
          <w:tcPr>
            <w:tcW w:w="3261" w:type="dxa"/>
          </w:tcPr>
          <w:p>
            <w:pPr>
              <w:jc w:val="left"/>
              <w:rPr>
                <w:rFonts w:ascii="宋体" w:hAnsi="宋体"/>
                <w:b/>
                <w:color w:val="auto"/>
                <w:szCs w:val="21"/>
              </w:rPr>
            </w:pPr>
            <w:r>
              <w:rPr>
                <w:rFonts w:hint="eastAsia" w:ascii="宋体" w:hAnsi="宋体"/>
                <w:b/>
                <w:color w:val="auto"/>
                <w:szCs w:val="21"/>
              </w:rPr>
              <w:t>修改：</w:t>
            </w:r>
          </w:p>
          <w:p>
            <w:pPr>
              <w:rPr>
                <w:rFonts w:ascii="宋体" w:hAnsi="宋体"/>
                <w:b/>
                <w:color w:val="auto"/>
                <w:szCs w:val="21"/>
              </w:rPr>
            </w:pPr>
            <w:r>
              <w:rPr>
                <w:rFonts w:hint="eastAsia" w:ascii="宋体" w:hAnsi="宋体"/>
                <w:color w:val="auto"/>
                <w:szCs w:val="21"/>
                <w:u w:val="single"/>
              </w:rPr>
              <w:t>技术文件（勘察设计方案）</w:t>
            </w:r>
            <w:r>
              <w:rPr>
                <w:rFonts w:hint="eastAsia" w:ascii="宋体" w:hAnsi="宋体"/>
                <w:color w:val="auto"/>
                <w:szCs w:val="21"/>
              </w:rPr>
              <w:t>有下列情况之一的，由评标委员会确定其为废标：</w:t>
            </w:r>
          </w:p>
          <w:p>
            <w:pPr>
              <w:ind w:left="554" w:leftChars="114" w:hanging="315" w:hangingChars="150"/>
              <w:rPr>
                <w:rFonts w:ascii="宋体" w:hAnsi="宋体"/>
                <w:color w:val="auto"/>
                <w:szCs w:val="21"/>
              </w:rPr>
            </w:pPr>
            <w:r>
              <w:rPr>
                <w:rFonts w:hint="eastAsia" w:ascii="宋体" w:hAnsi="宋体"/>
                <w:color w:val="auto"/>
                <w:szCs w:val="21"/>
              </w:rPr>
              <w:t>（a）投标人在</w:t>
            </w:r>
            <w:r>
              <w:rPr>
                <w:rFonts w:hint="eastAsia" w:ascii="宋体" w:hAnsi="宋体"/>
                <w:color w:val="auto"/>
                <w:szCs w:val="21"/>
                <w:u w:val="single"/>
              </w:rPr>
              <w:t>技术文件（勘察设计方案）上</w:t>
            </w:r>
            <w:r>
              <w:rPr>
                <w:rFonts w:hint="eastAsia" w:ascii="宋体" w:hAnsi="宋体"/>
                <w:color w:val="auto"/>
                <w:szCs w:val="21"/>
              </w:rPr>
              <w:t>标注名称、印章、商标、图形等记认符号</w:t>
            </w:r>
            <w:r>
              <w:rPr>
                <w:rFonts w:hint="eastAsia" w:ascii="宋体" w:hAnsi="宋体"/>
                <w:color w:val="auto"/>
                <w:szCs w:val="21"/>
                <w:u w:val="single"/>
              </w:rPr>
              <w:t>或显示投标报价信息</w:t>
            </w:r>
            <w:r>
              <w:rPr>
                <w:rFonts w:hint="eastAsia" w:ascii="宋体" w:hAnsi="宋体"/>
                <w:color w:val="auto"/>
                <w:szCs w:val="21"/>
              </w:rPr>
              <w:t xml:space="preserve">，使人辨认出投标人或其专业技术人员的身份。 </w:t>
            </w:r>
          </w:p>
          <w:p>
            <w:pPr>
              <w:ind w:left="554" w:leftChars="114" w:hanging="315" w:hangingChars="150"/>
              <w:rPr>
                <w:rFonts w:ascii="宋体" w:hAnsi="宋体"/>
                <w:color w:val="auto"/>
                <w:szCs w:val="21"/>
              </w:rPr>
            </w:pPr>
            <w:r>
              <w:rPr>
                <w:rFonts w:hint="eastAsia" w:ascii="宋体" w:hAnsi="宋体"/>
                <w:color w:val="auto"/>
                <w:szCs w:val="21"/>
              </w:rPr>
              <w:t xml:space="preserve">（b）有互相雷同或串通投标的。 </w:t>
            </w:r>
          </w:p>
          <w:p>
            <w:pPr>
              <w:ind w:left="554" w:leftChars="114" w:hanging="315" w:hangingChars="150"/>
              <w:rPr>
                <w:rFonts w:ascii="宋体" w:hAnsi="宋体"/>
                <w:color w:val="auto"/>
                <w:szCs w:val="21"/>
              </w:rPr>
            </w:pPr>
            <w:r>
              <w:rPr>
                <w:rFonts w:hint="eastAsia" w:ascii="宋体" w:hAnsi="宋体"/>
                <w:color w:val="auto"/>
                <w:szCs w:val="21"/>
              </w:rPr>
              <w:t xml:space="preserve">（c）有明显抄袭行为。 </w:t>
            </w:r>
          </w:p>
          <w:p>
            <w:pPr>
              <w:ind w:left="554" w:leftChars="114" w:hanging="315" w:hangingChars="150"/>
              <w:rPr>
                <w:rFonts w:ascii="宋体" w:hAnsi="宋体"/>
                <w:color w:val="auto"/>
                <w:szCs w:val="21"/>
              </w:rPr>
            </w:pPr>
            <w:r>
              <w:rPr>
                <w:rFonts w:hint="eastAsia" w:ascii="宋体" w:hAnsi="宋体"/>
                <w:color w:val="auto"/>
                <w:szCs w:val="21"/>
              </w:rPr>
              <w:t>（d）侵犯他人著作权和特许权。</w:t>
            </w:r>
          </w:p>
          <w:p>
            <w:pPr>
              <w:jc w:val="left"/>
              <w:rPr>
                <w:rFonts w:asciiTheme="minorEastAsia" w:hAnsiTheme="minorEastAsia" w:eastAsiaTheme="minorEastAsia" w:cstheme="minorEastAsia"/>
                <w:color w:val="auto"/>
                <w:szCs w:val="21"/>
              </w:rPr>
            </w:pPr>
            <w:r>
              <w:rPr>
                <w:rFonts w:hint="eastAsia" w:ascii="宋体" w:hAnsi="宋体"/>
                <w:color w:val="auto"/>
                <w:szCs w:val="21"/>
              </w:rPr>
              <w:t>（e）不按第三章投标文件编制要求编制投标文件。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55</w:t>
            </w:r>
          </w:p>
        </w:tc>
        <w:tc>
          <w:tcPr>
            <w:tcW w:w="1434" w:type="dxa"/>
            <w:vAlign w:val="center"/>
          </w:tcPr>
          <w:p>
            <w:pPr>
              <w:jc w:val="center"/>
              <w:rPr>
                <w:rFonts w:ascii="宋体" w:hAnsi="宋体" w:cs="宋体"/>
                <w:color w:val="auto"/>
                <w:szCs w:val="21"/>
              </w:rPr>
            </w:pPr>
            <w:r>
              <w:rPr>
                <w:rFonts w:hint="eastAsia" w:ascii="宋体" w:hAnsi="宋体" w:cs="宋体"/>
                <w:color w:val="auto"/>
                <w:szCs w:val="21"/>
              </w:rPr>
              <w:t>5.1.1</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cs="宋体"/>
                <w:color w:val="auto"/>
                <w:szCs w:val="21"/>
              </w:rPr>
              <w:t>5.1.1评标委员会由广州建设工程交易中心专家库随机抽取的专家名和业主代表名组成，共名。</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cs="宋体"/>
                <w:color w:val="auto"/>
                <w:szCs w:val="21"/>
              </w:rPr>
            </w:pPr>
            <w:r>
              <w:rPr>
                <w:rFonts w:hint="eastAsia" w:ascii="宋体" w:hAnsi="宋体" w:cs="宋体"/>
                <w:color w:val="auto"/>
                <w:szCs w:val="21"/>
              </w:rPr>
              <w:t>5.1.1评标委员会由招标人依法组建。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56</w:t>
            </w:r>
          </w:p>
        </w:tc>
        <w:tc>
          <w:tcPr>
            <w:tcW w:w="1434" w:type="dxa"/>
            <w:vAlign w:val="center"/>
          </w:tcPr>
          <w:p>
            <w:pPr>
              <w:jc w:val="center"/>
              <w:rPr>
                <w:rFonts w:ascii="宋体" w:hAnsi="宋体" w:cs="宋体"/>
                <w:color w:val="auto"/>
                <w:szCs w:val="21"/>
              </w:rPr>
            </w:pPr>
            <w:r>
              <w:rPr>
                <w:rFonts w:hint="eastAsia" w:ascii="宋体" w:hAnsi="宋体" w:cs="宋体"/>
                <w:color w:val="auto"/>
                <w:szCs w:val="21"/>
              </w:rPr>
              <w:t>5.2.5</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cs="宋体"/>
                <w:color w:val="auto"/>
                <w:szCs w:val="21"/>
              </w:rPr>
              <w:t>5.2.5如果少数投标人超越招标文件要求提交了模型、演示动画、特殊规格展示图纸或发生其他特殊情况，评标委员会可以对超越招标文件要求的内容不进行评审，只评审该投标文件符合要求的内容。</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cs="宋体"/>
                <w:color w:val="auto"/>
                <w:szCs w:val="21"/>
                <w:u w:val="single"/>
              </w:rPr>
            </w:pPr>
            <w:r>
              <w:rPr>
                <w:rFonts w:hint="eastAsia" w:ascii="宋体" w:hAnsi="宋体" w:cs="宋体"/>
                <w:color w:val="auto"/>
                <w:szCs w:val="21"/>
                <w:u w:val="single"/>
              </w:rPr>
              <w:t>5.2.5如果少数投标人超越招标文件要求提交了模型、演示动画、特殊规格展示图纸或发生其他特殊情况，评标委员会对超越招标文件要求的内容不进行评审，只评审该投标文件符合要求的内容。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57</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w:t>
            </w:r>
          </w:p>
        </w:tc>
        <w:tc>
          <w:tcPr>
            <w:tcW w:w="3715" w:type="dxa"/>
            <w:vAlign w:val="center"/>
          </w:tcPr>
          <w:p>
            <w:pPr>
              <w:jc w:val="left"/>
              <w:rPr>
                <w:b/>
                <w:bCs/>
                <w:color w:val="auto"/>
              </w:rPr>
            </w:pPr>
            <w:r>
              <w:rPr>
                <w:rFonts w:hint="eastAsia"/>
                <w:b/>
                <w:bCs/>
                <w:color w:val="auto"/>
              </w:rPr>
              <w:t>5.3评标办法 采用</w:t>
            </w:r>
          </w:p>
          <w:p>
            <w:pPr>
              <w:pStyle w:val="22"/>
              <w:rPr>
                <w:color w:val="auto"/>
              </w:rPr>
            </w:pPr>
            <w:r>
              <w:rPr>
                <w:rFonts w:hint="eastAsia"/>
                <w:color w:val="auto"/>
              </w:rPr>
              <w:t>办法一   采用综合评分法评标</w:t>
            </w:r>
          </w:p>
          <w:p>
            <w:pPr>
              <w:pStyle w:val="22"/>
              <w:rPr>
                <w:color w:val="auto"/>
              </w:rPr>
            </w:pPr>
            <w:r>
              <w:rPr>
                <w:rFonts w:hint="eastAsia"/>
                <w:color w:val="auto"/>
              </w:rPr>
              <w:t>5.3.1  开标评标程序</w:t>
            </w:r>
          </w:p>
          <w:p>
            <w:pPr>
              <w:pStyle w:val="22"/>
              <w:rPr>
                <w:color w:val="auto"/>
              </w:rPr>
            </w:pPr>
            <w:r>
              <w:rPr>
                <w:rFonts w:hint="eastAsia"/>
                <w:color w:val="auto"/>
              </w:rPr>
              <w:t>（1）投标人递交投标文件。</w:t>
            </w:r>
          </w:p>
          <w:p>
            <w:pPr>
              <w:pStyle w:val="22"/>
              <w:rPr>
                <w:color w:val="auto"/>
              </w:rPr>
            </w:pPr>
            <w:r>
              <w:rPr>
                <w:rFonts w:hint="eastAsia"/>
                <w:color w:val="auto"/>
              </w:rPr>
              <w:t>（2）对商务文件公开开标（技术文件不予开封）。</w:t>
            </w:r>
          </w:p>
          <w:p>
            <w:pPr>
              <w:pStyle w:val="22"/>
              <w:rPr>
                <w:color w:val="auto"/>
              </w:rPr>
            </w:pPr>
            <w:r>
              <w:rPr>
                <w:rFonts w:hint="eastAsia"/>
                <w:color w:val="auto"/>
              </w:rPr>
              <w:t>（3）对投标人进行资格审查，编写资格审查报告。</w:t>
            </w:r>
          </w:p>
          <w:p>
            <w:pPr>
              <w:pStyle w:val="22"/>
              <w:rPr>
                <w:color w:val="auto"/>
              </w:rPr>
            </w:pPr>
            <w:r>
              <w:rPr>
                <w:rFonts w:hint="eastAsia"/>
                <w:color w:val="auto"/>
              </w:rPr>
              <w:t>（4）对商务文件进行有效性审查，并对通过有效性审查的商务文件进行综合评分。</w:t>
            </w:r>
          </w:p>
          <w:p>
            <w:pPr>
              <w:pStyle w:val="22"/>
              <w:rPr>
                <w:color w:val="auto"/>
              </w:rPr>
            </w:pPr>
            <w:r>
              <w:rPr>
                <w:rFonts w:hint="eastAsia"/>
                <w:color w:val="auto"/>
              </w:rPr>
              <w:t>（5）对技术文件编号，之后先进行有效性审查，然后对通过有效性审查的技术文件进行综合评分。</w:t>
            </w:r>
          </w:p>
          <w:p>
            <w:pPr>
              <w:pStyle w:val="22"/>
              <w:rPr>
                <w:color w:val="auto"/>
              </w:rPr>
            </w:pPr>
            <w:r>
              <w:rPr>
                <w:rFonts w:hint="eastAsia"/>
                <w:color w:val="auto"/>
              </w:rPr>
              <w:t>（6）揭晓技术文件评审结果。</w:t>
            </w:r>
          </w:p>
          <w:p>
            <w:pPr>
              <w:pStyle w:val="22"/>
              <w:rPr>
                <w:color w:val="auto"/>
              </w:rPr>
            </w:pPr>
            <w:r>
              <w:rPr>
                <w:rFonts w:hint="eastAsia"/>
                <w:color w:val="auto"/>
              </w:rPr>
              <w:t>（7）汇总投标人的综合得分，推荐中标候选人并编写评审报告。</w:t>
            </w:r>
          </w:p>
          <w:p>
            <w:pPr>
              <w:pStyle w:val="22"/>
              <w:rPr>
                <w:color w:val="auto"/>
              </w:rPr>
            </w:pPr>
            <w:r>
              <w:rPr>
                <w:rFonts w:hint="eastAsia"/>
                <w:color w:val="auto"/>
              </w:rPr>
              <w:t>5.3.2  招标人（或招标代理机构）在不透露投标人身份的前提下将技术文件交给评标委员会，不需要投标人派代表介绍投标方案。评审采用综合评分法。每个项目的权重分值详见“综合评分表”（格式见附录14、16）。评委必须严格按照“综合评分表”对投标文件进行评议、打分。</w:t>
            </w:r>
          </w:p>
          <w:p>
            <w:pPr>
              <w:pStyle w:val="22"/>
              <w:rPr>
                <w:color w:val="auto"/>
              </w:rPr>
            </w:pPr>
          </w:p>
          <w:p>
            <w:pPr>
              <w:pStyle w:val="22"/>
              <w:rPr>
                <w:color w:val="auto"/>
              </w:rPr>
            </w:pPr>
            <w:r>
              <w:rPr>
                <w:rFonts w:hint="eastAsia"/>
                <w:color w:val="auto"/>
              </w:rPr>
              <w:t>(a) 评标委员会专家首先按附录12《资格审查表》对各投标文件进行评审，只有通过资格审查的投标文件方可进入下一阶段的评审。如果有废标提议，则评标委员会成员共同表决，按照少数服从多数的原则决定是否废标。</w:t>
            </w:r>
          </w:p>
          <w:p>
            <w:pPr>
              <w:pStyle w:val="22"/>
              <w:rPr>
                <w:color w:val="auto"/>
              </w:rPr>
            </w:pPr>
            <w:r>
              <w:rPr>
                <w:rFonts w:hint="eastAsia"/>
                <w:color w:val="auto"/>
              </w:rPr>
              <w:t>(b) 评标委员会专家首先按附录13《商务文件有效性审查表》对各投标文件进行评审，只有通过商务有效性审查的投标文件方可进入下一阶段的评审。如果有废标提议，则评标委员会成员共同表决，按照少数服从多数的原则决定是否废标。</w:t>
            </w:r>
          </w:p>
          <w:p>
            <w:pPr>
              <w:pStyle w:val="22"/>
              <w:rPr>
                <w:color w:val="auto"/>
              </w:rPr>
            </w:pPr>
            <w:r>
              <w:rPr>
                <w:rFonts w:hint="eastAsia"/>
                <w:color w:val="auto"/>
              </w:rPr>
              <w:t>(c) 评标委员会专家按附录14《商务文件综合评分表》对各投标单位的商务文件进行综合评分。</w:t>
            </w:r>
          </w:p>
          <w:p>
            <w:pPr>
              <w:pStyle w:val="22"/>
              <w:rPr>
                <w:color w:val="auto"/>
              </w:rPr>
            </w:pPr>
            <w:r>
              <w:rPr>
                <w:rFonts w:hint="eastAsia"/>
                <w:color w:val="auto"/>
              </w:rPr>
              <w:t>(d)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pStyle w:val="22"/>
              <w:rPr>
                <w:color w:val="auto"/>
              </w:rPr>
            </w:pPr>
            <w:r>
              <w:rPr>
                <w:rFonts w:hint="eastAsia"/>
                <w:color w:val="auto"/>
              </w:rPr>
              <w:t>(e) 评标委员会专家按附录16《技术文件综合评分表》对各投标单位的技术文件（设计方案）进行综合评分。</w:t>
            </w:r>
          </w:p>
          <w:p>
            <w:pPr>
              <w:pStyle w:val="22"/>
              <w:rPr>
                <w:color w:val="auto"/>
              </w:rPr>
            </w:pPr>
            <w:r>
              <w:rPr>
                <w:rFonts w:hint="eastAsia"/>
                <w:color w:val="auto"/>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pStyle w:val="22"/>
              <w:rPr>
                <w:color w:val="auto"/>
              </w:rPr>
            </w:pPr>
            <w:r>
              <w:rPr>
                <w:rFonts w:hint="eastAsia"/>
                <w:color w:val="auto"/>
              </w:rPr>
              <w:t>(g) 招标人（或招标代理机构）和交易中心工作人员开启保密信封，找出各编号技术文件所对应的投标人。</w:t>
            </w:r>
          </w:p>
          <w:p>
            <w:pPr>
              <w:pStyle w:val="22"/>
              <w:rPr>
                <w:color w:val="auto"/>
              </w:rPr>
            </w:pPr>
            <w:r>
              <w:rPr>
                <w:rFonts w:hint="eastAsia"/>
                <w:color w:val="auto"/>
              </w:rPr>
              <w:t>(h) 计算各投标人的综合得分，投标人的综合得分（满分100分）＝商务文件得分×30％（招标人确定）+技术文件得分×70％</w:t>
            </w:r>
          </w:p>
          <w:p>
            <w:pPr>
              <w:pStyle w:val="22"/>
              <w:rPr>
                <w:color w:val="auto"/>
              </w:rPr>
            </w:pPr>
            <w:r>
              <w:rPr>
                <w:rFonts w:hint="eastAsia"/>
                <w:color w:val="auto"/>
              </w:rPr>
              <w:t>(i)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pStyle w:val="22"/>
              <w:rPr>
                <w:color w:val="auto"/>
              </w:rPr>
            </w:pPr>
            <w:r>
              <w:rPr>
                <w:rFonts w:hint="eastAsia"/>
                <w:color w:val="auto"/>
              </w:rPr>
              <w:t>(j) 招标人（或招标代理机构）提前将揭晓评标结果的会议时间和地点通知所有投标人，并邀请投标人出席。公开展示所有投标文件及其评审名次，并根据请求告知已投标但未出席会议的投标人。</w:t>
            </w:r>
          </w:p>
          <w:p>
            <w:pPr>
              <w:pStyle w:val="22"/>
              <w:rPr>
                <w:color w:val="auto"/>
              </w:rPr>
            </w:pPr>
            <w:r>
              <w:rPr>
                <w:rFonts w:hint="eastAsia"/>
                <w:color w:val="auto"/>
              </w:rPr>
              <w:t>(k ) 评标委员会向招标人提交书面评标报告后即告解散，评标过程中使用的文件、表格以及其他资料应当即时归还招标人（或招标代理机构）。</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spacing w:line="400" w:lineRule="exact"/>
              <w:rPr>
                <w:rFonts w:ascii="宋体" w:hAnsi="宋体"/>
                <w:b/>
                <w:bCs/>
                <w:color w:val="auto"/>
                <w:szCs w:val="21"/>
              </w:rPr>
            </w:pPr>
            <w:r>
              <w:rPr>
                <w:rFonts w:hint="eastAsia" w:ascii="宋体" w:hAnsi="宋体"/>
                <w:b/>
                <w:bCs/>
                <w:color w:val="auto"/>
                <w:szCs w:val="21"/>
              </w:rPr>
              <w:t>评标办法 采用</w:t>
            </w:r>
            <w:r>
              <w:rPr>
                <w:rFonts w:hint="eastAsia" w:ascii="宋体" w:hAnsi="宋体" w:cs="宋体"/>
                <w:b/>
                <w:bCs/>
                <w:color w:val="auto"/>
                <w:szCs w:val="21"/>
                <w:u w:val="single"/>
              </w:rPr>
              <w:t>办法一</w:t>
            </w:r>
          </w:p>
          <w:p>
            <w:pPr>
              <w:pStyle w:val="34"/>
              <w:rPr>
                <w:rFonts w:ascii="宋体" w:hAnsi="宋体"/>
                <w:b/>
                <w:bCs/>
                <w:color w:val="auto"/>
                <w:szCs w:val="21"/>
              </w:rPr>
            </w:pPr>
            <w:r>
              <w:rPr>
                <w:rFonts w:hint="eastAsia" w:ascii="宋体" w:hAnsi="宋体"/>
                <w:b/>
                <w:bCs/>
                <w:color w:val="auto"/>
                <w:szCs w:val="21"/>
              </w:rPr>
              <w:t>办法一   采用综合评分法评标</w:t>
            </w:r>
          </w:p>
          <w:p>
            <w:pPr>
              <w:pStyle w:val="27"/>
              <w:ind w:left="0" w:leftChars="0"/>
              <w:rPr>
                <w:color w:val="auto"/>
              </w:rPr>
            </w:pPr>
            <w:r>
              <w:rPr>
                <w:rFonts w:hint="eastAsia"/>
                <w:color w:val="auto"/>
              </w:rPr>
              <w:t>5.3.</w:t>
            </w:r>
            <w:r>
              <w:rPr>
                <w:color w:val="auto"/>
              </w:rPr>
              <w:t>1</w:t>
            </w:r>
            <w:r>
              <w:rPr>
                <w:rFonts w:hint="eastAsia"/>
                <w:color w:val="auto"/>
              </w:rPr>
              <w:t xml:space="preserve">  开标评标程序</w:t>
            </w:r>
          </w:p>
          <w:p>
            <w:pPr>
              <w:pStyle w:val="27"/>
              <w:ind w:left="0" w:leftChars="0"/>
              <w:rPr>
                <w:color w:val="auto"/>
              </w:rPr>
            </w:pPr>
            <w:r>
              <w:rPr>
                <w:rFonts w:hint="eastAsia"/>
                <w:color w:val="auto"/>
              </w:rPr>
              <w:t>5</w:t>
            </w:r>
            <w:r>
              <w:rPr>
                <w:color w:val="auto"/>
              </w:rPr>
              <w:t>.3.1.1</w:t>
            </w:r>
            <w:r>
              <w:rPr>
                <w:rFonts w:hint="eastAsia"/>
                <w:color w:val="auto"/>
              </w:rPr>
              <w:t>在投标截止时间后半小时内，投标人通过递交投标文件的交易平台对已递交的电子投标文件进行解密。投标人完成解密后，再由招标人进行解密。解密完成后，公布招标项目名称、投标人名称、商务文件等。未在规定时间内解密的投标文件不参与开标、评标。</w:t>
            </w:r>
          </w:p>
          <w:p>
            <w:pPr>
              <w:pStyle w:val="27"/>
              <w:ind w:left="0" w:leftChars="0"/>
              <w:rPr>
                <w:color w:val="auto"/>
              </w:rPr>
            </w:pPr>
            <w:r>
              <w:rPr>
                <w:rFonts w:hint="eastAsia"/>
                <w:color w:val="auto"/>
              </w:rPr>
              <w:t>5.3</w:t>
            </w:r>
            <w:r>
              <w:rPr>
                <w:color w:val="auto"/>
              </w:rPr>
              <w:t>.1</w:t>
            </w:r>
            <w:r>
              <w:rPr>
                <w:rFonts w:hint="eastAsia"/>
                <w:color w:val="auto"/>
              </w:rPr>
              <w:t>.2.截标后，开标开始时间因故推迟的，相关评标信息仍以原定的开标开始时间的信息为准。</w:t>
            </w:r>
          </w:p>
          <w:p>
            <w:pPr>
              <w:pStyle w:val="27"/>
              <w:ind w:left="0" w:leftChars="0"/>
              <w:rPr>
                <w:color w:val="auto"/>
              </w:rPr>
            </w:pPr>
            <w:r>
              <w:rPr>
                <w:rFonts w:hint="eastAsia"/>
                <w:color w:val="auto"/>
              </w:rPr>
              <w:t>5.3</w:t>
            </w:r>
            <w:r>
              <w:rPr>
                <w:color w:val="auto"/>
              </w:rPr>
              <w:t>.1</w:t>
            </w:r>
            <w:r>
              <w:rPr>
                <w:rFonts w:hint="eastAsia"/>
                <w:color w:val="auto"/>
              </w:rPr>
              <w:t>.3备用光盘的读取按2.11.2的规定执行。</w:t>
            </w:r>
          </w:p>
          <w:p>
            <w:pPr>
              <w:pStyle w:val="27"/>
              <w:ind w:left="0" w:leftChars="0"/>
              <w:rPr>
                <w:color w:val="auto"/>
              </w:rPr>
            </w:pPr>
            <w:r>
              <w:rPr>
                <w:rFonts w:hint="eastAsia"/>
                <w:color w:val="auto"/>
              </w:rPr>
              <w:t>5.3</w:t>
            </w:r>
            <w:r>
              <w:rPr>
                <w:color w:val="auto"/>
              </w:rPr>
              <w:t>.1</w:t>
            </w:r>
            <w:r>
              <w:rPr>
                <w:rFonts w:hint="eastAsia"/>
                <w:color w:val="auto"/>
              </w:rPr>
              <w:t>.4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pStyle w:val="27"/>
              <w:ind w:left="0" w:leftChars="0"/>
              <w:rPr>
                <w:color w:val="auto"/>
              </w:rPr>
            </w:pPr>
            <w:r>
              <w:rPr>
                <w:rFonts w:hint="eastAsia"/>
                <w:color w:val="auto"/>
              </w:rPr>
              <w:t>5.3</w:t>
            </w:r>
            <w:r>
              <w:rPr>
                <w:color w:val="auto"/>
              </w:rPr>
              <w:t>.1</w:t>
            </w:r>
            <w:r>
              <w:rPr>
                <w:rFonts w:hint="eastAsia"/>
                <w:color w:val="auto"/>
              </w:rPr>
              <w:t>.5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pPr>
              <w:pStyle w:val="27"/>
              <w:ind w:left="0" w:leftChars="0"/>
              <w:rPr>
                <w:color w:val="auto"/>
              </w:rPr>
            </w:pPr>
            <w:r>
              <w:rPr>
                <w:rFonts w:hint="eastAsia"/>
                <w:color w:val="auto"/>
              </w:rPr>
              <w:t>5.3</w:t>
            </w:r>
            <w:r>
              <w:rPr>
                <w:color w:val="auto"/>
              </w:rPr>
              <w:t>.1</w:t>
            </w:r>
            <w:r>
              <w:rPr>
                <w:rFonts w:hint="eastAsia"/>
                <w:color w:val="auto"/>
              </w:rPr>
              <w:t>.6参加现场开标的投标人对开标结果有异议的，应当在开标现场提出，招标人应当当场作出答复，并制作记录。</w:t>
            </w:r>
          </w:p>
          <w:p>
            <w:pPr>
              <w:pStyle w:val="27"/>
              <w:ind w:left="0" w:leftChars="0"/>
              <w:rPr>
                <w:color w:val="auto"/>
              </w:rPr>
            </w:pPr>
            <w:r>
              <w:rPr>
                <w:rFonts w:hint="eastAsia"/>
                <w:color w:val="auto"/>
              </w:rPr>
              <w:t>5.3</w:t>
            </w:r>
            <w:r>
              <w:rPr>
                <w:color w:val="auto"/>
              </w:rPr>
              <w:t>.1</w:t>
            </w:r>
            <w:r>
              <w:rPr>
                <w:rFonts w:hint="eastAsia"/>
                <w:color w:val="auto"/>
              </w:rPr>
              <w:t>.7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pPr>
              <w:pStyle w:val="27"/>
              <w:ind w:left="0" w:leftChars="0"/>
              <w:rPr>
                <w:color w:val="auto"/>
              </w:rPr>
            </w:pPr>
            <w:r>
              <w:rPr>
                <w:rFonts w:hint="eastAsia"/>
                <w:color w:val="auto"/>
              </w:rPr>
              <w:t>5.3</w:t>
            </w:r>
            <w:r>
              <w:rPr>
                <w:color w:val="auto"/>
              </w:rPr>
              <w:t>.1</w:t>
            </w:r>
            <w:r>
              <w:rPr>
                <w:rFonts w:hint="eastAsia"/>
                <w:color w:val="auto"/>
              </w:rPr>
              <w:t>.8投标人未参加开标或在规定的时间内未提出异议的，视为对开标无异议。</w:t>
            </w:r>
          </w:p>
          <w:p>
            <w:pPr>
              <w:pStyle w:val="27"/>
              <w:ind w:left="0" w:leftChars="0"/>
              <w:rPr>
                <w:color w:val="auto"/>
              </w:rPr>
            </w:pPr>
            <w:r>
              <w:rPr>
                <w:rFonts w:hint="eastAsia"/>
                <w:color w:val="auto"/>
              </w:rPr>
              <w:t>5.3</w:t>
            </w:r>
            <w:r>
              <w:rPr>
                <w:color w:val="auto"/>
              </w:rPr>
              <w:t>.1</w:t>
            </w:r>
            <w:r>
              <w:rPr>
                <w:rFonts w:hint="eastAsia"/>
                <w:color w:val="auto"/>
              </w:rPr>
              <w:t>.9开标时，两个（含两个）以上的投标人加密打包投标文件电脑机器特征码一致的，由评标委员会确定其为废标。</w:t>
            </w:r>
          </w:p>
          <w:p>
            <w:pPr>
              <w:pStyle w:val="27"/>
              <w:ind w:left="0" w:leftChars="0"/>
              <w:rPr>
                <w:color w:val="auto"/>
              </w:rPr>
            </w:pPr>
            <w:r>
              <w:rPr>
                <w:rFonts w:hint="eastAsia"/>
                <w:color w:val="auto"/>
              </w:rPr>
              <w:t>5.3</w:t>
            </w:r>
            <w:r>
              <w:rPr>
                <w:color w:val="auto"/>
              </w:rPr>
              <w:t>.1</w:t>
            </w:r>
            <w:r>
              <w:rPr>
                <w:rFonts w:hint="eastAsia"/>
                <w:color w:val="auto"/>
              </w:rPr>
              <w:t>.10技术文件（勘察设计方案）开标时不得开启，在评标时由广州公共资源交易中心电子评标系统自动生成技术文件暗标编码后开启，交由评标委员会进行评审。编码所对应的投标人在评标结束前不得告知评标委员会、交易平台工作人员、招标人或招标代理机构。</w:t>
            </w:r>
          </w:p>
          <w:p>
            <w:pPr>
              <w:pStyle w:val="27"/>
              <w:ind w:left="0" w:leftChars="0"/>
              <w:rPr>
                <w:color w:val="auto"/>
              </w:rPr>
            </w:pPr>
            <w:r>
              <w:rPr>
                <w:rFonts w:hint="eastAsia"/>
                <w:color w:val="auto"/>
              </w:rPr>
              <w:t>5.3</w:t>
            </w:r>
            <w:r>
              <w:rPr>
                <w:color w:val="auto"/>
              </w:rPr>
              <w:t>.1</w:t>
            </w:r>
            <w:r>
              <w:rPr>
                <w:rFonts w:hint="eastAsia"/>
                <w:color w:val="auto"/>
              </w:rPr>
              <w:t>.11开标时，出现下列情形之一的投标人，不参与下一程序，其投标文件作无效处理：</w:t>
            </w:r>
          </w:p>
          <w:p>
            <w:pPr>
              <w:pStyle w:val="27"/>
              <w:ind w:left="0" w:leftChars="0"/>
              <w:rPr>
                <w:color w:val="auto"/>
              </w:rPr>
            </w:pPr>
            <w:r>
              <w:rPr>
                <w:rFonts w:hint="eastAsia"/>
                <w:color w:val="auto"/>
              </w:rPr>
              <w:t>（1）未成功递交或因投标人原因未成功导入投标文件的；</w:t>
            </w:r>
          </w:p>
          <w:p>
            <w:pPr>
              <w:pStyle w:val="27"/>
              <w:ind w:left="0" w:leftChars="0"/>
              <w:rPr>
                <w:color w:val="auto"/>
              </w:rPr>
            </w:pPr>
            <w:r>
              <w:rPr>
                <w:rFonts w:hint="eastAsia"/>
                <w:color w:val="auto"/>
              </w:rPr>
              <w:t>（2）因投标人原因造成投标文件未解密的。</w:t>
            </w:r>
          </w:p>
          <w:p>
            <w:pPr>
              <w:pStyle w:val="27"/>
              <w:ind w:left="0" w:leftChars="0"/>
              <w:rPr>
                <w:color w:val="auto"/>
              </w:rPr>
            </w:pPr>
            <w:r>
              <w:rPr>
                <w:rFonts w:hint="eastAsia"/>
                <w:color w:val="auto"/>
              </w:rPr>
              <w:t>5.</w:t>
            </w:r>
            <w:r>
              <w:rPr>
                <w:color w:val="auto"/>
              </w:rPr>
              <w:t>3</w:t>
            </w:r>
            <w:r>
              <w:rPr>
                <w:rFonts w:hint="eastAsia"/>
                <w:color w:val="auto"/>
              </w:rPr>
              <w:t>.</w:t>
            </w:r>
            <w:r>
              <w:rPr>
                <w:color w:val="auto"/>
              </w:rPr>
              <w:t>2</w:t>
            </w:r>
            <w:r>
              <w:rPr>
                <w:rFonts w:hint="eastAsia"/>
                <w:color w:val="auto"/>
              </w:rPr>
              <w:t xml:space="preserve"> 技术文件（勘察设计方案）开标时不得开启，在评标时由广州公共资源交易中心电子评标系统自动生成技术文件的暗标编码后开启，交由评标委员会以暗标形式进行评审，不需要投标人派代表介绍投标方案。评审采用综合评分法。每个项目的权重分值详见“综合评分表”（格式见附录</w:t>
            </w:r>
            <w:r>
              <w:rPr>
                <w:color w:val="auto"/>
              </w:rPr>
              <w:t>13</w:t>
            </w:r>
            <w:r>
              <w:rPr>
                <w:rFonts w:hint="eastAsia"/>
                <w:color w:val="auto"/>
              </w:rPr>
              <w:t>、</w:t>
            </w:r>
            <w:r>
              <w:rPr>
                <w:color w:val="auto"/>
              </w:rPr>
              <w:t>15</w:t>
            </w:r>
            <w:r>
              <w:rPr>
                <w:rFonts w:hint="eastAsia"/>
                <w:color w:val="auto"/>
              </w:rPr>
              <w:t>）。评委必须严格按照“综合评分表”对投标文件进行评议、打分。</w:t>
            </w:r>
          </w:p>
          <w:p>
            <w:pPr>
              <w:pStyle w:val="27"/>
              <w:ind w:left="0" w:leftChars="0"/>
              <w:rPr>
                <w:color w:val="auto"/>
              </w:rPr>
            </w:pPr>
            <w:r>
              <w:rPr>
                <w:rFonts w:hint="eastAsia"/>
                <w:color w:val="auto"/>
              </w:rPr>
              <w:t>(a) 评标委员会专家首先按附录</w:t>
            </w:r>
            <w:r>
              <w:rPr>
                <w:color w:val="auto"/>
              </w:rPr>
              <w:t>11</w:t>
            </w:r>
            <w:r>
              <w:rPr>
                <w:rFonts w:hint="eastAsia"/>
                <w:color w:val="auto"/>
              </w:rPr>
              <w:t>《资格审查表》对各投标文件进行评审，只有通过资格审查的投标文件方可进入下一阶段的评审。如果有废标提议，则评标委员会成员共同表决，按照少数服从多数的原则决定是否废标。</w:t>
            </w:r>
          </w:p>
          <w:p>
            <w:pPr>
              <w:pStyle w:val="27"/>
              <w:ind w:left="0" w:leftChars="0"/>
              <w:rPr>
                <w:color w:val="auto"/>
              </w:rPr>
            </w:pPr>
            <w:r>
              <w:rPr>
                <w:rFonts w:hint="eastAsia"/>
                <w:color w:val="auto"/>
              </w:rPr>
              <w:t>(b) 评标委员会专家首先按附录</w:t>
            </w:r>
            <w:r>
              <w:rPr>
                <w:color w:val="auto"/>
              </w:rPr>
              <w:t>12</w:t>
            </w:r>
            <w:r>
              <w:rPr>
                <w:rFonts w:hint="eastAsia"/>
                <w:color w:val="auto"/>
              </w:rPr>
              <w:t>《商务文件有效性审查表》对各投标文件进行评审，只有通过商务有效性审查的投标文件方可进入下一阶段的评审。如果有废标提议，则评标委员会成员共同表决，按照少数服从多数的原则决定是否废标。</w:t>
            </w:r>
          </w:p>
          <w:p>
            <w:pPr>
              <w:pStyle w:val="27"/>
              <w:ind w:left="0" w:leftChars="0"/>
              <w:rPr>
                <w:color w:val="auto"/>
              </w:rPr>
            </w:pPr>
            <w:r>
              <w:rPr>
                <w:rFonts w:hint="eastAsia"/>
                <w:color w:val="auto"/>
              </w:rPr>
              <w:t>(c) 评标委员会专家按附录</w:t>
            </w:r>
            <w:r>
              <w:rPr>
                <w:color w:val="auto"/>
              </w:rPr>
              <w:t>13</w:t>
            </w:r>
            <w:r>
              <w:rPr>
                <w:rFonts w:hint="eastAsia"/>
                <w:color w:val="auto"/>
              </w:rPr>
              <w:t>《商务文件综合评分表》对各投标单位的商务文件进行综合评分。</w:t>
            </w:r>
          </w:p>
          <w:p>
            <w:pPr>
              <w:pStyle w:val="27"/>
              <w:ind w:left="0" w:leftChars="0"/>
              <w:rPr>
                <w:color w:val="auto"/>
              </w:rPr>
            </w:pPr>
            <w:r>
              <w:rPr>
                <w:rFonts w:hint="eastAsia"/>
                <w:color w:val="auto"/>
              </w:rPr>
              <w:t>(d) 评标委员会专家按附录</w:t>
            </w:r>
            <w:r>
              <w:rPr>
                <w:color w:val="auto"/>
              </w:rPr>
              <w:t>14</w:t>
            </w:r>
            <w:r>
              <w:rPr>
                <w:rFonts w:hint="eastAsia"/>
                <w:color w:val="auto"/>
              </w:rPr>
              <w:t>《技术文件有效性审查表》对各投标文件进行评审，只有通过技术有效性审查的投标文件方可进入下一阶段的评审。如果有废标提议，则评标委员会成员共同表决，按照少数服从多数的原则决定是否废标。</w:t>
            </w:r>
          </w:p>
          <w:p>
            <w:pPr>
              <w:pStyle w:val="27"/>
              <w:ind w:left="0" w:leftChars="0"/>
              <w:rPr>
                <w:color w:val="auto"/>
              </w:rPr>
            </w:pPr>
            <w:r>
              <w:rPr>
                <w:rFonts w:hint="eastAsia"/>
                <w:color w:val="auto"/>
              </w:rPr>
              <w:t>(e) 评标委员会专家按附录</w:t>
            </w:r>
            <w:r>
              <w:rPr>
                <w:color w:val="auto"/>
              </w:rPr>
              <w:t>15</w:t>
            </w:r>
            <w:r>
              <w:rPr>
                <w:rFonts w:hint="eastAsia"/>
                <w:color w:val="auto"/>
              </w:rPr>
              <w:t>《技术文件综合评分表》对各投标单位的技术文件（勘察设计方案）进行综合评分。</w:t>
            </w:r>
          </w:p>
          <w:p>
            <w:pPr>
              <w:pStyle w:val="27"/>
              <w:ind w:left="0" w:leftChars="0"/>
              <w:rPr>
                <w:color w:val="auto"/>
              </w:rPr>
            </w:pPr>
            <w:r>
              <w:rPr>
                <w:rFonts w:hint="eastAsia"/>
                <w:color w:val="auto"/>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pStyle w:val="27"/>
              <w:ind w:left="0" w:leftChars="0"/>
              <w:rPr>
                <w:color w:val="auto"/>
              </w:rPr>
            </w:pPr>
            <w:r>
              <w:rPr>
                <w:rFonts w:hint="eastAsia"/>
                <w:color w:val="auto"/>
              </w:rPr>
              <w:t>(g) 广州公共资源交易中心电子评标系统自动揭晓技术文件的暗标编码，列出各编码技术文件所对应的投标人。</w:t>
            </w:r>
          </w:p>
          <w:p>
            <w:pPr>
              <w:pStyle w:val="27"/>
              <w:ind w:left="0" w:leftChars="0"/>
              <w:rPr>
                <w:color w:val="auto"/>
              </w:rPr>
            </w:pPr>
            <w:r>
              <w:rPr>
                <w:rFonts w:hint="eastAsia"/>
                <w:color w:val="auto"/>
              </w:rPr>
              <w:t>(h) 计算各投标人的综合得分，投标人的综合得分（满分100分）＝商务文件得分×30％（招标人确定）+技术文件得分×70％，然后按照综合得分由高至低进行排序。综合得分相同的，则以技术文件得分较高的排前；若技术文件得分仍相同的，以投标报价较低的排前；如仍存在相同情况，则对具有相同情况的投标人，由评标委员会采用记名投票方式，确定投标人最终名次的排序。</w:t>
            </w:r>
          </w:p>
          <w:p>
            <w:pPr>
              <w:pStyle w:val="27"/>
              <w:ind w:left="0" w:leftChars="0"/>
              <w:rPr>
                <w:color w:val="auto"/>
              </w:rPr>
            </w:pPr>
            <w:r>
              <w:rPr>
                <w:rFonts w:hint="eastAsia"/>
                <w:color w:val="auto"/>
              </w:rPr>
              <w:t>(i)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pStyle w:val="34"/>
              <w:rPr>
                <w:color w:val="auto"/>
              </w:rPr>
            </w:pPr>
            <w:r>
              <w:rPr>
                <w:rFonts w:hint="eastAsia"/>
                <w:color w:val="auto"/>
              </w:rPr>
              <w:t>(j ) 评标委员会向招标人提交评标报告后即告解散，评标过程中使用的文件、表格以及其他资料应当即时归还招标人（或招标代理机构）。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办法二 </w:t>
            </w:r>
            <w:r>
              <w:rPr>
                <w:rFonts w:hint="eastAsia" w:asciiTheme="minorEastAsia" w:hAnsiTheme="minorEastAsia" w:eastAsiaTheme="minorEastAsia" w:cstheme="minorEastAsia"/>
                <w:color w:val="auto"/>
                <w:szCs w:val="21"/>
                <w:u w:val="single"/>
              </w:rPr>
              <w:t>采用投票法评标</w:t>
            </w:r>
          </w:p>
        </w:tc>
        <w:tc>
          <w:tcPr>
            <w:tcW w:w="3261"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59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5.4.2</w:t>
            </w:r>
          </w:p>
        </w:tc>
        <w:tc>
          <w:tcPr>
            <w:tcW w:w="3715" w:type="dxa"/>
            <w:vAlign w:val="center"/>
          </w:tcPr>
          <w:p>
            <w:pPr>
              <w:spacing w:line="400" w:lineRule="exact"/>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5.4.2  招标人采用下面方法确定中标人：</w:t>
            </w:r>
          </w:p>
          <w:p>
            <w:pPr>
              <w:spacing w:line="400" w:lineRule="exact"/>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□（a）招标人委托评标委员会直接确定中标人；</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5.4.2  招标人采用下面方法确定中标人：</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□（a）招标人委托评标委员会直接确定中标人；</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r>
              <w:rPr>
                <w:rFonts w:asciiTheme="minorEastAsia" w:hAnsiTheme="minorEastAsia" w:eastAsiaTheme="minorEastAsia" w:cstheme="minorEastAsia"/>
                <w:color w:val="auto"/>
                <w:szCs w:val="21"/>
              </w:rPr>
              <w:t>.4.3</w:t>
            </w:r>
          </w:p>
        </w:tc>
        <w:tc>
          <w:tcPr>
            <w:tcW w:w="3715" w:type="dxa"/>
            <w:vAlign w:val="center"/>
          </w:tcPr>
          <w:p>
            <w:pPr>
              <w:spacing w:line="400" w:lineRule="exact"/>
              <w:jc w:val="left"/>
              <w:rPr>
                <w:rFonts w:asciiTheme="minorEastAsia" w:hAnsiTheme="minorEastAsia" w:eastAsiaTheme="minorEastAsia" w:cstheme="minorEastAsia"/>
                <w:color w:val="auto"/>
                <w:szCs w:val="21"/>
              </w:rPr>
            </w:pP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5.4.3  在产生中标候选人后，招标人将中标候选人的投标文件商务部分（包括人员、业绩、奖项等资料）在广州公共资源交易中心平台和广东省招标投标监管网公开。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61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5.5（a）</w:t>
            </w:r>
          </w:p>
        </w:tc>
        <w:tc>
          <w:tcPr>
            <w:tcW w:w="3715" w:type="dxa"/>
            <w:vAlign w:val="center"/>
          </w:tcPr>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 递交投标文件或通过资格审查的投标人不足五人；</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 递交投标文件或通过资格审查的投标人不足</w:t>
            </w:r>
            <w:r>
              <w:rPr>
                <w:rFonts w:hint="eastAsia" w:asciiTheme="minorEastAsia" w:hAnsiTheme="minorEastAsia" w:eastAsiaTheme="minorEastAsia" w:cstheme="minorEastAsia"/>
                <w:color w:val="auto"/>
                <w:szCs w:val="21"/>
                <w:u w:val="single"/>
              </w:rPr>
              <w:t>三</w:t>
            </w:r>
            <w:r>
              <w:rPr>
                <w:rFonts w:hint="eastAsia" w:asciiTheme="minorEastAsia" w:hAnsiTheme="minorEastAsia" w:eastAsiaTheme="minorEastAsia" w:cstheme="minorEastAsia"/>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2</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5.6.2</w:t>
            </w:r>
          </w:p>
        </w:tc>
        <w:tc>
          <w:tcPr>
            <w:tcW w:w="3715" w:type="dxa"/>
            <w:vAlign w:val="center"/>
          </w:tcPr>
          <w:p>
            <w:pPr>
              <w:jc w:val="left"/>
              <w:rPr>
                <w:rFonts w:asciiTheme="minorEastAsia" w:hAnsiTheme="minorEastAsia" w:eastAsiaTheme="minorEastAsia" w:cstheme="minorEastAsia"/>
                <w:color w:val="auto"/>
                <w:szCs w:val="21"/>
              </w:rPr>
            </w:pPr>
            <w:r>
              <w:rPr>
                <w:rFonts w:hint="eastAsia" w:ascii="宋体" w:hAnsi="宋体"/>
                <w:color w:val="auto"/>
                <w:szCs w:val="21"/>
              </w:rPr>
              <w:t>联合体中标的，由所有联合体成员法定代表人签署授权委托书，指定牵头人或代表，授权其代表所有联合体成员与招标人签订合同，负责整个合同实施阶段的协调工作。</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b/>
                <w:color w:val="auto"/>
                <w:szCs w:val="21"/>
              </w:rPr>
            </w:pPr>
            <w:r>
              <w:rPr>
                <w:rFonts w:hint="eastAsia" w:ascii="宋体" w:hAnsi="宋体"/>
                <w:color w:val="auto"/>
                <w:szCs w:val="21"/>
              </w:rPr>
              <w:t>联合体中标的，由所有联合体成员法定代表人签署授权委托书，指定牵头人或代表，授权其代表所有联合体成员与招标人签订合同，负责整个合同实施阶段的协调工作。</w:t>
            </w:r>
            <w:r>
              <w:rPr>
                <w:rFonts w:hint="eastAsia" w:ascii="宋体" w:hAnsi="宋体"/>
                <w:color w:val="auto"/>
                <w:szCs w:val="21"/>
                <w:u w:val="single"/>
              </w:rPr>
              <w:t>如招标人要求中标人联合体成员共同签订合同的，则中标人应按招标人要求执行。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3</w:t>
            </w:r>
          </w:p>
        </w:tc>
        <w:tc>
          <w:tcPr>
            <w:tcW w:w="1434" w:type="dxa"/>
            <w:vAlign w:val="center"/>
          </w:tcPr>
          <w:p>
            <w:pPr>
              <w:jc w:val="center"/>
              <w:rPr>
                <w:rFonts w:ascii="宋体" w:hAnsi="宋体"/>
                <w:color w:val="auto"/>
              </w:rPr>
            </w:pPr>
            <w:r>
              <w:rPr>
                <w:rFonts w:hint="eastAsia" w:ascii="宋体" w:hAnsi="宋体"/>
                <w:color w:val="auto"/>
              </w:rPr>
              <w:t>5.6.6</w:t>
            </w:r>
          </w:p>
        </w:tc>
        <w:tc>
          <w:tcPr>
            <w:tcW w:w="3715" w:type="dxa"/>
            <w:vAlign w:val="center"/>
          </w:tcPr>
          <w:p>
            <w:pPr>
              <w:jc w:val="left"/>
              <w:rPr>
                <w:rFonts w:ascii="宋体" w:hAnsi="宋体"/>
                <w:color w:val="auto"/>
                <w:szCs w:val="21"/>
              </w:rPr>
            </w:pPr>
          </w:p>
        </w:tc>
        <w:tc>
          <w:tcPr>
            <w:tcW w:w="3261" w:type="dxa"/>
          </w:tcPr>
          <w:p>
            <w:pPr>
              <w:jc w:val="left"/>
              <w:rPr>
                <w:rFonts w:ascii="宋体" w:hAnsi="宋体"/>
                <w:b/>
                <w:color w:val="auto"/>
                <w:szCs w:val="21"/>
              </w:rPr>
            </w:pPr>
            <w:r>
              <w:rPr>
                <w:rFonts w:hint="eastAsia" w:ascii="宋体" w:hAnsi="宋体"/>
                <w:b/>
                <w:color w:val="auto"/>
                <w:szCs w:val="21"/>
              </w:rPr>
              <w:t>新增：</w:t>
            </w:r>
          </w:p>
          <w:p>
            <w:pPr>
              <w:jc w:val="left"/>
              <w:rPr>
                <w:rFonts w:ascii="宋体" w:hAnsi="宋体"/>
                <w:color w:val="auto"/>
                <w:szCs w:val="21"/>
              </w:rPr>
            </w:pPr>
            <w:r>
              <w:rPr>
                <w:rFonts w:hint="eastAsia" w:ascii="宋体" w:hAnsi="宋体"/>
                <w:color w:val="auto"/>
                <w:szCs w:val="21"/>
                <w:u w:val="single"/>
              </w:rPr>
              <w:t>中标人缴纳交易服务费，其费用包含在中标人投标报价中。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4</w:t>
            </w:r>
          </w:p>
        </w:tc>
        <w:tc>
          <w:tcPr>
            <w:tcW w:w="1434" w:type="dxa"/>
            <w:vAlign w:val="center"/>
          </w:tcPr>
          <w:p>
            <w:pPr>
              <w:jc w:val="center"/>
              <w:rPr>
                <w:rFonts w:ascii="宋体" w:hAnsi="宋体"/>
                <w:color w:val="auto"/>
              </w:rPr>
            </w:pPr>
            <w:r>
              <w:rPr>
                <w:rFonts w:hint="eastAsia" w:ascii="宋体" w:hAnsi="宋体"/>
                <w:color w:val="auto"/>
              </w:rPr>
              <w:t>附录3</w:t>
            </w:r>
          </w:p>
        </w:tc>
        <w:tc>
          <w:tcPr>
            <w:tcW w:w="3715" w:type="dxa"/>
            <w:vAlign w:val="center"/>
          </w:tcPr>
          <w:p>
            <w:pPr>
              <w:jc w:val="left"/>
              <w:rPr>
                <w:rFonts w:ascii="宋体" w:hAnsi="宋体"/>
                <w:color w:val="auto"/>
                <w:szCs w:val="21"/>
              </w:rPr>
            </w:pPr>
            <w:r>
              <w:rPr>
                <w:rFonts w:hint="eastAsia" w:ascii="宋体" w:hAnsi="宋体"/>
                <w:color w:val="auto"/>
              </w:rPr>
              <w:t>投标申请表（关键人员配备）</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b/>
                <w:color w:val="auto"/>
                <w:szCs w:val="21"/>
              </w:rPr>
            </w:pPr>
            <w:r>
              <w:rPr>
                <w:rFonts w:hint="eastAsia" w:ascii="宋体" w:hAnsi="宋体"/>
                <w:color w:val="auto"/>
              </w:rPr>
              <w:t>详见附录3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65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附录4</w:t>
            </w:r>
          </w:p>
        </w:tc>
        <w:tc>
          <w:tcPr>
            <w:tcW w:w="3715" w:type="dxa"/>
            <w:vAlign w:val="center"/>
          </w:tcPr>
          <w:p>
            <w:pPr>
              <w:jc w:val="center"/>
              <w:rPr>
                <w:rFonts w:ascii="宋体" w:hAnsi="宋体"/>
                <w:color w:val="auto"/>
              </w:rPr>
            </w:pPr>
            <w:r>
              <w:rPr>
                <w:rFonts w:hint="eastAsia" w:ascii="宋体" w:hAnsi="宋体"/>
                <w:color w:val="auto"/>
              </w:rPr>
              <w:t>正式投标人名单</w:t>
            </w:r>
          </w:p>
        </w:tc>
        <w:tc>
          <w:tcPr>
            <w:tcW w:w="3261" w:type="dxa"/>
            <w:vAlign w:val="center"/>
          </w:tcPr>
          <w:p>
            <w:pPr>
              <w:jc w:val="center"/>
              <w:rPr>
                <w:rFonts w:ascii="宋体" w:hAnsi="宋体"/>
                <w:color w:val="auto"/>
              </w:rPr>
            </w:pPr>
            <w:r>
              <w:rPr>
                <w:rFonts w:hint="eastAsia" w:ascii="宋体" w:hAnsi="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66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附录5</w:t>
            </w:r>
          </w:p>
        </w:tc>
        <w:tc>
          <w:tcPr>
            <w:tcW w:w="3715" w:type="dxa"/>
            <w:vAlign w:val="center"/>
          </w:tcPr>
          <w:p>
            <w:pPr>
              <w:jc w:val="center"/>
              <w:rPr>
                <w:rFonts w:ascii="宋体" w:hAnsi="宋体"/>
                <w:color w:val="auto"/>
              </w:rPr>
            </w:pPr>
            <w:r>
              <w:rPr>
                <w:rFonts w:hint="eastAsia" w:ascii="宋体" w:hAnsi="宋体"/>
                <w:color w:val="auto"/>
              </w:rPr>
              <w:t>勘察设计费报价表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7</w:t>
            </w:r>
          </w:p>
        </w:tc>
        <w:tc>
          <w:tcPr>
            <w:tcW w:w="1434" w:type="dxa"/>
            <w:vAlign w:val="center"/>
          </w:tcPr>
          <w:p>
            <w:pPr>
              <w:jc w:val="center"/>
              <w:rPr>
                <w:rFonts w:ascii="宋体" w:hAnsi="宋体"/>
                <w:color w:val="auto"/>
              </w:rPr>
            </w:pPr>
            <w:r>
              <w:rPr>
                <w:rFonts w:hint="eastAsia" w:ascii="宋体" w:hAnsi="宋体"/>
                <w:color w:val="auto"/>
              </w:rPr>
              <w:t>附录6</w:t>
            </w:r>
          </w:p>
        </w:tc>
        <w:tc>
          <w:tcPr>
            <w:tcW w:w="3715" w:type="dxa"/>
            <w:vAlign w:val="center"/>
          </w:tcPr>
          <w:p>
            <w:pPr>
              <w:jc w:val="center"/>
              <w:rPr>
                <w:rFonts w:ascii="宋体" w:hAnsi="宋体"/>
                <w:color w:val="auto"/>
              </w:rPr>
            </w:pPr>
            <w:r>
              <w:rPr>
                <w:rFonts w:hint="eastAsia" w:ascii="宋体" w:hAnsi="宋体"/>
                <w:color w:val="auto"/>
              </w:rPr>
              <w:t>投标书</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8</w:t>
            </w:r>
          </w:p>
        </w:tc>
        <w:tc>
          <w:tcPr>
            <w:tcW w:w="1434" w:type="dxa"/>
            <w:vAlign w:val="center"/>
          </w:tcPr>
          <w:p>
            <w:pPr>
              <w:jc w:val="center"/>
              <w:rPr>
                <w:rFonts w:ascii="宋体" w:hAnsi="宋体"/>
                <w:color w:val="auto"/>
              </w:rPr>
            </w:pPr>
            <w:r>
              <w:rPr>
                <w:rFonts w:hint="eastAsia" w:ascii="宋体" w:hAnsi="宋体"/>
                <w:color w:val="auto"/>
              </w:rPr>
              <w:t>附录7</w:t>
            </w:r>
          </w:p>
        </w:tc>
        <w:tc>
          <w:tcPr>
            <w:tcW w:w="3715" w:type="dxa"/>
            <w:vAlign w:val="center"/>
          </w:tcPr>
          <w:p>
            <w:pPr>
              <w:jc w:val="center"/>
              <w:rPr>
                <w:rFonts w:ascii="宋体" w:hAnsi="宋体"/>
                <w:color w:val="auto"/>
              </w:rPr>
            </w:pPr>
            <w:r>
              <w:rPr>
                <w:rFonts w:hint="eastAsia" w:hAnsi="宋体"/>
                <w:color w:val="auto"/>
                <w:szCs w:val="21"/>
              </w:rPr>
              <w:t>联合体共同投标协议</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asciiTheme="minorEastAsia" w:hAnsiTheme="minorEastAsia" w:eastAsiaTheme="minorEastAsia" w:cstheme="minorEastAsia"/>
                <w:color w:val="auto"/>
                <w:szCs w:val="21"/>
              </w:rPr>
              <w:t>9</w:t>
            </w:r>
          </w:p>
        </w:tc>
        <w:tc>
          <w:tcPr>
            <w:tcW w:w="1434" w:type="dxa"/>
            <w:vAlign w:val="center"/>
          </w:tcPr>
          <w:p>
            <w:pPr>
              <w:jc w:val="center"/>
              <w:rPr>
                <w:rFonts w:ascii="宋体" w:hAnsi="宋体"/>
                <w:color w:val="auto"/>
              </w:rPr>
            </w:pPr>
          </w:p>
        </w:tc>
        <w:tc>
          <w:tcPr>
            <w:tcW w:w="3715" w:type="dxa"/>
            <w:vAlign w:val="center"/>
          </w:tcPr>
          <w:p>
            <w:pPr>
              <w:jc w:val="center"/>
              <w:rPr>
                <w:rFonts w:hAnsi="宋体"/>
                <w:color w:val="auto"/>
                <w:szCs w:val="21"/>
              </w:rPr>
            </w:pPr>
            <w:r>
              <w:rPr>
                <w:rFonts w:hint="eastAsia" w:hAnsi="宋体"/>
                <w:color w:val="auto"/>
                <w:szCs w:val="21"/>
              </w:rPr>
              <w:t>法定代表人证明书或法定代表人授权委托书格式</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b/>
                <w:color w:val="auto"/>
                <w:szCs w:val="21"/>
              </w:rPr>
            </w:pPr>
            <w:r>
              <w:rPr>
                <w:rFonts w:hint="eastAsia" w:ascii="宋体" w:hAnsi="宋体"/>
                <w:color w:val="auto"/>
              </w:rPr>
              <w:t>详见附录</w:t>
            </w:r>
            <w:r>
              <w:rPr>
                <w:rFonts w:ascii="宋体" w:hAnsi="宋体"/>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w:t>
            </w:r>
            <w:r>
              <w:rPr>
                <w:rFonts w:ascii="宋体" w:hAnsi="宋体"/>
                <w:color w:val="auto"/>
              </w:rPr>
              <w:t>8</w:t>
            </w:r>
          </w:p>
        </w:tc>
        <w:tc>
          <w:tcPr>
            <w:tcW w:w="3715" w:type="dxa"/>
            <w:vAlign w:val="center"/>
          </w:tcPr>
          <w:p>
            <w:pPr>
              <w:jc w:val="center"/>
              <w:rPr>
                <w:rFonts w:ascii="宋体" w:hAnsi="宋体"/>
                <w:color w:val="auto"/>
              </w:rPr>
            </w:pPr>
            <w:r>
              <w:rPr>
                <w:rFonts w:hint="eastAsia" w:ascii="宋体" w:hAnsi="宋体"/>
                <w:color w:val="auto"/>
              </w:rPr>
              <w:t>投标人已完成项目情况</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9</w:t>
            </w:r>
          </w:p>
        </w:tc>
        <w:tc>
          <w:tcPr>
            <w:tcW w:w="3715" w:type="dxa"/>
            <w:vAlign w:val="center"/>
          </w:tcPr>
          <w:p>
            <w:pPr>
              <w:jc w:val="center"/>
              <w:rPr>
                <w:rFonts w:ascii="宋体" w:hAnsi="宋体"/>
                <w:color w:val="auto"/>
              </w:rPr>
            </w:pPr>
            <w:r>
              <w:rPr>
                <w:rFonts w:hint="eastAsia" w:ascii="宋体" w:hAnsi="宋体"/>
                <w:color w:val="auto"/>
              </w:rPr>
              <w:t>本项目拟投入的人员基本情况表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w:t>
            </w:r>
            <w:r>
              <w:rPr>
                <w:rFonts w:asciiTheme="minorEastAsia" w:hAnsiTheme="minorEastAsia" w:eastAsiaTheme="minorEastAsia" w:cstheme="minorEastAsia"/>
                <w:color w:val="auto"/>
                <w:szCs w:val="21"/>
              </w:rPr>
              <w:t>2</w:t>
            </w:r>
          </w:p>
        </w:tc>
        <w:tc>
          <w:tcPr>
            <w:tcW w:w="1434" w:type="dxa"/>
            <w:vAlign w:val="center"/>
          </w:tcPr>
          <w:p>
            <w:pPr>
              <w:jc w:val="center"/>
              <w:rPr>
                <w:rFonts w:ascii="宋体" w:hAnsi="宋体" w:cs="宋体"/>
                <w:color w:val="auto"/>
              </w:rPr>
            </w:pPr>
            <w:r>
              <w:rPr>
                <w:rFonts w:hint="eastAsia" w:ascii="宋体" w:hAnsi="宋体"/>
                <w:color w:val="auto"/>
                <w:szCs w:val="21"/>
              </w:rPr>
              <w:t>附录</w:t>
            </w:r>
            <w:r>
              <w:rPr>
                <w:rFonts w:ascii="宋体" w:hAnsi="宋体"/>
                <w:color w:val="auto"/>
                <w:szCs w:val="21"/>
              </w:rPr>
              <w:t>10</w:t>
            </w:r>
          </w:p>
        </w:tc>
        <w:tc>
          <w:tcPr>
            <w:tcW w:w="3715" w:type="dxa"/>
            <w:vAlign w:val="center"/>
          </w:tcPr>
          <w:p>
            <w:pPr>
              <w:jc w:val="center"/>
              <w:rPr>
                <w:rFonts w:ascii="宋体" w:hAnsi="宋体"/>
                <w:color w:val="auto"/>
              </w:rPr>
            </w:pPr>
            <w:r>
              <w:rPr>
                <w:rFonts w:hint="eastAsia" w:hAnsi="宋体"/>
                <w:color w:val="auto"/>
                <w:szCs w:val="21"/>
              </w:rPr>
              <w:t>投标文件接收记录表格</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left"/>
              <w:rPr>
                <w:rFonts w:ascii="宋体" w:hAnsi="宋体"/>
                <w:color w:val="auto"/>
              </w:rPr>
            </w:pPr>
            <w:r>
              <w:rPr>
                <w:rFonts w:hint="eastAsia" w:ascii="宋体" w:hAnsi="宋体"/>
                <w:color w:val="auto"/>
              </w:rPr>
              <w:t>投标文件光盘（备用）接收记录表格</w:t>
            </w:r>
          </w:p>
          <w:p>
            <w:pPr>
              <w:jc w:val="left"/>
              <w:rPr>
                <w:rFonts w:ascii="宋体" w:hAnsi="宋体"/>
                <w:b/>
                <w:color w:val="auto"/>
                <w:szCs w:val="21"/>
              </w:rPr>
            </w:pPr>
            <w:r>
              <w:rPr>
                <w:rFonts w:hint="eastAsia" w:ascii="宋体" w:hAnsi="宋体"/>
                <w:color w:val="auto"/>
              </w:rPr>
              <w:t>详见附录</w:t>
            </w:r>
            <w:r>
              <w:rPr>
                <w:rFonts w:ascii="宋体" w:hAnsi="宋体"/>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73</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11</w:t>
            </w:r>
          </w:p>
        </w:tc>
        <w:tc>
          <w:tcPr>
            <w:tcW w:w="3715" w:type="dxa"/>
            <w:vAlign w:val="center"/>
          </w:tcPr>
          <w:p>
            <w:pPr>
              <w:jc w:val="center"/>
              <w:rPr>
                <w:rFonts w:ascii="宋体" w:hAnsi="宋体"/>
                <w:color w:val="auto"/>
              </w:rPr>
            </w:pPr>
            <w:r>
              <w:rPr>
                <w:rFonts w:hint="eastAsia" w:ascii="宋体" w:hAnsi="宋体"/>
                <w:color w:val="auto"/>
              </w:rPr>
              <w:t>资格审查表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74</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12</w:t>
            </w:r>
          </w:p>
        </w:tc>
        <w:tc>
          <w:tcPr>
            <w:tcW w:w="3715" w:type="dxa"/>
            <w:vAlign w:val="center"/>
          </w:tcPr>
          <w:p>
            <w:pPr>
              <w:jc w:val="center"/>
              <w:rPr>
                <w:rFonts w:ascii="宋体" w:hAnsi="宋体"/>
                <w:color w:val="auto"/>
              </w:rPr>
            </w:pPr>
            <w:r>
              <w:rPr>
                <w:rFonts w:hint="eastAsia" w:ascii="宋体" w:hAnsi="宋体"/>
                <w:color w:val="auto"/>
              </w:rPr>
              <w:t>商务文件有效性审查表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75</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13</w:t>
            </w:r>
          </w:p>
        </w:tc>
        <w:tc>
          <w:tcPr>
            <w:tcW w:w="3715" w:type="dxa"/>
            <w:vAlign w:val="center"/>
          </w:tcPr>
          <w:p>
            <w:pPr>
              <w:jc w:val="center"/>
              <w:rPr>
                <w:rFonts w:ascii="宋体" w:hAnsi="宋体"/>
                <w:color w:val="auto"/>
              </w:rPr>
            </w:pPr>
            <w:r>
              <w:rPr>
                <w:rFonts w:hint="eastAsia" w:ascii="宋体" w:hAnsi="宋体"/>
                <w:color w:val="auto"/>
              </w:rPr>
              <w:t>商务文件综合评分表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76</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14</w:t>
            </w:r>
          </w:p>
        </w:tc>
        <w:tc>
          <w:tcPr>
            <w:tcW w:w="3715" w:type="dxa"/>
            <w:vAlign w:val="center"/>
          </w:tcPr>
          <w:p>
            <w:pPr>
              <w:jc w:val="center"/>
              <w:rPr>
                <w:rFonts w:ascii="宋体" w:hAnsi="宋体"/>
                <w:color w:val="auto"/>
              </w:rPr>
            </w:pPr>
            <w:r>
              <w:rPr>
                <w:rFonts w:hint="eastAsia" w:ascii="宋体" w:hAnsi="宋体"/>
                <w:color w:val="auto"/>
              </w:rPr>
              <w:t>技术文件有效性审查表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77</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s="宋体"/>
                <w:color w:val="auto"/>
              </w:rPr>
              <w:t>附录</w:t>
            </w:r>
            <w:r>
              <w:rPr>
                <w:rFonts w:ascii="宋体" w:hAnsi="宋体" w:cs="宋体"/>
                <w:color w:val="auto"/>
              </w:rPr>
              <w:t>15</w:t>
            </w:r>
          </w:p>
        </w:tc>
        <w:tc>
          <w:tcPr>
            <w:tcW w:w="3715" w:type="dxa"/>
            <w:vAlign w:val="center"/>
          </w:tcPr>
          <w:p>
            <w:pPr>
              <w:jc w:val="center"/>
              <w:rPr>
                <w:rFonts w:ascii="宋体" w:hAnsi="宋体"/>
                <w:color w:val="auto"/>
              </w:rPr>
            </w:pPr>
            <w:r>
              <w:rPr>
                <w:rFonts w:hint="eastAsia" w:ascii="宋体" w:hAnsi="宋体"/>
                <w:color w:val="auto"/>
              </w:rPr>
              <w:t>技术文件综合评分表</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78</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w:t>
            </w:r>
            <w:r>
              <w:rPr>
                <w:rFonts w:ascii="宋体" w:hAnsi="宋体"/>
                <w:color w:val="auto"/>
              </w:rPr>
              <w:t>16</w:t>
            </w:r>
          </w:p>
        </w:tc>
        <w:tc>
          <w:tcPr>
            <w:tcW w:w="3715" w:type="dxa"/>
            <w:vAlign w:val="center"/>
          </w:tcPr>
          <w:p>
            <w:pPr>
              <w:jc w:val="center"/>
              <w:rPr>
                <w:rFonts w:ascii="宋体" w:hAnsi="宋体"/>
                <w:color w:val="auto"/>
              </w:rPr>
            </w:pPr>
            <w:r>
              <w:rPr>
                <w:rFonts w:hint="eastAsia" w:ascii="宋体" w:hAnsi="宋体"/>
                <w:color w:val="auto"/>
              </w:rPr>
              <w:t>投票汇总表格</w:t>
            </w:r>
          </w:p>
        </w:tc>
        <w:tc>
          <w:tcPr>
            <w:tcW w:w="3261" w:type="dxa"/>
            <w:vAlign w:val="center"/>
          </w:tcPr>
          <w:p>
            <w:pPr>
              <w:jc w:val="center"/>
              <w:rPr>
                <w:rFonts w:ascii="宋体" w:hAnsi="宋体"/>
                <w:color w:val="auto"/>
              </w:rPr>
            </w:pPr>
            <w:r>
              <w:rPr>
                <w:rFonts w:hint="eastAsia" w:ascii="宋体" w:hAnsi="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79</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w:t>
            </w:r>
            <w:r>
              <w:rPr>
                <w:rFonts w:ascii="宋体" w:hAnsi="宋体"/>
                <w:color w:val="auto"/>
              </w:rPr>
              <w:t>17</w:t>
            </w:r>
          </w:p>
        </w:tc>
        <w:tc>
          <w:tcPr>
            <w:tcW w:w="3715" w:type="dxa"/>
            <w:vAlign w:val="center"/>
          </w:tcPr>
          <w:p>
            <w:pPr>
              <w:jc w:val="center"/>
              <w:rPr>
                <w:rFonts w:ascii="宋体" w:hAnsi="宋体"/>
                <w:color w:val="auto"/>
              </w:rPr>
            </w:pPr>
            <w:r>
              <w:rPr>
                <w:rFonts w:hint="eastAsia" w:ascii="宋体" w:hAnsi="宋体"/>
                <w:color w:val="auto"/>
              </w:rPr>
              <w:t>市政工程设计方案评审记录表</w:t>
            </w:r>
          </w:p>
        </w:tc>
        <w:tc>
          <w:tcPr>
            <w:tcW w:w="3261" w:type="dxa"/>
            <w:vAlign w:val="center"/>
          </w:tcPr>
          <w:p>
            <w:pPr>
              <w:jc w:val="center"/>
              <w:rPr>
                <w:rFonts w:ascii="宋体" w:hAnsi="宋体"/>
                <w:color w:val="auto"/>
              </w:rPr>
            </w:pPr>
            <w:r>
              <w:rPr>
                <w:rFonts w:hint="eastAsia" w:ascii="宋体" w:hAnsi="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80</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w:t>
            </w:r>
            <w:r>
              <w:rPr>
                <w:rFonts w:ascii="宋体" w:hAnsi="宋体"/>
                <w:color w:val="auto"/>
              </w:rPr>
              <w:t>18</w:t>
            </w:r>
          </w:p>
        </w:tc>
        <w:tc>
          <w:tcPr>
            <w:tcW w:w="3715" w:type="dxa"/>
            <w:vAlign w:val="center"/>
          </w:tcPr>
          <w:p>
            <w:pPr>
              <w:jc w:val="center"/>
              <w:rPr>
                <w:rFonts w:ascii="宋体" w:hAnsi="宋体"/>
                <w:color w:val="auto"/>
              </w:rPr>
            </w:pPr>
            <w:r>
              <w:rPr>
                <w:rFonts w:hint="eastAsia" w:ascii="宋体" w:hAnsi="宋体"/>
                <w:color w:val="auto"/>
              </w:rPr>
              <w:t>投票表格</w:t>
            </w:r>
          </w:p>
        </w:tc>
        <w:tc>
          <w:tcPr>
            <w:tcW w:w="3261" w:type="dxa"/>
            <w:vAlign w:val="center"/>
          </w:tcPr>
          <w:p>
            <w:pPr>
              <w:jc w:val="center"/>
              <w:rPr>
                <w:rFonts w:ascii="宋体" w:hAnsi="宋体"/>
                <w:color w:val="auto"/>
              </w:rPr>
            </w:pPr>
            <w:r>
              <w:rPr>
                <w:rFonts w:hint="eastAsia" w:ascii="宋体" w:hAnsi="宋体"/>
                <w:color w:val="auto"/>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81</w:t>
            </w:r>
          </w:p>
        </w:tc>
        <w:tc>
          <w:tcPr>
            <w:tcW w:w="1434" w:type="dxa"/>
            <w:vAlign w:val="center"/>
          </w:tcPr>
          <w:p>
            <w:pPr>
              <w:jc w:val="center"/>
              <w:rPr>
                <w:rFonts w:asciiTheme="minorEastAsia" w:hAnsiTheme="minorEastAsia" w:eastAsiaTheme="minorEastAsia" w:cstheme="minorEastAsia"/>
                <w:color w:val="auto"/>
                <w:szCs w:val="21"/>
              </w:rPr>
            </w:pPr>
            <w:r>
              <w:rPr>
                <w:rFonts w:hint="eastAsia" w:ascii="宋体" w:hAnsi="宋体"/>
                <w:color w:val="auto"/>
              </w:rPr>
              <w:t>附录</w:t>
            </w:r>
            <w:r>
              <w:rPr>
                <w:rFonts w:ascii="宋体" w:hAnsi="宋体"/>
                <w:color w:val="auto"/>
              </w:rPr>
              <w:t>19</w:t>
            </w:r>
          </w:p>
        </w:tc>
        <w:tc>
          <w:tcPr>
            <w:tcW w:w="3715" w:type="dxa"/>
            <w:vAlign w:val="center"/>
          </w:tcPr>
          <w:p>
            <w:pPr>
              <w:jc w:val="center"/>
              <w:rPr>
                <w:rFonts w:ascii="宋体" w:hAnsi="宋体"/>
                <w:color w:val="auto"/>
              </w:rPr>
            </w:pPr>
            <w:r>
              <w:rPr>
                <w:rFonts w:hint="eastAsia" w:ascii="宋体" w:hAnsi="宋体"/>
                <w:color w:val="auto"/>
              </w:rPr>
              <w:t>基础资料和设计任务书</w:t>
            </w:r>
          </w:p>
        </w:tc>
        <w:tc>
          <w:tcPr>
            <w:tcW w:w="3261" w:type="dxa"/>
            <w:vAlign w:val="center"/>
          </w:tcPr>
          <w:p>
            <w:pPr>
              <w:jc w:val="left"/>
              <w:rPr>
                <w:rFonts w:ascii="宋体" w:hAnsi="宋体"/>
                <w:b/>
                <w:color w:val="auto"/>
                <w:szCs w:val="21"/>
              </w:rPr>
            </w:pPr>
            <w:r>
              <w:rPr>
                <w:rFonts w:hint="eastAsia" w:ascii="宋体" w:hAnsi="宋体"/>
                <w:b/>
                <w:color w:val="auto"/>
                <w:szCs w:val="21"/>
              </w:rPr>
              <w:t>修改：</w:t>
            </w:r>
          </w:p>
          <w:p>
            <w:pPr>
              <w:jc w:val="center"/>
              <w:rPr>
                <w:rFonts w:ascii="宋体" w:hAnsi="宋体"/>
                <w:color w:val="auto"/>
              </w:rPr>
            </w:pPr>
            <w:r>
              <w:rPr>
                <w:rFonts w:hint="eastAsia" w:ascii="宋体" w:hAnsi="宋体"/>
                <w:color w:val="auto"/>
              </w:rPr>
              <w:t>详见附录</w:t>
            </w:r>
            <w:r>
              <w:rPr>
                <w:rFonts w:ascii="宋体" w:hAnsi="宋体"/>
                <w:color w:val="auto"/>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32" w:type="dxa"/>
            <w:vAlign w:val="center"/>
          </w:tcPr>
          <w:p>
            <w:pPr>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w:t>
            </w:r>
            <w:r>
              <w:rPr>
                <w:rFonts w:asciiTheme="minorEastAsia" w:hAnsiTheme="minorEastAsia" w:eastAsiaTheme="minorEastAsia" w:cstheme="minorEastAsia"/>
                <w:color w:val="auto"/>
                <w:szCs w:val="21"/>
              </w:rPr>
              <w:t>2</w:t>
            </w:r>
          </w:p>
        </w:tc>
        <w:tc>
          <w:tcPr>
            <w:tcW w:w="1434" w:type="dxa"/>
            <w:vAlign w:val="center"/>
          </w:tcPr>
          <w:p>
            <w:pPr>
              <w:jc w:val="center"/>
              <w:rPr>
                <w:rFonts w:ascii="宋体" w:hAnsi="宋体"/>
                <w:color w:val="auto"/>
              </w:rPr>
            </w:pPr>
            <w:r>
              <w:rPr>
                <w:rFonts w:hint="eastAsia" w:ascii="宋体" w:hAnsi="宋体"/>
                <w:color w:val="auto"/>
              </w:rPr>
              <w:t>附录</w:t>
            </w:r>
            <w:r>
              <w:rPr>
                <w:rFonts w:ascii="宋体" w:hAnsi="宋体"/>
                <w:color w:val="auto"/>
              </w:rPr>
              <w:t>20</w:t>
            </w:r>
          </w:p>
        </w:tc>
        <w:tc>
          <w:tcPr>
            <w:tcW w:w="3715" w:type="dxa"/>
            <w:vAlign w:val="center"/>
          </w:tcPr>
          <w:p>
            <w:pPr>
              <w:jc w:val="center"/>
              <w:rPr>
                <w:rFonts w:ascii="宋体" w:hAnsi="宋体"/>
                <w:color w:val="auto"/>
              </w:rPr>
            </w:pPr>
            <w:r>
              <w:rPr>
                <w:rFonts w:hint="eastAsia" w:ascii="宋体" w:hAnsi="宋体"/>
                <w:color w:val="auto"/>
              </w:rPr>
              <w:t>投标人声明</w:t>
            </w:r>
          </w:p>
        </w:tc>
        <w:tc>
          <w:tcPr>
            <w:tcW w:w="3261" w:type="dxa"/>
            <w:vAlign w:val="center"/>
          </w:tcPr>
          <w:p>
            <w:pPr>
              <w:jc w:val="left"/>
              <w:rPr>
                <w:rFonts w:ascii="宋体" w:hAnsi="宋体"/>
                <w:b/>
                <w:color w:val="auto"/>
                <w:szCs w:val="21"/>
              </w:rPr>
            </w:pPr>
            <w:r>
              <w:rPr>
                <w:rFonts w:hint="eastAsia" w:ascii="宋体" w:hAnsi="宋体"/>
                <w:b/>
                <w:color w:val="auto"/>
                <w:szCs w:val="21"/>
              </w:rPr>
              <w:t>新增：</w:t>
            </w:r>
          </w:p>
          <w:p>
            <w:pPr>
              <w:jc w:val="center"/>
              <w:rPr>
                <w:rFonts w:ascii="宋体" w:hAnsi="宋体"/>
                <w:b/>
                <w:color w:val="auto"/>
                <w:szCs w:val="21"/>
              </w:rPr>
            </w:pPr>
            <w:r>
              <w:rPr>
                <w:rFonts w:hint="eastAsia" w:ascii="宋体" w:hAnsi="宋体"/>
                <w:color w:val="auto"/>
              </w:rPr>
              <w:t>详见附录</w:t>
            </w:r>
            <w:r>
              <w:rPr>
                <w:rFonts w:ascii="宋体" w:hAnsi="宋体"/>
                <w:color w:val="auto"/>
              </w:rPr>
              <w:t>20</w:t>
            </w:r>
          </w:p>
        </w:tc>
      </w:tr>
    </w:tbl>
    <w:p>
      <w:pPr>
        <w:rPr>
          <w:rFonts w:ascii="宋体" w:hAnsi="宋体"/>
        </w:rPr>
      </w:pPr>
    </w:p>
    <w:p>
      <w:pPr>
        <w:jc w:val="center"/>
        <w:rPr>
          <w:b/>
          <w:bCs/>
          <w:sz w:val="28"/>
          <w:szCs w:val="36"/>
        </w:rPr>
      </w:pPr>
      <w:r>
        <w:br w:type="page"/>
      </w:r>
      <w:r>
        <w:rPr>
          <w:rFonts w:hint="eastAsia"/>
          <w:sz w:val="28"/>
          <w:szCs w:val="36"/>
        </w:rPr>
        <w:t>目</w:t>
      </w:r>
      <w:r>
        <w:rPr>
          <w:sz w:val="28"/>
          <w:szCs w:val="36"/>
        </w:rPr>
        <w:t xml:space="preserve"> </w:t>
      </w:r>
      <w:r>
        <w:rPr>
          <w:rFonts w:hint="eastAsia"/>
          <w:sz w:val="28"/>
          <w:szCs w:val="36"/>
        </w:rPr>
        <w:t>录</w:t>
      </w:r>
    </w:p>
    <w:sdt>
      <w:sdtPr>
        <w:rPr>
          <w:lang w:val="zh-CN"/>
        </w:rPr>
        <w:id w:val="81886842"/>
        <w:docPartObj>
          <w:docPartGallery w:val="Table of Contents"/>
          <w:docPartUnique/>
        </w:docPartObj>
      </w:sdtPr>
      <w:sdtEndPr>
        <w:rPr>
          <w:b/>
          <w:bCs/>
          <w:lang w:val="zh-CN"/>
        </w:rPr>
      </w:sdtEndPr>
      <w:sdtContent>
        <w:p>
          <w:pPr>
            <w:pStyle w:val="22"/>
            <w:tabs>
              <w:tab w:val="right" w:leader="dot" w:pos="9060"/>
            </w:tabs>
            <w:spacing w:line="440" w:lineRule="exact"/>
            <w:rPr>
              <w:rFonts w:asciiTheme="minorHAnsi" w:hAnsiTheme="minorHAnsi" w:eastAsiaTheme="minorEastAsia" w:cstheme="minorBidi"/>
              <w:szCs w:val="22"/>
            </w:rPr>
          </w:pPr>
          <w:r>
            <w:fldChar w:fldCharType="begin"/>
          </w:r>
          <w:r>
            <w:instrText xml:space="preserve"> TOC \o "1-3" \h \z \u </w:instrText>
          </w:r>
          <w:r>
            <w:fldChar w:fldCharType="separate"/>
          </w:r>
          <w:r>
            <w:rPr>
              <w:rStyle w:val="32"/>
            </w:rPr>
            <w:fldChar w:fldCharType="begin"/>
          </w:r>
          <w:r>
            <w:rPr>
              <w:rStyle w:val="32"/>
            </w:rPr>
            <w:instrText xml:space="preserve"> </w:instrText>
          </w:r>
          <w:r>
            <w:instrText xml:space="preserve">HYPERLINK \l "_Toc136262981"</w:instrText>
          </w:r>
          <w:r>
            <w:rPr>
              <w:rStyle w:val="32"/>
            </w:rPr>
            <w:instrText xml:space="preserve"> </w:instrText>
          </w:r>
          <w:r>
            <w:rPr>
              <w:rStyle w:val="32"/>
            </w:rPr>
            <w:fldChar w:fldCharType="separate"/>
          </w:r>
          <w:r>
            <w:rPr>
              <w:rStyle w:val="32"/>
            </w:rPr>
            <w:t>第一章  招标公告</w:t>
          </w:r>
          <w:r>
            <w:tab/>
          </w:r>
          <w:r>
            <w:fldChar w:fldCharType="begin"/>
          </w:r>
          <w:r>
            <w:instrText xml:space="preserve"> PAGEREF _Toc136262981 \h </w:instrText>
          </w:r>
          <w:r>
            <w:fldChar w:fldCharType="separate"/>
          </w:r>
          <w:r>
            <w:t>24</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"_Toc136262982"</w:instrText>
          </w:r>
          <w:r>
            <w:rPr>
              <w:rStyle w:val="32"/>
            </w:rPr>
            <w:instrText xml:space="preserve"> </w:instrText>
          </w:r>
          <w:r>
            <w:rPr>
              <w:rStyle w:val="32"/>
            </w:rPr>
            <w:fldChar w:fldCharType="separate"/>
          </w:r>
          <w:r>
            <w:rPr>
              <w:rStyle w:val="32"/>
            </w:rPr>
            <w:t>第二章  招标说明</w:t>
          </w:r>
          <w:r>
            <w:tab/>
          </w:r>
          <w:r>
            <w:fldChar w:fldCharType="begin"/>
          </w:r>
          <w:r>
            <w:instrText xml:space="preserve"> PAGEREF _Toc136262982 \h </w:instrText>
          </w:r>
          <w:r>
            <w:fldChar w:fldCharType="separate"/>
          </w:r>
          <w:r>
            <w:t>25</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"_Toc136262983"</w:instrText>
          </w:r>
          <w:r>
            <w:rPr>
              <w:rStyle w:val="32"/>
            </w:rPr>
            <w:instrText xml:space="preserve"> </w:instrText>
          </w:r>
          <w:r>
            <w:rPr>
              <w:rStyle w:val="32"/>
            </w:rPr>
            <w:fldChar w:fldCharType="separate"/>
          </w:r>
          <w:r>
            <w:rPr>
              <w:rStyle w:val="32"/>
            </w:rPr>
            <w:t>第三章  投标文件编制要求</w:t>
          </w:r>
          <w:r>
            <w:tab/>
          </w:r>
          <w:r>
            <w:fldChar w:fldCharType="begin"/>
          </w:r>
          <w:r>
            <w:instrText xml:space="preserve"> PAGEREF _Toc136262983 \h </w:instrText>
          </w:r>
          <w:r>
            <w:fldChar w:fldCharType="separate"/>
          </w:r>
          <w:r>
            <w:t>30</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"_Toc136262984"</w:instrText>
          </w:r>
          <w:r>
            <w:rPr>
              <w:rStyle w:val="32"/>
            </w:rPr>
            <w:instrText xml:space="preserve"> </w:instrText>
          </w:r>
          <w:r>
            <w:rPr>
              <w:rStyle w:val="32"/>
            </w:rPr>
            <w:fldChar w:fldCharType="separate"/>
          </w:r>
          <w:r>
            <w:rPr>
              <w:rStyle w:val="32"/>
            </w:rPr>
            <w:t>第四章  废标条款</w:t>
          </w:r>
          <w:r>
            <w:tab/>
          </w:r>
          <w:r>
            <w:fldChar w:fldCharType="begin"/>
          </w:r>
          <w:r>
            <w:instrText xml:space="preserve"> PAGEREF _Toc136262984 \h </w:instrText>
          </w:r>
          <w:r>
            <w:fldChar w:fldCharType="separate"/>
          </w:r>
          <w:r>
            <w:t>36</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"_Toc136262985"</w:instrText>
          </w:r>
          <w:r>
            <w:rPr>
              <w:rStyle w:val="32"/>
            </w:rPr>
            <w:instrText xml:space="preserve"> </w:instrText>
          </w:r>
          <w:r>
            <w:rPr>
              <w:rStyle w:val="32"/>
            </w:rPr>
            <w:fldChar w:fldCharType="separate"/>
          </w:r>
          <w:r>
            <w:rPr>
              <w:rStyle w:val="32"/>
            </w:rPr>
            <w:t>第五章  开标评标定标</w:t>
          </w:r>
          <w:r>
            <w:tab/>
          </w:r>
          <w:r>
            <w:fldChar w:fldCharType="begin"/>
          </w:r>
          <w:r>
            <w:instrText xml:space="preserve"> PAGEREF _Toc136262985 \h </w:instrText>
          </w:r>
          <w:r>
            <w:fldChar w:fldCharType="separate"/>
          </w:r>
          <w:r>
            <w:t>38</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"_Toc136262986"</w:instrText>
          </w:r>
          <w:r>
            <w:rPr>
              <w:rStyle w:val="32"/>
            </w:rPr>
            <w:instrText xml:space="preserve"> </w:instrText>
          </w:r>
          <w:r>
            <w:rPr>
              <w:rStyle w:val="32"/>
            </w:rPr>
            <w:fldChar w:fldCharType="separate"/>
          </w:r>
          <w:r>
            <w:rPr>
              <w:rStyle w:val="32"/>
            </w:rPr>
            <w:t>第六章  合同主要条款</w:t>
          </w:r>
          <w:r>
            <w:tab/>
          </w:r>
          <w:r>
            <w:fldChar w:fldCharType="begin"/>
          </w:r>
          <w:r>
            <w:instrText xml:space="preserve"> PAGEREF _Toc136262986 \h </w:instrText>
          </w:r>
          <w:r>
            <w:fldChar w:fldCharType="separate"/>
          </w:r>
          <w:r>
            <w:t>44</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"_Toc136262987"</w:instrText>
          </w:r>
          <w:r>
            <w:rPr>
              <w:rStyle w:val="32"/>
            </w:rPr>
            <w:instrText xml:space="preserve"> </w:instrText>
          </w:r>
          <w:r>
            <w:rPr>
              <w:rStyle w:val="32"/>
            </w:rPr>
            <w:fldChar w:fldCharType="separate"/>
          </w:r>
          <w:r>
            <w:rPr>
              <w:rStyle w:val="32"/>
            </w:rPr>
            <w:t>附录1</w:t>
          </w:r>
          <w:r>
            <w:tab/>
          </w:r>
          <w:r>
            <w:fldChar w:fldCharType="begin"/>
          </w:r>
          <w:r>
            <w:instrText xml:space="preserve"> PAGEREF _Toc136262987 \h </w:instrText>
          </w:r>
          <w:r>
            <w:fldChar w:fldCharType="separate"/>
          </w:r>
          <w:r>
            <w:t>45</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"_Toc136262988"</w:instrText>
          </w:r>
          <w:r>
            <w:rPr>
              <w:rStyle w:val="32"/>
            </w:rPr>
            <w:instrText xml:space="preserve"> </w:instrText>
          </w:r>
          <w:r>
            <w:rPr>
              <w:rStyle w:val="32"/>
            </w:rPr>
            <w:fldChar w:fldCharType="separate"/>
          </w:r>
          <w:r>
            <w:rPr>
              <w:rStyle w:val="32"/>
            </w:rPr>
            <w:t>附录2</w:t>
          </w:r>
          <w:r>
            <w:tab/>
          </w:r>
          <w:r>
            <w:fldChar w:fldCharType="begin"/>
          </w:r>
          <w:r>
            <w:instrText xml:space="preserve"> PAGEREF _Toc136262988 \h </w:instrText>
          </w:r>
          <w:r>
            <w:fldChar w:fldCharType="separate"/>
          </w:r>
          <w:r>
            <w:t>46</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"_Toc136262989"</w:instrText>
          </w:r>
          <w:r>
            <w:rPr>
              <w:rStyle w:val="32"/>
            </w:rPr>
            <w:instrText xml:space="preserve"> </w:instrText>
          </w:r>
          <w:r>
            <w:rPr>
              <w:rStyle w:val="32"/>
            </w:rPr>
            <w:fldChar w:fldCharType="separate"/>
          </w:r>
          <w:r>
            <w:rPr>
              <w:rStyle w:val="32"/>
            </w:rPr>
            <w:t>附录3</w:t>
          </w:r>
          <w:r>
            <w:tab/>
          </w:r>
          <w:r>
            <w:fldChar w:fldCharType="begin"/>
          </w:r>
          <w:r>
            <w:instrText xml:space="preserve"> PAGEREF _Toc136262989 \h </w:instrText>
          </w:r>
          <w:r>
            <w:fldChar w:fldCharType="separate"/>
          </w:r>
          <w:r>
            <w:t>47</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"_Toc136262990"</w:instrText>
          </w:r>
          <w:r>
            <w:rPr>
              <w:rStyle w:val="32"/>
            </w:rPr>
            <w:instrText xml:space="preserve"> </w:instrText>
          </w:r>
          <w:r>
            <w:rPr>
              <w:rStyle w:val="32"/>
            </w:rPr>
            <w:fldChar w:fldCharType="separate"/>
          </w:r>
          <w:r>
            <w:rPr>
              <w:rStyle w:val="32"/>
              <w:strike/>
            </w:rPr>
            <w:t>附录4（本表送交易服务机构备案）</w:t>
          </w:r>
          <w:r>
            <w:tab/>
          </w:r>
          <w:r>
            <w:fldChar w:fldCharType="begin"/>
          </w:r>
          <w:r>
            <w:instrText xml:space="preserve"> PAGEREF _Toc136262990 \h </w:instrText>
          </w:r>
          <w:r>
            <w:fldChar w:fldCharType="separate"/>
          </w:r>
          <w:r>
            <w:t>48</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"_Toc136262991"</w:instrText>
          </w:r>
          <w:r>
            <w:rPr>
              <w:rStyle w:val="32"/>
            </w:rPr>
            <w:instrText xml:space="preserve"> </w:instrText>
          </w:r>
          <w:r>
            <w:rPr>
              <w:rStyle w:val="32"/>
            </w:rPr>
            <w:fldChar w:fldCharType="separate"/>
          </w:r>
          <w:r>
            <w:rPr>
              <w:rStyle w:val="32"/>
            </w:rPr>
            <w:t>附录5</w:t>
          </w:r>
          <w:r>
            <w:tab/>
          </w:r>
          <w:r>
            <w:fldChar w:fldCharType="begin"/>
          </w:r>
          <w:r>
            <w:instrText xml:space="preserve"> PAGEREF _Toc136262991 \h </w:instrText>
          </w:r>
          <w:r>
            <w:fldChar w:fldCharType="separate"/>
          </w:r>
          <w:r>
            <w:t>49</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"_Toc136262992"</w:instrText>
          </w:r>
          <w:r>
            <w:rPr>
              <w:rStyle w:val="32"/>
            </w:rPr>
            <w:instrText xml:space="preserve"> </w:instrText>
          </w:r>
          <w:r>
            <w:rPr>
              <w:rStyle w:val="32"/>
            </w:rPr>
            <w:fldChar w:fldCharType="separate"/>
          </w:r>
          <w:r>
            <w:rPr>
              <w:rStyle w:val="32"/>
            </w:rPr>
            <w:t>附录5-1</w:t>
          </w:r>
          <w:r>
            <w:tab/>
          </w:r>
          <w:r>
            <w:fldChar w:fldCharType="begin"/>
          </w:r>
          <w:r>
            <w:instrText xml:space="preserve"> PAGEREF _Toc136262992 \h </w:instrText>
          </w:r>
          <w:r>
            <w:fldChar w:fldCharType="separate"/>
          </w:r>
          <w:r>
            <w:t>50</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"_Toc136262993"</w:instrText>
          </w:r>
          <w:r>
            <w:rPr>
              <w:rStyle w:val="32"/>
            </w:rPr>
            <w:instrText xml:space="preserve"> </w:instrText>
          </w:r>
          <w:r>
            <w:rPr>
              <w:rStyle w:val="32"/>
            </w:rPr>
            <w:fldChar w:fldCharType="separate"/>
          </w:r>
          <w:r>
            <w:rPr>
              <w:rStyle w:val="32"/>
            </w:rPr>
            <w:t>附录5-2（适用于勘察报价）</w:t>
          </w:r>
          <w:r>
            <w:tab/>
          </w:r>
          <w:r>
            <w:fldChar w:fldCharType="begin"/>
          </w:r>
          <w:r>
            <w:instrText xml:space="preserve"> PAGEREF _Toc136262993 \h </w:instrText>
          </w:r>
          <w:r>
            <w:fldChar w:fldCharType="separate"/>
          </w:r>
          <w:r>
            <w:t>51</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"_Toc136262994"</w:instrText>
          </w:r>
          <w:r>
            <w:rPr>
              <w:rStyle w:val="32"/>
            </w:rPr>
            <w:instrText xml:space="preserve"> </w:instrText>
          </w:r>
          <w:r>
            <w:rPr>
              <w:rStyle w:val="32"/>
            </w:rPr>
            <w:fldChar w:fldCharType="separate"/>
          </w:r>
          <w:r>
            <w:rPr>
              <w:rStyle w:val="32"/>
            </w:rPr>
            <w:t>附录6</w:t>
          </w:r>
          <w:r>
            <w:tab/>
          </w:r>
          <w:r>
            <w:fldChar w:fldCharType="begin"/>
          </w:r>
          <w:r>
            <w:instrText xml:space="preserve"> PAGEREF _Toc136262994 \h </w:instrText>
          </w:r>
          <w:r>
            <w:fldChar w:fldCharType="separate"/>
          </w:r>
          <w:r>
            <w:t>52</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"_Toc136262995"</w:instrText>
          </w:r>
          <w:r>
            <w:rPr>
              <w:rStyle w:val="32"/>
            </w:rPr>
            <w:instrText xml:space="preserve"> </w:instrText>
          </w:r>
          <w:r>
            <w:rPr>
              <w:rStyle w:val="32"/>
            </w:rPr>
            <w:fldChar w:fldCharType="separate"/>
          </w:r>
          <w:r>
            <w:rPr>
              <w:rStyle w:val="32"/>
            </w:rPr>
            <w:t>附录7（如果招标人接受联合体，则与投标书一起递交）</w:t>
          </w:r>
          <w:r>
            <w:tab/>
          </w:r>
          <w:r>
            <w:fldChar w:fldCharType="begin"/>
          </w:r>
          <w:r>
            <w:instrText xml:space="preserve"> PAGEREF _Toc136262995 \h </w:instrText>
          </w:r>
          <w:r>
            <w:fldChar w:fldCharType="separate"/>
          </w:r>
          <w:r>
            <w:t>53</w:t>
          </w:r>
          <w:r>
            <w:fldChar w:fldCharType="end"/>
          </w:r>
          <w:r>
            <w:rPr>
              <w:rStyle w:val="32"/>
            </w:rPr>
            <w:fldChar w:fldCharType="end"/>
          </w:r>
        </w:p>
        <w:p>
          <w:pPr>
            <w:pStyle w:val="22"/>
            <w:tabs>
              <w:tab w:val="right" w:leader="dot" w:pos="9060"/>
            </w:tabs>
            <w:spacing w:line="440" w:lineRule="exact"/>
            <w:rPr>
              <w:rStyle w:val="32"/>
            </w:rPr>
          </w:pPr>
          <w:r>
            <w:rPr>
              <w:rStyle w:val="32"/>
            </w:rPr>
            <w:fldChar w:fldCharType="begin"/>
          </w:r>
          <w:r>
            <w:rPr>
              <w:rStyle w:val="32"/>
            </w:rPr>
            <w:instrText xml:space="preserve"> </w:instrText>
          </w:r>
          <w:r>
            <w:instrText xml:space="preserve">HYPERLINK \l "_Toc136262996"</w:instrText>
          </w:r>
          <w:r>
            <w:rPr>
              <w:rStyle w:val="32"/>
            </w:rPr>
            <w:instrText xml:space="preserve"> </w:instrText>
          </w:r>
          <w:r>
            <w:rPr>
              <w:rStyle w:val="32"/>
            </w:rPr>
            <w:fldChar w:fldCharType="separate"/>
          </w:r>
          <w:r>
            <w:rPr>
              <w:rStyle w:val="32"/>
            </w:rPr>
            <w:t>附录8</w:t>
          </w:r>
          <w:r>
            <w:tab/>
          </w:r>
          <w:r>
            <w:fldChar w:fldCharType="begin"/>
          </w:r>
          <w:r>
            <w:instrText xml:space="preserve"> PAGEREF _Toc136262996 \h </w:instrText>
          </w:r>
          <w:r>
            <w:fldChar w:fldCharType="separate"/>
          </w:r>
          <w:r>
            <w:t>55</w:t>
          </w:r>
          <w:r>
            <w:fldChar w:fldCharType="end"/>
          </w:r>
          <w:r>
            <w:rPr>
              <w:rStyle w:val="32"/>
            </w:rPr>
            <w:fldChar w:fldCharType="end"/>
          </w:r>
        </w:p>
        <w:p>
          <w:pPr>
            <w:pStyle w:val="22"/>
            <w:tabs>
              <w:tab w:val="right" w:leader="dot" w:pos="9060"/>
            </w:tabs>
            <w:spacing w:line="440" w:lineRule="exact"/>
            <w:rPr>
              <w:rFonts w:cstheme="minorBidi"/>
            </w:rPr>
          </w:pPr>
          <w:r>
            <w:rPr>
              <w:rStyle w:val="32"/>
            </w:rPr>
            <w:fldChar w:fldCharType="begin"/>
          </w:r>
          <w:r>
            <w:rPr>
              <w:rStyle w:val="32"/>
            </w:rPr>
            <w:instrText xml:space="preserve"> </w:instrText>
          </w:r>
          <w:r>
            <w:instrText xml:space="preserve">HYPERLINK \l "_Toc136262996"</w:instrText>
          </w:r>
          <w:r>
            <w:rPr>
              <w:rStyle w:val="32"/>
            </w:rPr>
            <w:instrText xml:space="preserve"> </w:instrText>
          </w:r>
          <w:r>
            <w:rPr>
              <w:rStyle w:val="32"/>
            </w:rPr>
            <w:fldChar w:fldCharType="separate"/>
          </w:r>
          <w:r>
            <w:rPr>
              <w:rStyle w:val="32"/>
            </w:rPr>
            <w:t>附录9</w:t>
          </w:r>
          <w:r>
            <w:tab/>
          </w:r>
          <w:r>
            <w:fldChar w:fldCharType="begin"/>
          </w:r>
          <w:r>
            <w:instrText xml:space="preserve"> PAGEREF _Toc136262996 \h </w:instrText>
          </w:r>
          <w:r>
            <w:fldChar w:fldCharType="separate"/>
          </w:r>
          <w:r>
            <w:t>55</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"_Toc136262998"</w:instrText>
          </w:r>
          <w:r>
            <w:rPr>
              <w:rStyle w:val="32"/>
            </w:rPr>
            <w:instrText xml:space="preserve"> </w:instrText>
          </w:r>
          <w:r>
            <w:rPr>
              <w:rStyle w:val="32"/>
            </w:rPr>
            <w:fldChar w:fldCharType="separate"/>
          </w:r>
          <w:r>
            <w:rPr>
              <w:rStyle w:val="32"/>
            </w:rPr>
            <w:t>附录10（本页接收投标文件时使用，结束时收回存档备查）</w:t>
          </w:r>
          <w:r>
            <w:tab/>
          </w:r>
          <w:r>
            <w:fldChar w:fldCharType="begin"/>
          </w:r>
          <w:r>
            <w:instrText xml:space="preserve"> PAGEREF _Toc136262998 \h </w:instrText>
          </w:r>
          <w:r>
            <w:fldChar w:fldCharType="separate"/>
          </w:r>
          <w:r>
            <w:t>58</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"_Toc136262999"</w:instrText>
          </w:r>
          <w:r>
            <w:rPr>
              <w:rStyle w:val="32"/>
            </w:rPr>
            <w:instrText xml:space="preserve"> </w:instrText>
          </w:r>
          <w:r>
            <w:rPr>
              <w:rStyle w:val="32"/>
            </w:rPr>
            <w:fldChar w:fldCharType="separate"/>
          </w:r>
          <w:r>
            <w:rPr>
              <w:rStyle w:val="32"/>
            </w:rPr>
            <w:t>附录11</w:t>
          </w:r>
          <w:r>
            <w:tab/>
          </w:r>
          <w:r>
            <w:fldChar w:fldCharType="begin"/>
          </w:r>
          <w:r>
            <w:instrText xml:space="preserve"> PAGEREF _Toc136262999 \h </w:instrText>
          </w:r>
          <w:r>
            <w:fldChar w:fldCharType="separate"/>
          </w:r>
          <w:r>
            <w:t>59</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"_Toc136263000"</w:instrText>
          </w:r>
          <w:r>
            <w:rPr>
              <w:rStyle w:val="32"/>
            </w:rPr>
            <w:instrText xml:space="preserve"> </w:instrText>
          </w:r>
          <w:r>
            <w:rPr>
              <w:rStyle w:val="32"/>
            </w:rPr>
            <w:fldChar w:fldCharType="separate"/>
          </w:r>
          <w:r>
            <w:rPr>
              <w:rStyle w:val="32"/>
            </w:rPr>
            <w:t>附录12</w:t>
          </w:r>
          <w:r>
            <w:tab/>
          </w:r>
          <w:r>
            <w:fldChar w:fldCharType="begin"/>
          </w:r>
          <w:r>
            <w:instrText xml:space="preserve"> PAGEREF _Toc136263000 \h </w:instrText>
          </w:r>
          <w:r>
            <w:fldChar w:fldCharType="separate"/>
          </w:r>
          <w:r>
            <w:t>60</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"_Toc136263001"</w:instrText>
          </w:r>
          <w:r>
            <w:rPr>
              <w:rStyle w:val="32"/>
            </w:rPr>
            <w:instrText xml:space="preserve"> </w:instrText>
          </w:r>
          <w:r>
            <w:rPr>
              <w:rStyle w:val="32"/>
            </w:rPr>
            <w:fldChar w:fldCharType="separate"/>
          </w:r>
          <w:r>
            <w:rPr>
              <w:rStyle w:val="32"/>
            </w:rPr>
            <w:t>附录13（适用于综合评分法）</w:t>
          </w:r>
          <w:r>
            <w:tab/>
          </w:r>
          <w:r>
            <w:fldChar w:fldCharType="begin"/>
          </w:r>
          <w:r>
            <w:instrText xml:space="preserve"> PAGEREF _Toc136263001 \h </w:instrText>
          </w:r>
          <w:r>
            <w:fldChar w:fldCharType="separate"/>
          </w:r>
          <w:r>
            <w:t>62</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"_Toc136263004"</w:instrText>
          </w:r>
          <w:r>
            <w:rPr>
              <w:rStyle w:val="32"/>
            </w:rPr>
            <w:instrText xml:space="preserve"> </w:instrText>
          </w:r>
          <w:r>
            <w:rPr>
              <w:rStyle w:val="32"/>
            </w:rPr>
            <w:fldChar w:fldCharType="separate"/>
          </w:r>
          <w:r>
            <w:rPr>
              <w:rStyle w:val="32"/>
            </w:rPr>
            <w:t>附录14</w:t>
          </w:r>
          <w:r>
            <w:tab/>
          </w:r>
          <w:r>
            <w:fldChar w:fldCharType="begin"/>
          </w:r>
          <w:r>
            <w:instrText xml:space="preserve"> PAGEREF _Toc136263004 \h </w:instrText>
          </w:r>
          <w:r>
            <w:fldChar w:fldCharType="separate"/>
          </w:r>
          <w:r>
            <w:t>65</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"_Toc136263005"</w:instrText>
          </w:r>
          <w:r>
            <w:rPr>
              <w:rStyle w:val="32"/>
            </w:rPr>
            <w:instrText xml:space="preserve"> </w:instrText>
          </w:r>
          <w:r>
            <w:rPr>
              <w:rStyle w:val="32"/>
            </w:rPr>
            <w:fldChar w:fldCharType="separate"/>
          </w:r>
          <w:r>
            <w:rPr>
              <w:rStyle w:val="32"/>
            </w:rPr>
            <w:t>附录15（适用于综合评分法）</w:t>
          </w:r>
          <w:r>
            <w:tab/>
          </w:r>
          <w:r>
            <w:fldChar w:fldCharType="begin"/>
          </w:r>
          <w:r>
            <w:instrText xml:space="preserve"> PAGEREF _Toc136263005 \h </w:instrText>
          </w:r>
          <w:r>
            <w:fldChar w:fldCharType="separate"/>
          </w:r>
          <w:r>
            <w:t>66</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"_Toc136263006"</w:instrText>
          </w:r>
          <w:r>
            <w:rPr>
              <w:rStyle w:val="32"/>
            </w:rPr>
            <w:instrText xml:space="preserve"> </w:instrText>
          </w:r>
          <w:r>
            <w:rPr>
              <w:rStyle w:val="32"/>
            </w:rPr>
            <w:fldChar w:fldCharType="separate"/>
          </w:r>
          <w:r>
            <w:rPr>
              <w:rStyle w:val="32"/>
              <w:strike/>
            </w:rPr>
            <w:t>附录16（适用于投票法）</w:t>
          </w:r>
          <w:r>
            <w:tab/>
          </w:r>
          <w:r>
            <w:fldChar w:fldCharType="begin"/>
          </w:r>
          <w:r>
            <w:instrText xml:space="preserve"> PAGEREF _Toc136263006 \h </w:instrText>
          </w:r>
          <w:r>
            <w:fldChar w:fldCharType="separate"/>
          </w:r>
          <w:r>
            <w:t>68</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"_Toc136263007"</w:instrText>
          </w:r>
          <w:r>
            <w:rPr>
              <w:rStyle w:val="32"/>
            </w:rPr>
            <w:instrText xml:space="preserve"> </w:instrText>
          </w:r>
          <w:r>
            <w:rPr>
              <w:rStyle w:val="32"/>
            </w:rPr>
            <w:fldChar w:fldCharType="separate"/>
          </w:r>
          <w:r>
            <w:rPr>
              <w:rStyle w:val="32"/>
              <w:strike/>
            </w:rPr>
            <w:t>附录17（适用于投票法）</w:t>
          </w:r>
          <w:r>
            <w:tab/>
          </w:r>
          <w:r>
            <w:fldChar w:fldCharType="begin"/>
          </w:r>
          <w:r>
            <w:instrText xml:space="preserve"> PAGEREF _Toc136263007 \h </w:instrText>
          </w:r>
          <w:r>
            <w:fldChar w:fldCharType="separate"/>
          </w:r>
          <w:r>
            <w:t>69</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"_Toc136263008"</w:instrText>
          </w:r>
          <w:r>
            <w:rPr>
              <w:rStyle w:val="32"/>
            </w:rPr>
            <w:instrText xml:space="preserve"> </w:instrText>
          </w:r>
          <w:r>
            <w:rPr>
              <w:rStyle w:val="32"/>
            </w:rPr>
            <w:fldChar w:fldCharType="separate"/>
          </w:r>
          <w:r>
            <w:rPr>
              <w:rStyle w:val="32"/>
              <w:strike/>
            </w:rPr>
            <w:t>附录18（适用于投票法）</w:t>
          </w:r>
          <w:r>
            <w:tab/>
          </w:r>
          <w:r>
            <w:fldChar w:fldCharType="begin"/>
          </w:r>
          <w:r>
            <w:instrText xml:space="preserve"> PAGEREF _Toc136263008 \h </w:instrText>
          </w:r>
          <w:r>
            <w:fldChar w:fldCharType="separate"/>
          </w:r>
          <w:r>
            <w:t>71</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"_Toc136263009"</w:instrText>
          </w:r>
          <w:r>
            <w:rPr>
              <w:rStyle w:val="32"/>
            </w:rPr>
            <w:instrText xml:space="preserve"> </w:instrText>
          </w:r>
          <w:r>
            <w:rPr>
              <w:rStyle w:val="32"/>
            </w:rPr>
            <w:fldChar w:fldCharType="separate"/>
          </w:r>
          <w:r>
            <w:rPr>
              <w:rStyle w:val="32"/>
            </w:rPr>
            <w:t>附录19</w:t>
          </w:r>
          <w:r>
            <w:tab/>
          </w:r>
          <w:r>
            <w:fldChar w:fldCharType="begin"/>
          </w:r>
          <w:r>
            <w:instrText xml:space="preserve"> PAGEREF _Toc136263009 \h </w:instrText>
          </w:r>
          <w:r>
            <w:fldChar w:fldCharType="separate"/>
          </w:r>
          <w:r>
            <w:t>72</w:t>
          </w:r>
          <w:r>
            <w:fldChar w:fldCharType="end"/>
          </w:r>
          <w:r>
            <w:rPr>
              <w:rStyle w:val="32"/>
            </w:rPr>
            <w:fldChar w:fldCharType="end"/>
          </w:r>
        </w:p>
        <w:p>
          <w:pPr>
            <w:pStyle w:val="22"/>
            <w:tabs>
              <w:tab w:val="right" w:leader="dot" w:pos="9060"/>
            </w:tabs>
            <w:spacing w:line="440" w:lineRule="exact"/>
            <w:rPr>
              <w:rFonts w:asciiTheme="minorHAnsi" w:hAnsiTheme="minorHAnsi" w:eastAsiaTheme="minorEastAsia" w:cstheme="minorBidi"/>
              <w:szCs w:val="22"/>
            </w:rPr>
          </w:pPr>
          <w:r>
            <w:rPr>
              <w:rStyle w:val="32"/>
            </w:rPr>
            <w:fldChar w:fldCharType="begin"/>
          </w:r>
          <w:r>
            <w:rPr>
              <w:rStyle w:val="32"/>
            </w:rPr>
            <w:instrText xml:space="preserve"> </w:instrText>
          </w:r>
          <w:r>
            <w:instrText xml:space="preserve">HYPERLINK \l "_Toc136263026"</w:instrText>
          </w:r>
          <w:r>
            <w:rPr>
              <w:rStyle w:val="32"/>
            </w:rPr>
            <w:instrText xml:space="preserve"> </w:instrText>
          </w:r>
          <w:r>
            <w:rPr>
              <w:rStyle w:val="32"/>
            </w:rPr>
            <w:fldChar w:fldCharType="separate"/>
          </w:r>
          <w:r>
            <w:rPr>
              <w:rStyle w:val="32"/>
            </w:rPr>
            <w:t>附录20</w:t>
          </w:r>
          <w:r>
            <w:tab/>
          </w:r>
          <w:r>
            <w:fldChar w:fldCharType="begin"/>
          </w:r>
          <w:r>
            <w:instrText xml:space="preserve"> PAGEREF _Toc136263026 \h </w:instrText>
          </w:r>
          <w:r>
            <w:fldChar w:fldCharType="separate"/>
          </w:r>
          <w:r>
            <w:t>81</w:t>
          </w:r>
          <w:r>
            <w:fldChar w:fldCharType="end"/>
          </w:r>
          <w:r>
            <w:rPr>
              <w:rStyle w:val="32"/>
            </w:rPr>
            <w:fldChar w:fldCharType="end"/>
          </w:r>
        </w:p>
        <w:p>
          <w:pPr>
            <w:spacing w:line="440" w:lineRule="exact"/>
          </w:pPr>
          <w:r>
            <w:rPr>
              <w:b/>
              <w:bCs/>
              <w:lang w:val="zh-CN"/>
            </w:rPr>
            <w:fldChar w:fldCharType="end"/>
          </w:r>
        </w:p>
      </w:sdtContent>
    </w:sdt>
    <w:p>
      <w:pPr>
        <w:pStyle w:val="2"/>
        <w:pBdr>
          <w:top w:val="none" w:color="auto" w:sz="0" w:space="0"/>
        </w:pBdr>
        <w:jc w:val="center"/>
        <w:rPr>
          <w:b w:val="0"/>
          <w:bCs w:val="0"/>
          <w:sz w:val="28"/>
          <w:szCs w:val="36"/>
        </w:rPr>
      </w:pPr>
    </w:p>
    <w:p>
      <w:pPr>
        <w:widowControl w:val="0"/>
        <w:jc w:val="center"/>
        <w:rPr>
          <w:b/>
          <w:bCs/>
          <w:kern w:val="0"/>
          <w:sz w:val="20"/>
        </w:rPr>
      </w:pPr>
      <w:r>
        <w:br w:type="page"/>
      </w:r>
    </w:p>
    <w:p>
      <w:pPr>
        <w:pStyle w:val="4"/>
      </w:pPr>
      <w:bookmarkStart w:id="2" w:name="_Toc136262981"/>
      <w:r>
        <w:rPr>
          <w:rFonts w:hint="eastAsia"/>
        </w:rPr>
        <w:t>第一章  招标公告</w:t>
      </w:r>
      <w:bookmarkEnd w:id="2"/>
    </w:p>
    <w:p>
      <w:pPr>
        <w:spacing w:line="400" w:lineRule="exact"/>
        <w:jc w:val="center"/>
        <w:rPr>
          <w:rFonts w:ascii="宋体" w:hAnsi="宋体"/>
          <w:sz w:val="22"/>
          <w:szCs w:val="22"/>
        </w:rPr>
      </w:pPr>
      <w:r>
        <w:rPr>
          <w:rFonts w:hint="eastAsia" w:ascii="宋体" w:hAnsi="宋体"/>
          <w:sz w:val="22"/>
          <w:szCs w:val="22"/>
        </w:rPr>
        <w:t>详见招标公告。</w:t>
      </w:r>
    </w:p>
    <w:p>
      <w:pPr>
        <w:pStyle w:val="4"/>
        <w:widowControl/>
        <w:jc w:val="left"/>
        <w:rPr>
          <w:rFonts w:ascii="宋体" w:hAnsi="宋体"/>
        </w:rPr>
      </w:pPr>
      <w:r>
        <w:rPr>
          <w:rFonts w:ascii="宋体" w:hAnsi="宋体"/>
        </w:rPr>
        <w:br w:type="page"/>
      </w:r>
    </w:p>
    <w:p>
      <w:pPr>
        <w:pStyle w:val="4"/>
        <w:rPr>
          <w:b w:val="0"/>
        </w:rPr>
      </w:pPr>
      <w:bookmarkStart w:id="3" w:name="_Toc136262982"/>
      <w:r>
        <w:rPr>
          <w:rFonts w:hint="eastAsia"/>
        </w:rPr>
        <w:t>第二章</w:t>
      </w:r>
      <w:r>
        <w:t xml:space="preserve">  </w:t>
      </w:r>
      <w:r>
        <w:rPr>
          <w:rFonts w:hint="eastAsia"/>
        </w:rPr>
        <w:t>招标说明</w:t>
      </w:r>
      <w:bookmarkEnd w:id="3"/>
    </w:p>
    <w:p>
      <w:pPr>
        <w:spacing w:line="400" w:lineRule="exact"/>
        <w:jc w:val="left"/>
        <w:rPr>
          <w:rFonts w:ascii="宋体" w:hAnsi="宋体"/>
          <w:b/>
          <w:bCs/>
          <w:sz w:val="24"/>
        </w:rPr>
      </w:pPr>
      <w:r>
        <w:rPr>
          <w:rFonts w:hint="eastAsia" w:ascii="宋体" w:hAnsi="宋体"/>
          <w:b/>
          <w:bCs/>
          <w:sz w:val="24"/>
        </w:rPr>
        <w:t>2.1    免责条款</w:t>
      </w:r>
    </w:p>
    <w:p>
      <w:pPr>
        <w:spacing w:line="400" w:lineRule="exact"/>
        <w:ind w:left="821" w:hanging="820" w:hangingChars="342"/>
        <w:jc w:val="left"/>
        <w:rPr>
          <w:rFonts w:ascii="宋体" w:hAnsi="宋体"/>
          <w:sz w:val="24"/>
        </w:rPr>
      </w:pPr>
      <w:r>
        <w:rPr>
          <w:rFonts w:hint="eastAsia" w:ascii="宋体" w:hAnsi="宋体"/>
          <w:sz w:val="24"/>
        </w:rPr>
        <w:t>2.1.1  招标文件的解释权归招标人所有，招标人有权在法律允许范围内调整本次招标活动的细节及保留最终解释权。</w:t>
      </w:r>
    </w:p>
    <w:p>
      <w:pPr>
        <w:spacing w:line="400" w:lineRule="exact"/>
        <w:ind w:left="821" w:hanging="820" w:hangingChars="342"/>
        <w:jc w:val="left"/>
        <w:rPr>
          <w:rFonts w:ascii="宋体" w:hAnsi="宋体"/>
          <w:sz w:val="24"/>
        </w:rPr>
      </w:pPr>
      <w:r>
        <w:rPr>
          <w:rFonts w:hint="eastAsia" w:ascii="宋体" w:hAnsi="宋体"/>
          <w:sz w:val="24"/>
        </w:rPr>
        <w:t>2.1.2  招标人不受将合同授予任何投标人的约束，招标人有权接受任何一份投标文件的全部或部分内容。</w:t>
      </w:r>
    </w:p>
    <w:p>
      <w:pPr>
        <w:spacing w:line="400" w:lineRule="exact"/>
        <w:ind w:left="821" w:hanging="820" w:hangingChars="342"/>
        <w:jc w:val="left"/>
        <w:rPr>
          <w:rFonts w:ascii="宋体" w:hAnsi="宋体"/>
          <w:sz w:val="24"/>
        </w:rPr>
      </w:pPr>
      <w:r>
        <w:rPr>
          <w:rFonts w:hint="eastAsia" w:ascii="宋体" w:hAnsi="宋体"/>
          <w:sz w:val="24"/>
        </w:rPr>
        <w:t>2.1.3  招标人向投标人提供的资料和数据，是招标人现有的能使投标人利用的资料，招标人对投标人由此而作出的推论、理解和结论概不负责。</w:t>
      </w:r>
    </w:p>
    <w:p>
      <w:pPr>
        <w:pStyle w:val="16"/>
        <w:spacing w:line="400" w:lineRule="exact"/>
        <w:ind w:left="821" w:hanging="820" w:hangingChars="342"/>
        <w:jc w:val="left"/>
        <w:rPr>
          <w:rFonts w:hAnsi="宋体"/>
          <w:sz w:val="24"/>
          <w:szCs w:val="24"/>
        </w:rPr>
      </w:pPr>
      <w:r>
        <w:rPr>
          <w:rFonts w:hint="eastAsia" w:hAnsi="宋体"/>
          <w:sz w:val="24"/>
          <w:szCs w:val="24"/>
        </w:rPr>
        <w:t>2.1.4  投标人应承担其现场考察、编制和提交投标文件有关的一切费用、损害和人身伤亡事故责任，不管投标结果如何，招标人（或招标代理机构）对上述费用不负任何责任。</w:t>
      </w:r>
    </w:p>
    <w:p>
      <w:pPr>
        <w:spacing w:line="400" w:lineRule="exact"/>
        <w:ind w:left="821" w:hanging="820" w:hangingChars="342"/>
        <w:rPr>
          <w:rFonts w:ascii="宋体" w:hAnsi="宋体"/>
          <w:sz w:val="24"/>
        </w:rPr>
      </w:pPr>
      <w:r>
        <w:rPr>
          <w:rFonts w:hint="eastAsia" w:ascii="宋体" w:hAnsi="宋体"/>
          <w:sz w:val="24"/>
        </w:rPr>
        <w:t xml:space="preserve">2.1.5  </w:t>
      </w:r>
      <w:r>
        <w:rPr>
          <w:rFonts w:hint="eastAsia" w:hAnsi="宋体"/>
          <w:sz w:val="24"/>
        </w:rPr>
        <w:t>招标人（或招标代理机构）对投标人的失误不负任何责任，</w:t>
      </w:r>
      <w:r>
        <w:rPr>
          <w:rFonts w:hint="eastAsia" w:ascii="宋体" w:hAnsi="宋体"/>
          <w:sz w:val="24"/>
        </w:rPr>
        <w:t>投标人应指定一名投标事务负责人，专门负责跟踪、接收、阅读和理解招标文件及随后收到的有关资料，向招标人</w:t>
      </w:r>
      <w:r>
        <w:rPr>
          <w:rFonts w:hint="eastAsia" w:hAnsi="宋体"/>
          <w:sz w:val="24"/>
        </w:rPr>
        <w:t>（或招标代理机构）</w:t>
      </w:r>
      <w:r>
        <w:rPr>
          <w:rFonts w:hint="eastAsia" w:ascii="宋体" w:hAnsi="宋体"/>
          <w:sz w:val="24"/>
        </w:rPr>
        <w:t>发出质疑，检查投标文件，协助有关人员尽力克服各种投标失误。</w:t>
      </w:r>
    </w:p>
    <w:p>
      <w:pPr>
        <w:spacing w:line="400" w:lineRule="exact"/>
        <w:ind w:left="821" w:hanging="820" w:hangingChars="342"/>
        <w:jc w:val="left"/>
        <w:rPr>
          <w:rFonts w:ascii="宋体" w:hAnsi="宋体"/>
          <w:sz w:val="24"/>
        </w:rPr>
      </w:pPr>
      <w:r>
        <w:rPr>
          <w:rFonts w:hint="eastAsia" w:ascii="宋体" w:hAnsi="宋体"/>
          <w:sz w:val="24"/>
        </w:rPr>
        <w:t>2.1.6  评标委员会成员</w:t>
      </w:r>
      <w:r>
        <w:rPr>
          <w:rFonts w:hint="eastAsia" w:hAnsi="宋体"/>
          <w:sz w:val="24"/>
        </w:rPr>
        <w:t>应承担其参加评标有关的一切费用、损害和人身伤亡事故责任，招标人（或招标代理机构）除提供评标酬金和因请外地专家而发生的差旅费用外，对其他费用不负任何责任。</w:t>
      </w:r>
    </w:p>
    <w:p>
      <w:pPr>
        <w:pStyle w:val="34"/>
      </w:pPr>
    </w:p>
    <w:p>
      <w:pPr>
        <w:spacing w:line="400" w:lineRule="exact"/>
        <w:rPr>
          <w:rFonts w:ascii="宋体" w:hAnsi="宋体"/>
          <w:b/>
          <w:sz w:val="24"/>
        </w:rPr>
      </w:pPr>
      <w:r>
        <w:rPr>
          <w:rFonts w:hint="eastAsia" w:ascii="宋体" w:hAnsi="宋体"/>
          <w:b/>
          <w:sz w:val="24"/>
        </w:rPr>
        <w:t>2.2    招标文件效力</w:t>
      </w:r>
    </w:p>
    <w:p>
      <w:pPr>
        <w:spacing w:line="400" w:lineRule="exact"/>
        <w:rPr>
          <w:rFonts w:ascii="宋体" w:hAnsi="宋体"/>
          <w:dstrike/>
          <w:sz w:val="24"/>
        </w:rPr>
      </w:pPr>
      <w:r>
        <w:rPr>
          <w:rFonts w:hint="eastAsia" w:ascii="宋体" w:hAnsi="宋体"/>
          <w:dstrike/>
          <w:sz w:val="24"/>
        </w:rPr>
        <w:t>2.2.1  招标文件在招标管理机构备案。</w:t>
      </w:r>
    </w:p>
    <w:p>
      <w:pPr>
        <w:spacing w:line="400" w:lineRule="exact"/>
        <w:ind w:left="821" w:hanging="820" w:hangingChars="342"/>
        <w:jc w:val="left"/>
        <w:rPr>
          <w:rFonts w:ascii="宋体" w:hAnsi="宋体"/>
          <w:sz w:val="24"/>
        </w:rPr>
      </w:pPr>
      <w:r>
        <w:rPr>
          <w:rFonts w:hint="eastAsia" w:ascii="宋体" w:hAnsi="宋体"/>
          <w:sz w:val="24"/>
        </w:rPr>
        <w:t>2.2.2  招标文件是招标人发出的</w:t>
      </w:r>
      <w:r>
        <w:rPr>
          <w:rFonts w:ascii="宋体" w:hAnsi="宋体"/>
          <w:sz w:val="24"/>
        </w:rPr>
        <w:t>要约</w:t>
      </w:r>
      <w:r>
        <w:rPr>
          <w:rFonts w:hint="eastAsia" w:ascii="宋体" w:hAnsi="宋体"/>
          <w:sz w:val="24"/>
        </w:rPr>
        <w:t>邀请，投标人参加投标均视为承认招标公告、招标文件及附件的所有条款</w:t>
      </w:r>
      <w:r>
        <w:rPr>
          <w:rFonts w:ascii="宋体" w:hAnsi="宋体"/>
          <w:sz w:val="24"/>
        </w:rPr>
        <w:t>,</w:t>
      </w:r>
      <w:r>
        <w:rPr>
          <w:rFonts w:hint="eastAsia" w:ascii="宋体" w:hAnsi="宋体"/>
          <w:sz w:val="24"/>
        </w:rPr>
        <w:t>并承诺一旦中标将按招标文件、投标文件、合同条款、技术规范要求的质量和进度完成全部委托任务。</w:t>
      </w:r>
    </w:p>
    <w:p>
      <w:pPr>
        <w:spacing w:line="400" w:lineRule="exact"/>
        <w:ind w:left="821" w:hanging="820" w:hangingChars="342"/>
        <w:rPr>
          <w:rFonts w:ascii="宋体" w:hAnsi="宋体"/>
          <w:sz w:val="24"/>
        </w:rPr>
      </w:pPr>
      <w:r>
        <w:rPr>
          <w:rFonts w:hint="eastAsia" w:ascii="宋体" w:hAnsi="宋体"/>
          <w:sz w:val="24"/>
        </w:rPr>
        <w:t>2.2.3  招标人</w:t>
      </w:r>
      <w:r>
        <w:rPr>
          <w:rFonts w:hint="eastAsia" w:hAnsi="宋体"/>
          <w:sz w:val="24"/>
        </w:rPr>
        <w:t>（或招标代理机构）</w:t>
      </w:r>
      <w:r>
        <w:rPr>
          <w:rFonts w:hint="eastAsia" w:ascii="宋体" w:hAnsi="宋体"/>
          <w:sz w:val="24"/>
        </w:rPr>
        <w:t>与投标人之间通过交易中心网站传送的电子文件（电子邮件）是指数字、文字、图形等以数码形式存储于磁带、磁盘、光盘等载体，依赖计算机等数字设备阅读、处理，并可在通信网络上传送的文件，与公开登载的文件或者盖章发出的文件一样具有同等效力。</w:t>
      </w:r>
    </w:p>
    <w:p>
      <w:pPr>
        <w:spacing w:line="400" w:lineRule="exact"/>
        <w:ind w:left="840" w:hanging="840" w:hangingChars="350"/>
        <w:rPr>
          <w:rFonts w:ascii="宋体" w:hAnsi="宋体"/>
          <w:sz w:val="24"/>
        </w:rPr>
      </w:pPr>
      <w:r>
        <w:rPr>
          <w:rFonts w:hint="eastAsia" w:ascii="宋体" w:hAnsi="宋体"/>
          <w:sz w:val="24"/>
        </w:rPr>
        <w:t>2.2.4  招标人</w:t>
      </w:r>
      <w:r>
        <w:rPr>
          <w:rFonts w:hint="eastAsia" w:hAnsi="宋体"/>
          <w:sz w:val="24"/>
        </w:rPr>
        <w:t>（或招标代理机构）</w:t>
      </w:r>
      <w:r>
        <w:rPr>
          <w:rFonts w:hint="eastAsia" w:ascii="宋体" w:hAnsi="宋体"/>
          <w:sz w:val="24"/>
        </w:rPr>
        <w:t>通过交易服务机构公开登载的文件，与盖章发出的文件一样具有同等效力。</w:t>
      </w:r>
    </w:p>
    <w:p>
      <w:pPr>
        <w:spacing w:line="400" w:lineRule="exact"/>
        <w:jc w:val="left"/>
        <w:rPr>
          <w:rFonts w:ascii="宋体" w:hAnsi="宋体"/>
          <w:b/>
          <w:sz w:val="24"/>
        </w:rPr>
      </w:pPr>
    </w:p>
    <w:p>
      <w:pPr>
        <w:spacing w:line="400" w:lineRule="exact"/>
        <w:jc w:val="left"/>
        <w:rPr>
          <w:rFonts w:ascii="宋体" w:hAnsi="宋体"/>
          <w:b/>
          <w:sz w:val="24"/>
        </w:rPr>
      </w:pPr>
      <w:r>
        <w:rPr>
          <w:rFonts w:hint="eastAsia" w:ascii="宋体" w:hAnsi="宋体"/>
          <w:b/>
          <w:sz w:val="24"/>
        </w:rPr>
        <w:t>2.3    现场考察</w:t>
      </w:r>
    </w:p>
    <w:p>
      <w:pPr>
        <w:spacing w:line="400" w:lineRule="exact"/>
        <w:ind w:left="821" w:hanging="820" w:hangingChars="342"/>
        <w:jc w:val="left"/>
        <w:rPr>
          <w:rFonts w:ascii="宋体" w:hAnsi="宋体"/>
          <w:sz w:val="24"/>
        </w:rPr>
      </w:pPr>
      <w:r>
        <w:rPr>
          <w:rFonts w:hint="eastAsia" w:ascii="宋体" w:hAnsi="宋体"/>
          <w:sz w:val="24"/>
          <w:u w:val="single"/>
        </w:rPr>
        <w:t xml:space="preserve">2.3.1  </w:t>
      </w:r>
      <w:r>
        <w:rPr>
          <w:rFonts w:hint="eastAsia" w:ascii="宋体" w:hAnsi="宋体" w:cs="宋体"/>
          <w:sz w:val="24"/>
          <w:u w:val="single"/>
        </w:rPr>
        <w:t>投标人自行对工程现场进行考察，在考察前需提前通知招标人，招标人不另行组织投标人进行现场考察</w:t>
      </w:r>
      <w:r>
        <w:rPr>
          <w:rFonts w:hint="eastAsia" w:ascii="宋体" w:hAnsi="宋体"/>
          <w:sz w:val="24"/>
        </w:rPr>
        <w:t>。</w:t>
      </w:r>
    </w:p>
    <w:p>
      <w:pPr>
        <w:spacing w:line="400" w:lineRule="exact"/>
        <w:ind w:left="840" w:hanging="840" w:hangingChars="350"/>
        <w:jc w:val="left"/>
        <w:rPr>
          <w:rFonts w:ascii="宋体" w:hAnsi="宋体"/>
          <w:dstrike/>
          <w:sz w:val="24"/>
        </w:rPr>
      </w:pPr>
      <w:r>
        <w:rPr>
          <w:rFonts w:hint="eastAsia" w:ascii="宋体" w:hAnsi="宋体"/>
          <w:dstrike/>
          <w:sz w:val="24"/>
        </w:rPr>
        <w:t>2.3.2  每个投标人参加现场考察的人数不宜超过3人，外国投标人代表应自带中文翻译。</w:t>
      </w:r>
    </w:p>
    <w:p>
      <w:pPr>
        <w:spacing w:line="400" w:lineRule="exact"/>
        <w:jc w:val="left"/>
        <w:rPr>
          <w:rFonts w:ascii="宋体" w:hAnsi="宋体"/>
          <w:dstrike/>
          <w:sz w:val="24"/>
        </w:rPr>
      </w:pPr>
      <w:r>
        <w:rPr>
          <w:rFonts w:hint="eastAsia" w:ascii="宋体" w:hAnsi="宋体"/>
          <w:dstrike/>
          <w:sz w:val="24"/>
        </w:rPr>
        <w:t>2.3.3  现场考察期间招标人将召开一次会议，接受投标人代表的提问。</w:t>
      </w:r>
    </w:p>
    <w:p>
      <w:pPr>
        <w:spacing w:line="400" w:lineRule="exact"/>
        <w:jc w:val="left"/>
        <w:rPr>
          <w:rFonts w:ascii="宋体" w:hAnsi="宋体"/>
          <w:dstrike/>
          <w:sz w:val="24"/>
        </w:rPr>
      </w:pPr>
      <w:r>
        <w:rPr>
          <w:rFonts w:hint="eastAsia" w:ascii="宋体" w:hAnsi="宋体"/>
          <w:dstrike/>
          <w:sz w:val="24"/>
        </w:rPr>
        <w:t>2.3.4  现场考察集合时间：。</w:t>
      </w:r>
    </w:p>
    <w:p>
      <w:pPr>
        <w:spacing w:line="400" w:lineRule="exact"/>
        <w:ind w:left="821" w:hanging="820" w:hangingChars="342"/>
        <w:jc w:val="left"/>
        <w:rPr>
          <w:rFonts w:ascii="宋体" w:hAnsi="宋体"/>
          <w:dstrike/>
          <w:sz w:val="24"/>
        </w:rPr>
      </w:pPr>
      <w:r>
        <w:rPr>
          <w:rFonts w:hint="eastAsia" w:ascii="宋体" w:hAnsi="宋体"/>
          <w:dstrike/>
          <w:sz w:val="24"/>
        </w:rPr>
        <w:t>2.3.5  现场考察集合地点：。</w:t>
      </w:r>
    </w:p>
    <w:p>
      <w:pPr>
        <w:spacing w:line="400" w:lineRule="exact"/>
        <w:jc w:val="left"/>
        <w:rPr>
          <w:rFonts w:ascii="宋体" w:hAnsi="宋体"/>
          <w:sz w:val="24"/>
        </w:rPr>
      </w:pPr>
    </w:p>
    <w:p>
      <w:pPr>
        <w:spacing w:line="400" w:lineRule="exact"/>
        <w:rPr>
          <w:rFonts w:ascii="宋体" w:hAnsi="宋体"/>
          <w:sz w:val="24"/>
        </w:rPr>
      </w:pPr>
      <w:r>
        <w:rPr>
          <w:rFonts w:hint="eastAsia" w:ascii="宋体" w:hAnsi="宋体"/>
          <w:b/>
          <w:bCs/>
          <w:sz w:val="24"/>
        </w:rPr>
        <w:t>2.4    质疑和澄清</w:t>
      </w:r>
    </w:p>
    <w:p>
      <w:pPr>
        <w:spacing w:line="400" w:lineRule="exact"/>
        <w:ind w:left="821" w:hanging="820" w:hangingChars="342"/>
        <w:jc w:val="left"/>
        <w:rPr>
          <w:rFonts w:ascii="宋体" w:hAnsi="宋体"/>
          <w:sz w:val="24"/>
        </w:rPr>
      </w:pPr>
      <w:r>
        <w:rPr>
          <w:rFonts w:hint="eastAsia" w:ascii="宋体" w:hAnsi="宋体"/>
          <w:sz w:val="24"/>
        </w:rPr>
        <w:t>2.4.1  投标人应认真审阅招标文件和有关资料，</w:t>
      </w:r>
      <w:r>
        <w:rPr>
          <w:rFonts w:ascii="宋体" w:hAnsi="宋体"/>
          <w:sz w:val="24"/>
        </w:rPr>
        <w:t>尽力澄清一切疑点</w:t>
      </w:r>
      <w:r>
        <w:rPr>
          <w:rFonts w:hint="eastAsia" w:ascii="宋体" w:hAnsi="宋体"/>
          <w:sz w:val="24"/>
        </w:rPr>
        <w:t>，对工程现场和周围环境进行勘察，以获取编制投标文件和签署合同所需的所有资料。</w:t>
      </w:r>
    </w:p>
    <w:p>
      <w:pPr>
        <w:spacing w:line="400" w:lineRule="exact"/>
        <w:ind w:left="821" w:hanging="820" w:hangingChars="342"/>
        <w:jc w:val="left"/>
        <w:rPr>
          <w:rFonts w:ascii="宋体" w:hAnsi="宋体"/>
          <w:sz w:val="24"/>
        </w:rPr>
      </w:pPr>
      <w:r>
        <w:rPr>
          <w:rFonts w:hint="eastAsia" w:ascii="宋体" w:hAnsi="宋体"/>
          <w:sz w:val="24"/>
          <w:u w:val="single"/>
        </w:rPr>
        <w:t xml:space="preserve">2.4.2  </w:t>
      </w:r>
      <w:r>
        <w:rPr>
          <w:rFonts w:hint="eastAsia" w:ascii="宋体" w:hAnsi="宋体" w:cs="宋体"/>
          <w:sz w:val="24"/>
          <w:u w:val="single"/>
        </w:rPr>
        <w:t>潜在投标人或者其他利害关系人对招标文件有异议的，应当在投标截止时间18日前提出。招标人应当自收到异议之日起3日内作出答复；作出答复前，应当暂停招标投标活动</w:t>
      </w:r>
      <w:r>
        <w:rPr>
          <w:rFonts w:hint="eastAsia" w:ascii="宋体" w:hAnsi="宋体"/>
          <w:sz w:val="24"/>
        </w:rPr>
        <w:t>。</w:t>
      </w:r>
    </w:p>
    <w:p>
      <w:pPr>
        <w:spacing w:line="400" w:lineRule="exact"/>
        <w:ind w:left="821" w:hanging="820" w:hangingChars="342"/>
        <w:rPr>
          <w:rFonts w:ascii="宋体" w:hAnsi="宋体"/>
          <w:sz w:val="24"/>
        </w:rPr>
      </w:pPr>
      <w:r>
        <w:rPr>
          <w:rFonts w:hint="eastAsia" w:ascii="宋体" w:hAnsi="宋体"/>
          <w:sz w:val="24"/>
          <w:u w:val="single"/>
        </w:rPr>
        <w:t xml:space="preserve">2.4.3  </w:t>
      </w:r>
      <w:r>
        <w:rPr>
          <w:rFonts w:hint="eastAsia" w:ascii="宋体" w:hAnsi="宋体" w:cs="宋体"/>
          <w:sz w:val="24"/>
          <w:u w:val="single"/>
        </w:rPr>
        <w:t>投标人需要澄清的问题应在规定的时间内（招标公告开始发布后至投标截止时间前18日），按交易平台的操作指引上传至交易平台网站。招标人对已发出的招标文件进行必要的澄清或者修改的，招标人应当在投标截止时间至少15日前，招标人对已发出的招标文件进行必要的澄清、修改或者对投标人提出问题的回答，将统一整理为按时序编号的补充材料，在广州公共资源交易中心网站的交易业务 “建设工程”专栏的 “项目查询（日程安排、答疑纪要）”中发布, 输入项目编号在本项目的“答疑纪要”环节即可查看。澄清及补充材料一旦发出，视为已发给所有投标人，投标人应及时查询。澄清及补充材料是招标文件的组成部分，对投标人起约束作用。补充材料如与原招标文件不符，以最新的修改为准。</w:t>
      </w:r>
    </w:p>
    <w:p>
      <w:pPr>
        <w:spacing w:line="400" w:lineRule="exact"/>
        <w:ind w:left="821" w:hanging="820" w:hangingChars="342"/>
        <w:rPr>
          <w:rFonts w:ascii="宋体" w:hAnsi="宋体"/>
          <w:sz w:val="24"/>
          <w:u w:val="single"/>
        </w:rPr>
      </w:pPr>
      <w:r>
        <w:rPr>
          <w:rFonts w:hint="eastAsia" w:ascii="宋体" w:hAnsi="宋体"/>
          <w:sz w:val="24"/>
          <w:u w:val="single"/>
        </w:rPr>
        <w:t xml:space="preserve">2.4.4  </w:t>
      </w:r>
      <w:r>
        <w:rPr>
          <w:rFonts w:hint="eastAsia" w:ascii="宋体" w:hAnsi="宋体" w:cs="宋体"/>
          <w:sz w:val="24"/>
          <w:u w:val="single"/>
        </w:rPr>
        <w:t>澄清及补充材料一旦发出，视为各投标人已收到，请各投标人及时自行查询。投标人应及时在广州公共资源交易中心项目答疑纪要专区中查询</w:t>
      </w:r>
      <w:r>
        <w:rPr>
          <w:rFonts w:hint="eastAsia" w:ascii="宋体" w:hAnsi="宋体"/>
          <w:sz w:val="24"/>
          <w:u w:val="single"/>
        </w:rPr>
        <w:t>。</w:t>
      </w:r>
    </w:p>
    <w:p>
      <w:pPr>
        <w:spacing w:line="400" w:lineRule="exact"/>
        <w:ind w:left="821" w:hanging="820" w:hangingChars="342"/>
        <w:rPr>
          <w:rFonts w:ascii="宋体" w:hAnsi="宋体" w:cs="宋体"/>
          <w:sz w:val="24"/>
        </w:rPr>
      </w:pPr>
      <w:r>
        <w:rPr>
          <w:rFonts w:hint="eastAsia" w:ascii="宋体" w:hAnsi="宋体" w:cs="宋体"/>
          <w:sz w:val="24"/>
          <w:u w:val="single"/>
        </w:rPr>
        <w:t>2.4.5  网上答疑的操作指南为：登陆广州公共资源交易中心网站→进入“我是投标人”→进入“新建设工程交易平台”→进入“我的投标”→进入“招标答疑提问”→通过项目编号或名称找到所需的项目→在上述的答疑时间内点击“答疑提问”进入到提问区域→无记名或匿名提出问题。具体操作方法详见《房建市政全流程电子化项目操作专章》。</w:t>
      </w:r>
    </w:p>
    <w:p>
      <w:pPr>
        <w:pStyle w:val="16"/>
        <w:spacing w:line="400" w:lineRule="exact"/>
        <w:rPr>
          <w:rFonts w:hAnsi="宋体"/>
          <w:b/>
          <w:bCs/>
          <w:sz w:val="24"/>
        </w:rPr>
      </w:pPr>
    </w:p>
    <w:p>
      <w:pPr>
        <w:pStyle w:val="16"/>
        <w:spacing w:line="400" w:lineRule="exact"/>
        <w:rPr>
          <w:rFonts w:hAnsi="宋体"/>
          <w:b/>
          <w:sz w:val="24"/>
          <w:szCs w:val="24"/>
        </w:rPr>
      </w:pPr>
      <w:r>
        <w:rPr>
          <w:rFonts w:hint="eastAsia" w:hAnsi="宋体"/>
          <w:b/>
          <w:bCs/>
          <w:sz w:val="24"/>
        </w:rPr>
        <w:t>2</w:t>
      </w:r>
      <w:r>
        <w:rPr>
          <w:rFonts w:hint="eastAsia" w:hAnsi="宋体"/>
          <w:b/>
          <w:sz w:val="24"/>
          <w:szCs w:val="24"/>
        </w:rPr>
        <w:t>.5    延期</w:t>
      </w:r>
    </w:p>
    <w:p>
      <w:pPr>
        <w:pStyle w:val="16"/>
        <w:spacing w:line="400" w:lineRule="exact"/>
        <w:ind w:left="821" w:hanging="820" w:hangingChars="342"/>
        <w:rPr>
          <w:rFonts w:hAnsi="宋体"/>
          <w:sz w:val="24"/>
          <w:szCs w:val="24"/>
        </w:rPr>
      </w:pPr>
      <w:r>
        <w:rPr>
          <w:rFonts w:hint="eastAsia" w:hAnsi="宋体"/>
          <w:sz w:val="24"/>
          <w:szCs w:val="24"/>
        </w:rPr>
        <w:t>2.5.1  如果招标过程出现招标管理机构要求暂停、重新评标等意外情形，招标投标各项期限相应延长</w:t>
      </w:r>
      <w:r>
        <w:rPr>
          <w:rFonts w:hAnsi="宋体"/>
          <w:sz w:val="24"/>
          <w:szCs w:val="24"/>
        </w:rPr>
        <w:t>。</w:t>
      </w:r>
    </w:p>
    <w:p>
      <w:pPr>
        <w:spacing w:line="400" w:lineRule="exact"/>
        <w:ind w:left="821" w:hanging="820" w:hangingChars="342"/>
        <w:jc w:val="left"/>
        <w:rPr>
          <w:rFonts w:ascii="宋体" w:hAnsi="宋体"/>
          <w:sz w:val="24"/>
        </w:rPr>
      </w:pPr>
      <w:r>
        <w:rPr>
          <w:rFonts w:hint="eastAsia" w:ascii="宋体" w:hAnsi="宋体"/>
          <w:sz w:val="24"/>
        </w:rPr>
        <w:t>2.5.2  为使投标人在编制投标文件时把</w:t>
      </w:r>
      <w:r>
        <w:rPr>
          <w:rFonts w:hint="eastAsia" w:ascii="宋体" w:hAnsi="宋体"/>
          <w:kern w:val="0"/>
          <w:sz w:val="24"/>
        </w:rPr>
        <w:t>招标人</w:t>
      </w:r>
      <w:r>
        <w:rPr>
          <w:rFonts w:ascii="宋体" w:hAnsi="宋体"/>
          <w:kern w:val="0"/>
          <w:sz w:val="24"/>
        </w:rPr>
        <w:t>对招标文件</w:t>
      </w:r>
      <w:r>
        <w:rPr>
          <w:rFonts w:hint="eastAsia" w:ascii="宋体" w:hAnsi="宋体"/>
          <w:kern w:val="0"/>
          <w:sz w:val="24"/>
        </w:rPr>
        <w:t>的</w:t>
      </w:r>
      <w:r>
        <w:rPr>
          <w:rFonts w:ascii="宋体" w:hAnsi="宋体"/>
          <w:kern w:val="0"/>
          <w:sz w:val="24"/>
        </w:rPr>
        <w:t>澄清、修改</w:t>
      </w:r>
      <w:r>
        <w:rPr>
          <w:rFonts w:hint="eastAsia" w:ascii="宋体" w:hAnsi="宋体"/>
          <w:kern w:val="0"/>
          <w:sz w:val="24"/>
        </w:rPr>
        <w:t>和</w:t>
      </w:r>
      <w:r>
        <w:rPr>
          <w:rFonts w:hint="eastAsia" w:ascii="宋体" w:hAnsi="宋体"/>
          <w:sz w:val="24"/>
        </w:rPr>
        <w:t>补充内容考虑进去，招标人可以酌情延长提交投标文件的截止日期。</w:t>
      </w:r>
    </w:p>
    <w:p>
      <w:pPr>
        <w:spacing w:line="400" w:lineRule="exact"/>
        <w:rPr>
          <w:rFonts w:ascii="宋体" w:hAnsi="宋体"/>
          <w:b/>
          <w:sz w:val="24"/>
        </w:rPr>
      </w:pPr>
    </w:p>
    <w:p>
      <w:pPr>
        <w:spacing w:line="400" w:lineRule="exact"/>
        <w:rPr>
          <w:rFonts w:ascii="宋体" w:hAnsi="宋体"/>
          <w:b/>
          <w:sz w:val="24"/>
        </w:rPr>
      </w:pPr>
      <w:r>
        <w:rPr>
          <w:rFonts w:hint="eastAsia" w:ascii="宋体" w:hAnsi="宋体"/>
          <w:b/>
          <w:sz w:val="24"/>
        </w:rPr>
        <w:t xml:space="preserve">2.6    </w:t>
      </w:r>
      <w:r>
        <w:rPr>
          <w:rFonts w:hint="eastAsia" w:ascii="宋体" w:hAnsi="宋体"/>
          <w:b/>
          <w:sz w:val="24"/>
          <w:u w:val="single"/>
        </w:rPr>
        <w:t>投标时间、投标文件的递交和接收</w:t>
      </w:r>
    </w:p>
    <w:p>
      <w:pPr>
        <w:spacing w:line="400" w:lineRule="exact"/>
        <w:ind w:left="821" w:hanging="820" w:hangingChars="342"/>
        <w:jc w:val="left"/>
        <w:rPr>
          <w:rFonts w:ascii="宋体" w:hAnsi="宋体"/>
          <w:sz w:val="24"/>
          <w:u w:val="single"/>
        </w:rPr>
      </w:pPr>
      <w:r>
        <w:rPr>
          <w:rFonts w:hint="eastAsia" w:ascii="宋体" w:hAnsi="宋体"/>
          <w:sz w:val="24"/>
          <w:u w:val="single"/>
        </w:rPr>
        <w:t>2.6.1  具体投标截止时间以招标人（招标代理机构）的最新通知为准，请各投标人留意交易平台网站发布的本工程相关信息。到投标截止时间止，招标人收到的投标文件少于3家的，招标人将重新组织招标。</w:t>
      </w:r>
    </w:p>
    <w:p>
      <w:pPr>
        <w:spacing w:line="400" w:lineRule="exact"/>
        <w:ind w:left="821" w:hanging="820" w:hangingChars="342"/>
        <w:rPr>
          <w:rFonts w:ascii="宋体" w:hAnsi="宋体"/>
          <w:sz w:val="24"/>
          <w:u w:val="single"/>
        </w:rPr>
      </w:pPr>
      <w:r>
        <w:rPr>
          <w:rFonts w:hint="eastAsia" w:ascii="宋体" w:hAnsi="宋体"/>
          <w:sz w:val="24"/>
          <w:u w:val="single"/>
        </w:rPr>
        <w:t xml:space="preserve">2.6.2  </w:t>
      </w:r>
      <w:r>
        <w:rPr>
          <w:rFonts w:ascii="宋体" w:hAnsi="宋体"/>
          <w:sz w:val="24"/>
          <w:u w:val="single"/>
        </w:rPr>
        <w:t>投标人通过下载招标文件的交易平台递交电子投标文件</w:t>
      </w:r>
      <w:r>
        <w:rPr>
          <w:rFonts w:hint="eastAsia" w:ascii="宋体" w:hAnsi="宋体"/>
          <w:sz w:val="24"/>
          <w:u w:val="single"/>
        </w:rPr>
        <w:t>。</w:t>
      </w:r>
    </w:p>
    <w:p>
      <w:pPr>
        <w:spacing w:line="400" w:lineRule="exact"/>
        <w:ind w:left="821" w:hanging="820" w:hangingChars="342"/>
        <w:rPr>
          <w:rFonts w:ascii="宋体" w:hAnsi="宋体"/>
          <w:sz w:val="24"/>
          <w:u w:val="single"/>
        </w:rPr>
      </w:pPr>
      <w:r>
        <w:rPr>
          <w:rFonts w:hint="eastAsia" w:ascii="宋体" w:hAnsi="宋体"/>
          <w:sz w:val="24"/>
          <w:u w:val="single"/>
        </w:rPr>
        <w:t xml:space="preserve">2.6.3  </w:t>
      </w:r>
      <w:r>
        <w:rPr>
          <w:rFonts w:ascii="宋体" w:hAnsi="宋体"/>
          <w:sz w:val="24"/>
          <w:u w:val="single"/>
        </w:rPr>
        <w:t>投标人完成电子投标文件上传后，交易平台即时向投标人发出递交回执通知。递交时间以递交回执通知载明的传输完成时间为准。</w:t>
      </w:r>
    </w:p>
    <w:p>
      <w:pPr>
        <w:spacing w:line="400" w:lineRule="exact"/>
        <w:ind w:left="821" w:hanging="820" w:hangingChars="342"/>
        <w:rPr>
          <w:rFonts w:ascii="宋体" w:hAnsi="宋体"/>
          <w:sz w:val="24"/>
          <w:u w:val="single"/>
        </w:rPr>
      </w:pPr>
      <w:r>
        <w:rPr>
          <w:rFonts w:hint="eastAsia" w:ascii="宋体" w:hAnsi="宋体"/>
          <w:sz w:val="24"/>
          <w:u w:val="single"/>
        </w:rPr>
        <w:t>2.6.4  如按招标公告要求需要提交投标文件光盘（备用），备用光盘不得加密。如使用投标文件光盘（备用）时无法读取或导入的，则视为未提交投标文件。</w:t>
      </w:r>
    </w:p>
    <w:p>
      <w:pPr>
        <w:pStyle w:val="22"/>
        <w:spacing w:line="400" w:lineRule="exact"/>
        <w:ind w:left="0" w:leftChars="0"/>
        <w:rPr>
          <w:rFonts w:ascii="宋体" w:hAnsi="宋体"/>
          <w:sz w:val="24"/>
        </w:rPr>
      </w:pPr>
      <w:r>
        <w:rPr>
          <w:rFonts w:hint="eastAsia" w:ascii="宋体" w:hAnsi="宋体"/>
          <w:sz w:val="24"/>
          <w:u w:val="single"/>
        </w:rPr>
        <w:t>2.6.5  逾期送达的投标文件，电子招标投标交易平台将予以拒收。逾期未上传成功的电子投标文件，招标人拒绝接收。逾期或未在指定地点递交投标文件光盘的,招标人拒绝接收其投标文件光盘。</w:t>
      </w:r>
    </w:p>
    <w:p>
      <w:pPr>
        <w:spacing w:line="400" w:lineRule="exact"/>
        <w:rPr>
          <w:rFonts w:ascii="宋体" w:hAnsi="宋体"/>
          <w:sz w:val="24"/>
          <w:u w:val="single"/>
        </w:rPr>
      </w:pPr>
      <w:r>
        <w:rPr>
          <w:rFonts w:hint="eastAsia" w:ascii="宋体" w:hAnsi="宋体"/>
          <w:sz w:val="24"/>
          <w:u w:val="single"/>
        </w:rPr>
        <w:t>2.6.</w:t>
      </w:r>
      <w:r>
        <w:rPr>
          <w:rFonts w:ascii="宋体" w:hAnsi="宋体"/>
          <w:sz w:val="24"/>
          <w:u w:val="single"/>
        </w:rPr>
        <w:t>6</w:t>
      </w:r>
      <w:r>
        <w:rPr>
          <w:rFonts w:hint="eastAsia" w:ascii="宋体" w:hAnsi="宋体"/>
          <w:sz w:val="24"/>
          <w:u w:val="single"/>
        </w:rPr>
        <w:t xml:space="preserve">  投标截止时间自招标人（招标代理机构）从招标文件发布</w:t>
      </w:r>
      <w:r>
        <w:rPr>
          <w:rFonts w:ascii="宋体" w:hAnsi="宋体"/>
          <w:sz w:val="24"/>
          <w:u w:val="single"/>
        </w:rPr>
        <w:t>起始</w:t>
      </w:r>
      <w:r>
        <w:rPr>
          <w:rFonts w:hint="eastAsia" w:ascii="宋体" w:hAnsi="宋体"/>
          <w:sz w:val="24"/>
          <w:u w:val="single"/>
        </w:rPr>
        <w:t>日计：备标时间不少于</w:t>
      </w:r>
      <w:r>
        <w:rPr>
          <w:rFonts w:ascii="宋体" w:hAnsi="宋体"/>
          <w:sz w:val="24"/>
          <w:u w:val="single"/>
        </w:rPr>
        <w:t>20</w:t>
      </w:r>
      <w:r>
        <w:rPr>
          <w:rFonts w:hint="eastAsia" w:ascii="宋体" w:hAnsi="宋体"/>
          <w:sz w:val="24"/>
          <w:u w:val="single"/>
        </w:rPr>
        <w:t>天。</w:t>
      </w:r>
    </w:p>
    <w:p>
      <w:pPr>
        <w:spacing w:line="400" w:lineRule="exact"/>
        <w:rPr>
          <w:rFonts w:ascii="宋体" w:hAnsi="宋体"/>
          <w:b/>
          <w:bCs/>
          <w:sz w:val="24"/>
        </w:rPr>
      </w:pPr>
    </w:p>
    <w:p>
      <w:pPr>
        <w:spacing w:line="400" w:lineRule="exact"/>
        <w:rPr>
          <w:rFonts w:ascii="宋体" w:hAnsi="宋体"/>
          <w:b/>
          <w:bCs/>
          <w:sz w:val="24"/>
          <w:u w:val="single"/>
        </w:rPr>
      </w:pPr>
      <w:r>
        <w:rPr>
          <w:rFonts w:hint="eastAsia" w:ascii="宋体" w:hAnsi="宋体"/>
          <w:b/>
          <w:bCs/>
          <w:sz w:val="24"/>
          <w:u w:val="single"/>
        </w:rPr>
        <w:t>2.7    投标文件的修改与撤回</w:t>
      </w:r>
    </w:p>
    <w:p>
      <w:pPr>
        <w:spacing w:line="400" w:lineRule="exact"/>
        <w:ind w:left="821" w:hanging="820" w:hangingChars="342"/>
        <w:rPr>
          <w:rFonts w:ascii="宋体" w:hAnsi="宋体"/>
          <w:sz w:val="24"/>
          <w:u w:val="single"/>
        </w:rPr>
      </w:pPr>
      <w:r>
        <w:rPr>
          <w:rFonts w:hint="eastAsia" w:ascii="宋体" w:hAnsi="宋体"/>
          <w:sz w:val="24"/>
          <w:u w:val="single"/>
        </w:rPr>
        <w:t xml:space="preserve">2.7.1  </w:t>
      </w:r>
      <w:r>
        <w:rPr>
          <w:rFonts w:ascii="宋体" w:hAnsi="宋体" w:cs="宋体"/>
          <w:sz w:val="24"/>
          <w:u w:val="single"/>
        </w:rPr>
        <w:t>在规定的投标截止时间前，投标人可以修改或撤回已递交的投标文件。</w:t>
      </w:r>
    </w:p>
    <w:p>
      <w:pPr>
        <w:wordWrap w:val="0"/>
        <w:topLinePunct/>
        <w:spacing w:line="400" w:lineRule="exact"/>
        <w:ind w:left="850" w:hanging="849" w:hangingChars="354"/>
        <w:rPr>
          <w:rFonts w:ascii="宋体" w:hAnsi="宋体"/>
          <w:sz w:val="24"/>
          <w:u w:val="single"/>
        </w:rPr>
      </w:pPr>
      <w:r>
        <w:rPr>
          <w:rFonts w:hint="eastAsia" w:ascii="宋体" w:hAnsi="宋体"/>
          <w:sz w:val="24"/>
          <w:u w:val="single"/>
        </w:rPr>
        <w:t>2.7.2  投标人修改或撤回已递交的投标文件，需在交易平台发出撤回通知，并按要求加盖电子印章。电子招标投标交易平台收到通知后，即时向投标人发布确认回执通知。</w:t>
      </w:r>
    </w:p>
    <w:p>
      <w:pPr>
        <w:spacing w:line="400" w:lineRule="exact"/>
        <w:ind w:left="821" w:hanging="820" w:hangingChars="342"/>
        <w:rPr>
          <w:rFonts w:ascii="宋体" w:hAnsi="宋体"/>
          <w:sz w:val="24"/>
          <w:u w:val="single"/>
        </w:rPr>
      </w:pPr>
      <w:r>
        <w:rPr>
          <w:rFonts w:hint="eastAsia" w:ascii="宋体" w:hAnsi="宋体"/>
          <w:sz w:val="24"/>
          <w:u w:val="single"/>
        </w:rPr>
        <w:t>2.7.3  修改后再次递交的，按2.6的规定执行。</w:t>
      </w:r>
    </w:p>
    <w:p>
      <w:pPr>
        <w:spacing w:line="400" w:lineRule="exact"/>
        <w:rPr>
          <w:rFonts w:ascii="宋体" w:hAnsi="宋体"/>
          <w:sz w:val="24"/>
        </w:rPr>
      </w:pPr>
      <w:r>
        <w:rPr>
          <w:rFonts w:hint="eastAsia" w:ascii="宋体" w:hAnsi="宋体"/>
          <w:sz w:val="24"/>
          <w:u w:val="single"/>
        </w:rPr>
        <w:t>2.7.4  在投标截止时间后，投标人不得补充、修改或更换投标文件。</w:t>
      </w:r>
    </w:p>
    <w:p>
      <w:pPr>
        <w:pStyle w:val="16"/>
        <w:rPr>
          <w:rFonts w:hAnsi="宋体"/>
        </w:rPr>
      </w:pPr>
    </w:p>
    <w:p>
      <w:pPr>
        <w:spacing w:line="400" w:lineRule="exact"/>
        <w:rPr>
          <w:rFonts w:ascii="宋体" w:hAnsi="宋体"/>
          <w:b/>
          <w:bCs/>
          <w:sz w:val="24"/>
        </w:rPr>
      </w:pPr>
      <w:r>
        <w:rPr>
          <w:rFonts w:hint="eastAsia" w:ascii="宋体" w:hAnsi="宋体"/>
          <w:b/>
          <w:bCs/>
          <w:sz w:val="24"/>
        </w:rPr>
        <w:t>2.8    公开展示</w:t>
      </w:r>
    </w:p>
    <w:p>
      <w:pPr>
        <w:spacing w:line="400" w:lineRule="exact"/>
        <w:ind w:left="824" w:hanging="820" w:hangingChars="342"/>
        <w:rPr>
          <w:rFonts w:ascii="宋体" w:hAnsi="宋体"/>
          <w:sz w:val="24"/>
          <w:u w:val="single"/>
        </w:rPr>
      </w:pPr>
      <w:r>
        <w:rPr>
          <w:rFonts w:hint="eastAsia" w:ascii="宋体" w:hAnsi="宋体"/>
          <w:b/>
          <w:bCs/>
          <w:sz w:val="24"/>
          <w:u w:val="single"/>
        </w:rPr>
        <w:t>2.8</w:t>
      </w:r>
      <w:r>
        <w:rPr>
          <w:rFonts w:hint="eastAsia" w:ascii="宋体" w:hAnsi="宋体"/>
          <w:sz w:val="24"/>
          <w:u w:val="single"/>
        </w:rPr>
        <w:t>.1  投标文件评标后不予退回。</w:t>
      </w:r>
    </w:p>
    <w:p>
      <w:pPr>
        <w:spacing w:line="400" w:lineRule="exact"/>
        <w:ind w:left="824" w:hanging="820" w:hangingChars="342"/>
        <w:jc w:val="left"/>
        <w:rPr>
          <w:rFonts w:ascii="宋体" w:hAnsi="宋体"/>
          <w:sz w:val="24"/>
        </w:rPr>
      </w:pPr>
      <w:r>
        <w:rPr>
          <w:rFonts w:hint="eastAsia" w:ascii="宋体" w:hAnsi="宋体"/>
          <w:b/>
          <w:bCs/>
          <w:sz w:val="24"/>
        </w:rPr>
        <w:t>2.8</w:t>
      </w:r>
      <w:r>
        <w:rPr>
          <w:rFonts w:hint="eastAsia" w:ascii="宋体" w:hAnsi="宋体"/>
          <w:sz w:val="24"/>
        </w:rPr>
        <w:t>.2  招标人有权在评标结束后公开展示</w:t>
      </w:r>
      <w:r>
        <w:rPr>
          <w:rFonts w:hint="eastAsia" w:ascii="宋体" w:hAnsi="宋体"/>
          <w:dstrike/>
          <w:sz w:val="24"/>
        </w:rPr>
        <w:t>获得补偿费用的</w:t>
      </w:r>
      <w:r>
        <w:rPr>
          <w:rFonts w:hint="eastAsia" w:ascii="宋体" w:hAnsi="宋体"/>
          <w:sz w:val="24"/>
        </w:rPr>
        <w:t>所有投标方案成果，并通过传播媒介、杂志、书刊或其它形式介绍、展示及评价该方案成果，所有展示、推介、广告均不再向投标人支付费用。</w:t>
      </w:r>
    </w:p>
    <w:p>
      <w:pPr>
        <w:spacing w:line="400" w:lineRule="exact"/>
        <w:ind w:left="821" w:hanging="820" w:hangingChars="342"/>
        <w:jc w:val="left"/>
        <w:rPr>
          <w:rFonts w:ascii="宋体" w:hAnsi="宋体"/>
          <w:sz w:val="24"/>
        </w:rPr>
      </w:pPr>
    </w:p>
    <w:p>
      <w:pPr>
        <w:spacing w:line="400" w:lineRule="exact"/>
        <w:rPr>
          <w:rFonts w:ascii="宋体" w:hAnsi="宋体"/>
          <w:b/>
          <w:bCs/>
          <w:sz w:val="24"/>
        </w:rPr>
      </w:pPr>
      <w:r>
        <w:rPr>
          <w:rFonts w:hint="eastAsia" w:ascii="宋体" w:hAnsi="宋体"/>
          <w:b/>
          <w:bCs/>
          <w:sz w:val="24"/>
        </w:rPr>
        <w:t>2.9   知识产权转移</w:t>
      </w:r>
    </w:p>
    <w:p>
      <w:pPr>
        <w:spacing w:line="400" w:lineRule="exact"/>
        <w:ind w:left="821" w:hanging="820" w:hangingChars="342"/>
        <w:jc w:val="left"/>
        <w:rPr>
          <w:rFonts w:ascii="宋体" w:hAnsi="宋体"/>
          <w:sz w:val="24"/>
        </w:rPr>
      </w:pPr>
      <w:r>
        <w:rPr>
          <w:rFonts w:hint="eastAsia" w:ascii="宋体" w:hAnsi="宋体"/>
          <w:sz w:val="24"/>
        </w:rPr>
        <w:t>2.9.1  授予合同并支付定金后，中标方案的一次性使用权</w:t>
      </w:r>
      <w:r>
        <w:rPr>
          <w:rFonts w:hint="eastAsia" w:ascii="宋体" w:hAnsi="宋体"/>
          <w:sz w:val="24"/>
          <w:u w:val="single"/>
        </w:rPr>
        <w:t>、知识产权、发表权、展览权</w:t>
      </w:r>
      <w:r>
        <w:rPr>
          <w:rFonts w:hint="eastAsia" w:ascii="宋体" w:hAnsi="宋体"/>
          <w:sz w:val="24"/>
        </w:rPr>
        <w:t>归招标人所有（署名权除外）。</w:t>
      </w:r>
    </w:p>
    <w:p>
      <w:pPr>
        <w:spacing w:line="400" w:lineRule="exact"/>
        <w:ind w:left="821" w:hanging="820" w:hangingChars="342"/>
        <w:rPr>
          <w:rFonts w:ascii="宋体" w:hAnsi="宋体"/>
          <w:dstrike/>
          <w:sz w:val="24"/>
        </w:rPr>
      </w:pPr>
      <w:r>
        <w:rPr>
          <w:rFonts w:hint="eastAsia" w:ascii="宋体" w:hAnsi="宋体"/>
          <w:dstrike/>
          <w:sz w:val="24"/>
        </w:rPr>
        <w:t>2.9.2  如果招标人、中标人使用未中标方案作为本项目实施方案，招标人向提交方案的投标人付给招标文件规定的补偿费后，该方案的著作权、版权、专利权和使用权归招标人所有（署名权除外），招标人、中标人可以在本工程使用该方案。</w:t>
      </w:r>
    </w:p>
    <w:p>
      <w:pPr>
        <w:spacing w:line="400" w:lineRule="exact"/>
        <w:ind w:left="821" w:hanging="820" w:hangingChars="342"/>
        <w:rPr>
          <w:rFonts w:ascii="宋体" w:hAnsi="宋体"/>
          <w:sz w:val="24"/>
        </w:rPr>
      </w:pPr>
    </w:p>
    <w:p>
      <w:pPr>
        <w:spacing w:line="400" w:lineRule="exact"/>
        <w:rPr>
          <w:rFonts w:ascii="宋体" w:hAnsi="宋体"/>
          <w:b/>
          <w:bCs/>
          <w:sz w:val="24"/>
        </w:rPr>
      </w:pPr>
      <w:r>
        <w:rPr>
          <w:rFonts w:hint="eastAsia" w:ascii="宋体" w:hAnsi="宋体"/>
          <w:b/>
          <w:bCs/>
          <w:sz w:val="24"/>
        </w:rPr>
        <w:t>2.10    其他</w:t>
      </w:r>
    </w:p>
    <w:p>
      <w:pPr>
        <w:spacing w:line="400" w:lineRule="exact"/>
        <w:ind w:left="821" w:hanging="820" w:hangingChars="342"/>
        <w:rPr>
          <w:rFonts w:ascii="宋体" w:hAnsi="宋体"/>
          <w:sz w:val="24"/>
          <w:u w:val="single"/>
        </w:rPr>
      </w:pPr>
      <w:r>
        <w:rPr>
          <w:rFonts w:hint="eastAsia" w:ascii="宋体" w:hAnsi="宋体"/>
          <w:sz w:val="24"/>
          <w:u w:val="single"/>
        </w:rPr>
        <w:t>2.10.1  除特殊情况外，招标人有权在工程建设中根据需要对选定的实施方案进行调整和修改。</w:t>
      </w:r>
    </w:p>
    <w:p>
      <w:pPr>
        <w:spacing w:line="400" w:lineRule="exact"/>
        <w:ind w:left="821" w:hanging="820" w:hangingChars="342"/>
        <w:rPr>
          <w:rFonts w:ascii="宋体" w:hAnsi="宋体"/>
          <w:sz w:val="24"/>
        </w:rPr>
      </w:pPr>
      <w:r>
        <w:rPr>
          <w:rFonts w:hint="eastAsia" w:ascii="宋体" w:hAnsi="宋体"/>
          <w:sz w:val="24"/>
        </w:rPr>
        <w:t>2.10.2  投标人保证投标文件及资料均未侵犯他人的知识产权，否则必须承担全部责任。若投标人使用了他人的专利、专有技术，涉及的费用由投标人负责。</w:t>
      </w:r>
    </w:p>
    <w:p>
      <w:pPr>
        <w:spacing w:line="400" w:lineRule="exact"/>
        <w:ind w:left="840" w:hanging="840" w:hangingChars="350"/>
        <w:rPr>
          <w:rFonts w:ascii="宋体" w:hAnsi="宋体"/>
          <w:sz w:val="24"/>
        </w:rPr>
      </w:pPr>
      <w:r>
        <w:rPr>
          <w:rFonts w:hint="eastAsia" w:ascii="宋体" w:hAnsi="宋体"/>
          <w:sz w:val="24"/>
        </w:rPr>
        <w:t>2.10.3  招标人有权无须事先征求中标人的同意而披露关于中标人的名称、地址、合同条款。</w:t>
      </w:r>
    </w:p>
    <w:p>
      <w:pPr>
        <w:spacing w:line="0" w:lineRule="atLeast"/>
        <w:ind w:left="840" w:hanging="840" w:hangingChars="350"/>
        <w:rPr>
          <w:rFonts w:ascii="宋体" w:hAnsi="宋体"/>
          <w:sz w:val="24"/>
        </w:rPr>
      </w:pPr>
      <w:r>
        <w:rPr>
          <w:rFonts w:hint="eastAsia" w:ascii="宋体" w:hAnsi="宋体"/>
          <w:sz w:val="24"/>
        </w:rPr>
        <w:t>2.10.4  本次招标由交易服务机构对各投标人提交的成果和评标过程、评标结果予以见证，若有纠纷，将按现行法律、法规通过友好协商或诉讼程序解决。</w:t>
      </w:r>
    </w:p>
    <w:p>
      <w:pPr>
        <w:pStyle w:val="34"/>
      </w:pPr>
    </w:p>
    <w:p>
      <w:pPr>
        <w:spacing w:line="400" w:lineRule="exact"/>
        <w:rPr>
          <w:rFonts w:ascii="宋体" w:hAnsi="宋体"/>
          <w:b/>
          <w:bCs/>
          <w:sz w:val="24"/>
          <w:u w:val="single"/>
        </w:rPr>
      </w:pPr>
      <w:r>
        <w:rPr>
          <w:rFonts w:hint="eastAsia" w:ascii="宋体" w:hAnsi="宋体"/>
          <w:b/>
          <w:bCs/>
          <w:sz w:val="24"/>
          <w:u w:val="single"/>
        </w:rPr>
        <w:t>2.11    电子招标投标解密失败及突发状况的补救</w:t>
      </w:r>
    </w:p>
    <w:p>
      <w:pPr>
        <w:spacing w:line="400" w:lineRule="exact"/>
        <w:ind w:left="941" w:hanging="940" w:hangingChars="392"/>
        <w:rPr>
          <w:rFonts w:ascii="宋体" w:hAnsi="宋体"/>
          <w:sz w:val="24"/>
          <w:u w:val="single"/>
        </w:rPr>
      </w:pPr>
      <w:r>
        <w:rPr>
          <w:rFonts w:hint="eastAsia" w:ascii="宋体" w:hAnsi="宋体"/>
          <w:sz w:val="24"/>
          <w:u w:val="single"/>
        </w:rPr>
        <w:t>2.11.1  提交投标文件光盘备用</w:t>
      </w:r>
    </w:p>
    <w:p>
      <w:pPr>
        <w:spacing w:line="400" w:lineRule="exact"/>
        <w:ind w:left="941" w:hanging="940" w:hangingChars="392"/>
        <w:rPr>
          <w:rFonts w:ascii="宋体" w:hAnsi="宋体" w:cs="宋体"/>
          <w:sz w:val="24"/>
          <w:u w:val="single"/>
        </w:rPr>
      </w:pPr>
      <w:r>
        <w:rPr>
          <w:rFonts w:hint="eastAsia" w:ascii="宋体" w:hAnsi="宋体"/>
          <w:sz w:val="24"/>
        </w:rPr>
        <w:t xml:space="preserve">      　</w:t>
      </w:r>
      <w:r>
        <w:rPr>
          <w:rFonts w:hint="eastAsia" w:ascii="宋体" w:hAnsi="宋体" w:cs="宋体"/>
          <w:sz w:val="24"/>
          <w:u w:val="single"/>
        </w:rPr>
        <w:t>投标人可制作非加密的电子投标文件刻入光盘（1份），在招标公告规定的时间、地点提交备用。1份投标文件光盘（备用）包括“开标文件光盘”“资格审查文件光盘”“商务文件光盘”“技术文件（勘察设计方案）光盘”“保密文件光盘”共5只光盘。刻录好的投标文件光盘分别密封在不透明的密封袋并作标记，其中“开标文件光盘”“资格审查文件光盘”“商务文件光盘”应分别在密封袋上写明（1）招标人名称；（2）“[工程名称][开标文件光盘或资格审查文件光盘或商务文件光盘]”字样；（3）投标人名称；并在封口处加盖投标人单位公章（联合体投标时，只需牵头方盖章即可）；“技术文件（勘察设计方案）光盘”“保密文件光盘”应仅在密封袋上写明（1）招标人名称；（2）“[工程名称][技术文件（勘察设计方案）光盘或保密文件光盘]”字样；递交的投标文件光盘（备用）不得加密。备用光盘无法读取或导入的，则视为未提交投标文件光盘（备用）。如果投标人没有按规定通过交易平台网上递交电子投标文件的，不再读取提交的光盘。投标人也可不提交投标文件光盘（备用），但应自行承担不提交光盘（备用）的风险。</w:t>
      </w:r>
    </w:p>
    <w:p>
      <w:pPr>
        <w:spacing w:line="400" w:lineRule="exact"/>
        <w:ind w:left="941" w:hanging="940" w:hangingChars="392"/>
        <w:rPr>
          <w:rFonts w:ascii="宋体" w:hAnsi="宋体"/>
          <w:sz w:val="24"/>
          <w:u w:val="single"/>
        </w:rPr>
      </w:pPr>
      <w:r>
        <w:rPr>
          <w:rFonts w:hint="eastAsia" w:ascii="宋体" w:hAnsi="宋体"/>
          <w:sz w:val="24"/>
          <w:u w:val="single"/>
        </w:rPr>
        <w:t>2.11.2  补救方案</w:t>
      </w:r>
    </w:p>
    <w:p>
      <w:pPr>
        <w:spacing w:line="400" w:lineRule="exact"/>
        <w:ind w:left="840" w:hanging="840" w:hangingChars="350"/>
        <w:rPr>
          <w:rFonts w:ascii="宋体" w:hAnsi="宋体"/>
          <w:sz w:val="24"/>
        </w:rPr>
      </w:pPr>
      <w:r>
        <w:rPr>
          <w:rFonts w:hint="eastAsia" w:ascii="宋体" w:hAnsi="宋体"/>
          <w:sz w:val="24"/>
          <w:u w:val="single"/>
        </w:rPr>
        <w:t>2.11.2.1投标文件解密失败的补救方案：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spacing w:line="400" w:lineRule="exact"/>
        <w:ind w:left="960" w:hanging="960" w:hangingChars="400"/>
        <w:rPr>
          <w:rFonts w:ascii="宋体" w:hAnsi="宋体"/>
          <w:sz w:val="24"/>
          <w:u w:val="single"/>
        </w:rPr>
      </w:pPr>
      <w:r>
        <w:rPr>
          <w:rFonts w:hint="eastAsia" w:ascii="宋体" w:hAnsi="宋体"/>
          <w:sz w:val="24"/>
          <w:u w:val="single"/>
        </w:rPr>
        <w:t>2.11.2.2评标时突发情况的补救方案：若遇不可抗力发生（如：网络瘫痪、服务器损坏、交易系统故障短期无法恢复等因素），由评标委员会开启现场递交的全部投标文件光盘，并按光盘内容进行评审。投标人未递交投标文件光盘（备用）的，视为撤回投标文件。</w:t>
      </w:r>
    </w:p>
    <w:p>
      <w:pPr>
        <w:pStyle w:val="34"/>
        <w:ind w:left="1200" w:hanging="1200" w:hangingChars="500"/>
      </w:pPr>
      <w:r>
        <w:rPr>
          <w:rFonts w:hint="eastAsia" w:ascii="宋体" w:hAnsi="宋体"/>
          <w:sz w:val="24"/>
          <w:u w:val="single"/>
        </w:rPr>
        <w:t>2.11.2.3除发生上述情况外，开标评标均以投标人通过交易平台网上递交的电子投标文件为准。</w:t>
      </w:r>
    </w:p>
    <w:p>
      <w:pPr>
        <w:pStyle w:val="4"/>
        <w:jc w:val="center"/>
      </w:pPr>
      <w:r>
        <w:rPr>
          <w:rFonts w:hAnsi="宋体"/>
        </w:rPr>
        <w:br w:type="page"/>
      </w:r>
      <w:bookmarkStart w:id="4" w:name="_Toc136262983"/>
      <w:r>
        <w:rPr>
          <w:rFonts w:hint="eastAsia"/>
        </w:rPr>
        <w:t>第三章</w:t>
      </w:r>
      <w:r>
        <w:t xml:space="preserve">  </w:t>
      </w:r>
      <w:r>
        <w:rPr>
          <w:rFonts w:hint="eastAsia"/>
        </w:rPr>
        <w:t>投标文件编制要求</w:t>
      </w:r>
      <w:bookmarkEnd w:id="4"/>
    </w:p>
    <w:p>
      <w:pPr>
        <w:spacing w:line="360" w:lineRule="auto"/>
        <w:rPr>
          <w:rFonts w:ascii="宋体" w:hAnsi="宋体"/>
          <w:sz w:val="24"/>
        </w:rPr>
      </w:pPr>
      <w:r>
        <w:rPr>
          <w:rFonts w:hint="eastAsia" w:ascii="宋体" w:hAnsi="宋体"/>
          <w:b/>
          <w:bCs/>
          <w:sz w:val="24"/>
        </w:rPr>
        <w:t>3.1   投标文件</w:t>
      </w:r>
    </w:p>
    <w:p>
      <w:pPr>
        <w:pStyle w:val="14"/>
        <w:spacing w:line="360" w:lineRule="auto"/>
        <w:ind w:left="821" w:hanging="820" w:hangingChars="342"/>
        <w:rPr>
          <w:rFonts w:hAnsi="宋体"/>
          <w:sz w:val="24"/>
        </w:rPr>
      </w:pPr>
      <w:r>
        <w:rPr>
          <w:rFonts w:hint="eastAsia" w:hAnsi="宋体"/>
          <w:sz w:val="24"/>
        </w:rPr>
        <w:t>3.1.1   设计深度要求</w:t>
      </w:r>
    </w:p>
    <w:p>
      <w:pPr>
        <w:pStyle w:val="14"/>
        <w:spacing w:line="360" w:lineRule="auto"/>
        <w:ind w:left="821" w:hanging="820" w:hangingChars="342"/>
        <w:rPr>
          <w:rFonts w:hAnsi="宋体"/>
          <w:sz w:val="24"/>
        </w:rPr>
      </w:pPr>
      <w:r>
        <w:rPr>
          <w:rFonts w:hint="eastAsia" w:hAnsi="宋体"/>
          <w:sz w:val="24"/>
        </w:rPr>
        <w:t>3.1.1.1 市政工程勘察设计投标文件应达到建设部《市政公用工程设计文件编制深度规定》相应设计阶段的要求。</w:t>
      </w:r>
    </w:p>
    <w:p>
      <w:pPr>
        <w:pStyle w:val="14"/>
        <w:spacing w:line="360" w:lineRule="auto"/>
        <w:ind w:left="821" w:hanging="820" w:hangingChars="342"/>
        <w:rPr>
          <w:rFonts w:hAnsi="宋体"/>
          <w:sz w:val="24"/>
          <w:u w:val="single"/>
        </w:rPr>
      </w:pPr>
      <w:r>
        <w:rPr>
          <w:rFonts w:hint="eastAsia" w:hAnsi="宋体"/>
          <w:sz w:val="24"/>
        </w:rPr>
        <w:t>3.1.1.2设计独特具有独创性的节点位置，应该提供示意图。</w:t>
      </w:r>
    </w:p>
    <w:p>
      <w:pPr>
        <w:pStyle w:val="14"/>
        <w:spacing w:line="360" w:lineRule="auto"/>
        <w:ind w:left="821" w:hanging="820" w:hangingChars="342"/>
        <w:rPr>
          <w:rFonts w:hAnsi="宋体"/>
          <w:sz w:val="24"/>
          <w:szCs w:val="24"/>
          <w:u w:val="single"/>
        </w:rPr>
      </w:pPr>
      <w:r>
        <w:rPr>
          <w:rFonts w:hint="eastAsia" w:hAnsi="宋体"/>
          <w:sz w:val="24"/>
          <w:u w:val="single"/>
        </w:rPr>
        <w:t xml:space="preserve">3.1.2  </w:t>
      </w:r>
      <w:r>
        <w:rPr>
          <w:rFonts w:hint="eastAsia" w:hAnsi="宋体"/>
          <w:sz w:val="24"/>
          <w:szCs w:val="24"/>
          <w:u w:val="single"/>
        </w:rPr>
        <w:t>投标文件由下列部分组成：（1）资格审查文件；（2）商务文件；（3）技术文件（勘察设计方案）；（4）投标文件光盘（备用）。注：投标人也可不提交投标文件光盘（备用）。</w:t>
      </w:r>
    </w:p>
    <w:p>
      <w:pPr>
        <w:pStyle w:val="14"/>
        <w:spacing w:line="360" w:lineRule="auto"/>
        <w:ind w:left="821" w:hanging="820" w:hangingChars="342"/>
        <w:rPr>
          <w:rFonts w:hAnsi="宋体"/>
          <w:sz w:val="24"/>
          <w:szCs w:val="24"/>
        </w:rPr>
      </w:pPr>
      <w:r>
        <w:rPr>
          <w:rFonts w:hint="eastAsia" w:hAnsi="宋体"/>
          <w:sz w:val="24"/>
          <w:u w:val="single"/>
        </w:rPr>
        <w:t>3.1.3 投标文件全部采用电子文档，投标文件所附证书证件均为原件清晰扫描件或</w:t>
      </w:r>
      <w:r>
        <w:rPr>
          <w:rFonts w:hAnsi="宋体"/>
          <w:sz w:val="24"/>
          <w:u w:val="single"/>
        </w:rPr>
        <w:t>电子证书</w:t>
      </w:r>
      <w:r>
        <w:rPr>
          <w:rFonts w:hint="eastAsia" w:hAnsi="宋体"/>
          <w:sz w:val="24"/>
          <w:u w:val="single"/>
        </w:rPr>
        <w:t>，并采用单位数字证书，按招标文件要求在相应位置加盖电子印章，投标文件中需个人签字或盖章的，应本人手签或盖章后扫描上传，具体操作详见交易平台发布的相关操作指引。</w:t>
      </w:r>
    </w:p>
    <w:p>
      <w:pPr>
        <w:spacing w:line="400" w:lineRule="exact"/>
        <w:ind w:left="821" w:hanging="820" w:hangingChars="342"/>
        <w:rPr>
          <w:rFonts w:ascii="宋体" w:hAnsi="宋体"/>
          <w:sz w:val="24"/>
        </w:rPr>
      </w:pPr>
      <w:r>
        <w:rPr>
          <w:rFonts w:hint="eastAsia" w:ascii="宋体" w:hAnsi="宋体"/>
          <w:sz w:val="24"/>
        </w:rPr>
        <w:t>3.1.4  投标文件应做到清晰、完整，文本、图纸</w:t>
      </w:r>
      <w:r>
        <w:rPr>
          <w:rFonts w:hint="eastAsia" w:ascii="宋体" w:hAnsi="宋体"/>
          <w:sz w:val="24"/>
          <w:u w:val="single"/>
        </w:rPr>
        <w:t>文件大小应满足交易平台的要求</w:t>
      </w:r>
      <w:r>
        <w:rPr>
          <w:rFonts w:hint="eastAsia" w:ascii="宋体" w:hAnsi="宋体"/>
          <w:sz w:val="24"/>
        </w:rPr>
        <w:t>。除非另有规定，否则投标文件的计量单位宜采用国际标准计量单位，尺寸齐全、准确，所有文字说明和文字标注以中文为准，报价均为人民币，时间均为北京时间。</w:t>
      </w:r>
    </w:p>
    <w:p>
      <w:pPr>
        <w:spacing w:line="400" w:lineRule="exact"/>
        <w:ind w:left="821" w:hanging="820" w:hangingChars="342"/>
        <w:rPr>
          <w:rFonts w:ascii="宋体" w:hAnsi="宋体"/>
          <w:sz w:val="24"/>
        </w:rPr>
      </w:pPr>
      <w:r>
        <w:rPr>
          <w:rFonts w:hint="eastAsia" w:ascii="宋体" w:hAnsi="宋体"/>
          <w:sz w:val="24"/>
        </w:rPr>
        <w:t>3.1.5  每个投标人报送一个投标方案，投标文件应达到招标文件规定的深度，满足评审需要。不响应招标文件要求的投标文件可能被拒绝，责任由投标人自负。</w:t>
      </w:r>
    </w:p>
    <w:p>
      <w:pPr>
        <w:spacing w:line="400" w:lineRule="exact"/>
        <w:ind w:left="821" w:hanging="820" w:hangingChars="342"/>
        <w:rPr>
          <w:rFonts w:ascii="宋体" w:hAnsi="宋体"/>
          <w:sz w:val="24"/>
          <w:u w:val="single"/>
        </w:rPr>
      </w:pPr>
      <w:r>
        <w:rPr>
          <w:rFonts w:hint="eastAsia" w:ascii="宋体" w:hAnsi="宋体"/>
          <w:sz w:val="24"/>
          <w:u w:val="single"/>
        </w:rPr>
        <w:t>3</w:t>
      </w:r>
      <w:r>
        <w:rPr>
          <w:rFonts w:ascii="宋体" w:hAnsi="宋体"/>
          <w:sz w:val="24"/>
          <w:u w:val="single"/>
        </w:rPr>
        <w:t xml:space="preserve">.1.6  </w:t>
      </w:r>
      <w:bookmarkStart w:id="5" w:name="_Hlk83750820"/>
      <w:r>
        <w:rPr>
          <w:rFonts w:hint="eastAsia" w:ascii="宋体" w:hAnsi="宋体"/>
          <w:sz w:val="24"/>
          <w:u w:val="single"/>
        </w:rPr>
        <w:t>联合体投标时，除《联合体共同投标协议》必须联合体各方分别按要求进行签字或盖章外，其余资料由联合体主办方签字或盖章即可。资料中“投标人”、“投标申请人”、“投标人名称”等此类位置应填写联合体各方的单位全称【格式表示为：(主)单位全称 (成)单位全称 】。</w:t>
      </w:r>
      <w:bookmarkEnd w:id="5"/>
    </w:p>
    <w:p>
      <w:pPr>
        <w:spacing w:line="400" w:lineRule="exact"/>
        <w:ind w:left="821" w:hanging="820" w:hangingChars="342"/>
      </w:pPr>
      <w:r>
        <w:rPr>
          <w:rFonts w:ascii="宋体" w:hAnsi="宋体"/>
          <w:sz w:val="24"/>
          <w:u w:val="single"/>
        </w:rPr>
        <w:t xml:space="preserve">3.1.7  </w:t>
      </w:r>
      <w:r>
        <w:rPr>
          <w:rFonts w:hint="eastAsia" w:ascii="宋体" w:hAnsi="宋体"/>
          <w:sz w:val="24"/>
          <w:u w:val="single"/>
        </w:rPr>
        <w:t>投标文件加密要求：递交的电子投标文件必须进行加密。具体操作详见交易平台发布的相关操作指引。未按要求加密的投标文件，交易平台将予以拒收。</w:t>
      </w:r>
    </w:p>
    <w:p>
      <w:pPr>
        <w:spacing w:line="360" w:lineRule="auto"/>
        <w:rPr>
          <w:rFonts w:ascii="宋体" w:hAnsi="宋体"/>
          <w:b/>
          <w:sz w:val="24"/>
        </w:rPr>
      </w:pPr>
    </w:p>
    <w:p>
      <w:pPr>
        <w:spacing w:line="360" w:lineRule="auto"/>
        <w:rPr>
          <w:rFonts w:ascii="宋体" w:hAnsi="宋体"/>
          <w:sz w:val="24"/>
        </w:rPr>
      </w:pPr>
      <w:r>
        <w:rPr>
          <w:rFonts w:hint="eastAsia" w:ascii="宋体" w:hAnsi="宋体"/>
          <w:b/>
          <w:sz w:val="24"/>
        </w:rPr>
        <w:t>3</w:t>
      </w:r>
      <w:r>
        <w:rPr>
          <w:rFonts w:hint="eastAsia" w:ascii="宋体" w:hAnsi="宋体"/>
          <w:b/>
          <w:bCs/>
          <w:sz w:val="24"/>
        </w:rPr>
        <w:t>.2  商务文件</w:t>
      </w:r>
      <w:r>
        <w:rPr>
          <w:rFonts w:hint="eastAsia" w:ascii="宋体" w:hAnsi="宋体"/>
          <w:b/>
          <w:bCs/>
          <w:dstrike/>
          <w:sz w:val="24"/>
        </w:rPr>
        <w:t>（含资格审查文件）</w:t>
      </w:r>
      <w:r>
        <w:rPr>
          <w:rFonts w:hint="eastAsia" w:ascii="宋体" w:hAnsi="宋体"/>
          <w:b/>
          <w:bCs/>
          <w:sz w:val="24"/>
        </w:rPr>
        <w:t>编制要求</w:t>
      </w:r>
    </w:p>
    <w:p>
      <w:pPr>
        <w:pStyle w:val="16"/>
        <w:spacing w:line="360" w:lineRule="auto"/>
        <w:rPr>
          <w:rFonts w:hAnsi="宋体"/>
          <w:sz w:val="24"/>
        </w:rPr>
      </w:pPr>
      <w:r>
        <w:rPr>
          <w:rFonts w:hint="eastAsia" w:hAnsi="宋体"/>
          <w:sz w:val="24"/>
        </w:rPr>
        <w:t xml:space="preserve">3.2.1 </w:t>
      </w:r>
      <w:r>
        <w:rPr>
          <w:rFonts w:hint="eastAsia" w:hAnsi="宋体"/>
          <w:sz w:val="24"/>
          <w:szCs w:val="24"/>
        </w:rPr>
        <w:t>商务文件由下列资料组成：</w:t>
      </w:r>
    </w:p>
    <w:p>
      <w:pPr>
        <w:spacing w:line="360" w:lineRule="auto"/>
        <w:ind w:left="600" w:hanging="600" w:hangingChars="250"/>
        <w:jc w:val="left"/>
        <w:rPr>
          <w:rFonts w:ascii="宋体" w:hAnsi="宋体"/>
          <w:sz w:val="24"/>
        </w:rPr>
      </w:pPr>
      <w:r>
        <w:rPr>
          <w:rFonts w:hint="eastAsia" w:ascii="宋体" w:hAnsi="宋体"/>
          <w:sz w:val="24"/>
        </w:rPr>
        <w:t>（1）封面：写明项目名称、商务文件、投标人单位及年月日；加盖投标人电子公章。</w:t>
      </w:r>
    </w:p>
    <w:p>
      <w:pPr>
        <w:spacing w:line="360" w:lineRule="auto"/>
        <w:ind w:left="600" w:hanging="600" w:hangingChars="250"/>
        <w:jc w:val="left"/>
        <w:rPr>
          <w:rFonts w:ascii="宋体" w:hAnsi="宋体"/>
          <w:sz w:val="24"/>
        </w:rPr>
      </w:pPr>
      <w:r>
        <w:rPr>
          <w:rFonts w:hint="eastAsia" w:ascii="宋体" w:hAnsi="宋体"/>
          <w:sz w:val="24"/>
        </w:rPr>
        <w:t>（2）目录。</w:t>
      </w:r>
    </w:p>
    <w:p>
      <w:pPr>
        <w:spacing w:line="360" w:lineRule="auto"/>
        <w:jc w:val="left"/>
        <w:rPr>
          <w:rFonts w:ascii="宋体" w:hAnsi="宋体"/>
          <w:sz w:val="24"/>
          <w:u w:val="single"/>
        </w:rPr>
      </w:pPr>
      <w:r>
        <w:rPr>
          <w:rFonts w:hint="eastAsia" w:ascii="宋体" w:hAnsi="宋体"/>
          <w:sz w:val="24"/>
          <w:u w:val="single"/>
        </w:rPr>
        <w:t>（3）投标书（格式见附录</w:t>
      </w:r>
      <w:r>
        <w:rPr>
          <w:rFonts w:ascii="宋体" w:hAnsi="宋体"/>
          <w:sz w:val="24"/>
          <w:u w:val="single"/>
        </w:rPr>
        <w:t>6</w:t>
      </w:r>
      <w:r>
        <w:rPr>
          <w:rFonts w:hint="eastAsia" w:ascii="宋体" w:hAnsi="宋体"/>
          <w:sz w:val="24"/>
          <w:u w:val="single"/>
        </w:rPr>
        <w:t>）及联合体共同投标协议（如果有）（格式见附录</w:t>
      </w:r>
      <w:r>
        <w:rPr>
          <w:rFonts w:ascii="宋体" w:hAnsi="宋体"/>
          <w:sz w:val="24"/>
          <w:u w:val="single"/>
        </w:rPr>
        <w:t>7</w:t>
      </w:r>
      <w:r>
        <w:rPr>
          <w:rFonts w:hint="eastAsia" w:ascii="宋体" w:hAnsi="宋体"/>
          <w:sz w:val="24"/>
          <w:u w:val="single"/>
        </w:rPr>
        <w:t>）； 勘察设计费报价表（格式见附录5、附录5</w:t>
      </w:r>
      <w:r>
        <w:rPr>
          <w:rFonts w:ascii="宋体" w:hAnsi="宋体"/>
          <w:sz w:val="24"/>
          <w:u w:val="single"/>
        </w:rPr>
        <w:t>-1</w:t>
      </w:r>
      <w:r>
        <w:rPr>
          <w:rFonts w:hint="eastAsia" w:ascii="宋体" w:hAnsi="宋体"/>
          <w:sz w:val="24"/>
          <w:u w:val="single"/>
        </w:rPr>
        <w:t>、附录5</w:t>
      </w:r>
      <w:r>
        <w:rPr>
          <w:rFonts w:ascii="宋体" w:hAnsi="宋体"/>
          <w:sz w:val="24"/>
          <w:u w:val="single"/>
        </w:rPr>
        <w:t>-2</w:t>
      </w:r>
      <w:r>
        <w:rPr>
          <w:rFonts w:hint="eastAsia" w:ascii="宋体" w:hAnsi="宋体"/>
          <w:sz w:val="24"/>
          <w:u w:val="single"/>
        </w:rPr>
        <w:t>）。</w:t>
      </w:r>
    </w:p>
    <w:p>
      <w:pPr>
        <w:spacing w:line="360" w:lineRule="auto"/>
        <w:jc w:val="left"/>
        <w:rPr>
          <w:rFonts w:hAnsi="宋体"/>
          <w:sz w:val="24"/>
        </w:rPr>
      </w:pPr>
      <w:r>
        <w:rPr>
          <w:rFonts w:hint="eastAsia" w:ascii="宋体" w:hAnsi="宋体"/>
          <w:sz w:val="24"/>
        </w:rPr>
        <w:t>（4）填妥并盖章的《投标申请表》</w:t>
      </w:r>
      <w:r>
        <w:rPr>
          <w:rFonts w:hint="eastAsia" w:hAnsi="宋体"/>
          <w:sz w:val="24"/>
        </w:rPr>
        <w:t>（格式见附录1、2、3）。</w:t>
      </w:r>
    </w:p>
    <w:p>
      <w:pPr>
        <w:spacing w:line="360" w:lineRule="auto"/>
        <w:ind w:left="600" w:hanging="600" w:hangingChars="250"/>
        <w:jc w:val="left"/>
        <w:rPr>
          <w:rFonts w:ascii="宋体" w:hAnsi="宋体"/>
          <w:sz w:val="24"/>
        </w:rPr>
      </w:pPr>
      <w:r>
        <w:rPr>
          <w:rFonts w:hint="eastAsia" w:ascii="宋体" w:hAnsi="宋体"/>
          <w:sz w:val="24"/>
        </w:rPr>
        <w:t>（5）企业营业执照副本</w:t>
      </w:r>
      <w:r>
        <w:rPr>
          <w:rFonts w:hint="eastAsia" w:ascii="宋体" w:hAnsi="宋体"/>
          <w:sz w:val="24"/>
          <w:u w:val="single"/>
        </w:rPr>
        <w:t>扫描</w:t>
      </w:r>
      <w:r>
        <w:rPr>
          <w:rFonts w:hint="eastAsia" w:ascii="宋体" w:hAnsi="宋体"/>
          <w:sz w:val="24"/>
        </w:rPr>
        <w:t>件（或香港企业在香港进行商业登记的证明文书扫描件）。</w:t>
      </w:r>
    </w:p>
    <w:p>
      <w:pPr>
        <w:spacing w:line="360" w:lineRule="auto"/>
        <w:ind w:left="600" w:hanging="600" w:hangingChars="250"/>
        <w:jc w:val="left"/>
        <w:rPr>
          <w:rFonts w:ascii="宋体" w:hAnsi="宋体"/>
          <w:sz w:val="24"/>
        </w:rPr>
      </w:pPr>
      <w:r>
        <w:rPr>
          <w:rFonts w:hint="eastAsia" w:ascii="宋体" w:hAnsi="宋体"/>
          <w:sz w:val="24"/>
        </w:rPr>
        <w:t>（6）企业资质证书副本扫描件（或香港企业在广东省住房和城乡建设主管部门备案的证明材料扫描件）。</w:t>
      </w:r>
    </w:p>
    <w:p>
      <w:pPr>
        <w:spacing w:line="360" w:lineRule="auto"/>
        <w:ind w:left="600" w:hanging="600" w:hangingChars="250"/>
        <w:jc w:val="left"/>
        <w:rPr>
          <w:rFonts w:ascii="宋体" w:hAnsi="宋体"/>
          <w:sz w:val="24"/>
        </w:rPr>
      </w:pPr>
      <w:r>
        <w:rPr>
          <w:rFonts w:hint="eastAsia" w:ascii="宋体" w:hAnsi="宋体"/>
          <w:sz w:val="24"/>
        </w:rPr>
        <w:t>（7）项目负责人注册证书或职称证书扫描件（或香港专业人士</w:t>
      </w:r>
      <w:r>
        <w:rPr>
          <w:rFonts w:hint="eastAsia" w:ascii="宋体" w:hAnsi="宋体"/>
          <w:sz w:val="24"/>
          <w:u w:val="single"/>
        </w:rPr>
        <w:t>在广东省住房和城乡建设主管部门备案的证明材料</w:t>
      </w:r>
      <w:r>
        <w:rPr>
          <w:rFonts w:hint="eastAsia" w:ascii="宋体" w:hAnsi="宋体"/>
          <w:sz w:val="24"/>
        </w:rPr>
        <w:t>扫描件）。</w:t>
      </w:r>
    </w:p>
    <w:p>
      <w:pPr>
        <w:spacing w:line="360" w:lineRule="auto"/>
        <w:ind w:left="600" w:hanging="600" w:hangingChars="250"/>
        <w:jc w:val="left"/>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）企业类似工程业绩证明材料扫描件。</w:t>
      </w:r>
    </w:p>
    <w:p>
      <w:pPr>
        <w:spacing w:line="360" w:lineRule="auto"/>
        <w:ind w:left="600" w:hanging="600" w:hangingChars="250"/>
        <w:jc w:val="left"/>
        <w:rPr>
          <w:rFonts w:ascii="宋体" w:hAnsi="宋体"/>
          <w:sz w:val="24"/>
        </w:rPr>
      </w:pPr>
      <w:r>
        <w:rPr>
          <w:rFonts w:hint="eastAsia" w:ascii="宋体" w:hAnsi="宋体"/>
          <w:sz w:val="24"/>
        </w:rPr>
        <w:t>（</w:t>
      </w:r>
      <w:r>
        <w:rPr>
          <w:rFonts w:ascii="宋体" w:hAnsi="宋体"/>
          <w:sz w:val="24"/>
        </w:rPr>
        <w:t>9</w:t>
      </w:r>
      <w:r>
        <w:rPr>
          <w:rFonts w:hint="eastAsia" w:ascii="宋体" w:hAnsi="宋体"/>
          <w:sz w:val="24"/>
        </w:rPr>
        <w:t>）项目负责人类似工程业绩证明材料扫描件。</w:t>
      </w:r>
    </w:p>
    <w:p>
      <w:pPr>
        <w:spacing w:line="360" w:lineRule="auto"/>
        <w:ind w:left="600" w:hanging="600" w:hangingChars="250"/>
        <w:jc w:val="left"/>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为本项目拟投入的技术力量。主要包括项目负责人及各专业负责人的资格、设计经历及业务能力，主要设计人员的资格、设计经历及业务能力，工程勘察人员的资格、业务能力和工程经验，参加本项目人员配置情况等，对资格、获奖及经历等内容必须附上有关的证明材料，并能保证材料的真实性；（格式见附录）。</w:t>
      </w:r>
    </w:p>
    <w:p>
      <w:pPr>
        <w:spacing w:line="360" w:lineRule="auto"/>
        <w:ind w:left="600" w:hanging="600" w:hangingChars="250"/>
        <w:jc w:val="left"/>
        <w:rPr>
          <w:b/>
          <w:bCs/>
          <w:u w:val="single"/>
        </w:rPr>
      </w:pPr>
      <w:r>
        <w:rPr>
          <w:rFonts w:hint="eastAsia" w:ascii="宋体" w:hAnsi="宋体"/>
          <w:sz w:val="24"/>
          <w:u w:val="single"/>
        </w:rPr>
        <w:t>(</w:t>
      </w:r>
      <w:r>
        <w:rPr>
          <w:rFonts w:ascii="宋体" w:hAnsi="宋体"/>
          <w:sz w:val="24"/>
          <w:u w:val="single"/>
        </w:rPr>
        <w:t>11)</w:t>
      </w:r>
      <w:r>
        <w:rPr>
          <w:rFonts w:hint="eastAsia" w:ascii="宋体" w:hAnsi="宋体"/>
          <w:sz w:val="24"/>
          <w:u w:val="single"/>
        </w:rPr>
        <w:t xml:space="preserve"> 投标人认为有必要的其他资料。</w:t>
      </w:r>
    </w:p>
    <w:p>
      <w:pPr>
        <w:spacing w:line="360" w:lineRule="auto"/>
        <w:ind w:left="600" w:hanging="600" w:hangingChars="250"/>
        <w:jc w:val="left"/>
        <w:rPr>
          <w:rFonts w:ascii="宋体" w:hAnsi="宋体"/>
          <w:dstrike/>
          <w:sz w:val="24"/>
        </w:rPr>
      </w:pPr>
      <w:r>
        <w:rPr>
          <w:rFonts w:hint="eastAsia" w:ascii="宋体" w:hAnsi="宋体"/>
          <w:dstrike/>
          <w:sz w:val="24"/>
        </w:rPr>
        <w:t>（12）提供勘察、设计优质服务的保证措施和设计周期以及保证设计进度的措施，与各相关部门及当地政府协调措施，代办设计报建的措施；提出工程施工期间设计配合措施。</w:t>
      </w:r>
    </w:p>
    <w:p>
      <w:pPr>
        <w:spacing w:line="360" w:lineRule="auto"/>
        <w:ind w:left="600" w:hanging="600" w:hangingChars="250"/>
        <w:jc w:val="left"/>
        <w:rPr>
          <w:rFonts w:ascii="宋体" w:hAnsi="宋体"/>
          <w:sz w:val="24"/>
          <w:u w:val="single"/>
        </w:rPr>
      </w:pPr>
      <w:r>
        <w:rPr>
          <w:rFonts w:hint="eastAsia" w:ascii="宋体" w:hAnsi="宋体"/>
          <w:dstrike/>
          <w:sz w:val="24"/>
        </w:rPr>
        <w:t>（13）满足第一章第1.2条（资格审查合格条件）评审要求的资料。</w:t>
      </w:r>
    </w:p>
    <w:p>
      <w:pPr>
        <w:spacing w:line="360" w:lineRule="auto"/>
        <w:ind w:left="600" w:hanging="600" w:hangingChars="250"/>
        <w:rPr>
          <w:rFonts w:ascii="宋体" w:hAnsi="宋体"/>
          <w:sz w:val="24"/>
          <w:u w:val="single"/>
        </w:rPr>
      </w:pPr>
      <w:r>
        <w:rPr>
          <w:rFonts w:hint="eastAsia" w:hAnsi="宋体"/>
          <w:sz w:val="24"/>
          <w:u w:val="single"/>
        </w:rPr>
        <w:t xml:space="preserve">3.2.2 </w:t>
      </w:r>
      <w:r>
        <w:rPr>
          <w:rFonts w:hint="eastAsia" w:ascii="宋体" w:hAnsi="宋体"/>
          <w:sz w:val="24"/>
          <w:u w:val="single"/>
        </w:rPr>
        <w:t>商务投标文件的签署要求：联合体投标时，除《联合体共同投标协议》必须联合体各方分别按要求进行签字或盖章外，其余资料由联合体主办方签字或盖章即可。资料中“投标人”、“投标申请人”、“投标人名称”等此类位置应填写联合体各方的单位全称【格式表示为：(主)单位全称 (成)单位全称】。</w:t>
      </w:r>
    </w:p>
    <w:p>
      <w:pPr>
        <w:spacing w:line="360" w:lineRule="auto"/>
        <w:ind w:left="600" w:hanging="600" w:hangingChars="250"/>
        <w:rPr>
          <w:rFonts w:ascii="宋体" w:hAnsi="宋体"/>
          <w:dstrike/>
          <w:sz w:val="24"/>
        </w:rPr>
      </w:pPr>
      <w:r>
        <w:rPr>
          <w:rFonts w:hint="eastAsia" w:ascii="宋体" w:hAnsi="宋体"/>
          <w:dstrike/>
          <w:sz w:val="24"/>
        </w:rPr>
        <w:t>3.2.3接收投标文件时，如果包封上没有按上述规定密封或加写标志，招标人予以拒绝，并退还给投标人。</w:t>
      </w:r>
    </w:p>
    <w:p>
      <w:pPr>
        <w:spacing w:line="360" w:lineRule="auto"/>
        <w:rPr>
          <w:rFonts w:ascii="宋体" w:hAnsi="宋体"/>
          <w:b/>
          <w:bCs/>
          <w:sz w:val="24"/>
        </w:rPr>
      </w:pPr>
    </w:p>
    <w:p>
      <w:pPr>
        <w:spacing w:line="360" w:lineRule="auto"/>
        <w:rPr>
          <w:rFonts w:ascii="宋体" w:hAnsi="宋体"/>
          <w:b/>
          <w:bCs/>
          <w:sz w:val="24"/>
        </w:rPr>
      </w:pPr>
      <w:r>
        <w:rPr>
          <w:rFonts w:hint="eastAsia" w:ascii="宋体" w:hAnsi="宋体"/>
          <w:b/>
          <w:bCs/>
          <w:sz w:val="24"/>
        </w:rPr>
        <w:t>3.3   技术文件</w:t>
      </w:r>
      <w:r>
        <w:rPr>
          <w:rFonts w:hint="eastAsia" w:ascii="宋体" w:hAnsi="宋体"/>
          <w:b/>
          <w:bCs/>
          <w:sz w:val="24"/>
          <w:u w:val="single"/>
        </w:rPr>
        <w:t>（勘察设计方案）</w:t>
      </w:r>
      <w:r>
        <w:rPr>
          <w:rFonts w:hint="eastAsia" w:ascii="宋体" w:hAnsi="宋体"/>
          <w:b/>
          <w:bCs/>
          <w:sz w:val="24"/>
        </w:rPr>
        <w:t>编制要求</w:t>
      </w:r>
    </w:p>
    <w:p>
      <w:pPr>
        <w:spacing w:line="360" w:lineRule="auto"/>
        <w:ind w:left="821" w:hanging="820" w:hangingChars="342"/>
        <w:rPr>
          <w:rFonts w:ascii="宋体" w:hAnsi="宋体"/>
          <w:sz w:val="24"/>
        </w:rPr>
      </w:pPr>
      <w:r>
        <w:rPr>
          <w:rFonts w:hint="eastAsia" w:ascii="宋体" w:hAnsi="宋体"/>
          <w:sz w:val="24"/>
        </w:rPr>
        <w:t xml:space="preserve">3.3.1 </w:t>
      </w:r>
      <w:r>
        <w:rPr>
          <w:rFonts w:hint="eastAsia" w:ascii="宋体" w:hAnsi="宋体"/>
          <w:b/>
          <w:sz w:val="24"/>
        </w:rPr>
        <w:t>技术文件由下列资料组成：</w:t>
      </w:r>
    </w:p>
    <w:p>
      <w:pPr>
        <w:spacing w:line="360" w:lineRule="auto"/>
        <w:ind w:firstLine="480" w:firstLineChars="200"/>
        <w:jc w:val="left"/>
        <w:rPr>
          <w:rFonts w:ascii="宋体" w:hAnsi="宋体" w:cs="宋体"/>
          <w:sz w:val="24"/>
          <w:u w:val="single"/>
        </w:rPr>
      </w:pPr>
      <w:r>
        <w:rPr>
          <w:rFonts w:hint="eastAsia" w:ascii="宋体" w:hAnsi="宋体" w:cs="宋体"/>
          <w:sz w:val="24"/>
          <w:u w:val="single"/>
        </w:rPr>
        <w:t>(a) 设计方案。</w:t>
      </w:r>
    </w:p>
    <w:p>
      <w:pPr>
        <w:spacing w:line="360" w:lineRule="auto"/>
        <w:ind w:firstLine="480" w:firstLineChars="200"/>
        <w:jc w:val="left"/>
        <w:rPr>
          <w:rFonts w:hAnsi="宋体"/>
          <w:dstrike/>
          <w:sz w:val="24"/>
          <w:u w:val="single"/>
        </w:rPr>
      </w:pPr>
      <w:r>
        <w:rPr>
          <w:rFonts w:hint="eastAsia" w:ascii="宋体" w:hAnsi="宋体" w:cs="宋体"/>
          <w:sz w:val="24"/>
          <w:u w:val="single"/>
        </w:rPr>
        <w:t>(b) 勘察方案。</w:t>
      </w:r>
    </w:p>
    <w:p>
      <w:pPr>
        <w:spacing w:line="360" w:lineRule="auto"/>
        <w:rPr>
          <w:rFonts w:ascii="宋体" w:hAnsi="宋体"/>
          <w:sz w:val="24"/>
        </w:rPr>
      </w:pPr>
      <w:r>
        <w:rPr>
          <w:rFonts w:hint="eastAsia" w:ascii="宋体" w:hAnsi="宋体"/>
          <w:sz w:val="24"/>
        </w:rPr>
        <w:t xml:space="preserve">3.3.2 </w:t>
      </w:r>
      <w:r>
        <w:rPr>
          <w:rFonts w:hint="eastAsia" w:ascii="宋体" w:hAnsi="宋体"/>
          <w:b/>
          <w:bCs/>
          <w:sz w:val="24"/>
        </w:rPr>
        <w:t>保密要求</w:t>
      </w:r>
    </w:p>
    <w:p>
      <w:pPr>
        <w:spacing w:line="360" w:lineRule="auto"/>
        <w:ind w:left="718" w:leftChars="342"/>
        <w:jc w:val="left"/>
        <w:rPr>
          <w:rFonts w:ascii="宋体" w:hAnsi="宋体"/>
          <w:sz w:val="24"/>
        </w:rPr>
      </w:pPr>
      <w:r>
        <w:rPr>
          <w:rFonts w:hint="eastAsia" w:ascii="宋体" w:hAnsi="宋体"/>
          <w:sz w:val="24"/>
          <w:u w:val="single"/>
        </w:rPr>
        <w:t>技术文件</w:t>
      </w:r>
      <w:r>
        <w:rPr>
          <w:rFonts w:hint="eastAsia" w:ascii="宋体" w:hAnsi="宋体"/>
          <w:bCs/>
          <w:sz w:val="24"/>
          <w:u w:val="single"/>
        </w:rPr>
        <w:t>（勘察设计方案）</w:t>
      </w:r>
      <w:r>
        <w:rPr>
          <w:rFonts w:hint="eastAsia" w:ascii="宋体" w:hAnsi="宋体"/>
          <w:sz w:val="24"/>
        </w:rPr>
        <w:t>必须隐匿投标人及专业技术人员的名称</w:t>
      </w:r>
      <w:r>
        <w:rPr>
          <w:rFonts w:hint="eastAsia" w:ascii="宋体" w:hAnsi="宋体"/>
          <w:sz w:val="24"/>
          <w:u w:val="single"/>
        </w:rPr>
        <w:t>及投标报价信息</w:t>
      </w:r>
      <w:r>
        <w:rPr>
          <w:rFonts w:hint="eastAsia" w:ascii="宋体" w:hAnsi="宋体"/>
          <w:sz w:val="24"/>
        </w:rPr>
        <w:t>，除</w:t>
      </w:r>
      <w:r>
        <w:rPr>
          <w:rFonts w:hint="eastAsia" w:ascii="宋体" w:hAnsi="宋体"/>
          <w:sz w:val="24"/>
          <w:u w:val="single"/>
        </w:rPr>
        <w:t>“保密文件光盘”</w:t>
      </w:r>
      <w:r>
        <w:rPr>
          <w:rFonts w:hint="eastAsia" w:ascii="宋体" w:hAnsi="宋体"/>
          <w:sz w:val="24"/>
        </w:rPr>
        <w:t>内的分辨投标人身份的文件外，投标人不得在</w:t>
      </w:r>
      <w:r>
        <w:rPr>
          <w:rFonts w:hint="eastAsia" w:ascii="宋体" w:hAnsi="宋体"/>
          <w:sz w:val="24"/>
          <w:u w:val="single"/>
        </w:rPr>
        <w:t>技术文件</w:t>
      </w:r>
      <w:r>
        <w:rPr>
          <w:rFonts w:hint="eastAsia" w:ascii="宋体" w:hAnsi="宋体"/>
          <w:bCs/>
          <w:sz w:val="24"/>
          <w:u w:val="single"/>
        </w:rPr>
        <w:t>（勘察设计方案）</w:t>
      </w:r>
      <w:r>
        <w:rPr>
          <w:rFonts w:hint="eastAsia" w:ascii="宋体" w:hAnsi="宋体"/>
          <w:sz w:val="24"/>
        </w:rPr>
        <w:t>上标注或做任何可以辨认投标人及专业技术人员身份的名称、印章、商标、图形</w:t>
      </w:r>
      <w:r>
        <w:rPr>
          <w:rFonts w:hint="eastAsia" w:ascii="宋体" w:hAnsi="宋体"/>
          <w:sz w:val="24"/>
          <w:u w:val="single"/>
        </w:rPr>
        <w:t>，也不得显示投标报价信息</w:t>
      </w:r>
      <w:r>
        <w:rPr>
          <w:rFonts w:hint="eastAsia" w:ascii="宋体" w:hAnsi="宋体"/>
          <w:sz w:val="24"/>
        </w:rPr>
        <w:t>。</w:t>
      </w:r>
    </w:p>
    <w:p>
      <w:pPr>
        <w:spacing w:line="360" w:lineRule="auto"/>
        <w:rPr>
          <w:rFonts w:ascii="宋体" w:hAnsi="宋体"/>
          <w:b/>
          <w:sz w:val="24"/>
        </w:rPr>
      </w:pPr>
      <w:r>
        <w:rPr>
          <w:rFonts w:hint="eastAsia" w:ascii="宋体" w:hAnsi="宋体"/>
          <w:sz w:val="24"/>
        </w:rPr>
        <w:t xml:space="preserve">3.3.3 </w:t>
      </w:r>
      <w:r>
        <w:rPr>
          <w:rFonts w:hint="eastAsia" w:ascii="宋体" w:hAnsi="宋体"/>
          <w:b/>
          <w:sz w:val="24"/>
          <w:u w:val="single"/>
        </w:rPr>
        <w:t>技术文件（勘察设计方案）光盘和保密文件光盘</w:t>
      </w:r>
    </w:p>
    <w:p>
      <w:pPr>
        <w:spacing w:line="360" w:lineRule="auto"/>
        <w:ind w:left="719" w:leftChars="114" w:hanging="480" w:hangingChars="200"/>
        <w:jc w:val="left"/>
        <w:rPr>
          <w:rFonts w:ascii="宋体" w:hAnsi="宋体"/>
          <w:sz w:val="24"/>
          <w:u w:val="single"/>
        </w:rPr>
      </w:pPr>
      <w:r>
        <w:rPr>
          <w:rFonts w:hint="eastAsia" w:ascii="宋体" w:hAnsi="宋体"/>
          <w:sz w:val="24"/>
          <w:u w:val="single"/>
        </w:rPr>
        <w:t>（1）评标时若遇不可抗力发生（如：网络瘫痪、服务器损坏、交易系统故障短期无法恢复等因素），由评标委员会开启现场递交的全部投标文件光盘（备用），并按光盘内容进行评审。保密文件光盘内附一张JPG格式内容为表现图的图形文件，加盖投标人公章。表现图内容应与设计方案一致（并注明表现图在设计方案中的页码或图号），用于分辨投标文件对应的投标人身份。</w:t>
      </w:r>
    </w:p>
    <w:p>
      <w:pPr>
        <w:spacing w:line="360" w:lineRule="auto"/>
        <w:ind w:left="719" w:leftChars="114" w:hanging="480" w:hangingChars="200"/>
        <w:jc w:val="left"/>
        <w:rPr>
          <w:rFonts w:ascii="宋体" w:hAnsi="宋体"/>
          <w:strike/>
          <w:sz w:val="24"/>
        </w:rPr>
      </w:pPr>
      <w:r>
        <w:rPr>
          <w:rFonts w:hint="eastAsia" w:ascii="宋体" w:hAnsi="宋体"/>
          <w:sz w:val="24"/>
          <w:u w:val="single"/>
        </w:rPr>
        <w:t>（2）技术文件（勘察设计方案）光盘、保密文件光盘接收时不得启封，当符合上款条件需要对技术文件（勘察设计方案）进行评审时，由交易服务机构见证人对技术文件（勘察设计方案）光盘启封密封袋并编号，参与开标、评标的其他人员应当回避，完成编号后送交评标委员会进行评审。评标结果揭晓前，负责编号的工作人员不得向他人透露投标文件编号的情况。在完成技术文件（勘察设计方案）评审后，由交易服务机构见证人和评标委员会共同开启保密文件光盘密封袋揭晓投标人身份。</w:t>
      </w:r>
    </w:p>
    <w:p>
      <w:pPr>
        <w:spacing w:line="360" w:lineRule="auto"/>
        <w:rPr>
          <w:rFonts w:ascii="宋体" w:hAnsi="宋体"/>
          <w:b/>
          <w:sz w:val="24"/>
        </w:rPr>
      </w:pPr>
      <w:r>
        <w:rPr>
          <w:rFonts w:hint="eastAsia" w:ascii="宋体" w:hAnsi="宋体"/>
          <w:sz w:val="24"/>
        </w:rPr>
        <w:t xml:space="preserve">3.3.4 </w:t>
      </w:r>
      <w:r>
        <w:rPr>
          <w:rFonts w:hint="eastAsia" w:ascii="宋体" w:hAnsi="宋体"/>
          <w:b/>
          <w:sz w:val="24"/>
          <w:u w:val="single"/>
        </w:rPr>
        <w:t>技术文件（勘察设计方案）</w:t>
      </w:r>
    </w:p>
    <w:p>
      <w:pPr>
        <w:spacing w:line="360" w:lineRule="auto"/>
        <w:ind w:left="1199" w:leftChars="114" w:hanging="960" w:hangingChars="400"/>
        <w:jc w:val="left"/>
        <w:rPr>
          <w:rFonts w:ascii="宋体" w:hAnsi="宋体"/>
          <w:sz w:val="24"/>
          <w:u w:val="single"/>
        </w:rPr>
      </w:pPr>
      <w:r>
        <w:rPr>
          <w:rFonts w:hint="eastAsia" w:ascii="宋体" w:hAnsi="宋体"/>
          <w:sz w:val="24"/>
          <w:u w:val="single"/>
        </w:rPr>
        <w:t>（1）设计方案文本文件内容：</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(a) 封面：写明项目名称、编制年月；</w:t>
      </w:r>
    </w:p>
    <w:p>
      <w:pPr>
        <w:spacing w:line="360" w:lineRule="auto"/>
        <w:jc w:val="left"/>
        <w:rPr>
          <w:rFonts w:hAnsi="宋体"/>
          <w:sz w:val="24"/>
          <w:u w:val="single"/>
        </w:rPr>
      </w:pPr>
      <w:r>
        <w:rPr>
          <w:rFonts w:hint="eastAsia" w:hAnsi="宋体"/>
          <w:sz w:val="24"/>
        </w:rPr>
        <w:t xml:space="preserve">    </w:t>
      </w:r>
      <w:r>
        <w:rPr>
          <w:rFonts w:hint="eastAsia" w:hAnsi="宋体"/>
          <w:sz w:val="24"/>
          <w:u w:val="single"/>
        </w:rPr>
        <w:t>(b) 目录。</w:t>
      </w:r>
    </w:p>
    <w:p>
      <w:pPr>
        <w:spacing w:line="360" w:lineRule="auto"/>
        <w:ind w:firstLine="120" w:firstLineChars="50"/>
        <w:jc w:val="left"/>
        <w:rPr>
          <w:rFonts w:hAnsi="宋体"/>
          <w:sz w:val="24"/>
          <w:u w:val="single"/>
        </w:rPr>
      </w:pPr>
      <w:r>
        <w:rPr>
          <w:rFonts w:hint="eastAsia" w:hAnsi="宋体"/>
          <w:sz w:val="24"/>
        </w:rPr>
        <w:t xml:space="preserve">   </w:t>
      </w:r>
      <w:r>
        <w:rPr>
          <w:rFonts w:hint="eastAsia" w:hAnsi="宋体"/>
          <w:sz w:val="24"/>
          <w:u w:val="single"/>
        </w:rPr>
        <w:t>(c) 设计说明书（含本项目的难点、建议和</w:t>
      </w:r>
      <w:r>
        <w:rPr>
          <w:rFonts w:hAnsi="宋体"/>
          <w:sz w:val="24"/>
          <w:u w:val="single"/>
        </w:rPr>
        <w:t>工程创新</w:t>
      </w:r>
      <w:r>
        <w:rPr>
          <w:rFonts w:hint="eastAsia" w:hAnsi="宋体"/>
          <w:sz w:val="24"/>
          <w:u w:val="single"/>
        </w:rPr>
        <w:t>）。</w:t>
      </w:r>
    </w:p>
    <w:p>
      <w:pPr>
        <w:spacing w:line="360" w:lineRule="auto"/>
        <w:jc w:val="left"/>
        <w:rPr>
          <w:rFonts w:hAnsi="宋体"/>
          <w:sz w:val="24"/>
          <w:u w:val="single"/>
        </w:rPr>
      </w:pPr>
      <w:r>
        <w:rPr>
          <w:rFonts w:hint="eastAsia" w:hAnsi="宋体"/>
          <w:sz w:val="24"/>
        </w:rPr>
        <w:t xml:space="preserve">    </w:t>
      </w:r>
      <w:r>
        <w:rPr>
          <w:rFonts w:hint="eastAsia" w:hAnsi="宋体"/>
          <w:sz w:val="24"/>
          <w:u w:val="single"/>
        </w:rPr>
        <w:t>(</w:t>
      </w:r>
      <w:r>
        <w:rPr>
          <w:rFonts w:hAnsi="宋体"/>
          <w:sz w:val="24"/>
          <w:u w:val="single"/>
        </w:rPr>
        <w:t>d</w:t>
      </w:r>
      <w:r>
        <w:rPr>
          <w:rFonts w:hint="eastAsia" w:hAnsi="宋体"/>
          <w:sz w:val="24"/>
          <w:u w:val="single"/>
        </w:rPr>
        <w:t>) 投标人认为有必要提供的其他资料。</w:t>
      </w:r>
    </w:p>
    <w:p>
      <w:pPr>
        <w:pStyle w:val="14"/>
        <w:spacing w:line="360" w:lineRule="auto"/>
        <w:ind w:firstLine="0" w:firstLineChars="0"/>
        <w:rPr>
          <w:rFonts w:hAnsi="宋体"/>
          <w:b/>
          <w:sz w:val="24"/>
          <w:szCs w:val="24"/>
          <w:u w:val="single"/>
        </w:rPr>
      </w:pPr>
      <w:r>
        <w:rPr>
          <w:rFonts w:hint="eastAsia" w:hAnsi="宋体"/>
          <w:sz w:val="24"/>
          <w:u w:val="single"/>
        </w:rPr>
        <w:t>（</w:t>
      </w:r>
      <w:r>
        <w:rPr>
          <w:rFonts w:hAnsi="宋体"/>
          <w:sz w:val="24"/>
          <w:u w:val="single"/>
        </w:rPr>
        <w:t>2</w:t>
      </w:r>
      <w:r>
        <w:rPr>
          <w:rFonts w:hint="eastAsia" w:hAnsi="宋体"/>
          <w:sz w:val="24"/>
          <w:u w:val="single"/>
        </w:rPr>
        <w:t>）</w:t>
      </w:r>
      <w:r>
        <w:rPr>
          <w:rFonts w:hint="eastAsia" w:hAnsi="宋体"/>
          <w:b/>
          <w:sz w:val="24"/>
          <w:szCs w:val="24"/>
          <w:u w:val="single"/>
        </w:rPr>
        <w:t>勘察部分内容：</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(a) 针对项目场地及工程性质采用的勘察方案及建议，本次勘察的重点、难点及建议。</w:t>
      </w:r>
    </w:p>
    <w:p>
      <w:pPr>
        <w:tabs>
          <w:tab w:val="right" w:pos="8350"/>
        </w:tabs>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(b) 勘察工作流程和相应的工期进度计划。</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(c) 勘察报告综合评价深度，勘察成果文件内容目录。</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(d) 投标人掌握的勘察工作有关的法律法规、标准、规范一览表。</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(e) 需要建设单位配合的事项。</w:t>
      </w:r>
    </w:p>
    <w:p>
      <w:pPr>
        <w:spacing w:line="360" w:lineRule="auto"/>
        <w:ind w:left="720" w:hanging="720" w:hangingChars="300"/>
        <w:jc w:val="left"/>
        <w:rPr>
          <w:rFonts w:hAnsi="宋体"/>
          <w:sz w:val="24"/>
          <w:u w:val="single"/>
        </w:rPr>
      </w:pPr>
      <w:r>
        <w:rPr>
          <w:rFonts w:hint="eastAsia" w:hAnsi="宋体"/>
          <w:sz w:val="24"/>
        </w:rPr>
        <w:t xml:space="preserve">    </w:t>
      </w:r>
      <w:r>
        <w:rPr>
          <w:rFonts w:hint="eastAsia" w:hAnsi="宋体"/>
          <w:sz w:val="24"/>
          <w:u w:val="single"/>
        </w:rPr>
        <w:t>(f) 投标人参与施工验槽，解决工程设计和施工中与勘察工作有关问题的服务承诺、响应时间。</w:t>
      </w:r>
    </w:p>
    <w:p>
      <w:pPr>
        <w:spacing w:line="360" w:lineRule="auto"/>
        <w:rPr>
          <w:rFonts w:ascii="宋体" w:hAnsi="宋体"/>
          <w:b/>
          <w:sz w:val="24"/>
          <w:u w:val="single"/>
        </w:rPr>
      </w:pPr>
      <w:r>
        <w:rPr>
          <w:rFonts w:hint="eastAsia" w:ascii="宋体" w:hAnsi="宋体"/>
          <w:sz w:val="24"/>
          <w:u w:val="single"/>
        </w:rPr>
        <w:t xml:space="preserve">3.3.5 </w:t>
      </w:r>
      <w:r>
        <w:rPr>
          <w:rFonts w:hint="eastAsia" w:ascii="宋体" w:hAnsi="宋体"/>
          <w:b/>
          <w:sz w:val="24"/>
          <w:u w:val="single"/>
        </w:rPr>
        <w:t>投标文件光盘（备用）</w:t>
      </w:r>
    </w:p>
    <w:p>
      <w:pPr>
        <w:spacing w:line="360" w:lineRule="auto"/>
        <w:ind w:left="630" w:leftChars="300"/>
        <w:jc w:val="left"/>
        <w:rPr>
          <w:rFonts w:hAnsi="宋体"/>
          <w:sz w:val="24"/>
        </w:rPr>
      </w:pPr>
      <w:r>
        <w:rPr>
          <w:rFonts w:hint="eastAsia" w:hAnsi="宋体"/>
          <w:sz w:val="24"/>
          <w:u w:val="single"/>
        </w:rPr>
        <w:t>投标文件光盘（备用）的封装要求详见招标文件第二章第2.11.1款的规定。投标人可自主选择是否递交投标文件光盘（备用）。</w:t>
      </w:r>
    </w:p>
    <w:p>
      <w:pPr>
        <w:spacing w:line="360" w:lineRule="auto"/>
        <w:rPr>
          <w:rFonts w:ascii="宋体" w:hAnsi="宋体"/>
          <w:b/>
          <w:sz w:val="24"/>
        </w:rPr>
      </w:pPr>
      <w:r>
        <w:rPr>
          <w:rFonts w:hint="eastAsia" w:ascii="宋体" w:hAnsi="宋体"/>
          <w:sz w:val="24"/>
        </w:rPr>
        <w:t xml:space="preserve">3.3.6 </w:t>
      </w:r>
      <w:r>
        <w:rPr>
          <w:rFonts w:hint="eastAsia" w:ascii="宋体" w:hAnsi="宋体"/>
          <w:b/>
          <w:sz w:val="24"/>
        </w:rPr>
        <w:t>展示图纸</w:t>
      </w:r>
    </w:p>
    <w:p>
      <w:pPr>
        <w:spacing w:line="360" w:lineRule="auto"/>
        <w:ind w:left="525" w:leftChars="250" w:firstLine="120" w:firstLineChars="50"/>
        <w:jc w:val="left"/>
        <w:rPr>
          <w:rFonts w:ascii="宋体" w:hAnsi="宋体"/>
          <w:sz w:val="24"/>
        </w:rPr>
      </w:pPr>
      <w:r>
        <w:rPr>
          <w:rFonts w:hint="eastAsia" w:ascii="宋体" w:hAnsi="宋体" w:cs="宋体"/>
          <w:sz w:val="24"/>
          <w:u w:val="single"/>
        </w:rPr>
        <w:t>不单独提供展示图，所有展示图编入投标文件。</w:t>
      </w:r>
    </w:p>
    <w:p>
      <w:pPr>
        <w:spacing w:line="360" w:lineRule="auto"/>
        <w:ind w:left="600" w:hanging="600" w:hangingChars="250"/>
        <w:rPr>
          <w:rFonts w:ascii="宋体" w:hAnsi="宋体"/>
          <w:sz w:val="24"/>
        </w:rPr>
      </w:pPr>
    </w:p>
    <w:p>
      <w:pPr>
        <w:spacing w:line="400" w:lineRule="exact"/>
        <w:rPr>
          <w:rFonts w:ascii="宋体" w:hAnsi="宋体"/>
          <w:b/>
          <w:sz w:val="24"/>
        </w:rPr>
      </w:pPr>
      <w:r>
        <w:rPr>
          <w:rFonts w:hint="eastAsia" w:ascii="宋体" w:hAnsi="宋体"/>
          <w:b/>
          <w:sz w:val="24"/>
        </w:rPr>
        <w:t>3.4    投标保证</w:t>
      </w:r>
    </w:p>
    <w:p>
      <w:pPr>
        <w:spacing w:line="400" w:lineRule="exact"/>
        <w:ind w:left="821" w:hanging="820" w:hangingChars="342"/>
        <w:rPr>
          <w:rFonts w:ascii="宋体" w:hAnsi="宋体"/>
          <w:sz w:val="24"/>
        </w:rPr>
      </w:pPr>
      <w:r>
        <w:rPr>
          <w:rFonts w:hint="eastAsia" w:ascii="宋体" w:hAnsi="宋体"/>
          <w:sz w:val="24"/>
        </w:rPr>
        <w:t>3.4.1  投标人</w:t>
      </w:r>
      <w:r>
        <w:rPr>
          <w:rFonts w:hint="eastAsia" w:ascii="宋体" w:hAnsi="宋体" w:cs="宋体"/>
          <w:sz w:val="24"/>
        </w:rPr>
        <w:t>■</w:t>
      </w:r>
      <w:r>
        <w:rPr>
          <w:rFonts w:hint="eastAsia" w:ascii="宋体" w:hAnsi="宋体"/>
          <w:sz w:val="24"/>
        </w:rPr>
        <w:t xml:space="preserve">需要，提交投标保证金5万元/□不需要提交投标保证金。 </w:t>
      </w:r>
    </w:p>
    <w:p>
      <w:pPr>
        <w:spacing w:line="400" w:lineRule="exact"/>
        <w:ind w:left="821" w:hanging="820" w:hangingChars="342"/>
        <w:rPr>
          <w:rFonts w:ascii="宋体" w:hAnsi="宋体"/>
          <w:sz w:val="24"/>
          <w:u w:val="single"/>
        </w:rPr>
      </w:pPr>
      <w:r>
        <w:rPr>
          <w:rFonts w:hint="eastAsia" w:ascii="宋体" w:hAnsi="宋体"/>
          <w:sz w:val="24"/>
          <w:u w:val="single"/>
        </w:rPr>
        <w:t>3.4.1.1 缴纳时间：投标截止时间前</w:t>
      </w:r>
    </w:p>
    <w:p>
      <w:pPr>
        <w:spacing w:line="400" w:lineRule="exact"/>
        <w:ind w:left="821" w:hanging="820" w:hangingChars="342"/>
        <w:rPr>
          <w:rFonts w:ascii="宋体" w:hAnsi="宋体"/>
          <w:sz w:val="24"/>
          <w:u w:val="single"/>
        </w:rPr>
      </w:pPr>
      <w:r>
        <w:rPr>
          <w:rFonts w:hint="eastAsia" w:ascii="宋体" w:hAnsi="宋体"/>
          <w:sz w:val="24"/>
          <w:u w:val="single"/>
        </w:rPr>
        <w:t>3.4.1.2 投标保证金的形式：投标保证金可采用转账、现金、支票、投标保函、投标保证保险的形式。</w:t>
      </w:r>
      <w:r>
        <w:rPr>
          <w:rFonts w:hint="eastAsia" w:ascii="宋体" w:hAnsi="宋体"/>
          <w:sz w:val="24"/>
          <w:u w:val="single"/>
        </w:rPr>
        <w:cr/>
      </w:r>
      <w:r>
        <w:rPr>
          <w:rFonts w:hint="eastAsia" w:ascii="宋体" w:hAnsi="宋体"/>
          <w:sz w:val="24"/>
          <w:u w:val="single"/>
        </w:rPr>
        <w:t>（1）如采用现金或者支票方式提交的，由广州公共资源交易中心代收。保证金从投标人基本账户转账至广州公共资源交易中心，缴纳情况以广州公共资源交易中心数据库记录的信息为准。具体操作步骤参见广州公共资源交易中心最新的投标保证金缴纳操作流程。</w:t>
      </w:r>
      <w:r>
        <w:rPr>
          <w:rFonts w:hint="eastAsia" w:ascii="宋体" w:hAnsi="宋体"/>
          <w:sz w:val="24"/>
          <w:u w:val="single"/>
        </w:rPr>
        <w:cr/>
      </w:r>
      <w:r>
        <w:rPr>
          <w:rFonts w:hint="eastAsia" w:ascii="宋体" w:hAnsi="宋体"/>
          <w:sz w:val="24"/>
          <w:u w:val="single"/>
        </w:rPr>
        <w:t>（2）如采用投标保函或投标保证保险的形式提交的，投标保函需开具给招标人，保证保险需开具给招标人（受益人也必须是招标人）。在开标前不需要提交纸质原件，投标人应在投标文件中提交投标保函或投标保证保险等的原件清晰扫描件并加盖投标人电子印章。完成评标后，由中标候选人在中标候选人公示前提交纸质原件给招标代理单位，纸质原件将在网上公示。</w:t>
      </w:r>
      <w:r>
        <w:rPr>
          <w:rFonts w:hint="eastAsia" w:ascii="宋体" w:hAnsi="宋体"/>
          <w:sz w:val="24"/>
          <w:u w:val="single"/>
        </w:rPr>
        <w:cr/>
      </w:r>
      <w:r>
        <w:rPr>
          <w:rFonts w:hint="eastAsia" w:ascii="宋体" w:hAnsi="宋体"/>
          <w:sz w:val="24"/>
          <w:u w:val="single"/>
        </w:rPr>
        <w:t>（3）本项目允许递交电子保函，开具情况以广州公共资源交易中心数据库记录的信息为准。具体操作详见广州公共资源交易中心电子保函操作指引；</w:t>
      </w:r>
      <w:r>
        <w:rPr>
          <w:rFonts w:hint="eastAsia" w:ascii="宋体" w:hAnsi="宋体"/>
          <w:sz w:val="24"/>
          <w:u w:val="single"/>
        </w:rPr>
        <w:cr/>
      </w:r>
      <w:r>
        <w:rPr>
          <w:rFonts w:hint="eastAsia" w:ascii="宋体" w:hAnsi="宋体"/>
          <w:sz w:val="24"/>
          <w:u w:val="single"/>
        </w:rPr>
        <w:t>（4）投标保证金有效期应当与投标有效期一致。若投标有效期延长的，投标保证金有效期应相应延长，且延长后的有效期应满足前述要求。</w:t>
      </w:r>
      <w:r>
        <w:rPr>
          <w:rFonts w:hint="eastAsia" w:ascii="宋体" w:hAnsi="宋体"/>
          <w:sz w:val="24"/>
          <w:u w:val="single"/>
        </w:rPr>
        <w:cr/>
      </w:r>
      <w:r>
        <w:rPr>
          <w:rFonts w:hint="eastAsia" w:ascii="宋体" w:hAnsi="宋体"/>
          <w:sz w:val="24"/>
          <w:u w:val="single"/>
        </w:rPr>
        <w:t>（5）投标保证金的退还：由招标代理机构通知广州公共资源交易中心无息退还，或直接通知退还投标保函或投标保证保险。</w:t>
      </w:r>
      <w:r>
        <w:rPr>
          <w:rFonts w:hint="eastAsia" w:ascii="宋体" w:hAnsi="宋体"/>
          <w:sz w:val="24"/>
          <w:u w:val="single"/>
        </w:rPr>
        <w:cr/>
      </w:r>
      <w:r>
        <w:rPr>
          <w:rFonts w:hint="eastAsia" w:ascii="宋体" w:hAnsi="宋体"/>
          <w:sz w:val="24"/>
          <w:u w:val="single"/>
        </w:rPr>
        <w:t>注：1.联合体投标的，投标保证金由牵头人递交。</w:t>
      </w:r>
      <w:r>
        <w:rPr>
          <w:rFonts w:hint="eastAsia" w:ascii="宋体" w:hAnsi="宋体"/>
          <w:sz w:val="24"/>
          <w:u w:val="single"/>
        </w:rPr>
        <w:cr/>
      </w:r>
      <w:r>
        <w:rPr>
          <w:rFonts w:hint="eastAsia" w:ascii="宋体" w:hAnsi="宋体"/>
          <w:sz w:val="24"/>
          <w:u w:val="single"/>
        </w:rPr>
        <w:t>2.保证金从投标人基本账户递交，（操作指引详情见广州公共资源交易中心网站），对于未能按要求交纳投标保证金的投标人，招标人将视为不响应招标文件而予以拒绝，责任由投标人自负。</w:t>
      </w:r>
    </w:p>
    <w:p>
      <w:pPr>
        <w:spacing w:line="400" w:lineRule="exact"/>
        <w:ind w:left="821" w:hanging="820" w:hangingChars="342"/>
        <w:rPr>
          <w:rFonts w:ascii="宋体" w:hAnsi="宋体"/>
          <w:sz w:val="24"/>
        </w:rPr>
      </w:pPr>
      <w:r>
        <w:rPr>
          <w:rFonts w:hint="eastAsia" w:ascii="宋体" w:hAnsi="宋体"/>
          <w:sz w:val="24"/>
        </w:rPr>
        <w:t xml:space="preserve">3.4.2  </w:t>
      </w:r>
      <w:r>
        <w:rPr>
          <w:rFonts w:hint="eastAsia" w:ascii="宋体" w:hAnsi="宋体"/>
          <w:kern w:val="0"/>
          <w:sz w:val="24"/>
        </w:rPr>
        <w:t>投标有效期90天，</w:t>
      </w:r>
      <w:r>
        <w:rPr>
          <w:rFonts w:hint="eastAsia" w:ascii="宋体" w:hAnsi="宋体"/>
          <w:sz w:val="24"/>
        </w:rPr>
        <w:t>从提交投标文件截止日起计算。在提交投标文件截止时间后到招标文件规定的投标有效期终止之前，投标人不得补充、修改或者撤回其投标文件。</w:t>
      </w:r>
    </w:p>
    <w:p>
      <w:pPr>
        <w:spacing w:line="400" w:lineRule="exact"/>
        <w:ind w:left="821" w:hanging="820" w:hangingChars="342"/>
        <w:jc w:val="left"/>
        <w:rPr>
          <w:rFonts w:ascii="宋体" w:hAnsi="宋体"/>
          <w:sz w:val="24"/>
        </w:rPr>
      </w:pPr>
      <w:r>
        <w:rPr>
          <w:rFonts w:hint="eastAsia" w:ascii="宋体" w:hAnsi="宋体"/>
          <w:sz w:val="24"/>
        </w:rPr>
        <w:t>3.4.3  招标人因特殊情况需要延长投标有效期时间，投标人可以拒绝投标，招标人对退出的投标人不作任何经济补偿。同意延长投标有效期的投标人，在延长期内本招标文件的规定仍然适用。</w:t>
      </w:r>
    </w:p>
    <w:p>
      <w:pPr>
        <w:pStyle w:val="34"/>
      </w:pPr>
    </w:p>
    <w:p>
      <w:pPr>
        <w:spacing w:line="400" w:lineRule="exact"/>
      </w:pPr>
      <w:r>
        <w:rPr>
          <w:rFonts w:hint="eastAsia" w:ascii="宋体" w:hAnsi="宋体"/>
          <w:b/>
          <w:sz w:val="24"/>
          <w:u w:val="single"/>
        </w:rPr>
        <w:t xml:space="preserve">3.5  </w:t>
      </w:r>
      <w:bookmarkStart w:id="6" w:name="_Hlk117003038"/>
      <w:r>
        <w:rPr>
          <w:rFonts w:hint="eastAsia" w:ascii="宋体" w:hAnsi="宋体"/>
          <w:b/>
          <w:sz w:val="24"/>
          <w:u w:val="single"/>
        </w:rPr>
        <w:t>资格审查文件</w:t>
      </w:r>
      <w:bookmarkEnd w:id="6"/>
      <w:r>
        <w:rPr>
          <w:rFonts w:hint="eastAsia" w:ascii="宋体" w:hAnsi="宋体"/>
          <w:b/>
          <w:sz w:val="24"/>
          <w:u w:val="single"/>
        </w:rPr>
        <w:t>编制要求</w:t>
      </w:r>
    </w:p>
    <w:p>
      <w:pPr>
        <w:spacing w:line="400" w:lineRule="exact"/>
        <w:ind w:left="821" w:hanging="820" w:hangingChars="342"/>
        <w:jc w:val="left"/>
        <w:rPr>
          <w:rFonts w:ascii="宋体" w:hAnsi="宋体"/>
          <w:sz w:val="24"/>
          <w:u w:val="single"/>
        </w:rPr>
      </w:pPr>
      <w:r>
        <w:rPr>
          <w:rFonts w:hint="eastAsia" w:ascii="宋体" w:hAnsi="宋体"/>
          <w:sz w:val="24"/>
          <w:u w:val="single"/>
        </w:rPr>
        <w:t xml:space="preserve">3.5.1资格审查文件由下列资料组成： </w:t>
      </w:r>
    </w:p>
    <w:p>
      <w:pPr>
        <w:spacing w:line="400" w:lineRule="exact"/>
        <w:ind w:left="821" w:hanging="820" w:hangingChars="342"/>
        <w:jc w:val="left"/>
        <w:rPr>
          <w:rFonts w:ascii="宋体" w:hAnsi="宋体"/>
          <w:sz w:val="24"/>
          <w:u w:val="single"/>
        </w:rPr>
      </w:pPr>
      <w:r>
        <w:rPr>
          <w:rFonts w:hint="eastAsia" w:ascii="宋体" w:hAnsi="宋体"/>
          <w:sz w:val="24"/>
          <w:u w:val="single"/>
        </w:rPr>
        <w:t xml:space="preserve">（1）目录。 </w:t>
      </w:r>
    </w:p>
    <w:p>
      <w:pPr>
        <w:spacing w:line="400" w:lineRule="exact"/>
        <w:ind w:left="821" w:hanging="820" w:hangingChars="342"/>
        <w:jc w:val="left"/>
        <w:rPr>
          <w:rFonts w:ascii="宋体" w:hAnsi="宋体"/>
          <w:sz w:val="24"/>
          <w:u w:val="single"/>
        </w:rPr>
      </w:pPr>
      <w:r>
        <w:rPr>
          <w:rFonts w:hint="eastAsia" w:ascii="宋体" w:hAnsi="宋体"/>
          <w:sz w:val="24"/>
          <w:u w:val="single"/>
        </w:rPr>
        <w:t>（2）法定代表人证明书及法定代表人授权委托书（如果有）（格式见附录</w:t>
      </w:r>
      <w:r>
        <w:rPr>
          <w:rFonts w:ascii="宋体" w:hAnsi="宋体"/>
          <w:sz w:val="24"/>
          <w:u w:val="single"/>
        </w:rPr>
        <w:t>7</w:t>
      </w:r>
      <w:r>
        <w:rPr>
          <w:rFonts w:hint="eastAsia" w:ascii="宋体" w:hAnsi="宋体"/>
          <w:sz w:val="24"/>
          <w:u w:val="single"/>
        </w:rPr>
        <w:t xml:space="preserve">）。 </w:t>
      </w:r>
    </w:p>
    <w:p>
      <w:pPr>
        <w:spacing w:line="400" w:lineRule="exact"/>
        <w:ind w:left="821" w:hanging="820" w:hangingChars="342"/>
        <w:jc w:val="left"/>
        <w:rPr>
          <w:rFonts w:ascii="宋体" w:hAnsi="宋体"/>
          <w:sz w:val="24"/>
          <w:u w:val="single"/>
        </w:rPr>
      </w:pPr>
      <w:r>
        <w:rPr>
          <w:rFonts w:hint="eastAsia" w:ascii="宋体" w:hAnsi="宋体"/>
          <w:sz w:val="24"/>
          <w:u w:val="single"/>
        </w:rPr>
        <w:t>（3）投标人声明（格式见附录</w:t>
      </w:r>
      <w:r>
        <w:rPr>
          <w:rFonts w:ascii="宋体" w:hAnsi="宋体"/>
          <w:sz w:val="24"/>
          <w:u w:val="single"/>
        </w:rPr>
        <w:t>20</w:t>
      </w:r>
      <w:r>
        <w:rPr>
          <w:rFonts w:hint="eastAsia" w:ascii="宋体" w:hAnsi="宋体"/>
          <w:sz w:val="24"/>
          <w:u w:val="single"/>
        </w:rPr>
        <w:t xml:space="preserve">） </w:t>
      </w:r>
    </w:p>
    <w:p>
      <w:pPr>
        <w:spacing w:line="400" w:lineRule="exact"/>
        <w:ind w:left="566" w:hanging="566" w:hangingChars="236"/>
        <w:jc w:val="left"/>
        <w:rPr>
          <w:rFonts w:ascii="宋体" w:hAnsi="宋体"/>
          <w:sz w:val="24"/>
          <w:u w:val="single"/>
        </w:rPr>
      </w:pPr>
      <w:r>
        <w:rPr>
          <w:rFonts w:hint="eastAsia" w:ascii="宋体" w:hAnsi="宋体"/>
          <w:sz w:val="24"/>
          <w:u w:val="single"/>
        </w:rPr>
        <w:t>（4）《联合体共同投标协议》（格式见附录</w:t>
      </w:r>
      <w:r>
        <w:rPr>
          <w:rFonts w:ascii="宋体" w:hAnsi="宋体"/>
          <w:sz w:val="24"/>
          <w:u w:val="single"/>
        </w:rPr>
        <w:t>7</w:t>
      </w:r>
      <w:r>
        <w:rPr>
          <w:rFonts w:hint="eastAsia" w:ascii="宋体" w:hAnsi="宋体"/>
          <w:sz w:val="24"/>
          <w:u w:val="single"/>
        </w:rPr>
        <w:t xml:space="preserve">，联合体投标时递交，填妥并由联合体各方共同签名盖章。 </w:t>
      </w:r>
    </w:p>
    <w:p>
      <w:pPr>
        <w:spacing w:line="400" w:lineRule="exact"/>
        <w:ind w:left="821" w:hanging="820" w:hangingChars="342"/>
        <w:jc w:val="left"/>
        <w:rPr>
          <w:rFonts w:ascii="宋体" w:hAnsi="宋体"/>
          <w:sz w:val="24"/>
          <w:u w:val="single"/>
        </w:rPr>
      </w:pPr>
      <w:r>
        <w:rPr>
          <w:rFonts w:hint="eastAsia" w:ascii="宋体" w:hAnsi="宋体"/>
          <w:sz w:val="24"/>
          <w:u w:val="single"/>
        </w:rPr>
        <w:t xml:space="preserve">（5）企业营业执照副本（或香港企业在香港进行商业登记的证明文书扫描件）。 </w:t>
      </w:r>
    </w:p>
    <w:p>
      <w:pPr>
        <w:spacing w:line="400" w:lineRule="exact"/>
        <w:ind w:left="821" w:hanging="820" w:hangingChars="342"/>
        <w:jc w:val="left"/>
        <w:rPr>
          <w:rFonts w:ascii="宋体" w:hAnsi="宋体"/>
          <w:sz w:val="24"/>
          <w:u w:val="single"/>
        </w:rPr>
      </w:pPr>
      <w:r>
        <w:rPr>
          <w:rFonts w:hint="eastAsia" w:ascii="宋体" w:hAnsi="宋体"/>
          <w:sz w:val="24"/>
          <w:u w:val="single"/>
        </w:rPr>
        <w:t xml:space="preserve">（6）企业资质证书副本（或香港企业在广东省住房和城乡建设主管部门备案的证明材料）。 </w:t>
      </w:r>
    </w:p>
    <w:p>
      <w:pPr>
        <w:spacing w:line="400" w:lineRule="exact"/>
        <w:ind w:left="566" w:hanging="566" w:hangingChars="236"/>
        <w:jc w:val="left"/>
        <w:rPr>
          <w:rFonts w:ascii="宋体" w:hAnsi="宋体"/>
          <w:sz w:val="24"/>
          <w:u w:val="single"/>
        </w:rPr>
      </w:pPr>
      <w:r>
        <w:rPr>
          <w:rFonts w:hint="eastAsia" w:ascii="宋体" w:hAnsi="宋体"/>
          <w:sz w:val="24"/>
          <w:u w:val="single"/>
        </w:rPr>
        <w:t xml:space="preserve">（7）资格审查前，投标人须在广州公共资源交易中心办理企业信息登记，拟担任本工程项目负责人须是本企业在广州公共资源交易中心已办理信息登记的在册人员。 </w:t>
      </w:r>
    </w:p>
    <w:p>
      <w:pPr>
        <w:spacing w:line="400" w:lineRule="exact"/>
        <w:ind w:left="821" w:hanging="820" w:hangingChars="342"/>
        <w:jc w:val="left"/>
        <w:rPr>
          <w:rFonts w:ascii="宋体" w:hAnsi="宋体"/>
          <w:sz w:val="24"/>
          <w:u w:val="single"/>
        </w:rPr>
      </w:pPr>
      <w:r>
        <w:rPr>
          <w:rFonts w:hint="eastAsia" w:ascii="宋体" w:hAnsi="宋体"/>
          <w:sz w:val="24"/>
          <w:u w:val="single"/>
        </w:rPr>
        <w:t xml:space="preserve">（8）项目负责人职称证书（或香港专业人士在广东省住房和城乡建设主管部门备案的证明材料扫描件）。 </w:t>
      </w:r>
    </w:p>
    <w:p>
      <w:pPr>
        <w:spacing w:line="400" w:lineRule="exact"/>
        <w:ind w:left="566" w:hanging="566" w:hangingChars="236"/>
        <w:jc w:val="left"/>
        <w:rPr>
          <w:rFonts w:ascii="宋体" w:hAnsi="宋体"/>
          <w:sz w:val="24"/>
          <w:u w:val="single"/>
        </w:rPr>
      </w:pPr>
      <w:r>
        <w:rPr>
          <w:rFonts w:hint="eastAsia" w:ascii="宋体" w:hAnsi="宋体"/>
          <w:sz w:val="24"/>
          <w:u w:val="single"/>
        </w:rPr>
        <w:t xml:space="preserve">（9）满足招标公告第1.2条（资格审查合格条件）评审要求的其他资料。 注：资格审查文件中的(7)取自广州公共资源交易中心企业信息库，投标人档案信息库中记录的该部分上传件将被视为投标人递交投标文件的一部分，不需重复提交。评标委员会对该部分资料的审查将以投标截止时间在广州公共资源交易中心企业信息库内的信息和上传件为依据。若招标人延长投标截止时间的，以上资料的评审时点也相应延长。投标人应及时维护其在广州公共资源交易中心企业信息库登记的信息及上传件，确保各项信息及上传件在有效期内。 </w:t>
      </w:r>
    </w:p>
    <w:p>
      <w:pPr>
        <w:spacing w:line="400" w:lineRule="exact"/>
        <w:ind w:left="708" w:hanging="708" w:hangingChars="295"/>
        <w:jc w:val="left"/>
        <w:rPr>
          <w:rFonts w:ascii="宋体" w:hAnsi="宋体"/>
          <w:sz w:val="24"/>
          <w:u w:val="single"/>
        </w:rPr>
      </w:pPr>
      <w:r>
        <w:rPr>
          <w:rFonts w:hint="eastAsia" w:ascii="宋体" w:hAnsi="宋体"/>
          <w:sz w:val="24"/>
          <w:u w:val="single"/>
        </w:rPr>
        <w:t xml:space="preserve">3.5.2 资格审查文件的签署要求：对于联合体投标人，文件落款中的“投标人”应填写联合体各方的单位全称【格式为：（主）单位全称（成）单位全称】。《联合体共同投标协议》必须由联合体成员各方盖章或签名。资格审查文件其他需要盖章或签字的部分可仅由联合体牵头人盖章或签字，视作符合要求。 </w:t>
      </w:r>
    </w:p>
    <w:p>
      <w:pPr>
        <w:spacing w:line="400" w:lineRule="exact"/>
        <w:ind w:left="824" w:hanging="820" w:hangingChars="342"/>
        <w:jc w:val="left"/>
        <w:rPr>
          <w:rFonts w:ascii="宋体" w:hAnsi="宋体"/>
          <w:sz w:val="24"/>
          <w:u w:val="single"/>
        </w:rPr>
      </w:pPr>
      <w:r>
        <w:rPr>
          <w:rFonts w:hint="eastAsia" w:ascii="宋体" w:hAnsi="宋体"/>
          <w:b/>
          <w:sz w:val="24"/>
          <w:u w:val="single"/>
        </w:rPr>
        <w:t>3.6   投标文件光盘（备用）</w:t>
      </w:r>
    </w:p>
    <w:p>
      <w:pPr>
        <w:spacing w:line="400" w:lineRule="exact"/>
        <w:ind w:left="708" w:hanging="708" w:hangingChars="295"/>
        <w:jc w:val="left"/>
        <w:rPr>
          <w:rFonts w:ascii="宋体" w:hAnsi="宋体"/>
          <w:sz w:val="24"/>
          <w:u w:val="single"/>
        </w:rPr>
      </w:pPr>
      <w:r>
        <w:rPr>
          <w:rFonts w:hint="eastAsia" w:ascii="宋体" w:hAnsi="宋体"/>
          <w:sz w:val="24"/>
          <w:u w:val="single"/>
        </w:rPr>
        <w:t>3.6.1投标文件光盘（备用）1份包括“资格审查文件光盘”“商务文件光盘”“技术文件（勘察设计方案）光盘”“保密文件光盘”共4只光盘。</w:t>
      </w:r>
    </w:p>
    <w:p>
      <w:pPr>
        <w:spacing w:line="400" w:lineRule="exact"/>
        <w:ind w:left="821" w:hanging="820" w:hangingChars="342"/>
        <w:jc w:val="left"/>
        <w:rPr>
          <w:rFonts w:ascii="宋体" w:hAnsi="宋体"/>
          <w:sz w:val="24"/>
          <w:u w:val="single"/>
        </w:rPr>
      </w:pPr>
      <w:r>
        <w:rPr>
          <w:rFonts w:hint="eastAsia" w:ascii="宋体" w:hAnsi="宋体"/>
          <w:sz w:val="24"/>
          <w:u w:val="single"/>
        </w:rPr>
        <w:t>（1）资格审查文件光盘包括下列内容：</w:t>
      </w:r>
    </w:p>
    <w:p>
      <w:pPr>
        <w:spacing w:line="400" w:lineRule="exact"/>
        <w:ind w:left="821" w:hanging="820" w:hangingChars="342"/>
        <w:jc w:val="left"/>
        <w:rPr>
          <w:rFonts w:ascii="宋体" w:hAnsi="宋体"/>
          <w:sz w:val="24"/>
          <w:u w:val="single"/>
        </w:rPr>
      </w:pPr>
      <w:r>
        <w:rPr>
          <w:rFonts w:hint="eastAsia" w:ascii="宋体" w:hAnsi="宋体"/>
          <w:sz w:val="24"/>
          <w:u w:val="single"/>
        </w:rPr>
        <w:t>(a) 一套PDF格式制作的电子版资格审查文件文本文件。</w:t>
      </w:r>
    </w:p>
    <w:p>
      <w:pPr>
        <w:spacing w:line="400" w:lineRule="exact"/>
        <w:ind w:left="821" w:hanging="820" w:hangingChars="342"/>
        <w:jc w:val="left"/>
        <w:rPr>
          <w:rFonts w:ascii="宋体" w:hAnsi="宋体"/>
          <w:sz w:val="24"/>
          <w:u w:val="single"/>
        </w:rPr>
      </w:pPr>
      <w:r>
        <w:rPr>
          <w:rFonts w:hint="eastAsia" w:ascii="宋体" w:hAnsi="宋体"/>
          <w:sz w:val="24"/>
          <w:u w:val="single"/>
        </w:rPr>
        <w:t>(b) 一套WORD格式的电子版资格审查文件文本文件。</w:t>
      </w:r>
    </w:p>
    <w:p>
      <w:pPr>
        <w:spacing w:line="400" w:lineRule="exact"/>
        <w:ind w:left="821" w:hanging="820" w:hangingChars="342"/>
        <w:jc w:val="left"/>
        <w:rPr>
          <w:rFonts w:ascii="宋体" w:hAnsi="宋体"/>
          <w:sz w:val="24"/>
          <w:u w:val="single"/>
        </w:rPr>
      </w:pPr>
      <w:r>
        <w:rPr>
          <w:rFonts w:hint="eastAsia" w:ascii="宋体" w:hAnsi="宋体"/>
          <w:sz w:val="24"/>
          <w:u w:val="single"/>
        </w:rPr>
        <w:t>（2）商务文件光盘包括下列内容：</w:t>
      </w:r>
    </w:p>
    <w:p>
      <w:pPr>
        <w:spacing w:line="400" w:lineRule="exact"/>
        <w:ind w:left="821" w:hanging="820" w:hangingChars="342"/>
        <w:jc w:val="left"/>
        <w:rPr>
          <w:rFonts w:ascii="宋体" w:hAnsi="宋体"/>
          <w:sz w:val="24"/>
          <w:u w:val="single"/>
        </w:rPr>
      </w:pPr>
      <w:r>
        <w:rPr>
          <w:rFonts w:hint="eastAsia" w:ascii="宋体" w:hAnsi="宋体"/>
          <w:sz w:val="24"/>
          <w:u w:val="single"/>
        </w:rPr>
        <w:t>(a) 一套PDF格式制作的电子版商务文件文本文件。</w:t>
      </w:r>
    </w:p>
    <w:p>
      <w:pPr>
        <w:spacing w:line="400" w:lineRule="exact"/>
        <w:ind w:left="821" w:hanging="820" w:hangingChars="342"/>
        <w:jc w:val="left"/>
        <w:rPr>
          <w:rFonts w:ascii="宋体" w:hAnsi="宋体"/>
          <w:sz w:val="24"/>
          <w:u w:val="single"/>
        </w:rPr>
      </w:pPr>
      <w:r>
        <w:rPr>
          <w:rFonts w:hint="eastAsia" w:ascii="宋体" w:hAnsi="宋体"/>
          <w:sz w:val="24"/>
          <w:u w:val="single"/>
        </w:rPr>
        <w:t>(b) 一套WORD格式的电子版商务文件文本文件。</w:t>
      </w:r>
    </w:p>
    <w:p>
      <w:pPr>
        <w:spacing w:line="400" w:lineRule="exact"/>
        <w:ind w:left="821" w:hanging="820" w:hangingChars="342"/>
        <w:jc w:val="left"/>
        <w:rPr>
          <w:rFonts w:ascii="宋体" w:hAnsi="宋体"/>
          <w:sz w:val="24"/>
          <w:u w:val="single"/>
        </w:rPr>
      </w:pPr>
      <w:r>
        <w:rPr>
          <w:rFonts w:hint="eastAsia" w:ascii="宋体" w:hAnsi="宋体"/>
          <w:sz w:val="24"/>
          <w:u w:val="single"/>
        </w:rPr>
        <w:t>（3）技术文件（勘察设计方案）光盘包括下列内容：</w:t>
      </w:r>
    </w:p>
    <w:p>
      <w:pPr>
        <w:spacing w:line="400" w:lineRule="exact"/>
        <w:ind w:left="821" w:hanging="820" w:hangingChars="342"/>
        <w:jc w:val="left"/>
        <w:rPr>
          <w:rFonts w:ascii="宋体" w:hAnsi="宋体"/>
          <w:sz w:val="24"/>
          <w:u w:val="single"/>
        </w:rPr>
      </w:pPr>
      <w:r>
        <w:rPr>
          <w:rFonts w:hint="eastAsia" w:ascii="宋体" w:hAnsi="宋体"/>
          <w:sz w:val="24"/>
          <w:u w:val="single"/>
        </w:rPr>
        <w:t>(a) 一套PDF格式制作的电子版技术文件（勘察设计方案）文本文件。</w:t>
      </w:r>
    </w:p>
    <w:p>
      <w:pPr>
        <w:spacing w:line="400" w:lineRule="exact"/>
        <w:ind w:left="425" w:hanging="424" w:hangingChars="177"/>
        <w:jc w:val="left"/>
        <w:rPr>
          <w:rFonts w:ascii="宋体" w:hAnsi="宋体"/>
          <w:sz w:val="24"/>
          <w:u w:val="single"/>
        </w:rPr>
      </w:pPr>
      <w:r>
        <w:rPr>
          <w:rFonts w:hint="eastAsia" w:ascii="宋体" w:hAnsi="宋体"/>
          <w:sz w:val="24"/>
          <w:u w:val="single"/>
        </w:rPr>
        <w:t>(b) 一套WORD或PPT格式的电子版（勘察设计方案）文本文件（不须包含设计图形部分内容）。</w:t>
      </w:r>
    </w:p>
    <w:p>
      <w:pPr>
        <w:spacing w:line="400" w:lineRule="exact"/>
        <w:ind w:left="821" w:hanging="820" w:hangingChars="342"/>
        <w:jc w:val="left"/>
        <w:rPr>
          <w:rFonts w:ascii="宋体" w:hAnsi="宋体"/>
          <w:sz w:val="24"/>
          <w:u w:val="single"/>
        </w:rPr>
      </w:pPr>
      <w:r>
        <w:rPr>
          <w:rFonts w:hint="eastAsia" w:ascii="宋体" w:hAnsi="宋体"/>
          <w:sz w:val="24"/>
          <w:u w:val="single"/>
        </w:rPr>
        <w:t>(c) 一套AutoCAD格式的设计图形文件。</w:t>
      </w:r>
    </w:p>
    <w:p>
      <w:pPr>
        <w:spacing w:line="400" w:lineRule="exact"/>
        <w:ind w:left="821" w:hanging="820" w:hangingChars="342"/>
        <w:jc w:val="left"/>
        <w:rPr>
          <w:rFonts w:ascii="宋体" w:hAnsi="宋体"/>
          <w:sz w:val="24"/>
          <w:u w:val="single"/>
        </w:rPr>
      </w:pPr>
      <w:r>
        <w:rPr>
          <w:rFonts w:hint="eastAsia" w:ascii="宋体" w:hAnsi="宋体"/>
          <w:sz w:val="24"/>
          <w:u w:val="single"/>
        </w:rPr>
        <w:t>（4）保密文件光盘包括下列内容：</w:t>
      </w:r>
    </w:p>
    <w:p>
      <w:pPr>
        <w:spacing w:line="400" w:lineRule="exact"/>
        <w:ind w:left="425" w:hanging="424" w:hangingChars="177"/>
        <w:jc w:val="left"/>
        <w:rPr>
          <w:rFonts w:ascii="宋体" w:hAnsi="宋体"/>
          <w:sz w:val="24"/>
          <w:u w:val="single"/>
        </w:rPr>
      </w:pPr>
      <w:r>
        <w:rPr>
          <w:rFonts w:hint="eastAsia" w:ascii="宋体" w:hAnsi="宋体"/>
          <w:sz w:val="24"/>
          <w:u w:val="single"/>
        </w:rPr>
        <w:t>(a) 一张JPG格式内容为表现图的图形文件，加盖投标人公章。表现图内容应与设计方案一致（并注明表现图在设计方案中的页码或图号），用于分辨投标文件对应的投标人身份。</w:t>
      </w:r>
    </w:p>
    <w:p>
      <w:pPr>
        <w:spacing w:line="400" w:lineRule="exact"/>
        <w:ind w:left="425" w:hanging="424" w:hangingChars="177"/>
        <w:jc w:val="left"/>
      </w:pPr>
      <w:r>
        <w:rPr>
          <w:rFonts w:hint="eastAsia" w:ascii="宋体" w:hAnsi="宋体"/>
          <w:sz w:val="24"/>
          <w:u w:val="single"/>
        </w:rPr>
        <w:t>3.6.2投标文件光盘（备用）的封装要求详见招标文件第二章第2.11.1款的规定。投标人可自主选择是否递交投标文件光盘（备用）。</w:t>
      </w:r>
    </w:p>
    <w:p>
      <w:pPr>
        <w:spacing w:line="400" w:lineRule="exact"/>
        <w:ind w:left="718" w:hanging="718" w:hangingChars="342"/>
        <w:jc w:val="left"/>
      </w:pPr>
    </w:p>
    <w:p>
      <w:pPr>
        <w:pStyle w:val="4"/>
        <w:spacing w:line="360" w:lineRule="auto"/>
        <w:ind w:left="525" w:hanging="600" w:hangingChars="250"/>
        <w:jc w:val="center"/>
      </w:pPr>
      <w:r>
        <w:br w:type="page"/>
      </w:r>
      <w:bookmarkStart w:id="7" w:name="_Toc136262984"/>
      <w:r>
        <w:rPr>
          <w:rFonts w:hint="eastAsia"/>
        </w:rPr>
        <w:t>第四章</w:t>
      </w:r>
      <w:r>
        <w:t xml:space="preserve">  </w:t>
      </w:r>
      <w:r>
        <w:rPr>
          <w:rFonts w:hint="eastAsia"/>
        </w:rPr>
        <w:t>废标条款</w:t>
      </w:r>
      <w:bookmarkEnd w:id="7"/>
    </w:p>
    <w:p>
      <w:pPr>
        <w:spacing w:line="400" w:lineRule="exact"/>
        <w:rPr>
          <w:rFonts w:ascii="宋体" w:hAnsi="宋体"/>
          <w:b/>
          <w:bCs/>
          <w:sz w:val="24"/>
        </w:rPr>
      </w:pPr>
      <w:r>
        <w:rPr>
          <w:rFonts w:hint="eastAsia" w:ascii="宋体" w:hAnsi="宋体"/>
          <w:b/>
          <w:bCs/>
          <w:sz w:val="24"/>
        </w:rPr>
        <w:t>4.1    废标</w:t>
      </w:r>
    </w:p>
    <w:p>
      <w:pPr>
        <w:spacing w:line="400" w:lineRule="exact"/>
        <w:ind w:left="850" w:hanging="849" w:hangingChars="354"/>
        <w:rPr>
          <w:rFonts w:ascii="宋体" w:hAnsi="宋体"/>
          <w:sz w:val="24"/>
          <w:u w:val="single"/>
        </w:rPr>
      </w:pPr>
      <w:r>
        <w:rPr>
          <w:rFonts w:hint="eastAsia" w:ascii="宋体" w:hAnsi="宋体"/>
          <w:sz w:val="24"/>
          <w:u w:val="single"/>
        </w:rPr>
        <w:t>4.1</w:t>
      </w:r>
      <w:r>
        <w:rPr>
          <w:rFonts w:ascii="宋体" w:hAnsi="宋体"/>
          <w:sz w:val="24"/>
          <w:u w:val="single"/>
        </w:rPr>
        <w:t>.1</w:t>
      </w:r>
      <w:r>
        <w:rPr>
          <w:rFonts w:hint="eastAsia" w:ascii="宋体" w:hAnsi="宋体"/>
          <w:sz w:val="24"/>
          <w:u w:val="single"/>
        </w:rPr>
        <w:t xml:space="preserve">  投标人有下列情况之一的，招标人将拒绝接收投标人的投标文件或者投标文件光盘：</w:t>
      </w:r>
    </w:p>
    <w:p>
      <w:pPr>
        <w:spacing w:line="400" w:lineRule="exact"/>
        <w:ind w:left="850" w:hanging="849" w:hangingChars="354"/>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u w:val="single"/>
        </w:rPr>
        <w:t>(a) 在投标截止期后逾期或未在指定交易平台递交电子投标文件的，招标人（或招标代理）拒绝接收其电子投标文件。</w:t>
      </w:r>
    </w:p>
    <w:p>
      <w:pPr>
        <w:spacing w:line="400" w:lineRule="exact"/>
        <w:ind w:left="615" w:leftChars="171" w:hanging="256" w:hangingChars="107"/>
        <w:rPr>
          <w:rFonts w:ascii="宋体" w:hAnsi="宋体"/>
          <w:sz w:val="24"/>
        </w:rPr>
      </w:pPr>
      <w:r>
        <w:rPr>
          <w:rFonts w:hint="eastAsia" w:ascii="宋体" w:hAnsi="宋体"/>
          <w:sz w:val="24"/>
        </w:rPr>
        <w:t xml:space="preserve"> </w:t>
      </w:r>
      <w:r>
        <w:rPr>
          <w:rFonts w:hint="eastAsia" w:ascii="宋体" w:hAnsi="宋体"/>
          <w:sz w:val="24"/>
          <w:u w:val="single"/>
        </w:rPr>
        <w:t xml:space="preserve"> (b)　投标人代表未凭法定代表人证明书原件、法定代表人授权委托书原件（非法定代表人递交投标文件光盘时提供）、本人身份证复印件（提供原件核对）在招标公告规定的时间和地点（如项目招标投标活动安排变更，时间和地点按照最新规定）递交投标文件光盘（备用），或电子光盘未按招标文件规定封装的，招标人（或招标代理）拒绝接收其投标文件光盘（备用）。</w:t>
      </w:r>
    </w:p>
    <w:p>
      <w:pPr>
        <w:spacing w:line="400" w:lineRule="exact"/>
        <w:ind w:left="617" w:hanging="616" w:hangingChars="257"/>
        <w:rPr>
          <w:rFonts w:ascii="宋体" w:hAnsi="宋体"/>
          <w:sz w:val="24"/>
        </w:rPr>
      </w:pPr>
    </w:p>
    <w:p>
      <w:pPr>
        <w:spacing w:line="400" w:lineRule="exact"/>
        <w:rPr>
          <w:rFonts w:ascii="宋体" w:hAnsi="宋体"/>
          <w:sz w:val="24"/>
        </w:rPr>
      </w:pPr>
      <w:r>
        <w:rPr>
          <w:rFonts w:hint="eastAsia" w:ascii="宋体" w:hAnsi="宋体"/>
          <w:sz w:val="24"/>
        </w:rPr>
        <w:t>4.1.2  商务投标文件有下列情况之一的，由评标委员会确定其为废标：</w:t>
      </w:r>
    </w:p>
    <w:p>
      <w:pPr>
        <w:spacing w:line="400" w:lineRule="exact"/>
        <w:ind w:firstLine="240" w:firstLineChars="100"/>
        <w:rPr>
          <w:rFonts w:ascii="宋体" w:hAnsi="宋体"/>
          <w:sz w:val="24"/>
        </w:rPr>
      </w:pPr>
      <w:r>
        <w:rPr>
          <w:rFonts w:hint="eastAsia" w:ascii="宋体" w:hAnsi="宋体"/>
          <w:sz w:val="24"/>
        </w:rPr>
        <w:t>（a）投标人与招标人、评标委员会成员或者其他投标人串通投标。</w:t>
      </w:r>
    </w:p>
    <w:p>
      <w:pPr>
        <w:spacing w:line="400" w:lineRule="exact"/>
        <w:ind w:firstLine="240" w:firstLineChars="100"/>
        <w:rPr>
          <w:rFonts w:ascii="宋体" w:hAnsi="宋体"/>
          <w:sz w:val="24"/>
        </w:rPr>
      </w:pPr>
      <w:r>
        <w:rPr>
          <w:rFonts w:hint="eastAsia" w:ascii="宋体" w:hAnsi="宋体"/>
          <w:sz w:val="24"/>
          <w:u w:val="single"/>
        </w:rPr>
        <w:t>（b）投标人与其他投标人加密打包投标文件电脑机器特征码一致的</w:t>
      </w:r>
      <w:r>
        <w:rPr>
          <w:rFonts w:hint="eastAsia" w:ascii="宋体" w:hAnsi="宋体"/>
          <w:sz w:val="24"/>
        </w:rPr>
        <w:t xml:space="preserve">。 </w:t>
      </w:r>
    </w:p>
    <w:p>
      <w:pPr>
        <w:spacing w:line="400" w:lineRule="exact"/>
        <w:ind w:firstLine="283" w:firstLineChars="118"/>
        <w:rPr>
          <w:rFonts w:ascii="宋体" w:hAnsi="宋体"/>
          <w:sz w:val="24"/>
        </w:rPr>
      </w:pPr>
      <w:r>
        <w:rPr>
          <w:rFonts w:hint="eastAsia" w:ascii="宋体" w:hAnsi="宋体"/>
          <w:sz w:val="24"/>
          <w:u w:val="single"/>
        </w:rPr>
        <w:t>（c）</w:t>
      </w:r>
      <w:r>
        <w:rPr>
          <w:rFonts w:hint="eastAsia" w:ascii="宋体" w:hAnsi="宋体"/>
          <w:sz w:val="24"/>
        </w:rPr>
        <w:t>商务文件封面未盖投标人公章。</w:t>
      </w:r>
    </w:p>
    <w:p>
      <w:pPr>
        <w:spacing w:line="400" w:lineRule="exact"/>
        <w:ind w:firstLine="283" w:firstLineChars="118"/>
        <w:rPr>
          <w:rFonts w:ascii="宋体" w:hAnsi="宋体"/>
          <w:sz w:val="24"/>
        </w:rPr>
      </w:pPr>
      <w:r>
        <w:rPr>
          <w:rFonts w:hint="eastAsia" w:ascii="宋体" w:hAnsi="宋体"/>
          <w:sz w:val="24"/>
          <w:u w:val="single"/>
        </w:rPr>
        <w:t>（d）</w:t>
      </w:r>
      <w:r>
        <w:rPr>
          <w:rFonts w:hint="eastAsia" w:ascii="宋体" w:hAnsi="宋体"/>
          <w:sz w:val="24"/>
        </w:rPr>
        <w:t xml:space="preserve">《投标书》未加盖投标人公章。 </w:t>
      </w:r>
    </w:p>
    <w:p>
      <w:pPr>
        <w:spacing w:line="400" w:lineRule="exact"/>
        <w:ind w:firstLine="283" w:firstLineChars="118"/>
        <w:rPr>
          <w:rFonts w:ascii="宋体" w:hAnsi="宋体"/>
          <w:sz w:val="24"/>
        </w:rPr>
      </w:pPr>
      <w:r>
        <w:rPr>
          <w:rFonts w:hint="eastAsia" w:ascii="宋体" w:hAnsi="宋体"/>
          <w:sz w:val="24"/>
          <w:u w:val="single"/>
        </w:rPr>
        <w:t>（e）</w:t>
      </w:r>
      <w:r>
        <w:rPr>
          <w:rFonts w:hint="eastAsia" w:ascii="宋体" w:hAnsi="宋体"/>
          <w:sz w:val="24"/>
        </w:rPr>
        <w:t xml:space="preserve">《投标书》未经法定代表人或者其授权代表签名。 </w:t>
      </w:r>
    </w:p>
    <w:p>
      <w:pPr>
        <w:spacing w:line="400" w:lineRule="exact"/>
        <w:ind w:firstLine="283" w:firstLineChars="118"/>
        <w:rPr>
          <w:rFonts w:ascii="宋体" w:hAnsi="宋体"/>
          <w:sz w:val="24"/>
        </w:rPr>
      </w:pPr>
      <w:r>
        <w:rPr>
          <w:rFonts w:hint="eastAsia" w:ascii="宋体" w:hAnsi="宋体"/>
          <w:sz w:val="24"/>
          <w:u w:val="single"/>
        </w:rPr>
        <w:t>（f）</w:t>
      </w:r>
      <w:r>
        <w:rPr>
          <w:rFonts w:hint="eastAsia" w:ascii="宋体" w:hAnsi="宋体"/>
          <w:sz w:val="24"/>
        </w:rPr>
        <w:t>《投标书》包含有招标人不能接受的偏差，并且投标人拒绝书面撤回偏差。</w:t>
      </w:r>
    </w:p>
    <w:p>
      <w:pPr>
        <w:spacing w:line="400" w:lineRule="exact"/>
        <w:ind w:firstLine="283" w:firstLineChars="118"/>
        <w:rPr>
          <w:rFonts w:ascii="宋体" w:hAnsi="宋体"/>
          <w:sz w:val="24"/>
        </w:rPr>
      </w:pPr>
      <w:r>
        <w:rPr>
          <w:rFonts w:hint="eastAsia" w:ascii="宋体" w:hAnsi="宋体"/>
          <w:sz w:val="24"/>
          <w:u w:val="single"/>
        </w:rPr>
        <w:t>（g）</w:t>
      </w:r>
      <w:r>
        <w:rPr>
          <w:rFonts w:hint="eastAsia" w:ascii="宋体" w:hAnsi="宋体"/>
          <w:sz w:val="24"/>
        </w:rPr>
        <w:t>《投标书》未按招标文件规定的格式填写，内容不全或者关键字迹模糊无法辨认的。</w:t>
      </w:r>
    </w:p>
    <w:p>
      <w:pPr>
        <w:spacing w:line="400" w:lineRule="exact"/>
        <w:ind w:firstLine="283" w:firstLineChars="118"/>
        <w:rPr>
          <w:rFonts w:ascii="宋体" w:hAnsi="宋体"/>
          <w:sz w:val="24"/>
        </w:rPr>
      </w:pPr>
      <w:r>
        <w:rPr>
          <w:rFonts w:hint="eastAsia" w:ascii="宋体" w:hAnsi="宋体"/>
          <w:sz w:val="24"/>
          <w:u w:val="single"/>
        </w:rPr>
        <w:t>（h）</w:t>
      </w:r>
      <w:r>
        <w:rPr>
          <w:rFonts w:hint="eastAsia" w:ascii="宋体" w:hAnsi="宋体"/>
          <w:sz w:val="24"/>
        </w:rPr>
        <w:t>证明材料有弄虚作假者。</w:t>
      </w:r>
    </w:p>
    <w:p>
      <w:pPr>
        <w:spacing w:line="400" w:lineRule="exact"/>
        <w:ind w:firstLine="283" w:firstLineChars="118"/>
        <w:rPr>
          <w:rFonts w:ascii="宋体" w:hAnsi="宋体"/>
          <w:sz w:val="24"/>
          <w:u w:val="single"/>
        </w:rPr>
      </w:pPr>
      <w:r>
        <w:rPr>
          <w:rFonts w:hint="eastAsia" w:ascii="宋体" w:hAnsi="宋体"/>
          <w:sz w:val="24"/>
          <w:u w:val="single"/>
        </w:rPr>
        <w:t>（i）</w:t>
      </w:r>
      <w:r>
        <w:rPr>
          <w:rFonts w:hint="eastAsia" w:ascii="宋体" w:hAnsi="宋体"/>
          <w:sz w:val="24"/>
        </w:rPr>
        <w:t>不按第三章投标文件编制要求编制的投标文件。</w:t>
      </w:r>
    </w:p>
    <w:p>
      <w:pPr>
        <w:spacing w:line="400" w:lineRule="exact"/>
        <w:ind w:firstLine="283" w:firstLineChars="118"/>
        <w:rPr>
          <w:rFonts w:ascii="宋体" w:hAnsi="宋体"/>
          <w:sz w:val="24"/>
        </w:rPr>
      </w:pPr>
      <w:r>
        <w:rPr>
          <w:rFonts w:hint="eastAsia" w:ascii="宋体" w:hAnsi="宋体"/>
          <w:sz w:val="24"/>
          <w:u w:val="single"/>
        </w:rPr>
        <w:t>（j）</w:t>
      </w:r>
      <w:r>
        <w:rPr>
          <w:rFonts w:hint="eastAsia" w:ascii="宋体" w:hAnsi="宋体"/>
          <w:sz w:val="24"/>
        </w:rPr>
        <w:t>未按照招标文件要求提交投标保证金的。</w:t>
      </w:r>
    </w:p>
    <w:p>
      <w:pPr>
        <w:spacing w:line="400" w:lineRule="exact"/>
        <w:ind w:firstLine="283" w:firstLineChars="118"/>
        <w:rPr>
          <w:rFonts w:ascii="宋体" w:hAnsi="宋体"/>
          <w:sz w:val="24"/>
        </w:rPr>
      </w:pPr>
      <w:r>
        <w:rPr>
          <w:rFonts w:hint="eastAsia" w:ascii="宋体" w:hAnsi="宋体"/>
          <w:sz w:val="24"/>
          <w:u w:val="single"/>
        </w:rPr>
        <w:t>（k）</w:t>
      </w:r>
      <w:r>
        <w:rPr>
          <w:rFonts w:hint="eastAsia" w:ascii="宋体" w:hAnsi="宋体"/>
          <w:sz w:val="24"/>
        </w:rPr>
        <w:t>不按照要求对投标文件进行澄清、说明或者补正的。</w:t>
      </w:r>
    </w:p>
    <w:p>
      <w:pPr>
        <w:spacing w:line="400" w:lineRule="exact"/>
        <w:ind w:firstLine="283" w:firstLineChars="118"/>
        <w:rPr>
          <w:rFonts w:ascii="宋体" w:hAnsi="宋体"/>
          <w:sz w:val="24"/>
        </w:rPr>
      </w:pPr>
      <w:r>
        <w:rPr>
          <w:rFonts w:hint="eastAsia" w:ascii="宋体" w:hAnsi="宋体"/>
          <w:sz w:val="24"/>
          <w:u w:val="single"/>
        </w:rPr>
        <w:t>（l）</w:t>
      </w:r>
      <w:r>
        <w:rPr>
          <w:rFonts w:hint="eastAsia" w:ascii="宋体" w:hAnsi="宋体"/>
          <w:sz w:val="24"/>
        </w:rPr>
        <w:t>未按照招标文件要求进行投标报价的。</w:t>
      </w:r>
    </w:p>
    <w:p>
      <w:pPr>
        <w:spacing w:line="400" w:lineRule="exact"/>
        <w:ind w:firstLine="283" w:firstLineChars="118"/>
        <w:rPr>
          <w:rFonts w:ascii="宋体" w:hAnsi="宋体"/>
          <w:sz w:val="24"/>
        </w:rPr>
      </w:pPr>
      <w:r>
        <w:rPr>
          <w:rFonts w:hint="eastAsia" w:ascii="宋体" w:hAnsi="宋体"/>
          <w:sz w:val="24"/>
          <w:u w:val="single"/>
        </w:rPr>
        <w:t xml:space="preserve">(m) </w:t>
      </w:r>
      <w:r>
        <w:rPr>
          <w:rFonts w:hint="eastAsia" w:ascii="宋体" w:hAnsi="宋体"/>
          <w:sz w:val="24"/>
        </w:rPr>
        <w:t>以联合体形式投标的，未向招标人提交联合体共同投标协议。</w:t>
      </w:r>
    </w:p>
    <w:p>
      <w:pPr>
        <w:spacing w:line="400" w:lineRule="exact"/>
        <w:ind w:firstLine="360" w:firstLineChars="150"/>
        <w:rPr>
          <w:rFonts w:ascii="宋体" w:hAnsi="宋体"/>
          <w:sz w:val="24"/>
        </w:rPr>
      </w:pPr>
    </w:p>
    <w:p>
      <w:pPr>
        <w:spacing w:line="400" w:lineRule="exact"/>
        <w:rPr>
          <w:rFonts w:ascii="宋体" w:hAnsi="宋体"/>
          <w:sz w:val="24"/>
        </w:rPr>
      </w:pPr>
      <w:r>
        <w:rPr>
          <w:rFonts w:hint="eastAsia" w:ascii="宋体" w:hAnsi="宋体"/>
          <w:sz w:val="24"/>
        </w:rPr>
        <w:t>4.1</w:t>
      </w:r>
      <w:r>
        <w:rPr>
          <w:rFonts w:ascii="宋体" w:hAnsi="宋体"/>
          <w:sz w:val="24"/>
        </w:rPr>
        <w:t>.</w:t>
      </w:r>
      <w:r>
        <w:rPr>
          <w:rFonts w:hint="eastAsia" w:ascii="宋体" w:hAnsi="宋体"/>
          <w:sz w:val="24"/>
        </w:rPr>
        <w:t xml:space="preserve">3  </w:t>
      </w:r>
      <w:r>
        <w:rPr>
          <w:rFonts w:hint="eastAsia" w:ascii="宋体" w:hAnsi="宋体"/>
          <w:sz w:val="24"/>
          <w:u w:val="single"/>
        </w:rPr>
        <w:t>技术文件（勘察设计方案）</w:t>
      </w:r>
      <w:r>
        <w:rPr>
          <w:rFonts w:hint="eastAsia" w:ascii="宋体" w:hAnsi="宋体"/>
          <w:sz w:val="24"/>
        </w:rPr>
        <w:t>有下列情况之一的，由评标委员会确定其为废标：</w:t>
      </w:r>
    </w:p>
    <w:p>
      <w:pPr>
        <w:spacing w:line="360" w:lineRule="auto"/>
        <w:ind w:left="599" w:leftChars="114" w:hanging="360" w:hangingChars="150"/>
        <w:rPr>
          <w:rFonts w:ascii="宋体" w:hAnsi="宋体"/>
          <w:sz w:val="24"/>
        </w:rPr>
      </w:pPr>
      <w:r>
        <w:rPr>
          <w:rFonts w:hint="eastAsia" w:ascii="宋体" w:hAnsi="宋体"/>
          <w:sz w:val="24"/>
        </w:rPr>
        <w:t>（a）投标人在</w:t>
      </w:r>
      <w:r>
        <w:rPr>
          <w:rFonts w:hint="eastAsia" w:ascii="宋体" w:hAnsi="宋体"/>
          <w:sz w:val="24"/>
          <w:u w:val="single"/>
        </w:rPr>
        <w:t>技术文件（勘察设计方案）上</w:t>
      </w:r>
      <w:r>
        <w:rPr>
          <w:rFonts w:hint="eastAsia" w:ascii="宋体" w:hAnsi="宋体"/>
          <w:sz w:val="24"/>
        </w:rPr>
        <w:t>标注名称、印章、商标、图形等记认符号</w:t>
      </w:r>
      <w:r>
        <w:rPr>
          <w:rFonts w:hint="eastAsia" w:ascii="宋体" w:hAnsi="宋体"/>
          <w:sz w:val="24"/>
          <w:u w:val="single"/>
        </w:rPr>
        <w:t>或显示投标报价信息</w:t>
      </w:r>
      <w:r>
        <w:rPr>
          <w:rFonts w:hint="eastAsia" w:ascii="宋体" w:hAnsi="宋体"/>
          <w:sz w:val="24"/>
        </w:rPr>
        <w:t xml:space="preserve">，使人辨认出投标人或其专业技术人员的身份。 </w:t>
      </w:r>
    </w:p>
    <w:p>
      <w:pPr>
        <w:spacing w:line="360" w:lineRule="auto"/>
        <w:ind w:left="599" w:leftChars="114" w:hanging="360" w:hangingChars="150"/>
        <w:rPr>
          <w:rFonts w:ascii="宋体" w:hAnsi="宋体"/>
          <w:sz w:val="24"/>
        </w:rPr>
      </w:pPr>
      <w:r>
        <w:rPr>
          <w:rFonts w:hint="eastAsia" w:ascii="宋体" w:hAnsi="宋体"/>
          <w:sz w:val="24"/>
        </w:rPr>
        <w:t xml:space="preserve">（b）有互相雷同或串通投标的。 </w:t>
      </w:r>
    </w:p>
    <w:p>
      <w:pPr>
        <w:spacing w:line="360" w:lineRule="auto"/>
        <w:ind w:left="599" w:leftChars="114" w:hanging="360" w:hangingChars="150"/>
        <w:rPr>
          <w:rFonts w:ascii="宋体" w:hAnsi="宋体"/>
          <w:sz w:val="24"/>
        </w:rPr>
      </w:pPr>
      <w:r>
        <w:rPr>
          <w:rFonts w:hint="eastAsia" w:ascii="宋体" w:hAnsi="宋体"/>
          <w:sz w:val="24"/>
        </w:rPr>
        <w:t xml:space="preserve">（c）有明显抄袭行为。 </w:t>
      </w:r>
    </w:p>
    <w:p>
      <w:pPr>
        <w:spacing w:line="360" w:lineRule="auto"/>
        <w:ind w:left="599" w:leftChars="114" w:hanging="360" w:hangingChars="150"/>
        <w:rPr>
          <w:rFonts w:ascii="宋体" w:hAnsi="宋体"/>
          <w:sz w:val="24"/>
        </w:rPr>
      </w:pPr>
      <w:r>
        <w:rPr>
          <w:rFonts w:hint="eastAsia" w:ascii="宋体" w:hAnsi="宋体"/>
          <w:sz w:val="24"/>
        </w:rPr>
        <w:t>（d）侵犯他人著作权和特许权。</w:t>
      </w:r>
    </w:p>
    <w:p>
      <w:pPr>
        <w:spacing w:line="400" w:lineRule="exact"/>
        <w:ind w:firstLine="240" w:firstLineChars="100"/>
        <w:rPr>
          <w:rFonts w:ascii="宋体" w:hAnsi="宋体"/>
          <w:sz w:val="24"/>
        </w:rPr>
      </w:pPr>
      <w:r>
        <w:rPr>
          <w:rFonts w:hint="eastAsia" w:ascii="宋体" w:hAnsi="宋体"/>
          <w:sz w:val="24"/>
        </w:rPr>
        <w:t>（e）不按第三章投标文件编制要求编制投标文件。</w:t>
      </w:r>
    </w:p>
    <w:p>
      <w:pPr>
        <w:spacing w:line="360" w:lineRule="auto"/>
        <w:rPr>
          <w:rFonts w:ascii="宋体" w:hAnsi="宋体"/>
          <w:sz w:val="24"/>
        </w:rPr>
        <w:sectPr>
          <w:footerReference r:id="rId4" w:type="default"/>
          <w:type w:val="nextColumn"/>
          <w:pgSz w:w="11906" w:h="16838"/>
          <w:pgMar w:top="1418" w:right="1418" w:bottom="1418" w:left="1418" w:header="851" w:footer="992" w:gutter="0"/>
          <w:pgNumType w:start="1"/>
          <w:cols w:space="425" w:num="1"/>
          <w:docGrid w:type="linesAndChars" w:linePitch="312" w:charSpace="0"/>
        </w:sectPr>
      </w:pPr>
    </w:p>
    <w:p>
      <w:pPr>
        <w:spacing w:line="360" w:lineRule="auto"/>
        <w:ind w:left="600" w:hanging="600" w:hangingChars="250"/>
        <w:jc w:val="center"/>
        <w:rPr>
          <w:rFonts w:ascii="宋体" w:hAnsi="宋体"/>
          <w:sz w:val="24"/>
        </w:rPr>
      </w:pPr>
    </w:p>
    <w:p>
      <w:pPr>
        <w:pStyle w:val="4"/>
        <w:rPr>
          <w:b w:val="0"/>
        </w:rPr>
      </w:pPr>
      <w:bookmarkStart w:id="8" w:name="_Toc136262985"/>
      <w:r>
        <w:rPr>
          <w:rFonts w:hint="eastAsia"/>
        </w:rPr>
        <w:t>第五章</w:t>
      </w:r>
      <w:r>
        <w:t xml:space="preserve">  </w:t>
      </w:r>
      <w:r>
        <w:rPr>
          <w:rFonts w:hint="eastAsia"/>
        </w:rPr>
        <w:t>开标评标定标</w:t>
      </w:r>
      <w:bookmarkEnd w:id="8"/>
    </w:p>
    <w:p>
      <w:pPr>
        <w:pStyle w:val="16"/>
        <w:spacing w:line="400" w:lineRule="exact"/>
        <w:rPr>
          <w:rFonts w:hAnsi="宋体"/>
          <w:b/>
          <w:bCs/>
          <w:sz w:val="24"/>
          <w:szCs w:val="24"/>
        </w:rPr>
      </w:pPr>
      <w:r>
        <w:rPr>
          <w:rFonts w:hint="eastAsia" w:hAnsi="宋体"/>
          <w:b/>
          <w:bCs/>
          <w:sz w:val="24"/>
          <w:szCs w:val="24"/>
        </w:rPr>
        <w:t>5.1    评标委员会</w:t>
      </w:r>
    </w:p>
    <w:p>
      <w:pPr>
        <w:pStyle w:val="16"/>
        <w:spacing w:line="400" w:lineRule="exact"/>
        <w:ind w:left="821" w:hanging="820" w:hangingChars="342"/>
        <w:rPr>
          <w:rFonts w:hAnsi="宋体"/>
          <w:sz w:val="24"/>
          <w:szCs w:val="24"/>
        </w:rPr>
      </w:pPr>
      <w:r>
        <w:rPr>
          <w:rFonts w:hint="eastAsia" w:hAnsi="宋体"/>
          <w:sz w:val="24"/>
          <w:szCs w:val="24"/>
        </w:rPr>
        <w:t>5.1</w:t>
      </w:r>
      <w:r>
        <w:rPr>
          <w:rFonts w:hAnsi="宋体"/>
          <w:sz w:val="24"/>
          <w:szCs w:val="24"/>
        </w:rPr>
        <w:t>.</w:t>
      </w:r>
      <w:r>
        <w:rPr>
          <w:rFonts w:hint="eastAsia" w:hAnsi="宋体"/>
          <w:sz w:val="24"/>
          <w:szCs w:val="24"/>
        </w:rPr>
        <w:t xml:space="preserve">1  </w:t>
      </w:r>
      <w:r>
        <w:rPr>
          <w:rFonts w:hint="eastAsia" w:hAnsi="宋体" w:cs="宋体"/>
          <w:sz w:val="24"/>
          <w:szCs w:val="24"/>
          <w:u w:val="single"/>
        </w:rPr>
        <w:t>评标委员会由招标人依法组建</w:t>
      </w:r>
      <w:r>
        <w:rPr>
          <w:rFonts w:hint="eastAsia" w:hAnsi="宋体"/>
          <w:sz w:val="24"/>
          <w:szCs w:val="24"/>
          <w:u w:val="single"/>
        </w:rPr>
        <w:t>。</w:t>
      </w:r>
    </w:p>
    <w:p>
      <w:pPr>
        <w:pStyle w:val="16"/>
        <w:spacing w:line="400" w:lineRule="exact"/>
        <w:ind w:left="821" w:hanging="820" w:hangingChars="342"/>
        <w:rPr>
          <w:rFonts w:hAnsi="宋体"/>
          <w:sz w:val="24"/>
          <w:szCs w:val="24"/>
        </w:rPr>
      </w:pPr>
      <w:r>
        <w:rPr>
          <w:rFonts w:hint="eastAsia" w:hAnsi="宋体"/>
          <w:sz w:val="24"/>
          <w:szCs w:val="24"/>
        </w:rPr>
        <w:t>5.1.2  评标委员会随机产生1名负责人，主持评审工作，负责人与其他成员有同等表决权。在评标分数统计结束后，</w:t>
      </w:r>
      <w:r>
        <w:rPr>
          <w:rFonts w:hint="eastAsia" w:hAnsi="宋体" w:cs="Arial"/>
          <w:sz w:val="24"/>
          <w:szCs w:val="24"/>
        </w:rPr>
        <w:t>如果有得分相同的投标方案，则评标委员会对得分相同的投标方案进行投票表决。</w:t>
      </w:r>
    </w:p>
    <w:p>
      <w:pPr>
        <w:spacing w:line="400" w:lineRule="exact"/>
        <w:rPr>
          <w:rFonts w:ascii="宋体" w:hAnsi="宋体"/>
          <w:b/>
          <w:bCs/>
          <w:sz w:val="24"/>
        </w:rPr>
      </w:pPr>
      <w:r>
        <w:rPr>
          <w:rFonts w:hint="eastAsia" w:ascii="宋体" w:hAnsi="宋体"/>
          <w:b/>
          <w:bCs/>
          <w:sz w:val="24"/>
        </w:rPr>
        <w:t>5.2    评标原则</w:t>
      </w:r>
    </w:p>
    <w:p>
      <w:pPr>
        <w:spacing w:line="400" w:lineRule="exact"/>
        <w:ind w:left="821" w:hanging="820" w:hangingChars="342"/>
        <w:rPr>
          <w:rFonts w:ascii="宋体" w:hAnsi="宋体"/>
          <w:sz w:val="24"/>
        </w:rPr>
      </w:pPr>
      <w:r>
        <w:rPr>
          <w:rFonts w:hint="eastAsia" w:ascii="宋体" w:hAnsi="宋体"/>
          <w:sz w:val="24"/>
        </w:rPr>
        <w:t>5.2.1  评标委员会根据招标文件规定的评标标准和方法，对投标文件进行评审和比较，招标文件中没有规定的标准和方法不得作为评标的依据。</w:t>
      </w:r>
    </w:p>
    <w:p>
      <w:pPr>
        <w:spacing w:line="400" w:lineRule="exact"/>
        <w:ind w:left="821" w:hanging="820" w:hangingChars="342"/>
        <w:rPr>
          <w:rFonts w:ascii="宋体" w:hAnsi="宋体"/>
          <w:sz w:val="24"/>
        </w:rPr>
      </w:pPr>
      <w:r>
        <w:rPr>
          <w:rFonts w:hint="eastAsia" w:ascii="宋体" w:hAnsi="宋体"/>
          <w:sz w:val="24"/>
        </w:rPr>
        <w:t>5.2.2  在符合招标文件规定的前提下，评标委员会主要对投标方案</w:t>
      </w:r>
      <w:r>
        <w:rPr>
          <w:rFonts w:ascii="宋体" w:hAnsi="宋体"/>
          <w:sz w:val="24"/>
        </w:rPr>
        <w:t>的</w:t>
      </w:r>
      <w:r>
        <w:rPr>
          <w:rFonts w:hint="eastAsia" w:ascii="宋体" w:hAnsi="宋体"/>
          <w:sz w:val="24"/>
        </w:rPr>
        <w:t>总体设计、可行性、</w:t>
      </w:r>
      <w:r>
        <w:rPr>
          <w:rFonts w:ascii="宋体" w:hAnsi="宋体"/>
          <w:sz w:val="24"/>
        </w:rPr>
        <w:t>经济性</w:t>
      </w:r>
      <w:r>
        <w:rPr>
          <w:rFonts w:hint="eastAsia" w:ascii="宋体" w:hAnsi="宋体"/>
          <w:sz w:val="24"/>
        </w:rPr>
        <w:t>、优越性、功能和造型、运行和维护费用、对环境的影响等进行比选、评价和裁定，确定方案的优劣和分值。</w:t>
      </w:r>
    </w:p>
    <w:p>
      <w:pPr>
        <w:spacing w:line="400" w:lineRule="exact"/>
        <w:ind w:left="821" w:hanging="820" w:hangingChars="342"/>
        <w:jc w:val="left"/>
        <w:rPr>
          <w:rFonts w:ascii="宋体" w:hAnsi="宋体"/>
          <w:sz w:val="24"/>
        </w:rPr>
      </w:pPr>
      <w:r>
        <w:rPr>
          <w:rFonts w:hint="eastAsia" w:ascii="宋体" w:hAnsi="宋体"/>
          <w:sz w:val="24"/>
        </w:rPr>
        <w:t>5.2.3  开标、评标过程发现的问题和产生的纠纷，由评标委员会负责裁决。裁决前，评标委员会应认真阅读招标文件的规定。除非符合废标条件，否则投标文件存在的其他缺陷和失误，由评标委员会在评估时综合考虑，不作废标处理。</w:t>
      </w:r>
    </w:p>
    <w:p>
      <w:pPr>
        <w:spacing w:line="400" w:lineRule="exact"/>
        <w:ind w:left="821" w:hanging="820" w:hangingChars="342"/>
        <w:rPr>
          <w:rFonts w:ascii="宋体" w:hAnsi="宋体"/>
          <w:sz w:val="24"/>
        </w:rPr>
      </w:pPr>
      <w:r>
        <w:rPr>
          <w:rFonts w:hint="eastAsia" w:ascii="宋体" w:hAnsi="宋体"/>
          <w:sz w:val="24"/>
        </w:rPr>
        <w:t xml:space="preserve">5.2.4  </w:t>
      </w:r>
      <w:r>
        <w:rPr>
          <w:rFonts w:hint="eastAsia" w:ascii="宋体" w:hAnsi="宋体"/>
          <w:bCs/>
          <w:sz w:val="24"/>
        </w:rPr>
        <w:t>评标讨论过程中，</w:t>
      </w:r>
      <w:r>
        <w:rPr>
          <w:rFonts w:hint="eastAsia" w:ascii="宋体" w:hAnsi="宋体"/>
          <w:sz w:val="24"/>
        </w:rPr>
        <w:t>评标委员会成员应当对投标文件发表专业、客观、公正的意见，意见不一致的应作进一步核实和讨论。评标委员会成员对任何一个投标文件的质疑，应当在讨论或现场讲解时提出，表决结果公布后才提出的质疑，不可作为改变表决结果的依据。</w:t>
      </w:r>
    </w:p>
    <w:p>
      <w:pPr>
        <w:spacing w:line="400" w:lineRule="exact"/>
        <w:ind w:left="821" w:hanging="820" w:hangingChars="342"/>
        <w:rPr>
          <w:rFonts w:ascii="宋体" w:hAnsi="宋体"/>
          <w:sz w:val="24"/>
        </w:rPr>
      </w:pPr>
      <w:r>
        <w:rPr>
          <w:rFonts w:hint="eastAsia" w:ascii="宋体" w:hAnsi="宋体"/>
          <w:sz w:val="24"/>
          <w:u w:val="single"/>
        </w:rPr>
        <w:t>5.2</w:t>
      </w:r>
      <w:r>
        <w:rPr>
          <w:rFonts w:ascii="宋体" w:hAnsi="宋体"/>
          <w:sz w:val="24"/>
          <w:u w:val="single"/>
        </w:rPr>
        <w:t>.</w:t>
      </w:r>
      <w:r>
        <w:rPr>
          <w:rFonts w:hint="eastAsia" w:ascii="宋体" w:hAnsi="宋体"/>
          <w:sz w:val="24"/>
          <w:u w:val="single"/>
        </w:rPr>
        <w:t>5  如果少数投标人超越招标文件要求提交了模型、演示动画、特殊规格展示图纸或发生其他特殊情况，评标委员会对超越招标文件要求的内容不进行评审，只评审该投标文件符合要求的内容。</w:t>
      </w:r>
    </w:p>
    <w:p>
      <w:pPr>
        <w:spacing w:line="400" w:lineRule="exact"/>
        <w:rPr>
          <w:rFonts w:ascii="宋体" w:hAnsi="宋体"/>
          <w:sz w:val="24"/>
        </w:rPr>
      </w:pPr>
    </w:p>
    <w:p>
      <w:pPr>
        <w:spacing w:line="400" w:lineRule="exact"/>
        <w:rPr>
          <w:rFonts w:ascii="宋体" w:hAnsi="宋体"/>
          <w:b/>
          <w:bCs/>
          <w:sz w:val="24"/>
        </w:rPr>
      </w:pPr>
      <w:r>
        <w:rPr>
          <w:rFonts w:hint="eastAsia" w:ascii="宋体" w:hAnsi="宋体"/>
          <w:b/>
          <w:bCs/>
          <w:sz w:val="24"/>
        </w:rPr>
        <w:t>5.3    评标办法 采用</w:t>
      </w:r>
      <w:r>
        <w:rPr>
          <w:rFonts w:hint="eastAsia" w:ascii="宋体" w:hAnsi="宋体" w:cs="宋体"/>
          <w:b/>
          <w:bCs/>
          <w:sz w:val="24"/>
          <w:u w:val="single"/>
        </w:rPr>
        <w:t>办法一</w:t>
      </w:r>
    </w:p>
    <w:p>
      <w:pPr>
        <w:spacing w:line="400" w:lineRule="exact"/>
        <w:rPr>
          <w:rFonts w:ascii="宋体" w:hAnsi="宋体"/>
          <w:b/>
          <w:bCs/>
          <w:sz w:val="24"/>
          <w:u w:val="single"/>
        </w:rPr>
      </w:pPr>
      <w:r>
        <w:rPr>
          <w:rFonts w:hint="eastAsia" w:ascii="宋体" w:hAnsi="宋体"/>
          <w:b/>
          <w:bCs/>
          <w:sz w:val="24"/>
          <w:u w:val="single"/>
        </w:rPr>
        <w:t>办法一   采用综合评分法评标</w:t>
      </w:r>
    </w:p>
    <w:p>
      <w:pPr>
        <w:spacing w:line="400" w:lineRule="exact"/>
        <w:ind w:left="821" w:hanging="820" w:hangingChars="342"/>
        <w:rPr>
          <w:rFonts w:ascii="宋体" w:hAnsi="宋体"/>
          <w:sz w:val="24"/>
          <w:u w:val="single"/>
        </w:rPr>
      </w:pPr>
      <w:r>
        <w:rPr>
          <w:rFonts w:hint="eastAsia" w:ascii="宋体" w:hAnsi="宋体"/>
          <w:sz w:val="24"/>
          <w:u w:val="single"/>
        </w:rPr>
        <w:t>5.3.1  开标评标程序</w:t>
      </w:r>
    </w:p>
    <w:p>
      <w:pPr>
        <w:spacing w:line="400" w:lineRule="exact"/>
        <w:ind w:left="821" w:hanging="820" w:hangingChars="342"/>
        <w:rPr>
          <w:rFonts w:ascii="宋体" w:hAnsi="宋体"/>
          <w:sz w:val="24"/>
          <w:u w:val="single"/>
        </w:rPr>
      </w:pPr>
      <w:r>
        <w:rPr>
          <w:rFonts w:hint="eastAsia" w:ascii="宋体" w:hAnsi="宋体"/>
          <w:sz w:val="24"/>
          <w:u w:val="single"/>
        </w:rPr>
        <w:t>5.3.1.1在投标截止时间后半小时内，投标人通过递交投标文件的交易平台对已递交的电子投标文件进行解密。投标人完成解密后，再由招标人进行解密。解密完成后，公布招标项目名称、投标人名称、开标文件、商务文件等。未在规定时间内解密的投标文件不参与开标、评标。</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.2.截标后，开标开始时间因故推迟的，相关评标信息仍以原定的开标开始时间的信息为准。</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.3备用光盘的读取按2.11.2的规定执行。</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4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5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pPr>
        <w:spacing w:line="400" w:lineRule="exact"/>
        <w:ind w:left="821" w:hanging="820" w:hangingChars="342"/>
        <w:rPr>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.6参加现场开标的投标人对开标结果有异议的，应当在开标现场提出，招标人应当当场作出答复，并制作记录。</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7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.8投标人未参加开标或在规定的时间内未提出异议的，视为对开标无异议。</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.9开标时，两个（含两个）以上的投标人加密打包投标文件电脑机器特征码一致的，由评标委员会确定其为废标。</w:t>
      </w:r>
    </w:p>
    <w:p>
      <w:pPr>
        <w:spacing w:line="400" w:lineRule="exact"/>
        <w:ind w:left="821" w:hanging="820" w:hangingChars="342"/>
        <w:rPr>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10技术文件（勘察设计方案）开标时不得开启，在评标时由广州公共资源交易中心电子评标系统自动生成技术文件暗标编码后开启，交由评标委员会进行评审。编码所对应的投标人在评标结束前不得告知评标委员会、交易平台工作人员、招标人或招标代理机构。</w:t>
      </w:r>
    </w:p>
    <w:p>
      <w:pPr>
        <w:spacing w:line="400" w:lineRule="exact"/>
        <w:ind w:left="821" w:hanging="820" w:hangingChars="342"/>
        <w:rPr>
          <w:rFonts w:ascii="宋体" w:hAnsi="宋体"/>
          <w:sz w:val="24"/>
          <w:u w:val="single"/>
        </w:rPr>
      </w:pPr>
      <w:r>
        <w:rPr>
          <w:rFonts w:hint="eastAsia" w:ascii="宋体" w:hAnsi="宋体"/>
          <w:sz w:val="24"/>
          <w:u w:val="single"/>
        </w:rPr>
        <w:t>5.3</w:t>
      </w:r>
      <w:r>
        <w:rPr>
          <w:rFonts w:ascii="宋体" w:hAnsi="宋体"/>
          <w:sz w:val="24"/>
          <w:u w:val="single"/>
        </w:rPr>
        <w:t>.1</w:t>
      </w:r>
      <w:r>
        <w:rPr>
          <w:rFonts w:hint="eastAsia" w:ascii="宋体" w:hAnsi="宋体"/>
          <w:sz w:val="24"/>
          <w:u w:val="single"/>
        </w:rPr>
        <w:t>.11开标时，出现下列情形之一的投标人，不参与下一程序，其投标文件作无效处理：</w:t>
      </w:r>
    </w:p>
    <w:p>
      <w:pPr>
        <w:spacing w:line="400" w:lineRule="exact"/>
        <w:ind w:left="821" w:hanging="820" w:hangingChars="342"/>
        <w:rPr>
          <w:rFonts w:ascii="宋体" w:hAnsi="宋体"/>
          <w:sz w:val="24"/>
          <w:u w:val="single"/>
        </w:rPr>
      </w:pPr>
      <w:r>
        <w:rPr>
          <w:rFonts w:hint="eastAsia" w:ascii="宋体" w:hAnsi="宋体"/>
          <w:sz w:val="24"/>
          <w:u w:val="single"/>
        </w:rPr>
        <w:t>（1）未成功递交或因投标人原因未成功导入投标文件的；</w:t>
      </w:r>
    </w:p>
    <w:p>
      <w:pPr>
        <w:spacing w:line="400" w:lineRule="exact"/>
        <w:ind w:left="821" w:hanging="820" w:hangingChars="342"/>
        <w:rPr>
          <w:u w:val="single"/>
        </w:rPr>
      </w:pPr>
      <w:r>
        <w:rPr>
          <w:rFonts w:hint="eastAsia" w:ascii="宋体" w:hAnsi="宋体"/>
          <w:sz w:val="24"/>
          <w:u w:val="single"/>
        </w:rPr>
        <w:t>（2）因投标人原因造成投标文件未解密的。</w:t>
      </w:r>
    </w:p>
    <w:p>
      <w:pPr>
        <w:spacing w:line="400" w:lineRule="exact"/>
        <w:ind w:left="821" w:hanging="820" w:hangingChars="342"/>
        <w:rPr>
          <w:u w:val="single"/>
        </w:rPr>
      </w:pPr>
      <w:r>
        <w:rPr>
          <w:rFonts w:hint="eastAsia" w:ascii="宋体" w:hAnsi="宋体"/>
          <w:sz w:val="24"/>
          <w:u w:val="single"/>
        </w:rPr>
        <w:t>5.3.2 技术文件（勘察设计方案）开标时不得开启，在评标时由广州公共资源交易中心电子评标系统自动生成技术文件的暗标编码后开启，交由评标委员会以暗标形式进行评审，不需要投标人派代表介绍投标方案。评审采用综合评分法。每个项目的权重分值详见“综合评分表”（格式见附录</w:t>
      </w:r>
      <w:r>
        <w:rPr>
          <w:rFonts w:ascii="宋体" w:hAnsi="宋体"/>
          <w:sz w:val="24"/>
          <w:u w:val="single"/>
        </w:rPr>
        <w:t>13</w:t>
      </w:r>
      <w:r>
        <w:rPr>
          <w:rFonts w:hint="eastAsia" w:ascii="宋体" w:hAnsi="宋体"/>
          <w:sz w:val="24"/>
          <w:u w:val="single"/>
        </w:rPr>
        <w:t>、</w:t>
      </w:r>
      <w:r>
        <w:rPr>
          <w:rFonts w:ascii="宋体" w:hAnsi="宋体"/>
          <w:sz w:val="24"/>
          <w:u w:val="single"/>
        </w:rPr>
        <w:t>15</w:t>
      </w:r>
      <w:r>
        <w:rPr>
          <w:rFonts w:hint="eastAsia" w:ascii="宋体" w:hAnsi="宋体"/>
          <w:sz w:val="24"/>
          <w:u w:val="single"/>
        </w:rPr>
        <w:t>）。评委必须严格按照“综合评分表”对投标文件进行评议、打分。</w:t>
      </w:r>
    </w:p>
    <w:p>
      <w:pPr>
        <w:snapToGrid w:val="0"/>
        <w:spacing w:line="360" w:lineRule="auto"/>
        <w:ind w:left="640" w:leftChars="248" w:hanging="120" w:hangingChars="50"/>
        <w:rPr>
          <w:sz w:val="24"/>
          <w:u w:val="single"/>
        </w:rPr>
      </w:pPr>
      <w:bookmarkStart w:id="9" w:name="_Toc36623011"/>
      <w:r>
        <w:rPr>
          <w:rFonts w:hint="eastAsia"/>
          <w:sz w:val="24"/>
          <w:u w:val="single"/>
        </w:rPr>
        <w:t xml:space="preserve">(a) </w:t>
      </w:r>
      <w:bookmarkEnd w:id="9"/>
      <w:r>
        <w:rPr>
          <w:rFonts w:hint="eastAsia"/>
          <w:sz w:val="24"/>
          <w:u w:val="single"/>
        </w:rPr>
        <w:t>评标委员会专家首先按附录</w:t>
      </w:r>
      <w:r>
        <w:rPr>
          <w:sz w:val="24"/>
          <w:u w:val="single"/>
        </w:rPr>
        <w:t>11</w:t>
      </w:r>
      <w:r>
        <w:rPr>
          <w:rFonts w:hint="eastAsia"/>
          <w:sz w:val="24"/>
          <w:u w:val="single"/>
        </w:rPr>
        <w:t>《资格审查表》对各投标文件进行评审，只有通过资格审查的投标文件方可进入下一阶段的评审。如果有废标提议，则评标委员会成员共同表决，按照少数服从多数的原则决定是否废标。</w:t>
      </w:r>
    </w:p>
    <w:p>
      <w:pPr>
        <w:snapToGrid w:val="0"/>
        <w:spacing w:line="360" w:lineRule="auto"/>
        <w:ind w:left="640" w:leftChars="248" w:hanging="120" w:hangingChars="50"/>
        <w:rPr>
          <w:sz w:val="24"/>
          <w:u w:val="single"/>
        </w:rPr>
      </w:pPr>
      <w:r>
        <w:rPr>
          <w:rFonts w:hint="eastAsia"/>
          <w:sz w:val="24"/>
          <w:u w:val="single"/>
        </w:rPr>
        <w:t>(b) 评标委员会专家首先按附录1</w:t>
      </w:r>
      <w:r>
        <w:rPr>
          <w:sz w:val="24"/>
          <w:u w:val="single"/>
        </w:rPr>
        <w:t>2</w:t>
      </w:r>
      <w:r>
        <w:rPr>
          <w:rFonts w:hint="eastAsia"/>
          <w:sz w:val="24"/>
          <w:u w:val="single"/>
        </w:rPr>
        <w:t>《商务文件有效性审查表》对各投标文件进行评审，只有通过商务有效性审查的投标文件方可进入下一阶段的评审。如果有废标提议，则评标委员会成员共同表决，按照少数服从多数的原则决定是否废标。</w:t>
      </w:r>
    </w:p>
    <w:p>
      <w:pPr>
        <w:snapToGrid w:val="0"/>
        <w:spacing w:line="360" w:lineRule="auto"/>
        <w:ind w:left="640" w:leftChars="248" w:hanging="120" w:hangingChars="50"/>
        <w:rPr>
          <w:sz w:val="24"/>
          <w:u w:val="single"/>
        </w:rPr>
      </w:pPr>
      <w:r>
        <w:rPr>
          <w:rFonts w:hint="eastAsia"/>
          <w:sz w:val="24"/>
          <w:u w:val="single"/>
        </w:rPr>
        <w:t>(c) 评标委员会专家按附录1</w:t>
      </w:r>
      <w:r>
        <w:rPr>
          <w:sz w:val="24"/>
          <w:u w:val="single"/>
        </w:rPr>
        <w:t>3</w:t>
      </w:r>
      <w:r>
        <w:rPr>
          <w:rFonts w:hint="eastAsia"/>
          <w:sz w:val="24"/>
          <w:u w:val="single"/>
        </w:rPr>
        <w:t>《商务文件综合评分表》对各投标单位的商务文件进行综合评分。</w:t>
      </w:r>
    </w:p>
    <w:p>
      <w:pPr>
        <w:snapToGrid w:val="0"/>
        <w:spacing w:line="360" w:lineRule="auto"/>
        <w:ind w:left="640" w:leftChars="248" w:hanging="120" w:hangingChars="50"/>
        <w:rPr>
          <w:sz w:val="24"/>
          <w:u w:val="single"/>
        </w:rPr>
      </w:pPr>
      <w:r>
        <w:rPr>
          <w:rFonts w:hint="eastAsia"/>
          <w:sz w:val="24"/>
          <w:u w:val="single"/>
        </w:rPr>
        <w:t>(d) 评标委员会专家按附录1</w:t>
      </w:r>
      <w:r>
        <w:rPr>
          <w:sz w:val="24"/>
          <w:u w:val="single"/>
        </w:rPr>
        <w:t>4</w:t>
      </w:r>
      <w:r>
        <w:rPr>
          <w:rFonts w:hint="eastAsia"/>
          <w:sz w:val="24"/>
          <w:u w:val="single"/>
        </w:rPr>
        <w:t>《技术文件有效性审查表》对各投标文件进行评审，只有通过技术有效性审查的投标文件方可进入下一阶段的评审。如果有废标提议，则评标委员会成员共同表决，按照少数服从多数的原则决定是否废标。</w:t>
      </w:r>
    </w:p>
    <w:p>
      <w:pPr>
        <w:snapToGrid w:val="0"/>
        <w:spacing w:line="360" w:lineRule="auto"/>
        <w:ind w:left="640" w:leftChars="248" w:hanging="120" w:hangingChars="50"/>
        <w:rPr>
          <w:sz w:val="24"/>
          <w:u w:val="single"/>
        </w:rPr>
      </w:pPr>
      <w:r>
        <w:rPr>
          <w:rFonts w:hint="eastAsia"/>
          <w:sz w:val="24"/>
          <w:u w:val="single"/>
        </w:rPr>
        <w:t>(e) 评标委员会专家按附录1</w:t>
      </w:r>
      <w:r>
        <w:rPr>
          <w:sz w:val="24"/>
          <w:u w:val="single"/>
        </w:rPr>
        <w:t>5</w:t>
      </w:r>
      <w:r>
        <w:rPr>
          <w:rFonts w:hint="eastAsia"/>
          <w:sz w:val="24"/>
          <w:u w:val="single"/>
        </w:rPr>
        <w:t>《技术文件综合评分表》对各投标单位的技术文件（勘察设计方案）进行综合评分。</w:t>
      </w:r>
    </w:p>
    <w:p>
      <w:pPr>
        <w:snapToGrid w:val="0"/>
        <w:spacing w:line="360" w:lineRule="auto"/>
        <w:ind w:left="640" w:leftChars="248" w:hanging="120" w:hangingChars="50"/>
        <w:rPr>
          <w:sz w:val="24"/>
          <w:u w:val="single"/>
        </w:rPr>
      </w:pPr>
      <w:r>
        <w:rPr>
          <w:rFonts w:hint="eastAsia"/>
          <w:sz w:val="24"/>
          <w:u w:val="single"/>
        </w:rPr>
        <w:t>(f) 评标委员会专家评出各投标人商务和技术文件的分数，去掉一个最高分和一个最低分后计取算术平均分，得出每个投标人商务和技术文件的得分，分数出现小数点，保留小数点后二位，第三位小数四舍五入。</w:t>
      </w:r>
    </w:p>
    <w:p>
      <w:pPr>
        <w:snapToGrid w:val="0"/>
        <w:spacing w:line="360" w:lineRule="auto"/>
        <w:ind w:left="640" w:leftChars="248" w:hanging="120" w:hangingChars="50"/>
        <w:rPr>
          <w:sz w:val="24"/>
          <w:u w:val="single"/>
        </w:rPr>
      </w:pPr>
      <w:r>
        <w:rPr>
          <w:rFonts w:hint="eastAsia"/>
          <w:sz w:val="24"/>
          <w:u w:val="single"/>
        </w:rPr>
        <w:t>(g) 广州公共资源交易中心电子评标系统自动揭晓技术文件的暗标编码，列出各编码技术文件所对应的投标人。</w:t>
      </w:r>
    </w:p>
    <w:p>
      <w:pPr>
        <w:snapToGrid w:val="0"/>
        <w:spacing w:line="360" w:lineRule="auto"/>
        <w:ind w:left="640" w:leftChars="248" w:hanging="120" w:hangingChars="50"/>
        <w:rPr>
          <w:sz w:val="24"/>
          <w:u w:val="single"/>
        </w:rPr>
      </w:pPr>
      <w:r>
        <w:rPr>
          <w:rFonts w:hint="eastAsia"/>
          <w:sz w:val="24"/>
          <w:u w:val="single"/>
        </w:rPr>
        <w:t>(h) 计算各投标人的综合得分，投标人的综合得分（满分100分）＝商务文件得分×30％+技术文件得分×70％，然后按照综合得分由高至低进行排</w:t>
      </w:r>
      <w:r>
        <w:rPr>
          <w:rFonts w:hint="eastAsia"/>
          <w:color w:val="000000" w:themeColor="text1"/>
          <w:sz w:val="24"/>
          <w:u w:val="single"/>
          <w14:textFill>
            <w14:solidFill>
              <w14:schemeClr w14:val="tx1"/>
            </w14:solidFill>
          </w14:textFill>
        </w:rPr>
        <w:t>序。综合得分相同的，则以技术文件得分较高的排前；若技术文件得分仍相同的，以投标报价较低的排前；如仍存在相同情况，则对具有相同情况的投标人，</w:t>
      </w:r>
      <w:r>
        <w:rPr>
          <w:rFonts w:hint="eastAsia"/>
          <w:sz w:val="24"/>
          <w:u w:val="single"/>
        </w:rPr>
        <w:t>由评标委员会采用记名投票方式，确定投标人最终名次的排序。</w:t>
      </w:r>
    </w:p>
    <w:p>
      <w:pPr>
        <w:snapToGrid w:val="0"/>
        <w:spacing w:line="360" w:lineRule="auto"/>
        <w:ind w:left="640" w:leftChars="248" w:hanging="120" w:hangingChars="50"/>
        <w:rPr>
          <w:sz w:val="24"/>
          <w:u w:val="single"/>
        </w:rPr>
      </w:pPr>
      <w:r>
        <w:rPr>
          <w:rFonts w:hint="eastAsia"/>
          <w:sz w:val="24"/>
          <w:u w:val="single"/>
        </w:rPr>
        <w:t>(i) 评标委员会编写、签署评标报告，向招标人推荐综合得分最高的前三名中标候选方案（中标候选人）并标明排列顺序，评标报告由评标委员会全体成员签名，对评标结论持有异议的评标委员会成员可以书面方式阐述其不同意见和理由。</w:t>
      </w:r>
    </w:p>
    <w:p>
      <w:pPr>
        <w:snapToGrid w:val="0"/>
        <w:spacing w:line="360" w:lineRule="auto"/>
        <w:ind w:left="640" w:leftChars="248" w:hanging="120" w:hangingChars="50"/>
        <w:rPr>
          <w:sz w:val="24"/>
          <w:u w:val="single"/>
        </w:rPr>
      </w:pPr>
      <w:r>
        <w:rPr>
          <w:rFonts w:hint="eastAsia"/>
          <w:sz w:val="24"/>
          <w:u w:val="single"/>
        </w:rPr>
        <w:t>(j) 评标委员会向招标人提交评标报告后即告解散，评标过程中使用的文件、表格以及其他资料应当即时归还招标人（或招标代理机构）。</w:t>
      </w:r>
    </w:p>
    <w:p>
      <w:pPr>
        <w:pStyle w:val="34"/>
      </w:pPr>
    </w:p>
    <w:p>
      <w:pPr>
        <w:spacing w:line="400" w:lineRule="exact"/>
        <w:rPr>
          <w:rFonts w:ascii="宋体" w:hAnsi="宋体"/>
          <w:b/>
          <w:bCs/>
          <w:dstrike/>
          <w:sz w:val="24"/>
        </w:rPr>
      </w:pPr>
      <w:r>
        <w:rPr>
          <w:rFonts w:hint="eastAsia" w:ascii="宋体" w:hAnsi="宋体"/>
          <w:b/>
          <w:bCs/>
          <w:dstrike/>
          <w:sz w:val="24"/>
        </w:rPr>
        <w:t>办法二   采用投票法评标</w:t>
      </w:r>
    </w:p>
    <w:p>
      <w:pPr>
        <w:spacing w:line="400" w:lineRule="exact"/>
        <w:ind w:left="840" w:hanging="840" w:hangingChars="350"/>
        <w:rPr>
          <w:rFonts w:ascii="宋体" w:hAnsi="宋体"/>
          <w:dstrike/>
          <w:sz w:val="24"/>
        </w:rPr>
      </w:pPr>
      <w:r>
        <w:rPr>
          <w:rFonts w:hint="eastAsia" w:ascii="宋体" w:hAnsi="宋体"/>
          <w:dstrike/>
          <w:sz w:val="24"/>
        </w:rPr>
        <w:t>5.3.1  开标评标程序</w:t>
      </w:r>
    </w:p>
    <w:p>
      <w:pPr>
        <w:snapToGrid w:val="0"/>
        <w:spacing w:line="360" w:lineRule="auto"/>
        <w:ind w:firstLine="523" w:firstLineChars="218"/>
        <w:rPr>
          <w:dstrike/>
          <w:sz w:val="24"/>
        </w:rPr>
      </w:pPr>
      <w:r>
        <w:rPr>
          <w:rFonts w:hint="eastAsia"/>
          <w:dstrike/>
          <w:sz w:val="24"/>
        </w:rPr>
        <w:t>（1）投标人递交投标文件。</w:t>
      </w:r>
    </w:p>
    <w:p>
      <w:pPr>
        <w:snapToGrid w:val="0"/>
        <w:spacing w:line="360" w:lineRule="auto"/>
        <w:ind w:firstLine="523" w:firstLineChars="218"/>
        <w:rPr>
          <w:dstrike/>
          <w:sz w:val="24"/>
        </w:rPr>
      </w:pPr>
      <w:r>
        <w:rPr>
          <w:rFonts w:hint="eastAsia"/>
          <w:dstrike/>
          <w:sz w:val="24"/>
        </w:rPr>
        <w:t>（2）对商务文件公开开标（技术文件不予开封）。</w:t>
      </w:r>
    </w:p>
    <w:p>
      <w:pPr>
        <w:snapToGrid w:val="0"/>
        <w:spacing w:line="360" w:lineRule="auto"/>
        <w:ind w:firstLine="523" w:firstLineChars="218"/>
        <w:rPr>
          <w:dstrike/>
          <w:sz w:val="24"/>
        </w:rPr>
      </w:pPr>
      <w:r>
        <w:rPr>
          <w:rFonts w:hint="eastAsia"/>
          <w:dstrike/>
          <w:sz w:val="24"/>
        </w:rPr>
        <w:t>（3）对投标人进行资格审查，编写资格审查报告。</w:t>
      </w:r>
    </w:p>
    <w:p>
      <w:pPr>
        <w:snapToGrid w:val="0"/>
        <w:spacing w:line="360" w:lineRule="auto"/>
        <w:ind w:firstLine="523" w:firstLineChars="218"/>
        <w:rPr>
          <w:dstrike/>
          <w:sz w:val="24"/>
        </w:rPr>
      </w:pPr>
      <w:r>
        <w:rPr>
          <w:rFonts w:hint="eastAsia"/>
          <w:dstrike/>
          <w:sz w:val="24"/>
        </w:rPr>
        <w:t>（4）对商务文件进行有效性审查。</w:t>
      </w:r>
    </w:p>
    <w:p>
      <w:pPr>
        <w:snapToGrid w:val="0"/>
        <w:spacing w:line="360" w:lineRule="auto"/>
        <w:ind w:left="640" w:leftChars="248" w:hanging="120" w:hangingChars="50"/>
        <w:rPr>
          <w:dstrike/>
          <w:sz w:val="24"/>
        </w:rPr>
      </w:pPr>
      <w:r>
        <w:rPr>
          <w:rFonts w:hint="eastAsia"/>
          <w:dstrike/>
          <w:sz w:val="24"/>
        </w:rPr>
        <w:t>（5）对技术文件编号，之后先进行有效性审查，然后对通过有效性审查的技术文件进行综合评估。</w:t>
      </w:r>
    </w:p>
    <w:p>
      <w:pPr>
        <w:snapToGrid w:val="0"/>
        <w:spacing w:line="360" w:lineRule="auto"/>
        <w:ind w:firstLine="523" w:firstLineChars="218"/>
        <w:rPr>
          <w:dstrike/>
          <w:sz w:val="24"/>
        </w:rPr>
      </w:pPr>
      <w:r>
        <w:rPr>
          <w:rFonts w:hint="eastAsia"/>
          <w:dstrike/>
          <w:sz w:val="24"/>
        </w:rPr>
        <w:t>（6）</w:t>
      </w:r>
      <w:r>
        <w:rPr>
          <w:rFonts w:hint="eastAsia" w:ascii="宋体" w:hAnsi="宋体"/>
          <w:dstrike/>
          <w:sz w:val="24"/>
        </w:rPr>
        <w:t>以投票方式确定技术文件（设计方案）的排序。</w:t>
      </w:r>
    </w:p>
    <w:p>
      <w:pPr>
        <w:snapToGrid w:val="0"/>
        <w:spacing w:line="360" w:lineRule="auto"/>
        <w:ind w:firstLine="523" w:firstLineChars="218"/>
        <w:rPr>
          <w:dstrike/>
          <w:sz w:val="24"/>
        </w:rPr>
      </w:pPr>
      <w:r>
        <w:rPr>
          <w:rFonts w:hint="eastAsia"/>
          <w:dstrike/>
          <w:sz w:val="24"/>
        </w:rPr>
        <w:t>（7）揭晓技术文件评审结果。</w:t>
      </w:r>
    </w:p>
    <w:p>
      <w:pPr>
        <w:spacing w:line="400" w:lineRule="exact"/>
        <w:ind w:firstLine="480" w:firstLineChars="200"/>
        <w:rPr>
          <w:rFonts w:ascii="宋体" w:hAnsi="宋体"/>
          <w:b/>
          <w:bCs/>
          <w:dstrike/>
          <w:sz w:val="24"/>
        </w:rPr>
      </w:pPr>
      <w:r>
        <w:rPr>
          <w:rFonts w:hint="eastAsia"/>
          <w:dstrike/>
          <w:sz w:val="24"/>
        </w:rPr>
        <w:t>（8）推荐中标候选人并编写评审报告。</w:t>
      </w:r>
    </w:p>
    <w:p>
      <w:pPr>
        <w:spacing w:line="400" w:lineRule="exact"/>
        <w:ind w:left="840" w:hanging="840" w:hangingChars="350"/>
        <w:rPr>
          <w:rFonts w:ascii="宋体" w:hAnsi="宋体"/>
          <w:dstrike/>
          <w:sz w:val="24"/>
        </w:rPr>
      </w:pPr>
      <w:r>
        <w:rPr>
          <w:rFonts w:hint="eastAsia" w:ascii="宋体" w:hAnsi="宋体"/>
          <w:dstrike/>
          <w:sz w:val="24"/>
        </w:rPr>
        <w:t>5.3.2  招标人（或招标代理机构）在不透露投标人身份的前提下将技术文件交给评标委员会，不需要投标人派代表介绍投标方案。</w:t>
      </w:r>
    </w:p>
    <w:p>
      <w:pPr>
        <w:spacing w:line="400" w:lineRule="exact"/>
        <w:ind w:left="839" w:leftChars="171" w:hanging="480" w:hangingChars="200"/>
        <w:jc w:val="left"/>
        <w:rPr>
          <w:rFonts w:ascii="宋体" w:hAnsi="宋体"/>
          <w:dstrike/>
          <w:sz w:val="24"/>
        </w:rPr>
      </w:pPr>
    </w:p>
    <w:p>
      <w:pPr>
        <w:spacing w:line="400" w:lineRule="exact"/>
        <w:ind w:left="837" w:leftChars="170" w:hanging="480" w:hangingChars="200"/>
        <w:rPr>
          <w:rFonts w:ascii="宋体" w:hAnsi="宋体"/>
          <w:dstrike/>
          <w:sz w:val="24"/>
        </w:rPr>
      </w:pPr>
      <w:r>
        <w:rPr>
          <w:rFonts w:hint="eastAsia" w:ascii="宋体" w:hAnsi="宋体"/>
          <w:dstrike/>
          <w:sz w:val="24"/>
        </w:rPr>
        <w:t>(a) 评标委员会专家首先按附录12《资格审查表》对各投标文件进行评审，只有通过资格审查的投标文件方可进入下一阶段的评审。如果有废标提议，则评标委员会成员共同表决，按照少数服从多数的原则决定是否废标。</w:t>
      </w:r>
    </w:p>
    <w:p>
      <w:pPr>
        <w:spacing w:line="400" w:lineRule="exact"/>
        <w:ind w:left="837" w:leftChars="170" w:hanging="480" w:hangingChars="200"/>
        <w:rPr>
          <w:rFonts w:ascii="宋体" w:hAnsi="宋体"/>
          <w:dstrike/>
          <w:sz w:val="24"/>
        </w:rPr>
      </w:pPr>
      <w:r>
        <w:rPr>
          <w:rFonts w:hint="eastAsia" w:ascii="宋体" w:hAnsi="宋体"/>
          <w:dstrike/>
          <w:sz w:val="24"/>
        </w:rPr>
        <w:t>(b) 评标委员会专家首先按附录13《商务文件有效性审查表》对各投标文件进行评审，只有通过商务有效性审查的投标文件方可进入下一阶段的评审。如果有废标提议，则评标委员会成员共同表决，按照少数服从多数的原则决定是否废标。</w:t>
      </w:r>
    </w:p>
    <w:p>
      <w:pPr>
        <w:spacing w:line="400" w:lineRule="exact"/>
        <w:ind w:left="837" w:leftChars="170" w:hanging="480" w:hangingChars="200"/>
        <w:rPr>
          <w:rFonts w:ascii="宋体" w:hAnsi="宋体"/>
          <w:dstrike/>
          <w:sz w:val="24"/>
        </w:rPr>
      </w:pPr>
      <w:r>
        <w:rPr>
          <w:rFonts w:hint="eastAsia" w:ascii="宋体" w:hAnsi="宋体"/>
          <w:dstrike/>
          <w:sz w:val="24"/>
        </w:rPr>
        <w:t>(c) 评标委员会专家按附录15《技术文件有效性审查表》对各投标文件进行评审，只有通过技术有效性审查的投标文件方可进入下一阶段的评审。如果有废标提议，则评标委员会成员共同表决，按照少数服从多数的原则决定是否废标。</w:t>
      </w:r>
    </w:p>
    <w:p>
      <w:pPr>
        <w:spacing w:line="400" w:lineRule="exact"/>
        <w:ind w:left="837" w:leftChars="170" w:hanging="480" w:hangingChars="200"/>
        <w:rPr>
          <w:rFonts w:ascii="宋体" w:hAnsi="宋体"/>
          <w:dstrike/>
          <w:sz w:val="24"/>
        </w:rPr>
      </w:pPr>
      <w:r>
        <w:rPr>
          <w:rFonts w:hint="eastAsia" w:ascii="宋体" w:hAnsi="宋体"/>
          <w:dstrike/>
          <w:sz w:val="24"/>
        </w:rPr>
        <w:t>(d) 评标委员会专家对各投标单位的技术文件（设计方案）进行综合评审。评审之后，以差额选举逐轮淘汰的记名投票方式选出投标方案的排序。(评标表格详见附录17、附录18、附录19)</w:t>
      </w:r>
    </w:p>
    <w:p>
      <w:pPr>
        <w:spacing w:line="400" w:lineRule="exact"/>
        <w:ind w:left="837" w:leftChars="170" w:hanging="480" w:hangingChars="200"/>
        <w:rPr>
          <w:rFonts w:ascii="宋体" w:hAnsi="宋体"/>
          <w:dstrike/>
          <w:sz w:val="24"/>
        </w:rPr>
      </w:pPr>
      <w:r>
        <w:rPr>
          <w:rFonts w:hint="eastAsia" w:ascii="宋体" w:hAnsi="宋体"/>
          <w:dstrike/>
          <w:sz w:val="24"/>
        </w:rPr>
        <w:t>(e) 招标人（或招标代理机构）和交易中心工作人员开启保密信封，找出各编号技术文件所对应的投标人。</w:t>
      </w:r>
    </w:p>
    <w:p>
      <w:pPr>
        <w:spacing w:line="400" w:lineRule="exact"/>
        <w:ind w:left="717" w:leftChars="170" w:hanging="360" w:hangingChars="150"/>
        <w:rPr>
          <w:rFonts w:ascii="宋体" w:hAnsi="宋体"/>
          <w:dstrike/>
          <w:sz w:val="24"/>
        </w:rPr>
      </w:pPr>
      <w:r>
        <w:rPr>
          <w:rFonts w:hint="eastAsia" w:ascii="宋体" w:hAnsi="宋体"/>
          <w:dstrike/>
          <w:sz w:val="24"/>
        </w:rPr>
        <w:t>(f) 评标委员会编写、签署评标报告，向招标人推荐一至三个中标候选方案（中标候选人）并标明排列顺序，评标报告由评标委员会全体成员签名，对评标结论持有异议的评标委员会成员可以书面方式阐述其不同意见和理由。</w:t>
      </w:r>
    </w:p>
    <w:p>
      <w:pPr>
        <w:spacing w:line="400" w:lineRule="exact"/>
        <w:ind w:left="717" w:leftChars="170" w:hanging="360" w:hangingChars="150"/>
        <w:rPr>
          <w:rFonts w:ascii="宋体" w:hAnsi="宋体"/>
          <w:dstrike/>
          <w:sz w:val="24"/>
        </w:rPr>
      </w:pPr>
      <w:r>
        <w:rPr>
          <w:rFonts w:hint="eastAsia" w:ascii="宋体" w:hAnsi="宋体"/>
          <w:dstrike/>
          <w:sz w:val="24"/>
        </w:rPr>
        <w:t>(g) 招标人（或招标代理机构）提前将揭晓评标结果的会议时间和地点通知所有投标人，并邀请投标人出席。公开展示所有投标文件及其评审名次，</w:t>
      </w:r>
      <w:r>
        <w:rPr>
          <w:rFonts w:ascii="宋体" w:hAnsi="宋体"/>
          <w:dstrike/>
          <w:sz w:val="24"/>
        </w:rPr>
        <w:t>并根据请求告知已投标但未出席</w:t>
      </w:r>
      <w:r>
        <w:rPr>
          <w:rFonts w:hint="eastAsia" w:ascii="宋体" w:hAnsi="宋体"/>
          <w:dstrike/>
          <w:sz w:val="24"/>
        </w:rPr>
        <w:t>会议</w:t>
      </w:r>
      <w:r>
        <w:rPr>
          <w:rFonts w:ascii="宋体" w:hAnsi="宋体"/>
          <w:dstrike/>
          <w:sz w:val="24"/>
        </w:rPr>
        <w:t>的</w:t>
      </w:r>
      <w:r>
        <w:rPr>
          <w:rFonts w:hint="eastAsia" w:ascii="宋体" w:hAnsi="宋体"/>
          <w:dstrike/>
          <w:sz w:val="24"/>
        </w:rPr>
        <w:t>投标人。</w:t>
      </w:r>
    </w:p>
    <w:p>
      <w:pPr>
        <w:spacing w:line="400" w:lineRule="exact"/>
        <w:ind w:left="839" w:leftChars="171" w:hanging="480" w:hangingChars="200"/>
        <w:jc w:val="left"/>
        <w:rPr>
          <w:rFonts w:ascii="宋体" w:hAnsi="宋体"/>
          <w:dstrike/>
          <w:sz w:val="24"/>
        </w:rPr>
      </w:pPr>
      <w:r>
        <w:rPr>
          <w:rFonts w:hint="eastAsia" w:ascii="宋体" w:hAnsi="宋体"/>
          <w:dstrike/>
          <w:sz w:val="24"/>
        </w:rPr>
        <w:t>(h ) 评标委员会向招标人提交书面评标报告后即告解散，评标过程中使用的文件、表格以及其他资料应当即时归还招标人（或招标代理机构）。</w:t>
      </w:r>
    </w:p>
    <w:p>
      <w:pPr>
        <w:pStyle w:val="34"/>
      </w:pPr>
    </w:p>
    <w:p>
      <w:pPr>
        <w:spacing w:line="400" w:lineRule="exact"/>
        <w:jc w:val="left"/>
        <w:rPr>
          <w:rFonts w:ascii="宋体" w:hAnsi="宋体"/>
          <w:b/>
          <w:sz w:val="24"/>
        </w:rPr>
      </w:pPr>
      <w:r>
        <w:rPr>
          <w:rFonts w:hint="eastAsia" w:ascii="宋体" w:hAnsi="宋体"/>
          <w:b/>
          <w:sz w:val="24"/>
        </w:rPr>
        <w:t>5.4   定标</w:t>
      </w:r>
    </w:p>
    <w:p>
      <w:pPr>
        <w:spacing w:line="400" w:lineRule="exact"/>
        <w:ind w:left="821" w:hanging="820" w:hangingChars="342"/>
        <w:jc w:val="left"/>
        <w:rPr>
          <w:rFonts w:ascii="宋体" w:hAnsi="宋体"/>
          <w:sz w:val="24"/>
        </w:rPr>
      </w:pPr>
      <w:r>
        <w:rPr>
          <w:rFonts w:hint="eastAsia" w:ascii="宋体" w:hAnsi="宋体"/>
          <w:sz w:val="24"/>
        </w:rPr>
        <w:t xml:space="preserve">5.4.1  </w:t>
      </w:r>
      <w:r>
        <w:rPr>
          <w:rFonts w:hint="eastAsia"/>
          <w:sz w:val="24"/>
        </w:rPr>
        <w:t>招标人在评标委员会推荐的候选方案中确定中标方案。但是，招标人认为评标委员会推荐的候选方案不能最大限度满足招标文件规定的要求的，依法重新招标。</w:t>
      </w:r>
    </w:p>
    <w:p>
      <w:pPr>
        <w:spacing w:line="400" w:lineRule="exact"/>
        <w:ind w:left="821" w:hanging="820" w:hangingChars="342"/>
        <w:jc w:val="left"/>
        <w:rPr>
          <w:rFonts w:ascii="宋体" w:hAnsi="宋体"/>
          <w:sz w:val="24"/>
        </w:rPr>
      </w:pPr>
      <w:r>
        <w:rPr>
          <w:rFonts w:hint="eastAsia" w:ascii="宋体" w:hAnsi="宋体"/>
          <w:sz w:val="24"/>
        </w:rPr>
        <w:t xml:space="preserve">5.4.2  </w:t>
      </w:r>
      <w:r>
        <w:rPr>
          <w:rFonts w:hint="eastAsia"/>
          <w:sz w:val="24"/>
        </w:rPr>
        <w:t>招标人采用下面方法确定中标人：</w:t>
      </w:r>
    </w:p>
    <w:p>
      <w:pPr>
        <w:spacing w:line="400" w:lineRule="exact"/>
        <w:ind w:left="821" w:hanging="820" w:hangingChars="342"/>
        <w:jc w:val="left"/>
        <w:rPr>
          <w:rFonts w:ascii="宋体" w:hAnsi="宋体"/>
          <w:sz w:val="24"/>
        </w:rPr>
      </w:pPr>
      <w:r>
        <w:rPr>
          <w:rFonts w:hint="eastAsia" w:ascii="宋体" w:hAnsi="宋体"/>
          <w:sz w:val="24"/>
        </w:rPr>
        <w:t>□（a）招标人委托评标委员会直接确定中标人；</w:t>
      </w:r>
    </w:p>
    <w:p>
      <w:pPr>
        <w:spacing w:line="400" w:lineRule="exact"/>
        <w:ind w:left="821" w:hanging="820" w:hangingChars="342"/>
        <w:jc w:val="left"/>
        <w:rPr>
          <w:rFonts w:ascii="宋体" w:hAnsi="宋体"/>
          <w:sz w:val="24"/>
        </w:rPr>
      </w:pPr>
      <w:r>
        <w:rPr>
          <w:rFonts w:hint="eastAsia" w:ascii="宋体" w:hAnsi="宋体" w:cs="宋体"/>
          <w:sz w:val="24"/>
        </w:rPr>
        <w:t>■</w:t>
      </w:r>
      <w:r>
        <w:rPr>
          <w:rFonts w:hint="eastAsia" w:ascii="宋体" w:hAnsi="宋体"/>
          <w:sz w:val="24"/>
        </w:rPr>
        <w:t>（b）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确定排名第二的中标候选人为中标人。如排名第二的中标候选人也发生上述问题，则确定排名第三的中标候选人为中标人。</w:t>
      </w:r>
    </w:p>
    <w:p>
      <w:pPr>
        <w:spacing w:line="400" w:lineRule="exact"/>
        <w:ind w:left="821" w:hanging="820" w:hangingChars="342"/>
        <w:jc w:val="left"/>
        <w:rPr>
          <w:rFonts w:ascii="宋体" w:hAnsi="宋体"/>
          <w:sz w:val="24"/>
        </w:rPr>
      </w:pPr>
      <w:r>
        <w:rPr>
          <w:rFonts w:hint="eastAsia" w:ascii="宋体" w:hAnsi="宋体"/>
          <w:sz w:val="24"/>
        </w:rPr>
        <w:t xml:space="preserve">5.4.3  </w:t>
      </w:r>
      <w:r>
        <w:rPr>
          <w:rFonts w:hint="eastAsia" w:ascii="宋体" w:hAnsi="宋体"/>
          <w:sz w:val="24"/>
          <w:u w:val="single"/>
        </w:rPr>
        <w:t>在产生中标候选人后，招标人将中标候选人的投标文件商务部分（包括人员、业绩、奖项等资料）在广州公共资源交易中心平台和广东省招标投标监管网公开。</w:t>
      </w:r>
    </w:p>
    <w:p>
      <w:pPr>
        <w:spacing w:line="400" w:lineRule="exact"/>
        <w:rPr>
          <w:rFonts w:ascii="宋体" w:hAnsi="宋体"/>
          <w:sz w:val="24"/>
        </w:rPr>
      </w:pPr>
    </w:p>
    <w:p>
      <w:pPr>
        <w:spacing w:line="400" w:lineRule="exact"/>
        <w:rPr>
          <w:rFonts w:ascii="宋体" w:hAnsi="宋体"/>
          <w:b/>
          <w:sz w:val="24"/>
        </w:rPr>
      </w:pPr>
      <w:r>
        <w:rPr>
          <w:rFonts w:hint="eastAsia" w:ascii="宋体" w:hAnsi="宋体"/>
          <w:b/>
          <w:sz w:val="24"/>
        </w:rPr>
        <w:t>5.5  发生下列情形之一的，招标人将重新组织招标：</w:t>
      </w:r>
    </w:p>
    <w:p>
      <w:pPr>
        <w:spacing w:line="400" w:lineRule="exact"/>
        <w:rPr>
          <w:rFonts w:ascii="宋体" w:hAnsi="宋体"/>
          <w:sz w:val="24"/>
        </w:rPr>
      </w:pPr>
      <w:r>
        <w:rPr>
          <w:rFonts w:hint="eastAsia" w:ascii="宋体" w:hAnsi="宋体"/>
          <w:sz w:val="24"/>
        </w:rPr>
        <w:t xml:space="preserve">     (a) 递交投标文件或通过资格审查的投标人不足</w:t>
      </w:r>
      <w:r>
        <w:rPr>
          <w:rFonts w:hint="eastAsia" w:ascii="宋体" w:hAnsi="宋体"/>
          <w:sz w:val="24"/>
          <w:u w:val="single"/>
        </w:rPr>
        <w:t>三</w:t>
      </w:r>
      <w:r>
        <w:rPr>
          <w:rFonts w:hint="eastAsia" w:ascii="宋体" w:hAnsi="宋体"/>
          <w:sz w:val="24"/>
        </w:rPr>
        <w:t>人；</w:t>
      </w:r>
    </w:p>
    <w:p>
      <w:pPr>
        <w:spacing w:line="400" w:lineRule="exact"/>
        <w:rPr>
          <w:rFonts w:ascii="宋体" w:hAnsi="宋体"/>
          <w:sz w:val="24"/>
        </w:rPr>
      </w:pPr>
      <w:r>
        <w:rPr>
          <w:rFonts w:hint="eastAsia" w:ascii="宋体" w:hAnsi="宋体"/>
          <w:sz w:val="24"/>
        </w:rPr>
        <w:t xml:space="preserve">     (b) 所有投标被否决，或者经评议有效投标的投标人不足三人；</w:t>
      </w:r>
    </w:p>
    <w:p>
      <w:pPr>
        <w:spacing w:line="400" w:lineRule="exact"/>
        <w:ind w:left="617" w:hanging="616" w:hangingChars="257"/>
        <w:rPr>
          <w:rFonts w:ascii="宋体" w:hAnsi="宋体"/>
          <w:sz w:val="24"/>
        </w:rPr>
      </w:pPr>
    </w:p>
    <w:p>
      <w:pPr>
        <w:spacing w:line="400" w:lineRule="exact"/>
        <w:rPr>
          <w:rFonts w:ascii="宋体" w:hAnsi="宋体"/>
          <w:b/>
          <w:bCs/>
          <w:sz w:val="24"/>
        </w:rPr>
      </w:pPr>
      <w:r>
        <w:rPr>
          <w:rFonts w:hint="eastAsia" w:ascii="宋体" w:hAnsi="宋体"/>
          <w:b/>
          <w:bCs/>
          <w:sz w:val="24"/>
        </w:rPr>
        <w:t>5.6    授予合同</w:t>
      </w:r>
    </w:p>
    <w:p>
      <w:pPr>
        <w:pStyle w:val="16"/>
        <w:spacing w:line="400" w:lineRule="exact"/>
        <w:ind w:left="821" w:hanging="820" w:hangingChars="342"/>
        <w:jc w:val="left"/>
        <w:rPr>
          <w:rFonts w:hAnsi="宋体"/>
          <w:sz w:val="24"/>
          <w:szCs w:val="24"/>
        </w:rPr>
      </w:pPr>
      <w:r>
        <w:rPr>
          <w:rFonts w:hint="eastAsia" w:hAnsi="宋体"/>
          <w:sz w:val="24"/>
          <w:szCs w:val="24"/>
        </w:rPr>
        <w:t>5.6.1  招标人一般将合同授予中标人，合同在投标有效期或投标人接受的延长期内授出。</w:t>
      </w:r>
    </w:p>
    <w:p>
      <w:pPr>
        <w:pStyle w:val="16"/>
        <w:spacing w:line="400" w:lineRule="exact"/>
        <w:ind w:left="821" w:hanging="820" w:hangingChars="342"/>
        <w:jc w:val="left"/>
        <w:rPr>
          <w:rFonts w:hAnsi="宋体"/>
          <w:sz w:val="24"/>
          <w:szCs w:val="24"/>
        </w:rPr>
      </w:pPr>
      <w:r>
        <w:rPr>
          <w:rFonts w:hint="eastAsia" w:hAnsi="宋体"/>
          <w:sz w:val="24"/>
          <w:szCs w:val="24"/>
        </w:rPr>
        <w:t>5.6.2  联合体中标的，由所有联合体成员法定代表人签署授权委托书，指定牵头人或代表，授权其代表所有联合体成员与招标人签订合同，负责整个合同实施阶段的协调工作。</w:t>
      </w:r>
      <w:r>
        <w:rPr>
          <w:rFonts w:hint="eastAsia" w:hAnsi="宋体"/>
          <w:sz w:val="24"/>
          <w:szCs w:val="24"/>
          <w:u w:val="single"/>
        </w:rPr>
        <w:t>如招标人要求中标人联合体成员共同签订合同的，则中标人应按招标人要求执行。</w:t>
      </w:r>
    </w:p>
    <w:p>
      <w:pPr>
        <w:pStyle w:val="16"/>
        <w:spacing w:line="400" w:lineRule="exact"/>
        <w:ind w:left="821" w:hanging="820" w:hangingChars="342"/>
        <w:jc w:val="left"/>
        <w:rPr>
          <w:rFonts w:hAnsi="宋体"/>
          <w:sz w:val="24"/>
          <w:szCs w:val="24"/>
        </w:rPr>
      </w:pPr>
      <w:r>
        <w:rPr>
          <w:rFonts w:hint="eastAsia" w:hAnsi="宋体"/>
          <w:sz w:val="24"/>
          <w:szCs w:val="24"/>
        </w:rPr>
        <w:t>5.6.3  中标人必须签署并执行招标文件规定的合同条件，</w:t>
      </w:r>
      <w:r>
        <w:rPr>
          <w:rFonts w:hAnsi="宋体"/>
          <w:sz w:val="24"/>
          <w:szCs w:val="24"/>
        </w:rPr>
        <w:t>如</w:t>
      </w:r>
      <w:r>
        <w:rPr>
          <w:rFonts w:hint="eastAsia" w:hAnsi="宋体"/>
          <w:sz w:val="24"/>
          <w:szCs w:val="24"/>
        </w:rPr>
        <w:t>中标人</w:t>
      </w:r>
      <w:r>
        <w:rPr>
          <w:rFonts w:hAnsi="宋体"/>
          <w:sz w:val="24"/>
          <w:szCs w:val="24"/>
        </w:rPr>
        <w:t>所提供的投标条件</w:t>
      </w:r>
      <w:r>
        <w:rPr>
          <w:rFonts w:hint="eastAsia" w:hAnsi="宋体"/>
          <w:sz w:val="24"/>
          <w:szCs w:val="24"/>
        </w:rPr>
        <w:t>（报价、工期、估算工程造价）比其他投标</w:t>
      </w:r>
      <w:r>
        <w:rPr>
          <w:rFonts w:hAnsi="宋体"/>
          <w:sz w:val="24"/>
          <w:szCs w:val="24"/>
        </w:rPr>
        <w:t>异常低，</w:t>
      </w:r>
      <w:r>
        <w:rPr>
          <w:rFonts w:hint="eastAsia" w:hAnsi="宋体"/>
          <w:sz w:val="24"/>
          <w:szCs w:val="24"/>
        </w:rPr>
        <w:t>招标人</w:t>
      </w:r>
      <w:r>
        <w:rPr>
          <w:rFonts w:hAnsi="宋体"/>
          <w:sz w:val="24"/>
          <w:szCs w:val="24"/>
        </w:rPr>
        <w:t>可要求</w:t>
      </w:r>
      <w:r>
        <w:rPr>
          <w:rFonts w:hint="eastAsia" w:hAnsi="宋体"/>
          <w:sz w:val="24"/>
          <w:szCs w:val="24"/>
        </w:rPr>
        <w:t>中</w:t>
      </w:r>
      <w:r>
        <w:rPr>
          <w:rFonts w:hAnsi="宋体"/>
          <w:sz w:val="24"/>
          <w:szCs w:val="24"/>
        </w:rPr>
        <w:t>标人对遵守参加投标的各项条件和履行合同的能力作出保证。</w:t>
      </w:r>
    </w:p>
    <w:p>
      <w:pPr>
        <w:spacing w:line="400" w:lineRule="exact"/>
        <w:ind w:left="821" w:hanging="820" w:hangingChars="342"/>
        <w:jc w:val="left"/>
        <w:rPr>
          <w:rFonts w:ascii="宋体" w:hAnsi="宋体"/>
          <w:sz w:val="24"/>
        </w:rPr>
      </w:pPr>
      <w:r>
        <w:rPr>
          <w:rFonts w:hint="eastAsia" w:ascii="宋体" w:hAnsi="宋体"/>
          <w:sz w:val="24"/>
        </w:rPr>
        <w:t>5.6.4  招标人提供证据证明中标人有下列行为之一的，经有关行政监督部门确认，该中标无效，招标人可以不与中标人签订合同：</w:t>
      </w:r>
    </w:p>
    <w:p>
      <w:pPr>
        <w:spacing w:line="400" w:lineRule="exact"/>
        <w:rPr>
          <w:rFonts w:ascii="宋体" w:hAnsi="宋体"/>
          <w:sz w:val="24"/>
        </w:rPr>
      </w:pPr>
      <w:r>
        <w:rPr>
          <w:rFonts w:hint="eastAsia" w:ascii="宋体" w:hAnsi="宋体"/>
          <w:sz w:val="24"/>
        </w:rPr>
        <w:t xml:space="preserve">   (a) 不能兑现投标承诺。</w:t>
      </w:r>
    </w:p>
    <w:p>
      <w:pPr>
        <w:spacing w:line="400" w:lineRule="exact"/>
        <w:rPr>
          <w:rFonts w:ascii="宋体" w:hAnsi="宋体"/>
          <w:sz w:val="24"/>
        </w:rPr>
      </w:pPr>
      <w:r>
        <w:rPr>
          <w:rFonts w:hint="eastAsia" w:ascii="宋体" w:hAnsi="宋体"/>
          <w:sz w:val="24"/>
        </w:rPr>
        <w:t xml:space="preserve">   (b) 弄虚作假骗取中标。</w:t>
      </w:r>
    </w:p>
    <w:p>
      <w:pPr>
        <w:spacing w:line="400" w:lineRule="exact"/>
        <w:ind w:left="821" w:hanging="820" w:hangingChars="342"/>
        <w:rPr>
          <w:rFonts w:ascii="宋体" w:hAnsi="宋体"/>
          <w:sz w:val="24"/>
        </w:rPr>
      </w:pPr>
      <w:r>
        <w:rPr>
          <w:rFonts w:hint="eastAsia" w:ascii="宋体" w:hAnsi="宋体"/>
          <w:sz w:val="24"/>
        </w:rPr>
        <w:t xml:space="preserve">   (c) </w:t>
      </w:r>
      <w:r>
        <w:rPr>
          <w:rFonts w:hint="eastAsia" w:hAnsi="宋体"/>
          <w:sz w:val="24"/>
        </w:rPr>
        <w:t>在招标、投标、评标、定标以及授予合同过程中，对招标人、代理机构、其他投标人、评标委员会成员、</w:t>
      </w:r>
      <w:r>
        <w:rPr>
          <w:rFonts w:hint="eastAsia" w:hAnsi="宋体"/>
          <w:kern w:val="0"/>
          <w:sz w:val="24"/>
        </w:rPr>
        <w:t>交易服务机构的</w:t>
      </w:r>
      <w:r>
        <w:rPr>
          <w:rFonts w:hint="eastAsia" w:hAnsi="宋体"/>
          <w:sz w:val="24"/>
        </w:rPr>
        <w:t>工作人员行贿、</w:t>
      </w:r>
      <w:r>
        <w:rPr>
          <w:rFonts w:hAnsi="宋体"/>
          <w:kern w:val="0"/>
          <w:sz w:val="24"/>
        </w:rPr>
        <w:t>利诱</w:t>
      </w:r>
      <w:r>
        <w:rPr>
          <w:rFonts w:hint="eastAsia" w:hAnsi="宋体"/>
          <w:kern w:val="0"/>
          <w:sz w:val="24"/>
        </w:rPr>
        <w:t>、</w:t>
      </w:r>
      <w:r>
        <w:rPr>
          <w:rFonts w:hint="eastAsia" w:hAnsi="宋体"/>
          <w:sz w:val="24"/>
        </w:rPr>
        <w:t>欺诈或者施加影响。</w:t>
      </w:r>
    </w:p>
    <w:p>
      <w:pPr>
        <w:spacing w:line="400" w:lineRule="exact"/>
        <w:rPr>
          <w:rFonts w:ascii="宋体" w:hAnsi="宋体"/>
          <w:sz w:val="24"/>
        </w:rPr>
      </w:pPr>
      <w:r>
        <w:rPr>
          <w:rFonts w:hint="eastAsia" w:ascii="宋体" w:hAnsi="宋体"/>
          <w:sz w:val="24"/>
        </w:rPr>
        <w:t xml:space="preserve">   (d) 擅自将任务转包其他单位。</w:t>
      </w:r>
    </w:p>
    <w:p>
      <w:pPr>
        <w:spacing w:line="400" w:lineRule="exact"/>
        <w:rPr>
          <w:rFonts w:ascii="宋体" w:hAnsi="宋体"/>
          <w:sz w:val="24"/>
        </w:rPr>
      </w:pPr>
      <w:r>
        <w:rPr>
          <w:rFonts w:hint="eastAsia" w:ascii="宋体" w:hAnsi="宋体"/>
          <w:sz w:val="24"/>
        </w:rPr>
        <w:t xml:space="preserve">   (e) 中标人实质上不符合资格审查合格条件。</w:t>
      </w:r>
    </w:p>
    <w:p>
      <w:pPr>
        <w:spacing w:line="400" w:lineRule="exact"/>
        <w:rPr>
          <w:rFonts w:ascii="宋体" w:hAnsi="宋体"/>
          <w:sz w:val="24"/>
        </w:rPr>
      </w:pPr>
      <w:r>
        <w:rPr>
          <w:rFonts w:hint="eastAsia" w:ascii="宋体" w:hAnsi="宋体"/>
          <w:sz w:val="24"/>
        </w:rPr>
        <w:t xml:space="preserve">   (f) 法律、法规规定的其他损害招标人利益和社会公共利益的情形。</w:t>
      </w:r>
    </w:p>
    <w:p>
      <w:pPr>
        <w:spacing w:line="400" w:lineRule="exact"/>
        <w:ind w:left="821" w:hanging="820" w:hangingChars="342"/>
        <w:rPr>
          <w:rFonts w:ascii="宋体" w:hAnsi="宋体"/>
          <w:sz w:val="24"/>
        </w:rPr>
      </w:pPr>
      <w:r>
        <w:rPr>
          <w:rFonts w:hint="eastAsia" w:ascii="宋体" w:hAnsi="宋体"/>
          <w:sz w:val="24"/>
        </w:rPr>
        <w:t>5.6.5  中标人不得擅自更换投标文件中拟派的设计人员及项目负责人，否则每人次扣合同金额1%。</w:t>
      </w:r>
    </w:p>
    <w:p>
      <w:pPr>
        <w:spacing w:line="0" w:lineRule="atLeast"/>
        <w:rPr>
          <w:rFonts w:ascii="宋体" w:hAnsi="宋体"/>
        </w:rPr>
      </w:pPr>
      <w:r>
        <w:rPr>
          <w:rFonts w:hint="eastAsia" w:ascii="宋体" w:hAnsi="宋体"/>
          <w:sz w:val="24"/>
          <w:u w:val="single"/>
        </w:rPr>
        <w:t>5.6.6  中标人缴纳交易服务费，其费用包含在中标人投标报价中。</w:t>
      </w:r>
    </w:p>
    <w:p>
      <w:pPr>
        <w:spacing w:line="400" w:lineRule="exact"/>
        <w:ind w:left="1236" w:hanging="1231" w:hangingChars="342"/>
        <w:jc w:val="center"/>
        <w:rPr>
          <w:rFonts w:ascii="宋体" w:hAnsi="宋体"/>
          <w:b/>
          <w:bCs/>
          <w:sz w:val="24"/>
        </w:rPr>
      </w:pPr>
      <w:r>
        <w:rPr>
          <w:rFonts w:ascii="宋体" w:hAnsi="宋体"/>
          <w:b/>
          <w:sz w:val="36"/>
          <w:szCs w:val="36"/>
        </w:rPr>
        <w:br w:type="page"/>
      </w:r>
    </w:p>
    <w:p>
      <w:pPr>
        <w:pStyle w:val="4"/>
        <w:rPr>
          <w:b w:val="0"/>
        </w:rPr>
      </w:pPr>
      <w:bookmarkStart w:id="10" w:name="_Toc136262986"/>
      <w:r>
        <w:rPr>
          <w:rFonts w:hint="eastAsia"/>
        </w:rPr>
        <w:t>第六章</w:t>
      </w:r>
      <w:r>
        <w:t xml:space="preserve">  </w:t>
      </w:r>
      <w:r>
        <w:rPr>
          <w:rFonts w:hint="eastAsia"/>
        </w:rPr>
        <w:t>合同主要条款</w:t>
      </w:r>
      <w:bookmarkEnd w:id="10"/>
    </w:p>
    <w:p>
      <w:pPr>
        <w:spacing w:line="0" w:lineRule="atLeast"/>
        <w:rPr>
          <w:rFonts w:ascii="宋体" w:hAnsi="宋体"/>
        </w:rPr>
      </w:pPr>
    </w:p>
    <w:p>
      <w:pPr>
        <w:spacing w:line="0" w:lineRule="atLeast"/>
        <w:jc w:val="center"/>
        <w:rPr>
          <w:rFonts w:ascii="宋体" w:hAnsi="宋体"/>
          <w:sz w:val="24"/>
        </w:rPr>
      </w:pPr>
      <w:r>
        <w:rPr>
          <w:rFonts w:hint="eastAsia" w:ascii="宋体" w:hAnsi="宋体"/>
          <w:sz w:val="24"/>
        </w:rPr>
        <w:t>（另册）</w:t>
      </w:r>
    </w:p>
    <w:p>
      <w:pPr>
        <w:rPr>
          <w:rFonts w:ascii="宋体" w:hAnsi="宋体"/>
          <w:szCs w:val="21"/>
        </w:rPr>
      </w:pPr>
    </w:p>
    <w:p>
      <w:pPr>
        <w:rPr>
          <w:rFonts w:ascii="宋体" w:hAnsi="宋体"/>
          <w:szCs w:val="21"/>
        </w:rPr>
        <w:sectPr>
          <w:pgSz w:w="11906" w:h="16838"/>
          <w:pgMar w:top="1418" w:right="1418" w:bottom="1418" w:left="1418" w:header="851" w:footer="992" w:gutter="0"/>
          <w:cols w:space="425" w:num="1"/>
          <w:docGrid w:type="linesAndChars" w:linePitch="312" w:charSpace="0"/>
        </w:sectPr>
      </w:pPr>
    </w:p>
    <w:p>
      <w:pPr>
        <w:pStyle w:val="4"/>
        <w:jc w:val="left"/>
      </w:pPr>
      <w:bookmarkStart w:id="11" w:name="_Toc136262987"/>
      <w:r>
        <w:rPr>
          <w:rFonts w:hint="eastAsia"/>
        </w:rPr>
        <w:t>附录</w:t>
      </w:r>
      <w:r>
        <w:t>1</w:t>
      </w:r>
      <w:bookmarkEnd w:id="11"/>
    </w:p>
    <w:p>
      <w:pPr>
        <w:jc w:val="center"/>
        <w:rPr>
          <w:rFonts w:ascii="宋体" w:hAnsi="宋体"/>
          <w:b/>
          <w:sz w:val="36"/>
          <w:szCs w:val="36"/>
        </w:rPr>
      </w:pPr>
      <w:r>
        <w:rPr>
          <w:rFonts w:hint="eastAsia" w:ascii="宋体" w:hAnsi="宋体"/>
          <w:b/>
          <w:sz w:val="36"/>
          <w:szCs w:val="36"/>
        </w:rPr>
        <w:t>投标申请表（申请人、资质、机构简介）</w:t>
      </w:r>
    </w:p>
    <w:tbl>
      <w:tblPr>
        <w:tblStyle w:val="2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240"/>
        <w:gridCol w:w="4616"/>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序号</w:t>
            </w:r>
          </w:p>
        </w:tc>
        <w:tc>
          <w:tcPr>
            <w:tcW w:w="3240" w:type="dxa"/>
            <w:vAlign w:val="center"/>
          </w:tcPr>
          <w:p>
            <w:pPr>
              <w:jc w:val="center"/>
              <w:rPr>
                <w:rFonts w:ascii="宋体" w:hAnsi="宋体"/>
                <w:szCs w:val="21"/>
              </w:rPr>
            </w:pPr>
            <w:r>
              <w:rPr>
                <w:rFonts w:hint="eastAsia" w:ascii="宋体" w:hAnsi="宋体"/>
                <w:szCs w:val="21"/>
              </w:rPr>
              <w:t>内容</w:t>
            </w:r>
          </w:p>
        </w:tc>
        <w:tc>
          <w:tcPr>
            <w:tcW w:w="4616" w:type="dxa"/>
            <w:vAlign w:val="center"/>
          </w:tcPr>
          <w:p>
            <w:pPr>
              <w:jc w:val="center"/>
              <w:rPr>
                <w:rFonts w:ascii="宋体" w:hAnsi="宋体"/>
                <w:szCs w:val="21"/>
              </w:rPr>
            </w:pPr>
            <w:r>
              <w:rPr>
                <w:rFonts w:hint="eastAsia" w:ascii="宋体" w:hAnsi="宋体"/>
              </w:rPr>
              <w:t>申请人（牵头人）</w:t>
            </w:r>
          </w:p>
        </w:tc>
        <w:tc>
          <w:tcPr>
            <w:tcW w:w="2835" w:type="dxa"/>
            <w:vAlign w:val="center"/>
          </w:tcPr>
          <w:p>
            <w:pPr>
              <w:jc w:val="center"/>
              <w:rPr>
                <w:rFonts w:ascii="宋体" w:hAnsi="宋体"/>
                <w:szCs w:val="21"/>
              </w:rPr>
            </w:pPr>
            <w:r>
              <w:rPr>
                <w:rFonts w:hint="eastAsia" w:ascii="宋体" w:hAnsi="宋体"/>
              </w:rPr>
              <w:t>联合体成员</w:t>
            </w:r>
          </w:p>
        </w:tc>
        <w:tc>
          <w:tcPr>
            <w:tcW w:w="2835" w:type="dxa"/>
            <w:vAlign w:val="center"/>
          </w:tcPr>
          <w:p>
            <w:pPr>
              <w:jc w:val="center"/>
              <w:rPr>
                <w:rFonts w:ascii="宋体" w:hAnsi="宋体"/>
                <w:szCs w:val="21"/>
              </w:rPr>
            </w:pPr>
            <w:r>
              <w:rPr>
                <w:rFonts w:hint="eastAsia" w:ascii="宋体" w:hAnsi="宋体"/>
              </w:rPr>
              <w:t>联合体成员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w:t>
            </w:r>
          </w:p>
        </w:tc>
        <w:tc>
          <w:tcPr>
            <w:tcW w:w="3240" w:type="dxa"/>
          </w:tcPr>
          <w:p>
            <w:pPr>
              <w:rPr>
                <w:rFonts w:ascii="宋体" w:hAnsi="宋体"/>
                <w:szCs w:val="21"/>
              </w:rPr>
            </w:pPr>
            <w:r>
              <w:rPr>
                <w:rFonts w:hint="eastAsia" w:ascii="宋体" w:hAnsi="宋体"/>
              </w:rPr>
              <w:t>名称（盖章）</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2</w:t>
            </w:r>
          </w:p>
        </w:tc>
        <w:tc>
          <w:tcPr>
            <w:tcW w:w="3240" w:type="dxa"/>
          </w:tcPr>
          <w:p>
            <w:pPr>
              <w:rPr>
                <w:rFonts w:ascii="宋体" w:hAnsi="宋体"/>
                <w:szCs w:val="21"/>
              </w:rPr>
            </w:pPr>
            <w:r>
              <w:rPr>
                <w:rFonts w:hint="eastAsia" w:ascii="宋体" w:hAnsi="宋体"/>
              </w:rPr>
              <w:t>法定代表人</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3</w:t>
            </w:r>
          </w:p>
        </w:tc>
        <w:tc>
          <w:tcPr>
            <w:tcW w:w="3240" w:type="dxa"/>
          </w:tcPr>
          <w:p>
            <w:pPr>
              <w:rPr>
                <w:rFonts w:ascii="宋体" w:hAnsi="宋体"/>
                <w:szCs w:val="21"/>
              </w:rPr>
            </w:pPr>
            <w:r>
              <w:rPr>
                <w:rFonts w:hint="eastAsia" w:ascii="宋体" w:hAnsi="宋体"/>
              </w:rPr>
              <w:t>总部邮政编码、注册地址</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4</w:t>
            </w:r>
          </w:p>
        </w:tc>
        <w:tc>
          <w:tcPr>
            <w:tcW w:w="3240" w:type="dxa"/>
          </w:tcPr>
          <w:p>
            <w:pPr>
              <w:rPr>
                <w:rFonts w:ascii="宋体" w:hAnsi="宋体"/>
                <w:szCs w:val="21"/>
              </w:rPr>
            </w:pPr>
            <w:r>
              <w:rPr>
                <w:rFonts w:hint="eastAsia" w:ascii="宋体" w:hAnsi="宋体"/>
              </w:rPr>
              <w:t>总部电话号码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5</w:t>
            </w:r>
          </w:p>
        </w:tc>
        <w:tc>
          <w:tcPr>
            <w:tcW w:w="3240" w:type="dxa"/>
          </w:tcPr>
          <w:p>
            <w:pPr>
              <w:rPr>
                <w:rFonts w:ascii="宋体" w:hAnsi="宋体"/>
              </w:rPr>
            </w:pPr>
            <w:r>
              <w:rPr>
                <w:rFonts w:hint="eastAsia" w:ascii="宋体" w:hAnsi="宋体"/>
              </w:rPr>
              <w:t>总部传真号码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6</w:t>
            </w:r>
          </w:p>
        </w:tc>
        <w:tc>
          <w:tcPr>
            <w:tcW w:w="3240" w:type="dxa"/>
          </w:tcPr>
          <w:p>
            <w:pPr>
              <w:rPr>
                <w:rFonts w:ascii="宋体" w:hAnsi="宋体"/>
              </w:rPr>
            </w:pPr>
            <w:r>
              <w:rPr>
                <w:rFonts w:hint="eastAsia" w:ascii="宋体" w:hAnsi="宋体"/>
              </w:rPr>
              <w:t>总部联络人、手机号码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7</w:t>
            </w:r>
          </w:p>
        </w:tc>
        <w:tc>
          <w:tcPr>
            <w:tcW w:w="3240" w:type="dxa"/>
          </w:tcPr>
          <w:p>
            <w:pPr>
              <w:rPr>
                <w:rFonts w:ascii="宋体" w:hAnsi="宋体"/>
              </w:rPr>
            </w:pPr>
            <w:r>
              <w:rPr>
                <w:rFonts w:hint="eastAsia" w:ascii="宋体" w:hAnsi="宋体"/>
              </w:rPr>
              <w:t>本地邮政编码、注册地址</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8</w:t>
            </w:r>
          </w:p>
        </w:tc>
        <w:tc>
          <w:tcPr>
            <w:tcW w:w="3240" w:type="dxa"/>
          </w:tcPr>
          <w:p>
            <w:pPr>
              <w:rPr>
                <w:rFonts w:ascii="宋体" w:hAnsi="宋体"/>
                <w:szCs w:val="21"/>
              </w:rPr>
            </w:pPr>
            <w:r>
              <w:rPr>
                <w:rFonts w:hint="eastAsia" w:ascii="宋体" w:hAnsi="宋体"/>
              </w:rPr>
              <w:t>本地电话号码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9</w:t>
            </w:r>
          </w:p>
        </w:tc>
        <w:tc>
          <w:tcPr>
            <w:tcW w:w="3240" w:type="dxa"/>
          </w:tcPr>
          <w:p>
            <w:pPr>
              <w:rPr>
                <w:rFonts w:ascii="宋体" w:hAnsi="宋体"/>
              </w:rPr>
            </w:pPr>
            <w:r>
              <w:rPr>
                <w:rFonts w:hint="eastAsia" w:ascii="宋体" w:hAnsi="宋体"/>
              </w:rPr>
              <w:t>本地传真号码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10</w:t>
            </w:r>
          </w:p>
        </w:tc>
        <w:tc>
          <w:tcPr>
            <w:tcW w:w="3240" w:type="dxa"/>
          </w:tcPr>
          <w:p>
            <w:pPr>
              <w:rPr>
                <w:rFonts w:ascii="宋体" w:hAnsi="宋体"/>
              </w:rPr>
            </w:pPr>
            <w:r>
              <w:rPr>
                <w:rFonts w:hint="eastAsia" w:ascii="宋体" w:hAnsi="宋体"/>
              </w:rPr>
              <w:t>本地联络人、手机号码</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11</w:t>
            </w:r>
          </w:p>
        </w:tc>
        <w:tc>
          <w:tcPr>
            <w:tcW w:w="3240" w:type="dxa"/>
          </w:tcPr>
          <w:p>
            <w:pPr>
              <w:rPr>
                <w:rFonts w:ascii="宋体" w:hAnsi="宋体"/>
              </w:rPr>
            </w:pPr>
            <w:r>
              <w:rPr>
                <w:rFonts w:hint="eastAsia" w:ascii="宋体" w:hAnsi="宋体"/>
              </w:rPr>
              <w:t>电子邮箱</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12</w:t>
            </w:r>
          </w:p>
        </w:tc>
        <w:tc>
          <w:tcPr>
            <w:tcW w:w="3240" w:type="dxa"/>
          </w:tcPr>
          <w:p>
            <w:pPr>
              <w:rPr>
                <w:rFonts w:ascii="宋体" w:hAnsi="宋体"/>
              </w:rPr>
            </w:pPr>
            <w:r>
              <w:rPr>
                <w:rFonts w:hint="eastAsia" w:ascii="宋体" w:hAnsi="宋体"/>
              </w:rPr>
              <w:t>法人营业执照号、营业范围</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13</w:t>
            </w:r>
          </w:p>
        </w:tc>
        <w:tc>
          <w:tcPr>
            <w:tcW w:w="3240" w:type="dxa"/>
          </w:tcPr>
          <w:p>
            <w:pPr>
              <w:rPr>
                <w:rFonts w:hAnsi="宋体"/>
              </w:rPr>
            </w:pPr>
            <w:r>
              <w:rPr>
                <w:rFonts w:hint="eastAsia" w:hAnsi="宋体"/>
              </w:rPr>
              <w:t>工程设计资质证号、范围和等级</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14</w:t>
            </w:r>
          </w:p>
        </w:tc>
        <w:tc>
          <w:tcPr>
            <w:tcW w:w="3240" w:type="dxa"/>
          </w:tcPr>
          <w:p>
            <w:pPr>
              <w:rPr>
                <w:rFonts w:ascii="宋体" w:hAnsi="宋体"/>
              </w:rPr>
            </w:pPr>
            <w:r>
              <w:rPr>
                <w:rFonts w:hint="eastAsia" w:hAnsi="宋体"/>
              </w:rPr>
              <w:t>工程勘察资质证号、范围和等级</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15</w:t>
            </w:r>
          </w:p>
        </w:tc>
        <w:tc>
          <w:tcPr>
            <w:tcW w:w="3240" w:type="dxa"/>
          </w:tcPr>
          <w:p>
            <w:pPr>
              <w:rPr>
                <w:rFonts w:ascii="宋体" w:hAnsi="宋体"/>
              </w:rPr>
            </w:pPr>
            <w:r>
              <w:rPr>
                <w:rFonts w:hint="eastAsia" w:hAnsi="宋体"/>
              </w:rPr>
              <w:t>ISO9000认证号、范围</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pPr>
              <w:jc w:val="center"/>
              <w:rPr>
                <w:rFonts w:ascii="宋体" w:hAnsi="宋体"/>
                <w:szCs w:val="21"/>
              </w:rPr>
            </w:pPr>
            <w:r>
              <w:rPr>
                <w:rFonts w:hint="eastAsia" w:ascii="宋体" w:hAnsi="宋体"/>
                <w:szCs w:val="21"/>
              </w:rPr>
              <w:t>16</w:t>
            </w:r>
          </w:p>
        </w:tc>
        <w:tc>
          <w:tcPr>
            <w:tcW w:w="3240" w:type="dxa"/>
          </w:tcPr>
          <w:p>
            <w:pPr>
              <w:rPr>
                <w:rFonts w:ascii="宋体" w:hAnsi="宋体"/>
              </w:rPr>
            </w:pPr>
            <w:r>
              <w:rPr>
                <w:rFonts w:hint="eastAsia" w:ascii="宋体" w:hAnsi="宋体"/>
              </w:rPr>
              <w:t>简介（宜300字以内）</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648" w:type="dxa"/>
            <w:vAlign w:val="center"/>
          </w:tcPr>
          <w:p>
            <w:pPr>
              <w:jc w:val="center"/>
              <w:rPr>
                <w:rFonts w:ascii="宋体" w:hAnsi="宋体"/>
                <w:szCs w:val="21"/>
              </w:rPr>
            </w:pPr>
            <w:r>
              <w:rPr>
                <w:rFonts w:hint="eastAsia" w:ascii="宋体" w:hAnsi="宋体"/>
                <w:szCs w:val="21"/>
              </w:rPr>
              <w:t>17</w:t>
            </w:r>
          </w:p>
        </w:tc>
        <w:tc>
          <w:tcPr>
            <w:tcW w:w="3240" w:type="dxa"/>
          </w:tcPr>
          <w:p>
            <w:pPr>
              <w:rPr>
                <w:rFonts w:ascii="宋体" w:hAnsi="宋体"/>
              </w:rPr>
            </w:pPr>
            <w:r>
              <w:rPr>
                <w:rFonts w:ascii="宋体" w:hAnsi="宋体"/>
              </w:rPr>
              <w:t>完成</w:t>
            </w:r>
            <w:r>
              <w:rPr>
                <w:rFonts w:hint="eastAsia" w:ascii="宋体" w:hAnsi="宋体"/>
              </w:rPr>
              <w:t>本项目</w:t>
            </w:r>
            <w:r>
              <w:rPr>
                <w:rFonts w:ascii="宋体" w:hAnsi="宋体"/>
              </w:rPr>
              <w:t>所独有的有利条件</w:t>
            </w:r>
          </w:p>
          <w:p>
            <w:pPr>
              <w:rPr>
                <w:rFonts w:ascii="宋体" w:hAnsi="宋体"/>
              </w:rPr>
            </w:pPr>
            <w:r>
              <w:rPr>
                <w:rFonts w:hint="eastAsia" w:ascii="宋体" w:hAnsi="宋体"/>
              </w:rPr>
              <w:t>（宜200字以内）</w:t>
            </w: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18</w:t>
            </w:r>
          </w:p>
        </w:tc>
        <w:tc>
          <w:tcPr>
            <w:tcW w:w="3240" w:type="dxa"/>
          </w:tcPr>
          <w:p>
            <w:pPr>
              <w:rPr>
                <w:rFonts w:ascii="宋体" w:hAnsi="宋体"/>
              </w:rPr>
            </w:pPr>
          </w:p>
        </w:tc>
        <w:tc>
          <w:tcPr>
            <w:tcW w:w="4616" w:type="dxa"/>
          </w:tcPr>
          <w:p>
            <w:pPr>
              <w:rPr>
                <w:rFonts w:ascii="宋体" w:hAnsi="宋体"/>
                <w:szCs w:val="21"/>
              </w:rPr>
            </w:pPr>
          </w:p>
        </w:tc>
        <w:tc>
          <w:tcPr>
            <w:tcW w:w="2835" w:type="dxa"/>
          </w:tcPr>
          <w:p>
            <w:pPr>
              <w:rPr>
                <w:rFonts w:ascii="宋体" w:hAnsi="宋体"/>
                <w:szCs w:val="21"/>
              </w:rPr>
            </w:pPr>
          </w:p>
        </w:tc>
        <w:tc>
          <w:tcPr>
            <w:tcW w:w="2835" w:type="dxa"/>
          </w:tcPr>
          <w:p>
            <w:pPr>
              <w:rPr>
                <w:rFonts w:ascii="宋体" w:hAnsi="宋体"/>
                <w:szCs w:val="21"/>
              </w:rPr>
            </w:pPr>
          </w:p>
        </w:tc>
      </w:tr>
    </w:tbl>
    <w:p>
      <w:pPr>
        <w:rPr>
          <w:rFonts w:ascii="宋体" w:hAnsi="宋体"/>
        </w:rPr>
      </w:pPr>
      <w:r>
        <w:rPr>
          <w:rFonts w:hint="eastAsia" w:ascii="宋体" w:hAnsi="宋体"/>
        </w:rPr>
        <w:t>申请人：                                                                                          申请日期：       年    月    日</w:t>
      </w:r>
    </w:p>
    <w:p>
      <w:pPr>
        <w:rPr>
          <w:rFonts w:ascii="宋体" w:hAnsi="宋体"/>
          <w:szCs w:val="21"/>
        </w:rPr>
      </w:pPr>
    </w:p>
    <w:p>
      <w:pPr>
        <w:pStyle w:val="4"/>
        <w:jc w:val="left"/>
      </w:pPr>
      <w:r>
        <w:rPr>
          <w:rFonts w:ascii="宋体" w:hAnsi="宋体"/>
          <w:szCs w:val="21"/>
        </w:rPr>
        <w:br w:type="page"/>
      </w:r>
      <w:bookmarkStart w:id="12" w:name="_Toc136262988"/>
      <w:r>
        <w:rPr>
          <w:rFonts w:hint="eastAsia"/>
        </w:rPr>
        <w:t>附录</w:t>
      </w:r>
      <w:r>
        <w:t>2</w:t>
      </w:r>
      <w:bookmarkEnd w:id="12"/>
    </w:p>
    <w:p>
      <w:pPr>
        <w:jc w:val="center"/>
        <w:rPr>
          <w:rFonts w:ascii="宋体" w:hAnsi="宋体"/>
          <w:b/>
          <w:sz w:val="36"/>
          <w:szCs w:val="36"/>
        </w:rPr>
      </w:pPr>
      <w:r>
        <w:rPr>
          <w:rFonts w:hint="eastAsia" w:ascii="宋体" w:hAnsi="宋体"/>
          <w:b/>
          <w:sz w:val="36"/>
          <w:szCs w:val="36"/>
        </w:rPr>
        <w:t>投标申请表</w:t>
      </w:r>
      <w:r>
        <w:rPr>
          <w:rFonts w:hint="eastAsia" w:ascii="宋体" w:hAnsi="宋体"/>
          <w:b/>
          <w:bCs/>
          <w:sz w:val="36"/>
          <w:szCs w:val="36"/>
        </w:rPr>
        <w:t>（投标人的业绩）</w:t>
      </w:r>
    </w:p>
    <w:tbl>
      <w:tblPr>
        <w:tblStyle w:val="2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00"/>
        <w:gridCol w:w="3780"/>
        <w:gridCol w:w="4500"/>
        <w:gridCol w:w="11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宋体" w:hAnsi="宋体"/>
                <w:szCs w:val="21"/>
              </w:rPr>
            </w:pPr>
            <w:r>
              <w:rPr>
                <w:rFonts w:hint="eastAsia" w:ascii="宋体" w:hAnsi="宋体"/>
                <w:szCs w:val="21"/>
              </w:rPr>
              <w:t>序号</w:t>
            </w:r>
          </w:p>
        </w:tc>
        <w:tc>
          <w:tcPr>
            <w:tcW w:w="2700" w:type="dxa"/>
            <w:vAlign w:val="center"/>
          </w:tcPr>
          <w:p>
            <w:pPr>
              <w:jc w:val="center"/>
              <w:rPr>
                <w:rFonts w:ascii="宋体" w:hAnsi="宋体"/>
              </w:rPr>
            </w:pPr>
            <w:r>
              <w:rPr>
                <w:rFonts w:hint="eastAsia" w:ascii="宋体" w:hAnsi="宋体"/>
              </w:rPr>
              <w:t>投标人</w:t>
            </w:r>
          </w:p>
          <w:p>
            <w:pPr>
              <w:jc w:val="center"/>
              <w:rPr>
                <w:rFonts w:ascii="宋体" w:hAnsi="宋体"/>
                <w:szCs w:val="21"/>
              </w:rPr>
            </w:pPr>
            <w:r>
              <w:rPr>
                <w:rFonts w:hint="eastAsia" w:ascii="宋体" w:hAnsi="宋体"/>
              </w:rPr>
              <w:t>（联合体成员）</w:t>
            </w:r>
          </w:p>
        </w:tc>
        <w:tc>
          <w:tcPr>
            <w:tcW w:w="3780" w:type="dxa"/>
            <w:shd w:val="clear" w:color="auto" w:fill="auto"/>
            <w:vAlign w:val="center"/>
          </w:tcPr>
          <w:p>
            <w:pPr>
              <w:jc w:val="center"/>
              <w:rPr>
                <w:rFonts w:ascii="宋体" w:hAnsi="宋体"/>
                <w:szCs w:val="21"/>
              </w:rPr>
            </w:pPr>
            <w:r>
              <w:rPr>
                <w:rFonts w:hint="eastAsia" w:hAnsi="宋体"/>
              </w:rPr>
              <w:t>作品、业绩、著作名称</w:t>
            </w:r>
          </w:p>
        </w:tc>
        <w:tc>
          <w:tcPr>
            <w:tcW w:w="4500" w:type="dxa"/>
            <w:shd w:val="clear" w:color="auto" w:fill="auto"/>
            <w:vAlign w:val="center"/>
          </w:tcPr>
          <w:p>
            <w:pPr>
              <w:jc w:val="center"/>
              <w:rPr>
                <w:rFonts w:ascii="宋体" w:hAnsi="宋体"/>
                <w:szCs w:val="21"/>
              </w:rPr>
            </w:pPr>
            <w:r>
              <w:rPr>
                <w:rFonts w:hint="eastAsia" w:ascii="宋体" w:hAnsi="宋体"/>
              </w:rPr>
              <w:t>简介</w:t>
            </w:r>
          </w:p>
        </w:tc>
        <w:tc>
          <w:tcPr>
            <w:tcW w:w="1128" w:type="dxa"/>
            <w:shd w:val="clear" w:color="auto" w:fill="auto"/>
            <w:vAlign w:val="center"/>
          </w:tcPr>
          <w:p>
            <w:pPr>
              <w:jc w:val="center"/>
              <w:rPr>
                <w:rFonts w:ascii="宋体" w:hAnsi="宋体"/>
              </w:rPr>
            </w:pPr>
            <w:r>
              <w:rPr>
                <w:rFonts w:hint="eastAsia" w:ascii="宋体" w:hAnsi="宋体"/>
              </w:rPr>
              <w:t>投资金额</w:t>
            </w:r>
          </w:p>
          <w:p>
            <w:pPr>
              <w:jc w:val="center"/>
              <w:rPr>
                <w:rFonts w:ascii="宋体" w:hAnsi="宋体"/>
                <w:szCs w:val="21"/>
              </w:rPr>
            </w:pPr>
            <w:r>
              <w:rPr>
                <w:rFonts w:hint="eastAsia" w:ascii="宋体" w:hAnsi="宋体"/>
              </w:rPr>
              <w:t>（万元）</w:t>
            </w:r>
          </w:p>
        </w:tc>
        <w:tc>
          <w:tcPr>
            <w:tcW w:w="1418" w:type="dxa"/>
            <w:shd w:val="clear" w:color="auto" w:fill="auto"/>
            <w:vAlign w:val="center"/>
          </w:tcPr>
          <w:p>
            <w:pPr>
              <w:jc w:val="center"/>
              <w:rPr>
                <w:rFonts w:ascii="宋体" w:hAnsi="宋体"/>
                <w:szCs w:val="21"/>
              </w:rPr>
            </w:pPr>
            <w:r>
              <w:rPr>
                <w:rFonts w:hint="eastAsia" w:ascii="宋体" w:hAnsi="宋体"/>
                <w:szCs w:val="21"/>
              </w:rPr>
              <w:t>完成日期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pStyle w:val="4"/>
              <w:jc w:val="left"/>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tcPr>
          <w:p>
            <w:pPr>
              <w:rPr>
                <w:rFonts w:ascii="宋体" w:hAnsi="宋体"/>
                <w:szCs w:val="21"/>
              </w:rPr>
            </w:pPr>
          </w:p>
        </w:tc>
        <w:tc>
          <w:tcPr>
            <w:tcW w:w="2700" w:type="dxa"/>
          </w:tcPr>
          <w:p>
            <w:pPr>
              <w:rPr>
                <w:rFonts w:ascii="宋体" w:hAnsi="宋体"/>
                <w:szCs w:val="21"/>
              </w:rPr>
            </w:pPr>
          </w:p>
        </w:tc>
        <w:tc>
          <w:tcPr>
            <w:tcW w:w="3780" w:type="dxa"/>
            <w:shd w:val="clear" w:color="auto" w:fill="auto"/>
          </w:tcPr>
          <w:p>
            <w:pPr>
              <w:rPr>
                <w:rFonts w:ascii="宋体" w:hAnsi="宋体"/>
                <w:szCs w:val="21"/>
              </w:rPr>
            </w:pPr>
          </w:p>
        </w:tc>
        <w:tc>
          <w:tcPr>
            <w:tcW w:w="4500" w:type="dxa"/>
            <w:shd w:val="clear" w:color="auto" w:fill="auto"/>
          </w:tcPr>
          <w:p>
            <w:pPr>
              <w:rPr>
                <w:rFonts w:ascii="宋体" w:hAnsi="宋体"/>
                <w:szCs w:val="21"/>
              </w:rPr>
            </w:pPr>
          </w:p>
        </w:tc>
        <w:tc>
          <w:tcPr>
            <w:tcW w:w="1128" w:type="dxa"/>
            <w:shd w:val="clear" w:color="auto" w:fill="auto"/>
          </w:tcPr>
          <w:p>
            <w:pPr>
              <w:rPr>
                <w:rFonts w:ascii="宋体" w:hAnsi="宋体"/>
                <w:szCs w:val="21"/>
              </w:rPr>
            </w:pPr>
          </w:p>
        </w:tc>
        <w:tc>
          <w:tcPr>
            <w:tcW w:w="1418" w:type="dxa"/>
            <w:shd w:val="clear" w:color="auto" w:fill="auto"/>
          </w:tcPr>
          <w:p>
            <w:pPr>
              <w:rPr>
                <w:rFonts w:ascii="宋体" w:hAnsi="宋体"/>
                <w:szCs w:val="21"/>
              </w:rPr>
            </w:pPr>
          </w:p>
        </w:tc>
      </w:tr>
    </w:tbl>
    <w:p>
      <w:pPr>
        <w:rPr>
          <w:rFonts w:ascii="宋体" w:hAnsi="宋体"/>
          <w:dstrike/>
        </w:rPr>
      </w:pPr>
      <w:r>
        <w:rPr>
          <w:rFonts w:hint="eastAsia" w:ascii="宋体" w:hAnsi="宋体"/>
        </w:rPr>
        <w:t>申请人（盖章）：                                                                                    申请日期：       年    月    日</w:t>
      </w:r>
    </w:p>
    <w:p>
      <w:pPr>
        <w:rPr>
          <w:rFonts w:ascii="宋体" w:hAnsi="宋体"/>
          <w:szCs w:val="21"/>
        </w:rPr>
      </w:pPr>
    </w:p>
    <w:p>
      <w:pPr>
        <w:rPr>
          <w:rFonts w:ascii="宋体" w:hAnsi="宋体"/>
          <w:szCs w:val="21"/>
        </w:rPr>
      </w:pPr>
    </w:p>
    <w:p>
      <w:pPr>
        <w:pStyle w:val="4"/>
        <w:jc w:val="left"/>
      </w:pPr>
      <w:r>
        <w:rPr>
          <w:rFonts w:ascii="宋体" w:hAnsi="宋体"/>
          <w:szCs w:val="21"/>
        </w:rPr>
        <w:br w:type="page"/>
      </w:r>
      <w:bookmarkStart w:id="13" w:name="_Toc136262989"/>
      <w:r>
        <w:rPr>
          <w:rFonts w:hint="eastAsia"/>
        </w:rPr>
        <w:t>附录</w:t>
      </w:r>
      <w:r>
        <w:t>3</w:t>
      </w:r>
      <w:bookmarkEnd w:id="13"/>
    </w:p>
    <w:p>
      <w:pPr>
        <w:jc w:val="center"/>
        <w:rPr>
          <w:rFonts w:ascii="宋体" w:hAnsi="宋体"/>
          <w:b/>
          <w:sz w:val="36"/>
          <w:szCs w:val="36"/>
        </w:rPr>
      </w:pPr>
      <w:r>
        <w:rPr>
          <w:rFonts w:hint="eastAsia" w:ascii="宋体" w:hAnsi="宋体"/>
          <w:b/>
          <w:sz w:val="36"/>
          <w:szCs w:val="36"/>
        </w:rPr>
        <w:t>投标申请表（关键人员配备）</w:t>
      </w:r>
    </w:p>
    <w:tbl>
      <w:tblPr>
        <w:tblStyle w:val="28"/>
        <w:tblW w:w="13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800"/>
        <w:gridCol w:w="1800"/>
        <w:gridCol w:w="2160"/>
        <w:gridCol w:w="180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648" w:type="dxa"/>
            <w:vAlign w:val="center"/>
          </w:tcPr>
          <w:p>
            <w:pPr>
              <w:jc w:val="center"/>
              <w:rPr>
                <w:rFonts w:ascii="宋体" w:hAnsi="宋体"/>
                <w:szCs w:val="21"/>
              </w:rPr>
            </w:pPr>
            <w:r>
              <w:rPr>
                <w:rFonts w:hint="eastAsia" w:ascii="宋体" w:hAnsi="宋体"/>
                <w:szCs w:val="21"/>
              </w:rPr>
              <w:t>序号</w:t>
            </w:r>
          </w:p>
        </w:tc>
        <w:tc>
          <w:tcPr>
            <w:tcW w:w="1080" w:type="dxa"/>
            <w:vAlign w:val="center"/>
          </w:tcPr>
          <w:p>
            <w:pPr>
              <w:jc w:val="center"/>
              <w:rPr>
                <w:rFonts w:ascii="宋体" w:hAnsi="宋体"/>
              </w:rPr>
            </w:pPr>
            <w:r>
              <w:rPr>
                <w:rFonts w:hint="eastAsia" w:ascii="宋体" w:hAnsi="宋体"/>
              </w:rPr>
              <w:t>姓名</w:t>
            </w:r>
          </w:p>
        </w:tc>
        <w:tc>
          <w:tcPr>
            <w:tcW w:w="1800" w:type="dxa"/>
            <w:shd w:val="clear" w:color="auto" w:fill="auto"/>
            <w:vAlign w:val="center"/>
          </w:tcPr>
          <w:p>
            <w:pPr>
              <w:jc w:val="center"/>
              <w:rPr>
                <w:rFonts w:ascii="宋体" w:hAnsi="宋体"/>
              </w:rPr>
            </w:pPr>
            <w:r>
              <w:rPr>
                <w:rFonts w:hint="eastAsia" w:ascii="宋体" w:hAnsi="宋体"/>
              </w:rPr>
              <w:t>专业分工</w:t>
            </w:r>
          </w:p>
        </w:tc>
        <w:tc>
          <w:tcPr>
            <w:tcW w:w="1800" w:type="dxa"/>
            <w:shd w:val="clear" w:color="auto" w:fill="auto"/>
            <w:vAlign w:val="center"/>
          </w:tcPr>
          <w:p>
            <w:pPr>
              <w:jc w:val="center"/>
              <w:rPr>
                <w:rFonts w:ascii="宋体" w:hAnsi="宋体"/>
              </w:rPr>
            </w:pPr>
            <w:r>
              <w:rPr>
                <w:rFonts w:hint="eastAsia" w:ascii="宋体" w:hAnsi="宋体"/>
              </w:rPr>
              <w:t>职务</w:t>
            </w:r>
          </w:p>
        </w:tc>
        <w:tc>
          <w:tcPr>
            <w:tcW w:w="2160" w:type="dxa"/>
            <w:shd w:val="clear" w:color="auto" w:fill="auto"/>
            <w:vAlign w:val="center"/>
          </w:tcPr>
          <w:p>
            <w:pPr>
              <w:jc w:val="center"/>
              <w:rPr>
                <w:rFonts w:ascii="宋体" w:hAnsi="宋体"/>
              </w:rPr>
            </w:pPr>
            <w:r>
              <w:rPr>
                <w:rFonts w:hint="eastAsia" w:ascii="宋体" w:hAnsi="宋体"/>
              </w:rPr>
              <w:t>专业职称</w:t>
            </w:r>
          </w:p>
        </w:tc>
        <w:tc>
          <w:tcPr>
            <w:tcW w:w="1800" w:type="dxa"/>
            <w:vAlign w:val="center"/>
          </w:tcPr>
          <w:p>
            <w:pPr>
              <w:jc w:val="center"/>
              <w:rPr>
                <w:rFonts w:hAnsi="宋体"/>
              </w:rPr>
            </w:pPr>
            <w:r>
              <w:rPr>
                <w:rFonts w:hint="eastAsia" w:ascii="宋体" w:hAnsi="宋体"/>
              </w:rPr>
              <w:t>工龄（年）</w:t>
            </w:r>
          </w:p>
        </w:tc>
        <w:tc>
          <w:tcPr>
            <w:tcW w:w="4320" w:type="dxa"/>
            <w:shd w:val="clear" w:color="auto" w:fill="auto"/>
            <w:vAlign w:val="center"/>
          </w:tcPr>
          <w:p>
            <w:pPr>
              <w:jc w:val="center"/>
              <w:rPr>
                <w:rFonts w:ascii="宋体" w:hAnsi="宋体"/>
              </w:rPr>
            </w:pPr>
            <w:r>
              <w:rPr>
                <w:rFonts w:hint="eastAsia" w:hAnsi="宋体"/>
              </w:rPr>
              <w:t>主要负责过的项目名称及规模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48" w:type="dxa"/>
            <w:vAlign w:val="center"/>
          </w:tcPr>
          <w:p>
            <w:pPr>
              <w:jc w:val="center"/>
              <w:rPr>
                <w:rFonts w:ascii="宋体" w:hAnsi="宋体"/>
                <w:szCs w:val="21"/>
              </w:rPr>
            </w:pPr>
            <w:r>
              <w:rPr>
                <w:rFonts w:hint="eastAsia" w:ascii="宋体" w:hAnsi="宋体"/>
                <w:szCs w:val="21"/>
              </w:rPr>
              <w:t>1</w:t>
            </w:r>
          </w:p>
        </w:tc>
        <w:tc>
          <w:tcPr>
            <w:tcW w:w="1080" w:type="dxa"/>
            <w:vAlign w:val="center"/>
          </w:tcPr>
          <w:p>
            <w:pPr>
              <w:jc w:val="center"/>
              <w:rPr>
                <w:rFonts w:ascii="宋体" w:hAnsi="宋体"/>
                <w:szCs w:val="21"/>
              </w:rPr>
            </w:pPr>
          </w:p>
        </w:tc>
        <w:tc>
          <w:tcPr>
            <w:tcW w:w="1800" w:type="dxa"/>
            <w:shd w:val="clear" w:color="auto" w:fill="auto"/>
            <w:vAlign w:val="center"/>
          </w:tcPr>
          <w:p>
            <w:pPr>
              <w:jc w:val="center"/>
              <w:rPr>
                <w:rFonts w:ascii="宋体" w:hAnsi="宋体"/>
              </w:rPr>
            </w:pPr>
            <w:r>
              <w:rPr>
                <w:rFonts w:hint="eastAsia" w:ascii="宋体" w:hAnsi="宋体"/>
              </w:rPr>
              <w:t>项目负责人</w:t>
            </w:r>
          </w:p>
        </w:tc>
        <w:tc>
          <w:tcPr>
            <w:tcW w:w="1800" w:type="dxa"/>
            <w:shd w:val="clear" w:color="auto" w:fill="auto"/>
            <w:vAlign w:val="center"/>
          </w:tcPr>
          <w:p>
            <w:pPr>
              <w:jc w:val="center"/>
              <w:rPr>
                <w:rFonts w:ascii="宋体" w:hAnsi="宋体"/>
                <w:szCs w:val="21"/>
              </w:rPr>
            </w:pPr>
          </w:p>
        </w:tc>
        <w:tc>
          <w:tcPr>
            <w:tcW w:w="2160" w:type="dxa"/>
            <w:shd w:val="clear" w:color="auto" w:fill="auto"/>
            <w:vAlign w:val="center"/>
          </w:tcPr>
          <w:p>
            <w:pPr>
              <w:jc w:val="center"/>
              <w:rPr>
                <w:rFonts w:ascii="宋体" w:hAnsi="宋体"/>
                <w:szCs w:val="21"/>
              </w:rPr>
            </w:pPr>
          </w:p>
        </w:tc>
        <w:tc>
          <w:tcPr>
            <w:tcW w:w="1800" w:type="dxa"/>
          </w:tcPr>
          <w:p>
            <w:pPr>
              <w:jc w:val="center"/>
              <w:rPr>
                <w:rFonts w:ascii="宋体" w:hAnsi="宋体"/>
                <w:szCs w:val="21"/>
              </w:rPr>
            </w:pPr>
          </w:p>
        </w:tc>
        <w:tc>
          <w:tcPr>
            <w:tcW w:w="4320" w:type="dxa"/>
            <w:shd w:val="clear" w:color="auto" w:fill="auto"/>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48" w:type="dxa"/>
            <w:vAlign w:val="center"/>
          </w:tcPr>
          <w:p>
            <w:pPr>
              <w:jc w:val="center"/>
              <w:rPr>
                <w:rFonts w:ascii="宋体" w:hAnsi="宋体"/>
                <w:szCs w:val="21"/>
              </w:rPr>
            </w:pPr>
            <w:r>
              <w:rPr>
                <w:rFonts w:hint="eastAsia" w:ascii="宋体" w:hAnsi="宋体"/>
                <w:szCs w:val="21"/>
              </w:rPr>
              <w:t>2</w:t>
            </w:r>
          </w:p>
        </w:tc>
        <w:tc>
          <w:tcPr>
            <w:tcW w:w="1080" w:type="dxa"/>
            <w:vAlign w:val="center"/>
          </w:tcPr>
          <w:p>
            <w:pPr>
              <w:jc w:val="center"/>
              <w:rPr>
                <w:rFonts w:ascii="宋体" w:hAnsi="宋体"/>
                <w:szCs w:val="21"/>
              </w:rPr>
            </w:pPr>
          </w:p>
        </w:tc>
        <w:tc>
          <w:tcPr>
            <w:tcW w:w="1800" w:type="dxa"/>
            <w:shd w:val="clear" w:color="auto" w:fill="auto"/>
            <w:vAlign w:val="center"/>
          </w:tcPr>
          <w:p>
            <w:pPr>
              <w:jc w:val="center"/>
              <w:rPr>
                <w:rFonts w:ascii="宋体" w:hAnsi="宋体"/>
              </w:rPr>
            </w:pPr>
            <w:r>
              <w:rPr>
                <w:rFonts w:ascii="宋体" w:hAnsi="宋体"/>
              </w:rPr>
              <w:t>…</w:t>
            </w:r>
            <w:r>
              <w:rPr>
                <w:rFonts w:hint="eastAsia" w:ascii="宋体" w:hAnsi="宋体"/>
              </w:rPr>
              <w:t>主要负责人</w:t>
            </w:r>
          </w:p>
        </w:tc>
        <w:tc>
          <w:tcPr>
            <w:tcW w:w="1800" w:type="dxa"/>
            <w:shd w:val="clear" w:color="auto" w:fill="auto"/>
            <w:vAlign w:val="center"/>
          </w:tcPr>
          <w:p>
            <w:pPr>
              <w:jc w:val="center"/>
              <w:rPr>
                <w:rFonts w:ascii="宋体" w:hAnsi="宋体"/>
                <w:szCs w:val="21"/>
              </w:rPr>
            </w:pPr>
          </w:p>
        </w:tc>
        <w:tc>
          <w:tcPr>
            <w:tcW w:w="2160" w:type="dxa"/>
            <w:shd w:val="clear" w:color="auto" w:fill="auto"/>
            <w:vAlign w:val="center"/>
          </w:tcPr>
          <w:p>
            <w:pPr>
              <w:jc w:val="center"/>
              <w:rPr>
                <w:rFonts w:ascii="宋体" w:hAnsi="宋体"/>
                <w:szCs w:val="21"/>
              </w:rPr>
            </w:pPr>
          </w:p>
        </w:tc>
        <w:tc>
          <w:tcPr>
            <w:tcW w:w="1800" w:type="dxa"/>
          </w:tcPr>
          <w:p>
            <w:pPr>
              <w:jc w:val="center"/>
              <w:rPr>
                <w:rFonts w:ascii="宋体" w:hAnsi="宋体"/>
                <w:szCs w:val="21"/>
              </w:rPr>
            </w:pPr>
          </w:p>
        </w:tc>
        <w:tc>
          <w:tcPr>
            <w:tcW w:w="4320" w:type="dxa"/>
            <w:shd w:val="clear" w:color="auto" w:fill="auto"/>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48" w:type="dxa"/>
            <w:vAlign w:val="center"/>
          </w:tcPr>
          <w:p>
            <w:pPr>
              <w:jc w:val="center"/>
              <w:rPr>
                <w:rFonts w:ascii="宋体" w:hAnsi="宋体"/>
                <w:szCs w:val="21"/>
              </w:rPr>
            </w:pPr>
            <w:r>
              <w:rPr>
                <w:rFonts w:hint="eastAsia" w:ascii="宋体" w:hAnsi="宋体"/>
                <w:szCs w:val="21"/>
              </w:rPr>
              <w:t>3</w:t>
            </w:r>
          </w:p>
        </w:tc>
        <w:tc>
          <w:tcPr>
            <w:tcW w:w="1080" w:type="dxa"/>
            <w:vAlign w:val="center"/>
          </w:tcPr>
          <w:p>
            <w:pPr>
              <w:jc w:val="center"/>
              <w:rPr>
                <w:rFonts w:ascii="宋体" w:hAnsi="宋体"/>
                <w:szCs w:val="21"/>
              </w:rPr>
            </w:pPr>
          </w:p>
        </w:tc>
        <w:tc>
          <w:tcPr>
            <w:tcW w:w="1800" w:type="dxa"/>
            <w:shd w:val="clear" w:color="auto" w:fill="auto"/>
            <w:vAlign w:val="center"/>
          </w:tcPr>
          <w:p>
            <w:pPr>
              <w:jc w:val="center"/>
              <w:rPr>
                <w:rFonts w:ascii="宋体" w:hAnsi="宋体"/>
              </w:rPr>
            </w:pPr>
            <w:r>
              <w:rPr>
                <w:rFonts w:ascii="宋体" w:hAnsi="宋体"/>
              </w:rPr>
              <w:t>…</w:t>
            </w:r>
            <w:r>
              <w:rPr>
                <w:rFonts w:hint="eastAsia" w:ascii="宋体" w:hAnsi="宋体"/>
              </w:rPr>
              <w:t>主要负责人</w:t>
            </w:r>
          </w:p>
        </w:tc>
        <w:tc>
          <w:tcPr>
            <w:tcW w:w="1800" w:type="dxa"/>
            <w:shd w:val="clear" w:color="auto" w:fill="auto"/>
            <w:vAlign w:val="center"/>
          </w:tcPr>
          <w:p>
            <w:pPr>
              <w:jc w:val="center"/>
              <w:rPr>
                <w:rFonts w:ascii="宋体" w:hAnsi="宋体"/>
                <w:szCs w:val="21"/>
              </w:rPr>
            </w:pPr>
          </w:p>
        </w:tc>
        <w:tc>
          <w:tcPr>
            <w:tcW w:w="2160" w:type="dxa"/>
            <w:shd w:val="clear" w:color="auto" w:fill="auto"/>
            <w:vAlign w:val="center"/>
          </w:tcPr>
          <w:p>
            <w:pPr>
              <w:jc w:val="center"/>
              <w:rPr>
                <w:rFonts w:ascii="宋体" w:hAnsi="宋体"/>
                <w:szCs w:val="21"/>
              </w:rPr>
            </w:pPr>
          </w:p>
        </w:tc>
        <w:tc>
          <w:tcPr>
            <w:tcW w:w="1800" w:type="dxa"/>
          </w:tcPr>
          <w:p>
            <w:pPr>
              <w:jc w:val="center"/>
              <w:rPr>
                <w:rFonts w:ascii="宋体" w:hAnsi="宋体"/>
                <w:szCs w:val="21"/>
              </w:rPr>
            </w:pPr>
          </w:p>
        </w:tc>
        <w:tc>
          <w:tcPr>
            <w:tcW w:w="4320" w:type="dxa"/>
            <w:shd w:val="clear" w:color="auto" w:fill="auto"/>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48" w:type="dxa"/>
            <w:vAlign w:val="center"/>
          </w:tcPr>
          <w:p>
            <w:pPr>
              <w:jc w:val="center"/>
              <w:rPr>
                <w:rFonts w:ascii="宋体" w:hAnsi="宋体"/>
                <w:szCs w:val="21"/>
              </w:rPr>
            </w:pPr>
            <w:r>
              <w:rPr>
                <w:rFonts w:ascii="宋体" w:hAnsi="宋体"/>
                <w:szCs w:val="21"/>
              </w:rPr>
              <w:t>…</w:t>
            </w:r>
          </w:p>
        </w:tc>
        <w:tc>
          <w:tcPr>
            <w:tcW w:w="1080" w:type="dxa"/>
            <w:vAlign w:val="center"/>
          </w:tcPr>
          <w:p>
            <w:pPr>
              <w:jc w:val="center"/>
              <w:rPr>
                <w:rFonts w:ascii="宋体" w:hAnsi="宋体"/>
                <w:szCs w:val="21"/>
              </w:rPr>
            </w:pPr>
          </w:p>
        </w:tc>
        <w:tc>
          <w:tcPr>
            <w:tcW w:w="1800" w:type="dxa"/>
            <w:shd w:val="clear" w:color="auto" w:fill="auto"/>
            <w:vAlign w:val="center"/>
          </w:tcPr>
          <w:p>
            <w:pPr>
              <w:jc w:val="center"/>
              <w:rPr>
                <w:rFonts w:ascii="宋体" w:hAnsi="宋体"/>
              </w:rPr>
            </w:pPr>
          </w:p>
        </w:tc>
        <w:tc>
          <w:tcPr>
            <w:tcW w:w="1800" w:type="dxa"/>
            <w:shd w:val="clear" w:color="auto" w:fill="auto"/>
            <w:vAlign w:val="center"/>
          </w:tcPr>
          <w:p>
            <w:pPr>
              <w:jc w:val="center"/>
              <w:rPr>
                <w:rFonts w:ascii="宋体" w:hAnsi="宋体"/>
                <w:szCs w:val="21"/>
              </w:rPr>
            </w:pPr>
          </w:p>
        </w:tc>
        <w:tc>
          <w:tcPr>
            <w:tcW w:w="2160" w:type="dxa"/>
            <w:shd w:val="clear" w:color="auto" w:fill="auto"/>
            <w:vAlign w:val="center"/>
          </w:tcPr>
          <w:p>
            <w:pPr>
              <w:jc w:val="center"/>
              <w:rPr>
                <w:rFonts w:ascii="宋体" w:hAnsi="宋体"/>
                <w:szCs w:val="21"/>
              </w:rPr>
            </w:pPr>
          </w:p>
        </w:tc>
        <w:tc>
          <w:tcPr>
            <w:tcW w:w="1800" w:type="dxa"/>
          </w:tcPr>
          <w:p>
            <w:pPr>
              <w:jc w:val="center"/>
              <w:rPr>
                <w:rFonts w:ascii="宋体" w:hAnsi="宋体"/>
                <w:szCs w:val="21"/>
              </w:rPr>
            </w:pPr>
          </w:p>
        </w:tc>
        <w:tc>
          <w:tcPr>
            <w:tcW w:w="4320" w:type="dxa"/>
            <w:shd w:val="clear" w:color="auto" w:fill="auto"/>
            <w:vAlign w:val="center"/>
          </w:tcPr>
          <w:p>
            <w:pPr>
              <w:jc w:val="center"/>
              <w:rPr>
                <w:rFonts w:ascii="宋体" w:hAnsi="宋体"/>
                <w:szCs w:val="21"/>
              </w:rPr>
            </w:pPr>
          </w:p>
        </w:tc>
      </w:tr>
    </w:tbl>
    <w:p>
      <w:pPr>
        <w:spacing w:line="360" w:lineRule="auto"/>
        <w:rPr>
          <w:rFonts w:hAnsi="宋体"/>
        </w:rPr>
      </w:pPr>
      <w:r>
        <w:rPr>
          <w:rFonts w:hint="eastAsia" w:hAnsi="宋体"/>
        </w:rPr>
        <w:t>注：项目负责人和专业负责人按本工程的实际需求填写。</w:t>
      </w:r>
    </w:p>
    <w:p>
      <w:pPr>
        <w:spacing w:line="360" w:lineRule="auto"/>
        <w:rPr>
          <w:rFonts w:ascii="宋体" w:hAnsi="宋体"/>
          <w:szCs w:val="21"/>
        </w:rPr>
      </w:pPr>
      <w:r>
        <w:rPr>
          <w:rFonts w:hint="eastAsia" w:ascii="宋体" w:hAnsi="宋体"/>
        </w:rPr>
        <w:t>申请人：                                                                                          申请日期：       年    月    日</w:t>
      </w:r>
    </w:p>
    <w:p>
      <w:pPr>
        <w:rPr>
          <w:rFonts w:ascii="宋体" w:hAnsi="宋体"/>
          <w:szCs w:val="21"/>
        </w:rPr>
      </w:pPr>
    </w:p>
    <w:p>
      <w:pPr>
        <w:rPr>
          <w:rFonts w:ascii="宋体" w:hAnsi="宋体"/>
          <w:szCs w:val="21"/>
        </w:rPr>
        <w:sectPr>
          <w:pgSz w:w="16838" w:h="11906" w:orient="landscape"/>
          <w:pgMar w:top="1440" w:right="1440" w:bottom="1466" w:left="1440" w:header="851" w:footer="992" w:gutter="0"/>
          <w:cols w:space="425" w:num="1"/>
          <w:docGrid w:type="linesAndChars" w:linePitch="312" w:charSpace="0"/>
        </w:sectPr>
      </w:pPr>
    </w:p>
    <w:p>
      <w:pPr>
        <w:pStyle w:val="4"/>
        <w:jc w:val="left"/>
        <w:rPr>
          <w:strike/>
        </w:rPr>
      </w:pPr>
      <w:bookmarkStart w:id="14" w:name="_Toc136262990"/>
      <w:r>
        <w:rPr>
          <w:rFonts w:hint="eastAsia"/>
          <w:strike/>
        </w:rPr>
        <w:t>附录</w:t>
      </w:r>
      <w:r>
        <w:rPr>
          <w:strike/>
        </w:rPr>
        <w:t>4</w:t>
      </w:r>
      <w:r>
        <w:rPr>
          <w:rFonts w:hint="eastAsia"/>
          <w:strike/>
        </w:rPr>
        <w:t>（本表送交易服务机构备案）</w:t>
      </w:r>
      <w:bookmarkEnd w:id="14"/>
    </w:p>
    <w:p>
      <w:pPr>
        <w:ind w:left="178" w:leftChars="85"/>
        <w:jc w:val="center"/>
        <w:rPr>
          <w:rFonts w:ascii="宋体" w:hAnsi="宋体"/>
          <w:b/>
          <w:strike/>
          <w:sz w:val="32"/>
        </w:rPr>
      </w:pPr>
      <w:r>
        <w:rPr>
          <w:rFonts w:hint="eastAsia" w:ascii="宋体" w:hAnsi="宋体"/>
          <w:b/>
          <w:strike/>
          <w:sz w:val="32"/>
        </w:rPr>
        <w:t>正式投标人名单</w:t>
      </w:r>
    </w:p>
    <w:p>
      <w:pPr>
        <w:ind w:left="178" w:leftChars="85"/>
        <w:rPr>
          <w:rFonts w:ascii="宋体" w:hAnsi="宋体"/>
          <w:strike/>
        </w:rPr>
      </w:pPr>
    </w:p>
    <w:p>
      <w:pPr>
        <w:ind w:left="178" w:leftChars="85"/>
        <w:rPr>
          <w:rFonts w:ascii="宋体" w:hAnsi="宋体"/>
          <w:strike/>
        </w:rPr>
      </w:pPr>
      <w:r>
        <w:rPr>
          <w:rFonts w:hint="eastAsia" w:ascii="宋体" w:hAnsi="宋体"/>
          <w:strike/>
        </w:rPr>
        <w:t>招标项目名称：</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600"/>
        <w:gridCol w:w="1440"/>
        <w:gridCol w:w="216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strike/>
              </w:rPr>
            </w:pPr>
            <w:r>
              <w:rPr>
                <w:rFonts w:hint="eastAsia" w:ascii="宋体" w:hAnsi="宋体"/>
                <w:strike/>
              </w:rPr>
              <w:t>序号</w:t>
            </w:r>
          </w:p>
        </w:tc>
        <w:tc>
          <w:tcPr>
            <w:tcW w:w="3600" w:type="dxa"/>
            <w:vAlign w:val="center"/>
          </w:tcPr>
          <w:p>
            <w:pPr>
              <w:jc w:val="center"/>
              <w:rPr>
                <w:rFonts w:ascii="宋体" w:hAnsi="宋体"/>
                <w:strike/>
              </w:rPr>
            </w:pPr>
            <w:r>
              <w:rPr>
                <w:rFonts w:hint="eastAsia" w:ascii="宋体" w:hAnsi="宋体"/>
                <w:strike/>
              </w:rPr>
              <w:t>投标人名称</w:t>
            </w:r>
          </w:p>
        </w:tc>
        <w:tc>
          <w:tcPr>
            <w:tcW w:w="1440" w:type="dxa"/>
            <w:vAlign w:val="center"/>
          </w:tcPr>
          <w:p>
            <w:pPr>
              <w:jc w:val="center"/>
              <w:rPr>
                <w:rFonts w:ascii="宋体" w:hAnsi="宋体"/>
                <w:strike/>
              </w:rPr>
            </w:pPr>
            <w:r>
              <w:rPr>
                <w:rFonts w:hint="eastAsia" w:ascii="宋体" w:hAnsi="宋体"/>
                <w:strike/>
              </w:rPr>
              <w:t>联络人</w:t>
            </w:r>
          </w:p>
        </w:tc>
        <w:tc>
          <w:tcPr>
            <w:tcW w:w="2160" w:type="dxa"/>
            <w:vAlign w:val="center"/>
          </w:tcPr>
          <w:p>
            <w:pPr>
              <w:jc w:val="center"/>
              <w:rPr>
                <w:rFonts w:ascii="宋体" w:hAnsi="宋体"/>
                <w:strike/>
              </w:rPr>
            </w:pPr>
            <w:r>
              <w:rPr>
                <w:rFonts w:hint="eastAsia" w:ascii="宋体" w:hAnsi="宋体"/>
                <w:strike/>
              </w:rPr>
              <w:t>电话号码</w:t>
            </w:r>
          </w:p>
          <w:p>
            <w:pPr>
              <w:jc w:val="center"/>
              <w:rPr>
                <w:rFonts w:ascii="宋体" w:hAnsi="宋体"/>
                <w:strike/>
              </w:rPr>
            </w:pPr>
            <w:r>
              <w:rPr>
                <w:rFonts w:hint="eastAsia" w:ascii="宋体" w:hAnsi="宋体"/>
                <w:strike/>
              </w:rPr>
              <w:t>（移动电话）</w:t>
            </w:r>
          </w:p>
        </w:tc>
        <w:tc>
          <w:tcPr>
            <w:tcW w:w="1548" w:type="dxa"/>
            <w:vAlign w:val="center"/>
          </w:tcPr>
          <w:p>
            <w:pPr>
              <w:ind w:left="-106" w:leftChars="-51" w:hanging="1"/>
              <w:jc w:val="center"/>
              <w:rPr>
                <w:rFonts w:ascii="宋体" w:hAnsi="宋体"/>
                <w:strike/>
              </w:rPr>
            </w:pPr>
            <w:r>
              <w:rPr>
                <w:rFonts w:hint="eastAsia" w:ascii="宋体" w:hAnsi="宋体"/>
                <w:strike/>
              </w:rPr>
              <w:t>购买招标文件日期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68" w:type="dxa"/>
          </w:tcPr>
          <w:p>
            <w:pPr>
              <w:jc w:val="center"/>
              <w:rPr>
                <w:rFonts w:ascii="宋体" w:hAnsi="宋体"/>
                <w:strike/>
              </w:rPr>
            </w:pPr>
          </w:p>
        </w:tc>
        <w:tc>
          <w:tcPr>
            <w:tcW w:w="3600" w:type="dxa"/>
          </w:tcPr>
          <w:p>
            <w:pPr>
              <w:jc w:val="center"/>
              <w:rPr>
                <w:rFonts w:ascii="宋体" w:hAnsi="宋体"/>
                <w:strike/>
              </w:rPr>
            </w:pPr>
          </w:p>
        </w:tc>
        <w:tc>
          <w:tcPr>
            <w:tcW w:w="1440" w:type="dxa"/>
          </w:tcPr>
          <w:p>
            <w:pPr>
              <w:jc w:val="center"/>
              <w:rPr>
                <w:rFonts w:ascii="宋体" w:hAnsi="宋体"/>
                <w:strike/>
              </w:rPr>
            </w:pPr>
          </w:p>
        </w:tc>
        <w:tc>
          <w:tcPr>
            <w:tcW w:w="2160" w:type="dxa"/>
          </w:tcPr>
          <w:p>
            <w:pPr>
              <w:jc w:val="center"/>
              <w:rPr>
                <w:rFonts w:ascii="宋体" w:hAnsi="宋体"/>
                <w:strike/>
              </w:rPr>
            </w:pPr>
          </w:p>
        </w:tc>
        <w:tc>
          <w:tcPr>
            <w:tcW w:w="1548" w:type="dxa"/>
          </w:tcPr>
          <w:p>
            <w:pPr>
              <w:ind w:left="-106" w:leftChars="-51" w:hanging="1"/>
              <w:jc w:val="center"/>
              <w:rPr>
                <w:rFonts w:ascii="宋体" w:hAnsi="宋体"/>
                <w:strike/>
              </w:rPr>
            </w:pPr>
          </w:p>
        </w:tc>
      </w:tr>
    </w:tbl>
    <w:p>
      <w:pPr>
        <w:ind w:left="178" w:leftChars="85"/>
        <w:rPr>
          <w:rFonts w:ascii="宋体" w:hAnsi="宋体"/>
          <w:strike/>
        </w:rPr>
      </w:pPr>
      <w:r>
        <w:rPr>
          <w:rFonts w:hint="eastAsia" w:ascii="宋体" w:hAnsi="宋体"/>
          <w:strike/>
        </w:rPr>
        <w:t>经办人：                  电话：                      日期：       年   月   日</w:t>
      </w:r>
    </w:p>
    <w:p>
      <w:pPr>
        <w:ind w:left="178" w:leftChars="85"/>
        <w:rPr>
          <w:rFonts w:ascii="宋体" w:hAnsi="宋体"/>
        </w:rPr>
        <w:sectPr>
          <w:type w:val="nextColumn"/>
          <w:pgSz w:w="11906" w:h="16838"/>
          <w:pgMar w:top="1440" w:right="1466" w:bottom="1440" w:left="1440" w:header="851" w:footer="992" w:gutter="0"/>
          <w:cols w:space="425" w:num="1"/>
          <w:docGrid w:type="linesAndChars" w:linePitch="312" w:charSpace="0"/>
        </w:sectPr>
      </w:pPr>
    </w:p>
    <w:p>
      <w:pPr>
        <w:pStyle w:val="4"/>
        <w:jc w:val="left"/>
      </w:pPr>
      <w:bookmarkStart w:id="15" w:name="_Toc136262991"/>
      <w:r>
        <w:rPr>
          <w:rFonts w:hint="eastAsia"/>
        </w:rPr>
        <w:t>附录</w:t>
      </w:r>
      <w:r>
        <w:t>5</w:t>
      </w:r>
      <w:bookmarkEnd w:id="15"/>
    </w:p>
    <w:p>
      <w:pPr>
        <w:ind w:left="178" w:leftChars="85"/>
        <w:jc w:val="center"/>
        <w:rPr>
          <w:rFonts w:ascii="宋体" w:hAnsi="宋体"/>
          <w:b/>
          <w:sz w:val="32"/>
        </w:rPr>
      </w:pPr>
      <w:r>
        <w:rPr>
          <w:rFonts w:hint="eastAsia" w:ascii="宋体" w:hAnsi="宋体"/>
          <w:b/>
          <w:sz w:val="32"/>
        </w:rPr>
        <w:t>勘察设计费报价表</w:t>
      </w:r>
    </w:p>
    <w:tbl>
      <w:tblPr>
        <w:tblStyle w:val="2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5475"/>
        <w:gridCol w:w="1155"/>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序号</w:t>
            </w:r>
          </w:p>
        </w:tc>
        <w:tc>
          <w:tcPr>
            <w:tcW w:w="5475" w:type="dxa"/>
          </w:tcPr>
          <w:p>
            <w:pPr>
              <w:spacing w:line="360" w:lineRule="auto"/>
              <w:rPr>
                <w:rFonts w:ascii="宋体" w:hAnsi="宋体" w:cs="仿宋_GB2312"/>
                <w:szCs w:val="21"/>
              </w:rPr>
            </w:pPr>
            <w:r>
              <w:rPr>
                <w:rFonts w:hint="eastAsia" w:ascii="宋体" w:hAnsi="宋体" w:cs="仿宋_GB2312"/>
                <w:szCs w:val="21"/>
              </w:rPr>
              <w:t>项</w:t>
            </w:r>
          </w:p>
        </w:tc>
        <w:tc>
          <w:tcPr>
            <w:tcW w:w="1155" w:type="dxa"/>
          </w:tcPr>
          <w:p>
            <w:pPr>
              <w:spacing w:line="360" w:lineRule="auto"/>
              <w:rPr>
                <w:rFonts w:ascii="宋体" w:hAnsi="宋体" w:cs="仿宋_GB2312"/>
                <w:szCs w:val="21"/>
              </w:rPr>
            </w:pPr>
            <w:r>
              <w:rPr>
                <w:rFonts w:hint="eastAsia" w:ascii="宋体" w:hAnsi="宋体" w:cs="仿宋_GB2312"/>
                <w:szCs w:val="21"/>
              </w:rPr>
              <w:t>报价</w:t>
            </w:r>
          </w:p>
        </w:tc>
        <w:tc>
          <w:tcPr>
            <w:tcW w:w="1745" w:type="dxa"/>
          </w:tcPr>
          <w:p>
            <w:pPr>
              <w:spacing w:line="360" w:lineRule="auto"/>
              <w:rPr>
                <w:rFonts w:ascii="宋体" w:hAnsi="宋体" w:cs="仿宋_GB2312"/>
                <w:szCs w:val="21"/>
              </w:rPr>
            </w:pPr>
            <w:r>
              <w:rPr>
                <w:rFonts w:hint="eastAsia" w:ascii="宋体" w:hAnsi="宋体" w:cs="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1</w:t>
            </w:r>
          </w:p>
        </w:tc>
        <w:tc>
          <w:tcPr>
            <w:tcW w:w="5475" w:type="dxa"/>
          </w:tcPr>
          <w:p>
            <w:pPr>
              <w:spacing w:line="360" w:lineRule="auto"/>
              <w:rPr>
                <w:rFonts w:ascii="宋体" w:hAnsi="宋体" w:cs="仿宋_GB2312"/>
                <w:szCs w:val="21"/>
              </w:rPr>
            </w:pPr>
            <w:r>
              <w:rPr>
                <w:rFonts w:hint="eastAsia" w:ascii="宋体" w:hAnsi="宋体" w:cs="仿宋_GB2312"/>
                <w:szCs w:val="21"/>
              </w:rPr>
              <w:t>岩土工程勘探费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2</w:t>
            </w:r>
          </w:p>
        </w:tc>
        <w:tc>
          <w:tcPr>
            <w:tcW w:w="5475" w:type="dxa"/>
          </w:tcPr>
          <w:p>
            <w:pPr>
              <w:spacing w:line="360" w:lineRule="auto"/>
              <w:rPr>
                <w:rFonts w:ascii="宋体" w:hAnsi="宋体" w:cs="仿宋_GB2312"/>
                <w:szCs w:val="21"/>
              </w:rPr>
            </w:pPr>
            <w:r>
              <w:rPr>
                <w:rFonts w:hint="eastAsia" w:ascii="宋体" w:hAnsi="宋体" w:cs="仿宋_GB2312"/>
                <w:szCs w:val="21"/>
              </w:rPr>
              <w:t>工程测量费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3</w:t>
            </w:r>
          </w:p>
        </w:tc>
        <w:tc>
          <w:tcPr>
            <w:tcW w:w="5475" w:type="dxa"/>
          </w:tcPr>
          <w:p>
            <w:pPr>
              <w:spacing w:line="360" w:lineRule="auto"/>
              <w:rPr>
                <w:rFonts w:ascii="宋体" w:hAnsi="宋体" w:cs="仿宋_GB2312"/>
                <w:szCs w:val="21"/>
              </w:rPr>
            </w:pPr>
            <w:r>
              <w:rPr>
                <w:rFonts w:hint="eastAsia" w:ascii="宋体" w:hAnsi="宋体" w:cs="仿宋_GB2312"/>
                <w:szCs w:val="21"/>
              </w:rPr>
              <w:t>工程物探费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4</w:t>
            </w:r>
          </w:p>
        </w:tc>
        <w:tc>
          <w:tcPr>
            <w:tcW w:w="5475" w:type="dxa"/>
          </w:tcPr>
          <w:p>
            <w:pPr>
              <w:spacing w:line="360" w:lineRule="auto"/>
              <w:rPr>
                <w:rFonts w:ascii="宋体" w:hAnsi="宋体" w:cs="仿宋_GB2312"/>
                <w:szCs w:val="21"/>
              </w:rPr>
            </w:pPr>
            <w:r>
              <w:rPr>
                <w:rFonts w:hint="eastAsia" w:ascii="宋体" w:hAnsi="宋体" w:cs="仿宋_GB2312"/>
                <w:szCs w:val="21"/>
              </w:rPr>
              <w:t>其他勘察费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p>
        </w:tc>
        <w:tc>
          <w:tcPr>
            <w:tcW w:w="5475" w:type="dxa"/>
          </w:tcPr>
          <w:p>
            <w:pPr>
              <w:spacing w:line="360" w:lineRule="auto"/>
              <w:rPr>
                <w:rFonts w:ascii="宋体" w:hAnsi="宋体" w:cs="仿宋_GB2312"/>
                <w:szCs w:val="21"/>
              </w:rPr>
            </w:pPr>
            <w:r>
              <w:rPr>
                <w:rFonts w:hint="eastAsia" w:ascii="宋体" w:hAnsi="宋体" w:cs="仿宋_GB2312"/>
                <w:szCs w:val="21"/>
              </w:rPr>
              <w:t>……</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p>
        </w:tc>
        <w:tc>
          <w:tcPr>
            <w:tcW w:w="5475" w:type="dxa"/>
          </w:tcPr>
          <w:p>
            <w:pPr>
              <w:spacing w:line="360" w:lineRule="auto"/>
              <w:rPr>
                <w:rFonts w:ascii="宋体" w:hAnsi="宋体" w:cs="仿宋_GB2312"/>
                <w:szCs w:val="21"/>
              </w:rPr>
            </w:pPr>
            <w:r>
              <w:rPr>
                <w:rFonts w:hint="eastAsia" w:ascii="宋体" w:hAnsi="宋体" w:cs="仿宋_GB2312"/>
                <w:szCs w:val="21"/>
              </w:rPr>
              <w:t>勘察费小计</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5</w:t>
            </w:r>
          </w:p>
        </w:tc>
        <w:tc>
          <w:tcPr>
            <w:tcW w:w="5475" w:type="dxa"/>
          </w:tcPr>
          <w:p>
            <w:pPr>
              <w:spacing w:line="360" w:lineRule="auto"/>
              <w:rPr>
                <w:rFonts w:ascii="宋体" w:hAnsi="宋体" w:cs="仿宋_GB2312"/>
                <w:szCs w:val="21"/>
              </w:rPr>
            </w:pPr>
            <w:r>
              <w:rPr>
                <w:rFonts w:hint="eastAsia" w:ascii="宋体" w:hAnsi="宋体" w:cs="仿宋_GB2312"/>
                <w:szCs w:val="21"/>
              </w:rPr>
              <w:t>初步设计费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r>
              <w:rPr>
                <w:rFonts w:hint="eastAsia" w:ascii="宋体" w:hAnsi="宋体" w:cs="仿宋_GB2312"/>
                <w:szCs w:val="21"/>
              </w:rPr>
              <w:t>6</w:t>
            </w:r>
          </w:p>
        </w:tc>
        <w:tc>
          <w:tcPr>
            <w:tcW w:w="5475" w:type="dxa"/>
          </w:tcPr>
          <w:p>
            <w:pPr>
              <w:spacing w:line="360" w:lineRule="auto"/>
              <w:rPr>
                <w:rFonts w:ascii="宋体" w:hAnsi="宋体" w:cs="仿宋_GB2312"/>
                <w:szCs w:val="21"/>
              </w:rPr>
            </w:pPr>
            <w:r>
              <w:rPr>
                <w:rFonts w:hint="eastAsia" w:ascii="宋体" w:hAnsi="宋体" w:cs="仿宋_GB2312"/>
                <w:szCs w:val="21"/>
              </w:rPr>
              <w:t>施工图设计费</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p>
        </w:tc>
        <w:tc>
          <w:tcPr>
            <w:tcW w:w="5475" w:type="dxa"/>
          </w:tcPr>
          <w:p>
            <w:pPr>
              <w:spacing w:line="360" w:lineRule="auto"/>
              <w:rPr>
                <w:rFonts w:ascii="宋体" w:hAnsi="宋体" w:cs="仿宋_GB2312"/>
                <w:szCs w:val="21"/>
              </w:rPr>
            </w:pPr>
            <w:r>
              <w:rPr>
                <w:rFonts w:hint="eastAsia" w:ascii="宋体" w:hAnsi="宋体" w:cs="仿宋_GB2312"/>
                <w:szCs w:val="21"/>
              </w:rPr>
              <w:t>……</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p>
        </w:tc>
        <w:tc>
          <w:tcPr>
            <w:tcW w:w="5475" w:type="dxa"/>
          </w:tcPr>
          <w:p>
            <w:pPr>
              <w:spacing w:line="360" w:lineRule="auto"/>
              <w:rPr>
                <w:rFonts w:ascii="宋体" w:hAnsi="宋体" w:cs="仿宋_GB2312"/>
                <w:szCs w:val="21"/>
              </w:rPr>
            </w:pPr>
            <w:r>
              <w:rPr>
                <w:rFonts w:hint="eastAsia" w:ascii="宋体" w:hAnsi="宋体" w:cs="仿宋_GB2312"/>
                <w:szCs w:val="21"/>
              </w:rPr>
              <w:t>设计费小计</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spacing w:line="360" w:lineRule="auto"/>
              <w:rPr>
                <w:rFonts w:ascii="宋体" w:hAnsi="宋体" w:cs="仿宋_GB2312"/>
                <w:szCs w:val="21"/>
              </w:rPr>
            </w:pPr>
          </w:p>
        </w:tc>
        <w:tc>
          <w:tcPr>
            <w:tcW w:w="5475" w:type="dxa"/>
          </w:tcPr>
          <w:p>
            <w:pPr>
              <w:spacing w:line="360" w:lineRule="auto"/>
              <w:rPr>
                <w:rFonts w:ascii="宋体" w:hAnsi="宋体" w:cs="仿宋_GB2312"/>
                <w:szCs w:val="21"/>
              </w:rPr>
            </w:pPr>
            <w:r>
              <w:rPr>
                <w:rFonts w:hint="eastAsia" w:ascii="宋体" w:hAnsi="宋体" w:cs="仿宋_GB2312"/>
                <w:szCs w:val="21"/>
              </w:rPr>
              <w:t>勘察设计费合计</w:t>
            </w:r>
          </w:p>
        </w:tc>
        <w:tc>
          <w:tcPr>
            <w:tcW w:w="1155" w:type="dxa"/>
          </w:tcPr>
          <w:p>
            <w:pPr>
              <w:spacing w:line="360" w:lineRule="auto"/>
              <w:rPr>
                <w:rFonts w:ascii="宋体" w:hAnsi="宋体" w:cs="仿宋_GB2312"/>
                <w:szCs w:val="21"/>
              </w:rPr>
            </w:pPr>
          </w:p>
        </w:tc>
        <w:tc>
          <w:tcPr>
            <w:tcW w:w="1745" w:type="dxa"/>
          </w:tcPr>
          <w:p>
            <w:pPr>
              <w:spacing w:line="360" w:lineRule="auto"/>
              <w:rPr>
                <w:rFonts w:ascii="宋体" w:hAnsi="宋体" w:cs="仿宋_GB2312"/>
                <w:szCs w:val="21"/>
              </w:rPr>
            </w:pPr>
          </w:p>
        </w:tc>
      </w:tr>
    </w:tbl>
    <w:p>
      <w:pPr>
        <w:spacing w:line="360" w:lineRule="auto"/>
        <w:rPr>
          <w:rFonts w:ascii="宋体" w:hAnsi="宋体" w:cs="仿宋_GB2312"/>
          <w:szCs w:val="21"/>
        </w:rPr>
      </w:pPr>
      <w:r>
        <w:rPr>
          <w:rFonts w:hint="eastAsia" w:ascii="宋体" w:hAnsi="宋体" w:cs="仿宋_GB2312"/>
          <w:szCs w:val="21"/>
        </w:rPr>
        <w:t>注释：1、投标人根据《勘察设计费报价表》的要求进行报价。投标人报价应不高于限价。</w:t>
      </w:r>
    </w:p>
    <w:p>
      <w:pPr>
        <w:spacing w:line="360" w:lineRule="auto"/>
        <w:ind w:firstLine="630" w:firstLineChars="300"/>
        <w:rPr>
          <w:rFonts w:ascii="宋体" w:hAnsi="宋体" w:cs="仿宋_GB2312"/>
          <w:szCs w:val="21"/>
        </w:rPr>
      </w:pPr>
      <w:r>
        <w:rPr>
          <w:rFonts w:hint="eastAsia" w:ascii="宋体" w:hAnsi="宋体" w:cs="仿宋_GB2312"/>
          <w:szCs w:val="21"/>
        </w:rPr>
        <w:t>2、经算术复核的投标人报价与其投标报价不一致时，按就低不就高原则确定其最终报价。如修正后的投标报价超出相应的最高投标限价，则由评标委员作废标处理。</w:t>
      </w:r>
    </w:p>
    <w:p>
      <w:pPr>
        <w:spacing w:line="360" w:lineRule="auto"/>
        <w:ind w:firstLine="630" w:firstLineChars="300"/>
        <w:rPr>
          <w:rFonts w:ascii="宋体" w:hAnsi="宋体" w:cs="仿宋_GB2312"/>
          <w:szCs w:val="21"/>
        </w:rPr>
      </w:pPr>
      <w:r>
        <w:rPr>
          <w:rFonts w:hint="eastAsia" w:ascii="宋体" w:hAnsi="宋体" w:cs="仿宋_GB2312"/>
          <w:szCs w:val="21"/>
        </w:rPr>
        <w:t>3、按上述修正错误的原则及方法调整或修正投标文件的投标报价，调整后的投标报价对投标人起约束作用。如果投标人不接受修正后的报价，则取消其投标资格。</w:t>
      </w:r>
    </w:p>
    <w:p>
      <w:pPr>
        <w:spacing w:line="360" w:lineRule="auto"/>
        <w:ind w:firstLine="630" w:firstLineChars="300"/>
        <w:rPr>
          <w:rFonts w:ascii="宋体" w:hAnsi="宋体" w:cs="仿宋_GB2312"/>
          <w:szCs w:val="21"/>
        </w:rPr>
      </w:pPr>
      <w:r>
        <w:rPr>
          <w:rFonts w:hint="eastAsia" w:ascii="宋体" w:hAnsi="宋体" w:cs="仿宋_GB2312"/>
          <w:szCs w:val="21"/>
        </w:rPr>
        <w:t>4、勘察设计费已包括完成该勘察设计项目的成本、利润、税金、赶工费、图纸资料文印费、技术措施费、技术考察调研费、评审时发生的会务费、评审专家费、专家交通费、宣传、汇报（含影像、动画、效果图等资料）、概算编制等一切费用、风险费、保险等所有费用，发包人不再另行结算支付。</w:t>
      </w:r>
    </w:p>
    <w:p>
      <w:pPr>
        <w:spacing w:line="360" w:lineRule="auto"/>
        <w:ind w:firstLine="630" w:firstLineChars="300"/>
        <w:rPr>
          <w:rFonts w:ascii="宋体" w:hAnsi="宋体" w:cs="仿宋_GB2312"/>
          <w:szCs w:val="21"/>
        </w:rPr>
      </w:pPr>
      <w:r>
        <w:rPr>
          <w:rFonts w:hint="eastAsia" w:ascii="宋体" w:hAnsi="宋体" w:cs="仿宋_GB2312"/>
          <w:szCs w:val="21"/>
        </w:rPr>
        <w:t>5、本表所列项可根据项目的具体情况自行调整。</w:t>
      </w:r>
    </w:p>
    <w:p>
      <w:pPr>
        <w:rPr>
          <w:rFonts w:ascii="宋体" w:hAnsi="宋体" w:cs="仿宋_GB2312"/>
          <w:szCs w:val="21"/>
        </w:rPr>
      </w:pPr>
      <w:r>
        <w:rPr>
          <w:rFonts w:hint="eastAsia" w:ascii="宋体" w:hAnsi="宋体" w:cs="仿宋_GB2312"/>
          <w:szCs w:val="21"/>
        </w:rPr>
        <w:br w:type="page"/>
      </w:r>
    </w:p>
    <w:p>
      <w:pPr>
        <w:pStyle w:val="4"/>
        <w:jc w:val="left"/>
        <w:rPr>
          <w:b w:val="0"/>
          <w:u w:val="single"/>
        </w:rPr>
      </w:pPr>
      <w:bookmarkStart w:id="16" w:name="_Toc136262992"/>
      <w:r>
        <w:rPr>
          <w:rFonts w:hint="eastAsia"/>
          <w:u w:val="single"/>
        </w:rPr>
        <w:t>附录</w:t>
      </w:r>
      <w:r>
        <w:rPr>
          <w:u w:val="single"/>
        </w:rPr>
        <w:t>5-1</w:t>
      </w:r>
      <w:bookmarkEnd w:id="16"/>
    </w:p>
    <w:p>
      <w:pPr>
        <w:topLinePunct/>
        <w:adjustRightInd w:val="0"/>
        <w:snapToGrid w:val="0"/>
        <w:spacing w:line="360" w:lineRule="auto"/>
        <w:jc w:val="center"/>
        <w:rPr>
          <w:rFonts w:ascii="宋体" w:hAnsi="宋体"/>
          <w:sz w:val="24"/>
        </w:rPr>
      </w:pPr>
      <w:r>
        <w:rPr>
          <w:rFonts w:hint="eastAsia" w:ascii="宋体" w:hAnsi="宋体"/>
          <w:b/>
          <w:bCs/>
          <w:sz w:val="32"/>
          <w:szCs w:val="32"/>
          <w:u w:val="single"/>
        </w:rPr>
        <w:t>工程设计费报价及计算依据表</w:t>
      </w:r>
    </w:p>
    <w:tbl>
      <w:tblPr>
        <w:tblStyle w:val="28"/>
        <w:tblW w:w="926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6"/>
        <w:gridCol w:w="2484"/>
        <w:gridCol w:w="900"/>
        <w:gridCol w:w="1224"/>
        <w:gridCol w:w="1140"/>
        <w:gridCol w:w="1436"/>
        <w:gridCol w:w="13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96" w:type="dxa"/>
            <w:vAlign w:val="center"/>
          </w:tcPr>
          <w:p>
            <w:pPr>
              <w:spacing w:line="320" w:lineRule="exact"/>
              <w:jc w:val="center"/>
              <w:rPr>
                <w:rFonts w:ascii="宋体" w:hAnsi="宋体"/>
                <w:sz w:val="24"/>
              </w:rPr>
            </w:pPr>
            <w:r>
              <w:rPr>
                <w:rFonts w:hint="eastAsia" w:ascii="宋体" w:hAnsi="宋体"/>
                <w:sz w:val="24"/>
              </w:rPr>
              <w:t>序</w:t>
            </w:r>
          </w:p>
          <w:p>
            <w:pPr>
              <w:spacing w:line="320" w:lineRule="exact"/>
              <w:jc w:val="center"/>
              <w:rPr>
                <w:rFonts w:ascii="宋体" w:hAnsi="宋体"/>
                <w:sz w:val="24"/>
              </w:rPr>
            </w:pPr>
            <w:r>
              <w:rPr>
                <w:rFonts w:hint="eastAsia" w:ascii="宋体" w:hAnsi="宋体"/>
                <w:sz w:val="24"/>
              </w:rPr>
              <w:t>号</w:t>
            </w:r>
          </w:p>
        </w:tc>
        <w:tc>
          <w:tcPr>
            <w:tcW w:w="2484" w:type="dxa"/>
            <w:vAlign w:val="center"/>
          </w:tcPr>
          <w:p>
            <w:pPr>
              <w:spacing w:line="320" w:lineRule="exact"/>
              <w:jc w:val="center"/>
              <w:rPr>
                <w:rFonts w:ascii="宋体" w:hAnsi="宋体"/>
                <w:sz w:val="24"/>
              </w:rPr>
            </w:pPr>
            <w:r>
              <w:rPr>
                <w:rFonts w:hint="eastAsia" w:ascii="宋体" w:hAnsi="宋体"/>
                <w:sz w:val="24"/>
              </w:rPr>
              <w:t>分项名称</w:t>
            </w:r>
          </w:p>
        </w:tc>
        <w:tc>
          <w:tcPr>
            <w:tcW w:w="900" w:type="dxa"/>
            <w:vAlign w:val="center"/>
          </w:tcPr>
          <w:p>
            <w:pPr>
              <w:spacing w:line="320" w:lineRule="exact"/>
              <w:jc w:val="center"/>
              <w:rPr>
                <w:rFonts w:ascii="宋体" w:hAnsi="宋体"/>
                <w:sz w:val="24"/>
              </w:rPr>
            </w:pPr>
            <w:r>
              <w:rPr>
                <w:rFonts w:hint="eastAsia" w:ascii="宋体" w:hAnsi="宋体"/>
                <w:sz w:val="24"/>
              </w:rPr>
              <w:t>规模或等级</w:t>
            </w:r>
          </w:p>
        </w:tc>
        <w:tc>
          <w:tcPr>
            <w:tcW w:w="1224" w:type="dxa"/>
            <w:vAlign w:val="center"/>
          </w:tcPr>
          <w:p>
            <w:pPr>
              <w:spacing w:line="320" w:lineRule="exact"/>
              <w:jc w:val="center"/>
              <w:rPr>
                <w:rFonts w:ascii="宋体" w:hAnsi="宋体"/>
                <w:sz w:val="24"/>
              </w:rPr>
            </w:pPr>
            <w:r>
              <w:rPr>
                <w:rFonts w:hint="eastAsia" w:ascii="宋体" w:hAnsi="宋体"/>
                <w:sz w:val="24"/>
              </w:rPr>
              <w:t>工程估算</w:t>
            </w:r>
          </w:p>
          <w:p>
            <w:pPr>
              <w:spacing w:line="320" w:lineRule="exact"/>
              <w:jc w:val="center"/>
              <w:rPr>
                <w:rFonts w:ascii="宋体" w:hAnsi="宋体"/>
                <w:sz w:val="24"/>
              </w:rPr>
            </w:pPr>
            <w:r>
              <w:rPr>
                <w:rFonts w:hint="eastAsia" w:ascii="宋体" w:hAnsi="宋体"/>
                <w:sz w:val="24"/>
              </w:rPr>
              <w:t>投资(万元)</w:t>
            </w:r>
          </w:p>
        </w:tc>
        <w:tc>
          <w:tcPr>
            <w:tcW w:w="1140" w:type="dxa"/>
            <w:vAlign w:val="center"/>
          </w:tcPr>
          <w:p>
            <w:pPr>
              <w:spacing w:line="320" w:lineRule="exact"/>
              <w:jc w:val="center"/>
              <w:rPr>
                <w:rFonts w:ascii="宋体" w:hAnsi="宋体"/>
                <w:sz w:val="24"/>
              </w:rPr>
            </w:pPr>
            <w:r>
              <w:rPr>
                <w:rFonts w:hint="eastAsia" w:ascii="宋体" w:hAnsi="宋体"/>
                <w:sz w:val="24"/>
              </w:rPr>
              <w:t>收费基价</w:t>
            </w:r>
          </w:p>
          <w:p>
            <w:pPr>
              <w:spacing w:line="320" w:lineRule="exact"/>
              <w:jc w:val="center"/>
              <w:rPr>
                <w:rFonts w:ascii="宋体" w:hAnsi="宋体"/>
                <w:sz w:val="24"/>
              </w:rPr>
            </w:pPr>
            <w:r>
              <w:rPr>
                <w:rFonts w:hint="eastAsia" w:ascii="宋体" w:hAnsi="宋体"/>
                <w:sz w:val="24"/>
              </w:rPr>
              <w:t>（万元）</w:t>
            </w:r>
          </w:p>
        </w:tc>
        <w:tc>
          <w:tcPr>
            <w:tcW w:w="1436" w:type="dxa"/>
            <w:vAlign w:val="center"/>
          </w:tcPr>
          <w:p>
            <w:pPr>
              <w:spacing w:line="320" w:lineRule="exact"/>
              <w:jc w:val="center"/>
              <w:rPr>
                <w:rFonts w:ascii="宋体" w:hAnsi="宋体"/>
                <w:sz w:val="24"/>
              </w:rPr>
            </w:pPr>
            <w:r>
              <w:rPr>
                <w:rFonts w:hint="eastAsia" w:ascii="宋体" w:hAnsi="宋体"/>
                <w:sz w:val="24"/>
              </w:rPr>
              <w:t>系数</w:t>
            </w:r>
          </w:p>
        </w:tc>
        <w:tc>
          <w:tcPr>
            <w:tcW w:w="1384" w:type="dxa"/>
            <w:vAlign w:val="center"/>
          </w:tcPr>
          <w:p>
            <w:pPr>
              <w:spacing w:line="320" w:lineRule="exact"/>
              <w:jc w:val="center"/>
              <w:rPr>
                <w:rFonts w:ascii="宋体" w:hAnsi="宋体"/>
                <w:sz w:val="24"/>
              </w:rPr>
            </w:pPr>
            <w:r>
              <w:rPr>
                <w:rFonts w:hint="eastAsia" w:ascii="宋体" w:hAnsi="宋体"/>
                <w:sz w:val="24"/>
              </w:rPr>
              <w:t>设计费估算（万元）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1</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2</w:t>
            </w:r>
          </w:p>
        </w:tc>
        <w:tc>
          <w:tcPr>
            <w:tcW w:w="2484" w:type="dxa"/>
            <w:tcBorders>
              <w:bottom w:val="single" w:color="auto" w:sz="4" w:space="0"/>
            </w:tcBorders>
            <w:vAlign w:val="center"/>
          </w:tcPr>
          <w:p>
            <w:pPr>
              <w:widowControl/>
              <w:textAlignment w:val="center"/>
              <w:rPr>
                <w:rFonts w:ascii="宋体" w:hAnsi="宋体" w:cs="宋体"/>
                <w:kern w:val="0"/>
                <w:sz w:val="24"/>
                <w:lang w:bidi="ar"/>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3</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4</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5</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6</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7</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8</w:t>
            </w:r>
          </w:p>
        </w:tc>
        <w:tc>
          <w:tcPr>
            <w:tcW w:w="2484" w:type="dxa"/>
            <w:tcBorders>
              <w:bottom w:val="single" w:color="auto" w:sz="4" w:space="0"/>
            </w:tcBorders>
            <w:vAlign w:val="center"/>
          </w:tcPr>
          <w:p>
            <w:pPr>
              <w:widowControl/>
              <w:textAlignment w:val="center"/>
              <w:rPr>
                <w:rFonts w:ascii="宋体" w:hAnsi="宋体"/>
                <w:sz w:val="24"/>
              </w:rPr>
            </w:pPr>
          </w:p>
        </w:tc>
        <w:tc>
          <w:tcPr>
            <w:tcW w:w="900" w:type="dxa"/>
            <w:tcBorders>
              <w:bottom w:val="single" w:color="auto" w:sz="4" w:space="0"/>
            </w:tcBorders>
            <w:vAlign w:val="center"/>
          </w:tcPr>
          <w:p>
            <w:pPr>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9</w:t>
            </w:r>
          </w:p>
        </w:tc>
        <w:tc>
          <w:tcPr>
            <w:tcW w:w="2484" w:type="dxa"/>
            <w:tcBorders>
              <w:bottom w:val="single" w:color="auto" w:sz="4" w:space="0"/>
            </w:tcBorders>
            <w:vAlign w:val="center"/>
          </w:tcPr>
          <w:p>
            <w:pPr>
              <w:spacing w:line="400" w:lineRule="exact"/>
              <w:rPr>
                <w:rFonts w:ascii="宋体" w:hAnsi="宋体"/>
                <w:sz w:val="24"/>
              </w:rPr>
            </w:pPr>
            <w:r>
              <w:rPr>
                <w:rFonts w:hint="eastAsia" w:ascii="宋体" w:hAnsi="宋体"/>
                <w:sz w:val="24"/>
              </w:rPr>
              <w:t>……</w:t>
            </w:r>
          </w:p>
        </w:tc>
        <w:tc>
          <w:tcPr>
            <w:tcW w:w="900" w:type="dxa"/>
            <w:tcBorders>
              <w:bottom w:val="single" w:color="auto" w:sz="4" w:space="0"/>
            </w:tcBorders>
            <w:vAlign w:val="center"/>
          </w:tcPr>
          <w:p>
            <w:pPr>
              <w:spacing w:line="400" w:lineRule="exact"/>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10</w:t>
            </w:r>
          </w:p>
        </w:tc>
        <w:tc>
          <w:tcPr>
            <w:tcW w:w="2484" w:type="dxa"/>
            <w:tcBorders>
              <w:bottom w:val="single" w:color="auto" w:sz="4" w:space="0"/>
            </w:tcBorders>
            <w:vAlign w:val="center"/>
          </w:tcPr>
          <w:p>
            <w:pPr>
              <w:spacing w:line="400" w:lineRule="exact"/>
              <w:rPr>
                <w:rFonts w:ascii="宋体" w:hAnsi="宋体"/>
                <w:sz w:val="24"/>
              </w:rPr>
            </w:pPr>
            <w:r>
              <w:rPr>
                <w:rFonts w:hint="eastAsia" w:ascii="宋体" w:hAnsi="宋体"/>
                <w:sz w:val="24"/>
              </w:rPr>
              <w:t>设计收费小计</w:t>
            </w:r>
          </w:p>
        </w:tc>
        <w:tc>
          <w:tcPr>
            <w:tcW w:w="900" w:type="dxa"/>
            <w:tcBorders>
              <w:bottom w:val="single" w:color="auto" w:sz="4" w:space="0"/>
            </w:tcBorders>
            <w:vAlign w:val="center"/>
          </w:tcPr>
          <w:p>
            <w:pPr>
              <w:jc w:val="center"/>
              <w:rPr>
                <w:rFonts w:ascii="宋体" w:hAnsi="宋体"/>
                <w:sz w:val="24"/>
              </w:rPr>
            </w:pPr>
          </w:p>
        </w:tc>
        <w:tc>
          <w:tcPr>
            <w:tcW w:w="1224" w:type="dxa"/>
            <w:tcBorders>
              <w:bottom w:val="single" w:color="auto" w:sz="4" w:space="0"/>
            </w:tcBorders>
            <w:vAlign w:val="center"/>
          </w:tcPr>
          <w:p>
            <w:pPr>
              <w:widowControl/>
              <w:jc w:val="center"/>
              <w:textAlignment w:val="center"/>
              <w:rPr>
                <w:rFonts w:ascii="宋体" w:hAnsi="宋体"/>
                <w:sz w:val="24"/>
              </w:rPr>
            </w:pPr>
          </w:p>
        </w:tc>
        <w:tc>
          <w:tcPr>
            <w:tcW w:w="1140" w:type="dxa"/>
            <w:tcBorders>
              <w:bottom w:val="single" w:color="auto" w:sz="4" w:space="0"/>
            </w:tcBorders>
            <w:vAlign w:val="center"/>
          </w:tcPr>
          <w:p>
            <w:pPr>
              <w:widowControl/>
              <w:jc w:val="center"/>
              <w:textAlignment w:val="center"/>
              <w:rPr>
                <w:rFonts w:ascii="宋体" w:hAnsi="宋体"/>
                <w:sz w:val="24"/>
              </w:rPr>
            </w:pPr>
          </w:p>
        </w:tc>
        <w:tc>
          <w:tcPr>
            <w:tcW w:w="1436" w:type="dxa"/>
            <w:tcBorders>
              <w:bottom w:val="single" w:color="auto" w:sz="4" w:space="0"/>
            </w:tcBorders>
            <w:vAlign w:val="center"/>
          </w:tcPr>
          <w:p>
            <w:pPr>
              <w:widowControl/>
              <w:jc w:val="center"/>
              <w:textAlignment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r>
              <w:rPr>
                <w:rFonts w:hint="eastAsia" w:ascii="宋体" w:hAnsi="宋体"/>
                <w:sz w:val="24"/>
              </w:rPr>
              <w:t>11</w:t>
            </w:r>
          </w:p>
        </w:tc>
        <w:tc>
          <w:tcPr>
            <w:tcW w:w="3384" w:type="dxa"/>
            <w:gridSpan w:val="2"/>
            <w:tcBorders>
              <w:bottom w:val="single" w:color="auto" w:sz="4" w:space="0"/>
            </w:tcBorders>
            <w:vAlign w:val="center"/>
          </w:tcPr>
          <w:p>
            <w:pPr>
              <w:spacing w:line="400" w:lineRule="exact"/>
              <w:jc w:val="left"/>
              <w:rPr>
                <w:rFonts w:ascii="宋体" w:hAnsi="宋体"/>
                <w:sz w:val="24"/>
              </w:rPr>
            </w:pPr>
            <w:r>
              <w:rPr>
                <w:rFonts w:hint="eastAsia" w:ascii="宋体" w:hAnsi="宋体"/>
                <w:sz w:val="24"/>
              </w:rPr>
              <w:t>收费总额合计</w:t>
            </w:r>
          </w:p>
        </w:tc>
        <w:tc>
          <w:tcPr>
            <w:tcW w:w="1224" w:type="dxa"/>
            <w:tcBorders>
              <w:bottom w:val="single" w:color="auto" w:sz="4" w:space="0"/>
            </w:tcBorders>
            <w:vAlign w:val="center"/>
          </w:tcPr>
          <w:p>
            <w:pPr>
              <w:spacing w:line="400" w:lineRule="exact"/>
              <w:jc w:val="center"/>
              <w:rPr>
                <w:rFonts w:ascii="宋体" w:hAnsi="宋体"/>
                <w:sz w:val="24"/>
              </w:rPr>
            </w:pPr>
          </w:p>
        </w:tc>
        <w:tc>
          <w:tcPr>
            <w:tcW w:w="1140" w:type="dxa"/>
            <w:tcBorders>
              <w:bottom w:val="single" w:color="auto" w:sz="4" w:space="0"/>
            </w:tcBorders>
            <w:vAlign w:val="center"/>
          </w:tcPr>
          <w:p>
            <w:pPr>
              <w:spacing w:line="400" w:lineRule="exact"/>
              <w:jc w:val="center"/>
              <w:rPr>
                <w:rFonts w:ascii="宋体" w:hAnsi="宋体"/>
                <w:sz w:val="24"/>
              </w:rPr>
            </w:pPr>
          </w:p>
        </w:tc>
        <w:tc>
          <w:tcPr>
            <w:tcW w:w="1436" w:type="dxa"/>
            <w:tcBorders>
              <w:bottom w:val="single" w:color="auto" w:sz="4" w:space="0"/>
            </w:tcBorders>
            <w:vAlign w:val="center"/>
          </w:tcPr>
          <w:p>
            <w:pPr>
              <w:spacing w:line="400" w:lineRule="exact"/>
              <w:jc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vAlign w:val="center"/>
          </w:tcPr>
          <w:p>
            <w:pPr>
              <w:spacing w:line="400" w:lineRule="exact"/>
              <w:jc w:val="center"/>
              <w:rPr>
                <w:rFonts w:ascii="宋体" w:hAnsi="宋体"/>
                <w:sz w:val="24"/>
              </w:rPr>
            </w:pPr>
            <w:r>
              <w:rPr>
                <w:rFonts w:hint="eastAsia" w:ascii="宋体" w:hAnsi="宋体"/>
                <w:sz w:val="24"/>
              </w:rPr>
              <w:t>12</w:t>
            </w:r>
          </w:p>
        </w:tc>
        <w:tc>
          <w:tcPr>
            <w:tcW w:w="3384" w:type="dxa"/>
            <w:gridSpan w:val="2"/>
            <w:vAlign w:val="center"/>
          </w:tcPr>
          <w:p>
            <w:pPr>
              <w:spacing w:line="400" w:lineRule="exact"/>
              <w:rPr>
                <w:rFonts w:ascii="宋体" w:hAnsi="宋体"/>
                <w:sz w:val="24"/>
              </w:rPr>
            </w:pPr>
            <w:r>
              <w:rPr>
                <w:rFonts w:hint="eastAsia" w:ascii="宋体" w:hAnsi="宋体"/>
                <w:sz w:val="24"/>
              </w:rPr>
              <w:t>浮动率</w:t>
            </w:r>
            <w:r>
              <w:rPr>
                <w:rFonts w:hint="eastAsia" w:ascii="宋体" w:hAnsi="宋体"/>
                <w:sz w:val="24"/>
                <w:u w:val="single"/>
              </w:rPr>
              <w:t xml:space="preserve">-20 </w:t>
            </w:r>
            <w:r>
              <w:rPr>
                <w:rFonts w:hint="eastAsia" w:ascii="宋体" w:hAnsi="宋体"/>
                <w:sz w:val="24"/>
              </w:rPr>
              <w:t>%</w:t>
            </w:r>
          </w:p>
        </w:tc>
        <w:tc>
          <w:tcPr>
            <w:tcW w:w="1224" w:type="dxa"/>
          </w:tcPr>
          <w:p>
            <w:pPr>
              <w:spacing w:line="400" w:lineRule="exact"/>
              <w:jc w:val="center"/>
              <w:rPr>
                <w:rFonts w:ascii="宋体" w:hAnsi="宋体"/>
                <w:sz w:val="24"/>
              </w:rPr>
            </w:pPr>
          </w:p>
        </w:tc>
        <w:tc>
          <w:tcPr>
            <w:tcW w:w="1140" w:type="dxa"/>
            <w:vAlign w:val="center"/>
          </w:tcPr>
          <w:p>
            <w:pPr>
              <w:spacing w:line="400" w:lineRule="exact"/>
              <w:jc w:val="center"/>
              <w:rPr>
                <w:rFonts w:ascii="宋体" w:hAnsi="宋体"/>
                <w:sz w:val="24"/>
              </w:rPr>
            </w:pPr>
          </w:p>
        </w:tc>
        <w:tc>
          <w:tcPr>
            <w:tcW w:w="1436" w:type="dxa"/>
            <w:vAlign w:val="center"/>
          </w:tcPr>
          <w:p>
            <w:pPr>
              <w:spacing w:line="400" w:lineRule="exact"/>
              <w:jc w:val="center"/>
              <w:rPr>
                <w:rFonts w:ascii="宋体" w:hAnsi="宋体"/>
                <w:sz w:val="24"/>
              </w:rPr>
            </w:pPr>
          </w:p>
        </w:tc>
        <w:tc>
          <w:tcPr>
            <w:tcW w:w="1384" w:type="dxa"/>
            <w:vAlign w:val="center"/>
          </w:tcPr>
          <w:p>
            <w:pPr>
              <w:widowControl/>
              <w:jc w:val="center"/>
              <w:textAlignment w:val="center"/>
              <w:rPr>
                <w:rFonts w:ascii="宋体" w:hAnsi="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696" w:type="dxa"/>
            <w:tcBorders>
              <w:bottom w:val="single" w:color="auto" w:sz="4" w:space="0"/>
            </w:tcBorders>
            <w:vAlign w:val="center"/>
          </w:tcPr>
          <w:p>
            <w:pPr>
              <w:spacing w:line="400" w:lineRule="exact"/>
              <w:jc w:val="center"/>
              <w:rPr>
                <w:rFonts w:ascii="宋体" w:hAnsi="宋体"/>
                <w:sz w:val="24"/>
              </w:rPr>
            </w:pPr>
          </w:p>
        </w:tc>
        <w:tc>
          <w:tcPr>
            <w:tcW w:w="3384" w:type="dxa"/>
            <w:gridSpan w:val="2"/>
            <w:tcBorders>
              <w:bottom w:val="single" w:color="auto" w:sz="4" w:space="0"/>
            </w:tcBorders>
            <w:vAlign w:val="center"/>
          </w:tcPr>
          <w:p>
            <w:pPr>
              <w:spacing w:line="320" w:lineRule="exact"/>
              <w:rPr>
                <w:rFonts w:ascii="宋体" w:hAnsi="宋体"/>
                <w:sz w:val="24"/>
              </w:rPr>
            </w:pPr>
            <w:r>
              <w:rPr>
                <w:rFonts w:hint="eastAsia" w:ascii="宋体" w:hAnsi="宋体"/>
                <w:sz w:val="24"/>
              </w:rPr>
              <w:t>合计</w:t>
            </w:r>
          </w:p>
        </w:tc>
        <w:tc>
          <w:tcPr>
            <w:tcW w:w="1224" w:type="dxa"/>
            <w:tcBorders>
              <w:bottom w:val="single" w:color="auto" w:sz="4" w:space="0"/>
            </w:tcBorders>
          </w:tcPr>
          <w:p>
            <w:pPr>
              <w:spacing w:line="400" w:lineRule="exact"/>
              <w:jc w:val="center"/>
              <w:rPr>
                <w:rFonts w:ascii="宋体" w:hAnsi="宋体"/>
                <w:sz w:val="24"/>
              </w:rPr>
            </w:pPr>
          </w:p>
        </w:tc>
        <w:tc>
          <w:tcPr>
            <w:tcW w:w="1140" w:type="dxa"/>
            <w:tcBorders>
              <w:bottom w:val="single" w:color="auto" w:sz="4" w:space="0"/>
            </w:tcBorders>
            <w:vAlign w:val="center"/>
          </w:tcPr>
          <w:p>
            <w:pPr>
              <w:spacing w:line="400" w:lineRule="exact"/>
              <w:jc w:val="center"/>
              <w:rPr>
                <w:rFonts w:ascii="宋体" w:hAnsi="宋体"/>
                <w:sz w:val="24"/>
              </w:rPr>
            </w:pPr>
          </w:p>
        </w:tc>
        <w:tc>
          <w:tcPr>
            <w:tcW w:w="1436" w:type="dxa"/>
            <w:tcBorders>
              <w:bottom w:val="single" w:color="auto" w:sz="4" w:space="0"/>
            </w:tcBorders>
            <w:vAlign w:val="center"/>
          </w:tcPr>
          <w:p>
            <w:pPr>
              <w:spacing w:line="400" w:lineRule="exact"/>
              <w:jc w:val="center"/>
              <w:rPr>
                <w:rFonts w:ascii="宋体" w:hAnsi="宋体"/>
                <w:sz w:val="24"/>
              </w:rPr>
            </w:pPr>
          </w:p>
        </w:tc>
        <w:tc>
          <w:tcPr>
            <w:tcW w:w="1384" w:type="dxa"/>
            <w:tcBorders>
              <w:bottom w:val="single" w:color="auto" w:sz="4" w:space="0"/>
            </w:tcBorders>
            <w:vAlign w:val="center"/>
          </w:tcPr>
          <w:p>
            <w:pPr>
              <w:widowControl/>
              <w:jc w:val="center"/>
              <w:textAlignment w:val="center"/>
              <w:rPr>
                <w:rFonts w:ascii="宋体" w:hAnsi="宋体"/>
                <w:sz w:val="24"/>
              </w:rPr>
            </w:pPr>
          </w:p>
        </w:tc>
      </w:tr>
    </w:tbl>
    <w:p>
      <w:pPr>
        <w:spacing w:line="360" w:lineRule="auto"/>
        <w:rPr>
          <w:rFonts w:ascii="宋体" w:hAnsi="宋体"/>
          <w:sz w:val="24"/>
        </w:rPr>
      </w:pPr>
      <w:r>
        <w:rPr>
          <w:rFonts w:hint="eastAsia" w:ascii="宋体" w:hAnsi="宋体"/>
          <w:sz w:val="24"/>
        </w:rPr>
        <w:t>注：（1）根据国家发展计划委员会、建设部2002年颁布的《勘察设计费收费标准》规定计取。</w:t>
      </w:r>
    </w:p>
    <w:p>
      <w:pPr>
        <w:pStyle w:val="66"/>
        <w:spacing w:line="360" w:lineRule="auto"/>
        <w:ind w:firstLine="480"/>
        <w:rPr>
          <w:rFonts w:ascii="宋体" w:hAnsi="宋体" w:cs="宋体"/>
          <w:sz w:val="24"/>
        </w:rPr>
      </w:pPr>
      <w:r>
        <w:rPr>
          <w:rFonts w:hint="eastAsia" w:ascii="宋体" w:hAnsi="宋体"/>
          <w:sz w:val="24"/>
        </w:rPr>
        <w:t>（2）</w:t>
      </w:r>
      <w:r>
        <w:rPr>
          <w:rFonts w:hint="eastAsia" w:ascii="宋体" w:hAnsi="宋体" w:cs="宋体"/>
          <w:sz w:val="24"/>
          <w:u w:val="single"/>
        </w:rPr>
        <w:t>暂定专业调整系数1.0，复杂调整系数1.0，附加调整系数1.0，以项目建安工程费用为计费额，计算其工程设计收费基价和基本设计收费）。上述系数取值以概算批复为准。</w:t>
      </w:r>
    </w:p>
    <w:p>
      <w:pPr>
        <w:pStyle w:val="16"/>
        <w:spacing w:line="360" w:lineRule="auto"/>
      </w:pPr>
      <w:r>
        <w:rPr>
          <w:rFonts w:hint="eastAsia" w:hAnsi="宋体" w:cs="宋体"/>
          <w:sz w:val="24"/>
          <w:szCs w:val="24"/>
        </w:rPr>
        <w:t xml:space="preserve">    （3）管线综合平衡方案编制费已含在基本设计费中，不另行计列。</w:t>
      </w:r>
    </w:p>
    <w:p>
      <w:pPr>
        <w:spacing w:line="360" w:lineRule="auto"/>
        <w:ind w:firstLine="444" w:firstLineChars="185"/>
        <w:rPr>
          <w:rFonts w:ascii="宋体" w:hAnsi="宋体"/>
          <w:sz w:val="24"/>
        </w:rPr>
      </w:pPr>
      <w:r>
        <w:rPr>
          <w:rFonts w:hint="eastAsia" w:ascii="宋体" w:hAnsi="宋体"/>
          <w:sz w:val="24"/>
        </w:rPr>
        <w:t>（4）工程设计收费浮动率为-20%。</w:t>
      </w:r>
    </w:p>
    <w:p>
      <w:pPr>
        <w:spacing w:line="360" w:lineRule="auto"/>
        <w:rPr>
          <w:rFonts w:ascii="宋体" w:hAnsi="宋体" w:cs="宋体"/>
        </w:rPr>
      </w:pPr>
      <w:r>
        <w:rPr>
          <w:rFonts w:hint="eastAsia" w:ascii="宋体" w:hAnsi="宋体"/>
          <w:sz w:val="24"/>
        </w:rPr>
        <w:t xml:space="preserve">     本表所列分项名称可根据项目的具体情况自行调整。</w:t>
      </w:r>
      <w:r>
        <w:rPr>
          <w:rFonts w:hint="eastAsia" w:ascii="宋体" w:hAnsi="宋体" w:cs="宋体"/>
        </w:rPr>
        <w:t xml:space="preserve"> </w:t>
      </w:r>
    </w:p>
    <w:p>
      <w:pPr>
        <w:pStyle w:val="5"/>
      </w:pPr>
    </w:p>
    <w:p>
      <w:pPr>
        <w:widowControl/>
        <w:jc w:val="left"/>
        <w:rPr>
          <w:rFonts w:ascii="宋体" w:hAnsi="宋体"/>
          <w:b/>
          <w:bCs/>
          <w:sz w:val="24"/>
          <w:u w:val="none"/>
        </w:rPr>
      </w:pPr>
      <w:r>
        <w:rPr>
          <w:rFonts w:ascii="宋体" w:hAnsi="宋体"/>
          <w:b/>
          <w:bCs/>
          <w:sz w:val="24"/>
          <w:u w:val="none"/>
        </w:rPr>
        <w:br w:type="page"/>
      </w:r>
    </w:p>
    <w:p>
      <w:pPr>
        <w:pStyle w:val="4"/>
        <w:jc w:val="left"/>
        <w:rPr>
          <w:u w:val="single"/>
        </w:rPr>
      </w:pPr>
      <w:bookmarkStart w:id="17" w:name="_Toc136262993"/>
      <w:r>
        <w:rPr>
          <w:rFonts w:hint="eastAsia"/>
          <w:u w:val="single"/>
        </w:rPr>
        <w:t>附录</w:t>
      </w:r>
      <w:r>
        <w:rPr>
          <w:u w:val="single"/>
        </w:rPr>
        <w:t>5-2</w:t>
      </w:r>
      <w:r>
        <w:rPr>
          <w:rFonts w:hint="eastAsia"/>
          <w:u w:val="single"/>
        </w:rPr>
        <w:t>（适用于勘察报价）</w:t>
      </w:r>
      <w:bookmarkEnd w:id="17"/>
    </w:p>
    <w:p>
      <w:pPr>
        <w:snapToGrid w:val="0"/>
        <w:jc w:val="center"/>
        <w:rPr>
          <w:rFonts w:ascii="宋体" w:hAnsi="宋体"/>
          <w:b/>
          <w:bCs/>
          <w:sz w:val="32"/>
          <w:u w:val="single"/>
        </w:rPr>
      </w:pPr>
      <w:r>
        <w:rPr>
          <w:rFonts w:hint="eastAsia" w:ascii="宋体" w:hAnsi="宋体"/>
          <w:b/>
          <w:bCs/>
          <w:sz w:val="32"/>
          <w:u w:val="single"/>
        </w:rPr>
        <w:t>勘察费报价及计算依据表</w:t>
      </w:r>
    </w:p>
    <w:p>
      <w:pPr>
        <w:snapToGrid w:val="0"/>
        <w:spacing w:line="360" w:lineRule="auto"/>
        <w:jc w:val="center"/>
        <w:rPr>
          <w:rFonts w:ascii="宋体" w:hAnsi="宋体"/>
          <w:szCs w:val="21"/>
        </w:rPr>
      </w:pPr>
      <w:r>
        <w:rPr>
          <w:rFonts w:hint="eastAsia" w:ascii="宋体" w:hAnsi="宋体"/>
          <w:szCs w:val="21"/>
        </w:rPr>
        <w:t>（若项目特征不能在以下表格中完全反映，投标人可自行修订表格）</w:t>
      </w:r>
    </w:p>
    <w:p>
      <w:pPr>
        <w:jc w:val="center"/>
        <w:rPr>
          <w:rFonts w:ascii="宋体" w:hAnsi="宋体"/>
          <w:sz w:val="24"/>
        </w:rPr>
      </w:pPr>
      <w:r>
        <w:rPr>
          <w:rFonts w:hint="eastAsia" w:ascii="宋体" w:hAnsi="宋体"/>
          <w:b/>
          <w:sz w:val="24"/>
        </w:rPr>
        <w:t>工程测量报价及计算依据表（表1）</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688"/>
        <w:gridCol w:w="1260"/>
        <w:gridCol w:w="144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b/>
                <w:szCs w:val="21"/>
              </w:rPr>
            </w:pPr>
            <w:r>
              <w:rPr>
                <w:rFonts w:hint="eastAsia" w:ascii="宋体" w:hAnsi="宋体"/>
                <w:b/>
                <w:szCs w:val="21"/>
              </w:rPr>
              <w:t>序号</w:t>
            </w:r>
          </w:p>
        </w:tc>
        <w:tc>
          <w:tcPr>
            <w:tcW w:w="2688" w:type="dxa"/>
            <w:vAlign w:val="center"/>
          </w:tcPr>
          <w:p>
            <w:pPr>
              <w:spacing w:line="400" w:lineRule="exact"/>
              <w:jc w:val="center"/>
              <w:rPr>
                <w:rFonts w:ascii="宋体" w:hAnsi="宋体"/>
                <w:b/>
                <w:szCs w:val="21"/>
              </w:rPr>
            </w:pPr>
            <w:r>
              <w:rPr>
                <w:rFonts w:hint="eastAsia" w:ascii="宋体" w:hAnsi="宋体"/>
                <w:b/>
                <w:szCs w:val="21"/>
              </w:rPr>
              <w:t>工程测量计费项目</w:t>
            </w:r>
          </w:p>
        </w:tc>
        <w:tc>
          <w:tcPr>
            <w:tcW w:w="1260" w:type="dxa"/>
            <w:vAlign w:val="center"/>
          </w:tcPr>
          <w:p>
            <w:pPr>
              <w:spacing w:line="400" w:lineRule="exact"/>
              <w:jc w:val="center"/>
              <w:rPr>
                <w:rFonts w:ascii="宋体" w:hAnsi="宋体"/>
                <w:b/>
                <w:szCs w:val="21"/>
              </w:rPr>
            </w:pPr>
            <w:r>
              <w:rPr>
                <w:rFonts w:hint="eastAsia" w:ascii="宋体" w:hAnsi="宋体"/>
                <w:b/>
                <w:szCs w:val="21"/>
              </w:rPr>
              <w:t>投标单价</w:t>
            </w:r>
          </w:p>
        </w:tc>
        <w:tc>
          <w:tcPr>
            <w:tcW w:w="1440" w:type="dxa"/>
            <w:vAlign w:val="center"/>
          </w:tcPr>
          <w:p>
            <w:pPr>
              <w:spacing w:line="400" w:lineRule="exact"/>
              <w:jc w:val="center"/>
              <w:rPr>
                <w:rFonts w:ascii="宋体" w:hAnsi="宋体"/>
                <w:b/>
                <w:szCs w:val="21"/>
              </w:rPr>
            </w:pPr>
            <w:r>
              <w:rPr>
                <w:rFonts w:hint="eastAsia" w:ascii="宋体" w:hAnsi="宋体"/>
                <w:b/>
                <w:szCs w:val="21"/>
              </w:rPr>
              <w:t>数量估算</w:t>
            </w:r>
          </w:p>
        </w:tc>
        <w:tc>
          <w:tcPr>
            <w:tcW w:w="1753" w:type="dxa"/>
            <w:vAlign w:val="center"/>
          </w:tcPr>
          <w:p>
            <w:pPr>
              <w:spacing w:line="400" w:lineRule="exact"/>
              <w:jc w:val="center"/>
              <w:rPr>
                <w:rFonts w:ascii="宋体" w:hAnsi="宋体"/>
                <w:b/>
                <w:szCs w:val="21"/>
              </w:rPr>
            </w:pPr>
            <w:r>
              <w:rPr>
                <w:rFonts w:hint="eastAsia" w:ascii="宋体" w:hAnsi="宋体"/>
                <w:b/>
                <w:szCs w:val="21"/>
              </w:rPr>
              <w:t>单项估算价</w:t>
            </w:r>
          </w:p>
        </w:tc>
        <w:tc>
          <w:tcPr>
            <w:tcW w:w="1127" w:type="dxa"/>
            <w:vAlign w:val="center"/>
          </w:tcPr>
          <w:p>
            <w:pPr>
              <w:spacing w:line="40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40" w:type="dxa"/>
            <w:vAlign w:val="center"/>
          </w:tcPr>
          <w:p>
            <w:pPr>
              <w:spacing w:line="400" w:lineRule="exact"/>
              <w:jc w:val="center"/>
              <w:rPr>
                <w:rFonts w:ascii="宋体" w:hAnsi="宋体"/>
                <w:szCs w:val="21"/>
              </w:rPr>
            </w:pPr>
            <w:r>
              <w:rPr>
                <w:rFonts w:hint="eastAsia" w:ascii="宋体" w:hAnsi="宋体"/>
                <w:szCs w:val="21"/>
              </w:rPr>
              <w:t>1</w:t>
            </w:r>
          </w:p>
        </w:tc>
        <w:tc>
          <w:tcPr>
            <w:tcW w:w="2688" w:type="dxa"/>
            <w:vAlign w:val="center"/>
          </w:tcPr>
          <w:p>
            <w:pPr>
              <w:spacing w:line="400" w:lineRule="exact"/>
              <w:jc w:val="center"/>
              <w:rPr>
                <w:rFonts w:ascii="宋体" w:hAnsi="宋体"/>
                <w:szCs w:val="21"/>
              </w:rPr>
            </w:pPr>
            <w:r>
              <w:rPr>
                <w:rFonts w:hint="eastAsia" w:ascii="宋体" w:hAnsi="宋体"/>
                <w:szCs w:val="21"/>
              </w:rPr>
              <w:t xml:space="preserve"> </w:t>
            </w:r>
          </w:p>
        </w:tc>
        <w:tc>
          <w:tcPr>
            <w:tcW w:w="1260" w:type="dxa"/>
            <w:vAlign w:val="center"/>
          </w:tcPr>
          <w:p>
            <w:pPr>
              <w:spacing w:line="400" w:lineRule="exact"/>
              <w:jc w:val="center"/>
              <w:rPr>
                <w:rFonts w:ascii="宋体" w:hAnsi="宋体"/>
                <w:szCs w:val="21"/>
              </w:rPr>
            </w:pPr>
          </w:p>
        </w:tc>
        <w:tc>
          <w:tcPr>
            <w:tcW w:w="144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r>
              <w:rPr>
                <w:rFonts w:hint="eastAsia" w:ascii="宋体" w:hAnsi="宋体"/>
                <w:szCs w:val="21"/>
              </w:rPr>
              <w:t>2</w:t>
            </w:r>
          </w:p>
        </w:tc>
        <w:tc>
          <w:tcPr>
            <w:tcW w:w="2688"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44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p>
        </w:tc>
        <w:tc>
          <w:tcPr>
            <w:tcW w:w="2688" w:type="dxa"/>
            <w:vAlign w:val="center"/>
          </w:tcPr>
          <w:p>
            <w:pPr>
              <w:spacing w:line="400" w:lineRule="exact"/>
              <w:jc w:val="center"/>
              <w:rPr>
                <w:rFonts w:ascii="宋体" w:hAnsi="宋体"/>
                <w:szCs w:val="21"/>
              </w:rPr>
            </w:pPr>
            <w:r>
              <w:rPr>
                <w:rFonts w:hint="eastAsia" w:ascii="宋体" w:hAnsi="宋体"/>
                <w:szCs w:val="21"/>
              </w:rPr>
              <w:t>……</w:t>
            </w:r>
          </w:p>
        </w:tc>
        <w:tc>
          <w:tcPr>
            <w:tcW w:w="1260" w:type="dxa"/>
            <w:vAlign w:val="center"/>
          </w:tcPr>
          <w:p>
            <w:pPr>
              <w:spacing w:line="400" w:lineRule="exact"/>
              <w:jc w:val="center"/>
              <w:rPr>
                <w:rFonts w:ascii="宋体" w:hAnsi="宋体"/>
                <w:szCs w:val="21"/>
              </w:rPr>
            </w:pPr>
          </w:p>
        </w:tc>
        <w:tc>
          <w:tcPr>
            <w:tcW w:w="144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r>
              <w:rPr>
                <w:rFonts w:hint="eastAsia" w:ascii="宋体" w:hAnsi="宋体"/>
                <w:szCs w:val="21"/>
              </w:rPr>
              <w:t>合计</w:t>
            </w:r>
          </w:p>
        </w:tc>
        <w:tc>
          <w:tcPr>
            <w:tcW w:w="7141" w:type="dxa"/>
            <w:gridSpan w:val="4"/>
            <w:vAlign w:val="center"/>
          </w:tcPr>
          <w:p>
            <w:pPr>
              <w:spacing w:line="400" w:lineRule="exact"/>
              <w:jc w:val="center"/>
              <w:rPr>
                <w:rFonts w:ascii="宋体" w:hAnsi="宋体"/>
                <w:szCs w:val="21"/>
              </w:rPr>
            </w:pPr>
            <w:r>
              <w:rPr>
                <w:rFonts w:hint="eastAsia" w:ascii="宋体" w:hAnsi="宋体"/>
                <w:szCs w:val="21"/>
              </w:rPr>
              <w:t xml:space="preserve"> </w:t>
            </w:r>
          </w:p>
        </w:tc>
        <w:tc>
          <w:tcPr>
            <w:tcW w:w="1127" w:type="dxa"/>
            <w:vAlign w:val="center"/>
          </w:tcPr>
          <w:p>
            <w:pPr>
              <w:spacing w:line="400" w:lineRule="exact"/>
              <w:jc w:val="center"/>
              <w:rPr>
                <w:rFonts w:ascii="宋体" w:hAnsi="宋体"/>
                <w:szCs w:val="21"/>
              </w:rPr>
            </w:pPr>
          </w:p>
        </w:tc>
      </w:tr>
    </w:tbl>
    <w:p>
      <w:pPr>
        <w:spacing w:line="400" w:lineRule="exact"/>
        <w:jc w:val="center"/>
        <w:rPr>
          <w:rFonts w:ascii="宋体" w:hAnsi="宋体"/>
          <w:b/>
          <w:sz w:val="24"/>
        </w:rPr>
      </w:pPr>
      <w:r>
        <w:rPr>
          <w:rFonts w:hint="eastAsia" w:ascii="宋体" w:hAnsi="宋体"/>
          <w:b/>
          <w:sz w:val="24"/>
        </w:rPr>
        <w:t>岩土工程勘察报价及计算依据表（表2）</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892"/>
        <w:gridCol w:w="1260"/>
        <w:gridCol w:w="126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spacing w:line="400" w:lineRule="exact"/>
              <w:jc w:val="center"/>
              <w:rPr>
                <w:rFonts w:ascii="宋体" w:hAnsi="宋体"/>
                <w:b/>
                <w:szCs w:val="21"/>
              </w:rPr>
            </w:pPr>
            <w:r>
              <w:rPr>
                <w:rFonts w:hint="eastAsia" w:ascii="宋体" w:hAnsi="宋体"/>
                <w:b/>
                <w:szCs w:val="21"/>
              </w:rPr>
              <w:t>序号</w:t>
            </w:r>
          </w:p>
        </w:tc>
        <w:tc>
          <w:tcPr>
            <w:tcW w:w="2892" w:type="dxa"/>
            <w:vAlign w:val="center"/>
          </w:tcPr>
          <w:p>
            <w:pPr>
              <w:spacing w:line="400" w:lineRule="exact"/>
              <w:jc w:val="center"/>
              <w:rPr>
                <w:rFonts w:ascii="宋体" w:hAnsi="宋体"/>
                <w:b/>
                <w:szCs w:val="21"/>
              </w:rPr>
            </w:pPr>
            <w:r>
              <w:rPr>
                <w:rFonts w:hint="eastAsia" w:ascii="宋体" w:hAnsi="宋体"/>
                <w:b/>
                <w:szCs w:val="21"/>
              </w:rPr>
              <w:t>岩土工程勘察计费项目</w:t>
            </w:r>
          </w:p>
        </w:tc>
        <w:tc>
          <w:tcPr>
            <w:tcW w:w="1260" w:type="dxa"/>
            <w:vAlign w:val="center"/>
          </w:tcPr>
          <w:p>
            <w:pPr>
              <w:spacing w:line="400" w:lineRule="exact"/>
              <w:jc w:val="center"/>
              <w:rPr>
                <w:rFonts w:ascii="宋体" w:hAnsi="宋体"/>
                <w:b/>
                <w:szCs w:val="21"/>
              </w:rPr>
            </w:pPr>
            <w:r>
              <w:rPr>
                <w:rFonts w:hint="eastAsia" w:ascii="宋体" w:hAnsi="宋体"/>
                <w:b/>
                <w:szCs w:val="21"/>
              </w:rPr>
              <w:t>投标单价</w:t>
            </w:r>
          </w:p>
        </w:tc>
        <w:tc>
          <w:tcPr>
            <w:tcW w:w="1260" w:type="dxa"/>
            <w:vAlign w:val="center"/>
          </w:tcPr>
          <w:p>
            <w:pPr>
              <w:spacing w:line="400" w:lineRule="exact"/>
              <w:jc w:val="center"/>
              <w:rPr>
                <w:rFonts w:ascii="宋体" w:hAnsi="宋体"/>
                <w:b/>
                <w:szCs w:val="21"/>
              </w:rPr>
            </w:pPr>
            <w:r>
              <w:rPr>
                <w:rFonts w:hint="eastAsia" w:ascii="宋体" w:hAnsi="宋体"/>
                <w:b/>
                <w:szCs w:val="21"/>
              </w:rPr>
              <w:t>数量估算</w:t>
            </w:r>
          </w:p>
        </w:tc>
        <w:tc>
          <w:tcPr>
            <w:tcW w:w="1753" w:type="dxa"/>
            <w:vAlign w:val="center"/>
          </w:tcPr>
          <w:p>
            <w:pPr>
              <w:spacing w:line="400" w:lineRule="exact"/>
              <w:jc w:val="center"/>
              <w:rPr>
                <w:rFonts w:ascii="宋体" w:hAnsi="宋体"/>
                <w:b/>
                <w:szCs w:val="21"/>
              </w:rPr>
            </w:pPr>
            <w:r>
              <w:rPr>
                <w:rFonts w:hint="eastAsia" w:ascii="宋体" w:hAnsi="宋体"/>
                <w:b/>
                <w:szCs w:val="21"/>
              </w:rPr>
              <w:t>单项估算价</w:t>
            </w:r>
          </w:p>
        </w:tc>
        <w:tc>
          <w:tcPr>
            <w:tcW w:w="1127" w:type="dxa"/>
            <w:vAlign w:val="center"/>
          </w:tcPr>
          <w:p>
            <w:pPr>
              <w:spacing w:line="40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16" w:type="dxa"/>
            <w:vAlign w:val="center"/>
          </w:tcPr>
          <w:p>
            <w:pPr>
              <w:spacing w:line="400" w:lineRule="exact"/>
              <w:jc w:val="center"/>
              <w:rPr>
                <w:rFonts w:ascii="宋体" w:hAnsi="宋体"/>
                <w:szCs w:val="21"/>
              </w:rPr>
            </w:pPr>
            <w:r>
              <w:rPr>
                <w:rFonts w:hint="eastAsia" w:ascii="宋体" w:hAnsi="宋体"/>
                <w:szCs w:val="21"/>
              </w:rPr>
              <w:t>1</w:t>
            </w:r>
          </w:p>
        </w:tc>
        <w:tc>
          <w:tcPr>
            <w:tcW w:w="2892"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spacing w:line="400" w:lineRule="exact"/>
              <w:jc w:val="center"/>
              <w:rPr>
                <w:rFonts w:ascii="宋体" w:hAnsi="宋体"/>
                <w:szCs w:val="21"/>
              </w:rPr>
            </w:pPr>
            <w:r>
              <w:rPr>
                <w:rFonts w:hint="eastAsia" w:ascii="宋体" w:hAnsi="宋体"/>
                <w:szCs w:val="21"/>
              </w:rPr>
              <w:t>2</w:t>
            </w:r>
          </w:p>
        </w:tc>
        <w:tc>
          <w:tcPr>
            <w:tcW w:w="2892"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spacing w:line="400" w:lineRule="exact"/>
              <w:jc w:val="center"/>
              <w:rPr>
                <w:rFonts w:ascii="宋体" w:hAnsi="宋体"/>
                <w:szCs w:val="21"/>
              </w:rPr>
            </w:pPr>
          </w:p>
        </w:tc>
        <w:tc>
          <w:tcPr>
            <w:tcW w:w="2892" w:type="dxa"/>
            <w:vAlign w:val="center"/>
          </w:tcPr>
          <w:p>
            <w:pPr>
              <w:spacing w:line="400" w:lineRule="exact"/>
              <w:jc w:val="center"/>
              <w:rPr>
                <w:rFonts w:ascii="宋体" w:hAnsi="宋体"/>
                <w:szCs w:val="21"/>
              </w:rPr>
            </w:pPr>
            <w:r>
              <w:rPr>
                <w:rFonts w:hint="eastAsia" w:ascii="宋体" w:hAnsi="宋体"/>
                <w:szCs w:val="21"/>
              </w:rPr>
              <w:t>……</w:t>
            </w:r>
          </w:p>
        </w:tc>
        <w:tc>
          <w:tcPr>
            <w:tcW w:w="126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spacing w:line="400" w:lineRule="exact"/>
              <w:jc w:val="center"/>
              <w:rPr>
                <w:rFonts w:ascii="宋体" w:hAnsi="宋体"/>
                <w:szCs w:val="21"/>
              </w:rPr>
            </w:pPr>
            <w:r>
              <w:rPr>
                <w:rFonts w:hint="eastAsia" w:ascii="宋体" w:hAnsi="宋体"/>
                <w:szCs w:val="21"/>
              </w:rPr>
              <w:t>合计</w:t>
            </w:r>
          </w:p>
        </w:tc>
        <w:tc>
          <w:tcPr>
            <w:tcW w:w="7165" w:type="dxa"/>
            <w:gridSpan w:val="4"/>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bl>
    <w:p>
      <w:pPr>
        <w:rPr>
          <w:rFonts w:ascii="宋体" w:hAnsi="宋体"/>
          <w:b/>
          <w:sz w:val="24"/>
        </w:rPr>
      </w:pPr>
    </w:p>
    <w:p>
      <w:pPr>
        <w:jc w:val="center"/>
        <w:rPr>
          <w:rFonts w:ascii="宋体" w:hAnsi="宋体"/>
          <w:sz w:val="24"/>
        </w:rPr>
      </w:pPr>
      <w:r>
        <w:rPr>
          <w:rFonts w:hint="eastAsia" w:ascii="宋体" w:hAnsi="宋体"/>
          <w:b/>
          <w:sz w:val="24"/>
        </w:rPr>
        <w:t>工程物探（含管线探测）报价及计算依据表（表3）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688"/>
        <w:gridCol w:w="1440"/>
        <w:gridCol w:w="1260"/>
        <w:gridCol w:w="175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b/>
                <w:szCs w:val="21"/>
              </w:rPr>
            </w:pPr>
            <w:r>
              <w:rPr>
                <w:rFonts w:hint="eastAsia" w:ascii="宋体" w:hAnsi="宋体"/>
                <w:b/>
                <w:szCs w:val="21"/>
              </w:rPr>
              <w:t>序号</w:t>
            </w:r>
          </w:p>
        </w:tc>
        <w:tc>
          <w:tcPr>
            <w:tcW w:w="2688" w:type="dxa"/>
            <w:vAlign w:val="center"/>
          </w:tcPr>
          <w:p>
            <w:pPr>
              <w:spacing w:line="400" w:lineRule="exact"/>
              <w:jc w:val="center"/>
              <w:rPr>
                <w:rFonts w:ascii="宋体" w:hAnsi="宋体"/>
                <w:b/>
                <w:szCs w:val="21"/>
              </w:rPr>
            </w:pPr>
            <w:r>
              <w:rPr>
                <w:rFonts w:hint="eastAsia" w:ascii="宋体" w:hAnsi="宋体"/>
                <w:b/>
                <w:szCs w:val="21"/>
              </w:rPr>
              <w:t>工程物探（含管线探测）计费项目</w:t>
            </w:r>
          </w:p>
        </w:tc>
        <w:tc>
          <w:tcPr>
            <w:tcW w:w="1440" w:type="dxa"/>
            <w:vAlign w:val="center"/>
          </w:tcPr>
          <w:p>
            <w:pPr>
              <w:spacing w:line="400" w:lineRule="exact"/>
              <w:jc w:val="center"/>
              <w:rPr>
                <w:rFonts w:ascii="宋体" w:hAnsi="宋体"/>
                <w:b/>
                <w:szCs w:val="21"/>
              </w:rPr>
            </w:pPr>
            <w:r>
              <w:rPr>
                <w:rFonts w:hint="eastAsia" w:ascii="宋体" w:hAnsi="宋体"/>
                <w:b/>
                <w:szCs w:val="21"/>
              </w:rPr>
              <w:t>投标单价</w:t>
            </w:r>
          </w:p>
        </w:tc>
        <w:tc>
          <w:tcPr>
            <w:tcW w:w="1260" w:type="dxa"/>
            <w:vAlign w:val="center"/>
          </w:tcPr>
          <w:p>
            <w:pPr>
              <w:spacing w:line="400" w:lineRule="exact"/>
              <w:jc w:val="center"/>
              <w:rPr>
                <w:rFonts w:ascii="宋体" w:hAnsi="宋体"/>
                <w:b/>
                <w:szCs w:val="21"/>
              </w:rPr>
            </w:pPr>
            <w:r>
              <w:rPr>
                <w:rFonts w:hint="eastAsia" w:ascii="宋体" w:hAnsi="宋体"/>
                <w:b/>
                <w:szCs w:val="21"/>
              </w:rPr>
              <w:t>数量估算</w:t>
            </w:r>
          </w:p>
        </w:tc>
        <w:tc>
          <w:tcPr>
            <w:tcW w:w="1753" w:type="dxa"/>
            <w:vAlign w:val="center"/>
          </w:tcPr>
          <w:p>
            <w:pPr>
              <w:spacing w:line="400" w:lineRule="exact"/>
              <w:jc w:val="center"/>
              <w:rPr>
                <w:rFonts w:ascii="宋体" w:hAnsi="宋体"/>
                <w:b/>
                <w:szCs w:val="21"/>
              </w:rPr>
            </w:pPr>
            <w:r>
              <w:rPr>
                <w:rFonts w:hint="eastAsia" w:ascii="宋体" w:hAnsi="宋体"/>
                <w:b/>
                <w:szCs w:val="21"/>
              </w:rPr>
              <w:t>单项估算价</w:t>
            </w:r>
          </w:p>
        </w:tc>
        <w:tc>
          <w:tcPr>
            <w:tcW w:w="1127" w:type="dxa"/>
            <w:vAlign w:val="center"/>
          </w:tcPr>
          <w:p>
            <w:pPr>
              <w:spacing w:line="40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40" w:type="dxa"/>
            <w:vAlign w:val="center"/>
          </w:tcPr>
          <w:p>
            <w:pPr>
              <w:spacing w:line="400" w:lineRule="exact"/>
              <w:jc w:val="center"/>
              <w:rPr>
                <w:rFonts w:ascii="宋体" w:hAnsi="宋体"/>
                <w:szCs w:val="21"/>
              </w:rPr>
            </w:pPr>
            <w:r>
              <w:rPr>
                <w:rFonts w:hint="eastAsia" w:ascii="宋体" w:hAnsi="宋体"/>
                <w:szCs w:val="21"/>
              </w:rPr>
              <w:t>1</w:t>
            </w:r>
          </w:p>
        </w:tc>
        <w:tc>
          <w:tcPr>
            <w:tcW w:w="2688" w:type="dxa"/>
            <w:vAlign w:val="center"/>
          </w:tcPr>
          <w:p>
            <w:pPr>
              <w:spacing w:line="400" w:lineRule="exact"/>
              <w:jc w:val="center"/>
              <w:rPr>
                <w:rFonts w:ascii="宋体" w:hAnsi="宋体"/>
                <w:szCs w:val="21"/>
              </w:rPr>
            </w:pPr>
            <w:r>
              <w:rPr>
                <w:rFonts w:hint="eastAsia" w:ascii="宋体" w:hAnsi="宋体"/>
                <w:szCs w:val="21"/>
              </w:rPr>
              <w:t xml:space="preserve"> </w:t>
            </w:r>
          </w:p>
        </w:tc>
        <w:tc>
          <w:tcPr>
            <w:tcW w:w="144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r>
              <w:rPr>
                <w:rFonts w:hint="eastAsia" w:ascii="宋体" w:hAnsi="宋体"/>
                <w:szCs w:val="21"/>
              </w:rPr>
              <w:t>2</w:t>
            </w:r>
          </w:p>
        </w:tc>
        <w:tc>
          <w:tcPr>
            <w:tcW w:w="2688" w:type="dxa"/>
            <w:vAlign w:val="center"/>
          </w:tcPr>
          <w:p>
            <w:pPr>
              <w:spacing w:line="400" w:lineRule="exact"/>
              <w:jc w:val="center"/>
              <w:rPr>
                <w:rFonts w:ascii="宋体" w:hAnsi="宋体"/>
                <w:szCs w:val="21"/>
              </w:rPr>
            </w:pPr>
          </w:p>
        </w:tc>
        <w:tc>
          <w:tcPr>
            <w:tcW w:w="144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p>
        </w:tc>
        <w:tc>
          <w:tcPr>
            <w:tcW w:w="2688" w:type="dxa"/>
            <w:vAlign w:val="center"/>
          </w:tcPr>
          <w:p>
            <w:pPr>
              <w:spacing w:line="400" w:lineRule="exact"/>
              <w:jc w:val="center"/>
              <w:rPr>
                <w:rFonts w:ascii="宋体" w:hAnsi="宋体"/>
                <w:szCs w:val="21"/>
              </w:rPr>
            </w:pPr>
            <w:r>
              <w:rPr>
                <w:rFonts w:hint="eastAsia" w:ascii="宋体" w:hAnsi="宋体"/>
                <w:szCs w:val="21"/>
              </w:rPr>
              <w:t>……</w:t>
            </w:r>
          </w:p>
        </w:tc>
        <w:tc>
          <w:tcPr>
            <w:tcW w:w="1440" w:type="dxa"/>
            <w:vAlign w:val="center"/>
          </w:tcPr>
          <w:p>
            <w:pPr>
              <w:spacing w:line="400" w:lineRule="exact"/>
              <w:jc w:val="center"/>
              <w:rPr>
                <w:rFonts w:ascii="宋体" w:hAnsi="宋体"/>
                <w:szCs w:val="21"/>
              </w:rPr>
            </w:pPr>
          </w:p>
        </w:tc>
        <w:tc>
          <w:tcPr>
            <w:tcW w:w="1260" w:type="dxa"/>
            <w:vAlign w:val="center"/>
          </w:tcPr>
          <w:p>
            <w:pPr>
              <w:spacing w:line="400" w:lineRule="exact"/>
              <w:jc w:val="center"/>
              <w:rPr>
                <w:rFonts w:ascii="宋体" w:hAnsi="宋体"/>
                <w:szCs w:val="21"/>
              </w:rPr>
            </w:pPr>
          </w:p>
        </w:tc>
        <w:tc>
          <w:tcPr>
            <w:tcW w:w="1753" w:type="dxa"/>
            <w:vAlign w:val="center"/>
          </w:tcPr>
          <w:p>
            <w:pPr>
              <w:spacing w:line="400" w:lineRule="exact"/>
              <w:jc w:val="center"/>
              <w:rPr>
                <w:rFonts w:ascii="宋体" w:hAnsi="宋体"/>
                <w:szCs w:val="21"/>
              </w:rPr>
            </w:pPr>
          </w:p>
        </w:tc>
        <w:tc>
          <w:tcPr>
            <w:tcW w:w="1127"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00" w:lineRule="exact"/>
              <w:jc w:val="center"/>
              <w:rPr>
                <w:rFonts w:ascii="宋体" w:hAnsi="宋体"/>
                <w:szCs w:val="21"/>
              </w:rPr>
            </w:pPr>
            <w:r>
              <w:rPr>
                <w:rFonts w:hint="eastAsia" w:ascii="宋体" w:hAnsi="宋体"/>
                <w:szCs w:val="21"/>
              </w:rPr>
              <w:t>合计</w:t>
            </w:r>
          </w:p>
        </w:tc>
        <w:tc>
          <w:tcPr>
            <w:tcW w:w="7141" w:type="dxa"/>
            <w:gridSpan w:val="4"/>
            <w:vAlign w:val="center"/>
          </w:tcPr>
          <w:p>
            <w:pPr>
              <w:spacing w:line="400" w:lineRule="exact"/>
              <w:jc w:val="center"/>
              <w:rPr>
                <w:rFonts w:ascii="宋体" w:hAnsi="宋体"/>
                <w:szCs w:val="21"/>
              </w:rPr>
            </w:pPr>
            <w:r>
              <w:rPr>
                <w:rFonts w:hint="eastAsia" w:ascii="宋体" w:hAnsi="宋体"/>
                <w:szCs w:val="21"/>
              </w:rPr>
              <w:t xml:space="preserve"> </w:t>
            </w:r>
          </w:p>
        </w:tc>
        <w:tc>
          <w:tcPr>
            <w:tcW w:w="1127" w:type="dxa"/>
            <w:vAlign w:val="center"/>
          </w:tcPr>
          <w:p>
            <w:pPr>
              <w:spacing w:line="400" w:lineRule="exact"/>
              <w:jc w:val="center"/>
              <w:rPr>
                <w:rFonts w:ascii="宋体" w:hAnsi="宋体"/>
                <w:szCs w:val="21"/>
              </w:rPr>
            </w:pPr>
          </w:p>
        </w:tc>
      </w:tr>
    </w:tbl>
    <w:p>
      <w:pPr>
        <w:spacing w:line="400" w:lineRule="exact"/>
        <w:jc w:val="center"/>
        <w:rPr>
          <w:rFonts w:ascii="宋体" w:hAnsi="宋体"/>
          <w:b/>
          <w:sz w:val="24"/>
        </w:rPr>
      </w:pPr>
      <w:r>
        <w:rPr>
          <w:rFonts w:hint="eastAsia" w:ascii="宋体" w:hAnsi="宋体"/>
          <w:b/>
          <w:sz w:val="24"/>
        </w:rPr>
        <w:t>勘察费用报价汇总表（表4）</w:t>
      </w:r>
    </w:p>
    <w:p>
      <w:pPr>
        <w:spacing w:line="400" w:lineRule="exact"/>
        <w:rPr>
          <w:rFonts w:ascii="宋体" w:hAnsi="宋体"/>
          <w:b/>
          <w:sz w:val="24"/>
        </w:rPr>
      </w:pPr>
      <w:r>
        <w:rPr>
          <w:rFonts w:hint="eastAsia" w:ascii="宋体" w:hAnsi="宋体"/>
          <w:bCs/>
          <w:szCs w:val="21"/>
        </w:rPr>
        <w:t>工程名称:</w:t>
      </w:r>
    </w:p>
    <w:tbl>
      <w:tblPr>
        <w:tblStyle w:val="28"/>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374"/>
        <w:gridCol w:w="213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b/>
                <w:szCs w:val="21"/>
              </w:rPr>
            </w:pPr>
            <w:r>
              <w:rPr>
                <w:rFonts w:hint="eastAsia" w:ascii="宋体" w:hAnsi="宋体"/>
                <w:b/>
                <w:szCs w:val="21"/>
              </w:rPr>
              <w:t>序号</w:t>
            </w:r>
          </w:p>
        </w:tc>
        <w:tc>
          <w:tcPr>
            <w:tcW w:w="3374" w:type="dxa"/>
            <w:vAlign w:val="center"/>
          </w:tcPr>
          <w:p>
            <w:pPr>
              <w:spacing w:line="400" w:lineRule="exact"/>
              <w:jc w:val="center"/>
              <w:rPr>
                <w:rFonts w:ascii="宋体" w:hAnsi="宋体"/>
                <w:b/>
                <w:szCs w:val="21"/>
              </w:rPr>
            </w:pPr>
            <w:r>
              <w:rPr>
                <w:rFonts w:hint="eastAsia" w:ascii="宋体" w:hAnsi="宋体"/>
                <w:b/>
                <w:szCs w:val="21"/>
              </w:rPr>
              <w:t>计费项目</w:t>
            </w:r>
          </w:p>
        </w:tc>
        <w:tc>
          <w:tcPr>
            <w:tcW w:w="2132" w:type="dxa"/>
            <w:vAlign w:val="center"/>
          </w:tcPr>
          <w:p>
            <w:pPr>
              <w:spacing w:line="400" w:lineRule="exact"/>
              <w:jc w:val="center"/>
              <w:rPr>
                <w:rFonts w:ascii="宋体" w:hAnsi="宋体"/>
                <w:b/>
                <w:szCs w:val="21"/>
              </w:rPr>
            </w:pPr>
            <w:r>
              <w:rPr>
                <w:rFonts w:hint="eastAsia" w:ascii="宋体" w:hAnsi="宋体"/>
                <w:b/>
                <w:szCs w:val="21"/>
              </w:rPr>
              <w:t>分项合计</w:t>
            </w:r>
          </w:p>
        </w:tc>
        <w:tc>
          <w:tcPr>
            <w:tcW w:w="2684" w:type="dxa"/>
            <w:vAlign w:val="center"/>
          </w:tcPr>
          <w:p>
            <w:pPr>
              <w:spacing w:line="40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szCs w:val="21"/>
              </w:rPr>
            </w:pPr>
            <w:r>
              <w:rPr>
                <w:rFonts w:hint="eastAsia" w:ascii="宋体" w:hAnsi="宋体"/>
                <w:szCs w:val="21"/>
              </w:rPr>
              <w:t>1</w:t>
            </w:r>
          </w:p>
        </w:tc>
        <w:tc>
          <w:tcPr>
            <w:tcW w:w="3374" w:type="dxa"/>
            <w:vAlign w:val="center"/>
          </w:tcPr>
          <w:p>
            <w:pPr>
              <w:spacing w:line="400" w:lineRule="exact"/>
              <w:jc w:val="center"/>
              <w:rPr>
                <w:rFonts w:ascii="宋体" w:hAnsi="宋体"/>
                <w:szCs w:val="21"/>
              </w:rPr>
            </w:pPr>
            <w:r>
              <w:rPr>
                <w:rFonts w:hint="eastAsia" w:ascii="宋体" w:hAnsi="宋体"/>
                <w:szCs w:val="21"/>
              </w:rPr>
              <w:t>工程测量费用</w:t>
            </w:r>
          </w:p>
        </w:tc>
        <w:tc>
          <w:tcPr>
            <w:tcW w:w="2132" w:type="dxa"/>
            <w:vAlign w:val="center"/>
          </w:tcPr>
          <w:p>
            <w:pPr>
              <w:spacing w:line="400" w:lineRule="exact"/>
              <w:jc w:val="center"/>
              <w:rPr>
                <w:rFonts w:ascii="宋体" w:hAnsi="宋体"/>
                <w:szCs w:val="21"/>
              </w:rPr>
            </w:pPr>
          </w:p>
        </w:tc>
        <w:tc>
          <w:tcPr>
            <w:tcW w:w="2684"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szCs w:val="21"/>
              </w:rPr>
            </w:pPr>
            <w:r>
              <w:rPr>
                <w:rFonts w:hint="eastAsia" w:ascii="宋体" w:hAnsi="宋体"/>
                <w:szCs w:val="21"/>
              </w:rPr>
              <w:t>2</w:t>
            </w:r>
          </w:p>
        </w:tc>
        <w:tc>
          <w:tcPr>
            <w:tcW w:w="3374" w:type="dxa"/>
            <w:vAlign w:val="center"/>
          </w:tcPr>
          <w:p>
            <w:pPr>
              <w:spacing w:line="400" w:lineRule="exact"/>
              <w:jc w:val="center"/>
              <w:rPr>
                <w:rFonts w:ascii="宋体" w:hAnsi="宋体"/>
                <w:szCs w:val="21"/>
              </w:rPr>
            </w:pPr>
            <w:r>
              <w:rPr>
                <w:rFonts w:hint="eastAsia" w:ascii="宋体" w:hAnsi="宋体"/>
                <w:szCs w:val="21"/>
              </w:rPr>
              <w:t>岩土工程勘察费用</w:t>
            </w:r>
          </w:p>
        </w:tc>
        <w:tc>
          <w:tcPr>
            <w:tcW w:w="2132" w:type="dxa"/>
            <w:vAlign w:val="center"/>
          </w:tcPr>
          <w:p>
            <w:pPr>
              <w:spacing w:line="400" w:lineRule="exact"/>
              <w:jc w:val="center"/>
              <w:rPr>
                <w:rFonts w:ascii="宋体" w:hAnsi="宋体"/>
                <w:szCs w:val="21"/>
              </w:rPr>
            </w:pPr>
          </w:p>
        </w:tc>
        <w:tc>
          <w:tcPr>
            <w:tcW w:w="2684"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szCs w:val="21"/>
              </w:rPr>
            </w:pPr>
            <w:r>
              <w:rPr>
                <w:rFonts w:hint="eastAsia" w:ascii="宋体" w:hAnsi="宋体"/>
                <w:szCs w:val="21"/>
              </w:rPr>
              <w:t>3</w:t>
            </w:r>
          </w:p>
        </w:tc>
        <w:tc>
          <w:tcPr>
            <w:tcW w:w="3374" w:type="dxa"/>
            <w:vAlign w:val="center"/>
          </w:tcPr>
          <w:p>
            <w:pPr>
              <w:spacing w:line="400" w:lineRule="exact"/>
              <w:jc w:val="center"/>
              <w:rPr>
                <w:rFonts w:ascii="宋体" w:hAnsi="宋体"/>
                <w:szCs w:val="21"/>
              </w:rPr>
            </w:pPr>
            <w:r>
              <w:rPr>
                <w:rFonts w:hint="eastAsia" w:ascii="宋体" w:hAnsi="宋体"/>
                <w:szCs w:val="21"/>
              </w:rPr>
              <w:t>工程物探（含管线探测）</w:t>
            </w:r>
          </w:p>
        </w:tc>
        <w:tc>
          <w:tcPr>
            <w:tcW w:w="2132" w:type="dxa"/>
            <w:vAlign w:val="center"/>
          </w:tcPr>
          <w:p>
            <w:pPr>
              <w:spacing w:line="400" w:lineRule="exact"/>
              <w:jc w:val="center"/>
              <w:rPr>
                <w:rFonts w:ascii="宋体" w:hAnsi="宋体"/>
                <w:szCs w:val="21"/>
              </w:rPr>
            </w:pPr>
          </w:p>
        </w:tc>
        <w:tc>
          <w:tcPr>
            <w:tcW w:w="2684"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szCs w:val="21"/>
              </w:rPr>
            </w:pPr>
            <w:r>
              <w:rPr>
                <w:rFonts w:hint="eastAsia" w:ascii="宋体" w:hAnsi="宋体"/>
                <w:szCs w:val="21"/>
              </w:rPr>
              <w:t>4</w:t>
            </w:r>
          </w:p>
        </w:tc>
        <w:tc>
          <w:tcPr>
            <w:tcW w:w="3374" w:type="dxa"/>
            <w:vAlign w:val="center"/>
          </w:tcPr>
          <w:p>
            <w:pPr>
              <w:spacing w:line="400" w:lineRule="exact"/>
              <w:jc w:val="center"/>
              <w:rPr>
                <w:rFonts w:ascii="宋体" w:hAnsi="宋体"/>
                <w:szCs w:val="21"/>
              </w:rPr>
            </w:pPr>
            <w:r>
              <w:rPr>
                <w:rFonts w:hint="eastAsia" w:ascii="宋体" w:hAnsi="宋体"/>
                <w:szCs w:val="21"/>
              </w:rPr>
              <w:t>……</w:t>
            </w:r>
          </w:p>
        </w:tc>
        <w:tc>
          <w:tcPr>
            <w:tcW w:w="2132" w:type="dxa"/>
            <w:vAlign w:val="center"/>
          </w:tcPr>
          <w:p>
            <w:pPr>
              <w:spacing w:line="400" w:lineRule="exact"/>
              <w:jc w:val="center"/>
              <w:rPr>
                <w:rFonts w:ascii="宋体" w:hAnsi="宋体"/>
                <w:szCs w:val="21"/>
              </w:rPr>
            </w:pPr>
          </w:p>
        </w:tc>
        <w:tc>
          <w:tcPr>
            <w:tcW w:w="2684" w:type="dxa"/>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spacing w:line="400" w:lineRule="exact"/>
              <w:jc w:val="center"/>
              <w:rPr>
                <w:rFonts w:ascii="宋体" w:hAnsi="宋体"/>
                <w:szCs w:val="21"/>
              </w:rPr>
            </w:pPr>
            <w:r>
              <w:rPr>
                <w:rFonts w:hint="eastAsia" w:ascii="宋体" w:hAnsi="宋体"/>
                <w:szCs w:val="21"/>
              </w:rPr>
              <w:t>总价</w:t>
            </w:r>
          </w:p>
        </w:tc>
        <w:tc>
          <w:tcPr>
            <w:tcW w:w="5506" w:type="dxa"/>
            <w:gridSpan w:val="2"/>
            <w:vAlign w:val="center"/>
          </w:tcPr>
          <w:p>
            <w:pPr>
              <w:spacing w:line="400" w:lineRule="exact"/>
              <w:jc w:val="center"/>
              <w:rPr>
                <w:rFonts w:ascii="宋体" w:hAnsi="宋体"/>
                <w:szCs w:val="21"/>
              </w:rPr>
            </w:pPr>
          </w:p>
        </w:tc>
        <w:tc>
          <w:tcPr>
            <w:tcW w:w="2684" w:type="dxa"/>
            <w:vAlign w:val="center"/>
          </w:tcPr>
          <w:p>
            <w:pPr>
              <w:spacing w:line="400" w:lineRule="exact"/>
              <w:jc w:val="center"/>
              <w:rPr>
                <w:rFonts w:ascii="宋体" w:hAnsi="宋体"/>
                <w:szCs w:val="21"/>
              </w:rPr>
            </w:pPr>
          </w:p>
        </w:tc>
      </w:tr>
    </w:tbl>
    <w:p>
      <w:pPr>
        <w:pStyle w:val="16"/>
      </w:pPr>
      <w:r>
        <w:rPr>
          <w:rFonts w:hint="eastAsia"/>
        </w:rPr>
        <w:t>注：参照《勘察费按国家发展计划委员会、建设部2002年颁布的《勘察设计费收费标准》计算，勘察费(工程测量费用、岩土工程勘察费用、工程物探（含管线探测）费用)浮动幅度为下浮10%。</w:t>
      </w:r>
    </w:p>
    <w:p>
      <w:pPr>
        <w:pStyle w:val="34"/>
      </w:pPr>
      <w:r>
        <w:br w:type="page"/>
      </w:r>
    </w:p>
    <w:p>
      <w:pPr>
        <w:pStyle w:val="4"/>
        <w:jc w:val="left"/>
        <w:rPr>
          <w:b w:val="0"/>
        </w:rPr>
      </w:pPr>
      <w:bookmarkStart w:id="18" w:name="_Toc136262994"/>
      <w:r>
        <w:rPr>
          <w:rFonts w:hint="eastAsia"/>
        </w:rPr>
        <w:t>附录</w:t>
      </w:r>
      <w:r>
        <w:t>6</w:t>
      </w:r>
      <w:bookmarkEnd w:id="18"/>
    </w:p>
    <w:p>
      <w:pPr>
        <w:jc w:val="center"/>
        <w:rPr>
          <w:rFonts w:ascii="宋体" w:hAnsi="宋体"/>
          <w:b/>
          <w:bCs/>
          <w:sz w:val="32"/>
        </w:rPr>
      </w:pPr>
      <w:r>
        <w:rPr>
          <w:rFonts w:hint="eastAsia" w:ascii="宋体" w:hAnsi="宋体"/>
          <w:b/>
          <w:bCs/>
          <w:sz w:val="32"/>
        </w:rPr>
        <w:t>投标书</w:t>
      </w:r>
    </w:p>
    <w:p>
      <w:pPr>
        <w:rPr>
          <w:rFonts w:ascii="宋体" w:hAnsi="宋体"/>
        </w:rPr>
      </w:pPr>
    </w:p>
    <w:p>
      <w:pPr>
        <w:jc w:val="left"/>
        <w:rPr>
          <w:rFonts w:ascii="宋体" w:hAnsi="宋体"/>
        </w:rPr>
      </w:pPr>
      <w:r>
        <w:rPr>
          <w:rFonts w:hint="eastAsia" w:ascii="宋体" w:hAnsi="宋体"/>
        </w:rPr>
        <w:t>项目名称：</w:t>
      </w:r>
    </w:p>
    <w:p>
      <w:pPr>
        <w:pStyle w:val="16"/>
        <w:rPr>
          <w:rFonts w:hAnsi="宋体"/>
        </w:rPr>
      </w:pPr>
    </w:p>
    <w:p>
      <w:pPr>
        <w:pStyle w:val="16"/>
        <w:rPr>
          <w:rFonts w:hAnsi="宋体"/>
        </w:rPr>
      </w:pPr>
      <w:r>
        <w:rPr>
          <w:rFonts w:hint="eastAsia" w:hAnsi="宋体"/>
        </w:rPr>
        <w:t>致：（招标人、招标代理机构名称）</w:t>
      </w:r>
    </w:p>
    <w:p>
      <w:pPr>
        <w:jc w:val="left"/>
        <w:rPr>
          <w:rFonts w:ascii="宋体" w:hAnsi="宋体"/>
        </w:rPr>
      </w:pPr>
    </w:p>
    <w:p>
      <w:pPr>
        <w:pStyle w:val="16"/>
        <w:ind w:firstLine="420"/>
        <w:rPr>
          <w:rFonts w:hAnsi="宋体"/>
        </w:rPr>
      </w:pPr>
      <w:r>
        <w:rPr>
          <w:rFonts w:hint="eastAsia" w:hAnsi="宋体"/>
        </w:rPr>
        <w:t>我方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w:t>
      </w:r>
    </w:p>
    <w:p>
      <w:pPr>
        <w:pStyle w:val="16"/>
        <w:ind w:firstLine="420"/>
        <w:rPr>
          <w:rFonts w:hAnsi="宋体"/>
        </w:rPr>
      </w:pPr>
      <w:r>
        <w:rPr>
          <w:rFonts w:hint="eastAsia" w:hAnsi="宋体"/>
        </w:rPr>
        <w:t>我方愿以</w:t>
      </w:r>
      <w:r>
        <w:rPr>
          <w:rFonts w:hint="eastAsia" w:hAnsi="宋体"/>
          <w:u w:val="single"/>
        </w:rPr>
        <w:t xml:space="preserve">     </w:t>
      </w:r>
      <w:r>
        <w:rPr>
          <w:rFonts w:hint="eastAsia" w:hAnsi="宋体"/>
        </w:rPr>
        <w:t>元（大写：人民币</w:t>
      </w:r>
      <w:r>
        <w:rPr>
          <w:rFonts w:hint="eastAsia" w:hAnsi="宋体"/>
          <w:u w:val="single"/>
        </w:rPr>
        <w:t xml:space="preserve">    </w:t>
      </w:r>
      <w:r>
        <w:rPr>
          <w:rFonts w:hint="eastAsia" w:hAnsi="宋体"/>
        </w:rPr>
        <w:t>）</w:t>
      </w:r>
      <w:r>
        <w:rPr>
          <w:rFonts w:hAnsi="宋体"/>
        </w:rPr>
        <w:t>[其中：勘察费</w:t>
      </w:r>
      <w:r>
        <w:rPr>
          <w:rFonts w:hint="eastAsia" w:hAnsi="宋体"/>
          <w:u w:val="single"/>
        </w:rPr>
        <w:t xml:space="preserve">     </w:t>
      </w:r>
      <w:r>
        <w:rPr>
          <w:rFonts w:hint="eastAsia" w:hAnsi="宋体"/>
        </w:rPr>
        <w:t>元；设计费</w:t>
      </w:r>
      <w:r>
        <w:rPr>
          <w:rFonts w:hint="eastAsia" w:hAnsi="宋体"/>
          <w:u w:val="single"/>
        </w:rPr>
        <w:t xml:space="preserve">    </w:t>
      </w:r>
      <w:r>
        <w:rPr>
          <w:rFonts w:hint="eastAsia" w:hAnsi="宋体"/>
        </w:rPr>
        <w:t>元]的投标总报价，承包本次招标所包含的工作，并承担任何质量缺陷责任。我方项目负责人是</w:t>
      </w:r>
      <w:r>
        <w:rPr>
          <w:rFonts w:hint="eastAsia" w:hAnsi="宋体"/>
          <w:u w:val="single"/>
        </w:rPr>
        <w:t xml:space="preserve">      </w:t>
      </w:r>
      <w:r>
        <w:rPr>
          <w:rFonts w:hint="eastAsia" w:hAnsi="宋体"/>
        </w:rPr>
        <w:t>。</w:t>
      </w:r>
    </w:p>
    <w:p>
      <w:pPr>
        <w:pStyle w:val="16"/>
        <w:rPr>
          <w:rFonts w:hAnsi="宋体"/>
        </w:rPr>
      </w:pPr>
      <w:r>
        <w:rPr>
          <w:rFonts w:hint="eastAsia" w:hAnsi="宋体"/>
        </w:rPr>
        <w:t xml:space="preserve">    我方遵守本投标书直至投标有效期满，在投标有效期满前，本投标书对我方一直具有约束力，随时可接受中标。我方承认所附投标文件资料为本投标书的一部分。</w:t>
      </w:r>
    </w:p>
    <w:p>
      <w:pPr>
        <w:pStyle w:val="16"/>
        <w:rPr>
          <w:rFonts w:hAnsi="宋体"/>
        </w:rPr>
      </w:pPr>
      <w:r>
        <w:rPr>
          <w:rFonts w:hint="eastAsia" w:hAnsi="宋体"/>
        </w:rPr>
        <w:t xml:space="preserve">    我方认同招标文件规定的评审规则，遵守评标委员会的裁决结果，并且不会采取妨碍项目进展的行为。</w:t>
      </w:r>
    </w:p>
    <w:p>
      <w:pPr>
        <w:pStyle w:val="16"/>
        <w:rPr>
          <w:rFonts w:hAnsi="宋体"/>
        </w:rPr>
      </w:pPr>
      <w:r>
        <w:rPr>
          <w:rFonts w:hint="eastAsia" w:hAnsi="宋体"/>
        </w:rPr>
        <w:t xml:space="preserve">    如果我方中标，我方将提供规定的履约担保，将在合同规定的日期开工，并在竣工时间内，按照上述文件完成项目。</w:t>
      </w:r>
    </w:p>
    <w:p>
      <w:pPr>
        <w:pStyle w:val="16"/>
        <w:ind w:firstLine="420"/>
        <w:rPr>
          <w:rFonts w:hAnsi="宋体"/>
        </w:rPr>
      </w:pPr>
      <w:r>
        <w:rPr>
          <w:rFonts w:hint="eastAsia" w:hAnsi="宋体"/>
        </w:rPr>
        <w:t>除非制定正式合同协议书并生效，本投标书以及你方中标通知书，应构成你我双方间具有约束力的合同。</w:t>
      </w:r>
    </w:p>
    <w:p>
      <w:pPr>
        <w:pStyle w:val="16"/>
        <w:ind w:firstLine="420"/>
        <w:rPr>
          <w:rFonts w:hAnsi="宋体"/>
        </w:rPr>
      </w:pPr>
      <w:r>
        <w:rPr>
          <w:rFonts w:hint="eastAsia" w:hAnsi="宋体"/>
        </w:rPr>
        <w:t>我方保证投标材料及其后提供的一切材料都是真实的；在</w:t>
      </w:r>
      <w:r>
        <w:rPr>
          <w:rFonts w:hint="eastAsia" w:hAnsi="宋体"/>
          <w:bCs/>
          <w:u w:val="single"/>
        </w:rPr>
        <w:t>广州公共资源交易中心</w:t>
      </w:r>
      <w:r>
        <w:rPr>
          <w:rFonts w:hint="eastAsia" w:hAnsi="宋体"/>
        </w:rPr>
        <w:t>登记的一切信息都是真实的、在有效期内的。若与事实不符，经查实，我方愿意接受公开通报，承担由此带来的法律后果，并自愿停止参加广州市行政辖区内的招标投标活动三个月。</w:t>
      </w:r>
    </w:p>
    <w:p>
      <w:pPr>
        <w:pStyle w:val="16"/>
        <w:spacing w:line="360" w:lineRule="auto"/>
        <w:rPr>
          <w:rFonts w:hAnsi="宋体"/>
        </w:rPr>
      </w:pPr>
      <w:r>
        <w:rPr>
          <w:rFonts w:hint="eastAsia" w:hAnsi="宋体"/>
        </w:rPr>
        <w:t xml:space="preserve">   </w:t>
      </w:r>
      <w:r>
        <w:rPr>
          <w:rFonts w:hAnsi="宋体"/>
        </w:rPr>
        <w:t xml:space="preserve"> </w:t>
      </w:r>
      <w:r>
        <w:rPr>
          <w:rFonts w:hint="eastAsia" w:hAnsi="宋体"/>
        </w:rPr>
        <w:t>投标人：（盖章）</w:t>
      </w:r>
      <w:r>
        <w:rPr>
          <w:rFonts w:hint="eastAsia" w:hAnsi="宋体"/>
          <w:u w:val="single"/>
        </w:rPr>
        <w:t xml:space="preserve">                                  </w:t>
      </w:r>
    </w:p>
    <w:p>
      <w:pPr>
        <w:pStyle w:val="16"/>
        <w:spacing w:line="360" w:lineRule="auto"/>
        <w:rPr>
          <w:rFonts w:hAnsi="宋体"/>
        </w:rPr>
      </w:pPr>
      <w:r>
        <w:rPr>
          <w:rFonts w:hint="eastAsia" w:hAnsi="宋体"/>
        </w:rPr>
        <w:t xml:space="preserve">    法定代表人：（签名或盖章）</w:t>
      </w:r>
      <w:r>
        <w:rPr>
          <w:rFonts w:hint="eastAsia" w:hAnsi="宋体"/>
          <w:u w:val="single"/>
        </w:rPr>
        <w:t xml:space="preserve">                        </w:t>
      </w:r>
    </w:p>
    <w:p>
      <w:pPr>
        <w:pStyle w:val="16"/>
        <w:spacing w:line="360" w:lineRule="auto"/>
        <w:rPr>
          <w:rFonts w:hAnsi="宋体"/>
        </w:rPr>
      </w:pPr>
      <w:r>
        <w:rPr>
          <w:rFonts w:hint="eastAsia" w:hAnsi="宋体"/>
        </w:rPr>
        <w:t xml:space="preserve">    委托代理人：（签名或盖章）</w:t>
      </w:r>
      <w:r>
        <w:rPr>
          <w:rFonts w:hint="eastAsia" w:hAnsi="宋体"/>
          <w:u w:val="single"/>
        </w:rPr>
        <w:t xml:space="preserve">                        </w:t>
      </w:r>
    </w:p>
    <w:p>
      <w:pPr>
        <w:pStyle w:val="16"/>
        <w:spacing w:line="360" w:lineRule="auto"/>
        <w:rPr>
          <w:rFonts w:hAnsi="宋体"/>
        </w:rPr>
      </w:pPr>
      <w:r>
        <w:rPr>
          <w:rFonts w:hint="eastAsia" w:hAnsi="宋体"/>
        </w:rPr>
        <w:t xml:space="preserve">    项目负责人：（签名或盖章）</w:t>
      </w:r>
      <w:r>
        <w:rPr>
          <w:rFonts w:hint="eastAsia" w:hAnsi="宋体"/>
          <w:u w:val="single"/>
        </w:rPr>
        <w:t xml:space="preserve">                        </w:t>
      </w:r>
    </w:p>
    <w:p>
      <w:pPr>
        <w:pStyle w:val="16"/>
        <w:spacing w:line="360" w:lineRule="auto"/>
        <w:rPr>
          <w:rFonts w:hAnsi="宋体"/>
        </w:rPr>
      </w:pPr>
      <w:r>
        <w:rPr>
          <w:rFonts w:hint="eastAsia" w:hAnsi="宋体"/>
        </w:rPr>
        <w:t xml:space="preserve">    地址：</w:t>
      </w:r>
      <w:r>
        <w:rPr>
          <w:rFonts w:hint="eastAsia" w:hAnsi="宋体"/>
          <w:u w:val="single"/>
        </w:rPr>
        <w:t xml:space="preserve">                                           </w:t>
      </w:r>
    </w:p>
    <w:p>
      <w:pPr>
        <w:pStyle w:val="16"/>
        <w:spacing w:line="360" w:lineRule="auto"/>
        <w:rPr>
          <w:rFonts w:hAnsi="宋体"/>
        </w:rPr>
      </w:pPr>
      <w:r>
        <w:rPr>
          <w:rFonts w:hint="eastAsia" w:hAnsi="宋体"/>
        </w:rPr>
        <w:t xml:space="preserve">    邮政编码：</w:t>
      </w:r>
      <w:r>
        <w:rPr>
          <w:rFonts w:hint="eastAsia" w:hAnsi="宋体"/>
          <w:u w:val="single"/>
        </w:rPr>
        <w:t xml:space="preserve">                                       </w:t>
      </w:r>
    </w:p>
    <w:p>
      <w:pPr>
        <w:pStyle w:val="16"/>
        <w:spacing w:line="360" w:lineRule="auto"/>
        <w:rPr>
          <w:rFonts w:hAnsi="宋体"/>
        </w:rPr>
      </w:pPr>
      <w:r>
        <w:rPr>
          <w:rFonts w:hint="eastAsia" w:hAnsi="宋体"/>
        </w:rPr>
        <w:t xml:space="preserve">    电话/传真：</w:t>
      </w:r>
      <w:r>
        <w:rPr>
          <w:rFonts w:hint="eastAsia" w:hAnsi="宋体"/>
          <w:u w:val="single"/>
        </w:rPr>
        <w:t xml:space="preserve">                    /FAX              </w:t>
      </w:r>
    </w:p>
    <w:p>
      <w:pPr>
        <w:pStyle w:val="16"/>
        <w:spacing w:line="360" w:lineRule="auto"/>
        <w:rPr>
          <w:rFonts w:hAnsi="宋体"/>
        </w:rPr>
      </w:pPr>
      <w:r>
        <w:rPr>
          <w:rFonts w:hint="eastAsia" w:hAnsi="宋体"/>
        </w:rPr>
        <w:t xml:space="preserve">    电子邮箱：</w:t>
      </w:r>
      <w:r>
        <w:rPr>
          <w:rFonts w:hint="eastAsia" w:hAnsi="宋体"/>
          <w:u w:val="single"/>
        </w:rPr>
        <w:t xml:space="preserve">                                       </w:t>
      </w:r>
    </w:p>
    <w:p>
      <w:pPr>
        <w:pStyle w:val="16"/>
        <w:spacing w:line="360" w:lineRule="auto"/>
        <w:rPr>
          <w:rFonts w:hAnsi="宋体"/>
        </w:rPr>
      </w:pPr>
      <w:r>
        <w:rPr>
          <w:rFonts w:hint="eastAsia" w:hAnsi="宋体"/>
        </w:rPr>
        <w:t xml:space="preserve">    开户银行名称、帐号：</w:t>
      </w:r>
      <w:r>
        <w:rPr>
          <w:rFonts w:hint="eastAsia" w:hAnsi="宋体"/>
          <w:u w:val="single"/>
        </w:rPr>
        <w:t xml:space="preserve">                             </w:t>
      </w:r>
    </w:p>
    <w:p>
      <w:pPr>
        <w:pStyle w:val="16"/>
        <w:spacing w:line="360" w:lineRule="auto"/>
        <w:rPr>
          <w:rFonts w:hAnsi="宋体"/>
        </w:rPr>
      </w:pPr>
      <w:r>
        <w:rPr>
          <w:rFonts w:hint="eastAsia" w:hAnsi="宋体"/>
        </w:rPr>
        <w:t xml:space="preserve">    开户行地址/电话：</w:t>
      </w:r>
      <w:r>
        <w:rPr>
          <w:rFonts w:hint="eastAsia" w:hAnsi="宋体"/>
          <w:u w:val="single"/>
        </w:rPr>
        <w:t xml:space="preserve">                                </w:t>
      </w:r>
    </w:p>
    <w:p>
      <w:pPr>
        <w:pStyle w:val="16"/>
        <w:rPr>
          <w:rFonts w:hAnsi="宋体"/>
        </w:rPr>
      </w:pPr>
    </w:p>
    <w:p>
      <w:pPr>
        <w:pStyle w:val="16"/>
        <w:rPr>
          <w:rFonts w:hAnsi="宋体"/>
        </w:rPr>
      </w:pPr>
      <w:r>
        <w:rPr>
          <w:rFonts w:hint="eastAsia" w:hAnsi="宋体"/>
        </w:rPr>
        <w:t xml:space="preserve">                                     日期：       年    月    日</w:t>
      </w:r>
    </w:p>
    <w:p>
      <w:pPr>
        <w:rPr>
          <w:rFonts w:ascii="宋体" w:hAnsi="宋体"/>
        </w:rPr>
      </w:pPr>
    </w:p>
    <w:p>
      <w:pPr>
        <w:pStyle w:val="4"/>
        <w:ind w:left="0" w:firstLine="0"/>
        <w:jc w:val="left"/>
        <w:rPr>
          <w:b w:val="0"/>
        </w:rPr>
      </w:pPr>
      <w:bookmarkStart w:id="19" w:name="_Hlk122022340"/>
      <w:bookmarkStart w:id="20" w:name="_Toc136262995"/>
      <w:r>
        <w:rPr>
          <w:rFonts w:hint="eastAsia"/>
        </w:rPr>
        <w:t>附录</w:t>
      </w:r>
      <w:r>
        <w:t>7</w:t>
      </w:r>
      <w:bookmarkEnd w:id="19"/>
      <w:r>
        <w:rPr>
          <w:rFonts w:hint="eastAsia"/>
        </w:rPr>
        <w:t>（如果招标人接受联合体，则与投标书一起递交）</w:t>
      </w:r>
      <w:bookmarkEnd w:id="20"/>
    </w:p>
    <w:p>
      <w:pPr>
        <w:jc w:val="center"/>
        <w:rPr>
          <w:rFonts w:ascii="宋体" w:hAnsi="宋体"/>
          <w:sz w:val="24"/>
        </w:rPr>
      </w:pPr>
      <w:r>
        <w:rPr>
          <w:rFonts w:hint="eastAsia" w:ascii="宋体" w:hAnsi="宋体"/>
          <w:b/>
          <w:bCs/>
          <w:sz w:val="32"/>
        </w:rPr>
        <w:t>联合体共同投标协议</w:t>
      </w:r>
    </w:p>
    <w:p>
      <w:pPr>
        <w:jc w:val="left"/>
        <w:rPr>
          <w:rFonts w:ascii="宋体" w:hAnsi="宋体"/>
          <w:szCs w:val="21"/>
        </w:rPr>
      </w:pPr>
    </w:p>
    <w:p>
      <w:pPr>
        <w:jc w:val="left"/>
        <w:rPr>
          <w:rFonts w:ascii="宋体" w:hAnsi="宋体"/>
          <w:szCs w:val="21"/>
        </w:rPr>
      </w:pPr>
      <w:r>
        <w:rPr>
          <w:rFonts w:hint="eastAsia" w:ascii="宋体" w:hAnsi="宋体"/>
          <w:szCs w:val="21"/>
        </w:rPr>
        <w:t>投标项目名称：</w:t>
      </w:r>
      <w:r>
        <w:rPr>
          <w:rFonts w:hint="eastAsia" w:ascii="宋体" w:hAnsi="宋体"/>
          <w:szCs w:val="21"/>
          <w:u w:val="single"/>
        </w:rPr>
        <w:t xml:space="preserve">                                           </w:t>
      </w:r>
      <w:r>
        <w:rPr>
          <w:rFonts w:hint="eastAsia" w:ascii="宋体" w:hAnsi="宋体"/>
          <w:szCs w:val="21"/>
        </w:rPr>
        <w:t>。</w:t>
      </w:r>
    </w:p>
    <w:p>
      <w:pPr>
        <w:pStyle w:val="16"/>
      </w:pPr>
      <w:r>
        <w:rPr>
          <w:rFonts w:hint="eastAsia" w:hAnsi="宋体"/>
          <w:szCs w:val="21"/>
        </w:rPr>
        <w:t>致：</w:t>
      </w:r>
      <w:r>
        <w:rPr>
          <w:rFonts w:hint="eastAsia" w:hAnsi="宋体"/>
          <w:szCs w:val="21"/>
          <w:u w:val="single"/>
        </w:rPr>
        <w:t xml:space="preserve">                                    </w:t>
      </w:r>
      <w:r>
        <w:rPr>
          <w:rFonts w:hint="eastAsia" w:hAnsi="宋体"/>
          <w:szCs w:val="21"/>
        </w:rPr>
        <w:t>（招标人、招标代理机构名称）</w:t>
      </w:r>
      <w:r>
        <w:rPr>
          <w:rFonts w:hint="eastAsia"/>
        </w:rPr>
        <w:t xml:space="preserve"> </w:t>
      </w:r>
    </w:p>
    <w:p>
      <w:pPr>
        <w:pStyle w:val="16"/>
        <w:spacing w:line="400" w:lineRule="exact"/>
        <w:rPr>
          <w:rFonts w:hAnsi="宋体"/>
          <w:szCs w:val="21"/>
        </w:rPr>
      </w:pPr>
      <w:r>
        <w:rPr>
          <w:rFonts w:hint="eastAsia" w:hAnsi="宋体"/>
          <w:szCs w:val="21"/>
        </w:rPr>
        <w:t xml:space="preserve">    我方决定组成联合体共同参加以上项目的投标，若中标，联合体各成员向招标人承担连带责任。我方授权委托本协议牵头人，代表所有联合体成员参加投标、提交投标文件，以及与招标人签订合同，负责整个合同实施阶段的协调工作。</w:t>
      </w:r>
    </w:p>
    <w:p>
      <w:r>
        <w:rPr>
          <w:rFonts w:hint="eastAsia" w:ascii="宋体" w:hAnsi="宋体"/>
          <w:szCs w:val="21"/>
        </w:rPr>
        <w:t xml:space="preserve">    </w:t>
      </w:r>
    </w:p>
    <w:p>
      <w:pPr>
        <w:pStyle w:val="16"/>
        <w:spacing w:line="360" w:lineRule="auto"/>
        <w:rPr>
          <w:rFonts w:hAnsi="宋体"/>
          <w:szCs w:val="21"/>
        </w:rPr>
      </w:pPr>
      <w:r>
        <w:rPr>
          <w:rFonts w:hint="eastAsia" w:hAnsi="宋体"/>
          <w:szCs w:val="21"/>
        </w:rPr>
        <w:t xml:space="preserve">     投标牵头人：（盖章）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法定代表人：（签名或盖章）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委托代理人：（签名或盖章）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地址：</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邮政编码：</w:t>
      </w:r>
      <w:r>
        <w:rPr>
          <w:rFonts w:hint="eastAsia" w:hAnsi="宋体"/>
          <w:szCs w:val="21"/>
          <w:u w:val="single"/>
        </w:rPr>
        <w:t xml:space="preserve">          </w:t>
      </w:r>
      <w:r>
        <w:rPr>
          <w:rFonts w:hint="eastAsia" w:hAnsi="宋体"/>
          <w:szCs w:val="21"/>
        </w:rPr>
        <w:t>电话/传真：</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分工内容：</w:t>
      </w:r>
      <w:r>
        <w:rPr>
          <w:rFonts w:hint="eastAsia" w:hAnsi="宋体"/>
          <w:szCs w:val="21"/>
          <w:u w:val="single"/>
        </w:rPr>
        <w:t xml:space="preserve">                                                  </w:t>
      </w:r>
    </w:p>
    <w:p/>
    <w:p>
      <w:pPr>
        <w:pStyle w:val="16"/>
        <w:spacing w:line="360" w:lineRule="auto"/>
        <w:rPr>
          <w:rFonts w:hAnsi="宋体"/>
          <w:szCs w:val="21"/>
        </w:rPr>
      </w:pPr>
      <w:r>
        <w:rPr>
          <w:rFonts w:hint="eastAsia" w:hAnsi="宋体"/>
          <w:szCs w:val="21"/>
        </w:rPr>
        <w:t xml:space="preserve">     联合体成员：（盖章）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法定代表人：（签名或盖章）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委托代理人：（签名或盖章）</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地址：</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邮政编码：</w:t>
      </w:r>
      <w:r>
        <w:rPr>
          <w:rFonts w:hint="eastAsia" w:hAnsi="宋体"/>
          <w:szCs w:val="21"/>
          <w:u w:val="single"/>
        </w:rPr>
        <w:t xml:space="preserve">          </w:t>
      </w:r>
      <w:r>
        <w:rPr>
          <w:rFonts w:hint="eastAsia" w:hAnsi="宋体"/>
          <w:szCs w:val="21"/>
        </w:rPr>
        <w:t>电话/传真：</w:t>
      </w:r>
      <w:r>
        <w:rPr>
          <w:rFonts w:hint="eastAsia" w:hAnsi="宋体"/>
          <w:szCs w:val="21"/>
          <w:u w:val="single"/>
        </w:rPr>
        <w:t xml:space="preserve">                             </w:t>
      </w:r>
    </w:p>
    <w:p>
      <w:pPr>
        <w:pStyle w:val="16"/>
        <w:spacing w:line="360" w:lineRule="auto"/>
        <w:rPr>
          <w:rFonts w:hAnsi="宋体"/>
          <w:szCs w:val="21"/>
        </w:rPr>
      </w:pPr>
      <w:r>
        <w:rPr>
          <w:rFonts w:hint="eastAsia" w:hAnsi="宋体"/>
          <w:szCs w:val="21"/>
        </w:rPr>
        <w:t xml:space="preserve">     分工内容：</w:t>
      </w:r>
      <w:r>
        <w:rPr>
          <w:rFonts w:hint="eastAsia" w:hAnsi="宋体"/>
          <w:szCs w:val="21"/>
          <w:u w:val="single"/>
        </w:rPr>
        <w:t xml:space="preserve">                                                  </w:t>
      </w:r>
    </w:p>
    <w:p>
      <w:r>
        <w:rPr>
          <w:rFonts w:hint="eastAsia"/>
        </w:rPr>
        <w:t xml:space="preserve">     </w:t>
      </w:r>
    </w:p>
    <w:p>
      <w:pPr>
        <w:rPr>
          <w:rFonts w:ascii="宋体" w:hAnsi="宋体"/>
          <w:szCs w:val="21"/>
        </w:rPr>
      </w:pPr>
      <w:r>
        <w:rPr>
          <w:rFonts w:hint="eastAsia" w:ascii="宋体" w:hAnsi="宋体"/>
          <w:szCs w:val="21"/>
        </w:rPr>
        <w:t xml:space="preserve">                                                </w:t>
      </w:r>
    </w:p>
    <w:p>
      <w:pPr>
        <w:jc w:val="right"/>
        <w:rPr>
          <w:rFonts w:ascii="宋体" w:hAnsi="宋体"/>
          <w:szCs w:val="21"/>
        </w:rPr>
      </w:pPr>
      <w:r>
        <w:rPr>
          <w:rFonts w:hint="eastAsia" w:ascii="宋体" w:hAnsi="宋体"/>
          <w:szCs w:val="21"/>
        </w:rPr>
        <w:t>签订日期：       年    月    日</w:t>
      </w:r>
    </w:p>
    <w:p>
      <w:pPr>
        <w:pStyle w:val="22"/>
      </w:pPr>
    </w:p>
    <w:p>
      <w:r>
        <w:rPr>
          <w:rFonts w:hint="eastAsia"/>
        </w:rPr>
        <w:t>注：非联合体投标的，不需要递交联合体共同投标协议</w:t>
      </w:r>
    </w:p>
    <w:p>
      <w:pPr>
        <w:rPr>
          <w:rFonts w:ascii="宋体" w:hAnsi="宋体"/>
        </w:rPr>
      </w:pPr>
    </w:p>
    <w:p>
      <w:pPr>
        <w:widowControl/>
        <w:jc w:val="left"/>
        <w:rPr>
          <w:rFonts w:ascii="宋体" w:hAnsi="宋体"/>
          <w:sz w:val="24"/>
        </w:rPr>
      </w:pPr>
      <w:r>
        <w:rPr>
          <w:rFonts w:ascii="宋体" w:hAnsi="宋体"/>
          <w:sz w:val="24"/>
        </w:rPr>
        <w:br w:type="page"/>
      </w:r>
    </w:p>
    <w:p>
      <w:pPr>
        <w:spacing w:line="360" w:lineRule="auto"/>
        <w:rPr>
          <w:rFonts w:ascii="宋体" w:hAnsi="宋体"/>
          <w:sz w:val="24"/>
        </w:rPr>
      </w:pPr>
      <w:r>
        <w:rPr>
          <w:rFonts w:hint="eastAsia" w:ascii="宋体" w:hAnsi="宋体"/>
          <w:sz w:val="24"/>
        </w:rPr>
        <w:t>法人证明书或法人授权委托书格式</w:t>
      </w:r>
      <w:r>
        <w:rPr>
          <w:rFonts w:ascii="宋体" w:hAnsi="宋体"/>
          <w:sz w:val="24"/>
        </w:rPr>
        <w:t xml:space="preserve">： </w:t>
      </w:r>
    </w:p>
    <w:p>
      <w:pPr>
        <w:spacing w:line="360" w:lineRule="auto"/>
        <w:jc w:val="center"/>
        <w:rPr>
          <w:rFonts w:ascii="宋体" w:hAnsi="宋体"/>
          <w:b/>
          <w:sz w:val="28"/>
        </w:rPr>
      </w:pPr>
      <w:r>
        <w:rPr>
          <w:rFonts w:ascii="宋体" w:hAnsi="宋体"/>
          <w:b/>
          <w:sz w:val="28"/>
        </w:rPr>
        <w:t>法定代表人</w:t>
      </w:r>
      <w:r>
        <w:rPr>
          <w:rFonts w:hint="eastAsia" w:ascii="宋体" w:hAnsi="宋体"/>
          <w:b/>
          <w:sz w:val="28"/>
        </w:rPr>
        <w:t>（负责人）</w:t>
      </w:r>
      <w:r>
        <w:rPr>
          <w:rFonts w:ascii="宋体" w:hAnsi="宋体"/>
          <w:b/>
          <w:sz w:val="28"/>
        </w:rPr>
        <w:t>证明书</w:t>
      </w:r>
    </w:p>
    <w:p>
      <w:pPr>
        <w:spacing w:line="360" w:lineRule="auto"/>
        <w:jc w:val="right"/>
        <w:rPr>
          <w:rFonts w:ascii="宋体" w:hAnsi="宋体"/>
          <w:sz w:val="24"/>
        </w:rPr>
      </w:pPr>
      <w:r>
        <w:rPr>
          <w:rFonts w:ascii="宋体" w:hAnsi="宋体"/>
        </w:rPr>
        <w:t>（　 ）第　号</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1" w:type="dxa"/>
          </w:tcPr>
          <w:p>
            <w:pPr>
              <w:pBdr>
                <w:top w:val="single" w:color="auto" w:sz="4" w:space="1"/>
                <w:left w:val="single" w:color="auto" w:sz="4" w:space="4"/>
                <w:bottom w:val="single" w:color="auto" w:sz="4" w:space="1"/>
                <w:right w:val="single" w:color="auto" w:sz="4" w:space="4"/>
              </w:pBdr>
              <w:spacing w:line="360" w:lineRule="auto"/>
              <w:rPr>
                <w:rFonts w:ascii="宋体" w:hAnsi="宋体"/>
                <w:sz w:val="24"/>
              </w:rPr>
            </w:pPr>
            <w:r>
              <w:rPr>
                <w:rFonts w:hint="eastAsia" w:ascii="宋体" w:hAnsi="宋体"/>
                <w:sz w:val="24"/>
                <w:u w:val="single"/>
              </w:rPr>
              <w:t>　　　　　　</w:t>
            </w:r>
            <w:r>
              <w:rPr>
                <w:rFonts w:hint="eastAsia" w:ascii="宋体" w:hAnsi="宋体"/>
                <w:sz w:val="24"/>
              </w:rPr>
              <w:t>现任我单位</w:t>
            </w:r>
            <w:r>
              <w:rPr>
                <w:rFonts w:hint="eastAsia" w:ascii="宋体" w:hAnsi="宋体"/>
                <w:sz w:val="24"/>
                <w:u w:val="single"/>
              </w:rPr>
              <w:t>　　　　　</w:t>
            </w:r>
            <w:r>
              <w:rPr>
                <w:rFonts w:hint="eastAsia" w:ascii="宋体" w:hAnsi="宋体"/>
                <w:sz w:val="24"/>
              </w:rPr>
              <w:t>职务，为法定代表人（负责人），特此证明。</w:t>
            </w:r>
          </w:p>
          <w:p>
            <w:pPr>
              <w:pBdr>
                <w:top w:val="single" w:color="auto" w:sz="4" w:space="1"/>
                <w:left w:val="single" w:color="auto" w:sz="4" w:space="4"/>
                <w:bottom w:val="single" w:color="auto" w:sz="4" w:space="1"/>
                <w:right w:val="single" w:color="auto" w:sz="4" w:space="4"/>
              </w:pBdr>
              <w:spacing w:line="360" w:lineRule="auto"/>
              <w:rPr>
                <w:rFonts w:ascii="宋体" w:hAnsi="宋体"/>
                <w:sz w:val="24"/>
                <w:u w:val="single"/>
              </w:rPr>
            </w:pPr>
            <w:r>
              <w:rPr>
                <w:rFonts w:hint="eastAsia" w:ascii="宋体" w:hAnsi="宋体"/>
                <w:sz w:val="24"/>
              </w:rPr>
              <w:t>有效期限：</w:t>
            </w:r>
            <w:r>
              <w:rPr>
                <w:rFonts w:hint="eastAsia" w:ascii="宋体" w:hAnsi="宋体"/>
                <w:sz w:val="24"/>
                <w:u w:val="single"/>
              </w:rPr>
              <w:t xml:space="preserve">                                </w:t>
            </w:r>
          </w:p>
          <w:p>
            <w:pPr>
              <w:pBdr>
                <w:top w:val="single" w:color="auto" w:sz="4" w:space="1"/>
                <w:left w:val="single" w:color="auto" w:sz="4" w:space="4"/>
                <w:bottom w:val="single" w:color="auto" w:sz="4" w:space="1"/>
                <w:right w:val="single" w:color="auto" w:sz="4" w:space="4"/>
              </w:pBdr>
              <w:spacing w:line="360" w:lineRule="auto"/>
              <w:rPr>
                <w:rFonts w:ascii="宋体" w:hAnsi="宋体"/>
                <w:sz w:val="24"/>
                <w:u w:val="single"/>
              </w:rPr>
            </w:pPr>
            <w:r>
              <w:rPr>
                <w:rFonts w:hint="eastAsia" w:ascii="宋体" w:hAnsi="宋体"/>
                <w:sz w:val="24"/>
              </w:rPr>
              <w:t>附：法定代表人（负责人）性别：</w:t>
            </w:r>
            <w:r>
              <w:rPr>
                <w:rFonts w:hint="eastAsia" w:ascii="宋体" w:hAnsi="宋体"/>
                <w:sz w:val="24"/>
                <w:u w:val="single"/>
              </w:rPr>
              <w:t>　　</w:t>
            </w:r>
            <w:r>
              <w:rPr>
                <w:rFonts w:hint="eastAsia" w:ascii="宋体" w:hAnsi="宋体"/>
                <w:sz w:val="24"/>
              </w:rPr>
              <w:t>年龄：</w:t>
            </w:r>
            <w:r>
              <w:rPr>
                <w:rFonts w:hint="eastAsia" w:ascii="宋体" w:hAnsi="宋体"/>
                <w:sz w:val="24"/>
                <w:u w:val="single"/>
              </w:rPr>
              <w:t>　　</w:t>
            </w:r>
            <w:r>
              <w:rPr>
                <w:rFonts w:hint="eastAsia" w:ascii="宋体" w:hAnsi="宋体"/>
                <w:sz w:val="24"/>
              </w:rPr>
              <w:t>身份证号码：</w:t>
            </w:r>
            <w:r>
              <w:rPr>
                <w:rFonts w:hint="eastAsia" w:ascii="宋体" w:hAnsi="宋体"/>
                <w:sz w:val="24"/>
                <w:u w:val="single"/>
              </w:rPr>
              <w:t xml:space="preserve">         </w:t>
            </w:r>
          </w:p>
          <w:p>
            <w:pPr>
              <w:pBdr>
                <w:top w:val="single" w:color="auto" w:sz="4" w:space="1"/>
                <w:left w:val="single" w:color="auto" w:sz="4" w:space="4"/>
                <w:bottom w:val="single" w:color="auto" w:sz="4" w:space="1"/>
                <w:right w:val="single" w:color="auto" w:sz="4" w:space="4"/>
              </w:pBdr>
              <w:spacing w:line="360" w:lineRule="auto"/>
              <w:rPr>
                <w:rFonts w:ascii="宋体" w:hAnsi="宋体"/>
                <w:sz w:val="24"/>
                <w:u w:val="single"/>
              </w:rPr>
            </w:pPr>
            <w:r>
              <w:rPr>
                <w:rFonts w:hint="eastAsia" w:ascii="宋体" w:hAnsi="宋体"/>
                <w:sz w:val="24"/>
              </w:rPr>
              <w:t>注册号码：</w:t>
            </w:r>
            <w:r>
              <w:rPr>
                <w:rFonts w:hint="eastAsia" w:ascii="宋体" w:hAnsi="宋体"/>
                <w:sz w:val="24"/>
                <w:u w:val="single"/>
              </w:rPr>
              <w:t>　　　　　　　　　　</w:t>
            </w:r>
            <w:r>
              <w:rPr>
                <w:rFonts w:hint="eastAsia" w:ascii="宋体" w:hAnsi="宋体"/>
                <w:sz w:val="24"/>
              </w:rPr>
              <w:t>企业类型：</w:t>
            </w:r>
            <w:r>
              <w:rPr>
                <w:rFonts w:hint="eastAsia" w:ascii="宋体" w:hAnsi="宋体"/>
                <w:sz w:val="24"/>
                <w:u w:val="single"/>
              </w:rPr>
              <w:t xml:space="preserve">                   </w:t>
            </w:r>
          </w:p>
          <w:p>
            <w:pPr>
              <w:pBdr>
                <w:top w:val="single" w:color="auto" w:sz="4" w:space="1"/>
                <w:left w:val="single" w:color="auto" w:sz="4" w:space="4"/>
                <w:bottom w:val="single" w:color="auto" w:sz="4" w:space="1"/>
                <w:right w:val="single" w:color="auto" w:sz="4" w:space="4"/>
              </w:pBdr>
              <w:spacing w:line="360" w:lineRule="auto"/>
              <w:rPr>
                <w:rFonts w:ascii="宋体" w:hAnsi="宋体"/>
                <w:sz w:val="24"/>
                <w:u w:val="single"/>
              </w:rPr>
            </w:pPr>
            <w:r>
              <w:rPr>
                <w:rFonts w:hint="eastAsia" w:ascii="宋体" w:hAnsi="宋体"/>
                <w:sz w:val="24"/>
              </w:rPr>
              <w:t>经营范围：</w:t>
            </w:r>
            <w:r>
              <w:rPr>
                <w:rFonts w:hint="eastAsia" w:ascii="宋体" w:hAnsi="宋体"/>
                <w:sz w:val="24"/>
                <w:u w:val="single"/>
              </w:rPr>
              <w:t xml:space="preserve">                          </w:t>
            </w:r>
          </w:p>
          <w:p>
            <w:pPr>
              <w:pBdr>
                <w:top w:val="single" w:color="auto" w:sz="4" w:space="1"/>
                <w:left w:val="single" w:color="auto" w:sz="4" w:space="4"/>
                <w:bottom w:val="single" w:color="auto" w:sz="4" w:space="1"/>
                <w:right w:val="single" w:color="auto" w:sz="4" w:space="4"/>
              </w:pBdr>
              <w:spacing w:line="360" w:lineRule="auto"/>
              <w:rPr>
                <w:rFonts w:ascii="宋体" w:hAnsi="宋体"/>
                <w:sz w:val="24"/>
              </w:rPr>
            </w:pPr>
            <w:r>
              <w:rPr>
                <w:rFonts w:hint="eastAsia" w:ascii="宋体" w:hAnsi="宋体"/>
                <w:sz w:val="24"/>
                <w:u w:val="single"/>
              </w:rPr>
              <w:t>　　　　　　　　　　　　　　　　</w:t>
            </w:r>
            <w:r>
              <w:rPr>
                <w:rFonts w:hint="eastAsia" w:ascii="宋体" w:hAnsi="宋体"/>
                <w:sz w:val="24"/>
              </w:rPr>
              <w:t>单位：　　　　　　（盖章）</w:t>
            </w:r>
          </w:p>
          <w:p>
            <w:pPr>
              <w:pBdr>
                <w:top w:val="single" w:color="auto" w:sz="4" w:space="1"/>
                <w:left w:val="single" w:color="auto" w:sz="4" w:space="4"/>
                <w:bottom w:val="single" w:color="auto" w:sz="4" w:space="1"/>
                <w:right w:val="single" w:color="auto" w:sz="4" w:space="4"/>
              </w:pBdr>
              <w:spacing w:line="360" w:lineRule="auto"/>
              <w:rPr>
                <w:rFonts w:ascii="宋体" w:hAnsi="宋体"/>
                <w:sz w:val="24"/>
              </w:rPr>
            </w:pPr>
            <w:r>
              <w:rPr>
                <w:rFonts w:hint="eastAsia" w:ascii="宋体" w:hAnsi="宋体"/>
                <w:sz w:val="24"/>
                <w:u w:val="single"/>
              </w:rPr>
              <w:t>　　　　　　　　　　　　　　　　</w:t>
            </w:r>
            <w:r>
              <w:rPr>
                <w:rFonts w:hint="eastAsia" w:ascii="宋体" w:hAnsi="宋体"/>
                <w:sz w:val="24"/>
              </w:rPr>
              <w:t>　　　　　    年　月　　日</w:t>
            </w:r>
          </w:p>
        </w:tc>
      </w:tr>
    </w:tbl>
    <w:p>
      <w:pPr>
        <w:spacing w:line="360" w:lineRule="auto"/>
        <w:rPr>
          <w:rFonts w:ascii="宋体" w:hAnsi="宋体"/>
          <w:sz w:val="24"/>
        </w:rPr>
      </w:pPr>
      <w:r>
        <w:rPr>
          <w:rFonts w:hint="eastAsia" w:ascii="宋体" w:hAnsi="宋体"/>
          <w:sz w:val="24"/>
        </w:rPr>
        <w:t>注：法定代表人证明书也可以采用工商行政管理局统一印制的格式。</w:t>
      </w: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r>
        <w:rPr>
          <w:rFonts w:hint="eastAsia" w:ascii="宋体" w:hAnsi="宋体"/>
          <w:b/>
          <w:sz w:val="24"/>
        </w:rPr>
        <w:t>法定代表人授权委托</w:t>
      </w:r>
      <w:r>
        <w:rPr>
          <w:rFonts w:ascii="宋体" w:hAnsi="宋体"/>
          <w:b/>
          <w:sz w:val="24"/>
        </w:rPr>
        <w:t>书</w:t>
      </w:r>
    </w:p>
    <w:p>
      <w:pPr>
        <w:spacing w:line="360" w:lineRule="auto"/>
        <w:jc w:val="right"/>
        <w:rPr>
          <w:rFonts w:ascii="宋体" w:hAnsi="宋体"/>
          <w:sz w:val="24"/>
        </w:rPr>
      </w:pPr>
      <w:r>
        <w:rPr>
          <w:rFonts w:ascii="宋体" w:hAnsi="宋体"/>
        </w:rPr>
        <w:t>（　 ）第　号</w:t>
      </w:r>
    </w:p>
    <w:tbl>
      <w:tblPr>
        <w:tblStyle w:val="28"/>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1" w:type="dxa"/>
          </w:tcPr>
          <w:p>
            <w:pPr>
              <w:spacing w:line="360" w:lineRule="auto"/>
              <w:ind w:firstLine="480" w:firstLineChars="200"/>
              <w:rPr>
                <w:rFonts w:ascii="宋体" w:hAnsi="宋体"/>
                <w:sz w:val="24"/>
                <w:u w:val="single"/>
              </w:rPr>
            </w:pPr>
            <w:r>
              <w:rPr>
                <w:rFonts w:hint="eastAsia" w:ascii="宋体" w:hAnsi="宋体"/>
                <w:sz w:val="24"/>
              </w:rPr>
              <w:t>兹授权</w:t>
            </w:r>
            <w:r>
              <w:rPr>
                <w:rFonts w:ascii="宋体" w:hAnsi="宋体"/>
                <w:sz w:val="24"/>
                <w:u w:val="single"/>
              </w:rPr>
              <w:t xml:space="preserve">                </w:t>
            </w:r>
            <w:r>
              <w:rPr>
                <w:rFonts w:hint="eastAsia" w:ascii="宋体" w:hAnsi="宋体"/>
                <w:sz w:val="24"/>
              </w:rPr>
              <w:t>为我方委托代理人，其权限是：</w:t>
            </w:r>
            <w:r>
              <w:rPr>
                <w:rFonts w:ascii="宋体" w:hAnsi="宋体"/>
                <w:sz w:val="24"/>
                <w:u w:val="single"/>
              </w:rPr>
              <w:t xml:space="preserve">        </w:t>
            </w:r>
            <w:r>
              <w:rPr>
                <w:rFonts w:hint="eastAsia" w:ascii="宋体" w:hAnsi="宋体"/>
                <w:sz w:val="24"/>
                <w:u w:val="single"/>
              </w:rPr>
              <w:t xml:space="preserve">              </w:t>
            </w:r>
          </w:p>
          <w:p>
            <w:pPr>
              <w:spacing w:line="360" w:lineRule="auto"/>
              <w:rPr>
                <w:rFonts w:ascii="宋体" w:hAnsi="宋体"/>
                <w:sz w:val="24"/>
                <w:u w:val="single"/>
              </w:rPr>
            </w:pPr>
            <w:r>
              <w:rPr>
                <w:rFonts w:ascii="宋体" w:hAnsi="宋体"/>
                <w:sz w:val="24"/>
                <w:u w:val="single"/>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有效期限：</w:t>
            </w:r>
            <w:r>
              <w:rPr>
                <w:rFonts w:ascii="宋体" w:hAnsi="宋体"/>
                <w:sz w:val="24"/>
                <w:u w:val="single"/>
              </w:rPr>
              <w:t xml:space="preserve">                                                      </w:t>
            </w:r>
          </w:p>
          <w:p>
            <w:pPr>
              <w:spacing w:line="360" w:lineRule="auto"/>
              <w:rPr>
                <w:rFonts w:ascii="宋体" w:hAnsi="宋体"/>
                <w:sz w:val="24"/>
              </w:rPr>
            </w:pPr>
            <w:r>
              <w:rPr>
                <w:rFonts w:hint="eastAsia" w:ascii="宋体" w:hAnsi="宋体"/>
                <w:sz w:val="24"/>
              </w:rPr>
              <w:t>附：代理人性别：</w:t>
            </w:r>
            <w:r>
              <w:rPr>
                <w:rFonts w:ascii="宋体" w:hAnsi="宋体"/>
                <w:sz w:val="24"/>
                <w:u w:val="single"/>
              </w:rPr>
              <w:t xml:space="preserve">     </w:t>
            </w:r>
            <w:r>
              <w:rPr>
                <w:rFonts w:hint="eastAsia" w:ascii="宋体" w:hAnsi="宋体"/>
                <w:sz w:val="24"/>
              </w:rPr>
              <w:t>年龄：</w:t>
            </w:r>
            <w:r>
              <w:rPr>
                <w:rFonts w:ascii="宋体" w:hAnsi="宋体"/>
                <w:sz w:val="24"/>
                <w:u w:val="single"/>
              </w:rPr>
              <w:t xml:space="preserve">     </w:t>
            </w:r>
            <w:r>
              <w:rPr>
                <w:rFonts w:hint="eastAsia" w:ascii="宋体" w:hAnsi="宋体"/>
                <w:sz w:val="24"/>
              </w:rPr>
              <w:t>身份证号码：</w:t>
            </w:r>
            <w:r>
              <w:rPr>
                <w:rFonts w:ascii="宋体" w:hAnsi="宋体"/>
                <w:sz w:val="24"/>
                <w:u w:val="single"/>
              </w:rPr>
              <w:t xml:space="preserve">                    </w:t>
            </w:r>
          </w:p>
          <w:p>
            <w:pPr>
              <w:spacing w:line="360" w:lineRule="auto"/>
              <w:rPr>
                <w:rFonts w:ascii="宋体" w:hAnsi="宋体"/>
                <w:sz w:val="24"/>
                <w:u w:val="single"/>
              </w:rPr>
            </w:pPr>
            <w:r>
              <w:rPr>
                <w:rFonts w:hint="eastAsia" w:ascii="宋体" w:hAnsi="宋体"/>
                <w:sz w:val="24"/>
              </w:rPr>
              <w:t>注册号码：</w:t>
            </w:r>
            <w:r>
              <w:rPr>
                <w:rFonts w:ascii="宋体" w:hAnsi="宋体"/>
                <w:sz w:val="24"/>
                <w:u w:val="single"/>
              </w:rPr>
              <w:t xml:space="preserve">                  </w:t>
            </w:r>
            <w:r>
              <w:rPr>
                <w:rFonts w:hint="eastAsia" w:ascii="宋体" w:hAnsi="宋体"/>
                <w:sz w:val="24"/>
              </w:rPr>
              <w:t>企业类型：</w:t>
            </w:r>
            <w:r>
              <w:rPr>
                <w:rFonts w:ascii="宋体" w:hAnsi="宋体"/>
                <w:sz w:val="24"/>
                <w:u w:val="single"/>
              </w:rPr>
              <w:t xml:space="preserve">                      </w:t>
            </w:r>
          </w:p>
          <w:p>
            <w:pPr>
              <w:spacing w:line="360" w:lineRule="auto"/>
              <w:rPr>
                <w:rFonts w:ascii="宋体" w:hAnsi="宋体"/>
                <w:sz w:val="24"/>
                <w:u w:val="single"/>
              </w:rPr>
            </w:pPr>
            <w:r>
              <w:rPr>
                <w:rFonts w:hint="eastAsia" w:ascii="宋体" w:hAnsi="宋体"/>
                <w:sz w:val="24"/>
              </w:rPr>
              <w:t>经营范围：</w:t>
            </w:r>
            <w:r>
              <w:rPr>
                <w:rFonts w:ascii="宋体" w:hAnsi="宋体"/>
                <w:sz w:val="24"/>
                <w:u w:val="single"/>
              </w:rPr>
              <w:t xml:space="preserve">                                                  </w:t>
            </w:r>
          </w:p>
          <w:p>
            <w:pPr>
              <w:spacing w:line="360" w:lineRule="auto"/>
              <w:rPr>
                <w:rFonts w:ascii="宋体" w:hAnsi="宋体"/>
                <w:sz w:val="24"/>
              </w:rPr>
            </w:pPr>
            <w:r>
              <w:rPr>
                <w:rFonts w:hint="eastAsia" w:ascii="宋体" w:hAnsi="宋体"/>
                <w:sz w:val="24"/>
              </w:rPr>
              <w:t>法定代表人（负责人）：</w:t>
            </w:r>
            <w:r>
              <w:rPr>
                <w:rFonts w:ascii="宋体" w:hAnsi="宋体"/>
                <w:sz w:val="24"/>
                <w:u w:val="single"/>
              </w:rPr>
              <w:t xml:space="preserve">                 </w:t>
            </w:r>
            <w:r>
              <w:rPr>
                <w:rFonts w:hint="eastAsia" w:ascii="宋体" w:hAnsi="宋体"/>
                <w:sz w:val="24"/>
              </w:rPr>
              <w:t>（签名或盖章）</w:t>
            </w:r>
          </w:p>
          <w:p>
            <w:pPr>
              <w:spacing w:line="360" w:lineRule="auto"/>
              <w:rPr>
                <w:rFonts w:ascii="宋体" w:hAnsi="宋体"/>
                <w:sz w:val="24"/>
              </w:rPr>
            </w:pPr>
            <w:r>
              <w:rPr>
                <w:rFonts w:hint="eastAsia" w:ascii="宋体" w:hAnsi="宋体"/>
                <w:sz w:val="24"/>
              </w:rPr>
              <w:t>授权单位：（盖章）</w:t>
            </w:r>
            <w:r>
              <w:rPr>
                <w:rFonts w:ascii="宋体" w:hAnsi="宋体"/>
                <w:sz w:val="24"/>
                <w:u w:val="single"/>
              </w:rPr>
              <w:t xml:space="preserve">                     </w:t>
            </w:r>
            <w:r>
              <w:rPr>
                <w:rFonts w:ascii="宋体" w:hAnsi="宋体"/>
                <w:sz w:val="24"/>
              </w:rPr>
              <w:t xml:space="preserve"> </w:t>
            </w:r>
          </w:p>
          <w:p>
            <w:pPr>
              <w:spacing w:line="360" w:lineRule="auto"/>
              <w:ind w:firstLine="5880" w:firstLineChars="2450"/>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bl>
    <w:p>
      <w:pPr>
        <w:rPr>
          <w:rFonts w:ascii="宋体" w:hAnsi="宋体"/>
        </w:rPr>
      </w:pPr>
      <w:r>
        <w:rPr>
          <w:rFonts w:hint="eastAsia" w:ascii="宋体" w:hAnsi="宋体"/>
          <w:sz w:val="24"/>
        </w:rPr>
        <w:t>注：法定代表人授权委托书也可以采用市场监督（工商行政）管理局统一印制的格式。</w:t>
      </w:r>
    </w:p>
    <w:p>
      <w:pPr>
        <w:rPr>
          <w:rFonts w:ascii="宋体" w:hAnsi="宋体"/>
        </w:rPr>
      </w:pPr>
    </w:p>
    <w:p>
      <w:pPr>
        <w:pStyle w:val="4"/>
        <w:spacing w:line="360" w:lineRule="auto"/>
        <w:ind w:left="0" w:firstLine="0"/>
        <w:jc w:val="left"/>
      </w:pPr>
      <w:r>
        <w:rPr>
          <w:sz w:val="32"/>
        </w:rPr>
        <w:br w:type="page"/>
      </w:r>
      <w:bookmarkStart w:id="21" w:name="_Toc136262996"/>
      <w:r>
        <w:rPr>
          <w:rFonts w:hint="eastAsia"/>
        </w:rPr>
        <w:t>附录8</w:t>
      </w:r>
      <w:bookmarkEnd w:id="21"/>
    </w:p>
    <w:p>
      <w:pPr>
        <w:pStyle w:val="50"/>
        <w:rPr>
          <w:color w:val="auto"/>
        </w:rPr>
      </w:pPr>
      <w:bookmarkStart w:id="22" w:name="_Toc298486613"/>
      <w:bookmarkStart w:id="23" w:name="_Toc298486574"/>
      <w:bookmarkStart w:id="24" w:name="_Toc136262418"/>
      <w:bookmarkStart w:id="25" w:name="_Toc136262903"/>
      <w:bookmarkStart w:id="26" w:name="_Toc136262997"/>
      <w:r>
        <w:rPr>
          <w:rFonts w:hint="eastAsia"/>
          <w:color w:val="auto"/>
        </w:rPr>
        <w:t>投标人已完成项目情况</w:t>
      </w:r>
      <w:bookmarkEnd w:id="22"/>
      <w:bookmarkEnd w:id="23"/>
      <w:bookmarkEnd w:id="24"/>
      <w:bookmarkEnd w:id="25"/>
      <w:bookmarkEnd w:id="26"/>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789"/>
        <w:gridCol w:w="178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789" w:type="dxa"/>
            <w:vAlign w:val="center"/>
          </w:tcPr>
          <w:p>
            <w:pPr>
              <w:jc w:val="center"/>
              <w:rPr>
                <w:rFonts w:ascii="宋体" w:hAnsi="宋体"/>
              </w:rPr>
            </w:pPr>
            <w:r>
              <w:rPr>
                <w:rFonts w:hint="eastAsia" w:ascii="宋体" w:hAnsi="宋体"/>
              </w:rPr>
              <w:t>合同签订时间</w:t>
            </w:r>
          </w:p>
        </w:tc>
        <w:tc>
          <w:tcPr>
            <w:tcW w:w="1790" w:type="dxa"/>
            <w:vAlign w:val="center"/>
          </w:tcPr>
          <w:p>
            <w:pPr>
              <w:jc w:val="center"/>
              <w:rPr>
                <w:rFonts w:ascii="宋体" w:hAnsi="宋体"/>
              </w:rPr>
            </w:pPr>
            <w:r>
              <w:rPr>
                <w:rFonts w:hint="eastAsia" w:ascii="宋体" w:hAnsi="宋体"/>
              </w:rPr>
              <w:t>项目概况</w:t>
            </w:r>
          </w:p>
        </w:tc>
        <w:tc>
          <w:tcPr>
            <w:tcW w:w="1789" w:type="dxa"/>
            <w:vAlign w:val="center"/>
          </w:tcPr>
          <w:p>
            <w:pPr>
              <w:jc w:val="center"/>
              <w:rPr>
                <w:rFonts w:ascii="宋体" w:hAnsi="宋体"/>
              </w:rPr>
            </w:pPr>
            <w:r>
              <w:rPr>
                <w:rFonts w:hint="eastAsia" w:ascii="宋体" w:hAnsi="宋体"/>
              </w:rPr>
              <w:t>业主单位</w:t>
            </w:r>
          </w:p>
        </w:tc>
        <w:tc>
          <w:tcPr>
            <w:tcW w:w="1789" w:type="dxa"/>
            <w:vAlign w:val="center"/>
          </w:tcPr>
          <w:p>
            <w:pPr>
              <w:jc w:val="center"/>
              <w:rPr>
                <w:rFonts w:ascii="宋体" w:hAnsi="宋体"/>
              </w:rPr>
            </w:pPr>
            <w:r>
              <w:rPr>
                <w:rFonts w:hint="eastAsia" w:ascii="宋体" w:hAnsi="宋体"/>
              </w:rPr>
              <w:t>完成情况</w:t>
            </w:r>
          </w:p>
        </w:tc>
        <w:tc>
          <w:tcPr>
            <w:tcW w:w="1789" w:type="dxa"/>
            <w:vAlign w:val="center"/>
          </w:tcPr>
          <w:p>
            <w:pPr>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789" w:type="dxa"/>
            <w:vAlign w:val="center"/>
          </w:tcPr>
          <w:p>
            <w:pPr>
              <w:jc w:val="center"/>
              <w:rPr>
                <w:rFonts w:ascii="宋体" w:hAnsi="宋体"/>
              </w:rPr>
            </w:pPr>
          </w:p>
        </w:tc>
        <w:tc>
          <w:tcPr>
            <w:tcW w:w="1790"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c>
          <w:tcPr>
            <w:tcW w:w="1789" w:type="dxa"/>
            <w:vAlign w:val="center"/>
          </w:tcPr>
          <w:p>
            <w:pPr>
              <w:jc w:val="center"/>
              <w:rPr>
                <w:rFonts w:ascii="宋体" w:hAnsi="宋体"/>
              </w:rPr>
            </w:pPr>
          </w:p>
        </w:tc>
      </w:tr>
    </w:tbl>
    <w:p>
      <w:pPr>
        <w:spacing w:line="360" w:lineRule="auto"/>
        <w:jc w:val="left"/>
        <w:rPr>
          <w:rFonts w:ascii="宋体" w:hAnsi="宋体"/>
          <w:szCs w:val="21"/>
        </w:rPr>
      </w:pPr>
      <w:r>
        <w:rPr>
          <w:rFonts w:hint="eastAsia" w:ascii="宋体" w:hAnsi="宋体"/>
        </w:rPr>
        <w:t>注</w:t>
      </w:r>
      <w:r>
        <w:rPr>
          <w:rFonts w:hint="eastAsia" w:ascii="宋体" w:hAnsi="宋体"/>
          <w:color w:val="000000" w:themeColor="text1"/>
          <w14:textFill>
            <w14:solidFill>
              <w14:schemeClr w14:val="tx1"/>
            </w14:solidFill>
          </w14:textFill>
        </w:rPr>
        <w:t>：①投标人应将近5</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14:textFill>
            <w14:solidFill>
              <w14:schemeClr w14:val="tx1"/>
            </w14:solidFill>
          </w14:textFill>
        </w:rPr>
        <w:t>内</w:t>
      </w:r>
      <w:r>
        <w:rPr>
          <w:rFonts w:hint="eastAsia" w:ascii="宋体" w:hAnsi="宋体"/>
          <w:color w:val="000000" w:themeColor="text1"/>
          <w:u w:val="single"/>
          <w14:textFill>
            <w14:solidFill>
              <w14:schemeClr w14:val="tx1"/>
            </w14:solidFill>
          </w14:textFill>
        </w:rPr>
        <w:t>（20</w:t>
      </w:r>
      <w:r>
        <w:rPr>
          <w:rFonts w:ascii="宋体" w:hAnsi="宋体"/>
          <w:color w:val="000000" w:themeColor="text1"/>
          <w:u w:val="single"/>
          <w14:textFill>
            <w14:solidFill>
              <w14:schemeClr w14:val="tx1"/>
            </w14:solidFill>
          </w14:textFill>
        </w:rPr>
        <w:t>18</w:t>
      </w:r>
      <w:r>
        <w:rPr>
          <w:rFonts w:hint="eastAsia" w:ascii="宋体" w:hAnsi="宋体"/>
          <w:color w:val="000000" w:themeColor="text1"/>
          <w:u w:val="single"/>
          <w14:textFill>
            <w14:solidFill>
              <w14:schemeClr w14:val="tx1"/>
            </w14:solidFill>
          </w14:textFill>
        </w:rPr>
        <w:t>年1月1日至今）</w:t>
      </w:r>
      <w:r>
        <w:rPr>
          <w:rFonts w:hint="eastAsia" w:ascii="宋体" w:hAnsi="宋体"/>
          <w:color w:val="000000" w:themeColor="text1"/>
          <w14:textFill>
            <w14:solidFill>
              <w14:schemeClr w14:val="tx1"/>
            </w14:solidFill>
          </w14:textFill>
        </w:rPr>
        <w:t>已完成的类似勘察设计项目情况填入本表中，</w:t>
      </w:r>
      <w:r>
        <w:rPr>
          <w:rFonts w:hint="eastAsia" w:ascii="宋体" w:hAnsi="宋体"/>
          <w:szCs w:val="21"/>
        </w:rPr>
        <w:t>若投标人为联合体投标，设计类似业绩须由承担设计工作的单位提供；若投标人为联合体投标，勘察类似业绩须由承担勘察工作的单位提供。</w:t>
      </w:r>
      <w:r>
        <w:rPr>
          <w:rFonts w:hint="eastAsia" w:ascii="宋体" w:hAnsi="宋体"/>
          <w:color w:val="000000" w:themeColor="text1"/>
          <w:szCs w:val="21"/>
          <w14:textFill>
            <w14:solidFill>
              <w14:schemeClr w14:val="tx1"/>
            </w14:solidFill>
          </w14:textFill>
        </w:rPr>
        <w:t>。</w:t>
      </w:r>
    </w:p>
    <w:p>
      <w:pPr>
        <w:spacing w:line="360"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rPr>
        <w:t>②设计类似业绩是指达到招标公告第1.2.3（1）条款所述设计资质方能承接的市政路桥设计项目，需同时提供中标通知书或项目审批部门出具的免招标的相关证明、设计合同关键页及项目初步设计批复（或初步设计会议评审纪要）或项目主体施工图审查合格证明（扫描件），时间以项目初步设计批复（或初步设计会议评审纪要）或项目主体施工图审查合格证明日期为准；勘察类似业绩是指达到招标公告第1.2.3（2）条款所述勘察资质方能承接的勘察项目，需同时提供中标通知书或项目审批部门出具的免招标的相关证明、勘察合同关键页及项目初步设计批复（或初步设计会议评审纪要）或项目主体施工图审查合格证明（扫描件），时间以项目初步设计批复（或初步设计会议评审纪要）或项目主体施工图审查合格证明日期为准 (同一项目含设计和勘察的按分别满足上述要求各计算一次类似设计业绩和类似勘察业绩) 。</w:t>
      </w:r>
    </w:p>
    <w:p>
      <w:pPr>
        <w:spacing w:line="360"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hint="eastAsia" w:ascii="宋体" w:hAnsi="宋体"/>
        </w:rPr>
        <w:t>项目概况包括：项目名称、项目等级、规模、建安</w:t>
      </w:r>
      <w:r>
        <w:rPr>
          <w:rFonts w:hint="eastAsia" w:ascii="宋体" w:hAnsi="宋体"/>
          <w:color w:val="000000" w:themeColor="text1"/>
          <w14:textFill>
            <w14:solidFill>
              <w14:schemeClr w14:val="tx1"/>
            </w14:solidFill>
          </w14:textFill>
        </w:rPr>
        <w:t>费或总投资。</w:t>
      </w:r>
    </w:p>
    <w:p>
      <w:pPr>
        <w:spacing w:line="360" w:lineRule="auto"/>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④完成情况：已完成施工图设计或已竣工。</w:t>
      </w:r>
    </w:p>
    <w:p>
      <w:pPr>
        <w:spacing w:line="360" w:lineRule="auto"/>
        <w:ind w:firstLine="420" w:firstLineChars="200"/>
        <w:jc w:val="left"/>
        <w:rPr>
          <w:rStyle w:val="52"/>
        </w:rPr>
      </w:pPr>
      <w:r>
        <w:rPr>
          <w:rFonts w:hint="eastAsia" w:ascii="宋体" w:hAnsi="宋体"/>
        </w:rPr>
        <w:t>⑤投标人所提供的证明材料，应如实反映出各勘察设计项目的建设规模，如里程、等级、桥梁跨径、长度等相关数据及履约评价。</w:t>
      </w:r>
      <w:r>
        <w:br w:type="page"/>
      </w:r>
      <w:r>
        <w:rPr>
          <w:rStyle w:val="52"/>
          <w:rFonts w:hint="eastAsia"/>
        </w:rPr>
        <w:t>附录</w:t>
      </w:r>
      <w:r>
        <w:rPr>
          <w:rStyle w:val="52"/>
        </w:rPr>
        <w:t>9</w:t>
      </w:r>
    </w:p>
    <w:p>
      <w:pPr>
        <w:jc w:val="center"/>
        <w:rPr>
          <w:b/>
          <w:sz w:val="32"/>
          <w:szCs w:val="32"/>
        </w:rPr>
      </w:pPr>
      <w:r>
        <w:rPr>
          <w:rFonts w:hint="eastAsia"/>
          <w:b/>
          <w:sz w:val="32"/>
          <w:szCs w:val="32"/>
        </w:rPr>
        <w:t>本项目拟投入的人员基本情况表</w:t>
      </w:r>
    </w:p>
    <w:tbl>
      <w:tblPr>
        <w:tblStyle w:val="28"/>
        <w:tblW w:w="7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204"/>
        <w:gridCol w:w="1166"/>
        <w:gridCol w:w="120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870" w:type="dxa"/>
            <w:vAlign w:val="center"/>
          </w:tcPr>
          <w:p>
            <w:pPr>
              <w:jc w:val="center"/>
              <w:rPr>
                <w:rFonts w:ascii="宋体" w:hAnsi="宋体"/>
              </w:rPr>
            </w:pPr>
            <w:r>
              <w:rPr>
                <w:rFonts w:hint="eastAsia" w:ascii="宋体" w:hAnsi="宋体"/>
              </w:rPr>
              <w:t>人员安排</w:t>
            </w:r>
          </w:p>
        </w:tc>
        <w:tc>
          <w:tcPr>
            <w:tcW w:w="1204" w:type="dxa"/>
            <w:vAlign w:val="center"/>
          </w:tcPr>
          <w:p>
            <w:pPr>
              <w:jc w:val="center"/>
              <w:rPr>
                <w:rFonts w:ascii="宋体" w:hAnsi="宋体"/>
              </w:rPr>
            </w:pPr>
            <w:r>
              <w:rPr>
                <w:rFonts w:hint="eastAsia" w:ascii="宋体" w:hAnsi="宋体"/>
              </w:rPr>
              <w:t>姓 名</w:t>
            </w:r>
          </w:p>
        </w:tc>
        <w:tc>
          <w:tcPr>
            <w:tcW w:w="1166" w:type="dxa"/>
            <w:vAlign w:val="center"/>
          </w:tcPr>
          <w:p>
            <w:pPr>
              <w:jc w:val="center"/>
              <w:rPr>
                <w:rFonts w:ascii="宋体" w:hAnsi="宋体"/>
              </w:rPr>
            </w:pPr>
            <w:r>
              <w:rPr>
                <w:rFonts w:hint="eastAsia" w:ascii="宋体" w:hAnsi="宋体"/>
              </w:rPr>
              <w:t>年龄</w:t>
            </w:r>
          </w:p>
        </w:tc>
        <w:tc>
          <w:tcPr>
            <w:tcW w:w="1203" w:type="dxa"/>
            <w:vAlign w:val="center"/>
          </w:tcPr>
          <w:p>
            <w:pPr>
              <w:jc w:val="center"/>
              <w:rPr>
                <w:rFonts w:ascii="宋体" w:hAnsi="宋体"/>
              </w:rPr>
            </w:pPr>
            <w:r>
              <w:rPr>
                <w:rFonts w:hint="eastAsia" w:ascii="宋体" w:hAnsi="宋体"/>
              </w:rPr>
              <w:t>所学专业</w:t>
            </w:r>
          </w:p>
        </w:tc>
        <w:tc>
          <w:tcPr>
            <w:tcW w:w="2001" w:type="dxa"/>
            <w:vAlign w:val="center"/>
          </w:tcPr>
          <w:p>
            <w:pPr>
              <w:jc w:val="center"/>
              <w:rPr>
                <w:rFonts w:ascii="宋体" w:hAnsi="宋体"/>
              </w:rPr>
            </w:pPr>
            <w:r>
              <w:rPr>
                <w:rFonts w:hint="eastAsia" w:ascii="宋体" w:hAnsi="宋体"/>
              </w:rPr>
              <w:t>已完成类似的项目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b/>
              </w:rPr>
              <w:t>项目负责人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b/>
              </w:rPr>
              <w:t>道路专业负责人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rPr>
            </w:pPr>
            <w:r>
              <w:rPr>
                <w:rFonts w:hint="eastAsia" w:ascii="宋体" w:hAnsi="宋体"/>
              </w:rPr>
              <w:t>道路专业设计人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rPr>
            </w:pPr>
            <w:r>
              <w:rPr>
                <w:rFonts w:hint="eastAsia" w:ascii="宋体" w:hAnsi="宋体"/>
              </w:rPr>
              <w:t>…</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rPr>
            </w:pPr>
            <w:r>
              <w:rPr>
                <w:rFonts w:hint="eastAsia" w:ascii="宋体" w:hAnsi="宋体"/>
              </w:rPr>
              <w:t>…</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b/>
              </w:rPr>
              <w:t>……专业负责人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rPr>
              <w:t>专业设计人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b/>
              </w:rPr>
              <w:t>……专业负责人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rPr>
              <w:t>专业设计人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b/>
              </w:rPr>
            </w:pPr>
            <w:r>
              <w:rPr>
                <w:rFonts w:hint="eastAsia" w:ascii="宋体" w:hAnsi="宋体"/>
                <w:b/>
              </w:rPr>
              <w:t>……专业负责人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rPr>
            </w:pPr>
            <w:r>
              <w:rPr>
                <w:rFonts w:hint="eastAsia" w:ascii="宋体" w:hAnsi="宋体"/>
              </w:rPr>
              <w:t>专业设计人</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870" w:type="dxa"/>
            <w:vAlign w:val="center"/>
          </w:tcPr>
          <w:p>
            <w:pPr>
              <w:rPr>
                <w:rFonts w:ascii="宋体" w:hAnsi="宋体"/>
              </w:rPr>
            </w:pPr>
            <w:r>
              <w:rPr>
                <w:rFonts w:hint="eastAsia" w:ascii="宋体" w:hAnsi="宋体"/>
              </w:rPr>
              <w:t>……</w:t>
            </w:r>
          </w:p>
        </w:tc>
        <w:tc>
          <w:tcPr>
            <w:tcW w:w="1204" w:type="dxa"/>
            <w:vAlign w:val="center"/>
          </w:tcPr>
          <w:p>
            <w:pPr>
              <w:rPr>
                <w:rFonts w:ascii="宋体" w:hAnsi="宋体"/>
              </w:rPr>
            </w:pPr>
          </w:p>
        </w:tc>
        <w:tc>
          <w:tcPr>
            <w:tcW w:w="1166" w:type="dxa"/>
          </w:tcPr>
          <w:p>
            <w:pPr>
              <w:rPr>
                <w:rFonts w:ascii="宋体" w:hAnsi="宋体"/>
              </w:rPr>
            </w:pPr>
          </w:p>
        </w:tc>
        <w:tc>
          <w:tcPr>
            <w:tcW w:w="1203" w:type="dxa"/>
            <w:vAlign w:val="center"/>
          </w:tcPr>
          <w:p>
            <w:pPr>
              <w:rPr>
                <w:rFonts w:ascii="宋体" w:hAnsi="宋体"/>
              </w:rPr>
            </w:pPr>
          </w:p>
        </w:tc>
        <w:tc>
          <w:tcPr>
            <w:tcW w:w="2001" w:type="dxa"/>
            <w:vAlign w:val="center"/>
          </w:tcPr>
          <w:p>
            <w:pPr>
              <w:rPr>
                <w:rFonts w:ascii="宋体" w:hAnsi="宋体"/>
              </w:rPr>
            </w:pPr>
          </w:p>
        </w:tc>
      </w:tr>
    </w:tbl>
    <w:p>
      <w:pPr>
        <w:spacing w:line="360" w:lineRule="auto"/>
        <w:jc w:val="left"/>
        <w:rPr>
          <w:rFonts w:ascii="宋体" w:hAnsi="宋体"/>
          <w:sz w:val="24"/>
        </w:rPr>
      </w:pPr>
      <w:r>
        <w:rPr>
          <w:rFonts w:hint="eastAsia" w:ascii="宋体" w:hAnsi="宋体"/>
          <w:sz w:val="24"/>
        </w:rPr>
        <w:t>注：①投标人应根据招标文件要求和招标项目的实际需要，列出项目负责人及各专业负</w:t>
      </w:r>
      <w:r>
        <w:rPr>
          <w:rFonts w:hint="eastAsia" w:ascii="宋体" w:hAnsi="宋体"/>
          <w:sz w:val="24"/>
          <w:highlight w:val="none"/>
        </w:rPr>
        <w:t>责人，</w:t>
      </w:r>
      <w:r>
        <w:rPr>
          <w:rFonts w:hint="eastAsia" w:ascii="宋体" w:hAnsi="宋体"/>
          <w:b/>
          <w:bCs/>
          <w:sz w:val="24"/>
          <w:highlight w:val="none"/>
        </w:rPr>
        <w:t>如道路专业负责人、排水专业负责人、电气专业负责人、绿化专业负责人、交通专业负责人等设计专业负责人。</w:t>
      </w:r>
    </w:p>
    <w:p>
      <w:pPr>
        <w:spacing w:line="360" w:lineRule="auto"/>
        <w:ind w:firstLine="480" w:firstLineChars="200"/>
        <w:jc w:val="left"/>
        <w:rPr>
          <w:rFonts w:ascii="宋体" w:hAnsi="宋体"/>
          <w:sz w:val="24"/>
        </w:rPr>
      </w:pPr>
      <w:r>
        <w:rPr>
          <w:rFonts w:hint="eastAsia" w:ascii="宋体" w:hAnsi="宋体"/>
          <w:sz w:val="24"/>
        </w:rPr>
        <w:t>②投标人应按本表所列的项目负责人和专业负责人填写资历表。</w:t>
      </w:r>
    </w:p>
    <w:p>
      <w:pPr>
        <w:spacing w:line="360" w:lineRule="auto"/>
        <w:ind w:firstLine="480" w:firstLineChars="200"/>
        <w:rPr>
          <w:rFonts w:ascii="宋体" w:hAnsi="宋体"/>
          <w:sz w:val="24"/>
        </w:rPr>
      </w:pPr>
      <w:r>
        <w:rPr>
          <w:rFonts w:hint="eastAsia" w:ascii="宋体" w:hAnsi="宋体"/>
          <w:sz w:val="24"/>
        </w:rPr>
        <w:t>③所提供的本项目投入人员必须为投标单位人员，并提供近一个月</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2023</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月）</w:t>
      </w:r>
      <w:r>
        <w:rPr>
          <w:rFonts w:hint="eastAsia" w:ascii="宋体" w:hAnsi="宋体"/>
          <w:sz w:val="24"/>
        </w:rPr>
        <w:t>有效的社保证明</w:t>
      </w:r>
      <w:bookmarkStart w:id="27" w:name="_Hlk86769989"/>
      <w:r>
        <w:rPr>
          <w:rFonts w:hint="eastAsia" w:ascii="宋体" w:hAnsi="宋体"/>
          <w:sz w:val="24"/>
        </w:rPr>
        <w:t>（含分公司或分支机构社保缴纳记录）</w:t>
      </w:r>
      <w:bookmarkEnd w:id="27"/>
      <w:r>
        <w:rPr>
          <w:rFonts w:hint="eastAsia" w:ascii="宋体" w:hAnsi="宋体"/>
          <w:sz w:val="24"/>
        </w:rPr>
        <w:t>；</w:t>
      </w:r>
    </w:p>
    <w:p>
      <w:pPr>
        <w:widowControl/>
        <w:jc w:val="left"/>
        <w:rPr>
          <w:rFonts w:ascii="宋体" w:hAnsi="宋体"/>
          <w:sz w:val="24"/>
        </w:rPr>
      </w:pPr>
      <w:r>
        <w:rPr>
          <w:rFonts w:ascii="宋体" w:hAnsi="宋体"/>
          <w:sz w:val="24"/>
        </w:rPr>
        <w:br w:type="page"/>
      </w:r>
    </w:p>
    <w:p>
      <w:pPr>
        <w:spacing w:line="360" w:lineRule="auto"/>
        <w:rPr>
          <w:rStyle w:val="35"/>
        </w:rPr>
      </w:pPr>
      <w:bookmarkStart w:id="28" w:name="_Toc136262998"/>
      <w:r>
        <w:rPr>
          <w:rStyle w:val="35"/>
          <w:rFonts w:hint="eastAsia"/>
        </w:rPr>
        <w:t>附录</w:t>
      </w:r>
      <w:r>
        <w:rPr>
          <w:rStyle w:val="35"/>
        </w:rPr>
        <w:t>10</w:t>
      </w:r>
      <w:r>
        <w:rPr>
          <w:rStyle w:val="35"/>
          <w:rFonts w:hint="eastAsia"/>
        </w:rPr>
        <w:t>（本页接收投标文件时使用，结束时收回存档备查）</w:t>
      </w:r>
      <w:bookmarkEnd w:id="28"/>
    </w:p>
    <w:p>
      <w:pPr>
        <w:jc w:val="center"/>
        <w:rPr>
          <w:rFonts w:ascii="宋体" w:hAnsi="宋体"/>
          <w:b/>
          <w:bCs/>
          <w:sz w:val="32"/>
        </w:rPr>
      </w:pPr>
      <w:r>
        <w:rPr>
          <w:rFonts w:hint="eastAsia" w:ascii="宋体" w:hAnsi="宋体"/>
          <w:b/>
          <w:bCs/>
          <w:sz w:val="32"/>
        </w:rPr>
        <w:t>投标文件光盘（备用）接收记录表格</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942"/>
        <w:gridCol w:w="1558"/>
        <w:gridCol w:w="1620"/>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20" w:type="dxa"/>
            <w:vAlign w:val="center"/>
          </w:tcPr>
          <w:p>
            <w:pPr>
              <w:jc w:val="center"/>
              <w:rPr>
                <w:rFonts w:ascii="宋体" w:hAnsi="宋体"/>
                <w:bCs/>
                <w:sz w:val="24"/>
              </w:rPr>
            </w:pPr>
            <w:r>
              <w:rPr>
                <w:rFonts w:hint="eastAsia" w:ascii="宋体" w:hAnsi="宋体"/>
                <w:bCs/>
                <w:sz w:val="24"/>
              </w:rPr>
              <w:t>序号</w:t>
            </w:r>
          </w:p>
        </w:tc>
        <w:tc>
          <w:tcPr>
            <w:tcW w:w="2942" w:type="dxa"/>
            <w:vAlign w:val="center"/>
          </w:tcPr>
          <w:p>
            <w:pPr>
              <w:jc w:val="center"/>
              <w:rPr>
                <w:rFonts w:ascii="宋体" w:hAnsi="宋体"/>
                <w:bCs/>
                <w:sz w:val="24"/>
              </w:rPr>
            </w:pPr>
            <w:r>
              <w:rPr>
                <w:rFonts w:hint="eastAsia" w:ascii="宋体" w:hAnsi="宋体"/>
                <w:bCs/>
                <w:sz w:val="24"/>
              </w:rPr>
              <w:t>投标人名称</w:t>
            </w:r>
          </w:p>
        </w:tc>
        <w:tc>
          <w:tcPr>
            <w:tcW w:w="1558" w:type="dxa"/>
            <w:vAlign w:val="center"/>
          </w:tcPr>
          <w:p>
            <w:pPr>
              <w:jc w:val="center"/>
              <w:rPr>
                <w:rFonts w:ascii="宋体" w:hAnsi="宋体"/>
                <w:bCs/>
                <w:sz w:val="24"/>
                <w:u w:val="single"/>
              </w:rPr>
            </w:pPr>
            <w:r>
              <w:rPr>
                <w:rFonts w:hint="eastAsia" w:ascii="宋体" w:hAnsi="宋体"/>
                <w:bCs/>
                <w:sz w:val="24"/>
                <w:u w:val="single"/>
              </w:rPr>
              <w:t>投标文件光盘（备用）</w:t>
            </w:r>
          </w:p>
          <w:p>
            <w:pPr>
              <w:jc w:val="center"/>
              <w:rPr>
                <w:rFonts w:ascii="宋体" w:hAnsi="宋体"/>
                <w:bCs/>
                <w:sz w:val="24"/>
              </w:rPr>
            </w:pPr>
            <w:r>
              <w:rPr>
                <w:rFonts w:hint="eastAsia" w:ascii="宋体" w:hAnsi="宋体"/>
                <w:bCs/>
                <w:sz w:val="24"/>
                <w:u w:val="single"/>
              </w:rPr>
              <w:t>接收情况</w:t>
            </w:r>
          </w:p>
        </w:tc>
        <w:tc>
          <w:tcPr>
            <w:tcW w:w="1620" w:type="dxa"/>
            <w:vAlign w:val="center"/>
          </w:tcPr>
          <w:p>
            <w:pPr>
              <w:jc w:val="center"/>
              <w:rPr>
                <w:rFonts w:ascii="宋体" w:hAnsi="宋体"/>
                <w:bCs/>
                <w:sz w:val="24"/>
              </w:rPr>
            </w:pPr>
            <w:r>
              <w:rPr>
                <w:rFonts w:hint="eastAsia" w:ascii="宋体" w:hAnsi="宋体"/>
                <w:bCs/>
                <w:sz w:val="24"/>
              </w:rPr>
              <w:t>投标人代表</w:t>
            </w:r>
          </w:p>
          <w:p>
            <w:pPr>
              <w:jc w:val="center"/>
              <w:rPr>
                <w:rFonts w:ascii="宋体" w:hAnsi="宋体"/>
                <w:bCs/>
                <w:sz w:val="24"/>
              </w:rPr>
            </w:pPr>
            <w:r>
              <w:rPr>
                <w:rFonts w:hint="eastAsia" w:ascii="宋体" w:hAnsi="宋体"/>
                <w:bCs/>
                <w:sz w:val="24"/>
              </w:rPr>
              <w:t>签名</w:t>
            </w:r>
          </w:p>
        </w:tc>
        <w:tc>
          <w:tcPr>
            <w:tcW w:w="1940" w:type="dxa"/>
            <w:vAlign w:val="center"/>
          </w:tcPr>
          <w:p>
            <w:pPr>
              <w:jc w:val="center"/>
              <w:rPr>
                <w:rFonts w:ascii="宋体" w:hAnsi="宋体"/>
                <w:bCs/>
                <w:sz w:val="24"/>
              </w:rPr>
            </w:pPr>
            <w:r>
              <w:rPr>
                <w:rFonts w:hint="eastAsia" w:ascii="宋体" w:hAnsi="宋体"/>
                <w:bCs/>
                <w:sz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20" w:type="dxa"/>
          </w:tcPr>
          <w:p>
            <w:pPr>
              <w:jc w:val="center"/>
              <w:rPr>
                <w:rFonts w:ascii="宋体" w:hAnsi="宋体"/>
                <w:bCs/>
                <w:sz w:val="24"/>
              </w:rPr>
            </w:pPr>
          </w:p>
        </w:tc>
        <w:tc>
          <w:tcPr>
            <w:tcW w:w="2942" w:type="dxa"/>
          </w:tcPr>
          <w:p>
            <w:pPr>
              <w:jc w:val="center"/>
              <w:rPr>
                <w:rFonts w:ascii="宋体" w:hAnsi="宋体"/>
                <w:bCs/>
                <w:sz w:val="24"/>
              </w:rPr>
            </w:pPr>
          </w:p>
        </w:tc>
        <w:tc>
          <w:tcPr>
            <w:tcW w:w="1558" w:type="dxa"/>
          </w:tcPr>
          <w:p>
            <w:pPr>
              <w:jc w:val="center"/>
              <w:rPr>
                <w:rFonts w:ascii="宋体" w:hAnsi="宋体"/>
                <w:bCs/>
                <w:sz w:val="24"/>
              </w:rPr>
            </w:pPr>
          </w:p>
        </w:tc>
        <w:tc>
          <w:tcPr>
            <w:tcW w:w="1620" w:type="dxa"/>
          </w:tcPr>
          <w:p>
            <w:pPr>
              <w:jc w:val="center"/>
              <w:rPr>
                <w:rFonts w:ascii="宋体" w:hAnsi="宋体"/>
                <w:bCs/>
                <w:sz w:val="24"/>
              </w:rPr>
            </w:pPr>
          </w:p>
        </w:tc>
        <w:tc>
          <w:tcPr>
            <w:tcW w:w="1940" w:type="dxa"/>
          </w:tcPr>
          <w:p>
            <w:pPr>
              <w:jc w:val="center"/>
              <w:rPr>
                <w:rFonts w:ascii="宋体" w:hAnsi="宋体"/>
                <w:bCs/>
                <w:sz w:val="24"/>
              </w:rPr>
            </w:pPr>
          </w:p>
        </w:tc>
      </w:tr>
    </w:tbl>
    <w:p>
      <w:pPr>
        <w:spacing w:line="360" w:lineRule="auto"/>
        <w:rPr>
          <w:rFonts w:ascii="宋体" w:hAnsi="宋体"/>
          <w:sz w:val="24"/>
        </w:rPr>
      </w:pPr>
      <w:r>
        <w:rPr>
          <w:rFonts w:hint="eastAsia" w:ascii="宋体" w:hAnsi="宋体"/>
          <w:sz w:val="24"/>
        </w:rPr>
        <w:t>为方便联络，请</w:t>
      </w:r>
      <w:r>
        <w:rPr>
          <w:rFonts w:hint="eastAsia" w:ascii="宋体" w:hAnsi="宋体"/>
          <w:bCs/>
          <w:sz w:val="24"/>
        </w:rPr>
        <w:t>投标人代表的手机保持开启状态。</w:t>
      </w:r>
    </w:p>
    <w:p>
      <w:pPr>
        <w:spacing w:line="360" w:lineRule="auto"/>
        <w:rPr>
          <w:rFonts w:ascii="宋体" w:hAnsi="宋体"/>
          <w:sz w:val="24"/>
        </w:rPr>
      </w:pPr>
      <w:r>
        <w:rPr>
          <w:rFonts w:hint="eastAsia" w:ascii="宋体" w:hAnsi="宋体"/>
          <w:sz w:val="24"/>
        </w:rPr>
        <w:t>代理机构代表：            见证人：           日期：      年    月    日</w:t>
      </w:r>
    </w:p>
    <w:p>
      <w:pPr>
        <w:pStyle w:val="16"/>
        <w:jc w:val="center"/>
        <w:rPr>
          <w:rFonts w:hAnsi="宋体"/>
          <w:b/>
          <w:sz w:val="32"/>
        </w:rPr>
      </w:pPr>
    </w:p>
    <w:p>
      <w:pPr>
        <w:pStyle w:val="16"/>
        <w:jc w:val="center"/>
        <w:rPr>
          <w:rFonts w:hAnsi="宋体"/>
          <w:b/>
          <w:sz w:val="32"/>
        </w:rPr>
      </w:pPr>
    </w:p>
    <w:p>
      <w:pPr>
        <w:spacing w:line="360" w:lineRule="auto"/>
        <w:rPr>
          <w:rStyle w:val="35"/>
        </w:rPr>
      </w:pPr>
      <w:bookmarkStart w:id="29" w:name="_Toc136262999"/>
      <w:r>
        <w:rPr>
          <w:rStyle w:val="35"/>
          <w:rFonts w:hint="eastAsia"/>
        </w:rPr>
        <w:t>附录</w:t>
      </w:r>
      <w:r>
        <w:rPr>
          <w:rStyle w:val="35"/>
        </w:rPr>
        <w:t>11</w:t>
      </w:r>
      <w:bookmarkEnd w:id="29"/>
    </w:p>
    <w:p>
      <w:pPr>
        <w:pStyle w:val="16"/>
        <w:jc w:val="center"/>
        <w:rPr>
          <w:rFonts w:hAnsi="宋体"/>
          <w:b/>
          <w:sz w:val="32"/>
        </w:rPr>
      </w:pPr>
      <w:r>
        <w:rPr>
          <w:rFonts w:hint="eastAsia" w:hAnsi="宋体"/>
          <w:b/>
          <w:sz w:val="32"/>
        </w:rPr>
        <w:t>资格审查表</w:t>
      </w:r>
    </w:p>
    <w:p>
      <w:pPr>
        <w:pStyle w:val="16"/>
        <w:rPr>
          <w:rFonts w:hAnsi="宋体"/>
          <w:b/>
          <w:sz w:val="32"/>
        </w:rPr>
      </w:pPr>
      <w:r>
        <w:rPr>
          <w:rFonts w:hint="eastAsia" w:hAnsi="宋体"/>
        </w:rPr>
        <w:t>项目名称：</w:t>
      </w:r>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516"/>
        <w:gridCol w:w="875"/>
        <w:gridCol w:w="9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序号</w:t>
            </w:r>
          </w:p>
        </w:tc>
        <w:tc>
          <w:tcPr>
            <w:tcW w:w="5516" w:type="dxa"/>
            <w:tcBorders>
              <w:tl2br w:val="single" w:color="auto" w:sz="4" w:space="0"/>
            </w:tcBorders>
          </w:tcPr>
          <w:p>
            <w:pPr>
              <w:pStyle w:val="16"/>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 xml:space="preserve">                      投标人名称</w:t>
            </w:r>
          </w:p>
          <w:p>
            <w:pPr>
              <w:pStyle w:val="16"/>
              <w:rPr>
                <w:rFonts w:hAnsi="宋体"/>
                <w:b/>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审查项目</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1</w:t>
            </w:r>
          </w:p>
        </w:tc>
        <w:tc>
          <w:tcPr>
            <w:tcW w:w="5516" w:type="dxa"/>
            <w:vAlign w:val="center"/>
          </w:tcPr>
          <w:p>
            <w:pPr>
              <w:pStyle w:val="16"/>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申请人参加投标的意思表达清楚，投标人代表被授权有效</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2</w:t>
            </w:r>
          </w:p>
        </w:tc>
        <w:tc>
          <w:tcPr>
            <w:tcW w:w="5516" w:type="dxa"/>
            <w:vAlign w:val="center"/>
          </w:tcPr>
          <w:p>
            <w:pPr>
              <w:pStyle w:val="16"/>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申请人具有独立法人资格，持有工商行政管理部门（或市场监督管理部门）核发的法人营业执照或事业单位登记机构核发的事业单位法人证书且在有效期内，按国家法律经营。</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3</w:t>
            </w:r>
          </w:p>
        </w:tc>
        <w:tc>
          <w:tcPr>
            <w:tcW w:w="5516" w:type="dxa"/>
            <w:vAlign w:val="center"/>
          </w:tcPr>
          <w:p>
            <w:pPr>
              <w:pStyle w:val="16"/>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投标人的资质满足招标公告规定。</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4</w:t>
            </w:r>
          </w:p>
        </w:tc>
        <w:tc>
          <w:tcPr>
            <w:tcW w:w="5516" w:type="dxa"/>
            <w:vAlign w:val="center"/>
          </w:tcPr>
          <w:p>
            <w:pPr>
              <w:pStyle w:val="16"/>
              <w:rPr>
                <w:rFonts w:hAnsi="宋体"/>
                <w:b/>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资格审查前，申请人已在广州公共资源交易中心办理企业信息登记，及拟担任本工程项目负责人须是本企业在广州公共资源交易中心企业信息登记中的在册人员。</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Ansi="宋体"/>
                <w:color w:val="000000" w:themeColor="text1"/>
                <w:kern w:val="2"/>
                <w:sz w:val="21"/>
                <w:szCs w:val="21"/>
                <w14:textFill>
                  <w14:solidFill>
                    <w14:schemeClr w14:val="tx1"/>
                  </w14:solidFill>
                </w14:textFill>
              </w:rPr>
              <w:t>5</w:t>
            </w:r>
          </w:p>
        </w:tc>
        <w:tc>
          <w:tcPr>
            <w:tcW w:w="5516" w:type="dxa"/>
            <w:vAlign w:val="center"/>
          </w:tcPr>
          <w:p>
            <w:pPr>
              <w:pStyle w:val="16"/>
              <w:rPr>
                <w:rFonts w:hAnsi="宋体"/>
                <w:b/>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投标人拟派项目负责人资格满足招标公告规定</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6</w:t>
            </w:r>
          </w:p>
        </w:tc>
        <w:tc>
          <w:tcPr>
            <w:tcW w:w="5516" w:type="dxa"/>
            <w:vAlign w:val="center"/>
          </w:tcPr>
          <w:p>
            <w:pPr>
              <w:pStyle w:val="16"/>
              <w:rPr>
                <w:rFonts w:hAnsi="宋体"/>
                <w:b/>
                <w:color w:val="000000" w:themeColor="text1"/>
                <w:kern w:val="2"/>
                <w:sz w:val="21"/>
                <w:szCs w:val="21"/>
                <w14:textFill>
                  <w14:solidFill>
                    <w14:schemeClr w14:val="tx1"/>
                  </w14:solidFill>
                </w14:textFill>
              </w:rPr>
            </w:pPr>
            <w:r>
              <w:rPr>
                <w:rFonts w:hint="eastAsia" w:hAnsi="宋体"/>
                <w:kern w:val="2"/>
                <w:sz w:val="21"/>
                <w:szCs w:val="21"/>
                <w:u w:val="single"/>
              </w:rPr>
              <w:t>投标人没有处于被广州建设行政主管部门取消投标资格的处罚期内；未被纳入国家、市、区的失信联合惩戒名单且被限制参加建设工程投标的（具体名单以递交投标文件截止时间“信用广州”https://credit1.gz.gov.cn/sgs/sgsXkNew公布的“失信黑名单”为准。不包含限制参加财政投资工程或政府投资工程的投标）。</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7</w:t>
            </w:r>
          </w:p>
        </w:tc>
        <w:tc>
          <w:tcPr>
            <w:tcW w:w="5516" w:type="dxa"/>
            <w:vAlign w:val="center"/>
          </w:tcPr>
          <w:p>
            <w:pPr>
              <w:pStyle w:val="16"/>
              <w:rPr>
                <w:rFonts w:hAnsi="宋体"/>
                <w:color w:val="000000" w:themeColor="text1"/>
                <w:kern w:val="2"/>
                <w:sz w:val="21"/>
                <w:szCs w:val="21"/>
                <w:u w:val="single"/>
                <w14:textFill>
                  <w14:solidFill>
                    <w14:schemeClr w14:val="tx1"/>
                  </w14:solidFill>
                </w14:textFill>
              </w:rPr>
            </w:pPr>
            <w:r>
              <w:rPr>
                <w:rFonts w:hint="eastAsia" w:hAnsi="宋体"/>
                <w:color w:val="000000" w:themeColor="text1"/>
                <w:kern w:val="2"/>
                <w:sz w:val="21"/>
                <w:szCs w:val="21"/>
                <w:u w:val="single"/>
                <w14:textFill>
                  <w14:solidFill>
                    <w14:schemeClr w14:val="tx1"/>
                  </w14:solidFill>
                </w14:textFill>
              </w:rPr>
              <w:t>以联合体形式投标的，联合体组成符合要求，并已按要求向招标人提交共同投标协议</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8</w:t>
            </w:r>
          </w:p>
        </w:tc>
        <w:tc>
          <w:tcPr>
            <w:tcW w:w="5516" w:type="dxa"/>
            <w:vAlign w:val="center"/>
          </w:tcPr>
          <w:p>
            <w:pPr>
              <w:pStyle w:val="16"/>
              <w:rPr>
                <w:rFonts w:hAnsi="宋体"/>
                <w:color w:val="000000" w:themeColor="text1"/>
                <w:kern w:val="2"/>
                <w:sz w:val="21"/>
                <w:szCs w:val="21"/>
                <w:u w:val="single"/>
                <w14:textFill>
                  <w14:solidFill>
                    <w14:schemeClr w14:val="tx1"/>
                  </w14:solidFill>
                </w14:textFill>
              </w:rPr>
            </w:pPr>
            <w:r>
              <w:rPr>
                <w:rFonts w:hint="eastAsia" w:hAnsi="宋体"/>
                <w:color w:val="000000" w:themeColor="text1"/>
                <w:kern w:val="2"/>
                <w:sz w:val="21"/>
                <w:szCs w:val="21"/>
                <w:u w:val="single"/>
                <w14:textFill>
                  <w14:solidFill>
                    <w14:schemeClr w14:val="tx1"/>
                  </w14:solidFill>
                </w14:textFill>
              </w:rPr>
              <w:t>投标人已按规定格式签名盖章《投标人声明》（详见招标文件</w:t>
            </w:r>
            <w:r>
              <w:rPr>
                <w:rFonts w:hint="eastAsia" w:hAnsi="宋体"/>
                <w:color w:val="000000" w:themeColor="text1"/>
                <w:kern w:val="2"/>
                <w:sz w:val="21"/>
                <w:szCs w:val="21"/>
                <w:u w:val="single"/>
                <w:lang w:eastAsia="zh-CN"/>
                <w14:textFill>
                  <w14:solidFill>
                    <w14:schemeClr w14:val="tx1"/>
                  </w14:solidFill>
                </w14:textFill>
              </w:rPr>
              <w:t>附录</w:t>
            </w:r>
            <w:r>
              <w:rPr>
                <w:rFonts w:hint="eastAsia" w:hAnsi="宋体"/>
                <w:color w:val="000000" w:themeColor="text1"/>
                <w:kern w:val="2"/>
                <w:sz w:val="21"/>
                <w:szCs w:val="21"/>
                <w:u w:val="single"/>
                <w:lang w:val="en-US" w:eastAsia="zh-CN"/>
                <w14:textFill>
                  <w14:solidFill>
                    <w14:schemeClr w14:val="tx1"/>
                  </w14:solidFill>
                </w14:textFill>
              </w:rPr>
              <w:t>20</w:t>
            </w:r>
            <w:r>
              <w:rPr>
                <w:rFonts w:hint="eastAsia" w:hAnsi="宋体"/>
                <w:color w:val="000000" w:themeColor="text1"/>
                <w:kern w:val="2"/>
                <w:sz w:val="21"/>
                <w:szCs w:val="21"/>
                <w:u w:val="single"/>
                <w14:textFill>
                  <w14:solidFill>
                    <w14:schemeClr w14:val="tx1"/>
                  </w14:solidFill>
                </w14:textFill>
              </w:rPr>
              <w:t>）。</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7" w:type="dxa"/>
            <w:vAlign w:val="center"/>
          </w:tcPr>
          <w:p>
            <w:pPr>
              <w:pStyle w:val="16"/>
              <w:jc w:val="center"/>
              <w:rPr>
                <w:rFonts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结论</w:t>
            </w:r>
          </w:p>
        </w:tc>
        <w:tc>
          <w:tcPr>
            <w:tcW w:w="5516" w:type="dxa"/>
            <w:vAlign w:val="center"/>
          </w:tcPr>
          <w:p>
            <w:pPr>
              <w:pStyle w:val="16"/>
              <w:rPr>
                <w:rFonts w:hAnsi="宋体"/>
                <w:b/>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是否通过并进入下一阶段评审</w:t>
            </w:r>
          </w:p>
        </w:tc>
        <w:tc>
          <w:tcPr>
            <w:tcW w:w="875" w:type="dxa"/>
          </w:tcPr>
          <w:p>
            <w:pPr>
              <w:pStyle w:val="16"/>
              <w:jc w:val="center"/>
              <w:rPr>
                <w:rFonts w:hAnsi="宋体"/>
                <w:b/>
                <w:color w:val="FF0000"/>
                <w:kern w:val="2"/>
                <w:sz w:val="32"/>
              </w:rPr>
            </w:pPr>
          </w:p>
        </w:tc>
        <w:tc>
          <w:tcPr>
            <w:tcW w:w="900" w:type="dxa"/>
          </w:tcPr>
          <w:p>
            <w:pPr>
              <w:pStyle w:val="16"/>
              <w:jc w:val="center"/>
              <w:rPr>
                <w:rFonts w:hAnsi="宋体"/>
                <w:b/>
                <w:color w:val="FF0000"/>
                <w:kern w:val="2"/>
                <w:sz w:val="32"/>
              </w:rPr>
            </w:pPr>
          </w:p>
        </w:tc>
        <w:tc>
          <w:tcPr>
            <w:tcW w:w="918" w:type="dxa"/>
          </w:tcPr>
          <w:p>
            <w:pPr>
              <w:pStyle w:val="16"/>
              <w:jc w:val="center"/>
              <w:rPr>
                <w:rFonts w:hAnsi="宋体"/>
                <w:b/>
                <w:color w:val="FF0000"/>
                <w:kern w:val="2"/>
                <w:sz w:val="32"/>
              </w:rPr>
            </w:pPr>
          </w:p>
        </w:tc>
      </w:tr>
    </w:tbl>
    <w:p>
      <w:pPr>
        <w:tabs>
          <w:tab w:val="left" w:pos="720"/>
        </w:tabs>
        <w:snapToGrid w:val="0"/>
        <w:spacing w:before="156" w:beforeLines="50"/>
        <w:rPr>
          <w:rFonts w:ascii="宋体" w:hAnsi="Courier New"/>
          <w:szCs w:val="21"/>
        </w:rPr>
      </w:pPr>
      <w:r>
        <w:rPr>
          <w:rFonts w:hint="eastAsia" w:ascii="宋体" w:hAnsi="Courier New"/>
          <w:szCs w:val="21"/>
        </w:rPr>
        <w:t>备注：1、根据本表的审查项目，填“是”或“否”。2、表中出现一个或以上“否”，即该投标人的评审“结论”为“否”，即该投标人不进入下一阶段评审</w:t>
      </w:r>
      <w:r>
        <w:rPr>
          <w:rFonts w:hint="eastAsia"/>
          <w:sz w:val="24"/>
        </w:rPr>
        <w:t>。</w:t>
      </w:r>
      <w:r>
        <w:rPr>
          <w:rFonts w:hint="eastAsia" w:ascii="宋体" w:hAnsi="Courier New"/>
          <w:szCs w:val="21"/>
        </w:rPr>
        <w:t>3、表中全部评审结果为“是”，视为同意进入下一阶段评审。4、若评委意见不一致时，则按少数服从多数的原则，决定该投标人是否通过符合性审查，进入下一阶段评审。5、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tabs>
          <w:tab w:val="left" w:pos="720"/>
        </w:tabs>
        <w:snapToGrid w:val="0"/>
        <w:rPr>
          <w:rFonts w:ascii="宋体" w:hAnsi="Courier New"/>
          <w:sz w:val="18"/>
          <w:szCs w:val="18"/>
        </w:rPr>
      </w:pPr>
    </w:p>
    <w:p>
      <w:pPr>
        <w:pStyle w:val="16"/>
        <w:rPr>
          <w:rFonts w:hAnsi="宋体"/>
          <w:b/>
          <w:sz w:val="32"/>
        </w:rPr>
      </w:pPr>
      <w:r>
        <w:rPr>
          <w:rFonts w:hint="eastAsia"/>
          <w:szCs w:val="21"/>
        </w:rPr>
        <w:t>评委签名：                     日期：</w:t>
      </w:r>
    </w:p>
    <w:p>
      <w:pPr>
        <w:rPr>
          <w:rFonts w:ascii="宋体" w:hAnsi="宋体"/>
        </w:rPr>
        <w:sectPr>
          <w:footerReference r:id="rId5" w:type="default"/>
          <w:footerReference r:id="rId6" w:type="even"/>
          <w:type w:val="nextColumn"/>
          <w:pgSz w:w="11906" w:h="16838"/>
          <w:pgMar w:top="1418" w:right="1588" w:bottom="1418" w:left="1588" w:header="851" w:footer="992" w:gutter="0"/>
          <w:cols w:space="425" w:num="1"/>
          <w:docGrid w:type="lines" w:linePitch="312" w:charSpace="0"/>
        </w:sectPr>
      </w:pPr>
    </w:p>
    <w:p>
      <w:pPr>
        <w:spacing w:line="360" w:lineRule="auto"/>
        <w:rPr>
          <w:rStyle w:val="35"/>
        </w:rPr>
      </w:pPr>
      <w:bookmarkStart w:id="30" w:name="_Toc136263000"/>
      <w:r>
        <w:rPr>
          <w:rStyle w:val="35"/>
          <w:rFonts w:hint="eastAsia"/>
        </w:rPr>
        <w:t>附录</w:t>
      </w:r>
      <w:r>
        <w:rPr>
          <w:rStyle w:val="35"/>
        </w:rPr>
        <w:t>12</w:t>
      </w:r>
      <w:bookmarkEnd w:id="30"/>
    </w:p>
    <w:p>
      <w:pPr>
        <w:pStyle w:val="16"/>
        <w:jc w:val="center"/>
        <w:rPr>
          <w:rFonts w:hAnsi="宋体"/>
          <w:b/>
          <w:sz w:val="32"/>
        </w:rPr>
      </w:pPr>
      <w:r>
        <w:rPr>
          <w:rFonts w:hint="eastAsia" w:hAnsi="宋体"/>
          <w:b/>
          <w:sz w:val="32"/>
        </w:rPr>
        <w:t>商务文件有效性审查表</w:t>
      </w:r>
    </w:p>
    <w:p>
      <w:pPr>
        <w:tabs>
          <w:tab w:val="left" w:pos="720"/>
        </w:tabs>
        <w:snapToGrid w:val="0"/>
        <w:spacing w:line="360" w:lineRule="auto"/>
        <w:rPr>
          <w:rFonts w:ascii="宋体" w:hAnsi="宋体"/>
          <w:b/>
          <w:szCs w:val="21"/>
        </w:rPr>
      </w:pPr>
      <w:r>
        <w:rPr>
          <w:rFonts w:hint="eastAsia" w:ascii="宋体" w:hAnsi="宋体"/>
          <w:b/>
          <w:szCs w:val="21"/>
        </w:rPr>
        <w:t>项目名称：</w:t>
      </w:r>
    </w:p>
    <w:tbl>
      <w:tblPr>
        <w:tblStyle w:val="28"/>
        <w:tblW w:w="13965" w:type="dxa"/>
        <w:tblInd w:w="3" w:type="dxa"/>
        <w:tblLayout w:type="fixed"/>
        <w:tblCellMar>
          <w:top w:w="0" w:type="dxa"/>
          <w:left w:w="108" w:type="dxa"/>
          <w:bottom w:w="0" w:type="dxa"/>
          <w:right w:w="108" w:type="dxa"/>
        </w:tblCellMar>
      </w:tblPr>
      <w:tblGrid>
        <w:gridCol w:w="525"/>
        <w:gridCol w:w="6281"/>
        <w:gridCol w:w="1111"/>
        <w:gridCol w:w="1512"/>
        <w:gridCol w:w="1512"/>
        <w:gridCol w:w="1512"/>
        <w:gridCol w:w="1512"/>
      </w:tblGrid>
      <w:tr>
        <w:tblPrEx>
          <w:tblCellMar>
            <w:top w:w="0" w:type="dxa"/>
            <w:left w:w="108" w:type="dxa"/>
            <w:bottom w:w="0" w:type="dxa"/>
            <w:right w:w="108" w:type="dxa"/>
          </w:tblCellMar>
        </w:tblPrEx>
        <w:trPr>
          <w:trHeight w:val="717"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序号</w:t>
            </w:r>
          </w:p>
        </w:tc>
        <w:tc>
          <w:tcPr>
            <w:tcW w:w="6281" w:type="dxa"/>
            <w:tcBorders>
              <w:top w:val="single" w:color="auto" w:sz="4" w:space="0"/>
              <w:left w:val="single" w:color="auto" w:sz="4" w:space="0"/>
              <w:bottom w:val="single" w:color="auto" w:sz="4" w:space="0"/>
              <w:right w:val="single" w:color="auto" w:sz="4" w:space="0"/>
              <w:tl2br w:val="single" w:color="auto" w:sz="4" w:space="0"/>
            </w:tcBorders>
          </w:tcPr>
          <w:p>
            <w:pPr>
              <w:rPr>
                <w:rFonts w:ascii="宋体" w:hAnsi="宋体"/>
                <w:szCs w:val="21"/>
              </w:rPr>
            </w:pPr>
            <w:r>
              <w:rPr>
                <w:rFonts w:hint="eastAsia" w:ascii="宋体" w:hAnsi="宋体"/>
                <w:szCs w:val="21"/>
              </w:rPr>
              <w:t xml:space="preserve">                                      投标单位</w:t>
            </w:r>
          </w:p>
          <w:p>
            <w:pPr>
              <w:rPr>
                <w:rFonts w:ascii="宋体" w:hAnsi="宋体"/>
                <w:szCs w:val="21"/>
              </w:rPr>
            </w:pPr>
            <w:r>
              <w:rPr>
                <w:rFonts w:hint="eastAsia" w:ascii="宋体" w:hAnsi="宋体"/>
                <w:szCs w:val="21"/>
              </w:rPr>
              <w:t>审查项目</w:t>
            </w:r>
          </w:p>
        </w:tc>
        <w:tc>
          <w:tcPr>
            <w:tcW w:w="1111"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628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szCs w:val="21"/>
              </w:rPr>
            </w:pPr>
            <w:r>
              <w:rPr>
                <w:rFonts w:hint="eastAsia" w:ascii="宋体" w:hAnsi="宋体"/>
                <w:szCs w:val="21"/>
              </w:rPr>
              <w:t>未发现投标人与招标人、评标委员会成员或者其他投标人串通投标</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427"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2</w:t>
            </w:r>
          </w:p>
        </w:tc>
        <w:tc>
          <w:tcPr>
            <w:tcW w:w="628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szCs w:val="21"/>
                <w:u w:val="single"/>
              </w:rPr>
            </w:pPr>
            <w:r>
              <w:rPr>
                <w:rFonts w:hint="eastAsia" w:ascii="宋体" w:hAnsi="宋体"/>
                <w:szCs w:val="21"/>
                <w:u w:val="single"/>
              </w:rPr>
              <w:t>不存在与本项目其他投标人加密打包投标文件的电脑机器特征码一致的情况。</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p>
            <w:pPr>
              <w:jc w:val="cente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3</w:t>
            </w:r>
          </w:p>
        </w:tc>
        <w:tc>
          <w:tcPr>
            <w:tcW w:w="6281"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商务文件封面已盖投标人公章</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4</w:t>
            </w:r>
          </w:p>
        </w:tc>
        <w:tc>
          <w:tcPr>
            <w:tcW w:w="6281"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《投标书》已盖投标人公章（以联合体形式投标的，可只盖联合体牵头人公章）</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5</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《投标书》已有法定代表人或者其授权代表签名</w:t>
            </w:r>
            <w:r>
              <w:rPr>
                <w:rFonts w:hint="eastAsia" w:ascii="宋体" w:hAnsi="宋体"/>
                <w:szCs w:val="21"/>
                <w:u w:val="single"/>
              </w:rPr>
              <w:t>或盖章（以联合体形式投标的，只需项目负责人和联合体牵头人的法定代表人或其授权代表签名或盖章）</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6</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《投标书》没有招标人不能接受的偏差（或出现偏差时已同意书面撤回偏差）</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7</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《投标书》按招标文件规定的格式填写，没有出现内容不全或者关键字迹模糊无法辨认</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8</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未发现证明材料弄虚作假</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9</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按第三章投标文件编制要求编制投标文件</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10</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按照招标文件要求提交投标保证金</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u w:val="single"/>
              </w:rPr>
            </w:pPr>
            <w:r>
              <w:rPr>
                <w:rFonts w:hint="eastAsia" w:ascii="宋体" w:hAnsi="宋体"/>
                <w:szCs w:val="21"/>
                <w:u w:val="single"/>
              </w:rPr>
              <w:t>11</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按照要求（必要时）对投标文件进行澄清、说明或者补正</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u w:val="single"/>
              </w:rPr>
            </w:pPr>
            <w:r>
              <w:rPr>
                <w:rFonts w:hint="eastAsia" w:ascii="宋体" w:hAnsi="宋体"/>
                <w:szCs w:val="21"/>
                <w:u w:val="single"/>
              </w:rPr>
              <w:t>12</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按照招标文件要求填报勘察设计费报价表、工程设计费报价及计算依据表、勘察费报价及计算依据表。</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u w:val="single"/>
              </w:rPr>
              <w:t>13</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投标报价符合招标文件要求</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9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结论</w:t>
            </w:r>
          </w:p>
        </w:tc>
        <w:tc>
          <w:tcPr>
            <w:tcW w:w="628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szCs w:val="21"/>
              </w:rPr>
              <w:t>是否通过并进入下一阶段评审</w:t>
            </w:r>
          </w:p>
        </w:tc>
        <w:tc>
          <w:tcPr>
            <w:tcW w:w="11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51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bl>
    <w:p>
      <w:pPr>
        <w:tabs>
          <w:tab w:val="left" w:pos="720"/>
        </w:tabs>
        <w:snapToGrid w:val="0"/>
        <w:spacing w:before="160" w:beforeLines="50"/>
        <w:rPr>
          <w:rFonts w:ascii="宋体" w:hAnsi="Courier New"/>
          <w:szCs w:val="21"/>
        </w:rPr>
      </w:pPr>
      <w:r>
        <w:rPr>
          <w:rFonts w:hint="eastAsia" w:ascii="宋体" w:hAnsi="Courier New"/>
          <w:szCs w:val="21"/>
        </w:rPr>
        <w:t>备注：1、根据本表的审查项目，填“是”或“否”。</w:t>
      </w:r>
    </w:p>
    <w:p>
      <w:pPr>
        <w:tabs>
          <w:tab w:val="left" w:pos="720"/>
        </w:tabs>
        <w:snapToGrid w:val="0"/>
        <w:spacing w:before="160" w:beforeLines="50"/>
        <w:ind w:firstLine="630" w:firstLineChars="300"/>
        <w:rPr>
          <w:rFonts w:ascii="宋体" w:hAnsi="Courier New"/>
          <w:szCs w:val="21"/>
        </w:rPr>
      </w:pPr>
      <w:r>
        <w:rPr>
          <w:rFonts w:hint="eastAsia" w:ascii="宋体" w:hAnsi="Courier New"/>
          <w:szCs w:val="21"/>
        </w:rPr>
        <w:t>2、表中出现一个或以上“否”，即该投标人的评审“结论”为“否”，即该投标人不进入下一阶段评审</w:t>
      </w:r>
      <w:r>
        <w:rPr>
          <w:rFonts w:hint="eastAsia"/>
          <w:sz w:val="24"/>
        </w:rPr>
        <w:t>。</w:t>
      </w:r>
    </w:p>
    <w:p>
      <w:pPr>
        <w:tabs>
          <w:tab w:val="left" w:pos="720"/>
        </w:tabs>
        <w:snapToGrid w:val="0"/>
        <w:spacing w:before="160" w:beforeLines="50"/>
        <w:ind w:firstLine="630" w:firstLineChars="300"/>
        <w:rPr>
          <w:rFonts w:ascii="宋体" w:hAnsi="Courier New"/>
          <w:szCs w:val="21"/>
        </w:rPr>
      </w:pPr>
      <w:r>
        <w:rPr>
          <w:rFonts w:hint="eastAsia" w:ascii="宋体" w:hAnsi="Courier New"/>
          <w:szCs w:val="21"/>
        </w:rPr>
        <w:t>3、表中全部评审结果为“是”，视为同意进入下一阶段评审。</w:t>
      </w:r>
    </w:p>
    <w:p>
      <w:pPr>
        <w:tabs>
          <w:tab w:val="left" w:pos="720"/>
        </w:tabs>
        <w:snapToGrid w:val="0"/>
        <w:spacing w:before="160" w:beforeLines="50"/>
        <w:ind w:left="945" w:leftChars="300" w:hanging="315" w:hangingChars="150"/>
        <w:rPr>
          <w:rFonts w:ascii="宋体" w:hAnsi="Courier New"/>
          <w:szCs w:val="21"/>
        </w:rPr>
      </w:pPr>
      <w:r>
        <w:rPr>
          <w:rFonts w:hint="eastAsia" w:ascii="宋体" w:hAnsi="Courier New"/>
          <w:szCs w:val="21"/>
        </w:rPr>
        <w:t>4、若评委意见不一致时，则按少数服从多数的原则，决定该投标人是否通过符合性审查，进入下一阶段评审。</w:t>
      </w:r>
    </w:p>
    <w:p>
      <w:pPr>
        <w:tabs>
          <w:tab w:val="left" w:pos="720"/>
        </w:tabs>
        <w:snapToGrid w:val="0"/>
        <w:spacing w:before="160" w:beforeLines="50"/>
        <w:ind w:left="644" w:leftChars="300" w:hanging="14" w:hangingChars="7"/>
        <w:rPr>
          <w:rFonts w:ascii="宋体" w:hAnsi="Courier New"/>
          <w:szCs w:val="21"/>
        </w:rPr>
      </w:pPr>
      <w:r>
        <w:rPr>
          <w:rFonts w:hint="eastAsia" w:ascii="宋体" w:hAnsi="Courier New"/>
          <w:szCs w:val="21"/>
        </w:rPr>
        <w:t>5、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spacing w:line="360" w:lineRule="auto"/>
        <w:rPr>
          <w:rFonts w:ascii="宋体" w:hAnsi="宋体"/>
          <w:b/>
          <w:bCs/>
        </w:rPr>
      </w:pPr>
      <w:r>
        <w:rPr>
          <w:rFonts w:hint="eastAsia"/>
          <w:szCs w:val="21"/>
        </w:rPr>
        <w:t>评委签名：                     日期：</w:t>
      </w:r>
    </w:p>
    <w:p>
      <w:pPr>
        <w:widowControl/>
        <w:jc w:val="left"/>
        <w:rPr>
          <w:rFonts w:ascii="宋体" w:hAnsi="宋体"/>
          <w:b/>
          <w:bCs/>
        </w:rPr>
      </w:pPr>
      <w:r>
        <w:rPr>
          <w:rFonts w:ascii="宋体" w:hAnsi="宋体"/>
          <w:b/>
          <w:bCs/>
        </w:rPr>
        <w:br w:type="page"/>
      </w:r>
    </w:p>
    <w:p>
      <w:pPr>
        <w:spacing w:line="360" w:lineRule="auto"/>
        <w:rPr>
          <w:rStyle w:val="35"/>
        </w:rPr>
      </w:pPr>
      <w:bookmarkStart w:id="31" w:name="_Toc136263001"/>
      <w:r>
        <w:rPr>
          <w:rStyle w:val="35"/>
          <w:rFonts w:hint="eastAsia"/>
        </w:rPr>
        <w:t>附录13（适用于综合评分法）</w:t>
      </w:r>
      <w:bookmarkEnd w:id="31"/>
    </w:p>
    <w:p>
      <w:pPr>
        <w:spacing w:line="360" w:lineRule="auto"/>
        <w:jc w:val="center"/>
        <w:rPr>
          <w:rFonts w:ascii="宋体" w:hAnsi="宋体"/>
          <w:b/>
          <w:bCs/>
          <w:sz w:val="32"/>
          <w:szCs w:val="32"/>
        </w:rPr>
      </w:pPr>
      <w:r>
        <w:rPr>
          <w:rFonts w:hint="eastAsia" w:ascii="宋体" w:hAnsi="宋体"/>
          <w:b/>
          <w:bCs/>
          <w:sz w:val="32"/>
          <w:szCs w:val="32"/>
        </w:rPr>
        <w:t>商务文件综合评分表</w:t>
      </w:r>
    </w:p>
    <w:p>
      <w:pPr>
        <w:pStyle w:val="54"/>
        <w:wordWrap w:val="0"/>
        <w:topLinePunct/>
        <w:spacing w:line="360" w:lineRule="auto"/>
        <w:jc w:val="left"/>
        <w:rPr>
          <w:u w:val="single"/>
        </w:rPr>
      </w:pPr>
      <w:r>
        <w:rPr>
          <w:rFonts w:hint="eastAsia" w:ascii="宋体" w:hAnsi="宋体"/>
        </w:rPr>
        <w:t>项目名称：</w:t>
      </w:r>
      <w:bookmarkStart w:id="32" w:name="OLE_LINK1"/>
      <w:r>
        <w:rPr>
          <w:rFonts w:hint="eastAsia" w:ascii="宋体" w:hAnsi="宋体"/>
          <w:u w:val="single"/>
        </w:rPr>
        <w:t xml:space="preserve">                                   </w:t>
      </w:r>
      <w:bookmarkEnd w:id="32"/>
      <w:r>
        <w:rPr>
          <w:rFonts w:hint="eastAsia" w:ascii="宋体" w:hAnsi="宋体"/>
        </w:rPr>
        <w:t xml:space="preserve">     </w:t>
      </w:r>
      <w:r>
        <w:rPr>
          <w:rFonts w:hint="eastAsia" w:ascii="宋体" w:cs="宋体"/>
          <w:szCs w:val="21"/>
          <w:lang w:val="zh-CN"/>
        </w:rPr>
        <w:t>投标单位名称：</w:t>
      </w:r>
      <w:r>
        <w:rPr>
          <w:rFonts w:hint="eastAsia" w:ascii="宋体" w:hAnsi="宋体"/>
          <w:u w:val="single"/>
        </w:rPr>
        <w:t xml:space="preserve">                                   </w:t>
      </w:r>
    </w:p>
    <w:tbl>
      <w:tblPr>
        <w:tblStyle w:val="28"/>
        <w:tblW w:w="14301" w:type="dxa"/>
        <w:tblInd w:w="108" w:type="dxa"/>
        <w:tblLayout w:type="fixed"/>
        <w:tblCellMar>
          <w:top w:w="0" w:type="dxa"/>
          <w:left w:w="108" w:type="dxa"/>
          <w:bottom w:w="0" w:type="dxa"/>
          <w:right w:w="108" w:type="dxa"/>
        </w:tblCellMar>
      </w:tblPr>
      <w:tblGrid>
        <w:gridCol w:w="540"/>
        <w:gridCol w:w="795"/>
        <w:gridCol w:w="650"/>
        <w:gridCol w:w="11056"/>
        <w:gridCol w:w="630"/>
        <w:gridCol w:w="630"/>
      </w:tblGrid>
      <w:tr>
        <w:tblPrEx>
          <w:tblCellMar>
            <w:top w:w="0" w:type="dxa"/>
            <w:left w:w="108" w:type="dxa"/>
            <w:bottom w:w="0" w:type="dxa"/>
            <w:right w:w="108" w:type="dxa"/>
          </w:tblCellMar>
        </w:tblPrEx>
        <w:trPr>
          <w:trHeight w:val="445" w:hRule="atLeast"/>
        </w:trPr>
        <w:tc>
          <w:tcPr>
            <w:tcW w:w="5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rPr>
            </w:pPr>
            <w:r>
              <w:rPr>
                <w:rFonts w:hint="eastAsia" w:ascii="宋体" w:cs="宋体"/>
                <w:szCs w:val="21"/>
                <w:lang w:val="zh-CN"/>
              </w:rPr>
              <w:t>序号</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rPr>
            </w:pPr>
            <w:r>
              <w:rPr>
                <w:rFonts w:hint="eastAsia" w:ascii="宋体" w:cs="宋体"/>
                <w:szCs w:val="21"/>
                <w:lang w:val="zh-CN"/>
              </w:rPr>
              <w:t>项目</w:t>
            </w:r>
          </w:p>
        </w:tc>
        <w:tc>
          <w:tcPr>
            <w:tcW w:w="6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宋体" w:cs="宋体"/>
                <w:szCs w:val="21"/>
                <w:lang w:val="zh-CN"/>
              </w:rPr>
            </w:pPr>
            <w:r>
              <w:rPr>
                <w:rFonts w:hint="eastAsia" w:ascii="宋体" w:cs="宋体"/>
                <w:szCs w:val="21"/>
                <w:lang w:val="zh-CN"/>
              </w:rPr>
              <w:t>分值</w:t>
            </w:r>
          </w:p>
          <w:p>
            <w:pPr>
              <w:autoSpaceDE w:val="0"/>
              <w:autoSpaceDN w:val="0"/>
              <w:adjustRightInd w:val="0"/>
              <w:spacing w:line="280" w:lineRule="exact"/>
              <w:jc w:val="center"/>
              <w:rPr>
                <w:szCs w:val="21"/>
              </w:rPr>
            </w:pPr>
            <w:r>
              <w:rPr>
                <w:rFonts w:hint="eastAsia" w:ascii="宋体" w:cs="宋体"/>
                <w:szCs w:val="21"/>
                <w:lang w:val="zh-CN"/>
              </w:rPr>
              <w:t>分配</w:t>
            </w:r>
          </w:p>
        </w:tc>
        <w:tc>
          <w:tcPr>
            <w:tcW w:w="110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rPr>
            </w:pPr>
            <w:r>
              <w:rPr>
                <w:rFonts w:hint="eastAsia" w:ascii="宋体" w:cs="宋体"/>
                <w:szCs w:val="21"/>
                <w:lang w:val="zh-CN"/>
              </w:rPr>
              <w:t>内</w:t>
            </w:r>
            <w:r>
              <w:rPr>
                <w:szCs w:val="21"/>
              </w:rPr>
              <w:t xml:space="preserve">     </w:t>
            </w:r>
            <w:r>
              <w:rPr>
                <w:rFonts w:hint="eastAsia" w:ascii="宋体" w:cs="宋体"/>
                <w:szCs w:val="21"/>
                <w:lang w:val="zh-CN"/>
              </w:rPr>
              <w:t>容</w:t>
            </w:r>
          </w:p>
        </w:tc>
        <w:tc>
          <w:tcPr>
            <w:tcW w:w="6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lang w:val="zh-CN"/>
              </w:rPr>
            </w:pPr>
            <w:r>
              <w:rPr>
                <w:rFonts w:hint="eastAsia"/>
                <w:szCs w:val="21"/>
                <w:lang w:val="zh-CN"/>
              </w:rPr>
              <w:t>投标人1</w:t>
            </w:r>
          </w:p>
        </w:tc>
        <w:tc>
          <w:tcPr>
            <w:tcW w:w="63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szCs w:val="21"/>
                <w:lang w:val="zh-CN"/>
              </w:rPr>
            </w:pPr>
            <w:r>
              <w:rPr>
                <w:rFonts w:hint="eastAsia"/>
                <w:szCs w:val="21"/>
                <w:lang w:val="zh-CN"/>
              </w:rPr>
              <w:t>投标人2</w:t>
            </w:r>
          </w:p>
        </w:tc>
      </w:tr>
      <w:tr>
        <w:tblPrEx>
          <w:tblCellMar>
            <w:top w:w="0" w:type="dxa"/>
            <w:left w:w="108" w:type="dxa"/>
            <w:bottom w:w="0" w:type="dxa"/>
            <w:right w:w="108" w:type="dxa"/>
          </w:tblCellMar>
        </w:tblPrEx>
        <w:trPr>
          <w:trHeight w:val="90" w:hRule="atLeast"/>
        </w:trPr>
        <w:tc>
          <w:tcPr>
            <w:tcW w:w="540" w:type="dxa"/>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宋体" w:cs="宋体"/>
                <w:szCs w:val="21"/>
                <w:lang w:val="zh-CN"/>
              </w:rPr>
            </w:pPr>
            <w:r>
              <w:rPr>
                <w:rFonts w:hint="eastAsia" w:ascii="宋体" w:cs="宋体"/>
                <w:szCs w:val="21"/>
                <w:lang w:val="zh-CN"/>
              </w:rPr>
              <w:t>一</w:t>
            </w:r>
          </w:p>
        </w:tc>
        <w:tc>
          <w:tcPr>
            <w:tcW w:w="795" w:type="dxa"/>
            <w:tcBorders>
              <w:top w:val="single" w:color="auto" w:sz="6" w:space="0"/>
              <w:left w:val="single" w:color="auto" w:sz="6" w:space="0"/>
              <w:right w:val="single" w:color="auto" w:sz="6" w:space="0"/>
            </w:tcBorders>
            <w:vAlign w:val="center"/>
          </w:tcPr>
          <w:p>
            <w:pPr>
              <w:autoSpaceDE w:val="0"/>
              <w:autoSpaceDN w:val="0"/>
              <w:adjustRightInd w:val="0"/>
              <w:spacing w:line="240" w:lineRule="exact"/>
              <w:jc w:val="center"/>
              <w:rPr>
                <w:szCs w:val="21"/>
              </w:rPr>
            </w:pPr>
            <w:r>
              <w:rPr>
                <w:rFonts w:hint="eastAsia"/>
                <w:szCs w:val="21"/>
              </w:rPr>
              <w:t>投标</w:t>
            </w:r>
          </w:p>
          <w:p>
            <w:pPr>
              <w:autoSpaceDE w:val="0"/>
              <w:autoSpaceDN w:val="0"/>
              <w:adjustRightInd w:val="0"/>
              <w:spacing w:line="240" w:lineRule="exact"/>
              <w:jc w:val="center"/>
              <w:rPr>
                <w:rFonts w:ascii="宋体" w:cs="宋体"/>
                <w:szCs w:val="21"/>
                <w:lang w:val="zh-CN"/>
              </w:rPr>
            </w:pPr>
            <w:r>
              <w:rPr>
                <w:rFonts w:hint="eastAsia"/>
                <w:szCs w:val="21"/>
              </w:rPr>
              <w:t>形式</w:t>
            </w:r>
          </w:p>
        </w:tc>
        <w:tc>
          <w:tcPr>
            <w:tcW w:w="650" w:type="dxa"/>
            <w:tcBorders>
              <w:top w:val="single" w:color="auto" w:sz="6" w:space="0"/>
              <w:left w:val="single" w:color="auto" w:sz="6" w:space="0"/>
              <w:right w:val="single" w:color="auto" w:sz="6" w:space="0"/>
            </w:tcBorders>
            <w:vAlign w:val="center"/>
          </w:tcPr>
          <w:p>
            <w:pPr>
              <w:jc w:val="center"/>
              <w:rPr>
                <w:rFonts w:ascii="宋体" w:hAnsi="宋体"/>
                <w:szCs w:val="21"/>
              </w:rPr>
            </w:pPr>
            <w:r>
              <w:rPr>
                <w:rFonts w:hint="eastAsia" w:ascii="宋体" w:hAnsi="宋体" w:cs="宋体"/>
                <w:szCs w:val="21"/>
                <w:lang w:val="zh-CN"/>
              </w:rPr>
              <w:t>[5]</w:t>
            </w:r>
          </w:p>
        </w:tc>
        <w:tc>
          <w:tcPr>
            <w:tcW w:w="11056" w:type="dxa"/>
            <w:tcBorders>
              <w:top w:val="single" w:color="auto" w:sz="6" w:space="0"/>
              <w:left w:val="single" w:color="auto" w:sz="6" w:space="0"/>
              <w:bottom w:val="single" w:color="auto" w:sz="6" w:space="0"/>
              <w:right w:val="single" w:color="auto" w:sz="6" w:space="0"/>
            </w:tcBorders>
            <w:vAlign w:val="center"/>
          </w:tcPr>
          <w:p>
            <w:pPr>
              <w:rPr>
                <w:rFonts w:ascii="宋体" w:cs="宋体"/>
                <w:color w:val="000000"/>
                <w:szCs w:val="21"/>
                <w:lang w:val="zh-CN"/>
              </w:rPr>
            </w:pPr>
            <w:r>
              <w:rPr>
                <w:rFonts w:hint="eastAsia" w:ascii="宋体" w:hAnsi="宋体" w:cs="宋体"/>
                <w:szCs w:val="21"/>
                <w:lang w:val="zh-CN"/>
              </w:rPr>
              <w:t>投标人为独立投标的得 5 分，联合体投标的得 4 分。</w:t>
            </w:r>
          </w:p>
        </w:tc>
        <w:tc>
          <w:tcPr>
            <w:tcW w:w="630" w:type="dxa"/>
            <w:tcBorders>
              <w:top w:val="single" w:color="auto" w:sz="6" w:space="0"/>
              <w:left w:val="single" w:color="auto" w:sz="6" w:space="0"/>
              <w:bottom w:val="single" w:color="auto" w:sz="4" w:space="0"/>
              <w:right w:val="single" w:color="auto" w:sz="6" w:space="0"/>
            </w:tcBorders>
          </w:tcPr>
          <w:p>
            <w:pPr>
              <w:autoSpaceDE w:val="0"/>
              <w:autoSpaceDN w:val="0"/>
              <w:adjustRightInd w:val="0"/>
              <w:spacing w:line="400" w:lineRule="exact"/>
              <w:jc w:val="center"/>
              <w:rPr>
                <w:szCs w:val="21"/>
                <w:lang w:val="zh-CN"/>
              </w:rPr>
            </w:pPr>
          </w:p>
        </w:tc>
        <w:tc>
          <w:tcPr>
            <w:tcW w:w="630" w:type="dxa"/>
            <w:tcBorders>
              <w:top w:val="single" w:color="auto" w:sz="6" w:space="0"/>
              <w:left w:val="single" w:color="auto" w:sz="6" w:space="0"/>
              <w:bottom w:val="single" w:color="auto" w:sz="4" w:space="0"/>
              <w:right w:val="single" w:color="auto" w:sz="6" w:space="0"/>
            </w:tcBorders>
          </w:tcPr>
          <w:p>
            <w:pPr>
              <w:autoSpaceDE w:val="0"/>
              <w:autoSpaceDN w:val="0"/>
              <w:adjustRightInd w:val="0"/>
              <w:spacing w:line="400" w:lineRule="exact"/>
              <w:jc w:val="center"/>
              <w:rPr>
                <w:szCs w:val="21"/>
                <w:lang w:val="zh-CN"/>
              </w:rPr>
            </w:pPr>
          </w:p>
        </w:tc>
      </w:tr>
      <w:tr>
        <w:trPr>
          <w:trHeight w:val="751" w:hRule="atLeast"/>
        </w:trPr>
        <w:tc>
          <w:tcPr>
            <w:tcW w:w="540" w:type="dxa"/>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szCs w:val="21"/>
              </w:rPr>
            </w:pPr>
            <w:r>
              <w:rPr>
                <w:rFonts w:hint="eastAsia" w:ascii="宋体" w:cs="宋体"/>
                <w:szCs w:val="21"/>
                <w:lang w:val="zh-CN"/>
              </w:rPr>
              <w:t>二</w:t>
            </w:r>
          </w:p>
        </w:tc>
        <w:tc>
          <w:tcPr>
            <w:tcW w:w="795" w:type="dxa"/>
            <w:tcBorders>
              <w:top w:val="single" w:color="auto" w:sz="6" w:space="0"/>
              <w:left w:val="single" w:color="auto" w:sz="6" w:space="0"/>
              <w:right w:val="single" w:color="auto" w:sz="6" w:space="0"/>
            </w:tcBorders>
            <w:vAlign w:val="center"/>
          </w:tcPr>
          <w:p>
            <w:pPr>
              <w:autoSpaceDE w:val="0"/>
              <w:autoSpaceDN w:val="0"/>
              <w:adjustRightInd w:val="0"/>
              <w:spacing w:line="240" w:lineRule="exact"/>
              <w:jc w:val="center"/>
              <w:rPr>
                <w:rFonts w:ascii="宋体" w:cs="宋体"/>
                <w:szCs w:val="21"/>
                <w:lang w:val="zh-CN"/>
              </w:rPr>
            </w:pPr>
            <w:r>
              <w:rPr>
                <w:rFonts w:hint="eastAsia" w:ascii="宋体" w:cs="宋体"/>
                <w:szCs w:val="21"/>
                <w:lang w:val="zh-CN"/>
              </w:rPr>
              <w:t>企业</w:t>
            </w:r>
          </w:p>
          <w:p>
            <w:pPr>
              <w:autoSpaceDE w:val="0"/>
              <w:autoSpaceDN w:val="0"/>
              <w:adjustRightInd w:val="0"/>
              <w:spacing w:line="240" w:lineRule="exact"/>
              <w:jc w:val="center"/>
              <w:rPr>
                <w:rFonts w:ascii="宋体" w:cs="宋体"/>
                <w:szCs w:val="21"/>
                <w:lang w:val="zh-CN"/>
              </w:rPr>
            </w:pPr>
            <w:r>
              <w:rPr>
                <w:rFonts w:hint="eastAsia" w:ascii="宋体" w:cs="宋体"/>
                <w:szCs w:val="21"/>
                <w:lang w:val="zh-CN"/>
              </w:rPr>
              <w:t>类似</w:t>
            </w:r>
          </w:p>
          <w:p>
            <w:pPr>
              <w:autoSpaceDE w:val="0"/>
              <w:autoSpaceDN w:val="0"/>
              <w:adjustRightInd w:val="0"/>
              <w:spacing w:line="240" w:lineRule="exact"/>
              <w:jc w:val="center"/>
              <w:rPr>
                <w:szCs w:val="21"/>
              </w:rPr>
            </w:pPr>
            <w:r>
              <w:rPr>
                <w:rFonts w:hint="eastAsia" w:ascii="宋体" w:cs="宋体"/>
                <w:szCs w:val="21"/>
                <w:lang w:val="zh-CN"/>
              </w:rPr>
              <w:t>业绩</w:t>
            </w:r>
          </w:p>
        </w:tc>
        <w:tc>
          <w:tcPr>
            <w:tcW w:w="650" w:type="dxa"/>
            <w:tcBorders>
              <w:top w:val="single" w:color="auto" w:sz="6" w:space="0"/>
              <w:left w:val="single" w:color="auto" w:sz="6" w:space="0"/>
              <w:right w:val="single" w:color="auto" w:sz="6" w:space="0"/>
            </w:tcBorders>
            <w:vAlign w:val="center"/>
          </w:tcPr>
          <w:p>
            <w:pPr>
              <w:jc w:val="center"/>
              <w:rPr>
                <w:rFonts w:ascii="宋体" w:hAnsi="宋体" w:cs="宋体"/>
                <w:szCs w:val="21"/>
              </w:rPr>
            </w:pPr>
            <w:r>
              <w:rPr>
                <w:rFonts w:hint="eastAsia" w:ascii="宋体" w:hAnsi="宋体" w:cs="宋体"/>
                <w:szCs w:val="21"/>
                <w:lang w:val="zh-CN"/>
              </w:rPr>
              <w:t>[25]</w:t>
            </w:r>
          </w:p>
        </w:tc>
        <w:tc>
          <w:tcPr>
            <w:tcW w:w="11056" w:type="dxa"/>
            <w:tcBorders>
              <w:top w:val="single" w:color="auto" w:sz="6" w:space="0"/>
              <w:left w:val="single" w:color="auto" w:sz="6" w:space="0"/>
              <w:right w:val="single" w:color="auto" w:sz="6" w:space="0"/>
            </w:tcBorders>
            <w:vAlign w:val="center"/>
          </w:tcPr>
          <w:p>
            <w:pPr>
              <w:rPr>
                <w:rFonts w:ascii="宋体" w:hAnsi="宋体" w:cs="宋体"/>
                <w:szCs w:val="21"/>
              </w:rPr>
            </w:pPr>
            <w:r>
              <w:rPr>
                <w:rFonts w:hint="eastAsia" w:ascii="宋体" w:hAnsi="宋体" w:cs="宋体"/>
                <w:szCs w:val="21"/>
              </w:rPr>
              <w:t>近 5 年内勘察对应类似业绩：有类似业绩的，每项得 1 分，最多得 5 分。</w:t>
            </w:r>
          </w:p>
          <w:p>
            <w:pPr>
              <w:rPr>
                <w:color w:val="000000"/>
                <w:szCs w:val="21"/>
                <w:lang w:val="zh-CN"/>
              </w:rPr>
            </w:pPr>
            <w:r>
              <w:rPr>
                <w:rFonts w:hint="eastAsia" w:ascii="宋体" w:hAnsi="宋体" w:cs="宋体"/>
                <w:szCs w:val="21"/>
              </w:rPr>
              <w:t>近 5 年内设计对应类似业绩：有类似业绩的，每项得 4 分，最多得 20 分。</w:t>
            </w:r>
          </w:p>
        </w:tc>
        <w:tc>
          <w:tcPr>
            <w:tcW w:w="630" w:type="dxa"/>
            <w:tcBorders>
              <w:top w:val="single" w:color="auto" w:sz="4" w:space="0"/>
              <w:left w:val="single" w:color="auto" w:sz="4" w:space="0"/>
              <w:right w:val="single" w:color="auto" w:sz="4" w:space="0"/>
            </w:tcBorders>
          </w:tcPr>
          <w:p>
            <w:pPr>
              <w:autoSpaceDE w:val="0"/>
              <w:autoSpaceDN w:val="0"/>
              <w:adjustRightInd w:val="0"/>
              <w:spacing w:line="400" w:lineRule="exact"/>
              <w:jc w:val="center"/>
              <w:rPr>
                <w:szCs w:val="21"/>
              </w:rPr>
            </w:pP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rPr>
            </w:pPr>
          </w:p>
        </w:tc>
      </w:tr>
      <w:tr>
        <w:trPr>
          <w:trHeight w:val="976" w:hRule="atLeast"/>
        </w:trPr>
        <w:tc>
          <w:tcPr>
            <w:tcW w:w="54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cs="宋体"/>
                <w:szCs w:val="21"/>
                <w:lang w:val="zh-CN"/>
              </w:rPr>
            </w:pPr>
            <w:r>
              <w:rPr>
                <w:rFonts w:hint="eastAsia" w:ascii="宋体" w:cs="宋体"/>
                <w:szCs w:val="21"/>
                <w:lang w:val="zh-CN"/>
              </w:rPr>
              <w:t>三</w:t>
            </w:r>
          </w:p>
        </w:tc>
        <w:tc>
          <w:tcPr>
            <w:tcW w:w="79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240" w:lineRule="exact"/>
              <w:jc w:val="center"/>
              <w:rPr>
                <w:rFonts w:ascii="宋体" w:cs="宋体"/>
                <w:color w:val="000000"/>
                <w:szCs w:val="21"/>
                <w:lang w:val="zh-CN"/>
              </w:rPr>
            </w:pPr>
            <w:r>
              <w:rPr>
                <w:rFonts w:hint="eastAsia" w:ascii="宋体" w:cs="宋体"/>
                <w:color w:val="000000"/>
                <w:szCs w:val="21"/>
                <w:lang w:val="zh-CN"/>
              </w:rPr>
              <w:t>企业</w:t>
            </w:r>
          </w:p>
          <w:p>
            <w:pPr>
              <w:autoSpaceDE w:val="0"/>
              <w:autoSpaceDN w:val="0"/>
              <w:adjustRightInd w:val="0"/>
              <w:spacing w:line="240" w:lineRule="exact"/>
              <w:jc w:val="center"/>
              <w:rPr>
                <w:rFonts w:ascii="宋体" w:cs="宋体"/>
                <w:szCs w:val="21"/>
                <w:lang w:val="zh-CN"/>
              </w:rPr>
            </w:pPr>
            <w:r>
              <w:rPr>
                <w:rFonts w:hint="eastAsia" w:ascii="宋体" w:cs="宋体"/>
                <w:color w:val="000000"/>
                <w:szCs w:val="21"/>
              </w:rPr>
              <w:t>获奖</w:t>
            </w:r>
          </w:p>
        </w:tc>
        <w:tc>
          <w:tcPr>
            <w:tcW w:w="650" w:type="dxa"/>
            <w:tcBorders>
              <w:top w:val="single" w:color="auto" w:sz="6" w:space="0"/>
              <w:left w:val="single" w:color="auto" w:sz="6" w:space="0"/>
              <w:bottom w:val="single" w:color="auto" w:sz="4" w:space="0"/>
              <w:right w:val="single" w:color="auto" w:sz="6" w:space="0"/>
            </w:tcBorders>
            <w:vAlign w:val="center"/>
          </w:tcPr>
          <w:p>
            <w:pPr>
              <w:jc w:val="center"/>
              <w:rPr>
                <w:szCs w:val="21"/>
              </w:rPr>
            </w:pPr>
            <w:r>
              <w:rPr>
                <w:rFonts w:hint="eastAsia" w:ascii="宋体" w:hAnsi="宋体" w:cs="宋体"/>
                <w:szCs w:val="21"/>
                <w:lang w:val="zh-CN"/>
              </w:rPr>
              <w:t>[25]</w:t>
            </w:r>
          </w:p>
        </w:tc>
        <w:tc>
          <w:tcPr>
            <w:tcW w:w="11056" w:type="dxa"/>
            <w:tcBorders>
              <w:top w:val="single" w:color="auto" w:sz="6" w:space="0"/>
              <w:left w:val="single" w:color="auto" w:sz="6" w:space="0"/>
              <w:bottom w:val="single" w:color="auto" w:sz="4" w:space="0"/>
              <w:right w:val="single" w:color="auto" w:sz="6" w:space="0"/>
            </w:tcBorders>
            <w:vAlign w:val="center"/>
          </w:tcPr>
          <w:p>
            <w:pPr>
              <w:rPr>
                <w:rFonts w:ascii="宋体" w:hAnsi="宋体" w:cs="宋体"/>
                <w:szCs w:val="21"/>
              </w:rPr>
            </w:pPr>
            <w:r>
              <w:rPr>
                <w:rFonts w:hint="eastAsia" w:ascii="宋体" w:hAnsi="宋体" w:cs="宋体"/>
                <w:szCs w:val="21"/>
              </w:rPr>
              <w:t>近 5 年内类似勘察或市政路桥设计项目获国家级奖项每项得3分；获行业级奖项每项得 2.5 分；获省 (部) 级奖项，每项得1分；获市 (副省级) 奖项，每项得 0.5 分。</w:t>
            </w:r>
          </w:p>
          <w:p>
            <w:pPr>
              <w:rPr>
                <w:color w:val="0000FF"/>
                <w:szCs w:val="21"/>
                <w:lang w:val="zh-CN"/>
              </w:rPr>
            </w:pPr>
            <w:r>
              <w:rPr>
                <w:rFonts w:hint="eastAsia" w:ascii="宋体" w:hAnsi="宋体" w:cs="宋体"/>
                <w:szCs w:val="21"/>
              </w:rPr>
              <w:t>以上奖项合计最多得 25 分。</w:t>
            </w: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lang w:val="zh-CN"/>
              </w:rPr>
            </w:pP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lang w:val="zh-CN"/>
              </w:rPr>
            </w:pPr>
          </w:p>
        </w:tc>
      </w:tr>
      <w:tr>
        <w:trPr>
          <w:trHeight w:val="1400" w:hRule="atLeast"/>
        </w:trPr>
        <w:tc>
          <w:tcPr>
            <w:tcW w:w="54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rFonts w:ascii="宋体" w:cs="宋体"/>
                <w:szCs w:val="21"/>
                <w:lang w:val="zh-CN"/>
              </w:rPr>
            </w:pPr>
            <w:r>
              <w:rPr>
                <w:rFonts w:hint="eastAsia" w:ascii="宋体" w:cs="宋体"/>
                <w:szCs w:val="21"/>
                <w:lang w:val="zh-CN"/>
              </w:rPr>
              <w:t>四</w:t>
            </w:r>
          </w:p>
        </w:tc>
        <w:tc>
          <w:tcPr>
            <w:tcW w:w="795"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cs="宋体"/>
                <w:szCs w:val="21"/>
                <w:lang w:val="zh-CN"/>
              </w:rPr>
            </w:pPr>
            <w:r>
              <w:rPr>
                <w:rFonts w:hint="eastAsia" w:ascii="宋体" w:cs="宋体"/>
                <w:szCs w:val="21"/>
                <w:lang w:val="zh-CN"/>
              </w:rPr>
              <w:t>人员配备及技术水平</w:t>
            </w:r>
          </w:p>
        </w:tc>
        <w:tc>
          <w:tcPr>
            <w:tcW w:w="65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szCs w:val="21"/>
              </w:rPr>
            </w:pPr>
            <w:r>
              <w:rPr>
                <w:rFonts w:hint="eastAsia" w:ascii="宋体" w:hAnsi="宋体" w:cs="宋体"/>
                <w:szCs w:val="21"/>
              </w:rPr>
              <w:t>20</w:t>
            </w:r>
          </w:p>
        </w:tc>
        <w:tc>
          <w:tcPr>
            <w:tcW w:w="1105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1、项目负责人设计经历及业务能力：</w:t>
            </w:r>
          </w:p>
          <w:p>
            <w:pPr>
              <w:rPr>
                <w:rFonts w:ascii="宋体" w:hAnsi="宋体" w:cs="宋体"/>
                <w:szCs w:val="21"/>
              </w:rPr>
            </w:pPr>
            <w:r>
              <w:rPr>
                <w:rFonts w:hint="eastAsia" w:ascii="宋体" w:hAnsi="宋体" w:cs="宋体"/>
                <w:szCs w:val="21"/>
              </w:rPr>
              <w:t>设计经历在 20 年或以上，且具有市政路桥相关专业教授级高级工程师 (正高级) ，得 5 分；其余不得分。</w:t>
            </w:r>
          </w:p>
          <w:p>
            <w:pPr>
              <w:rPr>
                <w:rFonts w:ascii="宋体" w:hAnsi="宋体" w:cs="宋体"/>
                <w:szCs w:val="21"/>
              </w:rPr>
            </w:pPr>
            <w:r>
              <w:rPr>
                <w:rFonts w:hint="eastAsia" w:ascii="宋体" w:hAnsi="宋体" w:cs="宋体"/>
                <w:szCs w:val="21"/>
              </w:rPr>
              <w:t>本项最多得 5 分。</w:t>
            </w:r>
          </w:p>
          <w:p>
            <w:pPr>
              <w:autoSpaceDE w:val="0"/>
              <w:autoSpaceDN w:val="0"/>
              <w:adjustRightInd w:val="0"/>
              <w:spacing w:line="280" w:lineRule="exact"/>
              <w:rPr>
                <w:color w:val="000000" w:themeColor="text1"/>
                <w:szCs w:val="21"/>
                <w:lang w:val="zh-CN"/>
                <w14:textFill>
                  <w14:solidFill>
                    <w14:schemeClr w14:val="tx1"/>
                  </w14:solidFill>
                </w14:textFill>
              </w:rPr>
            </w:pPr>
            <w:r>
              <w:rPr>
                <w:rFonts w:hint="eastAsia" w:ascii="宋体" w:hAnsi="宋体" w:cs="宋体"/>
                <w:szCs w:val="21"/>
              </w:rPr>
              <w:t>(所提供的投入人员必须为投标单位人员，以提供的2023年5月的社保证明为准，职称、获奖需提供证明材料，设计经历以毕业证日期为准) 。</w:t>
            </w: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lang w:val="zh-CN"/>
              </w:rPr>
            </w:pP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lang w:val="zh-CN"/>
              </w:rPr>
            </w:pPr>
          </w:p>
        </w:tc>
      </w:tr>
      <w:tr>
        <w:trPr>
          <w:trHeight w:val="1261" w:hRule="atLeast"/>
        </w:trPr>
        <w:tc>
          <w:tcPr>
            <w:tcW w:w="54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rFonts w:ascii="宋体" w:cs="宋体"/>
                <w:szCs w:val="21"/>
                <w:lang w:val="zh-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cs="宋体"/>
                <w:szCs w:val="21"/>
                <w:lang w:val="zh-CN"/>
              </w:rPr>
            </w:pPr>
          </w:p>
        </w:tc>
        <w:tc>
          <w:tcPr>
            <w:tcW w:w="65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szCs w:val="21"/>
              </w:rPr>
            </w:pPr>
          </w:p>
        </w:tc>
        <w:tc>
          <w:tcPr>
            <w:tcW w:w="11056" w:type="dxa"/>
            <w:tcBorders>
              <w:top w:val="single" w:color="auto" w:sz="4" w:space="0"/>
              <w:left w:val="single" w:color="auto" w:sz="4" w:space="0"/>
              <w:bottom w:val="single" w:color="auto" w:sz="4" w:space="0"/>
              <w:right w:val="single" w:color="auto" w:sz="4" w:space="0"/>
            </w:tcBorders>
            <w:vAlign w:val="center"/>
          </w:tcPr>
          <w:p>
            <w:pPr>
              <w:pStyle w:val="54"/>
              <w:wordWrap w:val="0"/>
              <w:topLinePunct/>
              <w:adjustRightInd w:val="0"/>
              <w:spacing w:line="28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2、各专业负责</w:t>
            </w:r>
            <w:r>
              <w:rPr>
                <w:rFonts w:hint="eastAsia" w:ascii="宋体" w:hAnsi="宋体" w:cs="宋体"/>
                <w:color w:val="000000" w:themeColor="text1"/>
                <w:szCs w:val="21"/>
                <w:highlight w:val="none"/>
                <w14:textFill>
                  <w14:solidFill>
                    <w14:schemeClr w14:val="tx1"/>
                  </w14:solidFill>
                </w14:textFill>
              </w:rPr>
              <w:t>人设计经历及业务能力：</w:t>
            </w:r>
          </w:p>
          <w:p>
            <w:pPr>
              <w:pStyle w:val="54"/>
              <w:wordWrap w:val="0"/>
              <w:topLinePunct/>
              <w:adjustRightInd w:val="0"/>
              <w:spacing w:line="28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(1)各专业负责人 </w:t>
            </w:r>
            <w:r>
              <w:rPr>
                <w:rFonts w:hint="eastAsia" w:ascii="宋体" w:hAnsi="宋体" w:cs="宋体"/>
                <w:b/>
                <w:bCs/>
                <w:color w:val="000000" w:themeColor="text1"/>
                <w:szCs w:val="21"/>
                <w:highlight w:val="none"/>
                <w14:textFill>
                  <w14:solidFill>
                    <w14:schemeClr w14:val="tx1"/>
                  </w14:solidFill>
                </w14:textFill>
              </w:rPr>
              <w:t>(道路、排水、电气、绿化、交通) 中为注册结构工程师或注册公用设备工程师或注册土木工程师或高级 (或以上) 工程师的</w:t>
            </w:r>
            <w:r>
              <w:rPr>
                <w:rFonts w:hint="eastAsia" w:ascii="宋体" w:hAnsi="宋体" w:cs="宋体"/>
                <w:color w:val="000000" w:themeColor="text1"/>
                <w:szCs w:val="21"/>
                <w:highlight w:val="none"/>
                <w14:textFill>
                  <w14:solidFill>
                    <w14:schemeClr w14:val="tx1"/>
                  </w14:solidFill>
                </w14:textFill>
              </w:rPr>
              <w:t>，每</w:t>
            </w:r>
            <w:r>
              <w:rPr>
                <w:rFonts w:hint="eastAsia" w:ascii="宋体" w:hAnsi="宋体" w:cs="宋体"/>
                <w:color w:val="000000" w:themeColor="text1"/>
                <w:szCs w:val="21"/>
                <w14:textFill>
                  <w14:solidFill>
                    <w14:schemeClr w14:val="tx1"/>
                  </w14:solidFill>
                </w14:textFill>
              </w:rPr>
              <w:t xml:space="preserve"> 1 名得1.5 分，其它不得分。本项最高得9分。(同一人员具备多个证书的取最高分值，不得重复计算)</w:t>
            </w:r>
          </w:p>
          <w:p>
            <w:pPr>
              <w:pStyle w:val="54"/>
              <w:wordWrap w:val="0"/>
              <w:topLinePunct/>
              <w:adjustRightInd w:val="0"/>
              <w:spacing w:line="28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(2)2018年1月1日至今各专业负责人，每 1 名参与过的市政项目获国家级奖项每项得 2 分；获行业级奖项，每项得 1.5 分；获得省部级奖项的，每项得 1 分；获市 (副省级) 奖项，每项得 0.5 分。 本项最高得6分。</w:t>
            </w:r>
          </w:p>
          <w:p>
            <w:pPr>
              <w:pStyle w:val="54"/>
              <w:wordWrap w:val="0"/>
              <w:topLinePunct/>
              <w:adjustRightInd w:val="0"/>
              <w:spacing w:line="28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以上各项合计最多得 15 分。</w:t>
            </w:r>
          </w:p>
          <w:p>
            <w:pPr>
              <w:rPr>
                <w:rFonts w:ascii="宋体" w:hAnsi="宋体" w:cs="宋体"/>
                <w:color w:val="000000"/>
                <w:szCs w:val="21"/>
                <w:lang w:val="zh-CN"/>
              </w:rPr>
            </w:pPr>
            <w:r>
              <w:rPr>
                <w:rFonts w:hint="eastAsia" w:ascii="宋体" w:hAnsi="宋体" w:cs="宋体"/>
                <w:color w:val="000000" w:themeColor="text1"/>
                <w:szCs w:val="21"/>
                <w14:textFill>
                  <w14:solidFill>
                    <w14:schemeClr w14:val="tx1"/>
                  </w14:solidFill>
                </w14:textFill>
              </w:rPr>
              <w:t>(所提供的投入人员必须为投标单位人员，以提供的202</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年5月的社保证明为准，职称、注册执业资格、业绩获奖需提供证明材料) 。</w:t>
            </w: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highlight w:val="yellow"/>
                <w:lang w:val="zh-CN"/>
              </w:rPr>
            </w:pPr>
          </w:p>
        </w:tc>
        <w:tc>
          <w:tcPr>
            <w:tcW w:w="63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center"/>
              <w:rPr>
                <w:szCs w:val="21"/>
                <w:highlight w:val="yellow"/>
                <w:lang w:val="zh-CN"/>
              </w:rPr>
            </w:pPr>
          </w:p>
        </w:tc>
      </w:tr>
      <w:tr>
        <w:tblPrEx>
          <w:tblCellMar>
            <w:top w:w="0" w:type="dxa"/>
            <w:left w:w="108" w:type="dxa"/>
            <w:bottom w:w="0" w:type="dxa"/>
            <w:right w:w="108" w:type="dxa"/>
          </w:tblCellMar>
        </w:tblPrEx>
        <w:trPr>
          <w:trHeight w:val="711" w:hRule="atLeast"/>
        </w:trPr>
        <w:tc>
          <w:tcPr>
            <w:tcW w:w="54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szCs w:val="21"/>
              </w:rPr>
            </w:pPr>
            <w:r>
              <w:rPr>
                <w:rFonts w:hint="eastAsia"/>
                <w:szCs w:val="21"/>
              </w:rPr>
              <w:t>五</w:t>
            </w:r>
          </w:p>
        </w:tc>
        <w:tc>
          <w:tcPr>
            <w:tcW w:w="79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宋体" w:cs="宋体"/>
                <w:szCs w:val="21"/>
                <w:lang w:val="zh-CN"/>
              </w:rPr>
            </w:pPr>
            <w:r>
              <w:rPr>
                <w:rFonts w:hint="eastAsia" w:ascii="宋体" w:cs="宋体"/>
                <w:szCs w:val="21"/>
                <w:lang w:val="zh-CN"/>
              </w:rPr>
              <w:t>服务及措施</w:t>
            </w:r>
          </w:p>
        </w:tc>
        <w:tc>
          <w:tcPr>
            <w:tcW w:w="6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260" w:lineRule="exact"/>
              <w:jc w:val="center"/>
              <w:rPr>
                <w:color w:val="FF0000"/>
                <w:szCs w:val="21"/>
              </w:rPr>
            </w:pPr>
            <w:r>
              <w:rPr>
                <w:rFonts w:hint="eastAsia"/>
                <w:color w:val="000000"/>
                <w:szCs w:val="21"/>
              </w:rPr>
              <w:t>5</w:t>
            </w:r>
          </w:p>
        </w:tc>
        <w:tc>
          <w:tcPr>
            <w:tcW w:w="11056"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260" w:lineRule="exact"/>
              <w:rPr>
                <w:color w:val="000000"/>
                <w:szCs w:val="21"/>
              </w:rPr>
            </w:pPr>
            <w:r>
              <w:rPr>
                <w:rFonts w:hint="eastAsia" w:ascii="宋体" w:hAnsi="宋体" w:cs="宋体"/>
                <w:szCs w:val="21"/>
              </w:rPr>
              <w:t>有针对本项目所制定的设计进度安排、质量保证措施、协助业主确保工程质量、控制工程规模、降低工程 造价、减少设计变更等措施的得 5 分。无得 0 分。</w:t>
            </w:r>
          </w:p>
        </w:tc>
        <w:tc>
          <w:tcPr>
            <w:tcW w:w="630" w:type="dxa"/>
            <w:tcBorders>
              <w:top w:val="single" w:color="auto" w:sz="4" w:space="0"/>
              <w:left w:val="single" w:color="auto" w:sz="6" w:space="0"/>
              <w:bottom w:val="single" w:color="auto" w:sz="6" w:space="0"/>
              <w:right w:val="single" w:color="auto" w:sz="6" w:space="0"/>
            </w:tcBorders>
          </w:tcPr>
          <w:p>
            <w:pPr>
              <w:autoSpaceDE w:val="0"/>
              <w:autoSpaceDN w:val="0"/>
              <w:adjustRightInd w:val="0"/>
              <w:spacing w:line="400" w:lineRule="exact"/>
              <w:jc w:val="center"/>
              <w:rPr>
                <w:szCs w:val="21"/>
                <w:lang w:val="zh-CN"/>
              </w:rPr>
            </w:pPr>
          </w:p>
        </w:tc>
        <w:tc>
          <w:tcPr>
            <w:tcW w:w="630" w:type="dxa"/>
            <w:tcBorders>
              <w:top w:val="single" w:color="auto" w:sz="4" w:space="0"/>
              <w:left w:val="single" w:color="auto" w:sz="6" w:space="0"/>
              <w:bottom w:val="single" w:color="auto" w:sz="6" w:space="0"/>
              <w:right w:val="single" w:color="auto" w:sz="6" w:space="0"/>
            </w:tcBorders>
          </w:tcPr>
          <w:p>
            <w:pPr>
              <w:autoSpaceDE w:val="0"/>
              <w:autoSpaceDN w:val="0"/>
              <w:adjustRightInd w:val="0"/>
              <w:spacing w:line="400" w:lineRule="exact"/>
              <w:jc w:val="center"/>
              <w:rPr>
                <w:szCs w:val="21"/>
                <w:lang w:val="zh-CN"/>
              </w:rPr>
            </w:pPr>
          </w:p>
        </w:tc>
      </w:tr>
      <w:tr>
        <w:trPr>
          <w:trHeight w:val="865" w:hRule="atLeast"/>
        </w:trPr>
        <w:tc>
          <w:tcPr>
            <w:tcW w:w="540"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宋体" w:cs="宋体"/>
                <w:szCs w:val="21"/>
                <w:lang w:val="zh-CN"/>
              </w:rPr>
            </w:pPr>
            <w:r>
              <w:rPr>
                <w:rFonts w:hint="eastAsia" w:ascii="宋体" w:cs="宋体"/>
                <w:szCs w:val="21"/>
                <w:lang w:val="zh-CN"/>
              </w:rPr>
              <w:t>六</w:t>
            </w:r>
          </w:p>
        </w:tc>
        <w:tc>
          <w:tcPr>
            <w:tcW w:w="795"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宋体" w:cs="宋体"/>
                <w:szCs w:val="21"/>
                <w:lang w:val="zh-CN"/>
              </w:rPr>
            </w:pPr>
            <w:r>
              <w:rPr>
                <w:rFonts w:hint="eastAsia" w:ascii="宋体" w:cs="宋体"/>
                <w:szCs w:val="21"/>
                <w:lang w:val="zh-CN"/>
              </w:rPr>
              <w:t>信誉</w:t>
            </w:r>
          </w:p>
        </w:tc>
        <w:tc>
          <w:tcPr>
            <w:tcW w:w="650"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260" w:lineRule="exact"/>
              <w:jc w:val="center"/>
              <w:rPr>
                <w:szCs w:val="21"/>
              </w:rPr>
            </w:pPr>
            <w:r>
              <w:rPr>
                <w:rFonts w:hint="eastAsia" w:ascii="宋体" w:hAnsi="宋体" w:cs="宋体"/>
                <w:szCs w:val="21"/>
              </w:rPr>
              <w:t>20</w:t>
            </w:r>
          </w:p>
        </w:tc>
        <w:tc>
          <w:tcPr>
            <w:tcW w:w="1105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rPr>
                <w:lang w:val="zh-CN"/>
              </w:rPr>
            </w:pPr>
            <w:r>
              <w:rPr>
                <w:rFonts w:hint="eastAsia"/>
                <w:lang w:val="zh-CN"/>
              </w:rPr>
              <w:t xml:space="preserve">投标人连续八年或以上(须含 2022 年度)被评为纳税信用A 级纳税人称号的得 5 分，连续5-7年得 3 分，连续2-4年得 1 分，其余情况不得分，本项最多得 5 分。 </w:t>
            </w:r>
          </w:p>
          <w:p>
            <w:pPr>
              <w:pStyle w:val="22"/>
              <w:ind w:left="0" w:leftChars="0"/>
              <w:rPr>
                <w:lang w:val="zh-CN"/>
              </w:rPr>
            </w:pPr>
            <w:r>
              <w:rPr>
                <w:rFonts w:hint="eastAsia"/>
                <w:lang w:val="zh-CN"/>
              </w:rPr>
              <w:t>注：“A级纳税人”称号须提供国家税务总局或其省级（含直辖市）税务局查询网页（http://www.chinatax.gov.cn/）信息截图。时间以国家税务总局或其省级（含直辖市）税务局网站纳税信用信息查询结果的网页截图公布的评价年度为准，上述资料显示的企业全称须与投标单位名称一致，只计算投标人自身（不计算投标人的分公司、子公司和分支机构），否则不得分。</w:t>
            </w:r>
          </w:p>
        </w:tc>
        <w:tc>
          <w:tcPr>
            <w:tcW w:w="630" w:type="dxa"/>
            <w:tcBorders>
              <w:top w:val="single" w:color="auto" w:sz="6" w:space="0"/>
              <w:left w:val="single" w:color="auto" w:sz="6" w:space="0"/>
              <w:bottom w:val="single" w:color="auto" w:sz="4" w:space="0"/>
              <w:right w:val="single" w:color="auto" w:sz="6" w:space="0"/>
            </w:tcBorders>
          </w:tcPr>
          <w:p>
            <w:pPr>
              <w:autoSpaceDE w:val="0"/>
              <w:autoSpaceDN w:val="0"/>
              <w:adjustRightInd w:val="0"/>
              <w:spacing w:line="400" w:lineRule="exact"/>
              <w:jc w:val="center"/>
              <w:rPr>
                <w:szCs w:val="21"/>
              </w:rPr>
            </w:pPr>
          </w:p>
        </w:tc>
        <w:tc>
          <w:tcPr>
            <w:tcW w:w="630" w:type="dxa"/>
            <w:tcBorders>
              <w:top w:val="single" w:color="auto" w:sz="6" w:space="0"/>
              <w:left w:val="single" w:color="auto" w:sz="6" w:space="0"/>
              <w:bottom w:val="single" w:color="auto" w:sz="4" w:space="0"/>
              <w:right w:val="single" w:color="auto" w:sz="6" w:space="0"/>
            </w:tcBorders>
          </w:tcPr>
          <w:p>
            <w:pPr>
              <w:autoSpaceDE w:val="0"/>
              <w:autoSpaceDN w:val="0"/>
              <w:adjustRightInd w:val="0"/>
              <w:spacing w:line="400" w:lineRule="exact"/>
              <w:jc w:val="center"/>
              <w:rPr>
                <w:szCs w:val="21"/>
              </w:rPr>
            </w:pPr>
          </w:p>
        </w:tc>
      </w:tr>
      <w:tr>
        <w:trPr>
          <w:trHeight w:val="174" w:hRule="atLeast"/>
        </w:trPr>
        <w:tc>
          <w:tcPr>
            <w:tcW w:w="540" w:type="dxa"/>
            <w:vMerge w:val="continue"/>
            <w:tcBorders>
              <w:left w:val="single" w:color="auto" w:sz="6" w:space="0"/>
              <w:right w:val="single" w:color="auto" w:sz="6" w:space="0"/>
            </w:tcBorders>
            <w:vAlign w:val="center"/>
          </w:tcPr>
          <w:p>
            <w:pPr>
              <w:autoSpaceDE w:val="0"/>
              <w:autoSpaceDN w:val="0"/>
              <w:adjustRightInd w:val="0"/>
              <w:spacing w:line="400" w:lineRule="exact"/>
            </w:pPr>
          </w:p>
        </w:tc>
        <w:tc>
          <w:tcPr>
            <w:tcW w:w="795" w:type="dxa"/>
            <w:vMerge w:val="continue"/>
            <w:tcBorders>
              <w:left w:val="single" w:color="auto" w:sz="6" w:space="0"/>
              <w:right w:val="single" w:color="auto" w:sz="6" w:space="0"/>
            </w:tcBorders>
            <w:vAlign w:val="center"/>
          </w:tcPr>
          <w:p>
            <w:pPr>
              <w:autoSpaceDE w:val="0"/>
              <w:autoSpaceDN w:val="0"/>
              <w:adjustRightInd w:val="0"/>
              <w:spacing w:line="400" w:lineRule="exact"/>
              <w:jc w:val="center"/>
            </w:pPr>
          </w:p>
        </w:tc>
        <w:tc>
          <w:tcPr>
            <w:tcW w:w="650" w:type="dxa"/>
            <w:vMerge w:val="continue"/>
            <w:tcBorders>
              <w:left w:val="single" w:color="auto" w:sz="6" w:space="0"/>
              <w:right w:val="single" w:color="auto" w:sz="6" w:space="0"/>
            </w:tcBorders>
            <w:vAlign w:val="center"/>
          </w:tcPr>
          <w:p>
            <w:pPr>
              <w:autoSpaceDE w:val="0"/>
              <w:autoSpaceDN w:val="0"/>
              <w:adjustRightInd w:val="0"/>
              <w:spacing w:line="400" w:lineRule="exact"/>
              <w:jc w:val="center"/>
            </w:pPr>
          </w:p>
        </w:tc>
        <w:tc>
          <w:tcPr>
            <w:tcW w:w="11056" w:type="dxa"/>
            <w:tcBorders>
              <w:top w:val="single" w:color="auto" w:sz="4" w:space="0"/>
              <w:left w:val="single" w:color="auto" w:sz="6" w:space="0"/>
              <w:right w:val="single" w:color="auto" w:sz="6" w:space="0"/>
            </w:tcBorders>
            <w:vAlign w:val="center"/>
          </w:tcPr>
          <w:p>
            <w:pPr>
              <w:autoSpaceDE w:val="0"/>
              <w:autoSpaceDN w:val="0"/>
              <w:adjustRightInd w:val="0"/>
              <w:spacing w:line="400" w:lineRule="exact"/>
              <w:rPr>
                <w:rFonts w:ascii="宋体" w:hAnsi="宋体" w:cs="宋体"/>
                <w:szCs w:val="21"/>
              </w:rPr>
            </w:pPr>
            <w:r>
              <w:rPr>
                <w:rFonts w:hint="eastAsia" w:ascii="宋体" w:hAnsi="宋体" w:cs="宋体"/>
                <w:szCs w:val="21"/>
              </w:rPr>
              <w:t>投标人获得省级或以上市政行业协会颁发的(勘察设计)企业信用等级评价 AAAAA 级证书的得 5 分，获AAAA 级的得3 分，获 AAA级的得 1分，其余情况不得分。</w:t>
            </w:r>
          </w:p>
          <w:p>
            <w:pPr>
              <w:pStyle w:val="22"/>
              <w:ind w:left="0" w:leftChars="0"/>
              <w:rPr>
                <w:rFonts w:ascii="宋体" w:cs="宋体"/>
                <w:color w:val="000000"/>
                <w:szCs w:val="21"/>
                <w:lang w:val="zh-CN"/>
              </w:rPr>
            </w:pPr>
            <w:r>
              <w:rPr>
                <w:rFonts w:hint="eastAsia"/>
              </w:rPr>
              <w:t>注：提供相关证书扫描件并加盖投标人电子印章，否则不得分。</w:t>
            </w:r>
          </w:p>
        </w:tc>
        <w:tc>
          <w:tcPr>
            <w:tcW w:w="630" w:type="dxa"/>
            <w:tcBorders>
              <w:top w:val="single" w:color="auto" w:sz="4" w:space="0"/>
              <w:left w:val="single" w:color="auto" w:sz="6" w:space="0"/>
              <w:bottom w:val="single" w:color="auto" w:sz="4" w:space="0"/>
              <w:right w:val="single" w:color="auto" w:sz="6" w:space="0"/>
            </w:tcBorders>
          </w:tcPr>
          <w:p>
            <w:pPr>
              <w:autoSpaceDE w:val="0"/>
              <w:autoSpaceDN w:val="0"/>
              <w:adjustRightInd w:val="0"/>
              <w:spacing w:line="400" w:lineRule="exact"/>
              <w:rPr>
                <w:rFonts w:ascii="宋体" w:cs="宋体"/>
                <w:color w:val="000000"/>
                <w:szCs w:val="21"/>
                <w:lang w:val="zh-CN"/>
              </w:rPr>
            </w:pPr>
          </w:p>
        </w:tc>
        <w:tc>
          <w:tcPr>
            <w:tcW w:w="630" w:type="dxa"/>
            <w:tcBorders>
              <w:top w:val="single" w:color="auto" w:sz="4" w:space="0"/>
              <w:left w:val="single" w:color="auto" w:sz="6" w:space="0"/>
              <w:bottom w:val="single" w:color="auto" w:sz="4" w:space="0"/>
              <w:right w:val="single" w:color="auto" w:sz="6" w:space="0"/>
            </w:tcBorders>
          </w:tcPr>
          <w:p>
            <w:pPr>
              <w:autoSpaceDE w:val="0"/>
              <w:autoSpaceDN w:val="0"/>
              <w:adjustRightInd w:val="0"/>
              <w:spacing w:line="400" w:lineRule="exact"/>
              <w:rPr>
                <w:rFonts w:ascii="宋体" w:cs="宋体"/>
                <w:color w:val="000000"/>
                <w:szCs w:val="21"/>
                <w:lang w:val="zh-CN"/>
              </w:rPr>
            </w:pPr>
          </w:p>
        </w:tc>
      </w:tr>
      <w:tr>
        <w:tblPrEx>
          <w:tblCellMar>
            <w:top w:w="0" w:type="dxa"/>
            <w:left w:w="108" w:type="dxa"/>
            <w:bottom w:w="0" w:type="dxa"/>
            <w:right w:w="108" w:type="dxa"/>
          </w:tblCellMar>
        </w:tblPrEx>
        <w:trPr>
          <w:trHeight w:val="799" w:hRule="atLeast"/>
        </w:trPr>
        <w:tc>
          <w:tcPr>
            <w:tcW w:w="540" w:type="dxa"/>
            <w:vMerge w:val="continue"/>
            <w:tcBorders>
              <w:left w:val="single" w:color="auto" w:sz="6" w:space="0"/>
              <w:right w:val="single" w:color="auto" w:sz="6" w:space="0"/>
            </w:tcBorders>
            <w:vAlign w:val="center"/>
          </w:tcPr>
          <w:p>
            <w:pPr>
              <w:autoSpaceDE w:val="0"/>
              <w:autoSpaceDN w:val="0"/>
              <w:adjustRightInd w:val="0"/>
              <w:spacing w:line="400" w:lineRule="exact"/>
              <w:rPr>
                <w:rFonts w:ascii="宋体" w:cs="宋体"/>
                <w:color w:val="000000"/>
                <w:szCs w:val="21"/>
                <w:lang w:val="zh-CN"/>
              </w:rPr>
            </w:pPr>
          </w:p>
        </w:tc>
        <w:tc>
          <w:tcPr>
            <w:tcW w:w="795" w:type="dxa"/>
            <w:vMerge w:val="continue"/>
            <w:tcBorders>
              <w:left w:val="single" w:color="auto" w:sz="6" w:space="0"/>
              <w:right w:val="single" w:color="auto" w:sz="6" w:space="0"/>
            </w:tcBorders>
            <w:vAlign w:val="center"/>
          </w:tcPr>
          <w:p>
            <w:pPr>
              <w:autoSpaceDE w:val="0"/>
              <w:autoSpaceDN w:val="0"/>
              <w:adjustRightInd w:val="0"/>
              <w:spacing w:line="400" w:lineRule="exact"/>
              <w:jc w:val="center"/>
              <w:rPr>
                <w:rFonts w:ascii="宋体" w:cs="宋体"/>
                <w:color w:val="000000"/>
                <w:szCs w:val="21"/>
                <w:lang w:val="zh-CN"/>
              </w:rPr>
            </w:pPr>
          </w:p>
        </w:tc>
        <w:tc>
          <w:tcPr>
            <w:tcW w:w="650" w:type="dxa"/>
            <w:vMerge w:val="continue"/>
            <w:tcBorders>
              <w:left w:val="single" w:color="auto" w:sz="6" w:space="0"/>
              <w:right w:val="single" w:color="auto" w:sz="6" w:space="0"/>
            </w:tcBorders>
            <w:vAlign w:val="center"/>
          </w:tcPr>
          <w:p>
            <w:pPr>
              <w:autoSpaceDE w:val="0"/>
              <w:autoSpaceDN w:val="0"/>
              <w:adjustRightInd w:val="0"/>
              <w:spacing w:line="400" w:lineRule="exact"/>
              <w:jc w:val="center"/>
              <w:rPr>
                <w:rFonts w:ascii="宋体" w:cs="宋体"/>
                <w:color w:val="000000"/>
                <w:szCs w:val="21"/>
                <w:lang w:val="zh-CN"/>
              </w:rPr>
            </w:pPr>
          </w:p>
        </w:tc>
        <w:tc>
          <w:tcPr>
            <w:tcW w:w="11056" w:type="dxa"/>
            <w:tcBorders>
              <w:top w:val="single" w:color="auto" w:sz="6" w:space="0"/>
              <w:left w:val="single" w:color="auto" w:sz="6" w:space="0"/>
              <w:right w:val="single" w:color="auto" w:sz="6" w:space="0"/>
            </w:tcBorders>
            <w:vAlign w:val="center"/>
          </w:tcPr>
          <w:p>
            <w:pPr>
              <w:autoSpaceDE w:val="0"/>
              <w:autoSpaceDN w:val="0"/>
              <w:adjustRightInd w:val="0"/>
              <w:spacing w:line="400" w:lineRule="exact"/>
              <w:rPr>
                <w:rFonts w:ascii="宋体" w:hAnsi="宋体" w:cs="宋体"/>
                <w:kern w:val="0"/>
                <w:szCs w:val="21"/>
              </w:rPr>
            </w:pPr>
            <w:r>
              <w:rPr>
                <w:rFonts w:hint="eastAsia" w:ascii="宋体" w:hAnsi="宋体" w:cs="宋体"/>
                <w:kern w:val="0"/>
                <w:szCs w:val="21"/>
              </w:rPr>
              <w:t>投标人同时具有有效期内的质量、环境、职业健康、知识产权管理体系认证证书得5分，以上证书少一个扣2分，最多扣5分；具有有效期内的工程勘察设计行业质量管理体系升级版AAA级或以上认证的加5分，其他不得分。</w:t>
            </w:r>
          </w:p>
          <w:p>
            <w:pPr>
              <w:autoSpaceDE w:val="0"/>
              <w:autoSpaceDN w:val="0"/>
              <w:adjustRightInd w:val="0"/>
              <w:spacing w:line="400" w:lineRule="exact"/>
              <w:rPr>
                <w:rFonts w:ascii="宋体" w:hAnsi="宋体" w:cs="宋体"/>
                <w:kern w:val="0"/>
                <w:szCs w:val="21"/>
              </w:rPr>
            </w:pPr>
            <w:r>
              <w:rPr>
                <w:rFonts w:hint="eastAsia" w:ascii="宋体" w:hAnsi="宋体" w:cs="宋体"/>
                <w:kern w:val="0"/>
                <w:szCs w:val="21"/>
              </w:rPr>
              <w:t>本项最多得10分。</w:t>
            </w:r>
          </w:p>
          <w:p>
            <w:pPr>
              <w:pStyle w:val="22"/>
              <w:ind w:left="0" w:leftChars="0"/>
              <w:rPr>
                <w:rFonts w:ascii="宋体" w:cs="宋体"/>
                <w:color w:val="000000"/>
                <w:szCs w:val="21"/>
                <w:lang w:val="zh-CN"/>
              </w:rPr>
            </w:pPr>
            <w:r>
              <w:rPr>
                <w:rFonts w:hint="eastAsia"/>
              </w:rPr>
              <w:t>注：提供相关证书扫描件并加盖投标人电子印章，否则不得分。</w:t>
            </w:r>
          </w:p>
        </w:tc>
        <w:tc>
          <w:tcPr>
            <w:tcW w:w="630" w:type="dxa"/>
            <w:tcBorders>
              <w:top w:val="single" w:color="auto" w:sz="4" w:space="0"/>
              <w:left w:val="single" w:color="auto" w:sz="6" w:space="0"/>
              <w:bottom w:val="single" w:color="auto" w:sz="6" w:space="0"/>
              <w:right w:val="single" w:color="auto" w:sz="6" w:space="0"/>
            </w:tcBorders>
          </w:tcPr>
          <w:p>
            <w:pPr>
              <w:autoSpaceDE w:val="0"/>
              <w:autoSpaceDN w:val="0"/>
              <w:adjustRightInd w:val="0"/>
              <w:spacing w:line="400" w:lineRule="exact"/>
              <w:rPr>
                <w:rFonts w:ascii="宋体" w:cs="宋体"/>
                <w:color w:val="000000"/>
                <w:szCs w:val="21"/>
                <w:lang w:val="zh-CN"/>
              </w:rPr>
            </w:pPr>
          </w:p>
        </w:tc>
        <w:tc>
          <w:tcPr>
            <w:tcW w:w="630" w:type="dxa"/>
            <w:tcBorders>
              <w:top w:val="single" w:color="auto" w:sz="4" w:space="0"/>
              <w:left w:val="single" w:color="auto" w:sz="6" w:space="0"/>
              <w:bottom w:val="single" w:color="auto" w:sz="6" w:space="0"/>
              <w:right w:val="single" w:color="auto" w:sz="6" w:space="0"/>
            </w:tcBorders>
          </w:tcPr>
          <w:p>
            <w:pPr>
              <w:autoSpaceDE w:val="0"/>
              <w:autoSpaceDN w:val="0"/>
              <w:adjustRightInd w:val="0"/>
              <w:spacing w:line="400" w:lineRule="exact"/>
              <w:rPr>
                <w:rFonts w:ascii="宋体" w:cs="宋体"/>
                <w:color w:val="000000"/>
                <w:szCs w:val="21"/>
                <w:lang w:val="zh-CN"/>
              </w:rPr>
            </w:pPr>
          </w:p>
        </w:tc>
      </w:tr>
      <w:tr>
        <w:trPr>
          <w:trHeight w:val="368" w:hRule="atLeast"/>
        </w:trPr>
        <w:tc>
          <w:tcPr>
            <w:tcW w:w="133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rPr>
            </w:pPr>
            <w:r>
              <w:rPr>
                <w:rFonts w:hint="eastAsia" w:ascii="宋体" w:cs="宋体"/>
                <w:szCs w:val="21"/>
                <w:lang w:val="zh-CN"/>
              </w:rPr>
              <w:t>总计</w:t>
            </w:r>
          </w:p>
        </w:tc>
        <w:tc>
          <w:tcPr>
            <w:tcW w:w="6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szCs w:val="21"/>
              </w:rPr>
            </w:pPr>
            <w:r>
              <w:rPr>
                <w:szCs w:val="21"/>
              </w:rPr>
              <w:t>100</w:t>
            </w:r>
          </w:p>
        </w:tc>
        <w:tc>
          <w:tcPr>
            <w:tcW w:w="1105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rPr>
                <w:szCs w:val="21"/>
              </w:rPr>
            </w:pPr>
          </w:p>
        </w:tc>
        <w:tc>
          <w:tcPr>
            <w:tcW w:w="63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szCs w:val="21"/>
              </w:rPr>
            </w:pPr>
          </w:p>
        </w:tc>
        <w:tc>
          <w:tcPr>
            <w:tcW w:w="63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szCs w:val="21"/>
              </w:rPr>
            </w:pPr>
          </w:p>
        </w:tc>
      </w:tr>
    </w:tbl>
    <w:p>
      <w:pPr>
        <w:spacing w:line="276" w:lineRule="auto"/>
        <w:ind w:firstLine="420" w:firstLineChars="200"/>
        <w:jc w:val="left"/>
        <w:rPr>
          <w:rFonts w:ascii="宋体" w:hAnsi="宋体" w:cs="宋体"/>
          <w:szCs w:val="21"/>
        </w:rPr>
      </w:pPr>
      <w:r>
        <w:rPr>
          <w:rFonts w:hint="eastAsia" w:ascii="宋体" w:hAnsi="宋体" w:cs="宋体"/>
        </w:rPr>
        <w:t>注</w:t>
      </w:r>
      <w:r>
        <w:rPr>
          <w:rFonts w:hint="eastAsia" w:ascii="宋体" w:hAnsi="宋体" w:cs="宋体"/>
          <w:szCs w:val="21"/>
        </w:rPr>
        <w:t>：1、设计类似业绩是指达到招标公告第</w:t>
      </w:r>
      <w:r>
        <w:rPr>
          <w:rFonts w:ascii="宋体" w:hAnsi="宋体" w:cs="宋体"/>
          <w:szCs w:val="21"/>
        </w:rPr>
        <w:t>1.2.3</w:t>
      </w:r>
      <w:r>
        <w:rPr>
          <w:rFonts w:hint="eastAsia" w:ascii="宋体" w:hAnsi="宋体" w:cs="宋体"/>
          <w:szCs w:val="21"/>
        </w:rPr>
        <w:t>（</w:t>
      </w:r>
      <w:r>
        <w:rPr>
          <w:rFonts w:ascii="宋体" w:hAnsi="宋体" w:cs="宋体"/>
          <w:szCs w:val="21"/>
        </w:rPr>
        <w:t>1</w:t>
      </w:r>
      <w:r>
        <w:rPr>
          <w:rFonts w:hint="eastAsia" w:ascii="宋体" w:hAnsi="宋体" w:cs="宋体"/>
          <w:szCs w:val="21"/>
        </w:rPr>
        <w:t>）条款所述设计资质方能承接的市政路桥设计项目，需同时提供中标通知书或项目审批部门出具的免招标的相关证明、设计合同关键页及项目初步设计批复（或初步设计会议评审纪要）或项目主体施工图审查合格证明（扫描件），时间以项目初步设计批复（或初步设计会议评审纪要）或项目主体施工图审查合格证明日期为准；勘察类似业绩是指达到招标公告第</w:t>
      </w:r>
      <w:r>
        <w:rPr>
          <w:rFonts w:ascii="宋体" w:hAnsi="宋体" w:cs="宋体"/>
          <w:szCs w:val="21"/>
        </w:rPr>
        <w:t>1.2.3</w:t>
      </w:r>
      <w:r>
        <w:rPr>
          <w:rFonts w:hint="eastAsia" w:ascii="宋体" w:hAnsi="宋体" w:cs="宋体"/>
          <w:szCs w:val="21"/>
        </w:rPr>
        <w:t>（</w:t>
      </w:r>
      <w:r>
        <w:rPr>
          <w:rFonts w:ascii="宋体" w:hAnsi="宋体" w:cs="宋体"/>
          <w:szCs w:val="21"/>
        </w:rPr>
        <w:t>2</w:t>
      </w:r>
      <w:r>
        <w:rPr>
          <w:rFonts w:hint="eastAsia" w:ascii="宋体" w:hAnsi="宋体" w:cs="宋体"/>
          <w:szCs w:val="21"/>
        </w:rPr>
        <w:t>）条款所述勘察资质方能承接的勘察项目，需同时提供中标通知书或项目审批部门出具的免招标的相关证明、勘察合同关键页及项目初步设计批复（或初步设计会议评审纪要）或项目主体施工图审查合格证明（扫描件），时间以项目初步设计批复（或初步设计会议评审纪要）或项目主体施工图审查合格证明日期为准 (同一项目含设计和勘察的按分别满足上述要求各计算一次类似设计业绩和类似勘察业绩) 。</w:t>
      </w:r>
    </w:p>
    <w:p>
      <w:pPr>
        <w:spacing w:line="276" w:lineRule="auto"/>
        <w:ind w:firstLine="420" w:firstLineChars="200"/>
        <w:jc w:val="left"/>
        <w:rPr>
          <w:rFonts w:ascii="宋体" w:hAnsi="宋体" w:cs="宋体"/>
          <w:szCs w:val="21"/>
        </w:rPr>
      </w:pPr>
      <w:r>
        <w:rPr>
          <w:rFonts w:hint="eastAsia" w:ascii="宋体" w:hAnsi="宋体" w:cs="宋体"/>
          <w:szCs w:val="21"/>
        </w:rPr>
        <w:t>2、获奖奖项是指与本次招标专业内容相对应的由住建部颁发的全国优秀工程勘察设计奖、中国勘察设计协会颁发的全国优秀工程勘察设计行业奖、省(部)级(含副省级)行业协会颁发的省(部)级(含副省级)优秀勘察设计奖；由国务院颁发的国家科学技术奖、住建部的华夏建设科学技术奖励委员会颁发的华夏建设科学技术奖、省(部)级(含副省级)人民政府颁发的省(含副省级)科学技术奖。国家级(国家科学技术奖、全国优秀工程勘察设计奖)分值＞行业级(华夏建设科学技术奖、全国优秀工程勘察设计行业奖)分值＞省(部)级(省(部)级科学技术奖、省(部)级优秀工程勘察设计奖)分值&gt;副省级(市科学技术奖、市工程勘察设计奖)分值，各级奖项的一等(金)奖、二等(银)奖、三等(铜)奖具体分值不再细分。</w:t>
      </w:r>
    </w:p>
    <w:p>
      <w:pPr>
        <w:spacing w:line="276" w:lineRule="auto"/>
        <w:ind w:firstLine="420" w:firstLineChars="200"/>
        <w:jc w:val="left"/>
        <w:rPr>
          <w:rFonts w:ascii="宋体" w:hAnsi="宋体" w:cs="宋体"/>
          <w:szCs w:val="21"/>
        </w:rPr>
      </w:pPr>
      <w:r>
        <w:rPr>
          <w:rFonts w:hint="eastAsia" w:ascii="宋体" w:hAnsi="宋体" w:cs="宋体"/>
          <w:szCs w:val="21"/>
        </w:rPr>
        <w:t>3、业绩获奖的按最高奖项只计算一次，不重复计算(获奖业绩需提供获奖证书，奖项以获奖证书日期为准) 。</w:t>
      </w:r>
    </w:p>
    <w:p>
      <w:pPr>
        <w:spacing w:line="276" w:lineRule="auto"/>
        <w:ind w:firstLine="420" w:firstLineChars="200"/>
        <w:jc w:val="left"/>
        <w:rPr>
          <w:rFonts w:ascii="宋体" w:hAnsi="宋体" w:cs="宋体"/>
          <w:szCs w:val="21"/>
        </w:rPr>
      </w:pPr>
      <w:r>
        <w:rPr>
          <w:rFonts w:hint="eastAsia" w:ascii="宋体" w:hAnsi="宋体" w:cs="宋体"/>
          <w:szCs w:val="21"/>
        </w:rPr>
        <w:t>4、近5年内是指：2018年1月1日至今。</w:t>
      </w:r>
    </w:p>
    <w:p>
      <w:pPr>
        <w:ind w:firstLine="420" w:firstLineChars="200"/>
        <w:outlineLvl w:val="0"/>
        <w:rPr>
          <w:rFonts w:ascii="宋体" w:hAnsi="宋体" w:cs="宋体"/>
          <w:szCs w:val="21"/>
        </w:rPr>
      </w:pPr>
      <w:bookmarkStart w:id="33" w:name="_Toc136263002"/>
      <w:bookmarkStart w:id="34" w:name="_Toc136262419"/>
      <w:r>
        <w:rPr>
          <w:rFonts w:hint="eastAsia" w:ascii="宋体" w:hAnsi="宋体" w:cs="宋体"/>
          <w:szCs w:val="21"/>
        </w:rPr>
        <w:t>5、如联合体投标的，勘察业绩、勘察获奖及勘察专业负责人以联合体共同投标协议中承担勘察工作的联合体成员的资料为准；其余评审内容均以联合体主办方（或牵头方）的资料为准。</w:t>
      </w:r>
      <w:bookmarkEnd w:id="33"/>
      <w:bookmarkEnd w:id="34"/>
    </w:p>
    <w:p>
      <w:pPr>
        <w:outlineLvl w:val="0"/>
      </w:pPr>
      <w:bookmarkStart w:id="35" w:name="_Toc136263003"/>
      <w:bookmarkStart w:id="36" w:name="_Toc136262420"/>
      <w:r>
        <w:rPr>
          <w:rFonts w:hint="eastAsia" w:hAnsi="宋体" w:cs="宋体"/>
          <w:szCs w:val="21"/>
        </w:rPr>
        <w:t>评委签名：                     日期：</w:t>
      </w:r>
      <w:bookmarkEnd w:id="35"/>
      <w:bookmarkEnd w:id="36"/>
    </w:p>
    <w:p>
      <w:pPr>
        <w:rPr>
          <w:rFonts w:hAnsi="宋体"/>
          <w:b/>
          <w:bCs/>
          <w:sz w:val="24"/>
        </w:rPr>
      </w:pPr>
      <w:r>
        <w:rPr>
          <w:rFonts w:hint="eastAsia" w:hAnsi="宋体"/>
          <w:b/>
          <w:bCs/>
          <w:sz w:val="24"/>
        </w:rPr>
        <w:br w:type="page"/>
      </w:r>
    </w:p>
    <w:p>
      <w:pPr>
        <w:spacing w:line="360" w:lineRule="auto"/>
        <w:rPr>
          <w:rStyle w:val="35"/>
        </w:rPr>
      </w:pPr>
      <w:bookmarkStart w:id="37" w:name="_Toc136263004"/>
      <w:r>
        <w:rPr>
          <w:rStyle w:val="35"/>
          <w:rFonts w:hint="eastAsia"/>
        </w:rPr>
        <w:t>附录</w:t>
      </w:r>
      <w:r>
        <w:rPr>
          <w:rStyle w:val="35"/>
        </w:rPr>
        <w:t>14</w:t>
      </w:r>
      <w:bookmarkEnd w:id="37"/>
    </w:p>
    <w:p>
      <w:pPr>
        <w:pStyle w:val="16"/>
        <w:jc w:val="center"/>
        <w:rPr>
          <w:rFonts w:hAnsi="宋体"/>
          <w:b/>
          <w:sz w:val="32"/>
        </w:rPr>
      </w:pPr>
      <w:r>
        <w:rPr>
          <w:rFonts w:hint="eastAsia" w:hAnsi="宋体"/>
          <w:b/>
          <w:sz w:val="32"/>
        </w:rPr>
        <w:t>技术文件有效性审查表</w:t>
      </w:r>
    </w:p>
    <w:p>
      <w:pPr>
        <w:tabs>
          <w:tab w:val="left" w:pos="720"/>
        </w:tabs>
        <w:snapToGrid w:val="0"/>
        <w:spacing w:line="360" w:lineRule="auto"/>
        <w:rPr>
          <w:rFonts w:ascii="宋体" w:hAnsi="宋体"/>
          <w:b/>
          <w:szCs w:val="21"/>
        </w:rPr>
      </w:pPr>
      <w:r>
        <w:rPr>
          <w:rFonts w:hint="eastAsia" w:ascii="宋体" w:hAnsi="宋体"/>
          <w:b/>
          <w:szCs w:val="21"/>
        </w:rPr>
        <w:t>项目名称：</w:t>
      </w:r>
    </w:p>
    <w:tbl>
      <w:tblPr>
        <w:tblStyle w:val="28"/>
        <w:tblW w:w="13785" w:type="dxa"/>
        <w:tblInd w:w="3" w:type="dxa"/>
        <w:tblLayout w:type="fixed"/>
        <w:tblCellMar>
          <w:top w:w="0" w:type="dxa"/>
          <w:left w:w="108" w:type="dxa"/>
          <w:bottom w:w="0" w:type="dxa"/>
          <w:right w:w="108" w:type="dxa"/>
        </w:tblCellMar>
      </w:tblPr>
      <w:tblGrid>
        <w:gridCol w:w="525"/>
        <w:gridCol w:w="5880"/>
        <w:gridCol w:w="1476"/>
        <w:gridCol w:w="1476"/>
        <w:gridCol w:w="1476"/>
        <w:gridCol w:w="1476"/>
        <w:gridCol w:w="1476"/>
      </w:tblGrid>
      <w:tr>
        <w:tblPrEx>
          <w:tblCellMar>
            <w:top w:w="0" w:type="dxa"/>
            <w:left w:w="108" w:type="dxa"/>
            <w:bottom w:w="0" w:type="dxa"/>
            <w:right w:w="108" w:type="dxa"/>
          </w:tblCellMar>
        </w:tblPrEx>
        <w:trPr>
          <w:trHeight w:val="717"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序号</w:t>
            </w:r>
          </w:p>
        </w:tc>
        <w:tc>
          <w:tcPr>
            <w:tcW w:w="5880" w:type="dxa"/>
            <w:tcBorders>
              <w:top w:val="single" w:color="auto" w:sz="4" w:space="0"/>
              <w:left w:val="single" w:color="auto" w:sz="4" w:space="0"/>
              <w:bottom w:val="single" w:color="auto" w:sz="4" w:space="0"/>
              <w:right w:val="single" w:color="auto" w:sz="4" w:space="0"/>
              <w:tl2br w:val="single" w:color="auto" w:sz="4" w:space="0"/>
            </w:tcBorders>
          </w:tcPr>
          <w:p>
            <w:pPr>
              <w:rPr>
                <w:rFonts w:ascii="宋体" w:hAnsi="宋体"/>
                <w:szCs w:val="21"/>
              </w:rPr>
            </w:pPr>
            <w:r>
              <w:rPr>
                <w:rFonts w:hint="eastAsia" w:ascii="宋体" w:hAnsi="宋体"/>
                <w:szCs w:val="21"/>
              </w:rPr>
              <w:t xml:space="preserve">                                      设计方案编号</w:t>
            </w:r>
          </w:p>
          <w:p>
            <w:pPr>
              <w:rPr>
                <w:rFonts w:ascii="宋体" w:hAnsi="宋体"/>
                <w:szCs w:val="21"/>
              </w:rPr>
            </w:pPr>
            <w:r>
              <w:rPr>
                <w:rFonts w:hint="eastAsia" w:ascii="宋体" w:hAnsi="宋体"/>
                <w:szCs w:val="21"/>
              </w:rPr>
              <w:t>审查项目</w:t>
            </w: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407"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i/>
                <w:szCs w:val="21"/>
              </w:rPr>
            </w:pPr>
            <w:r>
              <w:rPr>
                <w:rFonts w:hint="eastAsia" w:ascii="宋体" w:hAnsi="宋体"/>
                <w:szCs w:val="21"/>
              </w:rPr>
              <w:t>未发现投标人在设计方案内标注名称、印章、商标</w:t>
            </w:r>
            <w:r>
              <w:rPr>
                <w:rFonts w:hint="eastAsia" w:ascii="宋体" w:hAnsi="宋体" w:cs="宋体"/>
                <w:szCs w:val="21"/>
                <w:u w:val="single"/>
              </w:rPr>
              <w:t>、图形</w:t>
            </w:r>
            <w:r>
              <w:rPr>
                <w:rFonts w:hint="eastAsia" w:ascii="宋体" w:hAnsi="宋体"/>
                <w:szCs w:val="21"/>
              </w:rPr>
              <w:t>等记认符号（或使人辨认出投标人或其专业技术人员的身份）或投标报价信息。</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441"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2</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未发现互相雷同和串通投标</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441"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3</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未发现明显抄袭行为</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349"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4</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未发现侵犯他人著作权和特许权</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349"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5</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00" w:lineRule="atLeast"/>
              <w:rPr>
                <w:rFonts w:ascii="宋体" w:hAnsi="宋体"/>
                <w:szCs w:val="21"/>
              </w:rPr>
            </w:pPr>
            <w:r>
              <w:rPr>
                <w:rFonts w:hint="eastAsia" w:ascii="宋体" w:hAnsi="宋体"/>
                <w:szCs w:val="21"/>
              </w:rPr>
              <w:t>按第三章投标文件编制要求编制投标文件</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CellMar>
            <w:top w:w="0" w:type="dxa"/>
            <w:left w:w="108" w:type="dxa"/>
            <w:bottom w:w="0" w:type="dxa"/>
            <w:right w:w="108" w:type="dxa"/>
          </w:tblCellMar>
        </w:tblPrEx>
        <w:trPr>
          <w:trHeight w:val="20"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结论</w:t>
            </w:r>
          </w:p>
        </w:tc>
        <w:tc>
          <w:tcPr>
            <w:tcW w:w="588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szCs w:val="21"/>
              </w:rPr>
            </w:pPr>
            <w:r>
              <w:rPr>
                <w:rFonts w:hint="eastAsia"/>
                <w:szCs w:val="21"/>
              </w:rPr>
              <w:t>是否通过并进入下一阶段评审</w:t>
            </w:r>
          </w:p>
        </w:tc>
        <w:tc>
          <w:tcPr>
            <w:tcW w:w="147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shd w:val="pct10" w:color="auto" w:fill="FFFFFF"/>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shd w:val="pct10" w:color="auto" w:fill="FFFFFF"/>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shd w:val="pct10" w:color="auto" w:fill="FFFFFF"/>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shd w:val="pct10" w:color="auto" w:fill="FFFFFF"/>
              </w:rPr>
            </w:pPr>
          </w:p>
        </w:tc>
        <w:tc>
          <w:tcPr>
            <w:tcW w:w="1476" w:type="dxa"/>
            <w:tcBorders>
              <w:top w:val="single" w:color="auto" w:sz="4" w:space="0"/>
              <w:left w:val="single" w:color="auto" w:sz="4" w:space="0"/>
              <w:bottom w:val="single" w:color="auto" w:sz="4" w:space="0"/>
              <w:right w:val="single" w:color="auto" w:sz="4" w:space="0"/>
            </w:tcBorders>
          </w:tcPr>
          <w:p>
            <w:pPr>
              <w:rPr>
                <w:rFonts w:ascii="宋体" w:hAnsi="宋体"/>
                <w:szCs w:val="21"/>
                <w:shd w:val="pct10" w:color="auto" w:fill="FFFFFF"/>
              </w:rPr>
            </w:pPr>
          </w:p>
        </w:tc>
      </w:tr>
    </w:tbl>
    <w:p>
      <w:pPr>
        <w:tabs>
          <w:tab w:val="left" w:pos="720"/>
        </w:tabs>
        <w:snapToGrid w:val="0"/>
        <w:spacing w:before="160" w:beforeLines="50"/>
        <w:rPr>
          <w:rFonts w:ascii="宋体" w:hAnsi="Courier New"/>
          <w:szCs w:val="21"/>
        </w:rPr>
      </w:pPr>
      <w:r>
        <w:rPr>
          <w:rFonts w:hint="eastAsia" w:ascii="宋体" w:hAnsi="Courier New"/>
          <w:szCs w:val="21"/>
        </w:rPr>
        <w:t>备注：1、根据本表的审查项目，填“是”或“否”。</w:t>
      </w:r>
    </w:p>
    <w:p>
      <w:pPr>
        <w:tabs>
          <w:tab w:val="left" w:pos="720"/>
        </w:tabs>
        <w:snapToGrid w:val="0"/>
        <w:spacing w:before="160" w:beforeLines="50"/>
        <w:ind w:firstLine="630" w:firstLineChars="300"/>
        <w:rPr>
          <w:rFonts w:ascii="宋体" w:hAnsi="Courier New"/>
          <w:szCs w:val="21"/>
        </w:rPr>
      </w:pPr>
      <w:r>
        <w:rPr>
          <w:rFonts w:hint="eastAsia" w:ascii="宋体" w:hAnsi="Courier New"/>
          <w:szCs w:val="21"/>
        </w:rPr>
        <w:t>2、表中出现一个或以上“否”，即该投标人的评审“结论”为“否”，即该投标人不进入下一阶段评审</w:t>
      </w:r>
      <w:r>
        <w:rPr>
          <w:rFonts w:hint="eastAsia"/>
          <w:sz w:val="24"/>
        </w:rPr>
        <w:t>。</w:t>
      </w:r>
    </w:p>
    <w:p>
      <w:pPr>
        <w:tabs>
          <w:tab w:val="left" w:pos="720"/>
        </w:tabs>
        <w:snapToGrid w:val="0"/>
        <w:spacing w:before="160" w:beforeLines="50"/>
        <w:ind w:firstLine="630" w:firstLineChars="300"/>
        <w:rPr>
          <w:rFonts w:ascii="宋体" w:hAnsi="Courier New"/>
          <w:szCs w:val="21"/>
        </w:rPr>
      </w:pPr>
      <w:r>
        <w:rPr>
          <w:rFonts w:hint="eastAsia" w:ascii="宋体" w:hAnsi="Courier New"/>
          <w:szCs w:val="21"/>
        </w:rPr>
        <w:t>3、表中全部评审结果为“是”，视为同意进入下一阶段评审。</w:t>
      </w:r>
    </w:p>
    <w:p>
      <w:pPr>
        <w:tabs>
          <w:tab w:val="left" w:pos="720"/>
        </w:tabs>
        <w:snapToGrid w:val="0"/>
        <w:spacing w:before="160" w:beforeLines="50"/>
        <w:ind w:left="945" w:leftChars="300" w:hanging="315" w:hangingChars="150"/>
        <w:rPr>
          <w:rFonts w:ascii="宋体" w:hAnsi="Courier New"/>
          <w:szCs w:val="21"/>
        </w:rPr>
      </w:pPr>
      <w:r>
        <w:rPr>
          <w:rFonts w:hint="eastAsia" w:ascii="宋体" w:hAnsi="Courier New"/>
          <w:szCs w:val="21"/>
        </w:rPr>
        <w:t>4、若评委意见不一致时，则按少数服从多数的原则，决定该投标人是否通过符合性审查，进入下一阶段评审。</w:t>
      </w:r>
    </w:p>
    <w:p>
      <w:pPr>
        <w:tabs>
          <w:tab w:val="left" w:pos="720"/>
          <w:tab w:val="left" w:pos="840"/>
        </w:tabs>
        <w:snapToGrid w:val="0"/>
        <w:spacing w:before="160" w:beforeLines="50"/>
        <w:ind w:left="644" w:leftChars="300" w:hanging="14" w:hangingChars="7"/>
        <w:rPr>
          <w:rFonts w:ascii="宋体" w:hAnsi="Courier New"/>
          <w:szCs w:val="21"/>
        </w:rPr>
      </w:pPr>
      <w:r>
        <w:rPr>
          <w:rFonts w:hint="eastAsia" w:ascii="宋体" w:hAnsi="Courier New"/>
          <w:szCs w:val="21"/>
        </w:rPr>
        <w:t>5、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pStyle w:val="16"/>
        <w:rPr>
          <w:rFonts w:hAnsi="宋体"/>
          <w:b/>
          <w:sz w:val="32"/>
        </w:rPr>
      </w:pPr>
      <w:r>
        <w:rPr>
          <w:rFonts w:hint="eastAsia"/>
          <w:szCs w:val="21"/>
        </w:rPr>
        <w:t>评委签名：                     日期：</w:t>
      </w:r>
    </w:p>
    <w:p>
      <w:pPr>
        <w:spacing w:line="360" w:lineRule="auto"/>
        <w:rPr>
          <w:rFonts w:ascii="宋体" w:hAnsi="宋体"/>
          <w:b/>
          <w:bCs/>
          <w:szCs w:val="21"/>
        </w:rPr>
      </w:pPr>
    </w:p>
    <w:p>
      <w:pPr>
        <w:spacing w:line="360" w:lineRule="auto"/>
        <w:rPr>
          <w:rFonts w:ascii="宋体" w:hAnsi="宋体"/>
          <w:sz w:val="24"/>
        </w:rPr>
      </w:pPr>
    </w:p>
    <w:p>
      <w:pPr>
        <w:spacing w:line="360" w:lineRule="auto"/>
        <w:rPr>
          <w:rStyle w:val="35"/>
        </w:rPr>
      </w:pPr>
      <w:bookmarkStart w:id="38" w:name="_Toc136263005"/>
      <w:r>
        <w:rPr>
          <w:rStyle w:val="35"/>
          <w:rFonts w:hint="eastAsia"/>
        </w:rPr>
        <w:t>附录</w:t>
      </w:r>
      <w:r>
        <w:rPr>
          <w:rStyle w:val="35"/>
        </w:rPr>
        <w:t>15</w:t>
      </w:r>
      <w:r>
        <w:rPr>
          <w:rStyle w:val="35"/>
          <w:rFonts w:hint="eastAsia"/>
        </w:rPr>
        <w:t>（适用于综合评分法）</w:t>
      </w:r>
      <w:bookmarkEnd w:id="38"/>
    </w:p>
    <w:p>
      <w:pPr>
        <w:topLinePunct/>
        <w:spacing w:line="360" w:lineRule="auto"/>
        <w:jc w:val="center"/>
        <w:rPr>
          <w:rFonts w:ascii="宋体" w:hAnsi="宋体" w:cs="宋体"/>
        </w:rPr>
      </w:pPr>
      <w:r>
        <w:rPr>
          <w:rFonts w:hint="eastAsia" w:ascii="宋体" w:hAnsi="宋体"/>
          <w:b/>
          <w:bCs/>
          <w:sz w:val="32"/>
          <w:szCs w:val="32"/>
        </w:rPr>
        <w:t>技术文件综合评分表</w:t>
      </w:r>
    </w:p>
    <w:p>
      <w:pPr>
        <w:spacing w:line="360" w:lineRule="auto"/>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 xml:space="preserve">       </w:t>
      </w:r>
      <w:r>
        <w:rPr>
          <w:rFonts w:hint="eastAsia" w:ascii="宋体" w:cs="宋体"/>
          <w:szCs w:val="21"/>
          <w:lang w:val="zh-CN"/>
        </w:rPr>
        <w:t>投标单位名称：</w:t>
      </w:r>
      <w:r>
        <w:rPr>
          <w:rFonts w:hint="eastAsia" w:ascii="宋体" w:hAnsi="宋体"/>
          <w:u w:val="single"/>
        </w:rPr>
        <w:t xml:space="preserve">                                   </w:t>
      </w:r>
    </w:p>
    <w:tbl>
      <w:tblPr>
        <w:tblStyle w:val="28"/>
        <w:tblW w:w="13792" w:type="dxa"/>
        <w:tblInd w:w="-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080"/>
        <w:gridCol w:w="1552"/>
        <w:gridCol w:w="1620"/>
        <w:gridCol w:w="2160"/>
        <w:gridCol w:w="558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2"/>
          <w:wAfter w:w="6660" w:type="dxa"/>
          <w:trHeight w:val="759" w:hRule="atLeast"/>
        </w:trPr>
        <w:tc>
          <w:tcPr>
            <w:tcW w:w="3352" w:type="dxa"/>
            <w:gridSpan w:val="3"/>
            <w:vAlign w:val="center"/>
          </w:tcPr>
          <w:p>
            <w:pPr>
              <w:autoSpaceDE w:val="0"/>
              <w:autoSpaceDN w:val="0"/>
              <w:adjustRightInd w:val="0"/>
              <w:spacing w:line="400" w:lineRule="exact"/>
              <w:jc w:val="center"/>
              <w:rPr>
                <w:szCs w:val="21"/>
              </w:rPr>
            </w:pPr>
            <w:r>
              <w:rPr>
                <w:szCs w:val="21"/>
                <w:lang w:val="zh-CN"/>
              </w:rPr>
              <w:t>投标方案编号</w:t>
            </w:r>
          </w:p>
        </w:tc>
        <w:tc>
          <w:tcPr>
            <w:tcW w:w="1620" w:type="dxa"/>
            <w:vAlign w:val="center"/>
          </w:tcPr>
          <w:p>
            <w:pPr>
              <w:autoSpaceDE w:val="0"/>
              <w:autoSpaceDN w:val="0"/>
              <w:adjustRightInd w:val="0"/>
              <w:spacing w:line="400" w:lineRule="exact"/>
              <w:jc w:val="center"/>
              <w:rPr>
                <w:szCs w:val="21"/>
              </w:rPr>
            </w:pPr>
          </w:p>
        </w:tc>
        <w:tc>
          <w:tcPr>
            <w:tcW w:w="2160" w:type="dxa"/>
            <w:vAlign w:val="center"/>
          </w:tcPr>
          <w:p>
            <w:pPr>
              <w:autoSpaceDE w:val="0"/>
              <w:autoSpaceDN w:val="0"/>
              <w:adjustRightInd w:val="0"/>
              <w:spacing w:line="400" w:lineRule="exact"/>
              <w:jc w:val="center"/>
              <w:rPr>
                <w:szCs w:val="21"/>
              </w:rPr>
            </w:pPr>
            <w:r>
              <w:rPr>
                <w:szCs w:val="21"/>
                <w:lang w:val="zh-CN"/>
              </w:rPr>
              <w:t>评标专家（签</w:t>
            </w:r>
            <w:r>
              <w:rPr>
                <w:rFonts w:hint="eastAsia"/>
                <w:szCs w:val="21"/>
                <w:lang w:val="zh-CN"/>
              </w:rPr>
              <w:t>名</w:t>
            </w:r>
            <w:r>
              <w:rPr>
                <w:szCs w:val="21"/>
                <w:lang w:val="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5" w:hRule="atLeast"/>
        </w:trPr>
        <w:tc>
          <w:tcPr>
            <w:tcW w:w="720" w:type="dxa"/>
            <w:textDirection w:val="tbRlV"/>
            <w:vAlign w:val="center"/>
          </w:tcPr>
          <w:p>
            <w:pPr>
              <w:autoSpaceDE w:val="0"/>
              <w:autoSpaceDN w:val="0"/>
              <w:adjustRightInd w:val="0"/>
              <w:spacing w:line="400" w:lineRule="exact"/>
              <w:ind w:left="113" w:right="113"/>
              <w:jc w:val="center"/>
              <w:rPr>
                <w:szCs w:val="21"/>
              </w:rPr>
            </w:pPr>
            <w:r>
              <w:rPr>
                <w:szCs w:val="21"/>
                <w:lang w:val="zh-CN"/>
              </w:rPr>
              <w:t>序号</w:t>
            </w:r>
          </w:p>
        </w:tc>
        <w:tc>
          <w:tcPr>
            <w:tcW w:w="1080" w:type="dxa"/>
            <w:vAlign w:val="center"/>
          </w:tcPr>
          <w:p>
            <w:pPr>
              <w:autoSpaceDE w:val="0"/>
              <w:autoSpaceDN w:val="0"/>
              <w:adjustRightInd w:val="0"/>
              <w:spacing w:line="400" w:lineRule="exact"/>
              <w:jc w:val="center"/>
              <w:rPr>
                <w:szCs w:val="21"/>
              </w:rPr>
            </w:pPr>
            <w:r>
              <w:rPr>
                <w:szCs w:val="21"/>
                <w:lang w:val="zh-CN"/>
              </w:rPr>
              <w:t>项</w:t>
            </w:r>
            <w:r>
              <w:rPr>
                <w:szCs w:val="21"/>
              </w:rPr>
              <w:t xml:space="preserve">   </w:t>
            </w:r>
            <w:r>
              <w:rPr>
                <w:szCs w:val="21"/>
                <w:lang w:val="zh-CN"/>
              </w:rPr>
              <w:t>目</w:t>
            </w:r>
          </w:p>
        </w:tc>
        <w:tc>
          <w:tcPr>
            <w:tcW w:w="1552" w:type="dxa"/>
            <w:vAlign w:val="center"/>
          </w:tcPr>
          <w:p>
            <w:pPr>
              <w:autoSpaceDE w:val="0"/>
              <w:autoSpaceDN w:val="0"/>
              <w:adjustRightInd w:val="0"/>
              <w:spacing w:line="400" w:lineRule="exact"/>
              <w:jc w:val="center"/>
              <w:rPr>
                <w:szCs w:val="21"/>
              </w:rPr>
            </w:pPr>
            <w:r>
              <w:rPr>
                <w:szCs w:val="21"/>
                <w:lang w:val="zh-CN"/>
              </w:rPr>
              <w:t>分值分配</w:t>
            </w:r>
          </w:p>
        </w:tc>
        <w:tc>
          <w:tcPr>
            <w:tcW w:w="9360" w:type="dxa"/>
            <w:gridSpan w:val="3"/>
            <w:vAlign w:val="center"/>
          </w:tcPr>
          <w:p>
            <w:pPr>
              <w:autoSpaceDE w:val="0"/>
              <w:autoSpaceDN w:val="0"/>
              <w:adjustRightInd w:val="0"/>
              <w:spacing w:line="400" w:lineRule="exact"/>
              <w:jc w:val="center"/>
              <w:rPr>
                <w:szCs w:val="21"/>
              </w:rPr>
            </w:pPr>
            <w:r>
              <w:rPr>
                <w:szCs w:val="21"/>
                <w:lang w:val="zh-CN"/>
              </w:rPr>
              <w:t>内</w:t>
            </w:r>
            <w:r>
              <w:rPr>
                <w:szCs w:val="21"/>
              </w:rPr>
              <w:t xml:space="preserve">    </w:t>
            </w:r>
            <w:r>
              <w:rPr>
                <w:szCs w:val="21"/>
                <w:lang w:val="zh-CN"/>
              </w:rPr>
              <w:t>容</w:t>
            </w:r>
          </w:p>
        </w:tc>
        <w:tc>
          <w:tcPr>
            <w:tcW w:w="1080" w:type="dxa"/>
            <w:vAlign w:val="center"/>
          </w:tcPr>
          <w:p>
            <w:pPr>
              <w:autoSpaceDE w:val="0"/>
              <w:autoSpaceDN w:val="0"/>
              <w:adjustRightInd w:val="0"/>
              <w:spacing w:line="400" w:lineRule="exact"/>
              <w:jc w:val="center"/>
              <w:rPr>
                <w:szCs w:val="21"/>
              </w:rPr>
            </w:pPr>
            <w:r>
              <w:rPr>
                <w:szCs w:val="21"/>
                <w:lang w:val="zh-CN"/>
              </w:rPr>
              <w:t>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 w:hRule="atLeast"/>
        </w:trPr>
        <w:tc>
          <w:tcPr>
            <w:tcW w:w="720" w:type="dxa"/>
            <w:vAlign w:val="center"/>
          </w:tcPr>
          <w:p>
            <w:pPr>
              <w:autoSpaceDE w:val="0"/>
              <w:autoSpaceDN w:val="0"/>
              <w:adjustRightInd w:val="0"/>
              <w:spacing w:line="400" w:lineRule="exact"/>
              <w:jc w:val="center"/>
              <w:rPr>
                <w:szCs w:val="21"/>
              </w:rPr>
            </w:pPr>
            <w:r>
              <w:rPr>
                <w:szCs w:val="21"/>
                <w:lang w:val="zh-CN"/>
              </w:rPr>
              <w:t>一</w:t>
            </w:r>
          </w:p>
        </w:tc>
        <w:tc>
          <w:tcPr>
            <w:tcW w:w="1080" w:type="dxa"/>
            <w:vAlign w:val="center"/>
          </w:tcPr>
          <w:p>
            <w:pPr>
              <w:autoSpaceDE w:val="0"/>
              <w:autoSpaceDN w:val="0"/>
              <w:adjustRightInd w:val="0"/>
              <w:spacing w:line="260" w:lineRule="exact"/>
              <w:jc w:val="center"/>
              <w:rPr>
                <w:rFonts w:ascii="宋体" w:hAnsi="宋体"/>
                <w:szCs w:val="21"/>
              </w:rPr>
            </w:pPr>
            <w:r>
              <w:rPr>
                <w:rFonts w:ascii="宋体" w:hAnsi="宋体"/>
                <w:szCs w:val="21"/>
                <w:lang w:val="zh-CN"/>
              </w:rPr>
              <w:t>投标文件的符合性</w:t>
            </w:r>
          </w:p>
        </w:tc>
        <w:tc>
          <w:tcPr>
            <w:tcW w:w="1552" w:type="dxa"/>
            <w:vAlign w:val="center"/>
          </w:tcPr>
          <w:p>
            <w:pPr>
              <w:autoSpaceDE w:val="0"/>
              <w:autoSpaceDN w:val="0"/>
              <w:adjustRightInd w:val="0"/>
              <w:spacing w:line="260" w:lineRule="exact"/>
              <w:jc w:val="center"/>
              <w:rPr>
                <w:rFonts w:ascii="宋体" w:hAnsi="宋体"/>
                <w:szCs w:val="21"/>
              </w:rPr>
            </w:pPr>
            <w:r>
              <w:rPr>
                <w:rFonts w:hint="eastAsia" w:ascii="宋体" w:hAnsi="宋体" w:cs="宋体"/>
                <w:szCs w:val="21"/>
                <w:lang w:val="zh-CN"/>
              </w:rPr>
              <w:t>[</w:t>
            </w:r>
            <w:r>
              <w:rPr>
                <w:rFonts w:hint="eastAsia" w:ascii="宋体" w:hAnsi="宋体"/>
                <w:szCs w:val="21"/>
              </w:rPr>
              <w:t>10</w:t>
            </w:r>
            <w:r>
              <w:rPr>
                <w:rFonts w:hint="eastAsia" w:ascii="宋体" w:hAnsi="宋体" w:cs="宋体"/>
                <w:szCs w:val="21"/>
                <w:lang w:val="zh-CN"/>
              </w:rPr>
              <w:t>]</w:t>
            </w:r>
          </w:p>
        </w:tc>
        <w:tc>
          <w:tcPr>
            <w:tcW w:w="9360" w:type="dxa"/>
            <w:gridSpan w:val="3"/>
            <w:vAlign w:val="center"/>
          </w:tcPr>
          <w:p>
            <w:pPr>
              <w:autoSpaceDE w:val="0"/>
              <w:autoSpaceDN w:val="0"/>
              <w:adjustRightInd w:val="0"/>
              <w:spacing w:line="400" w:lineRule="exact"/>
              <w:rPr>
                <w:szCs w:val="21"/>
                <w:lang w:val="zh-CN"/>
              </w:rPr>
            </w:pPr>
            <w:r>
              <w:rPr>
                <w:rFonts w:hint="eastAsia"/>
                <w:szCs w:val="21"/>
                <w:lang w:val="zh-CN"/>
              </w:rPr>
              <w:t>整个设计内容符合招标文件要求， 内容全面，设计总说明书文字表达清楚、思路清晰、重点和难点突出、 图纸及文卷质量高。</w:t>
            </w:r>
          </w:p>
          <w:p>
            <w:pPr>
              <w:autoSpaceDE w:val="0"/>
              <w:autoSpaceDN w:val="0"/>
              <w:adjustRightInd w:val="0"/>
              <w:spacing w:line="400" w:lineRule="exact"/>
              <w:rPr>
                <w:szCs w:val="21"/>
              </w:rPr>
            </w:pPr>
            <w:r>
              <w:rPr>
                <w:rFonts w:hint="eastAsia"/>
                <w:szCs w:val="21"/>
                <w:lang w:val="zh-CN"/>
              </w:rPr>
              <w:t>优良得 8-10 分，一般得 6-8 分，差得 4-6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8" w:hRule="atLeast"/>
        </w:trPr>
        <w:tc>
          <w:tcPr>
            <w:tcW w:w="720" w:type="dxa"/>
            <w:vMerge w:val="restart"/>
            <w:vAlign w:val="center"/>
          </w:tcPr>
          <w:p>
            <w:pPr>
              <w:autoSpaceDE w:val="0"/>
              <w:autoSpaceDN w:val="0"/>
              <w:adjustRightInd w:val="0"/>
              <w:spacing w:line="400" w:lineRule="exact"/>
              <w:jc w:val="center"/>
              <w:rPr>
                <w:szCs w:val="21"/>
                <w:lang w:val="zh-CN"/>
              </w:rPr>
            </w:pPr>
            <w:r>
              <w:rPr>
                <w:szCs w:val="21"/>
                <w:lang w:val="zh-CN"/>
              </w:rPr>
              <w:t>二</w:t>
            </w:r>
          </w:p>
        </w:tc>
        <w:tc>
          <w:tcPr>
            <w:tcW w:w="1080" w:type="dxa"/>
            <w:vMerge w:val="restart"/>
            <w:vAlign w:val="center"/>
          </w:tcPr>
          <w:p>
            <w:pPr>
              <w:autoSpaceDE w:val="0"/>
              <w:autoSpaceDN w:val="0"/>
              <w:adjustRightInd w:val="0"/>
              <w:spacing w:line="260" w:lineRule="exact"/>
              <w:jc w:val="center"/>
              <w:rPr>
                <w:rFonts w:ascii="宋体" w:hAnsi="宋体"/>
                <w:szCs w:val="21"/>
                <w:lang w:val="zh-CN"/>
              </w:rPr>
            </w:pPr>
            <w:r>
              <w:rPr>
                <w:rFonts w:ascii="宋体" w:hAnsi="宋体"/>
                <w:szCs w:val="21"/>
                <w:lang w:val="zh-CN"/>
              </w:rPr>
              <w:t>设计方案及勘察</w:t>
            </w:r>
          </w:p>
          <w:p>
            <w:pPr>
              <w:autoSpaceDE w:val="0"/>
              <w:autoSpaceDN w:val="0"/>
              <w:adjustRightInd w:val="0"/>
              <w:spacing w:line="260" w:lineRule="exact"/>
              <w:jc w:val="center"/>
              <w:rPr>
                <w:kern w:val="0"/>
                <w:szCs w:val="21"/>
                <w:lang w:val="zh-CN"/>
              </w:rPr>
            </w:pPr>
            <w:r>
              <w:rPr>
                <w:rFonts w:ascii="宋体" w:hAnsi="宋体"/>
                <w:szCs w:val="21"/>
                <w:lang w:val="zh-CN"/>
              </w:rPr>
              <w:t>大纲</w:t>
            </w:r>
          </w:p>
        </w:tc>
        <w:tc>
          <w:tcPr>
            <w:tcW w:w="1552" w:type="dxa"/>
            <w:vMerge w:val="restart"/>
            <w:vAlign w:val="center"/>
          </w:tcPr>
          <w:p>
            <w:pPr>
              <w:pStyle w:val="65"/>
              <w:numPr>
                <w:ilvl w:val="0"/>
                <w:numId w:val="2"/>
              </w:numPr>
              <w:autoSpaceDE w:val="0"/>
              <w:autoSpaceDN w:val="0"/>
              <w:adjustRightInd w:val="0"/>
              <w:spacing w:line="260" w:lineRule="exact"/>
              <w:ind w:firstLineChars="0"/>
              <w:jc w:val="center"/>
              <w:rPr>
                <w:szCs w:val="21"/>
              </w:rPr>
            </w:pPr>
          </w:p>
        </w:tc>
        <w:tc>
          <w:tcPr>
            <w:tcW w:w="9360" w:type="dxa"/>
            <w:gridSpan w:val="3"/>
          </w:tcPr>
          <w:p>
            <w:pPr>
              <w:spacing w:line="400" w:lineRule="exact"/>
              <w:ind w:left="124"/>
              <w:rPr>
                <w:rFonts w:ascii="宋体" w:hAnsi="宋体" w:cs="宋体"/>
              </w:rPr>
            </w:pPr>
            <w:r>
              <w:rPr>
                <w:rFonts w:eastAsia="Times New Roman"/>
                <w:spacing w:val="8"/>
              </w:rPr>
              <w:t xml:space="preserve">1 </w:t>
            </w:r>
            <w:r>
              <w:rPr>
                <w:rFonts w:ascii="宋体" w:hAnsi="宋体" w:cs="宋体"/>
                <w:spacing w:val="8"/>
              </w:rPr>
              <w:t>、正确理解并执行规划建设意图，与周边路网、管网规划协调一致；对区域内路网的交通组织完善合理</w:t>
            </w:r>
            <w:r>
              <w:rPr>
                <w:rFonts w:ascii="宋体" w:hAnsi="宋体" w:cs="宋体"/>
                <w:spacing w:val="3"/>
              </w:rPr>
              <w:t>，</w:t>
            </w:r>
            <w:r>
              <w:rPr>
                <w:rFonts w:ascii="宋体" w:hAnsi="宋体" w:cs="宋体"/>
                <w:spacing w:val="16"/>
              </w:rPr>
              <w:t>总体思</w:t>
            </w:r>
            <w:r>
              <w:rPr>
                <w:rFonts w:ascii="宋体" w:hAnsi="宋体" w:cs="宋体"/>
                <w:spacing w:val="12"/>
              </w:rPr>
              <w:t>路</w:t>
            </w:r>
            <w:r>
              <w:rPr>
                <w:rFonts w:ascii="宋体" w:hAnsi="宋体" w:cs="宋体"/>
                <w:spacing w:val="8"/>
              </w:rPr>
              <w:t>清晰；路线平、纵、横等设计科学合理；道路、桥涵、排水之间的关系处理得当。</w:t>
            </w:r>
            <w:r>
              <w:rPr>
                <w:rFonts w:ascii="宋体" w:hAnsi="宋体" w:cs="宋体"/>
              </w:rPr>
              <w:t xml:space="preserve"> </w:t>
            </w:r>
          </w:p>
          <w:p>
            <w:pPr>
              <w:spacing w:line="400" w:lineRule="exact"/>
              <w:ind w:left="124"/>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trPr>
        <w:tc>
          <w:tcPr>
            <w:tcW w:w="720" w:type="dxa"/>
            <w:vMerge w:val="continue"/>
            <w:vAlign w:val="center"/>
          </w:tcPr>
          <w:p>
            <w:pPr>
              <w:autoSpaceDE w:val="0"/>
              <w:autoSpaceDN w:val="0"/>
              <w:adjustRightInd w:val="0"/>
              <w:spacing w:line="400" w:lineRule="exact"/>
              <w:jc w:val="center"/>
              <w:rPr>
                <w:szCs w:val="21"/>
                <w:lang w:val="zh-CN"/>
              </w:rPr>
            </w:pPr>
          </w:p>
        </w:tc>
        <w:tc>
          <w:tcPr>
            <w:tcW w:w="1080" w:type="dxa"/>
            <w:vMerge w:val="continue"/>
            <w:textDirection w:val="tbRlV"/>
            <w:vAlign w:val="center"/>
          </w:tcPr>
          <w:p>
            <w:pPr>
              <w:autoSpaceDE w:val="0"/>
              <w:autoSpaceDN w:val="0"/>
              <w:adjustRightInd w:val="0"/>
              <w:spacing w:line="400" w:lineRule="exact"/>
              <w:ind w:left="113" w:right="113"/>
              <w:jc w:val="center"/>
              <w:rPr>
                <w:kern w:val="0"/>
                <w:szCs w:val="21"/>
                <w:lang w:val="zh-CN"/>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06" w:right="303" w:hanging="2"/>
              <w:rPr>
                <w:rFonts w:ascii="宋体" w:hAnsi="宋体" w:cs="宋体"/>
                <w:spacing w:val="7"/>
              </w:rPr>
            </w:pPr>
            <w:r>
              <w:rPr>
                <w:rFonts w:eastAsia="Times New Roman"/>
                <w:spacing w:val="14"/>
              </w:rPr>
              <w:t xml:space="preserve">2 </w:t>
            </w:r>
            <w:r>
              <w:rPr>
                <w:rFonts w:ascii="宋体" w:hAnsi="宋体" w:cs="宋体"/>
                <w:spacing w:val="11"/>
              </w:rPr>
              <w:t>、</w:t>
            </w:r>
            <w:r>
              <w:rPr>
                <w:rFonts w:ascii="宋体" w:hAnsi="宋体" w:cs="宋体"/>
                <w:spacing w:val="7"/>
              </w:rPr>
              <w:t>交叉节点功能定位合理；平、纵、横等设计指标符合规范且标准较高，技术措施优良。</w:t>
            </w:r>
          </w:p>
          <w:p>
            <w:pPr>
              <w:spacing w:line="400" w:lineRule="exact"/>
              <w:ind w:left="106" w:right="303" w:hanging="2"/>
              <w:rPr>
                <w:szCs w:val="21"/>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720" w:type="dxa"/>
            <w:vMerge w:val="continue"/>
            <w:vAlign w:val="center"/>
          </w:tcPr>
          <w:p>
            <w:pPr>
              <w:autoSpaceDE w:val="0"/>
              <w:autoSpaceDN w:val="0"/>
              <w:adjustRightInd w:val="0"/>
              <w:spacing w:line="400" w:lineRule="exact"/>
              <w:jc w:val="center"/>
              <w:rPr>
                <w:szCs w:val="21"/>
                <w:lang w:val="zh-CN"/>
              </w:rPr>
            </w:pPr>
          </w:p>
        </w:tc>
        <w:tc>
          <w:tcPr>
            <w:tcW w:w="1080" w:type="dxa"/>
            <w:vMerge w:val="continue"/>
            <w:textDirection w:val="tbRlV"/>
            <w:vAlign w:val="center"/>
          </w:tcPr>
          <w:p>
            <w:pPr>
              <w:autoSpaceDE w:val="0"/>
              <w:autoSpaceDN w:val="0"/>
              <w:adjustRightInd w:val="0"/>
              <w:spacing w:line="400" w:lineRule="exact"/>
              <w:ind w:left="113" w:right="113"/>
              <w:jc w:val="center"/>
              <w:rPr>
                <w:kern w:val="0"/>
                <w:szCs w:val="21"/>
                <w:lang w:val="zh-CN"/>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20" w:right="97" w:hanging="17"/>
              <w:rPr>
                <w:rFonts w:ascii="宋体" w:hAnsi="宋体" w:cs="宋体"/>
              </w:rPr>
            </w:pPr>
            <w:r>
              <w:rPr>
                <w:rFonts w:eastAsia="Times New Roman"/>
                <w:spacing w:val="16"/>
              </w:rPr>
              <w:t xml:space="preserve">3 </w:t>
            </w:r>
            <w:r>
              <w:rPr>
                <w:rFonts w:ascii="宋体" w:hAnsi="宋体" w:cs="宋体"/>
                <w:spacing w:val="16"/>
              </w:rPr>
              <w:t>、</w:t>
            </w:r>
            <w:r>
              <w:rPr>
                <w:rFonts w:ascii="宋体" w:hAnsi="宋体" w:cs="宋体"/>
                <w:spacing w:val="12"/>
              </w:rPr>
              <w:t>路</w:t>
            </w:r>
            <w:r>
              <w:rPr>
                <w:rFonts w:ascii="宋体" w:hAnsi="宋体" w:cs="宋体"/>
                <w:spacing w:val="8"/>
              </w:rPr>
              <w:t>基路面、不良地基处理等基础工程的设计安全、合理、经济且能满足工期的要求；与周边地块衔接得</w:t>
            </w:r>
            <w:r>
              <w:rPr>
                <w:rFonts w:ascii="宋体" w:hAnsi="宋体" w:cs="宋体"/>
                <w:spacing w:val="-7"/>
              </w:rPr>
              <w:t>当</w:t>
            </w:r>
            <w:r>
              <w:rPr>
                <w:rFonts w:ascii="宋体" w:hAnsi="宋体" w:cs="宋体"/>
                <w:spacing w:val="-6"/>
              </w:rPr>
              <w:t>。</w:t>
            </w:r>
          </w:p>
          <w:p>
            <w:pPr>
              <w:spacing w:line="400" w:lineRule="exact"/>
              <w:ind w:left="107"/>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4"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textDirection w:val="tbRlV"/>
            <w:vAlign w:val="center"/>
          </w:tcPr>
          <w:p>
            <w:pPr>
              <w:autoSpaceDE w:val="0"/>
              <w:autoSpaceDN w:val="0"/>
              <w:adjustRightInd w:val="0"/>
              <w:spacing w:line="400" w:lineRule="exact"/>
              <w:ind w:left="113" w:right="113"/>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18" w:right="94" w:hanging="8"/>
              <w:rPr>
                <w:rFonts w:ascii="宋体" w:hAnsi="宋体" w:cs="宋体"/>
              </w:rPr>
            </w:pPr>
            <w:r>
              <w:rPr>
                <w:rFonts w:eastAsia="Times New Roman"/>
                <w:spacing w:val="16"/>
              </w:rPr>
              <w:t>4</w:t>
            </w:r>
            <w:r>
              <w:rPr>
                <w:rFonts w:eastAsia="Times New Roman"/>
                <w:spacing w:val="8"/>
              </w:rPr>
              <w:t xml:space="preserve"> </w:t>
            </w:r>
            <w:r>
              <w:rPr>
                <w:rFonts w:ascii="宋体" w:hAnsi="宋体" w:cs="宋体"/>
                <w:spacing w:val="8"/>
              </w:rPr>
              <w:t>、道路公用设施 (公共交通站点布置、绿化照明、行人设施、道路元素等) 设计科学合理、处理得当、特</w:t>
            </w:r>
            <w:r>
              <w:rPr>
                <w:rFonts w:ascii="宋体" w:hAnsi="宋体" w:cs="宋体"/>
              </w:rPr>
              <w:t xml:space="preserve"> </w:t>
            </w:r>
            <w:r>
              <w:rPr>
                <w:rFonts w:ascii="宋体" w:hAnsi="宋体" w:cs="宋体"/>
                <w:spacing w:val="4"/>
              </w:rPr>
              <w:t>点</w:t>
            </w:r>
            <w:r>
              <w:rPr>
                <w:rFonts w:ascii="宋体" w:hAnsi="宋体" w:cs="宋体"/>
                <w:spacing w:val="2"/>
              </w:rPr>
              <w:t>鲜明。</w:t>
            </w:r>
          </w:p>
          <w:p>
            <w:pPr>
              <w:spacing w:line="400" w:lineRule="exact"/>
              <w:ind w:left="107"/>
              <w:rPr>
                <w:szCs w:val="21"/>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vAlign w:val="center"/>
          </w:tcPr>
          <w:p>
            <w:pPr>
              <w:autoSpaceDE w:val="0"/>
              <w:autoSpaceDN w:val="0"/>
              <w:adjustRightInd w:val="0"/>
              <w:spacing w:line="400" w:lineRule="exact"/>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07"/>
              <w:rPr>
                <w:rFonts w:ascii="宋体" w:hAnsi="宋体" w:cs="宋体"/>
                <w:spacing w:val="7"/>
              </w:rPr>
            </w:pPr>
            <w:r>
              <w:rPr>
                <w:rFonts w:eastAsia="Times New Roman"/>
                <w:spacing w:val="14"/>
              </w:rPr>
              <w:t>5</w:t>
            </w:r>
            <w:r>
              <w:rPr>
                <w:rFonts w:eastAsia="Times New Roman"/>
                <w:spacing w:val="13"/>
              </w:rPr>
              <w:t xml:space="preserve"> </w:t>
            </w:r>
            <w:r>
              <w:rPr>
                <w:rFonts w:ascii="宋体" w:hAnsi="宋体" w:cs="宋体"/>
                <w:spacing w:val="7"/>
              </w:rPr>
              <w:t>、综合管线的布置形式系统、合理、经济、实用；能充分考虑与市政道路的衔接与协调。</w:t>
            </w:r>
          </w:p>
          <w:p>
            <w:pPr>
              <w:spacing w:line="400" w:lineRule="exact"/>
              <w:ind w:left="107"/>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vAlign w:val="center"/>
          </w:tcPr>
          <w:p>
            <w:pPr>
              <w:autoSpaceDE w:val="0"/>
              <w:autoSpaceDN w:val="0"/>
              <w:adjustRightInd w:val="0"/>
              <w:spacing w:line="400" w:lineRule="exact"/>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07" w:right="99"/>
              <w:rPr>
                <w:rFonts w:ascii="宋体" w:hAnsi="宋体" w:cs="宋体"/>
              </w:rPr>
            </w:pPr>
            <w:r>
              <w:rPr>
                <w:rFonts w:eastAsia="Times New Roman"/>
                <w:spacing w:val="16"/>
              </w:rPr>
              <w:t xml:space="preserve">6 </w:t>
            </w:r>
            <w:r>
              <w:rPr>
                <w:rFonts w:ascii="宋体" w:hAnsi="宋体" w:cs="宋体"/>
                <w:spacing w:val="13"/>
              </w:rPr>
              <w:t>、</w:t>
            </w:r>
            <w:r>
              <w:rPr>
                <w:rFonts w:ascii="宋体" w:hAnsi="宋体" w:cs="宋体"/>
                <w:spacing w:val="8"/>
              </w:rPr>
              <w:t>充分考虑已建排水设施，结合现状及规划污水处理需求，综合考虑近远期结合的要求；排水管道系统总</w:t>
            </w:r>
            <w:r>
              <w:rPr>
                <w:rFonts w:ascii="宋体" w:hAnsi="宋体" w:cs="宋体"/>
              </w:rPr>
              <w:t xml:space="preserve"> </w:t>
            </w:r>
            <w:r>
              <w:rPr>
                <w:rFonts w:ascii="宋体" w:hAnsi="宋体" w:cs="宋体"/>
                <w:spacing w:val="12"/>
              </w:rPr>
              <w:t>体布局充分利用地形，尽量采用自流，尽量避免穿越河道，缩短管线长度，减小主干管管径，充分考虑其</w:t>
            </w:r>
            <w:r>
              <w:rPr>
                <w:rFonts w:ascii="宋体" w:hAnsi="宋体" w:cs="宋体"/>
              </w:rPr>
              <w:t xml:space="preserve"> </w:t>
            </w:r>
            <w:r>
              <w:rPr>
                <w:rFonts w:ascii="宋体" w:hAnsi="宋体" w:cs="宋体"/>
                <w:spacing w:val="8"/>
              </w:rPr>
              <w:t>可实施性和可操作性。</w:t>
            </w:r>
          </w:p>
          <w:p>
            <w:pPr>
              <w:spacing w:line="400" w:lineRule="exact"/>
              <w:ind w:left="107" w:right="1603" w:firstLine="1"/>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3"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vAlign w:val="center"/>
          </w:tcPr>
          <w:p>
            <w:pPr>
              <w:autoSpaceDE w:val="0"/>
              <w:autoSpaceDN w:val="0"/>
              <w:adjustRightInd w:val="0"/>
              <w:spacing w:line="400" w:lineRule="exact"/>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tcPr>
          <w:p>
            <w:pPr>
              <w:spacing w:line="400" w:lineRule="exact"/>
              <w:ind w:left="107"/>
              <w:rPr>
                <w:rFonts w:ascii="宋体" w:hAnsi="宋体" w:cs="宋体"/>
              </w:rPr>
            </w:pPr>
            <w:r>
              <w:rPr>
                <w:rFonts w:eastAsia="Times New Roman"/>
                <w:spacing w:val="7"/>
              </w:rPr>
              <w:t xml:space="preserve">7 </w:t>
            </w:r>
            <w:r>
              <w:rPr>
                <w:rFonts w:ascii="宋体" w:hAnsi="宋体" w:cs="宋体"/>
                <w:spacing w:val="7"/>
              </w:rPr>
              <w:t>、工程建设和使用的重点、难点分析透彻，解决措施合理。</w:t>
            </w:r>
          </w:p>
          <w:p>
            <w:pPr>
              <w:spacing w:line="400" w:lineRule="exact"/>
              <w:ind w:left="107"/>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3"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vAlign w:val="center"/>
          </w:tcPr>
          <w:p>
            <w:pPr>
              <w:autoSpaceDE w:val="0"/>
              <w:autoSpaceDN w:val="0"/>
              <w:adjustRightInd w:val="0"/>
              <w:spacing w:line="400" w:lineRule="exact"/>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vAlign w:val="center"/>
          </w:tcPr>
          <w:p>
            <w:pPr>
              <w:spacing w:line="400" w:lineRule="exact"/>
              <w:ind w:left="108" w:right="101" w:firstLine="15"/>
              <w:rPr>
                <w:rFonts w:ascii="宋体" w:hAnsi="宋体" w:cs="宋体"/>
              </w:rPr>
            </w:pPr>
            <w:r>
              <w:rPr>
                <w:rFonts w:eastAsia="Times New Roman"/>
                <w:spacing w:val="16"/>
              </w:rPr>
              <w:t>8</w:t>
            </w:r>
            <w:r>
              <w:rPr>
                <w:rFonts w:eastAsia="Times New Roman"/>
                <w:spacing w:val="10"/>
              </w:rPr>
              <w:t xml:space="preserve"> </w:t>
            </w:r>
            <w:r>
              <w:rPr>
                <w:rFonts w:ascii="宋体" w:hAnsi="宋体" w:cs="宋体"/>
                <w:spacing w:val="10"/>
              </w:rPr>
              <w:t>、勘察方案合理可行，勘察的重点、难点理解准确，建议合理可行；勘察工作流程规范，工期进度计划</w:t>
            </w:r>
            <w:r>
              <w:rPr>
                <w:rFonts w:ascii="宋体" w:hAnsi="宋体" w:cs="宋体"/>
              </w:rPr>
              <w:t xml:space="preserve"> </w:t>
            </w:r>
            <w:r>
              <w:rPr>
                <w:rFonts w:ascii="宋体" w:hAnsi="宋体" w:cs="宋体"/>
                <w:spacing w:val="8"/>
              </w:rPr>
              <w:t>合</w:t>
            </w:r>
            <w:r>
              <w:rPr>
                <w:rFonts w:ascii="宋体" w:hAnsi="宋体" w:cs="宋体"/>
                <w:spacing w:val="5"/>
              </w:rPr>
              <w:t>理可行。</w:t>
            </w:r>
          </w:p>
          <w:p>
            <w:pPr>
              <w:pStyle w:val="22"/>
              <w:spacing w:line="400" w:lineRule="exact"/>
              <w:ind w:left="0" w:leftChars="0"/>
              <w:rPr>
                <w:lang w:val="zh-CN"/>
              </w:rPr>
            </w:pPr>
            <w:r>
              <w:rPr>
                <w:rFonts w:ascii="宋体" w:hAnsi="宋体" w:cs="宋体"/>
                <w:spacing w:val="-8"/>
              </w:rPr>
              <w:t xml:space="preserve">优良得 </w:t>
            </w:r>
            <w:r>
              <w:rPr>
                <w:rFonts w:hint="eastAsia" w:ascii="宋体" w:hAnsi="宋体" w:cs="宋体"/>
                <w:spacing w:val="-8"/>
              </w:rPr>
              <w:t>8</w:t>
            </w:r>
            <w:r>
              <w:rPr>
                <w:rFonts w:ascii="宋体" w:hAnsi="宋体" w:cs="宋体"/>
                <w:spacing w:val="-8"/>
              </w:rPr>
              <w:t>-</w:t>
            </w:r>
            <w:r>
              <w:rPr>
                <w:rFonts w:ascii="宋体" w:hAnsi="宋体" w:cs="宋体"/>
                <w:spacing w:val="-4"/>
              </w:rPr>
              <w:t xml:space="preserve">10 分，一般得 </w:t>
            </w:r>
            <w:r>
              <w:rPr>
                <w:rFonts w:hint="eastAsia" w:ascii="宋体" w:hAnsi="宋体" w:cs="宋体"/>
                <w:spacing w:val="-4"/>
              </w:rPr>
              <w:t>6</w:t>
            </w:r>
            <w:r>
              <w:rPr>
                <w:rFonts w:ascii="宋体" w:hAnsi="宋体" w:cs="宋体"/>
                <w:spacing w:val="-4"/>
              </w:rPr>
              <w:t>-</w:t>
            </w:r>
            <w:r>
              <w:rPr>
                <w:rFonts w:hint="eastAsia" w:ascii="宋体" w:hAnsi="宋体" w:cs="宋体"/>
                <w:spacing w:val="-4"/>
              </w:rPr>
              <w:t>8</w:t>
            </w:r>
            <w:r>
              <w:rPr>
                <w:rFonts w:ascii="宋体" w:hAnsi="宋体" w:cs="宋体"/>
                <w:spacing w:val="-4"/>
              </w:rPr>
              <w:t xml:space="preserve"> 分，差得 </w:t>
            </w:r>
            <w:r>
              <w:rPr>
                <w:rFonts w:hint="eastAsia" w:ascii="宋体" w:hAnsi="宋体" w:cs="宋体"/>
                <w:spacing w:val="-4"/>
              </w:rPr>
              <w:t>4</w:t>
            </w:r>
            <w:r>
              <w:rPr>
                <w:rFonts w:ascii="宋体" w:hAnsi="宋体" w:cs="宋体"/>
                <w:spacing w:val="-4"/>
              </w:rPr>
              <w:t>-</w:t>
            </w:r>
            <w:r>
              <w:rPr>
                <w:rFonts w:hint="eastAsia" w:ascii="宋体" w:hAnsi="宋体" w:cs="宋体"/>
                <w:spacing w:val="-4"/>
              </w:rPr>
              <w:t>6</w:t>
            </w:r>
            <w:r>
              <w:rPr>
                <w:rFonts w:ascii="宋体" w:hAnsi="宋体" w:cs="宋体"/>
                <w:spacing w:val="-4"/>
              </w:rPr>
              <w:t xml:space="preserve"> 分，无得 0 分。</w:t>
            </w:r>
          </w:p>
        </w:tc>
        <w:tc>
          <w:tcPr>
            <w:tcW w:w="1080" w:type="dxa"/>
            <w:vAlign w:val="center"/>
          </w:tcPr>
          <w:p>
            <w:pPr>
              <w:autoSpaceDE w:val="0"/>
              <w:autoSpaceDN w:val="0"/>
              <w:adjustRightInd w:val="0"/>
              <w:spacing w:line="360" w:lineRule="auto"/>
              <w:jc w:val="center"/>
            </w:pPr>
          </w:p>
          <w:p>
            <w:pPr>
              <w:pStyle w:val="22"/>
              <w:spacing w:line="360" w:lineRule="auto"/>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7" w:hRule="atLeast"/>
        </w:trPr>
        <w:tc>
          <w:tcPr>
            <w:tcW w:w="720" w:type="dxa"/>
            <w:vMerge w:val="restart"/>
            <w:vAlign w:val="center"/>
          </w:tcPr>
          <w:p>
            <w:pPr>
              <w:autoSpaceDE w:val="0"/>
              <w:autoSpaceDN w:val="0"/>
              <w:adjustRightInd w:val="0"/>
              <w:spacing w:line="400" w:lineRule="exact"/>
              <w:jc w:val="center"/>
              <w:rPr>
                <w:szCs w:val="21"/>
              </w:rPr>
            </w:pPr>
            <w:r>
              <w:rPr>
                <w:szCs w:val="21"/>
                <w:lang w:val="zh-CN"/>
              </w:rPr>
              <w:t>三</w:t>
            </w:r>
          </w:p>
        </w:tc>
        <w:tc>
          <w:tcPr>
            <w:tcW w:w="1080" w:type="dxa"/>
            <w:vMerge w:val="restart"/>
            <w:vAlign w:val="center"/>
          </w:tcPr>
          <w:p>
            <w:pPr>
              <w:autoSpaceDE w:val="0"/>
              <w:autoSpaceDN w:val="0"/>
              <w:adjustRightInd w:val="0"/>
              <w:spacing w:line="400" w:lineRule="exact"/>
              <w:jc w:val="center"/>
              <w:rPr>
                <w:szCs w:val="21"/>
              </w:rPr>
            </w:pPr>
            <w:r>
              <w:rPr>
                <w:szCs w:val="21"/>
                <w:lang w:val="zh-CN"/>
              </w:rPr>
              <w:t>投资控制</w:t>
            </w:r>
          </w:p>
        </w:tc>
        <w:tc>
          <w:tcPr>
            <w:tcW w:w="1552" w:type="dxa"/>
            <w:vMerge w:val="restart"/>
            <w:vAlign w:val="center"/>
          </w:tcPr>
          <w:p>
            <w:pPr>
              <w:autoSpaceDE w:val="0"/>
              <w:autoSpaceDN w:val="0"/>
              <w:adjustRightInd w:val="0"/>
              <w:spacing w:line="260" w:lineRule="exact"/>
              <w:jc w:val="center"/>
              <w:rPr>
                <w:szCs w:val="21"/>
              </w:rPr>
            </w:pPr>
            <w:r>
              <w:rPr>
                <w:rFonts w:hint="eastAsia" w:ascii="宋体" w:hAnsi="宋体" w:cs="宋体"/>
                <w:szCs w:val="21"/>
                <w:lang w:val="zh-CN"/>
              </w:rPr>
              <w:t>[</w:t>
            </w:r>
            <w:r>
              <w:rPr>
                <w:rFonts w:ascii="宋体" w:hAnsi="宋体" w:cs="宋体"/>
                <w:szCs w:val="21"/>
                <w:lang w:val="zh-CN"/>
              </w:rPr>
              <w:t>10</w:t>
            </w:r>
            <w:r>
              <w:rPr>
                <w:rFonts w:hint="eastAsia" w:ascii="宋体" w:hAnsi="宋体" w:cs="宋体"/>
                <w:szCs w:val="21"/>
                <w:lang w:val="zh-CN"/>
              </w:rPr>
              <w:t>]</w:t>
            </w:r>
          </w:p>
        </w:tc>
        <w:tc>
          <w:tcPr>
            <w:tcW w:w="9360" w:type="dxa"/>
            <w:gridSpan w:val="3"/>
            <w:vMerge w:val="restart"/>
            <w:vAlign w:val="center"/>
          </w:tcPr>
          <w:p>
            <w:pPr>
              <w:spacing w:line="400" w:lineRule="exact"/>
              <w:ind w:left="123"/>
            </w:pPr>
            <w:r>
              <w:t>1 、工程总投资合理，节约工程总投资的措施及理由合理、可信、可行。</w:t>
            </w:r>
          </w:p>
          <w:p>
            <w:pPr>
              <w:autoSpaceDE w:val="0"/>
              <w:autoSpaceDN w:val="0"/>
              <w:adjustRightInd w:val="0"/>
              <w:spacing w:line="400" w:lineRule="exact"/>
            </w:pPr>
            <w:r>
              <w:t>优良得 4-5 分，一般得 3-4 分，差得 2-3 分，无得 0 分。</w:t>
            </w:r>
          </w:p>
          <w:p>
            <w:pPr>
              <w:spacing w:line="400" w:lineRule="exact"/>
              <w:ind w:left="103"/>
              <w:rPr>
                <w:rFonts w:ascii="宋体" w:hAnsi="宋体" w:cs="宋体"/>
              </w:rPr>
            </w:pPr>
            <w:r>
              <w:rPr>
                <w:rFonts w:eastAsia="Times New Roman"/>
                <w:spacing w:val="14"/>
              </w:rPr>
              <w:t>2</w:t>
            </w:r>
            <w:r>
              <w:rPr>
                <w:rFonts w:eastAsia="Times New Roman"/>
                <w:spacing w:val="10"/>
              </w:rPr>
              <w:t xml:space="preserve"> </w:t>
            </w:r>
            <w:r>
              <w:rPr>
                <w:rFonts w:ascii="宋体" w:hAnsi="宋体" w:cs="宋体"/>
                <w:spacing w:val="7"/>
              </w:rPr>
              <w:t>、投资估算编制依据正确，达到相应的深度要求，编制质量高。</w:t>
            </w:r>
          </w:p>
          <w:p>
            <w:pPr>
              <w:pStyle w:val="22"/>
              <w:spacing w:line="400" w:lineRule="exact"/>
              <w:ind w:left="0" w:leftChars="0"/>
              <w:rPr>
                <w:lang w:val="zh-CN"/>
              </w:rPr>
            </w:pPr>
            <w:r>
              <w:rPr>
                <w:rFonts w:ascii="宋体" w:hAnsi="宋体" w:cs="宋体"/>
                <w:spacing w:val="-8"/>
              </w:rPr>
              <w:t>优良得 4-</w:t>
            </w:r>
            <w:r>
              <w:rPr>
                <w:rFonts w:ascii="宋体" w:hAnsi="宋体" w:cs="宋体"/>
                <w:spacing w:val="-4"/>
              </w:rPr>
              <w:t>5 分，一般得 3-4 分，差得 2-3 分，无得 0 分。</w:t>
            </w: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1" w:hRule="atLeast"/>
        </w:trPr>
        <w:tc>
          <w:tcPr>
            <w:tcW w:w="720" w:type="dxa"/>
            <w:vMerge w:val="continue"/>
            <w:vAlign w:val="center"/>
          </w:tcPr>
          <w:p>
            <w:pPr>
              <w:autoSpaceDE w:val="0"/>
              <w:autoSpaceDN w:val="0"/>
              <w:adjustRightInd w:val="0"/>
              <w:spacing w:line="400" w:lineRule="exact"/>
              <w:jc w:val="center"/>
              <w:rPr>
                <w:szCs w:val="21"/>
              </w:rPr>
            </w:pPr>
          </w:p>
        </w:tc>
        <w:tc>
          <w:tcPr>
            <w:tcW w:w="1080" w:type="dxa"/>
            <w:vMerge w:val="continue"/>
            <w:vAlign w:val="center"/>
          </w:tcPr>
          <w:p>
            <w:pPr>
              <w:autoSpaceDE w:val="0"/>
              <w:autoSpaceDN w:val="0"/>
              <w:adjustRightInd w:val="0"/>
              <w:spacing w:line="400" w:lineRule="exact"/>
              <w:jc w:val="center"/>
              <w:rPr>
                <w:szCs w:val="21"/>
              </w:rPr>
            </w:pPr>
          </w:p>
        </w:tc>
        <w:tc>
          <w:tcPr>
            <w:tcW w:w="1552" w:type="dxa"/>
            <w:vMerge w:val="continue"/>
            <w:vAlign w:val="center"/>
          </w:tcPr>
          <w:p>
            <w:pPr>
              <w:autoSpaceDE w:val="0"/>
              <w:autoSpaceDN w:val="0"/>
              <w:adjustRightInd w:val="0"/>
              <w:spacing w:line="400" w:lineRule="exact"/>
              <w:jc w:val="center"/>
              <w:rPr>
                <w:szCs w:val="21"/>
              </w:rPr>
            </w:pPr>
          </w:p>
        </w:tc>
        <w:tc>
          <w:tcPr>
            <w:tcW w:w="9360" w:type="dxa"/>
            <w:gridSpan w:val="3"/>
            <w:vMerge w:val="continue"/>
            <w:vAlign w:val="center"/>
          </w:tcPr>
          <w:p>
            <w:pPr>
              <w:autoSpaceDE w:val="0"/>
              <w:autoSpaceDN w:val="0"/>
              <w:adjustRightInd w:val="0"/>
              <w:spacing w:line="360" w:lineRule="auto"/>
              <w:rPr>
                <w:rFonts w:hAnsi="宋体"/>
                <w:szCs w:val="21"/>
                <w:lang w:val="zh-CN"/>
              </w:rPr>
            </w:pPr>
          </w:p>
        </w:tc>
        <w:tc>
          <w:tcPr>
            <w:tcW w:w="1080" w:type="dxa"/>
            <w:vAlign w:val="center"/>
          </w:tcPr>
          <w:p>
            <w:pPr>
              <w:autoSpaceDE w:val="0"/>
              <w:autoSpaceDN w:val="0"/>
              <w:adjustRightInd w:val="0"/>
              <w:spacing w:line="360" w:lineRule="auto"/>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9" w:hRule="atLeast"/>
        </w:trPr>
        <w:tc>
          <w:tcPr>
            <w:tcW w:w="1800" w:type="dxa"/>
            <w:gridSpan w:val="2"/>
            <w:vAlign w:val="center"/>
          </w:tcPr>
          <w:p>
            <w:pPr>
              <w:autoSpaceDE w:val="0"/>
              <w:autoSpaceDN w:val="0"/>
              <w:adjustRightInd w:val="0"/>
              <w:spacing w:line="400" w:lineRule="exact"/>
              <w:jc w:val="center"/>
              <w:rPr>
                <w:szCs w:val="21"/>
              </w:rPr>
            </w:pPr>
            <w:r>
              <w:rPr>
                <w:szCs w:val="21"/>
                <w:lang w:val="zh-CN"/>
              </w:rPr>
              <w:t>总计</w:t>
            </w:r>
          </w:p>
        </w:tc>
        <w:tc>
          <w:tcPr>
            <w:tcW w:w="1552" w:type="dxa"/>
            <w:vAlign w:val="center"/>
          </w:tcPr>
          <w:p>
            <w:pPr>
              <w:autoSpaceDE w:val="0"/>
              <w:autoSpaceDN w:val="0"/>
              <w:adjustRightInd w:val="0"/>
              <w:spacing w:line="400" w:lineRule="exact"/>
              <w:jc w:val="center"/>
              <w:rPr>
                <w:szCs w:val="21"/>
              </w:rPr>
            </w:pPr>
            <w:r>
              <w:rPr>
                <w:szCs w:val="21"/>
              </w:rPr>
              <w:t>100</w:t>
            </w:r>
          </w:p>
        </w:tc>
        <w:tc>
          <w:tcPr>
            <w:tcW w:w="9360" w:type="dxa"/>
            <w:gridSpan w:val="3"/>
            <w:vAlign w:val="center"/>
          </w:tcPr>
          <w:p>
            <w:pPr>
              <w:autoSpaceDE w:val="0"/>
              <w:autoSpaceDN w:val="0"/>
              <w:adjustRightInd w:val="0"/>
              <w:spacing w:line="400" w:lineRule="exact"/>
              <w:jc w:val="center"/>
              <w:rPr>
                <w:szCs w:val="21"/>
              </w:rPr>
            </w:pPr>
          </w:p>
        </w:tc>
        <w:tc>
          <w:tcPr>
            <w:tcW w:w="1080" w:type="dxa"/>
            <w:vAlign w:val="center"/>
          </w:tcPr>
          <w:p>
            <w:pPr>
              <w:autoSpaceDE w:val="0"/>
              <w:autoSpaceDN w:val="0"/>
              <w:adjustRightInd w:val="0"/>
              <w:spacing w:line="400" w:lineRule="exact"/>
              <w:jc w:val="center"/>
              <w:rPr>
                <w:szCs w:val="21"/>
              </w:rPr>
            </w:pPr>
          </w:p>
        </w:tc>
      </w:tr>
    </w:tbl>
    <w:p>
      <w:pPr>
        <w:spacing w:line="360" w:lineRule="auto"/>
        <w:rPr>
          <w:rFonts w:hAnsi="宋体"/>
          <w:color w:val="0000FF"/>
        </w:rPr>
      </w:pPr>
    </w:p>
    <w:p>
      <w:pPr>
        <w:pStyle w:val="34"/>
        <w:sectPr>
          <w:footerReference r:id="rId7" w:type="default"/>
          <w:pgSz w:w="16838" w:h="11905" w:orient="landscape"/>
          <w:pgMar w:top="1134" w:right="1440" w:bottom="1134" w:left="1440" w:header="851" w:footer="992" w:gutter="0"/>
          <w:cols w:space="0" w:num="1"/>
          <w:docGrid w:type="lines" w:linePitch="321" w:charSpace="0"/>
        </w:sectPr>
      </w:pPr>
    </w:p>
    <w:p>
      <w:pPr>
        <w:spacing w:line="360" w:lineRule="auto"/>
        <w:rPr>
          <w:rStyle w:val="35"/>
          <w:strike/>
        </w:rPr>
      </w:pPr>
      <w:bookmarkStart w:id="39" w:name="_Toc136263006"/>
      <w:r>
        <w:rPr>
          <w:rStyle w:val="35"/>
          <w:rFonts w:hint="eastAsia"/>
          <w:strike/>
        </w:rPr>
        <w:t>附录</w:t>
      </w:r>
      <w:r>
        <w:rPr>
          <w:rStyle w:val="35"/>
          <w:strike/>
        </w:rPr>
        <w:t>16</w:t>
      </w:r>
      <w:r>
        <w:rPr>
          <w:rStyle w:val="35"/>
          <w:rFonts w:hint="eastAsia"/>
          <w:strike/>
        </w:rPr>
        <w:t>（适用于投票法）</w:t>
      </w:r>
      <w:bookmarkEnd w:id="39"/>
    </w:p>
    <w:p>
      <w:pPr>
        <w:jc w:val="center"/>
        <w:rPr>
          <w:rFonts w:ascii="宋体" w:hAnsi="宋体"/>
          <w:b/>
          <w:strike/>
          <w:sz w:val="32"/>
        </w:rPr>
      </w:pPr>
      <w:r>
        <w:rPr>
          <w:rFonts w:hint="eastAsia" w:ascii="宋体" w:hAnsi="宋体"/>
          <w:b/>
          <w:strike/>
          <w:sz w:val="32"/>
        </w:rPr>
        <w:t>投票汇总表格</w:t>
      </w:r>
    </w:p>
    <w:p>
      <w:pPr>
        <w:rPr>
          <w:rFonts w:ascii="宋体" w:hAnsi="宋体"/>
          <w:strike/>
        </w:rPr>
      </w:pPr>
      <w:r>
        <w:rPr>
          <w:rFonts w:hint="eastAsia" w:ascii="宋体" w:hAnsi="宋体"/>
          <w:strike/>
        </w:rPr>
        <w:t>项目名称：                                                                                       日期：       年    月    日</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0"/>
        <w:gridCol w:w="677"/>
        <w:gridCol w:w="677"/>
        <w:gridCol w:w="677"/>
        <w:gridCol w:w="677"/>
        <w:gridCol w:w="1275"/>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0" w:type="dxa"/>
            <w:vMerge w:val="restart"/>
            <w:vAlign w:val="center"/>
          </w:tcPr>
          <w:p>
            <w:pPr>
              <w:spacing w:line="360" w:lineRule="auto"/>
              <w:jc w:val="center"/>
              <w:rPr>
                <w:rFonts w:ascii="宋体" w:hAnsi="宋体"/>
                <w:strike/>
              </w:rPr>
            </w:pPr>
            <w:r>
              <w:rPr>
                <w:rFonts w:hint="eastAsia" w:ascii="宋体" w:hAnsi="宋体"/>
                <w:strike/>
              </w:rPr>
              <w:t>方案编号</w:t>
            </w:r>
          </w:p>
        </w:tc>
        <w:tc>
          <w:tcPr>
            <w:tcW w:w="1420" w:type="dxa"/>
            <w:vMerge w:val="restart"/>
            <w:vAlign w:val="center"/>
          </w:tcPr>
          <w:p>
            <w:pPr>
              <w:spacing w:line="360" w:lineRule="auto"/>
              <w:jc w:val="center"/>
              <w:rPr>
                <w:rFonts w:ascii="宋体" w:hAnsi="宋体"/>
                <w:strike/>
              </w:rPr>
            </w:pPr>
            <w:r>
              <w:rPr>
                <w:rFonts w:hint="eastAsia" w:ascii="宋体" w:hAnsi="宋体"/>
                <w:strike/>
              </w:rPr>
              <w:t>第一轮得票</w:t>
            </w:r>
          </w:p>
        </w:tc>
        <w:tc>
          <w:tcPr>
            <w:tcW w:w="1420" w:type="dxa"/>
            <w:vMerge w:val="restart"/>
            <w:vAlign w:val="center"/>
          </w:tcPr>
          <w:p>
            <w:pPr>
              <w:spacing w:line="360" w:lineRule="auto"/>
              <w:jc w:val="center"/>
              <w:rPr>
                <w:rFonts w:ascii="宋体" w:hAnsi="宋体"/>
                <w:strike/>
              </w:rPr>
            </w:pPr>
            <w:r>
              <w:rPr>
                <w:rFonts w:hint="eastAsia" w:ascii="宋体" w:hAnsi="宋体"/>
                <w:strike/>
              </w:rPr>
              <w:t>第二轮得票</w:t>
            </w:r>
          </w:p>
        </w:tc>
        <w:tc>
          <w:tcPr>
            <w:tcW w:w="1420" w:type="dxa"/>
            <w:vMerge w:val="restart"/>
            <w:vAlign w:val="center"/>
          </w:tcPr>
          <w:p>
            <w:pPr>
              <w:spacing w:line="360" w:lineRule="auto"/>
              <w:jc w:val="center"/>
              <w:rPr>
                <w:rFonts w:ascii="宋体" w:hAnsi="宋体"/>
                <w:strike/>
              </w:rPr>
            </w:pPr>
            <w:r>
              <w:rPr>
                <w:rFonts w:hint="eastAsia" w:ascii="宋体" w:hAnsi="宋体"/>
                <w:strike/>
              </w:rPr>
              <w:t>第三轮得票</w:t>
            </w:r>
          </w:p>
        </w:tc>
        <w:tc>
          <w:tcPr>
            <w:tcW w:w="1420" w:type="dxa"/>
            <w:vMerge w:val="restart"/>
            <w:vAlign w:val="center"/>
          </w:tcPr>
          <w:p>
            <w:pPr>
              <w:spacing w:line="360" w:lineRule="auto"/>
              <w:jc w:val="center"/>
              <w:rPr>
                <w:rFonts w:ascii="宋体" w:hAnsi="宋体"/>
                <w:strike/>
              </w:rPr>
            </w:pPr>
            <w:r>
              <w:rPr>
                <w:rFonts w:hint="eastAsia" w:ascii="宋体" w:hAnsi="宋体"/>
                <w:strike/>
              </w:rPr>
              <w:t>第四轮得票</w:t>
            </w:r>
          </w:p>
        </w:tc>
        <w:tc>
          <w:tcPr>
            <w:tcW w:w="2708" w:type="dxa"/>
            <w:gridSpan w:val="4"/>
            <w:vAlign w:val="center"/>
          </w:tcPr>
          <w:p>
            <w:pPr>
              <w:spacing w:line="360" w:lineRule="auto"/>
              <w:jc w:val="center"/>
              <w:rPr>
                <w:rFonts w:ascii="宋体" w:hAnsi="宋体"/>
                <w:strike/>
              </w:rPr>
            </w:pPr>
            <w:r>
              <w:rPr>
                <w:rFonts w:hint="eastAsia" w:ascii="宋体" w:hAnsi="宋体"/>
                <w:strike/>
              </w:rPr>
              <w:t>每轮得票相同的排序</w:t>
            </w:r>
          </w:p>
        </w:tc>
        <w:tc>
          <w:tcPr>
            <w:tcW w:w="1275" w:type="dxa"/>
            <w:vMerge w:val="restart"/>
            <w:vAlign w:val="center"/>
          </w:tcPr>
          <w:p>
            <w:pPr>
              <w:spacing w:line="360" w:lineRule="auto"/>
              <w:jc w:val="center"/>
              <w:rPr>
                <w:rFonts w:ascii="宋体" w:hAnsi="宋体"/>
                <w:strike/>
              </w:rPr>
            </w:pPr>
            <w:r>
              <w:rPr>
                <w:rFonts w:hint="eastAsia" w:ascii="宋体" w:hAnsi="宋体"/>
                <w:strike/>
              </w:rPr>
              <w:t>排列名次</w:t>
            </w:r>
          </w:p>
        </w:tc>
        <w:tc>
          <w:tcPr>
            <w:tcW w:w="3045" w:type="dxa"/>
            <w:vMerge w:val="restart"/>
            <w:vAlign w:val="center"/>
          </w:tcPr>
          <w:p>
            <w:pPr>
              <w:spacing w:line="360" w:lineRule="auto"/>
              <w:jc w:val="center"/>
              <w:rPr>
                <w:rFonts w:ascii="宋体" w:hAnsi="宋体"/>
                <w:strike/>
              </w:rPr>
            </w:pPr>
            <w:r>
              <w:rPr>
                <w:rFonts w:hint="eastAsia" w:ascii="宋体" w:hAnsi="宋体"/>
                <w:strike/>
              </w:rPr>
              <w:t>投标人名称</w:t>
            </w:r>
          </w:p>
          <w:p>
            <w:pPr>
              <w:spacing w:line="360" w:lineRule="auto"/>
              <w:jc w:val="center"/>
              <w:rPr>
                <w:rFonts w:ascii="宋体" w:hAnsi="宋体"/>
                <w:strike/>
              </w:rPr>
            </w:pPr>
            <w:r>
              <w:rPr>
                <w:rFonts w:hint="eastAsia" w:ascii="宋体" w:hAnsi="宋体"/>
                <w:strike/>
              </w:rPr>
              <w:t>（代表）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20" w:type="dxa"/>
            <w:vMerge w:val="continue"/>
          </w:tcPr>
          <w:p>
            <w:pPr>
              <w:spacing w:line="360" w:lineRule="auto"/>
              <w:jc w:val="center"/>
              <w:rPr>
                <w:rFonts w:ascii="宋体" w:hAnsi="宋体"/>
                <w:strike/>
              </w:rPr>
            </w:pPr>
          </w:p>
        </w:tc>
        <w:tc>
          <w:tcPr>
            <w:tcW w:w="1420" w:type="dxa"/>
            <w:vMerge w:val="continue"/>
          </w:tcPr>
          <w:p>
            <w:pPr>
              <w:spacing w:line="360" w:lineRule="auto"/>
              <w:jc w:val="center"/>
              <w:rPr>
                <w:rFonts w:ascii="宋体" w:hAnsi="宋体"/>
                <w:strike/>
              </w:rPr>
            </w:pPr>
          </w:p>
        </w:tc>
        <w:tc>
          <w:tcPr>
            <w:tcW w:w="1420" w:type="dxa"/>
            <w:vMerge w:val="continue"/>
          </w:tcPr>
          <w:p>
            <w:pPr>
              <w:spacing w:line="360" w:lineRule="auto"/>
              <w:jc w:val="center"/>
              <w:rPr>
                <w:rFonts w:ascii="宋体" w:hAnsi="宋体"/>
                <w:strike/>
              </w:rPr>
            </w:pPr>
          </w:p>
        </w:tc>
        <w:tc>
          <w:tcPr>
            <w:tcW w:w="1420" w:type="dxa"/>
            <w:vMerge w:val="continue"/>
          </w:tcPr>
          <w:p>
            <w:pPr>
              <w:spacing w:line="360" w:lineRule="auto"/>
              <w:jc w:val="center"/>
              <w:rPr>
                <w:rFonts w:ascii="宋体" w:hAnsi="宋体"/>
                <w:strike/>
              </w:rPr>
            </w:pPr>
          </w:p>
        </w:tc>
        <w:tc>
          <w:tcPr>
            <w:tcW w:w="1420" w:type="dxa"/>
            <w:vMerge w:val="continue"/>
          </w:tcPr>
          <w:p>
            <w:pPr>
              <w:spacing w:line="360" w:lineRule="auto"/>
              <w:jc w:val="center"/>
              <w:rPr>
                <w:rFonts w:ascii="宋体" w:hAnsi="宋体"/>
                <w:strike/>
              </w:rPr>
            </w:pPr>
          </w:p>
        </w:tc>
        <w:tc>
          <w:tcPr>
            <w:tcW w:w="677" w:type="dxa"/>
          </w:tcPr>
          <w:p>
            <w:pPr>
              <w:spacing w:line="360" w:lineRule="auto"/>
              <w:jc w:val="center"/>
              <w:rPr>
                <w:rFonts w:ascii="宋体" w:hAnsi="宋体"/>
                <w:strike/>
              </w:rPr>
            </w:pPr>
            <w:r>
              <w:rPr>
                <w:rFonts w:hint="eastAsia" w:ascii="宋体" w:hAnsi="宋体"/>
                <w:strike/>
              </w:rPr>
              <w:t>1</w:t>
            </w:r>
          </w:p>
        </w:tc>
        <w:tc>
          <w:tcPr>
            <w:tcW w:w="677" w:type="dxa"/>
          </w:tcPr>
          <w:p>
            <w:pPr>
              <w:spacing w:line="360" w:lineRule="auto"/>
              <w:jc w:val="center"/>
              <w:rPr>
                <w:rFonts w:ascii="宋体" w:hAnsi="宋体"/>
                <w:strike/>
              </w:rPr>
            </w:pPr>
            <w:r>
              <w:rPr>
                <w:rFonts w:hint="eastAsia" w:ascii="宋体" w:hAnsi="宋体"/>
                <w:strike/>
              </w:rPr>
              <w:t>2</w:t>
            </w:r>
          </w:p>
        </w:tc>
        <w:tc>
          <w:tcPr>
            <w:tcW w:w="677" w:type="dxa"/>
          </w:tcPr>
          <w:p>
            <w:pPr>
              <w:spacing w:line="360" w:lineRule="auto"/>
              <w:jc w:val="center"/>
              <w:rPr>
                <w:rFonts w:ascii="宋体" w:hAnsi="宋体"/>
                <w:strike/>
              </w:rPr>
            </w:pPr>
            <w:r>
              <w:rPr>
                <w:rFonts w:hint="eastAsia" w:ascii="宋体" w:hAnsi="宋体"/>
                <w:strike/>
              </w:rPr>
              <w:t>3</w:t>
            </w:r>
          </w:p>
        </w:tc>
        <w:tc>
          <w:tcPr>
            <w:tcW w:w="677" w:type="dxa"/>
          </w:tcPr>
          <w:p>
            <w:pPr>
              <w:spacing w:line="360" w:lineRule="auto"/>
              <w:jc w:val="center"/>
              <w:rPr>
                <w:rFonts w:ascii="宋体" w:hAnsi="宋体"/>
                <w:strike/>
              </w:rPr>
            </w:pPr>
            <w:r>
              <w:rPr>
                <w:rFonts w:hint="eastAsia" w:ascii="宋体" w:hAnsi="宋体"/>
                <w:strike/>
              </w:rPr>
              <w:t>4</w:t>
            </w:r>
          </w:p>
        </w:tc>
        <w:tc>
          <w:tcPr>
            <w:tcW w:w="1275" w:type="dxa"/>
            <w:vMerge w:val="continue"/>
          </w:tcPr>
          <w:p>
            <w:pPr>
              <w:spacing w:line="360" w:lineRule="auto"/>
              <w:jc w:val="center"/>
              <w:rPr>
                <w:rFonts w:ascii="宋体" w:hAnsi="宋体"/>
                <w:strike/>
              </w:rPr>
            </w:pPr>
          </w:p>
        </w:tc>
        <w:tc>
          <w:tcPr>
            <w:tcW w:w="3045" w:type="dxa"/>
            <w:vMerge w:val="continue"/>
          </w:tcPr>
          <w:p>
            <w:pPr>
              <w:spacing w:line="360" w:lineRule="auto"/>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20" w:type="dxa"/>
          </w:tcPr>
          <w:p>
            <w:pPr>
              <w:spacing w:line="480" w:lineRule="auto"/>
              <w:jc w:val="center"/>
              <w:rPr>
                <w:rFonts w:ascii="宋体" w:hAnsi="宋体"/>
                <w:strike/>
              </w:rPr>
            </w:pPr>
            <w:r>
              <w:rPr>
                <w:rFonts w:hint="eastAsia" w:ascii="宋体" w:hAnsi="宋体"/>
                <w:strike/>
              </w:rPr>
              <w:t>1</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2</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3</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4</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5</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6</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7</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8</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1275" w:type="dxa"/>
          </w:tcPr>
          <w:p>
            <w:pPr>
              <w:spacing w:line="480" w:lineRule="auto"/>
              <w:rPr>
                <w:rFonts w:ascii="宋体" w:hAnsi="宋体"/>
                <w:strike/>
              </w:rPr>
            </w:pPr>
          </w:p>
        </w:tc>
        <w:tc>
          <w:tcPr>
            <w:tcW w:w="3045" w:type="dxa"/>
          </w:tcPr>
          <w:p>
            <w:pPr>
              <w:spacing w:line="480" w:lineRule="auto"/>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tcPr>
          <w:p>
            <w:pPr>
              <w:spacing w:line="480" w:lineRule="auto"/>
              <w:jc w:val="center"/>
              <w:rPr>
                <w:rFonts w:ascii="宋体" w:hAnsi="宋体"/>
                <w:strike/>
              </w:rPr>
            </w:pPr>
            <w:r>
              <w:rPr>
                <w:rFonts w:hint="eastAsia" w:ascii="宋体" w:hAnsi="宋体"/>
                <w:strike/>
              </w:rPr>
              <w:t>…</w:t>
            </w:r>
          </w:p>
        </w:tc>
        <w:tc>
          <w:tcPr>
            <w:tcW w:w="1420" w:type="dxa"/>
          </w:tcPr>
          <w:p>
            <w:pPr>
              <w:spacing w:line="480" w:lineRule="auto"/>
              <w:rPr>
                <w:rFonts w:ascii="宋体" w:hAnsi="宋体"/>
                <w:strike/>
              </w:rPr>
            </w:pPr>
          </w:p>
        </w:tc>
        <w:tc>
          <w:tcPr>
            <w:tcW w:w="1420" w:type="dxa"/>
          </w:tcPr>
          <w:p>
            <w:pPr>
              <w:spacing w:line="480" w:lineRule="auto"/>
              <w:rPr>
                <w:rFonts w:ascii="宋体" w:hAnsi="宋体"/>
                <w:strike/>
              </w:rPr>
            </w:pPr>
          </w:p>
        </w:tc>
        <w:tc>
          <w:tcPr>
            <w:tcW w:w="1420" w:type="dxa"/>
            <w:vAlign w:val="bottom"/>
          </w:tcPr>
          <w:p>
            <w:pPr>
              <w:spacing w:line="480" w:lineRule="auto"/>
              <w:jc w:val="center"/>
              <w:rPr>
                <w:rFonts w:ascii="宋体" w:hAnsi="宋体"/>
                <w:strike/>
              </w:rPr>
            </w:pPr>
          </w:p>
        </w:tc>
        <w:tc>
          <w:tcPr>
            <w:tcW w:w="1420"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tcPr>
          <w:p>
            <w:pPr>
              <w:spacing w:line="480" w:lineRule="auto"/>
              <w:rPr>
                <w:rFonts w:ascii="宋体" w:hAnsi="宋体"/>
                <w:strike/>
              </w:rPr>
            </w:pPr>
          </w:p>
        </w:tc>
        <w:tc>
          <w:tcPr>
            <w:tcW w:w="677" w:type="dxa"/>
            <w:vAlign w:val="bottom"/>
          </w:tcPr>
          <w:p>
            <w:pPr>
              <w:spacing w:line="480" w:lineRule="auto"/>
              <w:rPr>
                <w:rFonts w:ascii="宋体" w:hAnsi="宋体"/>
                <w:strike/>
              </w:rPr>
            </w:pPr>
          </w:p>
        </w:tc>
        <w:tc>
          <w:tcPr>
            <w:tcW w:w="677" w:type="dxa"/>
            <w:vAlign w:val="bottom"/>
          </w:tcPr>
          <w:p>
            <w:pPr>
              <w:spacing w:line="480" w:lineRule="auto"/>
              <w:rPr>
                <w:rFonts w:ascii="宋体" w:hAnsi="宋体"/>
                <w:strike/>
              </w:rPr>
            </w:pPr>
          </w:p>
        </w:tc>
        <w:tc>
          <w:tcPr>
            <w:tcW w:w="1275" w:type="dxa"/>
            <w:vAlign w:val="bottom"/>
          </w:tcPr>
          <w:p>
            <w:pPr>
              <w:spacing w:line="480" w:lineRule="auto"/>
              <w:jc w:val="center"/>
              <w:rPr>
                <w:rFonts w:ascii="宋体" w:hAnsi="宋体"/>
                <w:strike/>
              </w:rPr>
            </w:pPr>
          </w:p>
        </w:tc>
        <w:tc>
          <w:tcPr>
            <w:tcW w:w="3045" w:type="dxa"/>
            <w:vAlign w:val="bottom"/>
          </w:tcPr>
          <w:p>
            <w:pPr>
              <w:spacing w:line="480" w:lineRule="auto"/>
              <w:jc w:val="center"/>
              <w:rPr>
                <w:rFonts w:ascii="宋体" w:hAnsi="宋体"/>
                <w:strike/>
              </w:rPr>
            </w:pPr>
          </w:p>
        </w:tc>
      </w:tr>
    </w:tbl>
    <w:p>
      <w:pPr>
        <w:rPr>
          <w:rFonts w:ascii="宋体" w:hAnsi="宋体"/>
          <w:strike/>
        </w:rPr>
      </w:pPr>
      <w:r>
        <w:rPr>
          <w:rFonts w:hint="eastAsia" w:ascii="宋体" w:hAnsi="宋体"/>
          <w:strike/>
        </w:rPr>
        <w:t>计票人：           见证人：           代理机构代表：             评标委员会全体成员签字：</w:t>
      </w:r>
    </w:p>
    <w:p>
      <w:pPr>
        <w:spacing w:line="360" w:lineRule="auto"/>
        <w:rPr>
          <w:rStyle w:val="35"/>
          <w:strike/>
        </w:rPr>
      </w:pPr>
      <w:r>
        <w:rPr>
          <w:rFonts w:ascii="宋体" w:hAnsi="宋体"/>
          <w:strike/>
        </w:rPr>
        <w:br w:type="page"/>
      </w:r>
      <w:bookmarkStart w:id="40" w:name="_Toc136263007"/>
      <w:r>
        <w:rPr>
          <w:rStyle w:val="35"/>
          <w:rFonts w:hint="eastAsia"/>
          <w:strike/>
        </w:rPr>
        <w:t>附录</w:t>
      </w:r>
      <w:r>
        <w:rPr>
          <w:rStyle w:val="35"/>
          <w:strike/>
        </w:rPr>
        <w:t>17</w:t>
      </w:r>
      <w:r>
        <w:rPr>
          <w:rStyle w:val="35"/>
          <w:rFonts w:hint="eastAsia"/>
          <w:strike/>
        </w:rPr>
        <w:t>（适用于投票法）</w:t>
      </w:r>
      <w:bookmarkEnd w:id="40"/>
    </w:p>
    <w:p>
      <w:pPr>
        <w:jc w:val="center"/>
        <w:rPr>
          <w:rFonts w:ascii="宋体" w:hAnsi="宋体"/>
          <w:strike/>
          <w:sz w:val="24"/>
        </w:rPr>
      </w:pPr>
      <w:r>
        <w:rPr>
          <w:rFonts w:hint="eastAsia" w:ascii="宋体" w:hAnsi="宋体"/>
          <w:b/>
          <w:bCs/>
          <w:strike/>
          <w:sz w:val="32"/>
        </w:rPr>
        <w:t>市政工程设计方案评审记录表</w:t>
      </w:r>
    </w:p>
    <w:p>
      <w:pPr>
        <w:rPr>
          <w:rFonts w:ascii="宋体" w:hAnsi="宋体"/>
          <w:strike/>
        </w:rPr>
      </w:pPr>
      <w:r>
        <w:rPr>
          <w:rFonts w:hint="eastAsia" w:ascii="宋体" w:hAnsi="宋体"/>
          <w:strike/>
        </w:rPr>
        <w:t>项目名称：</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7992"/>
        <w:gridCol w:w="1548"/>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728" w:type="dxa"/>
          </w:tcPr>
          <w:p>
            <w:pPr>
              <w:jc w:val="center"/>
              <w:rPr>
                <w:rFonts w:ascii="宋体" w:hAnsi="宋体"/>
                <w:strike/>
              </w:rPr>
            </w:pPr>
            <w:r>
              <w:rPr>
                <w:rFonts w:hint="eastAsia" w:ascii="宋体" w:hAnsi="宋体"/>
                <w:strike/>
              </w:rPr>
              <w:t>序号</w:t>
            </w:r>
          </w:p>
        </w:tc>
        <w:tc>
          <w:tcPr>
            <w:tcW w:w="7992" w:type="dxa"/>
          </w:tcPr>
          <w:p>
            <w:pPr>
              <w:jc w:val="center"/>
              <w:rPr>
                <w:rFonts w:ascii="宋体" w:hAnsi="宋体"/>
                <w:strike/>
              </w:rPr>
            </w:pPr>
            <w:r>
              <w:rPr>
                <w:rFonts w:hint="eastAsia" w:ascii="宋体" w:hAnsi="宋体"/>
                <w:strike/>
              </w:rPr>
              <w:t>主要评判因素</w:t>
            </w:r>
          </w:p>
        </w:tc>
        <w:tc>
          <w:tcPr>
            <w:tcW w:w="1548" w:type="dxa"/>
          </w:tcPr>
          <w:p>
            <w:pPr>
              <w:jc w:val="center"/>
              <w:rPr>
                <w:rFonts w:ascii="宋体" w:hAnsi="宋体"/>
                <w:strike/>
              </w:rPr>
            </w:pPr>
            <w:r>
              <w:rPr>
                <w:rFonts w:hint="eastAsia" w:ascii="宋体" w:hAnsi="宋体"/>
                <w:strike/>
              </w:rPr>
              <w:t>较好方案</w:t>
            </w:r>
          </w:p>
        </w:tc>
        <w:tc>
          <w:tcPr>
            <w:tcW w:w="1440" w:type="dxa"/>
          </w:tcPr>
          <w:p>
            <w:pPr>
              <w:jc w:val="center"/>
              <w:rPr>
                <w:rFonts w:ascii="宋体" w:hAnsi="宋体"/>
                <w:strike/>
              </w:rPr>
            </w:pPr>
            <w:r>
              <w:rPr>
                <w:rFonts w:hint="eastAsia" w:ascii="宋体" w:hAnsi="宋体"/>
                <w:strike/>
              </w:rPr>
              <w:t>一般方案</w:t>
            </w:r>
          </w:p>
        </w:tc>
        <w:tc>
          <w:tcPr>
            <w:tcW w:w="1440" w:type="dxa"/>
          </w:tcPr>
          <w:p>
            <w:pPr>
              <w:jc w:val="center"/>
              <w:rPr>
                <w:rFonts w:ascii="宋体" w:hAnsi="宋体"/>
                <w:strike/>
              </w:rPr>
            </w:pPr>
            <w:r>
              <w:rPr>
                <w:rFonts w:hint="eastAsia" w:ascii="宋体" w:hAnsi="宋体"/>
                <w:strike/>
              </w:rPr>
              <w:t>较差方案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 xml:space="preserve">1整体设计 </w:t>
            </w:r>
          </w:p>
        </w:tc>
        <w:tc>
          <w:tcPr>
            <w:tcW w:w="7992" w:type="dxa"/>
            <w:vAlign w:val="center"/>
          </w:tcPr>
          <w:p>
            <w:pPr>
              <w:rPr>
                <w:rFonts w:ascii="宋体" w:hAnsi="宋体"/>
                <w:strike/>
              </w:rPr>
            </w:pPr>
            <w:r>
              <w:rPr>
                <w:strike/>
                <w:szCs w:val="21"/>
                <w:lang w:val="zh-CN"/>
              </w:rPr>
              <w:t>整个设计内容符合招标文件要求，内容全面，设计总说明书文字表达清楚、思路清晰、重点和难点突出、图纸及文卷质量高。</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2规划</w:t>
            </w:r>
          </w:p>
        </w:tc>
        <w:tc>
          <w:tcPr>
            <w:tcW w:w="7992" w:type="dxa"/>
            <w:vAlign w:val="center"/>
          </w:tcPr>
          <w:p>
            <w:pPr>
              <w:rPr>
                <w:rFonts w:ascii="宋体" w:hAnsi="宋体"/>
                <w:strike/>
              </w:rPr>
            </w:pPr>
            <w:r>
              <w:rPr>
                <w:rFonts w:hAnsi="宋体"/>
                <w:strike/>
                <w:szCs w:val="21"/>
                <w:lang w:val="zh-CN"/>
              </w:rPr>
              <w:t>正确理解并执行规划建设意图，与周边路网、管网规划协调一致；对区域内路网的交通组织完善合理，总体思路清晰；路线平、纵、横等设计科学合理；道路、桥涵、排水之间的关系处理得当。</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3</w:t>
            </w:r>
            <w:r>
              <w:rPr>
                <w:rFonts w:hAnsi="宋体"/>
                <w:strike/>
                <w:szCs w:val="21"/>
                <w:lang w:val="zh-CN"/>
              </w:rPr>
              <w:t>交叉节点</w:t>
            </w:r>
          </w:p>
        </w:tc>
        <w:tc>
          <w:tcPr>
            <w:tcW w:w="7992" w:type="dxa"/>
            <w:vAlign w:val="center"/>
          </w:tcPr>
          <w:p>
            <w:pPr>
              <w:rPr>
                <w:rFonts w:ascii="宋体" w:hAnsi="宋体"/>
                <w:strike/>
              </w:rPr>
            </w:pPr>
            <w:r>
              <w:rPr>
                <w:rFonts w:hAnsi="宋体"/>
                <w:strike/>
                <w:szCs w:val="21"/>
                <w:lang w:val="zh-CN"/>
              </w:rPr>
              <w:t>交叉节点功能定位合理；平、纵、横等设计指标符合规范且标准较高，技术措施优良。</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4</w:t>
            </w:r>
            <w:r>
              <w:rPr>
                <w:rFonts w:hAnsi="宋体"/>
                <w:strike/>
                <w:szCs w:val="21"/>
                <w:lang w:val="zh-CN"/>
              </w:rPr>
              <w:t>桥梁</w:t>
            </w:r>
          </w:p>
        </w:tc>
        <w:tc>
          <w:tcPr>
            <w:tcW w:w="7992" w:type="dxa"/>
            <w:vAlign w:val="center"/>
          </w:tcPr>
          <w:p>
            <w:pPr>
              <w:rPr>
                <w:rFonts w:ascii="宋体" w:hAnsi="宋体"/>
                <w:strike/>
              </w:rPr>
            </w:pPr>
            <w:r>
              <w:rPr>
                <w:rFonts w:hAnsi="宋体"/>
                <w:strike/>
                <w:szCs w:val="21"/>
                <w:lang w:val="zh-CN"/>
              </w:rPr>
              <w:t>桥梁结构方案合理，满足安全性、经济性、工艺可行、有所创新、造型优美；各构件体量比例恰当、景观与功能协调统一。</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5</w:t>
            </w:r>
            <w:r>
              <w:rPr>
                <w:rFonts w:hAnsi="宋体"/>
                <w:strike/>
                <w:szCs w:val="21"/>
                <w:lang w:val="zh-CN"/>
              </w:rPr>
              <w:t>路基</w:t>
            </w:r>
          </w:p>
        </w:tc>
        <w:tc>
          <w:tcPr>
            <w:tcW w:w="7992" w:type="dxa"/>
            <w:vAlign w:val="center"/>
          </w:tcPr>
          <w:p>
            <w:pPr>
              <w:rPr>
                <w:rFonts w:ascii="宋体" w:hAnsi="宋体"/>
                <w:strike/>
              </w:rPr>
            </w:pPr>
            <w:r>
              <w:rPr>
                <w:rFonts w:hAnsi="宋体"/>
                <w:strike/>
                <w:szCs w:val="21"/>
                <w:lang w:val="zh-CN"/>
              </w:rPr>
              <w:t>路基路面、不良地基处理、护坡及挡土墙等基础工程的设计安全、合理、经济且能满足工期的要求；土方平衡合理。</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6</w:t>
            </w:r>
            <w:r>
              <w:rPr>
                <w:rFonts w:hAnsi="宋体"/>
                <w:strike/>
                <w:szCs w:val="21"/>
                <w:lang w:val="zh-CN"/>
              </w:rPr>
              <w:t>公用设施</w:t>
            </w:r>
          </w:p>
        </w:tc>
        <w:tc>
          <w:tcPr>
            <w:tcW w:w="7992" w:type="dxa"/>
            <w:vAlign w:val="center"/>
          </w:tcPr>
          <w:p>
            <w:pPr>
              <w:rPr>
                <w:rFonts w:ascii="宋体" w:hAnsi="宋体"/>
                <w:strike/>
              </w:rPr>
            </w:pPr>
            <w:r>
              <w:rPr>
                <w:rFonts w:hAnsi="宋体"/>
                <w:strike/>
                <w:szCs w:val="21"/>
                <w:lang w:val="zh-CN"/>
              </w:rPr>
              <w:t>道路公用设施（公共交通站点布置、绿化照明、行人设施、道路元素等）设计科学合理、处理得当、特点鲜明。</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7</w:t>
            </w:r>
            <w:r>
              <w:rPr>
                <w:rFonts w:hAnsi="宋体"/>
                <w:strike/>
                <w:szCs w:val="21"/>
                <w:lang w:val="zh-CN"/>
              </w:rPr>
              <w:t>综合管线</w:t>
            </w:r>
          </w:p>
        </w:tc>
        <w:tc>
          <w:tcPr>
            <w:tcW w:w="7992" w:type="dxa"/>
            <w:vAlign w:val="center"/>
          </w:tcPr>
          <w:p>
            <w:pPr>
              <w:rPr>
                <w:rFonts w:ascii="宋体" w:hAnsi="宋体"/>
                <w:strike/>
              </w:rPr>
            </w:pPr>
            <w:r>
              <w:rPr>
                <w:rFonts w:hAnsi="宋体"/>
                <w:strike/>
                <w:szCs w:val="21"/>
                <w:lang w:val="zh-CN"/>
              </w:rPr>
              <w:t>综合管线的布置形式系统、合理、经济、实用；管理模式先进合理；能充分考虑与市政道路的衔接与协调。</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8排水设施</w:t>
            </w:r>
          </w:p>
        </w:tc>
        <w:tc>
          <w:tcPr>
            <w:tcW w:w="7992" w:type="dxa"/>
            <w:vAlign w:val="center"/>
          </w:tcPr>
          <w:p>
            <w:pPr>
              <w:rPr>
                <w:rFonts w:ascii="宋体" w:hAnsi="宋体"/>
                <w:strike/>
              </w:rPr>
            </w:pPr>
            <w:r>
              <w:rPr>
                <w:strike/>
              </w:rPr>
              <w:t>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r>
              <w:rPr>
                <w:rFonts w:hint="eastAsia"/>
                <w:strike/>
              </w:rPr>
              <w:t>。</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9施工期交通</w:t>
            </w:r>
          </w:p>
        </w:tc>
        <w:tc>
          <w:tcPr>
            <w:tcW w:w="7992" w:type="dxa"/>
            <w:vAlign w:val="center"/>
          </w:tcPr>
          <w:p>
            <w:pPr>
              <w:rPr>
                <w:rFonts w:ascii="宋体" w:hAnsi="宋体"/>
                <w:strike/>
              </w:rPr>
            </w:pPr>
            <w:r>
              <w:rPr>
                <w:rFonts w:hAnsi="宋体"/>
                <w:strike/>
                <w:szCs w:val="21"/>
                <w:lang w:val="zh-CN"/>
              </w:rPr>
              <w:t>施工期间交通组织、施工实施方案切合实际。</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10重点难点分析</w:t>
            </w:r>
          </w:p>
        </w:tc>
        <w:tc>
          <w:tcPr>
            <w:tcW w:w="7992" w:type="dxa"/>
            <w:vAlign w:val="center"/>
          </w:tcPr>
          <w:p>
            <w:pPr>
              <w:rPr>
                <w:rFonts w:ascii="宋体" w:hAnsi="宋体"/>
                <w:strike/>
              </w:rPr>
            </w:pPr>
            <w:r>
              <w:rPr>
                <w:rFonts w:hAnsi="宋体"/>
                <w:strike/>
                <w:szCs w:val="21"/>
                <w:lang w:val="zh-CN"/>
              </w:rPr>
              <w:t>工程建设和使用的重点、难点分析透彻，解决措施合理。</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11勘察方案</w:t>
            </w:r>
          </w:p>
        </w:tc>
        <w:tc>
          <w:tcPr>
            <w:tcW w:w="7992" w:type="dxa"/>
            <w:vAlign w:val="center"/>
          </w:tcPr>
          <w:p>
            <w:pPr>
              <w:rPr>
                <w:rFonts w:ascii="宋体" w:hAnsi="宋体"/>
                <w:strike/>
              </w:rPr>
            </w:pPr>
            <w:r>
              <w:rPr>
                <w:strike/>
              </w:rPr>
              <w:t>勘察方案</w:t>
            </w:r>
            <w:r>
              <w:rPr>
                <w:rFonts w:hint="eastAsia"/>
                <w:strike/>
              </w:rPr>
              <w:t>合理</w:t>
            </w:r>
            <w:r>
              <w:rPr>
                <w:strike/>
              </w:rPr>
              <w:t>可行，勘察的</w:t>
            </w:r>
            <w:r>
              <w:rPr>
                <w:rFonts w:hint="eastAsia"/>
                <w:strike/>
              </w:rPr>
              <w:t>重点、</w:t>
            </w:r>
            <w:r>
              <w:rPr>
                <w:strike/>
              </w:rPr>
              <w:t>难点理解准确，</w:t>
            </w:r>
            <w:r>
              <w:rPr>
                <w:rFonts w:hint="eastAsia"/>
                <w:strike/>
              </w:rPr>
              <w:t>建议</w:t>
            </w:r>
            <w:r>
              <w:rPr>
                <w:strike/>
              </w:rPr>
              <w:t>合理可行；勘察工作流程规范，工期进度计划合理可行</w:t>
            </w:r>
            <w:r>
              <w:rPr>
                <w:rFonts w:hint="eastAsia"/>
                <w:strike/>
              </w:rPr>
              <w:t>。</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12总投资</w:t>
            </w:r>
          </w:p>
        </w:tc>
        <w:tc>
          <w:tcPr>
            <w:tcW w:w="7992" w:type="dxa"/>
            <w:vAlign w:val="center"/>
          </w:tcPr>
          <w:p>
            <w:pPr>
              <w:rPr>
                <w:rFonts w:ascii="宋体" w:hAnsi="宋体"/>
                <w:strike/>
              </w:rPr>
            </w:pPr>
            <w:r>
              <w:rPr>
                <w:strike/>
                <w:szCs w:val="21"/>
                <w:lang w:val="zh-CN"/>
              </w:rPr>
              <w:t>工程总投资合理，节约工程总投资的措施及理由合理、可信、可行。</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13投资估算</w:t>
            </w:r>
          </w:p>
        </w:tc>
        <w:tc>
          <w:tcPr>
            <w:tcW w:w="7992" w:type="dxa"/>
            <w:vAlign w:val="center"/>
          </w:tcPr>
          <w:p>
            <w:pPr>
              <w:rPr>
                <w:rFonts w:ascii="宋体" w:hAnsi="宋体"/>
                <w:strike/>
              </w:rPr>
            </w:pPr>
            <w:r>
              <w:rPr>
                <w:strike/>
                <w:szCs w:val="21"/>
                <w:lang w:val="zh-CN"/>
              </w:rPr>
              <w:t>投资估算编制依据正确，达到相应的深度要求，编制质量高。</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728" w:type="dxa"/>
            <w:vAlign w:val="center"/>
          </w:tcPr>
          <w:p>
            <w:pPr>
              <w:rPr>
                <w:rFonts w:ascii="宋体" w:hAnsi="宋体"/>
                <w:strike/>
              </w:rPr>
            </w:pPr>
            <w:r>
              <w:rPr>
                <w:rFonts w:hint="eastAsia" w:ascii="宋体" w:hAnsi="宋体"/>
                <w:strike/>
              </w:rPr>
              <w:t>14…………</w:t>
            </w:r>
          </w:p>
        </w:tc>
        <w:tc>
          <w:tcPr>
            <w:tcW w:w="7992" w:type="dxa"/>
            <w:vAlign w:val="center"/>
          </w:tcPr>
          <w:p>
            <w:pPr>
              <w:rPr>
                <w:rFonts w:ascii="宋体" w:hAnsi="宋体"/>
                <w:strike/>
              </w:rPr>
            </w:pPr>
            <w:r>
              <w:rPr>
                <w:rFonts w:hint="eastAsia"/>
                <w:strike/>
              </w:rPr>
              <w:t>其他</w:t>
            </w: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728" w:type="dxa"/>
            <w:vAlign w:val="center"/>
          </w:tcPr>
          <w:p>
            <w:pPr>
              <w:jc w:val="center"/>
              <w:rPr>
                <w:rFonts w:ascii="宋体" w:hAnsi="宋体"/>
                <w:strike/>
              </w:rPr>
            </w:pPr>
            <w:r>
              <w:rPr>
                <w:rFonts w:hint="eastAsia" w:ascii="宋体" w:hAnsi="宋体"/>
                <w:strike/>
              </w:rPr>
              <w:t>综合评价</w:t>
            </w:r>
          </w:p>
        </w:tc>
        <w:tc>
          <w:tcPr>
            <w:tcW w:w="7992" w:type="dxa"/>
          </w:tcPr>
          <w:p>
            <w:pPr>
              <w:rPr>
                <w:rFonts w:ascii="宋体" w:hAnsi="宋体"/>
                <w:strike/>
              </w:rPr>
            </w:pPr>
          </w:p>
        </w:tc>
        <w:tc>
          <w:tcPr>
            <w:tcW w:w="1548" w:type="dxa"/>
          </w:tcPr>
          <w:p>
            <w:pPr>
              <w:jc w:val="center"/>
              <w:rPr>
                <w:rFonts w:ascii="宋体" w:hAnsi="宋体"/>
                <w:strike/>
              </w:rPr>
            </w:pPr>
          </w:p>
        </w:tc>
        <w:tc>
          <w:tcPr>
            <w:tcW w:w="1440" w:type="dxa"/>
          </w:tcPr>
          <w:p>
            <w:pPr>
              <w:jc w:val="center"/>
              <w:rPr>
                <w:rFonts w:ascii="宋体" w:hAnsi="宋体"/>
                <w:strike/>
              </w:rPr>
            </w:pPr>
          </w:p>
        </w:tc>
        <w:tc>
          <w:tcPr>
            <w:tcW w:w="1440" w:type="dxa"/>
          </w:tcPr>
          <w:p>
            <w:pPr>
              <w:jc w:val="center"/>
              <w:rPr>
                <w:rFonts w:ascii="宋体" w:hAnsi="宋体"/>
                <w:strike/>
              </w:rPr>
            </w:pPr>
          </w:p>
        </w:tc>
      </w:tr>
    </w:tbl>
    <w:p>
      <w:pPr>
        <w:rPr>
          <w:rFonts w:ascii="宋体" w:hAnsi="宋体"/>
          <w:strike/>
        </w:rPr>
      </w:pPr>
      <w:r>
        <w:rPr>
          <w:rFonts w:hint="eastAsia" w:ascii="宋体" w:hAnsi="宋体"/>
          <w:strike/>
        </w:rPr>
        <w:t>招标人可以根据项目类型、特点、设计价值观等情况增删评判因素。</w:t>
      </w:r>
    </w:p>
    <w:p>
      <w:pPr>
        <w:jc w:val="center"/>
        <w:rPr>
          <w:rFonts w:ascii="宋体" w:hAnsi="宋体"/>
          <w:strike/>
          <w:sz w:val="24"/>
        </w:rPr>
        <w:sectPr>
          <w:footerReference r:id="rId8" w:type="default"/>
          <w:footerReference r:id="rId9" w:type="even"/>
          <w:type w:val="nextColumn"/>
          <w:pgSz w:w="16838" w:h="11906" w:orient="landscape"/>
          <w:pgMar w:top="851" w:right="1440" w:bottom="1134" w:left="1440" w:header="851" w:footer="992" w:gutter="0"/>
          <w:cols w:space="425" w:num="1"/>
          <w:docGrid w:type="linesAndChars" w:linePitch="312" w:charSpace="0"/>
        </w:sectPr>
      </w:pPr>
      <w:r>
        <w:rPr>
          <w:rFonts w:hint="eastAsia" w:ascii="宋体" w:hAnsi="宋体"/>
          <w:strike/>
        </w:rPr>
        <w:t>评委签名：                                                                                       日期：       年    月    日</w:t>
      </w:r>
    </w:p>
    <w:p>
      <w:pPr>
        <w:spacing w:line="360" w:lineRule="auto"/>
        <w:rPr>
          <w:rStyle w:val="35"/>
          <w:strike/>
        </w:rPr>
      </w:pPr>
      <w:bookmarkStart w:id="41" w:name="_Toc136263008"/>
      <w:r>
        <w:rPr>
          <w:rStyle w:val="35"/>
          <w:rFonts w:hint="eastAsia"/>
          <w:strike/>
        </w:rPr>
        <w:t>附录</w:t>
      </w:r>
      <w:r>
        <w:rPr>
          <w:rStyle w:val="35"/>
          <w:strike/>
        </w:rPr>
        <w:t>18</w:t>
      </w:r>
      <w:r>
        <w:rPr>
          <w:rStyle w:val="35"/>
          <w:rFonts w:hint="eastAsia"/>
          <w:strike/>
        </w:rPr>
        <w:t>（适用于投票法）</w:t>
      </w:r>
      <w:bookmarkEnd w:id="41"/>
    </w:p>
    <w:p>
      <w:pPr>
        <w:pStyle w:val="16"/>
        <w:jc w:val="center"/>
        <w:rPr>
          <w:rFonts w:hAnsi="宋体"/>
          <w:b/>
          <w:strike/>
          <w:sz w:val="32"/>
        </w:rPr>
      </w:pPr>
      <w:r>
        <w:rPr>
          <w:rFonts w:hint="eastAsia" w:hAnsi="宋体"/>
          <w:b/>
          <w:strike/>
          <w:sz w:val="32"/>
        </w:rPr>
        <w:t>投票表格</w:t>
      </w:r>
    </w:p>
    <w:p>
      <w:pPr>
        <w:rPr>
          <w:rFonts w:ascii="宋体" w:hAnsi="宋体"/>
          <w:strike/>
          <w:sz w:val="24"/>
        </w:rPr>
      </w:pPr>
    </w:p>
    <w:p>
      <w:pPr>
        <w:rPr>
          <w:rFonts w:ascii="宋体" w:hAnsi="宋体"/>
          <w:strike/>
        </w:rPr>
      </w:pPr>
      <w:r>
        <w:rPr>
          <w:rFonts w:hint="eastAsia" w:ascii="宋体" w:hAnsi="宋体"/>
          <w:strike/>
        </w:rPr>
        <w:t>项目名称：</w:t>
      </w:r>
      <w:r>
        <w:rPr>
          <w:rFonts w:hint="eastAsia" w:ascii="宋体" w:hAnsi="宋体"/>
          <w:strike/>
          <w:u w:val="single"/>
        </w:rPr>
        <w:t xml:space="preserve">                             </w:t>
      </w:r>
    </w:p>
    <w:p>
      <w:pPr>
        <w:rPr>
          <w:rFonts w:ascii="宋体" w:hAnsi="宋体"/>
          <w:strik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917"/>
        <w:gridCol w:w="918"/>
        <w:gridCol w:w="917"/>
        <w:gridCol w:w="918"/>
        <w:gridCol w:w="917"/>
        <w:gridCol w:w="918"/>
        <w:gridCol w:w="91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rPr>
            </w:pPr>
            <w:r>
              <w:rPr>
                <w:rFonts w:hint="eastAsia" w:ascii="宋体" w:hAnsi="宋体"/>
                <w:strike/>
              </w:rPr>
              <w:t>第    轮</w:t>
            </w:r>
          </w:p>
        </w:tc>
        <w:tc>
          <w:tcPr>
            <w:tcW w:w="917" w:type="dxa"/>
            <w:tcBorders>
              <w:top w:val="double" w:color="auto" w:sz="4" w:space="0"/>
              <w:left w:val="single" w:color="auto" w:sz="4" w:space="0"/>
              <w:bottom w:val="double" w:color="auto" w:sz="4" w:space="0"/>
            </w:tcBorders>
          </w:tcPr>
          <w:p>
            <w:pPr>
              <w:rPr>
                <w:rFonts w:ascii="宋体" w:hAnsi="宋体"/>
                <w:strike/>
              </w:rPr>
            </w:pPr>
          </w:p>
        </w:tc>
        <w:tc>
          <w:tcPr>
            <w:tcW w:w="918" w:type="dxa"/>
            <w:tcBorders>
              <w:top w:val="double" w:color="auto" w:sz="4" w:space="0"/>
              <w:bottom w:val="double" w:color="auto" w:sz="4" w:space="0"/>
            </w:tcBorders>
          </w:tcPr>
          <w:p>
            <w:pPr>
              <w:rPr>
                <w:rFonts w:ascii="宋体" w:hAnsi="宋体"/>
                <w:strike/>
              </w:rPr>
            </w:pPr>
          </w:p>
        </w:tc>
        <w:tc>
          <w:tcPr>
            <w:tcW w:w="917" w:type="dxa"/>
            <w:tcBorders>
              <w:top w:val="double" w:color="auto" w:sz="4" w:space="0"/>
              <w:bottom w:val="double" w:color="auto" w:sz="4" w:space="0"/>
            </w:tcBorders>
          </w:tcPr>
          <w:p>
            <w:pPr>
              <w:rPr>
                <w:rFonts w:ascii="宋体" w:hAnsi="宋体"/>
                <w:strike/>
              </w:rPr>
            </w:pPr>
          </w:p>
        </w:tc>
        <w:tc>
          <w:tcPr>
            <w:tcW w:w="918" w:type="dxa"/>
            <w:tcBorders>
              <w:top w:val="double" w:color="auto" w:sz="4" w:space="0"/>
              <w:bottom w:val="double" w:color="auto" w:sz="4" w:space="0"/>
            </w:tcBorders>
          </w:tcPr>
          <w:p>
            <w:pPr>
              <w:rPr>
                <w:rFonts w:ascii="宋体" w:hAnsi="宋体"/>
                <w:strike/>
              </w:rPr>
            </w:pPr>
          </w:p>
        </w:tc>
        <w:tc>
          <w:tcPr>
            <w:tcW w:w="917" w:type="dxa"/>
            <w:tcBorders>
              <w:top w:val="double" w:color="auto" w:sz="4" w:space="0"/>
              <w:bottom w:val="double" w:color="auto" w:sz="4" w:space="0"/>
            </w:tcBorders>
          </w:tcPr>
          <w:p>
            <w:pPr>
              <w:rPr>
                <w:rFonts w:ascii="宋体" w:hAnsi="宋体"/>
                <w:strike/>
              </w:rPr>
            </w:pPr>
          </w:p>
        </w:tc>
        <w:tc>
          <w:tcPr>
            <w:tcW w:w="918" w:type="dxa"/>
            <w:tcBorders>
              <w:top w:val="double" w:color="auto" w:sz="4" w:space="0"/>
              <w:bottom w:val="double" w:color="auto" w:sz="4" w:space="0"/>
            </w:tcBorders>
          </w:tcPr>
          <w:p>
            <w:pPr>
              <w:rPr>
                <w:rFonts w:ascii="宋体" w:hAnsi="宋体"/>
                <w:strike/>
              </w:rPr>
            </w:pPr>
          </w:p>
        </w:tc>
        <w:tc>
          <w:tcPr>
            <w:tcW w:w="917" w:type="dxa"/>
            <w:tcBorders>
              <w:top w:val="double" w:color="auto" w:sz="4" w:space="0"/>
              <w:bottom w:val="double" w:color="auto" w:sz="4" w:space="0"/>
            </w:tcBorders>
          </w:tcPr>
          <w:p>
            <w:pPr>
              <w:rPr>
                <w:rFonts w:ascii="宋体" w:hAnsi="宋体"/>
                <w:strike/>
              </w:rPr>
            </w:pPr>
          </w:p>
        </w:tc>
        <w:tc>
          <w:tcPr>
            <w:tcW w:w="918" w:type="dxa"/>
            <w:tcBorders>
              <w:top w:val="double" w:color="auto" w:sz="4" w:space="0"/>
              <w:bottom w:val="double" w:color="auto" w:sz="4" w:space="0"/>
              <w:right w:val="double" w:color="auto" w:sz="4" w:space="0"/>
            </w:tcBorders>
          </w:tcPr>
          <w:p>
            <w:pP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rPr>
            </w:pPr>
            <w:r>
              <w:rPr>
                <w:rFonts w:hint="eastAsia" w:ascii="宋体" w:hAnsi="宋体"/>
                <w:strike/>
              </w:rPr>
              <w:t>第    轮</w:t>
            </w:r>
          </w:p>
        </w:tc>
        <w:tc>
          <w:tcPr>
            <w:tcW w:w="1835" w:type="dxa"/>
            <w:gridSpan w:val="2"/>
            <w:tcBorders>
              <w:top w:val="double" w:color="auto" w:sz="4" w:space="0"/>
              <w:left w:val="single" w:color="auto" w:sz="4" w:space="0"/>
              <w:bottom w:val="double" w:color="auto" w:sz="4" w:space="0"/>
            </w:tcBorders>
          </w:tcPr>
          <w:p>
            <w:pPr>
              <w:rPr>
                <w:rFonts w:ascii="宋体" w:hAnsi="宋体"/>
                <w:strike/>
              </w:rPr>
            </w:pPr>
          </w:p>
        </w:tc>
        <w:tc>
          <w:tcPr>
            <w:tcW w:w="1835" w:type="dxa"/>
            <w:gridSpan w:val="2"/>
            <w:tcBorders>
              <w:top w:val="double" w:color="auto" w:sz="4" w:space="0"/>
              <w:bottom w:val="double" w:color="auto" w:sz="4" w:space="0"/>
            </w:tcBorders>
          </w:tcPr>
          <w:p>
            <w:pPr>
              <w:rPr>
                <w:rFonts w:ascii="宋体" w:hAnsi="宋体"/>
                <w:strike/>
              </w:rPr>
            </w:pPr>
          </w:p>
        </w:tc>
        <w:tc>
          <w:tcPr>
            <w:tcW w:w="1835" w:type="dxa"/>
            <w:gridSpan w:val="2"/>
            <w:tcBorders>
              <w:top w:val="double" w:color="auto" w:sz="4" w:space="0"/>
              <w:bottom w:val="double" w:color="auto" w:sz="4" w:space="0"/>
            </w:tcBorders>
          </w:tcPr>
          <w:p>
            <w:pPr>
              <w:rPr>
                <w:rFonts w:ascii="宋体" w:hAnsi="宋体"/>
                <w:strike/>
              </w:rPr>
            </w:pPr>
          </w:p>
        </w:tc>
        <w:tc>
          <w:tcPr>
            <w:tcW w:w="1835" w:type="dxa"/>
            <w:gridSpan w:val="2"/>
            <w:tcBorders>
              <w:top w:val="double" w:color="auto" w:sz="4" w:space="0"/>
              <w:bottom w:val="double" w:color="auto" w:sz="4" w:space="0"/>
              <w:right w:val="double" w:color="auto" w:sz="4" w:space="0"/>
            </w:tcBorders>
          </w:tcPr>
          <w:p>
            <w:pP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rPr>
            </w:pPr>
            <w:r>
              <w:rPr>
                <w:rFonts w:hint="eastAsia" w:ascii="宋体" w:hAnsi="宋体"/>
                <w:strike/>
              </w:rPr>
              <w:t>第    轮</w:t>
            </w:r>
          </w:p>
        </w:tc>
        <w:tc>
          <w:tcPr>
            <w:tcW w:w="3670" w:type="dxa"/>
            <w:gridSpan w:val="4"/>
            <w:tcBorders>
              <w:top w:val="double" w:color="auto" w:sz="4" w:space="0"/>
              <w:left w:val="single" w:color="auto" w:sz="4" w:space="0"/>
              <w:bottom w:val="double" w:color="auto" w:sz="4" w:space="0"/>
            </w:tcBorders>
          </w:tcPr>
          <w:p>
            <w:pPr>
              <w:rPr>
                <w:rFonts w:ascii="宋体" w:hAnsi="宋体"/>
                <w:strike/>
              </w:rPr>
            </w:pPr>
          </w:p>
        </w:tc>
        <w:tc>
          <w:tcPr>
            <w:tcW w:w="3670" w:type="dxa"/>
            <w:gridSpan w:val="4"/>
            <w:tcBorders>
              <w:top w:val="double" w:color="auto" w:sz="4" w:space="0"/>
              <w:bottom w:val="double" w:color="auto" w:sz="4" w:space="0"/>
              <w:right w:val="double" w:color="auto" w:sz="4" w:space="0"/>
            </w:tcBorders>
          </w:tcPr>
          <w:p>
            <w:pPr>
              <w:rPr>
                <w:rFonts w:ascii="宋体" w:hAnsi="宋体"/>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88" w:type="dxa"/>
            <w:tcBorders>
              <w:top w:val="double" w:color="auto" w:sz="4" w:space="0"/>
              <w:left w:val="double" w:color="auto" w:sz="4" w:space="0"/>
              <w:bottom w:val="double" w:color="auto" w:sz="4" w:space="0"/>
              <w:right w:val="single" w:color="auto" w:sz="4" w:space="0"/>
            </w:tcBorders>
            <w:vAlign w:val="center"/>
          </w:tcPr>
          <w:p>
            <w:pPr>
              <w:jc w:val="center"/>
              <w:rPr>
                <w:rFonts w:ascii="宋体" w:hAnsi="宋体"/>
                <w:strike/>
              </w:rPr>
            </w:pPr>
            <w:r>
              <w:rPr>
                <w:rFonts w:hint="eastAsia" w:ascii="宋体" w:hAnsi="宋体"/>
                <w:strike/>
              </w:rPr>
              <w:t>第    轮</w:t>
            </w:r>
          </w:p>
        </w:tc>
        <w:tc>
          <w:tcPr>
            <w:tcW w:w="7340" w:type="dxa"/>
            <w:gridSpan w:val="8"/>
            <w:tcBorders>
              <w:top w:val="double" w:color="auto" w:sz="4" w:space="0"/>
              <w:left w:val="single" w:color="auto" w:sz="4" w:space="0"/>
              <w:bottom w:val="double" w:color="auto" w:sz="4" w:space="0"/>
              <w:right w:val="double" w:color="auto" w:sz="4" w:space="0"/>
            </w:tcBorders>
          </w:tcPr>
          <w:p>
            <w:pPr>
              <w:rPr>
                <w:rFonts w:ascii="宋体" w:hAnsi="宋体"/>
                <w:strike/>
              </w:rPr>
            </w:pPr>
          </w:p>
        </w:tc>
      </w:tr>
    </w:tbl>
    <w:p>
      <w:pPr>
        <w:rPr>
          <w:rFonts w:ascii="宋体" w:hAnsi="宋体"/>
          <w:strike/>
        </w:rPr>
      </w:pPr>
      <w:r>
        <w:rPr>
          <w:rFonts w:hint="eastAsia" w:ascii="宋体" w:hAnsi="宋体"/>
          <w:strike/>
        </w:rPr>
        <w:t>正式投票规则：以上表格用于正式投票，从上到下每轮投票限使用一行空格，每个空格限填一个方案编号，同一行的空格内的方案编号不得重复。每轮投票允许选择的总数即下一轮候选总数，</w:t>
      </w:r>
      <w:r>
        <w:rPr>
          <w:rFonts w:hint="eastAsia" w:ascii="宋体" w:hAnsi="宋体" w:cs="Arial"/>
          <w:strike/>
          <w:color w:val="000000"/>
          <w:szCs w:val="18"/>
        </w:rPr>
        <w:t>以得票多的方案当选为</w:t>
      </w:r>
      <w:r>
        <w:rPr>
          <w:rFonts w:hint="eastAsia" w:ascii="宋体" w:hAnsi="宋体"/>
          <w:strike/>
        </w:rPr>
        <w:t>下一轮投票的候选方案</w:t>
      </w:r>
      <w:r>
        <w:rPr>
          <w:rFonts w:hint="eastAsia" w:ascii="宋体" w:hAnsi="宋体" w:cs="Arial"/>
          <w:strike/>
          <w:color w:val="000000"/>
          <w:szCs w:val="18"/>
        </w:rPr>
        <w:t>。</w:t>
      </w:r>
      <w:r>
        <w:rPr>
          <w:rFonts w:hint="eastAsia" w:ascii="宋体" w:hAnsi="宋体"/>
          <w:strike/>
        </w:rPr>
        <w:t>不能进入下一轮的方案，根据本轮得票数量确定名次。</w:t>
      </w:r>
      <w:r>
        <w:rPr>
          <w:rFonts w:hint="eastAsia" w:ascii="宋体" w:hAnsi="宋体" w:cs="Arial"/>
          <w:strike/>
          <w:color w:val="000000"/>
          <w:szCs w:val="18"/>
        </w:rPr>
        <w:t>遇票数相等不能确定入选下一轮的投标方案时，</w:t>
      </w:r>
      <w:r>
        <w:rPr>
          <w:rFonts w:hint="eastAsia"/>
          <w:strike/>
        </w:rPr>
        <w:t>应进行附加投票，以确定名次。</w:t>
      </w:r>
      <w:r>
        <w:rPr>
          <w:rFonts w:hint="eastAsia" w:ascii="宋体" w:hAnsi="宋体"/>
          <w:strike/>
        </w:rPr>
        <w:t>若投标人数为9人或以上，第一轮投票从第1行空格开始；若投标人数为5至8人，第一轮投票从上表第2行空格开始；若投标人数为3至4人，第一轮投票从上表第3行空格开始。每轮正式投票允许选择投标方案总数如下：</w:t>
      </w:r>
    </w:p>
    <w:tbl>
      <w:tblPr>
        <w:tblStyle w:val="28"/>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980"/>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p>
        </w:tc>
        <w:tc>
          <w:tcPr>
            <w:tcW w:w="6120" w:type="dxa"/>
            <w:gridSpan w:val="3"/>
          </w:tcPr>
          <w:p>
            <w:pPr>
              <w:jc w:val="center"/>
              <w:rPr>
                <w:rFonts w:ascii="宋体" w:hAnsi="宋体"/>
                <w:strike/>
              </w:rPr>
            </w:pPr>
            <w:r>
              <w:rPr>
                <w:rFonts w:hint="eastAsia" w:ascii="宋体" w:hAnsi="宋体"/>
                <w:strike/>
              </w:rPr>
              <w:t>每轮正式投票允许选择总数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r>
              <w:rPr>
                <w:rFonts w:hint="eastAsia" w:ascii="宋体" w:hAnsi="宋体"/>
                <w:strike/>
              </w:rPr>
              <w:t>投标人数</w:t>
            </w:r>
          </w:p>
        </w:tc>
        <w:tc>
          <w:tcPr>
            <w:tcW w:w="1980" w:type="dxa"/>
          </w:tcPr>
          <w:p>
            <w:pPr>
              <w:jc w:val="center"/>
              <w:rPr>
                <w:rFonts w:ascii="宋体" w:hAnsi="宋体"/>
                <w:strike/>
              </w:rPr>
            </w:pPr>
            <w:r>
              <w:rPr>
                <w:rFonts w:hint="eastAsia" w:ascii="宋体" w:hAnsi="宋体"/>
                <w:strike/>
              </w:rPr>
              <w:t>3至4</w:t>
            </w:r>
          </w:p>
        </w:tc>
        <w:tc>
          <w:tcPr>
            <w:tcW w:w="1980" w:type="dxa"/>
          </w:tcPr>
          <w:p>
            <w:pPr>
              <w:jc w:val="center"/>
              <w:rPr>
                <w:rFonts w:ascii="宋体" w:hAnsi="宋体"/>
                <w:strike/>
              </w:rPr>
            </w:pPr>
            <w:r>
              <w:rPr>
                <w:rFonts w:hint="eastAsia" w:ascii="宋体" w:hAnsi="宋体"/>
                <w:strike/>
              </w:rPr>
              <w:t>5至8</w:t>
            </w:r>
          </w:p>
        </w:tc>
        <w:tc>
          <w:tcPr>
            <w:tcW w:w="2160" w:type="dxa"/>
          </w:tcPr>
          <w:p>
            <w:pPr>
              <w:jc w:val="center"/>
              <w:rPr>
                <w:rFonts w:ascii="宋体" w:hAnsi="宋体"/>
                <w:strike/>
              </w:rPr>
            </w:pPr>
            <w:r>
              <w:rPr>
                <w:rFonts w:hint="eastAsia" w:ascii="宋体" w:hAnsi="宋体"/>
                <w:strike/>
              </w:rPr>
              <w:t>9人或以上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r>
              <w:rPr>
                <w:rFonts w:hint="eastAsia" w:ascii="宋体" w:hAnsi="宋体"/>
                <w:strike/>
              </w:rPr>
              <w:t>第1轮</w:t>
            </w:r>
          </w:p>
        </w:tc>
        <w:tc>
          <w:tcPr>
            <w:tcW w:w="1980" w:type="dxa"/>
          </w:tcPr>
          <w:p>
            <w:pPr>
              <w:jc w:val="center"/>
              <w:rPr>
                <w:rFonts w:ascii="宋体" w:hAnsi="宋体"/>
                <w:strike/>
              </w:rPr>
            </w:pPr>
            <w:r>
              <w:rPr>
                <w:rFonts w:hint="eastAsia" w:ascii="宋体" w:hAnsi="宋体"/>
                <w:strike/>
              </w:rPr>
              <w:t>2</w:t>
            </w:r>
          </w:p>
        </w:tc>
        <w:tc>
          <w:tcPr>
            <w:tcW w:w="1980" w:type="dxa"/>
          </w:tcPr>
          <w:p>
            <w:pPr>
              <w:jc w:val="center"/>
              <w:rPr>
                <w:rFonts w:ascii="宋体" w:hAnsi="宋体"/>
                <w:strike/>
              </w:rPr>
            </w:pPr>
            <w:r>
              <w:rPr>
                <w:rFonts w:hint="eastAsia" w:ascii="宋体" w:hAnsi="宋体"/>
                <w:strike/>
              </w:rPr>
              <w:t>4</w:t>
            </w:r>
          </w:p>
        </w:tc>
        <w:tc>
          <w:tcPr>
            <w:tcW w:w="2160" w:type="dxa"/>
          </w:tcPr>
          <w:p>
            <w:pPr>
              <w:jc w:val="center"/>
              <w:rPr>
                <w:rFonts w:ascii="宋体" w:hAnsi="宋体"/>
                <w:strike/>
              </w:rPr>
            </w:pPr>
            <w:r>
              <w:rPr>
                <w:rFonts w:hint="eastAsia" w:ascii="宋体" w:hAnsi="宋体"/>
                <w:strik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r>
              <w:rPr>
                <w:rFonts w:hint="eastAsia" w:ascii="宋体" w:hAnsi="宋体"/>
                <w:strike/>
              </w:rPr>
              <w:t>第2轮</w:t>
            </w:r>
          </w:p>
        </w:tc>
        <w:tc>
          <w:tcPr>
            <w:tcW w:w="1980" w:type="dxa"/>
          </w:tcPr>
          <w:p>
            <w:pPr>
              <w:jc w:val="center"/>
              <w:rPr>
                <w:rFonts w:ascii="宋体" w:hAnsi="宋体"/>
                <w:strike/>
              </w:rPr>
            </w:pPr>
            <w:r>
              <w:rPr>
                <w:rFonts w:hint="eastAsia" w:ascii="宋体" w:hAnsi="宋体"/>
                <w:strike/>
              </w:rPr>
              <w:t>1</w:t>
            </w:r>
          </w:p>
        </w:tc>
        <w:tc>
          <w:tcPr>
            <w:tcW w:w="1980" w:type="dxa"/>
          </w:tcPr>
          <w:p>
            <w:pPr>
              <w:jc w:val="center"/>
              <w:rPr>
                <w:rFonts w:ascii="宋体" w:hAnsi="宋体"/>
                <w:strike/>
              </w:rPr>
            </w:pPr>
            <w:r>
              <w:rPr>
                <w:rFonts w:hint="eastAsia" w:ascii="宋体" w:hAnsi="宋体"/>
                <w:strike/>
              </w:rPr>
              <w:t>2</w:t>
            </w:r>
          </w:p>
        </w:tc>
        <w:tc>
          <w:tcPr>
            <w:tcW w:w="2160" w:type="dxa"/>
          </w:tcPr>
          <w:p>
            <w:pPr>
              <w:jc w:val="center"/>
              <w:rPr>
                <w:rFonts w:ascii="宋体" w:hAnsi="宋体"/>
                <w:strike/>
              </w:rPr>
            </w:pPr>
            <w:r>
              <w:rPr>
                <w:rFonts w:hint="eastAsia" w:ascii="宋体" w:hAnsi="宋体"/>
                <w:strik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r>
              <w:rPr>
                <w:rFonts w:hint="eastAsia" w:ascii="宋体" w:hAnsi="宋体"/>
                <w:strike/>
              </w:rPr>
              <w:t>第3轮</w:t>
            </w:r>
          </w:p>
        </w:tc>
        <w:tc>
          <w:tcPr>
            <w:tcW w:w="1980" w:type="dxa"/>
          </w:tcPr>
          <w:p>
            <w:pPr>
              <w:jc w:val="center"/>
              <w:rPr>
                <w:rFonts w:ascii="宋体" w:hAnsi="宋体"/>
                <w:strike/>
              </w:rPr>
            </w:pPr>
          </w:p>
        </w:tc>
        <w:tc>
          <w:tcPr>
            <w:tcW w:w="1980" w:type="dxa"/>
          </w:tcPr>
          <w:p>
            <w:pPr>
              <w:jc w:val="center"/>
              <w:rPr>
                <w:rFonts w:ascii="宋体" w:hAnsi="宋体"/>
                <w:strike/>
              </w:rPr>
            </w:pPr>
            <w:r>
              <w:rPr>
                <w:rFonts w:hint="eastAsia" w:ascii="宋体" w:hAnsi="宋体"/>
                <w:strike/>
              </w:rPr>
              <w:t>1</w:t>
            </w:r>
          </w:p>
        </w:tc>
        <w:tc>
          <w:tcPr>
            <w:tcW w:w="2160" w:type="dxa"/>
          </w:tcPr>
          <w:p>
            <w:pPr>
              <w:jc w:val="center"/>
              <w:rPr>
                <w:rFonts w:ascii="宋体" w:hAnsi="宋体"/>
                <w:strike/>
              </w:rPr>
            </w:pPr>
            <w:r>
              <w:rPr>
                <w:rFonts w:hint="eastAsia" w:ascii="宋体" w:hAnsi="宋体"/>
                <w:strik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tcPr>
          <w:p>
            <w:pPr>
              <w:rPr>
                <w:rFonts w:ascii="宋体" w:hAnsi="宋体"/>
                <w:strike/>
              </w:rPr>
            </w:pPr>
            <w:r>
              <w:rPr>
                <w:rFonts w:hint="eastAsia" w:ascii="宋体" w:hAnsi="宋体"/>
                <w:strike/>
              </w:rPr>
              <w:t>第4轮</w:t>
            </w:r>
          </w:p>
        </w:tc>
        <w:tc>
          <w:tcPr>
            <w:tcW w:w="1980" w:type="dxa"/>
          </w:tcPr>
          <w:p>
            <w:pPr>
              <w:jc w:val="center"/>
              <w:rPr>
                <w:rFonts w:ascii="宋体" w:hAnsi="宋体"/>
                <w:strike/>
              </w:rPr>
            </w:pPr>
          </w:p>
        </w:tc>
        <w:tc>
          <w:tcPr>
            <w:tcW w:w="1980" w:type="dxa"/>
          </w:tcPr>
          <w:p>
            <w:pPr>
              <w:jc w:val="center"/>
              <w:rPr>
                <w:rFonts w:ascii="宋体" w:hAnsi="宋体"/>
                <w:strike/>
              </w:rPr>
            </w:pPr>
          </w:p>
        </w:tc>
        <w:tc>
          <w:tcPr>
            <w:tcW w:w="2160" w:type="dxa"/>
          </w:tcPr>
          <w:p>
            <w:pPr>
              <w:jc w:val="center"/>
              <w:rPr>
                <w:rFonts w:ascii="宋体" w:hAnsi="宋体"/>
                <w:strike/>
              </w:rPr>
            </w:pPr>
            <w:r>
              <w:rPr>
                <w:rFonts w:hint="eastAsia" w:ascii="宋体" w:hAnsi="宋体"/>
                <w:strike/>
              </w:rPr>
              <w:t>1</w:t>
            </w:r>
          </w:p>
        </w:tc>
      </w:tr>
    </w:tbl>
    <w:p>
      <w:pPr>
        <w:rPr>
          <w:rFonts w:ascii="宋体" w:hAnsi="宋体"/>
          <w:strike/>
        </w:rPr>
      </w:pPr>
      <w:r>
        <w:rPr>
          <w:rFonts w:hint="eastAsia" w:ascii="宋体" w:hAnsi="宋体"/>
          <w:strike/>
        </w:rPr>
        <w:t xml:space="preserve">    (1) </w:t>
      </w:r>
      <w:r>
        <w:rPr>
          <w:rFonts w:hint="eastAsia" w:ascii="宋体" w:hAnsi="宋体" w:cs="Arial"/>
          <w:strike/>
          <w:color w:val="000000"/>
          <w:szCs w:val="18"/>
        </w:rPr>
        <w:t>投票结束后，</w:t>
      </w:r>
      <w:r>
        <w:rPr>
          <w:rFonts w:hint="eastAsia" w:ascii="宋体" w:hAnsi="宋体"/>
          <w:strike/>
        </w:rPr>
        <w:t>点票人员</w:t>
      </w:r>
      <w:r>
        <w:rPr>
          <w:rFonts w:hint="eastAsia" w:ascii="宋体" w:hAnsi="宋体" w:cs="Arial"/>
          <w:strike/>
          <w:color w:val="000000"/>
          <w:szCs w:val="18"/>
        </w:rPr>
        <w:t>对投票人数、票数和每票应选方案总数加以核对和统计，作废的选票不得统计，并向</w:t>
      </w:r>
      <w:r>
        <w:rPr>
          <w:rFonts w:hint="eastAsia" w:ascii="宋体" w:hAnsi="宋体"/>
          <w:strike/>
        </w:rPr>
        <w:t>评标委员会</w:t>
      </w:r>
      <w:r>
        <w:rPr>
          <w:rFonts w:hint="eastAsia" w:ascii="宋体" w:hAnsi="宋体" w:cs="Arial"/>
          <w:strike/>
          <w:color w:val="000000"/>
          <w:szCs w:val="18"/>
        </w:rPr>
        <w:t>报告。</w:t>
      </w:r>
    </w:p>
    <w:p>
      <w:pPr>
        <w:rPr>
          <w:rFonts w:ascii="宋体" w:hAnsi="宋体"/>
          <w:strike/>
        </w:rPr>
      </w:pPr>
      <w:r>
        <w:rPr>
          <w:rFonts w:hint="eastAsia" w:ascii="宋体" w:hAnsi="宋体"/>
          <w:strike/>
        </w:rPr>
        <w:t xml:space="preserve">    (2)评标委员会成员应当独立投票，自投票开始至最终排名统计结果公布期间，任何人不得非法干预、影响投票过程，不得透露、协商、改变投票结果，不得使用通信联络工具。</w:t>
      </w:r>
    </w:p>
    <w:p>
      <w:pPr>
        <w:rPr>
          <w:rFonts w:ascii="宋体" w:hAnsi="宋体"/>
          <w:strike/>
        </w:rPr>
      </w:pPr>
      <w:r>
        <w:rPr>
          <w:rFonts w:hint="eastAsia" w:ascii="宋体" w:hAnsi="宋体"/>
          <w:strike/>
        </w:rPr>
        <w:t>评委签名：                                        日期：       年    月    日</w:t>
      </w:r>
    </w:p>
    <w:p>
      <w:pPr>
        <w:widowControl/>
        <w:jc w:val="left"/>
        <w:rPr>
          <w:rFonts w:ascii="宋体" w:hAnsi="宋体"/>
          <w:b/>
          <w:bCs/>
          <w:strike/>
        </w:rPr>
      </w:pPr>
      <w:r>
        <w:rPr>
          <w:rFonts w:ascii="宋体" w:hAnsi="宋体"/>
          <w:b/>
          <w:bCs/>
          <w:strike/>
        </w:rPr>
        <w:br w:type="page"/>
      </w:r>
    </w:p>
    <w:p>
      <w:pPr>
        <w:spacing w:line="360" w:lineRule="auto"/>
        <w:rPr>
          <w:rStyle w:val="35"/>
        </w:rPr>
      </w:pPr>
      <w:bookmarkStart w:id="42" w:name="_Toc136263009"/>
      <w:r>
        <w:rPr>
          <w:rStyle w:val="35"/>
          <w:rFonts w:hint="eastAsia"/>
        </w:rPr>
        <w:t>附录</w:t>
      </w:r>
      <w:r>
        <w:rPr>
          <w:rStyle w:val="35"/>
        </w:rPr>
        <w:t>19</w:t>
      </w:r>
      <w:bookmarkEnd w:id="42"/>
    </w:p>
    <w:p>
      <w:pPr>
        <w:spacing w:line="360" w:lineRule="auto"/>
        <w:jc w:val="center"/>
        <w:rPr>
          <w:rFonts w:ascii="宋体" w:hAnsi="宋体" w:cs="宋体"/>
          <w:b/>
          <w:sz w:val="48"/>
          <w:szCs w:val="52"/>
        </w:rPr>
      </w:pPr>
    </w:p>
    <w:p>
      <w:pPr>
        <w:spacing w:line="360" w:lineRule="auto"/>
        <w:jc w:val="center"/>
        <w:rPr>
          <w:rFonts w:ascii="宋体" w:hAnsi="宋体" w:cs="宋体"/>
          <w:b/>
          <w:sz w:val="48"/>
          <w:szCs w:val="52"/>
        </w:rPr>
      </w:pPr>
    </w:p>
    <w:p>
      <w:pPr>
        <w:spacing w:line="360" w:lineRule="auto"/>
        <w:jc w:val="center"/>
        <w:rPr>
          <w:rFonts w:ascii="宋体" w:hAnsi="宋体" w:cs="宋体"/>
          <w:b/>
          <w:sz w:val="48"/>
          <w:szCs w:val="52"/>
        </w:rPr>
      </w:pPr>
    </w:p>
    <w:p>
      <w:pPr>
        <w:spacing w:line="360" w:lineRule="auto"/>
        <w:jc w:val="center"/>
        <w:rPr>
          <w:rFonts w:ascii="宋体" w:hAnsi="宋体" w:cs="宋体"/>
          <w:b/>
          <w:sz w:val="48"/>
          <w:szCs w:val="52"/>
        </w:rPr>
      </w:pPr>
    </w:p>
    <w:p>
      <w:pPr>
        <w:spacing w:line="360" w:lineRule="auto"/>
        <w:jc w:val="center"/>
        <w:rPr>
          <w:rFonts w:ascii="宋体" w:hAnsi="宋体" w:cs="宋体"/>
          <w:b/>
          <w:sz w:val="48"/>
          <w:szCs w:val="52"/>
        </w:rPr>
      </w:pPr>
    </w:p>
    <w:p>
      <w:pPr>
        <w:spacing w:line="360" w:lineRule="auto"/>
        <w:jc w:val="center"/>
        <w:rPr>
          <w:rFonts w:ascii="宋体" w:hAnsi="宋体" w:cs="宋体"/>
          <w:b/>
          <w:sz w:val="48"/>
          <w:szCs w:val="52"/>
        </w:rPr>
      </w:pPr>
      <w:r>
        <w:rPr>
          <w:rFonts w:hint="eastAsia" w:ascii="宋体" w:hAnsi="宋体" w:cs="宋体"/>
          <w:b/>
          <w:sz w:val="48"/>
          <w:szCs w:val="52"/>
        </w:rPr>
        <w:t>聚龙湾启动区鹅潭路周边市政配套道路勘察设计任务书</w:t>
      </w: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kern w:val="28"/>
          <w:sz w:val="44"/>
          <w:szCs w:val="44"/>
        </w:rPr>
      </w:pPr>
    </w:p>
    <w:p>
      <w:pPr>
        <w:spacing w:line="360" w:lineRule="auto"/>
        <w:jc w:val="center"/>
        <w:rPr>
          <w:rFonts w:ascii="宋体" w:hAnsi="宋体" w:cs="宋体"/>
          <w:b/>
          <w:bCs/>
          <w:sz w:val="32"/>
          <w:szCs w:val="32"/>
        </w:rPr>
      </w:pPr>
      <w:r>
        <w:rPr>
          <w:rFonts w:hint="eastAsia" w:ascii="宋体" w:hAnsi="宋体" w:cs="宋体"/>
          <w:b/>
          <w:bCs/>
          <w:sz w:val="32"/>
          <w:szCs w:val="32"/>
        </w:rPr>
        <w:t>广州珠江产业园投资发展有限公司</w:t>
      </w:r>
    </w:p>
    <w:p>
      <w:pPr>
        <w:spacing w:line="360" w:lineRule="auto"/>
        <w:jc w:val="center"/>
        <w:rPr>
          <w:rFonts w:ascii="宋体" w:hAnsi="宋体" w:cs="宋体"/>
          <w:b/>
          <w:bCs/>
          <w:spacing w:val="1"/>
          <w:sz w:val="32"/>
          <w:szCs w:val="32"/>
        </w:rPr>
      </w:pPr>
      <w:r>
        <w:rPr>
          <w:rFonts w:hint="eastAsia" w:ascii="宋体" w:hAnsi="宋体" w:cs="宋体"/>
          <w:b/>
          <w:bCs/>
          <w:sz w:val="32"/>
          <w:szCs w:val="32"/>
        </w:rPr>
        <w:t>2023年5月</w:t>
      </w:r>
    </w:p>
    <w:p>
      <w:pPr>
        <w:spacing w:line="360" w:lineRule="auto"/>
        <w:rPr>
          <w:rFonts w:ascii="宋体" w:hAnsi="宋体" w:cs="宋体"/>
          <w:b/>
          <w:bCs/>
          <w:spacing w:val="1"/>
          <w:sz w:val="32"/>
          <w:szCs w:val="32"/>
        </w:rPr>
      </w:pPr>
    </w:p>
    <w:p>
      <w:pPr>
        <w:spacing w:before="283" w:line="360" w:lineRule="auto"/>
        <w:ind w:left="118"/>
        <w:jc w:val="center"/>
        <w:rPr>
          <w:rFonts w:ascii="宋体" w:hAnsi="宋体" w:cs="宋体"/>
          <w:b/>
          <w:bCs/>
          <w:sz w:val="28"/>
          <w:szCs w:val="28"/>
        </w:rPr>
      </w:pPr>
      <w:r>
        <w:rPr>
          <w:rFonts w:hint="eastAsia" w:ascii="宋体" w:hAnsi="宋体" w:cs="宋体"/>
          <w:b/>
          <w:bCs/>
          <w:spacing w:val="1"/>
          <w:sz w:val="28"/>
          <w:szCs w:val="28"/>
        </w:rPr>
        <w:br w:type="page"/>
      </w:r>
    </w:p>
    <w:p>
      <w:pPr>
        <w:pStyle w:val="2"/>
        <w:pBdr>
          <w:top w:val="none" w:color="auto" w:sz="0" w:space="0"/>
        </w:pBdr>
        <w:spacing w:before="26" w:line="360" w:lineRule="auto"/>
        <w:ind w:left="538" w:firstLine="3422"/>
        <w:rPr>
          <w:rFonts w:ascii="宋体" w:hAnsi="宋体" w:cs="宋体"/>
          <w:spacing w:val="22"/>
          <w:w w:val="99"/>
          <w:sz w:val="28"/>
          <w:szCs w:val="28"/>
        </w:rPr>
      </w:pPr>
      <w:r>
        <w:rPr>
          <w:rFonts w:hint="eastAsia" w:ascii="宋体" w:hAnsi="宋体" w:cs="宋体"/>
          <w:spacing w:val="1"/>
          <w:sz w:val="28"/>
          <w:szCs w:val="28"/>
        </w:rPr>
        <w:t>1.</w:t>
      </w:r>
      <w:r>
        <w:rPr>
          <w:rFonts w:hint="eastAsia" w:ascii="宋体" w:hAnsi="宋体" w:cs="宋体"/>
          <w:sz w:val="28"/>
          <w:szCs w:val="28"/>
        </w:rPr>
        <w:t>项目概述</w:t>
      </w:r>
    </w:p>
    <w:p>
      <w:pPr>
        <w:pStyle w:val="2"/>
        <w:pBdr>
          <w:top w:val="none" w:color="auto" w:sz="0" w:space="0"/>
        </w:pBdr>
        <w:spacing w:before="34" w:line="360" w:lineRule="auto"/>
        <w:rPr>
          <w:rFonts w:ascii="宋体" w:hAnsi="宋体" w:cs="宋体"/>
          <w:sz w:val="22"/>
          <w:szCs w:val="22"/>
        </w:rPr>
      </w:pPr>
      <w:r>
        <w:rPr>
          <w:rFonts w:hint="eastAsia" w:ascii="宋体" w:hAnsi="宋体" w:cs="宋体"/>
          <w:sz w:val="22"/>
          <w:szCs w:val="22"/>
        </w:rPr>
        <w:t>项目名称：聚龙湾启动区鹅潭路周边市政配套道路勘察设计</w:t>
      </w:r>
    </w:p>
    <w:p>
      <w:pPr>
        <w:pStyle w:val="2"/>
        <w:pBdr>
          <w:top w:val="none" w:color="auto" w:sz="0" w:space="0"/>
        </w:pBdr>
        <w:spacing w:before="34" w:line="360" w:lineRule="auto"/>
        <w:rPr>
          <w:rFonts w:ascii="宋体" w:hAnsi="宋体" w:cs="宋体"/>
          <w:sz w:val="22"/>
          <w:szCs w:val="22"/>
        </w:rPr>
      </w:pPr>
      <w:r>
        <w:rPr>
          <w:rFonts w:hint="eastAsia" w:ascii="宋体" w:hAnsi="宋体" w:cs="宋体"/>
          <w:sz w:val="22"/>
          <w:szCs w:val="22"/>
        </w:rPr>
        <w:t>招标单位：广州珠江产业园投资发展有限公司</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工程规模：项目位于白鹅潭聚龙湾片区，为聚龙湾片区启动区的市政配套工程。项目共包括六条规划道路，道路总长约</w:t>
      </w:r>
      <w:r>
        <w:rPr>
          <w:rFonts w:ascii="宋体" w:hAnsi="宋体" w:cs="宋体"/>
          <w:sz w:val="22"/>
          <w:szCs w:val="22"/>
        </w:rPr>
        <w:t>1.414km。其中：规划一路道路全长约225m，城市支路，道路红线宽26m；规划二路道路全长约239m，城市支路，道路红线宽15m；规划三路道路全长约197m，城市支路，道路红线宽15m；规划四路道路全长约346m，小区路，道路红线宽15m；金鹏路道路全长约173m，城市次干路，道路红线宽30m；涌边路道路全长约234m，小区路，道路红线宽4.5m。地形测量（利用四等水准测量），道路红线宽4.5~26m，配套建设给排水、电气、交通、绿化等设施。</w:t>
      </w:r>
    </w:p>
    <w:p>
      <w:pPr>
        <w:spacing w:line="360" w:lineRule="auto"/>
        <w:rPr>
          <w:rFonts w:ascii="宋体" w:hAnsi="宋体" w:cs="宋体"/>
          <w:b/>
          <w:sz w:val="28"/>
          <w:szCs w:val="28"/>
        </w:rPr>
      </w:pPr>
      <w:r>
        <w:rPr>
          <w:rFonts w:hint="eastAsia" w:ascii="宋体" w:hAnsi="宋体" w:cs="宋体"/>
          <w:sz w:val="28"/>
          <w:szCs w:val="28"/>
        </w:rPr>
        <w:drawing>
          <wp:inline distT="0" distB="0" distL="0" distR="0">
            <wp:extent cx="5715000"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5000" cy="2403475"/>
                    </a:xfrm>
                    <a:prstGeom prst="rect">
                      <a:avLst/>
                    </a:prstGeom>
                    <a:noFill/>
                    <a:ln>
                      <a:noFill/>
                    </a:ln>
                  </pic:spPr>
                </pic:pic>
              </a:graphicData>
            </a:graphic>
          </wp:inline>
        </w:drawing>
      </w:r>
      <w:r>
        <w:rPr>
          <w:rFonts w:hint="eastAsia" w:ascii="宋体" w:hAnsi="宋体" w:cs="宋体"/>
          <w:b/>
          <w:sz w:val="28"/>
          <w:szCs w:val="28"/>
        </w:rPr>
        <w:br w:type="page"/>
      </w:r>
    </w:p>
    <w:p>
      <w:pPr>
        <w:pStyle w:val="2"/>
        <w:pBdr>
          <w:top w:val="none" w:color="auto" w:sz="0" w:space="0"/>
        </w:pBdr>
        <w:spacing w:before="37" w:line="360" w:lineRule="auto"/>
        <w:ind w:right="157"/>
        <w:jc w:val="center"/>
        <w:rPr>
          <w:rFonts w:ascii="宋体" w:hAnsi="宋体" w:cs="宋体"/>
          <w:sz w:val="28"/>
          <w:szCs w:val="28"/>
        </w:rPr>
      </w:pPr>
      <w:r>
        <w:rPr>
          <w:rFonts w:hint="eastAsia" w:ascii="宋体" w:hAnsi="宋体" w:cs="宋体"/>
          <w:sz w:val="28"/>
          <w:szCs w:val="28"/>
        </w:rPr>
        <w:t>表1 道路一览表</w:t>
      </w:r>
    </w:p>
    <w:tbl>
      <w:tblPr>
        <w:tblStyle w:val="28"/>
        <w:tblW w:w="9276" w:type="dxa"/>
        <w:tblInd w:w="12" w:type="dxa"/>
        <w:tblLayout w:type="autofit"/>
        <w:tblCellMar>
          <w:top w:w="0" w:type="dxa"/>
          <w:left w:w="108" w:type="dxa"/>
          <w:bottom w:w="0" w:type="dxa"/>
          <w:right w:w="108" w:type="dxa"/>
        </w:tblCellMar>
      </w:tblPr>
      <w:tblGrid>
        <w:gridCol w:w="717"/>
        <w:gridCol w:w="1638"/>
        <w:gridCol w:w="2680"/>
        <w:gridCol w:w="1128"/>
        <w:gridCol w:w="982"/>
        <w:gridCol w:w="956"/>
        <w:gridCol w:w="1175"/>
      </w:tblGrid>
      <w:tr>
        <w:tblPrEx>
          <w:tblCellMar>
            <w:top w:w="0" w:type="dxa"/>
            <w:left w:w="108" w:type="dxa"/>
            <w:bottom w:w="0" w:type="dxa"/>
            <w:right w:w="108" w:type="dxa"/>
          </w:tblCellMar>
        </w:tblPrEx>
        <w:trPr>
          <w:trHeight w:val="615" w:hRule="atLeast"/>
        </w:trPr>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序号</w:t>
            </w:r>
          </w:p>
        </w:tc>
        <w:tc>
          <w:tcPr>
            <w:tcW w:w="163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路名</w:t>
            </w:r>
          </w:p>
        </w:tc>
        <w:tc>
          <w:tcPr>
            <w:tcW w:w="268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起讫点</w:t>
            </w:r>
          </w:p>
        </w:tc>
        <w:tc>
          <w:tcPr>
            <w:tcW w:w="112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道路等级</w:t>
            </w:r>
          </w:p>
        </w:tc>
        <w:tc>
          <w:tcPr>
            <w:tcW w:w="98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道路长度（</w:t>
            </w:r>
            <w:r>
              <w:rPr>
                <w:rFonts w:ascii="宋体" w:hAnsi="宋体" w:cs="宋体"/>
                <w:sz w:val="22"/>
                <w:szCs w:val="22"/>
              </w:rPr>
              <w:t>m）</w:t>
            </w:r>
          </w:p>
        </w:tc>
        <w:tc>
          <w:tcPr>
            <w:tcW w:w="95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道路宽度（</w:t>
            </w:r>
            <w:r>
              <w:rPr>
                <w:rFonts w:ascii="宋体" w:hAnsi="宋体" w:cs="宋体"/>
                <w:sz w:val="22"/>
                <w:szCs w:val="22"/>
              </w:rPr>
              <w:t>m）</w:t>
            </w:r>
          </w:p>
        </w:tc>
        <w:tc>
          <w:tcPr>
            <w:tcW w:w="117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设计速度（</w:t>
            </w:r>
            <w:r>
              <w:rPr>
                <w:rFonts w:ascii="宋体" w:hAnsi="宋体" w:cs="宋体"/>
                <w:sz w:val="22"/>
                <w:szCs w:val="22"/>
              </w:rPr>
              <w:t>km/h）</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w:t>
            </w:r>
          </w:p>
        </w:tc>
        <w:tc>
          <w:tcPr>
            <w:tcW w:w="1638"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sz w:val="22"/>
                <w:szCs w:val="22"/>
              </w:rPr>
            </w:pPr>
            <w:r>
              <w:rPr>
                <w:rFonts w:hint="eastAsia" w:ascii="宋体" w:hAnsi="宋体" w:cs="宋体"/>
                <w:sz w:val="22"/>
                <w:szCs w:val="22"/>
              </w:rPr>
              <w:t>规划一路（</w:t>
            </w:r>
            <w:r>
              <w:rPr>
                <w:rFonts w:ascii="宋体" w:hAnsi="宋体" w:cs="宋体"/>
                <w:sz w:val="22"/>
                <w:szCs w:val="22"/>
              </w:rPr>
              <w:t>G1）</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芳村大道</w:t>
            </w:r>
            <w:r>
              <w:rPr>
                <w:rFonts w:ascii="宋体" w:hAnsi="宋体" w:cs="宋体"/>
                <w:sz w:val="22"/>
                <w:szCs w:val="22"/>
              </w:rPr>
              <w:t>~</w:t>
            </w:r>
            <w:r>
              <w:rPr>
                <w:rFonts w:hint="eastAsia" w:ascii="宋体" w:hAnsi="宋体" w:cs="宋体"/>
                <w:sz w:val="22"/>
                <w:szCs w:val="22"/>
              </w:rPr>
              <w:t>鹅潭路</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支路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225</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26</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30</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2</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规划二路（</w:t>
            </w:r>
            <w:r>
              <w:rPr>
                <w:rFonts w:ascii="宋体" w:hAnsi="宋体" w:cs="宋体"/>
                <w:sz w:val="22"/>
                <w:szCs w:val="22"/>
              </w:rPr>
              <w:t>G2）</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芳村大道</w:t>
            </w:r>
            <w:r>
              <w:rPr>
                <w:rFonts w:ascii="宋体" w:hAnsi="宋体" w:cs="宋体"/>
                <w:sz w:val="22"/>
                <w:szCs w:val="22"/>
              </w:rPr>
              <w:t>~</w:t>
            </w:r>
            <w:r>
              <w:rPr>
                <w:rFonts w:hint="eastAsia" w:ascii="宋体" w:hAnsi="宋体" w:cs="宋体"/>
                <w:sz w:val="22"/>
                <w:szCs w:val="22"/>
              </w:rPr>
              <w:t>鹅潭路</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支路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239</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15</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30</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规划三路（</w:t>
            </w:r>
            <w:r>
              <w:rPr>
                <w:rFonts w:ascii="宋体" w:hAnsi="宋体" w:cs="宋体"/>
                <w:sz w:val="22"/>
                <w:szCs w:val="22"/>
              </w:rPr>
              <w:t>G3）</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芳村大道</w:t>
            </w:r>
            <w:r>
              <w:rPr>
                <w:rFonts w:ascii="宋体" w:hAnsi="宋体" w:cs="宋体"/>
                <w:sz w:val="22"/>
                <w:szCs w:val="22"/>
              </w:rPr>
              <w:t>~</w:t>
            </w:r>
            <w:r>
              <w:rPr>
                <w:rFonts w:hint="eastAsia" w:ascii="宋体" w:hAnsi="宋体" w:cs="宋体"/>
                <w:sz w:val="22"/>
                <w:szCs w:val="22"/>
              </w:rPr>
              <w:t>鹅潭路</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支路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197</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15</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30</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4</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规划四路（</w:t>
            </w:r>
            <w:r>
              <w:rPr>
                <w:rFonts w:ascii="宋体" w:hAnsi="宋体" w:cs="宋体"/>
                <w:sz w:val="22"/>
                <w:szCs w:val="22"/>
              </w:rPr>
              <w:t>G4）</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鹅潭路（南）</w:t>
            </w:r>
            <w:r>
              <w:rPr>
                <w:rFonts w:ascii="宋体" w:hAnsi="宋体" w:cs="宋体"/>
                <w:sz w:val="22"/>
                <w:szCs w:val="22"/>
              </w:rPr>
              <w:t>~鹅潭路（北）</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小区路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346</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15</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15</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5</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涌边路</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芳村大道</w:t>
            </w:r>
            <w:r>
              <w:rPr>
                <w:rFonts w:ascii="宋体" w:hAnsi="宋体" w:cs="宋体"/>
                <w:sz w:val="22"/>
                <w:szCs w:val="22"/>
              </w:rPr>
              <w:t>~</w:t>
            </w:r>
            <w:r>
              <w:rPr>
                <w:rFonts w:hint="eastAsia" w:ascii="宋体" w:hAnsi="宋体" w:cs="宋体"/>
                <w:sz w:val="22"/>
                <w:szCs w:val="22"/>
              </w:rPr>
              <w:t>鹅潭路</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小区路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234</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4.5</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15</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6</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金鹏路</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芳村大道</w:t>
            </w:r>
            <w:r>
              <w:rPr>
                <w:rFonts w:ascii="宋体" w:hAnsi="宋体" w:cs="宋体"/>
                <w:sz w:val="22"/>
                <w:szCs w:val="22"/>
              </w:rPr>
              <w:t>~</w:t>
            </w:r>
            <w:r>
              <w:rPr>
                <w:rFonts w:hint="eastAsia" w:ascii="宋体" w:hAnsi="宋体" w:cs="宋体"/>
                <w:sz w:val="22"/>
                <w:szCs w:val="22"/>
              </w:rPr>
              <w:t>鹅潭路</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次干路</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173</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30</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40</w:t>
            </w:r>
          </w:p>
        </w:tc>
      </w:tr>
      <w:tr>
        <w:tblPrEx>
          <w:tblCellMar>
            <w:top w:w="0" w:type="dxa"/>
            <w:left w:w="108" w:type="dxa"/>
            <w:bottom w:w="0" w:type="dxa"/>
            <w:right w:w="108" w:type="dxa"/>
          </w:tblCellMar>
        </w:tblPrEx>
        <w:trPr>
          <w:trHeight w:val="402" w:hRule="atLeast"/>
        </w:trPr>
        <w:tc>
          <w:tcPr>
            <w:tcW w:w="717"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7</w:t>
            </w:r>
          </w:p>
        </w:tc>
        <w:tc>
          <w:tcPr>
            <w:tcW w:w="163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合计</w:t>
            </w:r>
          </w:p>
        </w:tc>
        <w:tc>
          <w:tcPr>
            <w:tcW w:w="2680"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　</w:t>
            </w:r>
          </w:p>
        </w:tc>
        <w:tc>
          <w:tcPr>
            <w:tcW w:w="1128"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　</w:t>
            </w:r>
          </w:p>
        </w:tc>
        <w:tc>
          <w:tcPr>
            <w:tcW w:w="98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ascii="宋体" w:hAnsi="宋体" w:cs="宋体"/>
                <w:sz w:val="22"/>
                <w:szCs w:val="22"/>
              </w:rPr>
              <w:t>1414</w:t>
            </w:r>
          </w:p>
        </w:tc>
        <w:tc>
          <w:tcPr>
            <w:tcW w:w="956"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　</w:t>
            </w:r>
          </w:p>
        </w:tc>
        <w:tc>
          <w:tcPr>
            <w:tcW w:w="117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sz w:val="22"/>
                <w:szCs w:val="22"/>
              </w:rPr>
            </w:pPr>
            <w:r>
              <w:rPr>
                <w:rFonts w:hint="eastAsia" w:ascii="宋体" w:hAnsi="宋体" w:cs="宋体"/>
                <w:sz w:val="22"/>
                <w:szCs w:val="22"/>
              </w:rPr>
              <w:t>　</w:t>
            </w:r>
          </w:p>
        </w:tc>
      </w:tr>
    </w:tbl>
    <w:p>
      <w:pPr>
        <w:pStyle w:val="3"/>
        <w:spacing w:before="0" w:after="0" w:line="360" w:lineRule="auto"/>
        <w:ind w:left="3110" w:right="3142"/>
        <w:jc w:val="center"/>
        <w:rPr>
          <w:rFonts w:ascii="宋体" w:hAnsi="宋体" w:cs="宋体"/>
          <w:b w:val="0"/>
          <w:bCs w:val="0"/>
          <w:sz w:val="28"/>
          <w:szCs w:val="28"/>
        </w:rPr>
      </w:pPr>
      <w:r>
        <w:rPr>
          <w:rFonts w:hint="eastAsia" w:ascii="宋体" w:hAnsi="宋体" w:cs="宋体"/>
          <w:spacing w:val="1"/>
          <w:sz w:val="28"/>
          <w:szCs w:val="28"/>
        </w:rPr>
        <w:t>2.</w:t>
      </w:r>
      <w:r>
        <w:rPr>
          <w:rFonts w:hint="eastAsia" w:ascii="宋体" w:hAnsi="宋体" w:cs="宋体"/>
          <w:sz w:val="28"/>
          <w:szCs w:val="28"/>
        </w:rPr>
        <w:t>勘察设计标准</w:t>
      </w:r>
    </w:p>
    <w:p>
      <w:pPr>
        <w:pStyle w:val="2"/>
        <w:pBdr>
          <w:top w:val="none" w:color="auto" w:sz="0" w:space="0"/>
        </w:pBdr>
        <w:spacing w:before="0" w:line="360" w:lineRule="auto"/>
        <w:ind w:right="-6" w:firstLine="409" w:firstLineChars="186"/>
        <w:rPr>
          <w:rFonts w:ascii="宋体" w:hAnsi="宋体" w:cs="宋体"/>
          <w:spacing w:val="24"/>
          <w:w w:val="99"/>
          <w:sz w:val="22"/>
          <w:szCs w:val="22"/>
        </w:rPr>
      </w:pPr>
      <w:r>
        <w:rPr>
          <w:rFonts w:hint="eastAsia" w:ascii="宋体" w:hAnsi="宋体" w:cs="宋体"/>
          <w:sz w:val="22"/>
          <w:szCs w:val="22"/>
        </w:rPr>
        <w:t>主要技术标准</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道路等级：次干路、支路、小区路；</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设计速度：</w:t>
      </w:r>
      <w:r>
        <w:rPr>
          <w:rFonts w:ascii="宋体" w:hAnsi="宋体" w:cs="宋体"/>
          <w:sz w:val="22"/>
          <w:szCs w:val="22"/>
        </w:rPr>
        <w:t>40km/h、30km/h、15km/h；</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标准车道数：双向二、四车道；</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车道宽度：车道</w:t>
      </w:r>
      <w:r>
        <w:rPr>
          <w:rFonts w:ascii="宋体" w:hAnsi="宋体" w:cs="宋体"/>
          <w:sz w:val="22"/>
          <w:szCs w:val="22"/>
        </w:rPr>
        <w:t>3.5m/3.25m；</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净空高度：机动车</w:t>
      </w:r>
      <w:r>
        <w:rPr>
          <w:rFonts w:ascii="宋体" w:hAnsi="宋体" w:cs="宋体"/>
          <w:sz w:val="22"/>
          <w:szCs w:val="22"/>
        </w:rPr>
        <w:t>:h≥4.5m，行人及非机动车道:h≥2.5m；</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沥青路面使用年限：次干路</w:t>
      </w:r>
      <w:r>
        <w:rPr>
          <w:rFonts w:ascii="宋体" w:hAnsi="宋体" w:cs="宋体"/>
          <w:sz w:val="22"/>
          <w:szCs w:val="22"/>
        </w:rPr>
        <w:t>15年；支路、小区路10年；</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路拱横坡：车行道</w:t>
      </w:r>
      <w:r>
        <w:rPr>
          <w:rFonts w:ascii="宋体" w:hAnsi="宋体" w:cs="宋体"/>
          <w:sz w:val="22"/>
          <w:szCs w:val="22"/>
        </w:rPr>
        <w:t>2.0％，人行道1.0％；</w:t>
      </w:r>
    </w:p>
    <w:p>
      <w:pPr>
        <w:pStyle w:val="3"/>
        <w:spacing w:before="0" w:after="0" w:line="360" w:lineRule="auto"/>
        <w:ind w:left="3110" w:right="3142" w:firstLine="0"/>
        <w:jc w:val="center"/>
        <w:rPr>
          <w:rFonts w:ascii="宋体" w:hAnsi="宋体" w:cs="宋体"/>
          <w:b/>
          <w:bCs/>
          <w:spacing w:val="1"/>
          <w:sz w:val="28"/>
          <w:szCs w:val="28"/>
        </w:rPr>
      </w:pPr>
      <w:r>
        <w:rPr>
          <w:rFonts w:hint="eastAsia" w:ascii="宋体" w:hAnsi="宋体" w:cs="宋体"/>
          <w:spacing w:val="1"/>
          <w:sz w:val="28"/>
          <w:szCs w:val="28"/>
        </w:rPr>
        <w:t>3.勘察设计依据</w:t>
      </w:r>
    </w:p>
    <w:p>
      <w:pPr>
        <w:pStyle w:val="65"/>
        <w:spacing w:before="154" w:line="360" w:lineRule="auto"/>
        <w:ind w:left="636" w:leftChars="303" w:right="157" w:firstLine="389" w:firstLineChars="177"/>
        <w:rPr>
          <w:rFonts w:ascii="宋体" w:hAnsi="宋体" w:cs="宋体"/>
          <w:sz w:val="22"/>
          <w:szCs w:val="22"/>
        </w:rPr>
      </w:pPr>
      <w:r>
        <w:rPr>
          <w:rFonts w:hint="eastAsia" w:ascii="宋体" w:hAnsi="宋体" w:cs="宋体"/>
          <w:b w:val="0"/>
          <w:bCs w:val="0"/>
          <w:sz w:val="22"/>
          <w:szCs w:val="22"/>
        </w:rPr>
        <w:t>①招标人提供的有关本工程规划资料；</w:t>
      </w:r>
    </w:p>
    <w:p>
      <w:pPr>
        <w:pStyle w:val="65"/>
        <w:spacing w:before="154" w:line="360" w:lineRule="auto"/>
        <w:ind w:left="636" w:leftChars="303" w:right="157" w:firstLine="389" w:firstLineChars="177"/>
        <w:rPr>
          <w:rFonts w:ascii="宋体" w:hAnsi="宋体" w:cs="宋体"/>
          <w:sz w:val="22"/>
          <w:szCs w:val="22"/>
        </w:rPr>
      </w:pPr>
      <w:r>
        <w:rPr>
          <w:rFonts w:hint="eastAsia" w:ascii="宋体" w:hAnsi="宋体" w:cs="宋体"/>
          <w:b w:val="0"/>
          <w:bCs w:val="0"/>
          <w:sz w:val="22"/>
          <w:szCs w:val="22"/>
        </w:rPr>
        <w:t>②投标人现场踏勘详细了解道路总体规划和桥址建设、沿线水文资料等状况；</w:t>
      </w:r>
    </w:p>
    <w:p>
      <w:pPr>
        <w:pStyle w:val="65"/>
        <w:spacing w:before="154" w:line="360" w:lineRule="auto"/>
        <w:ind w:left="636" w:leftChars="303" w:right="157" w:firstLine="389" w:firstLineChars="177"/>
        <w:rPr>
          <w:rFonts w:ascii="宋体" w:hAnsi="宋体" w:cs="宋体"/>
          <w:sz w:val="22"/>
          <w:szCs w:val="22"/>
        </w:rPr>
      </w:pPr>
      <w:r>
        <w:rPr>
          <w:rFonts w:hint="eastAsia" w:ascii="宋体" w:hAnsi="宋体" w:cs="宋体"/>
          <w:b w:val="0"/>
          <w:bCs w:val="0"/>
          <w:sz w:val="22"/>
          <w:szCs w:val="22"/>
        </w:rPr>
        <w:t>③国家现行工程建设标准、有关设计规范和工程所在地有关规划要求。</w:t>
      </w:r>
    </w:p>
    <w:p>
      <w:pPr>
        <w:pStyle w:val="3"/>
        <w:tabs>
          <w:tab w:val="left" w:pos="9040"/>
        </w:tabs>
        <w:spacing w:before="0" w:after="0" w:line="360" w:lineRule="auto"/>
        <w:ind w:left="14" w:right="32" w:hanging="14"/>
        <w:jc w:val="center"/>
        <w:rPr>
          <w:rFonts w:ascii="宋体" w:hAnsi="宋体" w:cs="宋体"/>
          <w:b w:val="0"/>
          <w:bCs w:val="0"/>
          <w:sz w:val="28"/>
          <w:szCs w:val="28"/>
        </w:rPr>
      </w:pPr>
      <w:r>
        <w:rPr>
          <w:rFonts w:hint="eastAsia" w:ascii="宋体" w:hAnsi="宋体" w:cs="宋体"/>
          <w:spacing w:val="1"/>
          <w:sz w:val="28"/>
          <w:szCs w:val="28"/>
        </w:rPr>
        <w:t>4.</w:t>
      </w:r>
      <w:r>
        <w:rPr>
          <w:rFonts w:hint="eastAsia" w:ascii="宋体" w:hAnsi="宋体" w:cs="宋体"/>
          <w:sz w:val="28"/>
          <w:szCs w:val="28"/>
        </w:rPr>
        <w:t>勘察设计工作内容及要求</w:t>
      </w:r>
    </w:p>
    <w:p>
      <w:pPr>
        <w:spacing w:before="0" w:line="360" w:lineRule="auto"/>
        <w:rPr>
          <w:rFonts w:ascii="宋体" w:hAnsi="宋体" w:cs="宋体"/>
          <w:b/>
          <w:bCs/>
          <w:sz w:val="22"/>
          <w:szCs w:val="22"/>
        </w:rPr>
      </w:pPr>
      <w:r>
        <w:rPr>
          <w:rFonts w:ascii="宋体" w:hAnsi="宋体" w:cs="宋体"/>
          <w:b/>
          <w:bCs/>
          <w:sz w:val="22"/>
          <w:szCs w:val="22"/>
        </w:rPr>
        <w:t>4.1工作内容</w:t>
      </w:r>
    </w:p>
    <w:p>
      <w:pPr>
        <w:pStyle w:val="65"/>
        <w:spacing w:before="154" w:line="360" w:lineRule="auto"/>
        <w:ind w:left="420" w:leftChars="200" w:right="157" w:firstLine="389" w:firstLineChars="177"/>
        <w:rPr>
          <w:rFonts w:ascii="宋体" w:hAnsi="宋体" w:cs="宋体"/>
          <w:sz w:val="22"/>
          <w:szCs w:val="22"/>
        </w:rPr>
      </w:pPr>
      <w:r>
        <w:rPr>
          <w:rFonts w:ascii="宋体" w:hAnsi="宋体" w:cs="宋体"/>
          <w:b w:val="0"/>
          <w:bCs w:val="0"/>
          <w:sz w:val="22"/>
          <w:szCs w:val="22"/>
        </w:rPr>
        <w:t>1</w:t>
      </w:r>
      <w:r>
        <w:rPr>
          <w:rFonts w:hint="eastAsia" w:ascii="宋体" w:hAnsi="宋体" w:cs="宋体"/>
          <w:b w:val="0"/>
          <w:bCs w:val="0"/>
          <w:spacing w:val="-29"/>
          <w:sz w:val="22"/>
          <w:szCs w:val="22"/>
        </w:rPr>
        <w:t>、</w:t>
      </w:r>
      <w:r>
        <w:rPr>
          <w:rFonts w:hint="eastAsia" w:ascii="宋体" w:hAnsi="宋体" w:cs="宋体"/>
          <w:b w:val="0"/>
          <w:bCs w:val="0"/>
          <w:sz w:val="22"/>
          <w:szCs w:val="22"/>
        </w:rPr>
        <w:t>勘察设计工作</w:t>
      </w:r>
      <w:r>
        <w:rPr>
          <w:rFonts w:hint="eastAsia" w:ascii="宋体" w:hAnsi="宋体" w:cs="宋体"/>
          <w:b w:val="0"/>
          <w:bCs w:val="0"/>
          <w:spacing w:val="-27"/>
          <w:sz w:val="22"/>
          <w:szCs w:val="22"/>
        </w:rPr>
        <w:t>：</w:t>
      </w:r>
      <w:r>
        <w:rPr>
          <w:rFonts w:hint="eastAsia" w:ascii="宋体" w:hAnsi="宋体" w:cs="宋体"/>
          <w:b w:val="0"/>
          <w:bCs w:val="0"/>
          <w:sz w:val="22"/>
          <w:szCs w:val="22"/>
        </w:rPr>
        <w:t>根据规划设计成果</w:t>
      </w:r>
      <w:r>
        <w:rPr>
          <w:rFonts w:hint="eastAsia" w:ascii="宋体" w:hAnsi="宋体" w:cs="宋体"/>
          <w:b w:val="0"/>
          <w:bCs w:val="0"/>
          <w:spacing w:val="-27"/>
          <w:sz w:val="22"/>
          <w:szCs w:val="22"/>
        </w:rPr>
        <w:t>，</w:t>
      </w:r>
      <w:r>
        <w:rPr>
          <w:rFonts w:hint="eastAsia" w:ascii="宋体" w:hAnsi="宋体" w:cs="宋体"/>
          <w:b w:val="0"/>
          <w:bCs w:val="0"/>
          <w:sz w:val="22"/>
          <w:szCs w:val="22"/>
        </w:rPr>
        <w:t>完成项目勘察</w:t>
      </w:r>
      <w:r>
        <w:rPr>
          <w:rFonts w:hint="eastAsia" w:ascii="宋体" w:hAnsi="宋体" w:cs="宋体"/>
          <w:b w:val="0"/>
          <w:bCs w:val="0"/>
          <w:spacing w:val="-29"/>
          <w:sz w:val="22"/>
          <w:szCs w:val="22"/>
        </w:rPr>
        <w:t>、</w:t>
      </w:r>
      <w:r>
        <w:rPr>
          <w:rFonts w:hint="eastAsia" w:ascii="宋体" w:hAnsi="宋体" w:cs="宋体"/>
          <w:b w:val="0"/>
          <w:bCs w:val="0"/>
          <w:sz w:val="22"/>
          <w:szCs w:val="22"/>
        </w:rPr>
        <w:t>初步设计与施工图设计等技术性设计工作。</w:t>
      </w:r>
    </w:p>
    <w:p>
      <w:pPr>
        <w:pStyle w:val="65"/>
        <w:spacing w:line="360" w:lineRule="auto"/>
        <w:ind w:left="420" w:leftChars="200" w:firstLine="389" w:firstLineChars="177"/>
        <w:rPr>
          <w:rFonts w:ascii="宋体" w:hAnsi="宋体" w:cs="宋体"/>
          <w:sz w:val="22"/>
          <w:szCs w:val="22"/>
        </w:rPr>
      </w:pPr>
      <w:r>
        <w:rPr>
          <w:rFonts w:ascii="宋体" w:hAnsi="宋体" w:cs="宋体"/>
          <w:b w:val="0"/>
          <w:bCs w:val="0"/>
          <w:sz w:val="22"/>
          <w:szCs w:val="22"/>
        </w:rPr>
        <w:t>2</w:t>
      </w:r>
      <w:r>
        <w:rPr>
          <w:rFonts w:hint="eastAsia" w:ascii="宋体" w:hAnsi="宋体" w:cs="宋体"/>
          <w:b w:val="0"/>
          <w:bCs w:val="0"/>
          <w:spacing w:val="-29"/>
          <w:sz w:val="22"/>
          <w:szCs w:val="22"/>
        </w:rPr>
        <w:t>、</w:t>
      </w:r>
      <w:r>
        <w:rPr>
          <w:rFonts w:hint="eastAsia" w:ascii="宋体" w:hAnsi="宋体" w:cs="宋体"/>
          <w:b w:val="0"/>
          <w:bCs w:val="0"/>
          <w:sz w:val="22"/>
          <w:szCs w:val="22"/>
        </w:rPr>
        <w:t>造价文件编制工</w:t>
      </w:r>
      <w:r>
        <w:rPr>
          <w:rFonts w:hint="eastAsia" w:ascii="宋体" w:hAnsi="宋体" w:cs="宋体"/>
          <w:b w:val="0"/>
          <w:bCs w:val="0"/>
          <w:spacing w:val="2"/>
          <w:sz w:val="22"/>
          <w:szCs w:val="22"/>
        </w:rPr>
        <w:t>作</w:t>
      </w:r>
      <w:r>
        <w:rPr>
          <w:rFonts w:hint="eastAsia" w:ascii="宋体" w:hAnsi="宋体" w:cs="宋体"/>
          <w:b w:val="0"/>
          <w:bCs w:val="0"/>
          <w:spacing w:val="-29"/>
          <w:sz w:val="22"/>
          <w:szCs w:val="22"/>
        </w:rPr>
        <w:t>：</w:t>
      </w:r>
      <w:r>
        <w:rPr>
          <w:rFonts w:hint="eastAsia" w:ascii="宋体" w:hAnsi="宋体" w:cs="宋体"/>
          <w:b w:val="0"/>
          <w:bCs w:val="0"/>
          <w:sz w:val="22"/>
          <w:szCs w:val="22"/>
        </w:rPr>
        <w:t>对应各设计阶段造价文件编制和配合报审工作</w:t>
      </w:r>
      <w:r>
        <w:rPr>
          <w:rFonts w:hint="eastAsia" w:ascii="宋体" w:hAnsi="宋体" w:cs="宋体"/>
          <w:b w:val="0"/>
          <w:bCs w:val="0"/>
          <w:spacing w:val="-27"/>
          <w:sz w:val="22"/>
          <w:szCs w:val="22"/>
        </w:rPr>
        <w:t>，</w:t>
      </w:r>
      <w:r>
        <w:rPr>
          <w:rFonts w:hint="eastAsia" w:ascii="宋体" w:hAnsi="宋体" w:cs="宋体"/>
          <w:b w:val="0"/>
          <w:bCs w:val="0"/>
          <w:sz w:val="22"/>
          <w:szCs w:val="22"/>
        </w:rPr>
        <w:t>含</w:t>
      </w:r>
      <w:r>
        <w:rPr>
          <w:rFonts w:hint="eastAsia" w:ascii="宋体" w:hAnsi="宋体" w:cs="宋体"/>
          <w:b w:val="0"/>
          <w:bCs w:val="0"/>
          <w:spacing w:val="-29"/>
          <w:sz w:val="22"/>
          <w:szCs w:val="22"/>
        </w:rPr>
        <w:t>：</w:t>
      </w:r>
      <w:r>
        <w:rPr>
          <w:rFonts w:hint="eastAsia" w:ascii="宋体" w:hAnsi="宋体" w:cs="宋体"/>
          <w:b w:val="0"/>
          <w:bCs w:val="0"/>
          <w:sz w:val="22"/>
          <w:szCs w:val="22"/>
        </w:rPr>
        <w:t>初步设</w:t>
      </w:r>
      <w:r>
        <w:rPr>
          <w:rFonts w:hint="eastAsia" w:ascii="宋体" w:hAnsi="宋体" w:cs="宋体"/>
          <w:b w:val="0"/>
          <w:bCs w:val="0"/>
          <w:spacing w:val="-1"/>
          <w:sz w:val="22"/>
          <w:szCs w:val="22"/>
        </w:rPr>
        <w:t>计概算（项目总投资概算编制和配合报审），还包括：各阶段方案比选、</w:t>
      </w:r>
      <w:r>
        <w:rPr>
          <w:rFonts w:hint="eastAsia" w:ascii="宋体" w:hAnsi="宋体" w:cs="宋体"/>
          <w:b w:val="0"/>
          <w:bCs w:val="0"/>
          <w:sz w:val="22"/>
          <w:szCs w:val="22"/>
        </w:rPr>
        <w:t>技术选型比选的投资分析等。</w:t>
      </w:r>
    </w:p>
    <w:p>
      <w:pPr>
        <w:pStyle w:val="65"/>
        <w:spacing w:line="360" w:lineRule="auto"/>
        <w:ind w:left="420" w:leftChars="200" w:firstLine="389" w:firstLineChars="177"/>
        <w:rPr>
          <w:rFonts w:ascii="宋体" w:hAnsi="宋体" w:cs="宋体"/>
          <w:sz w:val="22"/>
          <w:szCs w:val="22"/>
        </w:rPr>
      </w:pPr>
      <w:r>
        <w:rPr>
          <w:rFonts w:ascii="宋体" w:hAnsi="宋体" w:cs="宋体"/>
          <w:b w:val="0"/>
          <w:bCs w:val="0"/>
          <w:sz w:val="22"/>
          <w:szCs w:val="22"/>
        </w:rPr>
        <w:t>3、技术配合工作：建设单位的各类招标配合、施工配合、现场服务等。</w:t>
      </w:r>
    </w:p>
    <w:p>
      <w:pPr>
        <w:pStyle w:val="65"/>
        <w:spacing w:line="360" w:lineRule="auto"/>
        <w:ind w:left="420" w:leftChars="200" w:firstLine="389" w:firstLineChars="177"/>
        <w:rPr>
          <w:rFonts w:ascii="宋体" w:hAnsi="宋体" w:cs="宋体"/>
          <w:sz w:val="22"/>
          <w:szCs w:val="22"/>
        </w:rPr>
      </w:pPr>
      <w:r>
        <w:rPr>
          <w:rFonts w:ascii="宋体" w:hAnsi="宋体" w:cs="宋体"/>
          <w:b w:val="0"/>
          <w:bCs w:val="0"/>
          <w:sz w:val="22"/>
          <w:szCs w:val="22"/>
        </w:rPr>
        <w:t>4、报建配合工作：包括工程建设过程中本项目报建配合、协调等工作。</w:t>
      </w:r>
    </w:p>
    <w:p>
      <w:pPr>
        <w:spacing w:before="154" w:line="360" w:lineRule="auto"/>
        <w:rPr>
          <w:rFonts w:ascii="宋体" w:hAnsi="宋体" w:cs="宋体"/>
          <w:b/>
          <w:bCs/>
          <w:sz w:val="22"/>
          <w:szCs w:val="22"/>
        </w:rPr>
      </w:pPr>
      <w:r>
        <w:rPr>
          <w:rFonts w:ascii="宋体" w:hAnsi="宋体" w:cs="宋体"/>
          <w:b/>
          <w:bCs/>
          <w:sz w:val="22"/>
          <w:szCs w:val="22"/>
        </w:rPr>
        <w:t>4.2工程勘察技术要求</w:t>
      </w:r>
    </w:p>
    <w:p>
      <w:pPr>
        <w:spacing w:before="0" w:line="360" w:lineRule="auto"/>
        <w:rPr>
          <w:rFonts w:ascii="宋体" w:hAnsi="宋体" w:cs="宋体"/>
          <w:b/>
          <w:bCs/>
          <w:spacing w:val="0"/>
          <w:w w:val="100"/>
          <w:sz w:val="22"/>
          <w:szCs w:val="22"/>
        </w:rPr>
      </w:pPr>
      <w:r>
        <w:rPr>
          <w:rFonts w:hint="eastAsia" w:ascii="宋体" w:hAnsi="宋体" w:cs="宋体"/>
          <w:b/>
          <w:bCs/>
          <w:sz w:val="22"/>
          <w:szCs w:val="22"/>
        </w:rPr>
        <w:t>（一）勘察、测量部分：</w:t>
      </w:r>
    </w:p>
    <w:p>
      <w:pPr>
        <w:pStyle w:val="65"/>
        <w:spacing w:before="34" w:line="360" w:lineRule="auto"/>
        <w:ind w:left="420" w:leftChars="200" w:right="185" w:firstLine="424" w:firstLineChars="193"/>
        <w:rPr>
          <w:rFonts w:ascii="宋体" w:hAnsi="宋体" w:cs="宋体"/>
          <w:sz w:val="22"/>
          <w:szCs w:val="22"/>
        </w:rPr>
      </w:pPr>
      <w:r>
        <w:rPr>
          <w:rFonts w:hint="eastAsia" w:ascii="宋体" w:hAnsi="宋体" w:cs="宋体"/>
          <w:b w:val="0"/>
          <w:bCs w:val="0"/>
          <w:sz w:val="22"/>
          <w:szCs w:val="22"/>
        </w:rPr>
        <w:t>钻孔布置及钻孔数由中标单位结合该工程具体情况，按照国家工程勘察标准及规范提供《钻孔布置图》，并经我单位同意方可实施，包括相应的土工实验及现场勘察实验。实际钻孔深度要满足规范及设计要求。具体工作为地质钻孔、取样、试验、资料收集整理、提交详细的钻探方案及岩土工程勘察报告，协助我单位完成钻探及岩土工程勘察报告的申报、审查等工作。</w:t>
      </w:r>
    </w:p>
    <w:p>
      <w:pPr>
        <w:pStyle w:val="2"/>
        <w:pBdr>
          <w:top w:val="none" w:color="auto" w:sz="0" w:space="0"/>
        </w:pBdr>
        <w:spacing w:before="0" w:line="360" w:lineRule="auto"/>
        <w:ind w:left="0" w:leftChars="0" w:right="185" w:firstLine="426"/>
        <w:rPr>
          <w:rFonts w:ascii="宋体" w:hAnsi="宋体" w:cs="宋体"/>
          <w:b w:val="0"/>
          <w:bCs w:val="0"/>
          <w:kern w:val="2"/>
          <w:sz w:val="22"/>
          <w:szCs w:val="22"/>
        </w:rPr>
      </w:pPr>
      <w:r>
        <w:rPr>
          <w:rFonts w:hint="eastAsia" w:ascii="宋体" w:hAnsi="宋体" w:cs="宋体"/>
          <w:b w:val="0"/>
          <w:bCs w:val="0"/>
          <w:kern w:val="2"/>
          <w:sz w:val="22"/>
          <w:szCs w:val="22"/>
        </w:rPr>
        <w:t>查明工程施工范围内岩土层的类型、深度、分布、工程特性、分析和评价地基的稳定性，均匀性。确定各土层物理力学性能指标，提供桩基础及设计施工参数；查明不良地质作用的类型、成因、分布范围、发展趋势和危害程度，提出整治方案的建议。评价场地和地基的地震效应，划分场地类别，提供抗震设计有关参数。提供桩型选择建议，估算单桩承载力及基础沉降，提供沉桩可行性分析报告。确定地下水位标高及抗浮设防水位，判定地下水的腐蚀性。</w:t>
      </w:r>
    </w:p>
    <w:p>
      <w:pPr>
        <w:pStyle w:val="2"/>
        <w:pBdr>
          <w:top w:val="none" w:color="auto" w:sz="0" w:space="0"/>
        </w:pBdr>
        <w:spacing w:before="0" w:line="360" w:lineRule="auto"/>
        <w:ind w:left="0" w:leftChars="0" w:right="185" w:firstLine="426"/>
        <w:rPr>
          <w:rFonts w:ascii="宋体" w:hAnsi="宋体" w:cs="宋体"/>
          <w:b w:val="0"/>
          <w:bCs w:val="0"/>
          <w:kern w:val="2"/>
          <w:sz w:val="22"/>
          <w:szCs w:val="22"/>
        </w:rPr>
      </w:pPr>
      <w:r>
        <w:rPr>
          <w:rFonts w:hint="eastAsia" w:ascii="宋体" w:hAnsi="宋体" w:cs="宋体"/>
          <w:b w:val="0"/>
          <w:bCs w:val="0"/>
          <w:kern w:val="2"/>
          <w:sz w:val="22"/>
          <w:szCs w:val="22"/>
        </w:rPr>
        <w:t>工程测量（工程测量，设计深度需要的断面测量、物探测量等测量内容）范围包括不少于红线范围内，满足设计要求的的地形测量；现状管线测量及物探。</w:t>
      </w:r>
    </w:p>
    <w:p>
      <w:pPr>
        <w:spacing w:before="0" w:line="360" w:lineRule="auto"/>
        <w:rPr>
          <w:rFonts w:ascii="宋体" w:hAnsi="宋体" w:cs="宋体"/>
          <w:b/>
          <w:bCs/>
          <w:spacing w:val="0"/>
          <w:w w:val="100"/>
          <w:sz w:val="22"/>
          <w:szCs w:val="22"/>
        </w:rPr>
      </w:pPr>
      <w:r>
        <w:rPr>
          <w:rFonts w:hint="eastAsia" w:ascii="宋体" w:hAnsi="宋体" w:cs="宋体"/>
          <w:b/>
          <w:bCs/>
          <w:sz w:val="22"/>
          <w:szCs w:val="22"/>
        </w:rPr>
        <w:t>（二）工程设计部分：</w:t>
      </w:r>
    </w:p>
    <w:p>
      <w:pPr>
        <w:pStyle w:val="2"/>
        <w:pBdr>
          <w:top w:val="none" w:color="auto" w:sz="0" w:space="0"/>
        </w:pBdr>
        <w:spacing w:before="0" w:line="360" w:lineRule="auto"/>
        <w:ind w:left="0" w:leftChars="0" w:right="69" w:firstLine="426"/>
        <w:rPr>
          <w:rFonts w:ascii="宋体" w:hAnsi="宋体" w:cs="宋体"/>
          <w:b w:val="0"/>
          <w:bCs w:val="0"/>
          <w:kern w:val="2"/>
          <w:sz w:val="22"/>
          <w:szCs w:val="22"/>
        </w:rPr>
      </w:pPr>
      <w:r>
        <w:rPr>
          <w:rFonts w:hint="eastAsia" w:ascii="宋体" w:hAnsi="宋体" w:cs="宋体"/>
          <w:b w:val="0"/>
          <w:bCs w:val="0"/>
          <w:kern w:val="2"/>
          <w:sz w:val="22"/>
          <w:szCs w:val="22"/>
        </w:rPr>
        <w:t>工程方案设计、初步设计及施工图设计（含施工过程中必要的设计变更），包括道路工程（含软基处理）、人行道慢行系统、排水工程、管线综合规划设计、海绵城市设计、照明工程、管沟工程、交通工程、绿化工程及其他附属工程的工程设计、概算编制、方案汇报服务和后期施工现场设计咨询服务等。其中：</w:t>
      </w:r>
    </w:p>
    <w:p>
      <w:pPr>
        <w:spacing w:before="0" w:line="360" w:lineRule="auto"/>
        <w:ind w:right="0"/>
        <w:rPr>
          <w:rFonts w:ascii="宋体" w:hAnsi="宋体" w:cs="宋体"/>
          <w:b/>
          <w:bCs/>
          <w:spacing w:val="0"/>
          <w:w w:val="100"/>
          <w:sz w:val="22"/>
          <w:szCs w:val="22"/>
        </w:rPr>
      </w:pPr>
      <w:r>
        <w:rPr>
          <w:rFonts w:hint="eastAsia" w:ascii="宋体" w:hAnsi="宋体" w:cs="宋体"/>
          <w:b/>
          <w:bCs/>
          <w:sz w:val="22"/>
          <w:szCs w:val="22"/>
        </w:rPr>
        <w:t>道路工程部分（应包括但不限于以下内容）：</w:t>
      </w:r>
    </w:p>
    <w:p>
      <w:pPr>
        <w:tabs>
          <w:tab w:val="left" w:pos="543"/>
        </w:tabs>
        <w:spacing w:before="0" w:line="360" w:lineRule="auto"/>
        <w:ind w:left="0" w:right="69" w:firstLine="424" w:firstLineChars="193"/>
        <w:rPr>
          <w:rFonts w:ascii="宋体" w:hAnsi="宋体" w:cs="宋体"/>
          <w:sz w:val="22"/>
          <w:szCs w:val="22"/>
        </w:rPr>
      </w:pPr>
      <w:r>
        <w:rPr>
          <w:rFonts w:hint="eastAsia" w:ascii="宋体" w:hAnsi="宋体" w:cs="宋体"/>
          <w:sz w:val="22"/>
          <w:szCs w:val="22"/>
        </w:rPr>
        <w:t>新建城市道路，包括道路工程（含软基处理）、人行道慢行系统等。</w:t>
      </w:r>
    </w:p>
    <w:p>
      <w:pPr>
        <w:tabs>
          <w:tab w:val="left" w:pos="543"/>
        </w:tabs>
        <w:spacing w:before="52"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①根据规划综合确定道路走向、断面形式及标高；</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②根据场地特点、工程造价，确定路面结构及道路附属设施；</w:t>
      </w:r>
    </w:p>
    <w:p>
      <w:pPr>
        <w:tabs>
          <w:tab w:val="left" w:pos="543"/>
        </w:tabs>
        <w:spacing w:before="151"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③根据勘察报告，合理确定路基处理形式，节省工程造价；</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④对交叉口等重要节点进行综合分析，保障交通的安全、顺畅等。</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⑤配合方案设计单位，进行场地总体标高梳理调整，对地面人行通道进行整体规划，确保商业通行与车辆通行结合处理，并满足交警部门要求。</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⑥并根据甲方需求，进行局部路网及道路线性调整并落实。</w:t>
      </w:r>
    </w:p>
    <w:p>
      <w:pPr>
        <w:spacing w:before="0" w:line="360" w:lineRule="auto"/>
        <w:ind w:right="0"/>
        <w:rPr>
          <w:rFonts w:ascii="宋体" w:hAnsi="宋体" w:cs="宋体"/>
          <w:b/>
          <w:bCs/>
          <w:sz w:val="22"/>
          <w:szCs w:val="22"/>
        </w:rPr>
      </w:pPr>
      <w:r>
        <w:rPr>
          <w:rFonts w:hint="eastAsia" w:ascii="宋体" w:hAnsi="宋体" w:cs="宋体"/>
          <w:b/>
          <w:bCs/>
          <w:sz w:val="22"/>
          <w:szCs w:val="22"/>
        </w:rPr>
        <w:t>排水工程（应包括但不限于以下内容）：</w:t>
      </w:r>
    </w:p>
    <w:p>
      <w:pPr>
        <w:tabs>
          <w:tab w:val="left" w:pos="543"/>
        </w:tabs>
        <w:spacing w:before="0" w:line="360" w:lineRule="auto"/>
        <w:ind w:left="0" w:right="69" w:firstLine="424" w:firstLineChars="193"/>
        <w:rPr>
          <w:rFonts w:ascii="宋体" w:hAnsi="宋体" w:cs="宋体"/>
          <w:sz w:val="22"/>
          <w:szCs w:val="22"/>
        </w:rPr>
      </w:pPr>
      <w:r>
        <w:rPr>
          <w:rFonts w:hint="eastAsia" w:ascii="宋体" w:hAnsi="宋体" w:cs="宋体"/>
          <w:sz w:val="22"/>
          <w:szCs w:val="22"/>
        </w:rPr>
        <w:t>对现状雨水、污水设施等进行改造或新建。</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①结合现状、地块功能、发展需要、道路路幅，合理布置市政管线，在环保、节能的基础上，进行新技术、新材料的运用。</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②认真贯彻执行方针政策，市政工程管线的布置应符合国家的方针、政策、法令，并与城市的发展相协调。</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③尽可能利用现状管线，减少改迁量，无法利用的市政管线按新设计管位就位。</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④市政管线尽可能科学合理布置，设计内容能适应项目所在区域社会、经济规划发展要求，具有一定延伸空间。</w:t>
      </w:r>
    </w:p>
    <w:p>
      <w:pPr>
        <w:tabs>
          <w:tab w:val="left" w:pos="543"/>
        </w:tabs>
        <w:spacing w:before="154" w:line="360" w:lineRule="auto"/>
        <w:ind w:left="840" w:leftChars="400" w:right="69" w:firstLine="424" w:firstLineChars="193"/>
        <w:rPr>
          <w:rFonts w:ascii="宋体" w:hAnsi="宋体" w:cs="宋体"/>
          <w:sz w:val="22"/>
          <w:szCs w:val="22"/>
        </w:rPr>
      </w:pPr>
      <w:r>
        <w:rPr>
          <w:rFonts w:hint="eastAsia" w:ascii="宋体" w:hAnsi="宋体" w:cs="宋体"/>
          <w:b w:val="0"/>
          <w:bCs w:val="0"/>
          <w:sz w:val="22"/>
          <w:szCs w:val="22"/>
        </w:rPr>
        <w:t>⑤管线高程系统设计结合道路竖向设计，协调控制点标高，充分考虑排水与其它管线的相对位置，合理布置管道标高，既便于周围排水的纳入，又避免与其它管线发生冲突。</w:t>
      </w:r>
    </w:p>
    <w:p>
      <w:pPr>
        <w:tabs>
          <w:tab w:val="left" w:pos="543"/>
        </w:tabs>
        <w:spacing w:before="154" w:line="360" w:lineRule="auto"/>
        <w:ind w:left="840" w:leftChars="400" w:right="68" w:firstLine="424" w:firstLineChars="193"/>
        <w:rPr>
          <w:rFonts w:ascii="宋体" w:hAnsi="宋体" w:cs="宋体"/>
          <w:sz w:val="22"/>
          <w:szCs w:val="22"/>
        </w:rPr>
      </w:pPr>
      <w:r>
        <w:rPr>
          <w:rFonts w:hint="eastAsia" w:ascii="宋体" w:hAnsi="宋体" w:cs="宋体"/>
          <w:b w:val="0"/>
          <w:bCs w:val="0"/>
          <w:sz w:val="22"/>
          <w:szCs w:val="22"/>
        </w:rPr>
        <w:t>⑥在建设过程中，应推广和应用低影响开发模式，加大城市径流雨水源头减排的刚性约束，优先利用自然排水系统，建设生态排水设施，充分发挥城市道路绿地、水系对雨水的吸纳、蓄渗和缓释作用，使城市开发后的水文特征接近开发前，有效缓解城市内涝，为建设具有自然渗透、自然净化的海绵城市提供重要保障。</w:t>
      </w:r>
    </w:p>
    <w:p>
      <w:pPr>
        <w:pStyle w:val="2"/>
        <w:pBdr>
          <w:top w:val="none" w:color="auto" w:sz="0" w:space="0"/>
        </w:pBdr>
        <w:spacing w:before="0" w:line="360" w:lineRule="auto"/>
        <w:ind w:left="1" w:right="69"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⑦配合机电总规单位，进行大小市政综合考虑方案，把机电总规方案落实到施工图上，确保能通过水务、市政相关单位的审查。</w:t>
      </w:r>
    </w:p>
    <w:p>
      <w:pPr>
        <w:pStyle w:val="2"/>
        <w:pBdr>
          <w:top w:val="none" w:color="auto" w:sz="0" w:space="0"/>
        </w:pBdr>
        <w:spacing w:before="0" w:line="360" w:lineRule="auto"/>
        <w:ind w:left="1" w:leftChars="0" w:right="69" w:firstLine="424" w:firstLineChars="193"/>
        <w:rPr>
          <w:rFonts w:ascii="宋体" w:hAnsi="宋体" w:cs="宋体"/>
          <w:b w:val="0"/>
          <w:bCs w:val="0"/>
          <w:kern w:val="2"/>
          <w:sz w:val="22"/>
          <w:szCs w:val="22"/>
        </w:rPr>
      </w:pPr>
      <w:r>
        <w:rPr>
          <w:rFonts w:hint="eastAsia" w:ascii="宋体" w:hAnsi="宋体" w:cs="宋体"/>
          <w:b w:val="0"/>
          <w:bCs w:val="0"/>
          <w:kern w:val="2"/>
          <w:sz w:val="22"/>
          <w:szCs w:val="22"/>
        </w:rPr>
        <w:t>并根据甲方要求，需配合甲方景观设计顾问单位及水利设计单位进行相关设计调整并落实。</w:t>
      </w:r>
    </w:p>
    <w:p>
      <w:pPr>
        <w:spacing w:before="0" w:line="360" w:lineRule="auto"/>
        <w:ind w:right="0"/>
        <w:rPr>
          <w:rFonts w:ascii="宋体" w:hAnsi="宋体" w:cs="宋体"/>
          <w:b/>
          <w:bCs/>
          <w:sz w:val="22"/>
          <w:szCs w:val="22"/>
        </w:rPr>
      </w:pPr>
      <w:r>
        <w:rPr>
          <w:rFonts w:hint="eastAsia" w:ascii="宋体" w:hAnsi="宋体" w:cs="宋体"/>
          <w:b/>
          <w:bCs/>
          <w:sz w:val="22"/>
          <w:szCs w:val="22"/>
        </w:rPr>
        <w:t>道路交通安全设施工程（应包括但不限于以下内容）：</w:t>
      </w:r>
    </w:p>
    <w:p>
      <w:pPr>
        <w:pStyle w:val="2"/>
        <w:pBdr>
          <w:top w:val="none" w:color="auto" w:sz="0" w:space="0"/>
        </w:pBdr>
        <w:spacing w:before="0" w:line="360" w:lineRule="auto"/>
        <w:ind w:left="1" w:leftChars="0" w:right="69" w:firstLine="330" w:firstLineChars="150"/>
        <w:rPr>
          <w:rFonts w:ascii="宋体" w:hAnsi="宋体" w:cs="宋体"/>
          <w:b w:val="0"/>
          <w:bCs w:val="0"/>
          <w:kern w:val="2"/>
          <w:sz w:val="22"/>
          <w:szCs w:val="22"/>
        </w:rPr>
      </w:pPr>
      <w:r>
        <w:rPr>
          <w:rFonts w:hint="eastAsia" w:ascii="宋体" w:hAnsi="宋体" w:cs="宋体"/>
          <w:b w:val="0"/>
          <w:bCs w:val="0"/>
          <w:kern w:val="2"/>
          <w:sz w:val="22"/>
          <w:szCs w:val="22"/>
        </w:rPr>
        <w:t>包括交通标线、标志、指路系统、交通信号控制功能、原有交通设施迁改（如有）、拆除工程（如有）、临时交通组织疏导工程设计，同时积极配合交警方案审查。</w:t>
      </w:r>
    </w:p>
    <w:p>
      <w:pPr>
        <w:pStyle w:val="2"/>
        <w:pBdr>
          <w:top w:val="none" w:color="auto" w:sz="0" w:space="0"/>
        </w:pBdr>
        <w:spacing w:before="0" w:line="360" w:lineRule="auto"/>
        <w:ind w:left="1" w:leftChars="0" w:right="69" w:hanging="1"/>
        <w:rPr>
          <w:rFonts w:ascii="宋体" w:hAnsi="宋体" w:cs="宋体"/>
          <w:b w:val="0"/>
          <w:bCs w:val="0"/>
          <w:kern w:val="2"/>
          <w:sz w:val="22"/>
          <w:szCs w:val="22"/>
        </w:rPr>
      </w:pPr>
      <w:r>
        <w:rPr>
          <w:rFonts w:hint="eastAsia" w:ascii="宋体" w:hAnsi="宋体" w:cs="宋体"/>
          <w:b w:val="0"/>
          <w:bCs w:val="0"/>
          <w:kern w:val="2"/>
          <w:sz w:val="22"/>
          <w:szCs w:val="22"/>
        </w:rPr>
        <w:t>需根据甲方要求，需配合甲方标识顾问单位进行相关设计调整并落实。</w:t>
      </w:r>
    </w:p>
    <w:p>
      <w:pPr>
        <w:spacing w:before="0" w:line="360" w:lineRule="auto"/>
        <w:ind w:right="0"/>
        <w:rPr>
          <w:rFonts w:ascii="宋体" w:hAnsi="宋体" w:cs="宋体"/>
          <w:b/>
          <w:bCs/>
          <w:sz w:val="22"/>
          <w:szCs w:val="22"/>
        </w:rPr>
      </w:pPr>
      <w:r>
        <w:rPr>
          <w:rFonts w:hint="eastAsia" w:ascii="宋体" w:hAnsi="宋体" w:cs="宋体"/>
          <w:b/>
          <w:bCs/>
          <w:sz w:val="22"/>
          <w:szCs w:val="22"/>
        </w:rPr>
        <w:t>照明工程（应包括但不限于以下内容）：</w:t>
      </w:r>
    </w:p>
    <w:p>
      <w:pPr>
        <w:pStyle w:val="2"/>
        <w:pBdr>
          <w:top w:val="none" w:color="auto" w:sz="0" w:space="0"/>
        </w:pBdr>
        <w:spacing w:before="0" w:line="360" w:lineRule="auto"/>
        <w:ind w:left="1" w:leftChars="0" w:right="69" w:firstLine="330" w:firstLineChars="150"/>
        <w:rPr>
          <w:rFonts w:ascii="宋体" w:hAnsi="宋体" w:cs="宋体"/>
          <w:b w:val="0"/>
          <w:bCs w:val="0"/>
          <w:kern w:val="2"/>
          <w:sz w:val="22"/>
          <w:szCs w:val="22"/>
        </w:rPr>
      </w:pPr>
      <w:r>
        <w:rPr>
          <w:rFonts w:hint="eastAsia" w:ascii="宋体" w:hAnsi="宋体" w:cs="宋体"/>
          <w:b w:val="0"/>
          <w:bCs w:val="0"/>
          <w:kern w:val="2"/>
          <w:sz w:val="22"/>
          <w:szCs w:val="22"/>
        </w:rPr>
        <w:t>按照城市次干路</w:t>
      </w:r>
      <w:r>
        <w:rPr>
          <w:rFonts w:ascii="宋体" w:hAnsi="宋体" w:cs="宋体"/>
          <w:b w:val="0"/>
          <w:bCs w:val="0"/>
          <w:kern w:val="2"/>
          <w:sz w:val="22"/>
          <w:szCs w:val="22"/>
        </w:rPr>
        <w:t>/支路标准设计，道路照明应具有良好的诱导性。遵循功能性、安全性、美观性、先进性、节能环保性有机结合。</w:t>
      </w:r>
    </w:p>
    <w:p>
      <w:pPr>
        <w:spacing w:line="360" w:lineRule="auto"/>
        <w:rPr>
          <w:rFonts w:ascii="宋体" w:hAnsi="宋体" w:cs="宋体"/>
          <w:b/>
          <w:bCs/>
          <w:sz w:val="22"/>
          <w:szCs w:val="22"/>
        </w:rPr>
      </w:pPr>
      <w:r>
        <w:rPr>
          <w:rFonts w:hint="eastAsia" w:ascii="宋体" w:hAnsi="宋体" w:cs="宋体"/>
          <w:b/>
          <w:bCs/>
          <w:sz w:val="22"/>
          <w:szCs w:val="22"/>
        </w:rPr>
        <w:t>绿化工程（应包括但不限于以下内容）：</w:t>
      </w:r>
    </w:p>
    <w:p>
      <w:pPr>
        <w:pStyle w:val="2"/>
        <w:pBdr>
          <w:top w:val="none" w:color="auto" w:sz="0" w:space="0"/>
        </w:pBdr>
        <w:spacing w:before="0" w:line="360" w:lineRule="auto"/>
        <w:ind w:left="1" w:right="69" w:firstLine="330" w:firstLineChars="150"/>
        <w:rPr>
          <w:rFonts w:ascii="宋体" w:hAnsi="宋体" w:cs="宋体"/>
          <w:b w:val="0"/>
          <w:bCs w:val="0"/>
          <w:kern w:val="2"/>
          <w:sz w:val="22"/>
          <w:szCs w:val="22"/>
        </w:rPr>
      </w:pPr>
      <w:r>
        <w:rPr>
          <w:rFonts w:hint="eastAsia" w:ascii="宋体" w:hAnsi="宋体" w:cs="宋体"/>
          <w:b w:val="0"/>
          <w:bCs w:val="0"/>
          <w:kern w:val="2"/>
          <w:sz w:val="22"/>
          <w:szCs w:val="22"/>
        </w:rPr>
        <w:t>道路行道树及绿化带的设计。</w:t>
      </w:r>
    </w:p>
    <w:p>
      <w:pPr>
        <w:pStyle w:val="2"/>
        <w:pBdr>
          <w:top w:val="none" w:color="auto" w:sz="0" w:space="0"/>
        </w:pBdr>
        <w:spacing w:before="0" w:line="360" w:lineRule="auto"/>
        <w:ind w:left="1" w:right="69" w:firstLine="330" w:firstLineChars="150"/>
        <w:rPr>
          <w:rFonts w:ascii="宋体" w:hAnsi="宋体" w:cs="宋体"/>
          <w:b w:val="0"/>
          <w:bCs w:val="0"/>
          <w:kern w:val="2"/>
          <w:sz w:val="22"/>
          <w:szCs w:val="22"/>
        </w:rPr>
      </w:pPr>
      <w:r>
        <w:rPr>
          <w:rFonts w:hint="eastAsia" w:ascii="宋体" w:hAnsi="宋体" w:cs="宋体"/>
          <w:b w:val="0"/>
          <w:bCs w:val="0"/>
          <w:kern w:val="2"/>
          <w:sz w:val="22"/>
          <w:szCs w:val="22"/>
        </w:rPr>
        <w:t>需根据甲方需求，配合甲方景观顾问单位进行相关设计调整并落实。</w:t>
      </w:r>
    </w:p>
    <w:p>
      <w:pPr>
        <w:spacing w:before="0" w:line="360" w:lineRule="auto"/>
        <w:ind w:right="0"/>
        <w:rPr>
          <w:rFonts w:ascii="宋体" w:hAnsi="宋体" w:cs="宋体"/>
          <w:b/>
          <w:bCs/>
          <w:spacing w:val="0"/>
          <w:w w:val="100"/>
          <w:sz w:val="22"/>
          <w:szCs w:val="22"/>
        </w:rPr>
      </w:pPr>
      <w:r>
        <w:rPr>
          <w:rFonts w:hint="eastAsia" w:ascii="宋体" w:hAnsi="宋体" w:cs="宋体"/>
          <w:b/>
          <w:bCs/>
          <w:sz w:val="22"/>
          <w:szCs w:val="22"/>
        </w:rPr>
        <w:t>管线综合（应包括但不限于以下内容）：</w:t>
      </w:r>
    </w:p>
    <w:p>
      <w:pPr>
        <w:pStyle w:val="2"/>
        <w:pBdr>
          <w:top w:val="none" w:color="auto" w:sz="0" w:space="0"/>
        </w:pBdr>
        <w:spacing w:before="0" w:line="360" w:lineRule="auto"/>
        <w:ind w:left="1" w:leftChars="0" w:right="69" w:firstLine="330" w:firstLineChars="150"/>
        <w:rPr>
          <w:rFonts w:ascii="宋体" w:hAnsi="宋体" w:cs="宋体"/>
          <w:b w:val="0"/>
          <w:bCs w:val="0"/>
          <w:kern w:val="2"/>
          <w:sz w:val="22"/>
          <w:szCs w:val="22"/>
        </w:rPr>
      </w:pPr>
      <w:r>
        <w:rPr>
          <w:rFonts w:hint="eastAsia" w:ascii="宋体" w:hAnsi="宋体" w:cs="宋体"/>
          <w:b w:val="0"/>
          <w:bCs w:val="0"/>
          <w:kern w:val="2"/>
          <w:sz w:val="22"/>
          <w:szCs w:val="22"/>
        </w:rPr>
        <w:t>城市工程管线种类很多，功能和施工时间也不统一，在城市道路有限断面上需要综合安排、统筹规划电力管道、通讯管道、煤气管道、给水管道、雨水管道、污水管道以及照明管道等市政管网，同时须兼顾工程管线综合规划与城市道路交通、城市环境、给水工程、排水工程、电力工程、燃气工程、电信工程、防洪工程、人防工程等专业规划相协调，保证城市功能的正常运行。</w:t>
      </w:r>
    </w:p>
    <w:p>
      <w:pPr>
        <w:spacing w:before="97" w:line="360" w:lineRule="auto"/>
        <w:rPr>
          <w:rFonts w:ascii="宋体" w:hAnsi="宋体" w:cs="宋体"/>
          <w:b/>
          <w:bCs/>
          <w:sz w:val="22"/>
          <w:szCs w:val="22"/>
        </w:rPr>
      </w:pPr>
      <w:r>
        <w:rPr>
          <w:rFonts w:hint="eastAsia" w:ascii="宋体" w:hAnsi="宋体" w:cs="宋体"/>
          <w:b/>
          <w:bCs/>
          <w:sz w:val="22"/>
          <w:szCs w:val="22"/>
        </w:rPr>
        <w:t>（三）其他要求：</w:t>
      </w:r>
    </w:p>
    <w:p>
      <w:pPr>
        <w:pStyle w:val="2"/>
        <w:pBdr>
          <w:top w:val="none" w:color="auto" w:sz="0" w:space="0"/>
        </w:pBdr>
        <w:spacing w:before="0" w:line="360" w:lineRule="auto"/>
        <w:ind w:left="1"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①初步设计：满足设计阶段的方案比选及推荐方案比选。配合初步设计报审工作。</w:t>
      </w:r>
    </w:p>
    <w:p>
      <w:pPr>
        <w:pStyle w:val="2"/>
        <w:pBdr>
          <w:top w:val="none" w:color="auto" w:sz="0" w:space="0"/>
        </w:pBdr>
        <w:spacing w:before="0" w:line="360" w:lineRule="auto"/>
        <w:ind w:left="0"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②施工图设计：满足现行规范设计深度要求，配合施工图审查、施工报建及后期跟踪服务。</w:t>
      </w:r>
    </w:p>
    <w:p>
      <w:pPr>
        <w:pStyle w:val="2"/>
        <w:pBdr>
          <w:top w:val="none" w:color="auto" w:sz="0" w:space="0"/>
        </w:pBdr>
        <w:spacing w:before="0" w:line="360" w:lineRule="auto"/>
        <w:ind w:left="0"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②临时交通组织方案设计：满足工程施工期间周边路网情况的交通组织方案。</w:t>
      </w:r>
    </w:p>
    <w:p>
      <w:pPr>
        <w:pStyle w:val="2"/>
        <w:pBdr>
          <w:top w:val="none" w:color="auto" w:sz="0" w:space="0"/>
        </w:pBdr>
        <w:spacing w:before="0" w:line="360" w:lineRule="auto"/>
        <w:ind w:left="0"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③编制初步设计概算，并配合招标人进行初步设计概算送审工作（满足初步设计审批要求，须配合建设单位进行前期管线调查，将相关管线迁改费用计入概算中）；</w:t>
      </w:r>
    </w:p>
    <w:p>
      <w:pPr>
        <w:pStyle w:val="2"/>
        <w:pBdr>
          <w:top w:val="none" w:color="auto" w:sz="0" w:space="0"/>
        </w:pBdr>
        <w:spacing w:before="0" w:line="360" w:lineRule="auto"/>
        <w:ind w:left="0"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④负责编制地质勘察报告、初步设计及施工图设计成果，并配合业主组织相关评审、审查等必要工作；</w:t>
      </w:r>
    </w:p>
    <w:p>
      <w:pPr>
        <w:pStyle w:val="2"/>
        <w:pBdr>
          <w:top w:val="none" w:color="auto" w:sz="0" w:space="0"/>
        </w:pBdr>
        <w:spacing w:before="0" w:line="360" w:lineRule="auto"/>
        <w:ind w:left="0"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⑤认真负责履行施工期间设计方责任主体的相关义务、服务工作；有效确保工程施工按施工图设计进行、以及必要的设计变更工作。</w:t>
      </w:r>
    </w:p>
    <w:p>
      <w:pPr>
        <w:pStyle w:val="2"/>
        <w:pBdr>
          <w:top w:val="none" w:color="auto" w:sz="0" w:space="0"/>
        </w:pBdr>
        <w:spacing w:before="0" w:line="360" w:lineRule="auto"/>
        <w:ind w:left="1" w:leftChars="0" w:firstLine="424" w:firstLineChars="193"/>
        <w:rPr>
          <w:rFonts w:ascii="宋体" w:hAnsi="宋体" w:cs="宋体"/>
          <w:b w:val="0"/>
          <w:bCs w:val="0"/>
          <w:kern w:val="2"/>
          <w:sz w:val="22"/>
          <w:szCs w:val="22"/>
        </w:rPr>
      </w:pPr>
      <w:r>
        <w:rPr>
          <w:rFonts w:hint="eastAsia" w:ascii="宋体" w:hAnsi="宋体" w:cs="宋体"/>
          <w:b w:val="0"/>
          <w:bCs w:val="0"/>
          <w:kern w:val="2"/>
          <w:sz w:val="22"/>
          <w:szCs w:val="22"/>
        </w:rPr>
        <w:t>⑥认真负责履行竣交工材料移交工作中有关设计单位应配合工作。</w:t>
      </w:r>
    </w:p>
    <w:p>
      <w:pPr>
        <w:pStyle w:val="3"/>
        <w:tabs>
          <w:tab w:val="left" w:pos="9040"/>
        </w:tabs>
        <w:spacing w:before="0" w:after="0" w:line="360" w:lineRule="auto"/>
        <w:ind w:left="14" w:right="32" w:hanging="14"/>
        <w:jc w:val="center"/>
        <w:rPr>
          <w:rFonts w:ascii="宋体" w:hAnsi="宋体" w:cs="宋体"/>
          <w:spacing w:val="1"/>
          <w:sz w:val="28"/>
          <w:szCs w:val="28"/>
        </w:rPr>
      </w:pPr>
      <w:r>
        <w:rPr>
          <w:rFonts w:hint="eastAsia" w:ascii="宋体" w:hAnsi="宋体" w:cs="宋体"/>
          <w:spacing w:val="1"/>
          <w:sz w:val="28"/>
          <w:szCs w:val="28"/>
        </w:rPr>
        <w:t>5.成果要求</w:t>
      </w:r>
    </w:p>
    <w:p>
      <w:pPr>
        <w:spacing w:before="154" w:line="360" w:lineRule="auto"/>
        <w:rPr>
          <w:rFonts w:ascii="宋体" w:hAnsi="宋体" w:cs="宋体"/>
          <w:sz w:val="22"/>
          <w:szCs w:val="22"/>
        </w:rPr>
      </w:pPr>
      <w:r>
        <w:rPr>
          <w:rFonts w:ascii="宋体" w:hAnsi="宋体" w:cs="宋体"/>
          <w:b/>
          <w:bCs/>
          <w:sz w:val="22"/>
          <w:szCs w:val="22"/>
        </w:rPr>
        <w:t>5.1设计要求</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1）对项目范围内各项设计工作进行设计管理及协调，以确保相关设计时间、成果质量、造价控制满足项目要求。</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2）提交的设计成果文件应满足设计任务书的要求，且设计图纸通过政府主管部门审查及审批。</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3）设计成果文件深度应满足住建部《建筑工程设计文件编制深度的规定》（2016年版）的要求。</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4）设计成果文件应按中国和广东省、广州市现行的设计规范、质量标准及计价依据的</w:t>
      </w:r>
      <w:r>
        <w:rPr>
          <w:rFonts w:hint="eastAsia" w:ascii="宋体" w:hAnsi="宋体" w:cs="宋体"/>
          <w:b w:val="0"/>
          <w:bCs w:val="0"/>
          <w:kern w:val="2"/>
          <w:sz w:val="22"/>
          <w:szCs w:val="22"/>
        </w:rPr>
        <w:t>相关规定执行。如在项目运作中遇国家或地区颁布新的标准、规定、依据，按新标准、规定、依据执行。</w:t>
      </w:r>
    </w:p>
    <w:p>
      <w:pPr>
        <w:spacing w:before="154" w:line="360" w:lineRule="auto"/>
        <w:rPr>
          <w:rFonts w:ascii="宋体" w:hAnsi="宋体" w:cs="宋体"/>
          <w:sz w:val="22"/>
          <w:szCs w:val="22"/>
        </w:rPr>
      </w:pPr>
      <w:r>
        <w:rPr>
          <w:rFonts w:ascii="宋体" w:hAnsi="宋体" w:cs="宋体"/>
          <w:b/>
          <w:bCs/>
          <w:sz w:val="22"/>
          <w:szCs w:val="22"/>
        </w:rPr>
        <w:t>5.2勘察要求</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1）对工程地质环境进行勘察测量，对初步设计阶段勘察成果进行复核对比，通过地质勘察，查明场地岩土条件并分析评价，为工程设计提供依据；勘察测量成果应真实、准确、资料完整，测量精度应达到设计要求。</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ascii="宋体" w:hAnsi="宋体" w:cs="宋体"/>
          <w:b w:val="0"/>
          <w:bCs w:val="0"/>
          <w:kern w:val="2"/>
          <w:sz w:val="22"/>
          <w:szCs w:val="22"/>
        </w:rPr>
        <w:t xml:space="preserve"> （2）对工程勘察成果负全责，确保勘察报告的质量，原始资料必须真实、系统、完整；对岩土工程分析所依据的一切原始资料，均应及时整编备查。</w:t>
      </w:r>
    </w:p>
    <w:p>
      <w:pPr>
        <w:pStyle w:val="3"/>
        <w:tabs>
          <w:tab w:val="left" w:pos="9040"/>
        </w:tabs>
        <w:spacing w:before="0" w:after="0" w:line="360" w:lineRule="auto"/>
        <w:ind w:left="14" w:right="32" w:hanging="14"/>
        <w:jc w:val="center"/>
        <w:rPr>
          <w:rFonts w:ascii="宋体" w:hAnsi="宋体" w:cs="宋体"/>
          <w:spacing w:val="1"/>
          <w:sz w:val="28"/>
          <w:szCs w:val="28"/>
        </w:rPr>
      </w:pPr>
      <w:r>
        <w:rPr>
          <w:rFonts w:hint="eastAsia" w:ascii="宋体" w:hAnsi="宋体" w:cs="宋体"/>
          <w:spacing w:val="1"/>
          <w:sz w:val="28"/>
          <w:szCs w:val="28"/>
        </w:rPr>
        <w:t>6.设计服务团队</w:t>
      </w:r>
    </w:p>
    <w:p>
      <w:pPr>
        <w:pStyle w:val="2"/>
        <w:pBdr>
          <w:top w:val="none" w:color="auto" w:sz="0" w:space="0"/>
        </w:pBdr>
        <w:spacing w:line="360" w:lineRule="auto"/>
        <w:ind w:right="0" w:firstLine="565" w:firstLineChars="257"/>
        <w:rPr>
          <w:rFonts w:ascii="宋体" w:hAnsi="宋体" w:cs="宋体"/>
          <w:b w:val="0"/>
          <w:bCs w:val="0"/>
          <w:kern w:val="2"/>
          <w:sz w:val="22"/>
          <w:szCs w:val="22"/>
        </w:rPr>
      </w:pPr>
      <w:r>
        <w:rPr>
          <w:rFonts w:hint="eastAsia" w:ascii="宋体" w:hAnsi="宋体" w:cs="宋体"/>
          <w:b w:val="0"/>
          <w:bCs w:val="0"/>
          <w:kern w:val="2"/>
          <w:sz w:val="22"/>
          <w:szCs w:val="22"/>
        </w:rPr>
        <w:t>合同签订后，应建立完整的、可以胜任服务期内所有勘察设计工作的专业团队，团队应由项目总负责（职级为高级工程师）、设计人员（职级为工程师）、专业负责人（职级为工程师）、总工程师（职级为高级工程师）等多个专业背景的成员组成。设计团队人数配置暂定</w:t>
      </w:r>
      <w:r>
        <w:rPr>
          <w:rFonts w:ascii="宋体" w:hAnsi="宋体" w:cs="宋体"/>
          <w:b w:val="0"/>
          <w:bCs w:val="0"/>
          <w:kern w:val="2"/>
          <w:sz w:val="22"/>
          <w:szCs w:val="22"/>
        </w:rPr>
        <w:t>12人（除驻场人员外），设置一名设计负责人，下设道路、排水、电气、绿化、</w:t>
      </w:r>
      <w:r>
        <w:rPr>
          <w:rFonts w:hint="eastAsia" w:ascii="宋体" w:hAnsi="宋体" w:cs="宋体"/>
          <w:b w:val="0"/>
          <w:bCs w:val="0"/>
          <w:kern w:val="2"/>
          <w:sz w:val="22"/>
          <w:szCs w:val="22"/>
        </w:rPr>
        <w:t>交通工程专业负责人，每位专业负责人下配</w:t>
      </w:r>
      <w:r>
        <w:rPr>
          <w:rFonts w:ascii="宋体" w:hAnsi="宋体" w:cs="宋体"/>
          <w:b w:val="0"/>
          <w:bCs w:val="0"/>
          <w:kern w:val="2"/>
          <w:sz w:val="22"/>
          <w:szCs w:val="22"/>
        </w:rPr>
        <w:t>1～2名设计人员。项目由设计负责人负责协调与设计、配合、送审等相关工作，并配合其他顾问及设计单位，服务期48个月。</w:t>
      </w:r>
    </w:p>
    <w:p>
      <w:pPr>
        <w:pStyle w:val="2"/>
        <w:pBdr>
          <w:top w:val="none" w:color="auto" w:sz="0" w:space="0"/>
        </w:pBdr>
        <w:spacing w:line="360" w:lineRule="auto"/>
        <w:ind w:right="0" w:firstLine="565" w:firstLineChars="257"/>
        <w:rPr>
          <w:rFonts w:ascii="宋体" w:hAnsi="宋体" w:cs="宋体"/>
          <w:b w:val="0"/>
          <w:bCs w:val="0"/>
          <w:kern w:val="2"/>
          <w:sz w:val="22"/>
          <w:szCs w:val="22"/>
        </w:rPr>
      </w:pPr>
      <w:r>
        <w:rPr>
          <w:rFonts w:hint="eastAsia" w:ascii="宋体" w:hAnsi="宋体" w:cs="宋体"/>
          <w:b w:val="0"/>
          <w:bCs w:val="0"/>
          <w:kern w:val="2"/>
          <w:sz w:val="22"/>
          <w:szCs w:val="22"/>
        </w:rPr>
        <w:t>设计团队由项目总负责人，统管项目的设计，以便与业主等沟通重要项目事项。</w:t>
      </w:r>
    </w:p>
    <w:p>
      <w:pPr>
        <w:pStyle w:val="2"/>
        <w:pBdr>
          <w:top w:val="none" w:color="auto" w:sz="0" w:space="0"/>
        </w:pBdr>
        <w:spacing w:line="360" w:lineRule="auto"/>
        <w:ind w:right="0" w:firstLine="565" w:firstLineChars="257"/>
        <w:rPr>
          <w:rFonts w:ascii="宋体" w:hAnsi="宋体" w:cs="宋体"/>
          <w:b w:val="0"/>
          <w:bCs w:val="0"/>
          <w:kern w:val="2"/>
          <w:sz w:val="22"/>
          <w:szCs w:val="22"/>
        </w:rPr>
      </w:pPr>
      <w:r>
        <w:rPr>
          <w:rFonts w:hint="eastAsia" w:ascii="宋体" w:hAnsi="宋体" w:cs="宋体"/>
          <w:b w:val="0"/>
          <w:bCs w:val="0"/>
          <w:kern w:val="2"/>
          <w:sz w:val="22"/>
          <w:szCs w:val="22"/>
        </w:rPr>
        <w:t>服务费用包括乙方为项目提供</w:t>
      </w:r>
      <w:r>
        <w:rPr>
          <w:rFonts w:ascii="宋体" w:hAnsi="宋体" w:cs="宋体"/>
          <w:b w:val="0"/>
          <w:bCs w:val="0"/>
          <w:kern w:val="2"/>
          <w:sz w:val="22"/>
          <w:szCs w:val="22"/>
        </w:rPr>
        <w:t>48个月之服务，</w:t>
      </w:r>
      <w:r>
        <w:rPr>
          <w:rFonts w:hint="eastAsia" w:ascii="宋体" w:hAnsi="宋体" w:cs="宋体"/>
          <w:b w:val="0"/>
          <w:bCs w:val="0"/>
          <w:kern w:val="2"/>
          <w:sz w:val="22"/>
          <w:szCs w:val="22"/>
        </w:rPr>
        <w:t>若项目在乙方不能控制或非因乙方过失所引起实际延误情况下而延迟超过上述服务期限，则甲方就拖延所引致的额外费用予以合理补偿。</w:t>
      </w:r>
    </w:p>
    <w:p>
      <w:pPr>
        <w:spacing w:before="154" w:line="360" w:lineRule="auto"/>
        <w:rPr>
          <w:rFonts w:ascii="宋体" w:hAnsi="宋体" w:cs="宋体"/>
          <w:sz w:val="22"/>
          <w:szCs w:val="22"/>
        </w:rPr>
      </w:pPr>
      <w:bookmarkStart w:id="43" w:name="_Toc92978589"/>
      <w:r>
        <w:rPr>
          <w:rFonts w:ascii="宋体" w:hAnsi="宋体" w:cs="宋体"/>
          <w:b/>
          <w:bCs/>
          <w:sz w:val="22"/>
          <w:szCs w:val="22"/>
        </w:rPr>
        <w:t>6.1项目总负责</w:t>
      </w:r>
      <w:bookmarkEnd w:id="43"/>
      <w:r>
        <w:rPr>
          <w:rFonts w:ascii="宋体" w:hAnsi="宋体" w:cs="宋体"/>
          <w:b/>
          <w:bCs/>
          <w:sz w:val="22"/>
          <w:szCs w:val="22"/>
        </w:rPr>
        <w:t xml:space="preserve"> </w:t>
      </w:r>
    </w:p>
    <w:p>
      <w:pPr>
        <w:pStyle w:val="2"/>
        <w:pBdr>
          <w:top w:val="none" w:color="auto" w:sz="0" w:space="0"/>
        </w:pBdr>
        <w:spacing w:line="360" w:lineRule="auto"/>
        <w:ind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需指定一名项目负责人在项目服务期内全程为该项目服务，其专业背景和工作经验应满足：</w:t>
      </w:r>
      <w:r>
        <w:rPr>
          <w:rFonts w:ascii="宋体" w:hAnsi="宋体" w:cs="宋体"/>
          <w:b w:val="0"/>
          <w:bCs w:val="0"/>
          <w:kern w:val="2"/>
          <w:sz w:val="22"/>
          <w:szCs w:val="22"/>
        </w:rPr>
        <w:t xml:space="preserve"> </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1）具备市政路桥专业教育背景和从业经验； </w:t>
      </w:r>
    </w:p>
    <w:p>
      <w:pPr>
        <w:pStyle w:val="2"/>
        <w:pBdr>
          <w:top w:val="none" w:color="auto" w:sz="0" w:space="0"/>
        </w:pBdr>
        <w:spacing w:line="360" w:lineRule="auto"/>
        <w:ind w:left="0" w:leftChars="0" w:right="0" w:firstLine="424" w:firstLineChars="193"/>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2）具有不少于10年，且具有7个以上项目实践经验，具备较强的市政道路标准理解和实施能力，具备较强的带队和团队调配能力，具备较强的项目设计及服务掌控能力； </w:t>
      </w:r>
    </w:p>
    <w:p>
      <w:pPr>
        <w:spacing w:before="154" w:line="360" w:lineRule="auto"/>
        <w:rPr>
          <w:rFonts w:ascii="宋体" w:hAnsi="宋体" w:cs="宋体"/>
          <w:sz w:val="22"/>
          <w:szCs w:val="22"/>
        </w:rPr>
      </w:pPr>
      <w:bookmarkStart w:id="44" w:name="_Toc92978590"/>
      <w:r>
        <w:rPr>
          <w:rFonts w:ascii="宋体" w:hAnsi="宋体" w:cs="宋体"/>
          <w:b/>
          <w:bCs/>
          <w:sz w:val="22"/>
          <w:szCs w:val="22"/>
        </w:rPr>
        <w:t>6.2设计负责</w:t>
      </w:r>
      <w:bookmarkEnd w:id="44"/>
      <w:r>
        <w:rPr>
          <w:rFonts w:hint="eastAsia" w:ascii="宋体" w:hAnsi="宋体" w:cs="宋体"/>
          <w:b/>
          <w:bCs/>
          <w:sz w:val="22"/>
          <w:szCs w:val="22"/>
        </w:rPr>
        <w:t>人</w:t>
      </w:r>
    </w:p>
    <w:p>
      <w:pPr>
        <w:pStyle w:val="2"/>
        <w:pBdr>
          <w:top w:val="none" w:color="auto" w:sz="0" w:space="0"/>
        </w:pBdr>
        <w:spacing w:line="360" w:lineRule="auto"/>
        <w:ind w:right="237" w:firstLine="420"/>
        <w:rPr>
          <w:rFonts w:ascii="宋体" w:hAnsi="宋体" w:cs="宋体"/>
          <w:b w:val="0"/>
          <w:bCs w:val="0"/>
          <w:kern w:val="2"/>
          <w:sz w:val="22"/>
          <w:szCs w:val="22"/>
        </w:rPr>
      </w:pPr>
      <w:r>
        <w:rPr>
          <w:rFonts w:hint="eastAsia" w:ascii="宋体" w:hAnsi="宋体" w:cs="宋体"/>
          <w:b w:val="0"/>
          <w:bCs w:val="0"/>
          <w:kern w:val="2"/>
          <w:sz w:val="22"/>
          <w:szCs w:val="22"/>
        </w:rPr>
        <w:t>需各指定一名项目设计负责人在项目服务期内全程为本项目服务，其专业背景和工作经验应满足：</w:t>
      </w:r>
    </w:p>
    <w:p>
      <w:pPr>
        <w:pStyle w:val="2"/>
        <w:pBdr>
          <w:top w:val="none" w:color="auto" w:sz="0" w:space="0"/>
        </w:pBdr>
        <w:spacing w:line="360" w:lineRule="auto"/>
        <w:ind w:left="1058" w:leftChars="200" w:right="237" w:hanging="638"/>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1）具备市政路桥背景和从业经验，精通道路专业，并可兼顾其他专业； </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2）具有不少于10年，且具有7个以上项目设计经验，具备较强的市政道路标准理解和实施能力，具备较强的带队和团队调配能力，具备较强的设计协调能力；</w:t>
      </w:r>
    </w:p>
    <w:p>
      <w:pPr>
        <w:spacing w:before="154" w:line="360" w:lineRule="auto"/>
        <w:rPr>
          <w:rFonts w:ascii="宋体" w:hAnsi="宋体" w:cs="宋体"/>
          <w:sz w:val="22"/>
          <w:szCs w:val="22"/>
        </w:rPr>
      </w:pPr>
      <w:bookmarkStart w:id="45" w:name="_Toc92978591"/>
      <w:r>
        <w:rPr>
          <w:rFonts w:ascii="宋体" w:hAnsi="宋体" w:cs="宋体"/>
          <w:b/>
          <w:bCs/>
          <w:sz w:val="22"/>
          <w:szCs w:val="22"/>
        </w:rPr>
        <w:t>6.3驻场负责人</w:t>
      </w:r>
      <w:bookmarkEnd w:id="45"/>
      <w:r>
        <w:rPr>
          <w:rFonts w:hint="eastAsia" w:ascii="宋体" w:hAnsi="宋体" w:cs="宋体"/>
          <w:b/>
          <w:bCs/>
          <w:sz w:val="22"/>
          <w:szCs w:val="22"/>
        </w:rPr>
        <w:t>（施工高峰期）</w:t>
      </w:r>
    </w:p>
    <w:p>
      <w:pPr>
        <w:pStyle w:val="2"/>
        <w:pBdr>
          <w:top w:val="none" w:color="auto" w:sz="0" w:space="0"/>
        </w:pBdr>
        <w:spacing w:line="360" w:lineRule="auto"/>
        <w:ind w:right="237" w:firstLine="420"/>
        <w:rPr>
          <w:rFonts w:ascii="宋体" w:hAnsi="宋体" w:cs="宋体"/>
          <w:b w:val="0"/>
          <w:bCs w:val="0"/>
          <w:kern w:val="2"/>
          <w:sz w:val="22"/>
          <w:szCs w:val="22"/>
        </w:rPr>
      </w:pPr>
      <w:r>
        <w:rPr>
          <w:rFonts w:hint="eastAsia" w:ascii="宋体" w:hAnsi="宋体" w:cs="宋体"/>
          <w:b w:val="0"/>
          <w:bCs w:val="0"/>
          <w:kern w:val="2"/>
          <w:sz w:val="22"/>
          <w:szCs w:val="22"/>
        </w:rPr>
        <w:t>需指定一名项目驻场负责人在项目施工阶段服务期内全程为该项目服务，其专业背景和工作经验应满足：</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1）具备相关专业的教育背景和从业经验 </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2）具有不少于7年，且具有5个以上项目实践经验和专业技能，有较强的现场组织、管理和协调能力。</w:t>
      </w:r>
    </w:p>
    <w:p>
      <w:pPr>
        <w:spacing w:before="154" w:line="360" w:lineRule="auto"/>
        <w:rPr>
          <w:rFonts w:ascii="宋体" w:hAnsi="宋体" w:cs="宋体"/>
          <w:sz w:val="22"/>
          <w:szCs w:val="22"/>
        </w:rPr>
      </w:pPr>
      <w:bookmarkStart w:id="46" w:name="_Toc92978592"/>
      <w:r>
        <w:rPr>
          <w:rFonts w:ascii="宋体" w:hAnsi="宋体" w:cs="宋体"/>
          <w:b/>
          <w:bCs/>
          <w:sz w:val="22"/>
          <w:szCs w:val="22"/>
        </w:rPr>
        <w:t>6.4专业</w:t>
      </w:r>
      <w:bookmarkEnd w:id="46"/>
      <w:r>
        <w:rPr>
          <w:rFonts w:hint="eastAsia" w:ascii="宋体" w:hAnsi="宋体" w:cs="宋体"/>
          <w:b/>
          <w:bCs/>
          <w:sz w:val="22"/>
          <w:szCs w:val="22"/>
        </w:rPr>
        <w:t>负责人</w:t>
      </w:r>
    </w:p>
    <w:p>
      <w:pPr>
        <w:pStyle w:val="2"/>
        <w:pBdr>
          <w:top w:val="none" w:color="auto" w:sz="0" w:space="0"/>
        </w:pBdr>
        <w:spacing w:line="360" w:lineRule="auto"/>
        <w:ind w:right="237" w:firstLine="420"/>
        <w:rPr>
          <w:rFonts w:ascii="宋体" w:hAnsi="宋体" w:cs="宋体"/>
          <w:b w:val="0"/>
          <w:bCs w:val="0"/>
          <w:kern w:val="2"/>
          <w:sz w:val="22"/>
          <w:szCs w:val="22"/>
        </w:rPr>
      </w:pPr>
      <w:r>
        <w:rPr>
          <w:rFonts w:hint="eastAsia" w:ascii="宋体" w:hAnsi="宋体" w:cs="宋体"/>
          <w:b w:val="0"/>
          <w:bCs w:val="0"/>
          <w:kern w:val="2"/>
          <w:sz w:val="22"/>
          <w:szCs w:val="22"/>
        </w:rPr>
        <w:t>专业设计师在项目服务期内根据不同专业为该项目专业全程服务，专业工程师应具备较强的专业设计能力，其专业背景和工作经验应满足：</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1）具备相关专业的教育背景和从业经验 </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2）具有不少于7年，且具有4个以上项目有关专业设计经验和较强的专业技能。</w:t>
      </w:r>
    </w:p>
    <w:p>
      <w:pPr>
        <w:spacing w:before="154" w:line="360" w:lineRule="auto"/>
        <w:rPr>
          <w:rFonts w:ascii="宋体" w:hAnsi="宋体" w:cs="宋体"/>
          <w:sz w:val="22"/>
          <w:szCs w:val="22"/>
        </w:rPr>
      </w:pPr>
      <w:r>
        <w:rPr>
          <w:rFonts w:ascii="宋体" w:hAnsi="宋体" w:cs="宋体"/>
          <w:b/>
          <w:bCs/>
          <w:sz w:val="22"/>
          <w:szCs w:val="22"/>
        </w:rPr>
        <w:t>6.5设计人员</w:t>
      </w:r>
    </w:p>
    <w:p>
      <w:pPr>
        <w:pStyle w:val="2"/>
        <w:pBdr>
          <w:top w:val="none" w:color="auto" w:sz="0" w:space="0"/>
        </w:pBdr>
        <w:spacing w:line="360" w:lineRule="auto"/>
        <w:ind w:right="237" w:firstLine="420"/>
        <w:rPr>
          <w:rFonts w:ascii="宋体" w:hAnsi="宋体" w:cs="宋体"/>
          <w:b w:val="0"/>
          <w:bCs w:val="0"/>
          <w:kern w:val="2"/>
          <w:sz w:val="22"/>
          <w:szCs w:val="22"/>
        </w:rPr>
      </w:pPr>
      <w:r>
        <w:rPr>
          <w:rFonts w:hint="eastAsia" w:ascii="宋体" w:hAnsi="宋体" w:cs="宋体"/>
          <w:b w:val="0"/>
          <w:bCs w:val="0"/>
          <w:kern w:val="2"/>
          <w:sz w:val="22"/>
          <w:szCs w:val="22"/>
        </w:rPr>
        <w:t>设计人员在项目服务期内根据不同专业为该项目专业全程服务，设计人员应具备较强的专业设计能力或专业协调能力，其专业背景和工作经验应满足：</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 xml:space="preserve">1）具备相关专业的教育背景和从业经验 </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2）具有不少于3年，且具有4个以上项目有关专业实践或设计经验和一定的专业技能，有较强的现场管理和协调能力。</w:t>
      </w:r>
    </w:p>
    <w:p>
      <w:pPr>
        <w:spacing w:before="154" w:line="360" w:lineRule="auto"/>
        <w:rPr>
          <w:rFonts w:ascii="宋体" w:hAnsi="宋体" w:cs="宋体"/>
          <w:sz w:val="22"/>
          <w:szCs w:val="22"/>
        </w:rPr>
      </w:pPr>
      <w:bookmarkStart w:id="47" w:name="_Toc92978593"/>
      <w:r>
        <w:rPr>
          <w:rFonts w:ascii="宋体" w:hAnsi="宋体" w:cs="宋体"/>
          <w:b/>
          <w:bCs/>
          <w:sz w:val="22"/>
          <w:szCs w:val="22"/>
        </w:rPr>
        <w:t>6.6服务要求</w:t>
      </w:r>
      <w:bookmarkEnd w:id="47"/>
    </w:p>
    <w:p>
      <w:pPr>
        <w:pStyle w:val="2"/>
        <w:pBdr>
          <w:top w:val="none" w:color="auto" w:sz="0" w:space="0"/>
        </w:pBdr>
        <w:spacing w:line="360" w:lineRule="auto"/>
        <w:ind w:left="0" w:leftChars="0" w:right="237" w:firstLine="420"/>
        <w:rPr>
          <w:rFonts w:ascii="宋体" w:hAnsi="宋体" w:cs="宋体"/>
          <w:b w:val="0"/>
          <w:bCs w:val="0"/>
          <w:kern w:val="2"/>
          <w:sz w:val="22"/>
          <w:szCs w:val="22"/>
        </w:rPr>
      </w:pPr>
      <w:bookmarkStart w:id="48" w:name="_Hlk70669085"/>
      <w:r>
        <w:rPr>
          <w:rFonts w:hint="eastAsia" w:ascii="宋体" w:hAnsi="宋体" w:cs="宋体"/>
          <w:b w:val="0"/>
          <w:bCs w:val="0"/>
          <w:kern w:val="2"/>
          <w:sz w:val="22"/>
          <w:szCs w:val="22"/>
        </w:rPr>
        <w:t>（</w:t>
      </w:r>
      <w:r>
        <w:rPr>
          <w:rFonts w:ascii="宋体" w:hAnsi="宋体" w:cs="宋体"/>
          <w:b w:val="0"/>
          <w:bCs w:val="0"/>
          <w:kern w:val="2"/>
          <w:sz w:val="22"/>
          <w:szCs w:val="22"/>
        </w:rPr>
        <w:t>1</w:t>
      </w:r>
      <w:bookmarkEnd w:id="48"/>
      <w:r>
        <w:rPr>
          <w:rFonts w:hint="eastAsia" w:ascii="宋体" w:hAnsi="宋体" w:cs="宋体"/>
          <w:b w:val="0"/>
          <w:bCs w:val="0"/>
          <w:kern w:val="2"/>
          <w:sz w:val="22"/>
          <w:szCs w:val="22"/>
        </w:rPr>
        <w:t>）设计团队人员应具有丰富专业经验、勤勉尽责、恪守职业道德和执业纪律，积极主动依法维护委托人的合法权益。</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2）应保持项目团队的完整、稳定，并应根据委托人及工作要求进行相关人力资源的补充。</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3）应严格保守勘察设计过程中知悉的委托人秘密，未经委托人事先书面同意不得泄露给任何第三方。</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4）在重要阶段成果汇报中为业主提供汇报文件，形式以PPT为主。</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5）按照业主计划节点编制各阶段的工作计划。</w:t>
      </w:r>
    </w:p>
    <w:p>
      <w:pPr>
        <w:pStyle w:val="2"/>
        <w:pBdr>
          <w:top w:val="none" w:color="auto" w:sz="0" w:space="0"/>
        </w:pBdr>
        <w:spacing w:line="360" w:lineRule="auto"/>
        <w:ind w:left="0" w:leftChars="0" w:right="237" w:firstLine="420"/>
        <w:rPr>
          <w:rFonts w:ascii="宋体" w:hAnsi="宋体" w:cs="宋体"/>
          <w:b w:val="0"/>
          <w:bCs w:val="0"/>
          <w:kern w:val="2"/>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6）应派相关人员参加设计及施工相关会议，参与工程验收等。</w:t>
      </w:r>
    </w:p>
    <w:p>
      <w:pPr>
        <w:pStyle w:val="3"/>
        <w:tabs>
          <w:tab w:val="left" w:pos="9040"/>
        </w:tabs>
        <w:spacing w:before="0" w:after="0" w:line="360" w:lineRule="auto"/>
        <w:ind w:left="14" w:right="32" w:hanging="14"/>
        <w:jc w:val="center"/>
        <w:rPr>
          <w:rFonts w:ascii="宋体" w:hAnsi="宋体" w:cs="宋体"/>
          <w:spacing w:val="1"/>
          <w:sz w:val="28"/>
          <w:szCs w:val="28"/>
        </w:rPr>
      </w:pPr>
      <w:r>
        <w:rPr>
          <w:rFonts w:hint="eastAsia" w:ascii="宋体" w:hAnsi="宋体" w:cs="宋体"/>
          <w:spacing w:val="1"/>
          <w:sz w:val="28"/>
          <w:szCs w:val="28"/>
        </w:rPr>
        <w:t>7、勘察设计工期</w:t>
      </w:r>
    </w:p>
    <w:p>
      <w:pPr>
        <w:pStyle w:val="65"/>
        <w:spacing w:line="360" w:lineRule="auto"/>
        <w:ind w:firstLine="389" w:firstLineChars="177"/>
        <w:rPr>
          <w:rFonts w:ascii="宋体" w:hAnsi="宋体" w:cs="宋体"/>
          <w:sz w:val="22"/>
          <w:szCs w:val="22"/>
        </w:rPr>
      </w:pPr>
      <w:r>
        <w:rPr>
          <w:rFonts w:hint="eastAsia" w:ascii="宋体" w:hAnsi="宋体" w:cs="宋体"/>
          <w:sz w:val="22"/>
          <w:szCs w:val="22"/>
        </w:rPr>
        <w:t>（</w:t>
      </w:r>
      <w:r>
        <w:rPr>
          <w:rFonts w:ascii="宋体" w:hAnsi="宋体" w:cs="宋体"/>
          <w:sz w:val="22"/>
          <w:szCs w:val="22"/>
        </w:rPr>
        <w:t>1）设计工期</w:t>
      </w:r>
    </w:p>
    <w:p>
      <w:pPr>
        <w:pStyle w:val="65"/>
        <w:numPr>
          <w:ilvl w:val="0"/>
          <w:numId w:val="3"/>
        </w:numPr>
        <w:spacing w:line="360" w:lineRule="auto"/>
        <w:ind w:left="1540" w:firstLineChars="0"/>
        <w:rPr>
          <w:rFonts w:ascii="宋体" w:hAnsi="宋体" w:cs="宋体"/>
          <w:sz w:val="22"/>
          <w:szCs w:val="22"/>
        </w:rPr>
      </w:pPr>
      <w:r>
        <w:rPr>
          <w:rFonts w:hint="eastAsia" w:ascii="宋体" w:hAnsi="宋体" w:cs="宋体"/>
          <w:sz w:val="22"/>
          <w:szCs w:val="22"/>
        </w:rPr>
        <w:t>在设计合同签订后</w:t>
      </w:r>
      <w:r>
        <w:rPr>
          <w:rFonts w:ascii="宋体" w:hAnsi="宋体" w:cs="宋体"/>
          <w:sz w:val="22"/>
          <w:szCs w:val="22"/>
        </w:rPr>
        <w:t>15工作日内完成方案设计</w:t>
      </w:r>
    </w:p>
    <w:p>
      <w:pPr>
        <w:pStyle w:val="65"/>
        <w:numPr>
          <w:ilvl w:val="0"/>
          <w:numId w:val="3"/>
        </w:numPr>
        <w:spacing w:line="360" w:lineRule="auto"/>
        <w:ind w:left="1540" w:firstLineChars="0"/>
        <w:rPr>
          <w:rFonts w:ascii="宋体" w:hAnsi="宋体" w:cs="宋体"/>
          <w:sz w:val="22"/>
          <w:szCs w:val="22"/>
        </w:rPr>
      </w:pPr>
      <w:r>
        <w:rPr>
          <w:rFonts w:hint="eastAsia" w:ascii="宋体" w:hAnsi="宋体" w:cs="宋体"/>
          <w:sz w:val="22"/>
          <w:szCs w:val="22"/>
        </w:rPr>
        <w:t>方案确定后</w:t>
      </w:r>
      <w:r>
        <w:rPr>
          <w:rFonts w:ascii="宋体" w:hAnsi="宋体" w:cs="宋体"/>
          <w:sz w:val="22"/>
          <w:szCs w:val="22"/>
        </w:rPr>
        <w:t>20工作日内完成初步设计</w:t>
      </w:r>
    </w:p>
    <w:p>
      <w:pPr>
        <w:pStyle w:val="65"/>
        <w:numPr>
          <w:ilvl w:val="0"/>
          <w:numId w:val="3"/>
        </w:numPr>
        <w:spacing w:line="360" w:lineRule="auto"/>
        <w:ind w:left="1540" w:firstLineChars="0"/>
        <w:rPr>
          <w:rFonts w:ascii="宋体" w:hAnsi="宋体" w:cs="宋体"/>
          <w:sz w:val="22"/>
          <w:szCs w:val="22"/>
        </w:rPr>
      </w:pPr>
      <w:r>
        <w:rPr>
          <w:rFonts w:hint="eastAsia" w:ascii="宋体" w:hAnsi="宋体" w:cs="宋体"/>
          <w:sz w:val="22"/>
          <w:szCs w:val="22"/>
        </w:rPr>
        <w:t>初步设计审查批准后</w:t>
      </w:r>
      <w:r>
        <w:rPr>
          <w:rFonts w:ascii="宋体" w:hAnsi="宋体" w:cs="宋体"/>
          <w:sz w:val="22"/>
          <w:szCs w:val="22"/>
        </w:rPr>
        <w:t>25工作日内完成施工图设计</w:t>
      </w:r>
    </w:p>
    <w:p>
      <w:pPr>
        <w:pStyle w:val="65"/>
        <w:numPr>
          <w:ilvl w:val="0"/>
          <w:numId w:val="3"/>
        </w:numPr>
        <w:spacing w:line="360" w:lineRule="auto"/>
        <w:ind w:left="1540" w:firstLineChars="0"/>
        <w:rPr>
          <w:rFonts w:ascii="宋体" w:hAnsi="宋体" w:cs="宋体"/>
          <w:sz w:val="22"/>
          <w:szCs w:val="22"/>
        </w:rPr>
      </w:pPr>
      <w:r>
        <w:rPr>
          <w:rFonts w:hint="eastAsia" w:ascii="宋体" w:hAnsi="宋体" w:cs="宋体"/>
          <w:sz w:val="22"/>
          <w:szCs w:val="22"/>
        </w:rPr>
        <w:t>施工图设计文件经审查发现问题后</w:t>
      </w:r>
      <w:r>
        <w:rPr>
          <w:rFonts w:ascii="宋体" w:hAnsi="宋体" w:cs="宋体"/>
          <w:sz w:val="22"/>
          <w:szCs w:val="22"/>
        </w:rPr>
        <w:t>10工作日内完成补充、修改。</w:t>
      </w:r>
    </w:p>
    <w:p>
      <w:pPr>
        <w:pStyle w:val="2"/>
        <w:pBdr>
          <w:top w:val="none" w:color="auto" w:sz="0" w:space="0"/>
        </w:pBdr>
        <w:spacing w:line="360" w:lineRule="auto"/>
        <w:ind w:right="237" w:firstLine="389" w:firstLineChars="177"/>
        <w:rPr>
          <w:rFonts w:ascii="宋体" w:hAnsi="宋体" w:cs="宋体"/>
          <w:sz w:val="22"/>
          <w:szCs w:val="22"/>
        </w:rPr>
      </w:pPr>
      <w:r>
        <w:rPr>
          <w:rFonts w:hint="eastAsia" w:ascii="宋体" w:hAnsi="宋体" w:cs="宋体"/>
          <w:b w:val="0"/>
          <w:bCs w:val="0"/>
          <w:kern w:val="2"/>
          <w:sz w:val="22"/>
          <w:szCs w:val="22"/>
        </w:rPr>
        <w:t>（</w:t>
      </w:r>
      <w:r>
        <w:rPr>
          <w:rFonts w:ascii="宋体" w:hAnsi="宋体" w:cs="宋体"/>
          <w:b w:val="0"/>
          <w:bCs w:val="0"/>
          <w:kern w:val="2"/>
          <w:sz w:val="22"/>
          <w:szCs w:val="22"/>
        </w:rPr>
        <w:t>2）勘察工期</w:t>
      </w:r>
    </w:p>
    <w:p>
      <w:pPr>
        <w:pStyle w:val="2"/>
        <w:pBdr>
          <w:top w:val="none" w:color="auto" w:sz="0" w:space="0"/>
        </w:pBdr>
        <w:spacing w:line="360" w:lineRule="auto"/>
        <w:ind w:right="237" w:firstLine="880" w:firstLineChars="400"/>
        <w:rPr>
          <w:rFonts w:ascii="宋体" w:hAnsi="宋体" w:cs="宋体"/>
          <w:sz w:val="22"/>
          <w:szCs w:val="22"/>
        </w:rPr>
      </w:pPr>
      <w:r>
        <w:rPr>
          <w:rFonts w:hint="eastAsia" w:ascii="宋体" w:hAnsi="宋体" w:cs="宋体"/>
          <w:b w:val="0"/>
          <w:bCs w:val="0"/>
          <w:kern w:val="2"/>
          <w:sz w:val="22"/>
          <w:szCs w:val="22"/>
        </w:rPr>
        <w:t>合同签订后，收到业主发出具备进场条件的通知起计</w:t>
      </w:r>
      <w:r>
        <w:rPr>
          <w:rFonts w:ascii="宋体" w:hAnsi="宋体" w:cs="宋体"/>
          <w:b w:val="0"/>
          <w:bCs w:val="0"/>
          <w:kern w:val="2"/>
          <w:sz w:val="22"/>
          <w:szCs w:val="22"/>
        </w:rPr>
        <w:t>30日内提交勘察成果文件</w:t>
      </w:r>
      <w:r>
        <w:rPr>
          <w:rFonts w:hint="eastAsia" w:ascii="宋体" w:hAnsi="宋体" w:cs="宋体"/>
          <w:b w:val="0"/>
          <w:bCs w:val="0"/>
          <w:kern w:val="2"/>
          <w:sz w:val="22"/>
          <w:szCs w:val="22"/>
        </w:rPr>
        <w:t>。</w:t>
      </w:r>
    </w:p>
    <w:p>
      <w:r>
        <w:br w:type="page"/>
      </w:r>
    </w:p>
    <w:p>
      <w:pPr>
        <w:spacing w:line="360" w:lineRule="auto"/>
        <w:rPr>
          <w:rStyle w:val="35"/>
        </w:rPr>
      </w:pPr>
      <w:bookmarkStart w:id="49" w:name="_Toc136263026"/>
      <w:r>
        <w:rPr>
          <w:rStyle w:val="35"/>
          <w:rFonts w:hint="eastAsia"/>
        </w:rPr>
        <w:t>附录</w:t>
      </w:r>
      <w:r>
        <w:rPr>
          <w:rStyle w:val="35"/>
        </w:rPr>
        <w:t>20</w:t>
      </w:r>
      <w:bookmarkEnd w:id="49"/>
    </w:p>
    <w:p>
      <w:pPr>
        <w:widowControl/>
        <w:autoSpaceDE w:val="0"/>
        <w:autoSpaceDN w:val="0"/>
        <w:snapToGrid w:val="0"/>
        <w:spacing w:line="360" w:lineRule="auto"/>
        <w:jc w:val="center"/>
        <w:rPr>
          <w:rFonts w:ascii="宋体" w:hAnsi="宋体" w:cs="宋体"/>
          <w:kern w:val="0"/>
          <w:sz w:val="32"/>
          <w:szCs w:val="32"/>
        </w:rPr>
      </w:pPr>
      <w:r>
        <w:rPr>
          <w:rFonts w:hint="eastAsia" w:ascii="宋体" w:hAnsi="宋体" w:cs="宋体"/>
          <w:kern w:val="0"/>
          <w:sz w:val="32"/>
          <w:szCs w:val="32"/>
        </w:rPr>
        <w:t>投标人声明</w:t>
      </w:r>
    </w:p>
    <w:p>
      <w:pPr>
        <w:autoSpaceDE w:val="0"/>
        <w:autoSpaceDN w:val="0"/>
        <w:snapToGrid w:val="0"/>
        <w:spacing w:line="360" w:lineRule="auto"/>
        <w:ind w:firstLine="480" w:firstLineChars="200"/>
        <w:rPr>
          <w:rFonts w:ascii="宋体" w:hAnsi="宋体" w:cs="宋体"/>
          <w:kern w:val="0"/>
          <w:sz w:val="24"/>
        </w:rPr>
      </w:pPr>
      <w:r>
        <w:rPr>
          <w:rFonts w:hint="eastAsia" w:ascii="宋体" w:hAnsi="宋体" w:cs="宋体"/>
          <w:kern w:val="0"/>
          <w:sz w:val="24"/>
        </w:rPr>
        <w:t>本招标项目招标人及招标监管机构：</w:t>
      </w:r>
    </w:p>
    <w:p>
      <w:pPr>
        <w:autoSpaceDE w:val="0"/>
        <w:autoSpaceDN w:val="0"/>
        <w:snapToGrid w:val="0"/>
        <w:spacing w:line="360" w:lineRule="auto"/>
        <w:ind w:firstLine="480" w:firstLineChars="200"/>
        <w:rPr>
          <w:rFonts w:ascii="宋体" w:hAnsi="宋体" w:cs="宋体"/>
          <w:kern w:val="0"/>
          <w:sz w:val="24"/>
        </w:rPr>
      </w:pPr>
      <w:r>
        <w:rPr>
          <w:rFonts w:hint="eastAsia" w:ascii="宋体" w:hAnsi="宋体" w:cs="宋体"/>
          <w:kern w:val="0"/>
          <w:sz w:val="24"/>
        </w:rPr>
        <w:t>本公司就参加</w:t>
      </w:r>
      <w:r>
        <w:rPr>
          <w:rFonts w:hint="eastAsia" w:ascii="宋体" w:hAnsi="宋体" w:cs="宋体"/>
          <w:kern w:val="0"/>
          <w:sz w:val="24"/>
          <w:u w:val="single"/>
        </w:rPr>
        <w:t>                </w:t>
      </w:r>
      <w:r>
        <w:rPr>
          <w:rFonts w:hint="eastAsia" w:ascii="宋体" w:hAnsi="宋体" w:cs="宋体"/>
          <w:kern w:val="0"/>
          <w:sz w:val="24"/>
        </w:rPr>
        <w:t>项目投标工作，作出郑重声明：</w:t>
      </w:r>
    </w:p>
    <w:p>
      <w:pPr>
        <w:autoSpaceDE w:val="0"/>
        <w:autoSpaceDN w:val="0"/>
        <w:snapToGrid w:val="0"/>
        <w:spacing w:line="360" w:lineRule="auto"/>
        <w:ind w:firstLine="480" w:firstLineChars="200"/>
        <w:rPr>
          <w:rFonts w:ascii="宋体" w:hAnsi="宋体" w:cs="宋体"/>
          <w:kern w:val="0"/>
          <w:sz w:val="24"/>
        </w:rPr>
      </w:pPr>
      <w:r>
        <w:rPr>
          <w:rFonts w:hint="eastAsia" w:ascii="宋体" w:hAnsi="宋体" w:cs="宋体"/>
          <w:kern w:val="0"/>
          <w:sz w:val="24"/>
        </w:rPr>
        <w:t>一、本公司保证投标报名材料及其后提供的一切材料都是真实的。如我司成为本项目中标候选人，我司同意并授权招标人将我司投标文件商务部分的人员、业绩、奖项等资料进行公开。</w:t>
      </w:r>
    </w:p>
    <w:p>
      <w:pPr>
        <w:autoSpaceDE w:val="0"/>
        <w:autoSpaceDN w:val="0"/>
        <w:snapToGrid w:val="0"/>
        <w:spacing w:line="360" w:lineRule="auto"/>
        <w:ind w:firstLine="480" w:firstLineChars="200"/>
        <w:rPr>
          <w:rFonts w:ascii="宋体" w:hAnsi="宋体" w:cs="宋体"/>
          <w:b/>
          <w:color w:val="000000"/>
          <w:kern w:val="0"/>
          <w:sz w:val="24"/>
        </w:rPr>
      </w:pPr>
      <w:r>
        <w:rPr>
          <w:rFonts w:hint="eastAsia" w:ascii="宋体" w:hAnsi="宋体" w:cs="宋体"/>
          <w:b/>
          <w:color w:val="000000"/>
          <w:kern w:val="0"/>
          <w:sz w:val="24"/>
        </w:rPr>
        <w:t>二、本公司承诺遵循公平公正、公开、诚实信用原则，如实投标，真实反映企业实力，公平竞争，不弄虚作假，不以低于企业成本价竞标而降低服务质量，不与任何建设单位订立违背企业成本取费标准及相关规定的“阴阳合同”进行恶性竞争，扰乱市场秩序，不与其他单位串通投标或以行贿手段谋取中标，不出借资质、转包或违法分包业务。</w:t>
      </w:r>
    </w:p>
    <w:p>
      <w:pPr>
        <w:autoSpaceDE w:val="0"/>
        <w:autoSpaceDN w:val="0"/>
        <w:snapToGrid w:val="0"/>
        <w:spacing w:line="360" w:lineRule="auto"/>
        <w:ind w:firstLine="480" w:firstLineChars="200"/>
        <w:rPr>
          <w:rFonts w:ascii="宋体" w:hAnsi="宋体" w:cs="宋体"/>
          <w:kern w:val="0"/>
          <w:sz w:val="24"/>
        </w:rPr>
      </w:pPr>
      <w:r>
        <w:rPr>
          <w:rFonts w:hint="eastAsia" w:ascii="宋体" w:hAnsi="宋体" w:cs="宋体"/>
          <w:kern w:val="0"/>
          <w:sz w:val="24"/>
        </w:rPr>
        <w:t>三、本公司没有处于被责令停业的状态；没有处于被建设行政主管部门取消投标资格的处罚期内；没有处于财产被接管、冻结、破产的状态；本公司没有在投标登记截止时间前三年内被人民法院判决犯有行贿罪的记录。投标登记截止日期前三年内，本公司没有弄虚作假骗取中标、围标串标行为（以行政主管部门或法院或检察院书面认定为准），本公司没有被人民法院列入失信被执行人名单。在投标登记截止日期前三年内没有建设行政主管部门已书面认定的重大工程质量问题。本公司未在以往工程中因不诚信行为或不充分履约行为被本项目招标人书面拒绝投标; 本公司未被纳入联合惩戒范围。</w:t>
      </w:r>
    </w:p>
    <w:p>
      <w:pPr>
        <w:autoSpaceDE w:val="0"/>
        <w:autoSpaceDN w:val="0"/>
        <w:snapToGrid w:val="0"/>
        <w:spacing w:line="360" w:lineRule="auto"/>
        <w:ind w:firstLine="480" w:firstLineChars="200"/>
        <w:rPr>
          <w:rFonts w:ascii="宋体" w:hAnsi="宋体" w:cs="宋体"/>
          <w:kern w:val="0"/>
          <w:sz w:val="24"/>
        </w:rPr>
      </w:pPr>
      <w:r>
        <w:rPr>
          <w:rFonts w:hint="eastAsia" w:cs="宋体"/>
          <w:kern w:val="0"/>
          <w:sz w:val="24"/>
        </w:rPr>
        <w:t>四</w:t>
      </w:r>
      <w:r>
        <w:rPr>
          <w:rFonts w:hint="eastAsia" w:ascii="宋体" w:hAnsi="宋体" w:cs="宋体"/>
          <w:kern w:val="0"/>
          <w:sz w:val="24"/>
        </w:rPr>
        <w:t>、近三年内不存在本公司、法定代表人、拟委任的项目负责人有行贿犯罪行为。</w:t>
      </w:r>
    </w:p>
    <w:p>
      <w:pPr>
        <w:autoSpaceDE w:val="0"/>
        <w:autoSpaceDN w:val="0"/>
        <w:snapToGrid w:val="0"/>
        <w:spacing w:line="360" w:lineRule="auto"/>
        <w:ind w:firstLine="480" w:firstLineChars="200"/>
        <w:rPr>
          <w:rFonts w:ascii="宋体" w:hAnsi="宋体" w:cs="宋体"/>
          <w:color w:val="000000"/>
          <w:kern w:val="0"/>
          <w:sz w:val="24"/>
        </w:rPr>
      </w:pPr>
      <w:r>
        <w:rPr>
          <w:rFonts w:hint="eastAsia" w:cs="宋体"/>
          <w:color w:val="000000"/>
          <w:kern w:val="0"/>
          <w:sz w:val="24"/>
        </w:rPr>
        <w:t>五</w:t>
      </w:r>
      <w:r>
        <w:rPr>
          <w:rFonts w:hint="eastAsia" w:ascii="宋体" w:hAnsi="宋体" w:cs="宋体"/>
          <w:color w:val="000000"/>
          <w:kern w:val="0"/>
          <w:sz w:val="24"/>
        </w:rPr>
        <w:t>、本公司及其有隶属关系的机构，没有参加本项目招标文件的编写工作；本公司与本次招标的招标代理机构没有隶属关系或其他利害关系。</w:t>
      </w:r>
    </w:p>
    <w:p>
      <w:pPr>
        <w:autoSpaceDE w:val="0"/>
        <w:autoSpaceDN w:val="0"/>
        <w:snapToGrid w:val="0"/>
        <w:spacing w:line="360" w:lineRule="auto"/>
        <w:ind w:firstLine="480" w:firstLineChars="200"/>
        <w:rPr>
          <w:rFonts w:ascii="宋体" w:hAnsi="宋体" w:cs="宋体"/>
          <w:kern w:val="0"/>
          <w:sz w:val="24"/>
        </w:rPr>
      </w:pPr>
      <w:r>
        <w:rPr>
          <w:rFonts w:hint="eastAsia" w:cs="宋体"/>
          <w:kern w:val="0"/>
          <w:sz w:val="24"/>
        </w:rPr>
        <w:t>六</w:t>
      </w:r>
      <w:r>
        <w:rPr>
          <w:rFonts w:hint="eastAsia" w:ascii="宋体" w:hAnsi="宋体" w:cs="宋体"/>
          <w:kern w:val="0"/>
          <w:sz w:val="24"/>
        </w:rPr>
        <w:t>、本公司承诺，中标后严格执行安全生产相关管理规定。</w:t>
      </w:r>
    </w:p>
    <w:p>
      <w:pPr>
        <w:autoSpaceDE w:val="0"/>
        <w:autoSpaceDN w:val="0"/>
        <w:snapToGrid w:val="0"/>
        <w:spacing w:line="360" w:lineRule="auto"/>
        <w:ind w:firstLine="480" w:firstLineChars="200"/>
        <w:rPr>
          <w:rFonts w:ascii="宋体" w:hAnsi="宋体" w:cs="宋体"/>
          <w:kern w:val="0"/>
          <w:sz w:val="24"/>
        </w:rPr>
      </w:pPr>
      <w:r>
        <w:rPr>
          <w:rFonts w:hint="eastAsia" w:ascii="宋体" w:hAnsi="宋体" w:cs="宋体"/>
          <w:b/>
          <w:color w:val="000000"/>
          <w:kern w:val="0"/>
          <w:sz w:val="24"/>
        </w:rPr>
        <w:t>本公司违反上述承诺，或本声明陈述与事实不符，经查实，本公司愿意接受公开通报，愿意按照《广州市建筑市场信用管理办法》（穗建规字﹝20</w:t>
      </w:r>
      <w:r>
        <w:rPr>
          <w:rFonts w:hint="eastAsia" w:cs="宋体"/>
          <w:b/>
          <w:color w:val="000000"/>
          <w:kern w:val="0"/>
          <w:sz w:val="24"/>
        </w:rPr>
        <w:t>19</w:t>
      </w:r>
      <w:r>
        <w:rPr>
          <w:rFonts w:hint="eastAsia" w:ascii="宋体" w:hAnsi="宋体" w:cs="宋体"/>
          <w:b/>
          <w:color w:val="000000"/>
          <w:kern w:val="0"/>
          <w:sz w:val="24"/>
        </w:rPr>
        <w:t>﹞16号）的规定被记录为失信信息，</w:t>
      </w:r>
      <w:r>
        <w:rPr>
          <w:rFonts w:hint="eastAsia" w:ascii="宋体" w:hAnsi="宋体" w:cs="宋体"/>
          <w:kern w:val="0"/>
          <w:sz w:val="24"/>
        </w:rPr>
        <w:t>承担由此带来的一切后果，并自愿停止参加广州市行政辖区内的招标投标活动三个月。</w:t>
      </w:r>
    </w:p>
    <w:p>
      <w:pPr>
        <w:widowControl/>
        <w:shd w:val="clear" w:color="auto" w:fill="FFFFFF"/>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特此声明。</w:t>
      </w:r>
    </w:p>
    <w:p>
      <w:pPr>
        <w:autoSpaceDE w:val="0"/>
        <w:autoSpaceDN w:val="0"/>
        <w:snapToGrid w:val="0"/>
        <w:spacing w:line="360" w:lineRule="auto"/>
        <w:ind w:firstLine="4320" w:firstLineChars="1800"/>
        <w:rPr>
          <w:rFonts w:ascii="宋体" w:hAnsi="宋体" w:cs="宋体"/>
          <w:kern w:val="0"/>
          <w:sz w:val="24"/>
        </w:rPr>
      </w:pPr>
      <w:r>
        <w:rPr>
          <w:rFonts w:hint="eastAsia" w:ascii="宋体" w:hAnsi="宋体" w:cs="宋体"/>
          <w:kern w:val="0"/>
          <w:sz w:val="24"/>
        </w:rPr>
        <w:t>声明企业：            (企业公章)</w:t>
      </w:r>
    </w:p>
    <w:p>
      <w:pPr>
        <w:autoSpaceDE w:val="0"/>
        <w:autoSpaceDN w:val="0"/>
        <w:snapToGrid w:val="0"/>
        <w:spacing w:line="360" w:lineRule="auto"/>
        <w:ind w:firstLine="4320" w:firstLineChars="1800"/>
        <w:rPr>
          <w:rFonts w:ascii="宋体" w:hAnsi="宋体" w:cs="宋体"/>
          <w:color w:val="000000"/>
          <w:kern w:val="0"/>
          <w:sz w:val="24"/>
        </w:rPr>
      </w:pPr>
      <w:r>
        <w:rPr>
          <w:rFonts w:hint="eastAsia" w:ascii="宋体" w:hAnsi="宋体"/>
          <w:sz w:val="24"/>
        </w:rPr>
        <w:t>法定代表人或授权委托人（签字或盖章）：</w:t>
      </w:r>
    </w:p>
    <w:p>
      <w:pPr>
        <w:tabs>
          <w:tab w:val="left" w:pos="1080"/>
        </w:tabs>
        <w:spacing w:line="360" w:lineRule="auto"/>
        <w:ind w:left="210" w:leftChars="100"/>
        <w:jc w:val="right"/>
        <w:rPr>
          <w:rFonts w:ascii="宋体" w:hAnsi="宋体"/>
          <w:b/>
          <w:color w:val="000000" w:themeColor="text1"/>
          <w14:textFill>
            <w14:solidFill>
              <w14:schemeClr w14:val="tx1"/>
            </w14:solidFill>
          </w14:textFill>
        </w:rPr>
      </w:pPr>
      <w:r>
        <w:rPr>
          <w:rFonts w:hint="eastAsia" w:ascii="宋体" w:hAnsi="宋体" w:cs="宋体"/>
          <w:kern w:val="0"/>
          <w:sz w:val="24"/>
        </w:rPr>
        <w:t>年   月   日</w:t>
      </w:r>
    </w:p>
    <w:sectPr>
      <w:footerReference r:id="rId10" w:type="default"/>
      <w:footerReference r:id="rId11" w:type="even"/>
      <w:type w:val="nextColumn"/>
      <w:pgSz w:w="11906" w:h="16838"/>
      <w:pgMar w:top="1440" w:right="1466" w:bottom="1440"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A00002EF" w:usb1="4000004B" w:usb2="00000000" w:usb3="00000000" w:csb0="2000009F" w:csb1="00000000"/>
  </w:font>
  <w:font w:name="华文细黑">
    <w:altName w:val="微软雅黑"/>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posOffset>2821940</wp:posOffset>
              </wp:positionH>
              <wp:positionV relativeFrom="paragraph">
                <wp:posOffset>-9525</wp:posOffset>
              </wp:positionV>
              <wp:extent cx="240030" cy="264795"/>
              <wp:effectExtent l="2540" t="0" r="0" b="1905"/>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0030" cy="264795"/>
                      </a:xfrm>
                      <a:prstGeom prst="rect">
                        <a:avLst/>
                      </a:prstGeom>
                      <a:noFill/>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22.2pt;margin-top:-0.75pt;height:20.85pt;width:18.9pt;mso-position-horizontal-relative:margin;z-index:251659264;mso-width-relative:page;mso-height-relative:page;" filled="f" stroked="f" coordsize="21600,21600" o:gfxdata="UEsDBAoAAAAAAIdO4kAAAAAAAAAAAAAAAAAEAAAAZHJzL1BLAwQUAAAACACHTuJAaaqEX9cAAAAJ&#10;AQAADwAAAGRycy9kb3ducmV2LnhtbE2PTU/DMAyG70j8h8hI3Lak1ZhGaTohBCckRFcOHNPGa6M1&#10;TmmyD/495gQ+2fKj14/L7cWP4oRzdIE0ZEsFAqkL1lGv4aN5WWxAxGTImjEQavjGCNvq+qo0hQ1n&#10;qvG0S73gEIqF0TCkNBVSxm5Ab+IyTEi824fZm8Tj3Es7mzOH+1HmSq2lN474wmAmfBqwO+yOXsPj&#10;J9XP7uutfa/3tWuae0Wv64PWtzeZegCR8JL+YPjVZ3Wo2KkNR7JRjBpWXIxqWGR3IBhYbfIcRMuN&#10;ykFWpfz/QfUDUEsDBBQAAAAIAIdO4kDCDJKV/AEAAAMEAAAOAAAAZHJzL2Uyb0RvYy54bWytU01v&#10;2zAMvQ/YfxB0X+xkXbcZcYquQYcB3QfQ7gcwshwLs0SNUmJnv36UnGRdd+lhF4OmqMf3Hqnl1Wh7&#10;sdcUDLpazmelFNopbIzb1vL7w+2rd1KECK6BHp2u5UEHebV6+WI5+EovsMO+0SQYxIVq8LXsYvRV&#10;UQTVaQthhl47PmyRLET+pW3REAyMbvtiUZaXxYDUeEKlQ+DsejqUR0R6DiC2rVF6jWpntYsTKuke&#10;IksKnfFBrjLbttUqfm3boKPoa8lKY/5yE4436VusllBtCXxn1JECPIfCE00WjOOmZ6g1RBA7Mv9A&#10;WaMIA7ZxptAWk5DsCKuYl0+8ue/A66yFrQ7+bHr4f7Dqy/4bCdPwJkjhwPLAH/QYxQccxSK5M/hQ&#10;cdG957I4cjpVJqXB36H6EYTDmw7cVl8T4dBpaJjdPN0sHl2dcEIC2QyfseE2sIuYgcaWbAJkMwSj&#10;82QO58kkKoqTi4uyfM0nio8Wlxdv37/JHaA6XfYU4keNVqSglsSDz+CwvwsxkYHqVJJ6Obw1fZ+H&#10;37u/ElyYMpl84jsxj+NmPJqxwebAMginXeKXxEGH9EuKgfeoluHnDkhL0X9ybEVaulNAp2BzCsAp&#10;vlrLKMUU3sRpOXeezLZj5Mlsh9dsV2uylOTrxOLIk3cjKzzucVq+x/+56s/bX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aqEX9cAAAAJAQAADwAAAAAAAAABACAAAAAiAAAAZHJzL2Rvd25yZXYu&#10;eG1sUEsBAhQAFAAAAAgAh07iQMIMkpX8AQAAAwQAAA4AAAAAAAAAAQAgAAAAJgEAAGRycy9lMm9E&#10;b2MueG1sUEsFBgAAAAAGAAYAWQEAAJQFAAAAAA==&#10;">
              <v:fill on="f" focussize="0,0"/>
              <v:stroke on="f"/>
              <v:imagedata o:title=""/>
              <o:lock v:ext="edit" aspectratio="f"/>
              <v:textbox inset="0mm,0mm,0mm,0mm">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844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935" cy="284480"/>
                      </a:xfrm>
                      <a:prstGeom prst="rect">
                        <a:avLst/>
                      </a:prstGeom>
                      <a:noFill/>
                      <a:ln w="6350">
                        <a:noFill/>
                      </a:ln>
                      <a:effectLst/>
                    </wps:spPr>
                    <wps:txbx>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53</w:t>
                          </w:r>
                          <w:r>
                            <w:rPr>
                              <w:rStyle w:val="31"/>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2.4pt;width:9.05pt;mso-position-horizontal:center;mso-position-horizontal-relative:margin;mso-wrap-style:none;z-index:251660288;mso-width-relative:page;mso-height-relative:page;" filled="f" stroked="f" coordsize="21600,21600" o:gfxdata="UEsDBAoAAAAAAIdO4kAAAAAAAAAAAAAAAAAEAAAAZHJzL1BLAwQUAAAACACHTuJA9KQujtEAAAAD&#10;AQAADwAAAGRycy9kb3ducmV2LnhtbE2PQUvEMBCF74L/IYzgzU2rRUptuuBiPQpuPXicbca2mkxK&#10;ku3Wf2/Wi14GHu/x3jf1drVGLOTD5FhBvslAEPdOTzwoeOvamxJEiMgajWNS8E0Bts3lRY2Vdid+&#10;pWUfB5FKOFSoYIxxrqQM/UgWw8bNxMn7cN5iTNIPUns8pXJr5G2W3UuLE6eFEWfajdR/7Y9Wwa7t&#10;Or9Q8Oadntu7z5fHgp5Wpa6v8uwBRKQ1/oXhjJ/QoUlMB3dkHYRRkB6Jv/fslTmIg4KiKEE2tfzP&#10;3vwAUEsDBBQAAAAIAIdO4kCztV+FOAIAAGEEAAAOAAAAZHJzL2Uyb0RvYy54bWytVEtu2zAQ3Rfo&#10;HQjua9mOE6SG5cCNkaJA0ARwi65pirIE8AeSjuQeoL1BV91k33P5HH2kJKdIu8iiG2rIGc7Me3yj&#10;xVWrJHkQztdG53QyGlMiNDdFrXc5/fzp5s0lJT4wXTBptMjpQXh6tXz9atHYuZiayshCOIIk2s8b&#10;m9MqBDvPMs8roZgfGSs0nKVxigVs3S4rHGuQXclsOh5fZI1xhXWGC+9xuu6ctM/oXpLQlGXNxdrw&#10;vRI6dFmdkCwAkq9q6+kydVuWgoe7svQiEJlTIA1pRRHY27hmywWb7xyzVc37FthLWniGSbFao+gp&#10;1ZoFRvau/iuVqrkz3pRhxI3KOiCJEaCYjJ9xs6mYFQkLqPb2RLr/f2n5x4d7R+oip1NKNFN48OOP&#10;78efv46P38g00tNYP0fUxiIutO9MC9EM5x6HEXVbOhW/wEPgB7mHE7miDYTHS5PZ27NzSjhc08vZ&#10;7DKRnz1dts6H98IoEo2cOrxdopQ93PqARhA6hMRa2tzUUqb3k5o0Ob04Ox+nCycPbkgdY0VSQp8m&#10;Auoaj1Zot22PcmuKA0A606nEW35To5Vb5sM9c5AFcGFwwh2WUhqUNL1FSWXc13+dx3i8FryUNJBZ&#10;TjWmihL5QeMVoyIHww3GdjD0Xl0b6HaCgbQ8mbjgghzM0hn1BdO0ijXgYpqjUk7DYF6HTuqYRi5W&#10;qxQE3VkWbvXG8pg60uPtah9AZ2I5ktIxAcrjBspL5PdTEqX95z5FPf0Z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KQujtEAAAADAQAADwAAAAAAAAABACAAAAAiAAAAZHJzL2Rvd25yZXYueG1s&#10;UEsBAhQAFAAAAAgAh07iQLO1X4U4AgAAYQQAAA4AAAAAAAAAAQAgAAAAIAEAAGRycy9lMm9Eb2Mu&#10;eG1sUEsFBgAAAAAGAAYAWQEAAMoFAAAAAA==&#10;">
              <v:fill on="f" focussize="0,0"/>
              <v:stroke on="f" weight="0.5pt"/>
              <v:imagedata o:title=""/>
              <o:lock v:ext="edit" aspectratio="f"/>
              <v:textbox inset="0mm,0mm,0mm,0mm" style="mso-fit-shape-to-text:t;">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53</w:t>
                    </w:r>
                    <w:r>
                      <w:rPr>
                        <w:rStyle w:val="31"/>
                      </w:rPr>
                      <w:fldChar w:fldCharType="end"/>
                    </w:r>
                  </w:p>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21</w:t>
    </w:r>
    <w:r>
      <w:rPr>
        <w:rStyle w:val="31"/>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844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4935" cy="284480"/>
                      </a:xfrm>
                      <a:prstGeom prst="rect">
                        <a:avLst/>
                      </a:prstGeom>
                      <a:noFill/>
                      <a:ln w="6350">
                        <a:noFill/>
                      </a:ln>
                      <a:effectLst/>
                    </wps:spPr>
                    <wps:txbx>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57</w:t>
                          </w:r>
                          <w:r>
                            <w:rPr>
                              <w:rStyle w:val="31"/>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2.4pt;width:9.05pt;mso-position-horizontal:center;mso-position-horizontal-relative:margin;mso-wrap-style:none;z-index:251662336;mso-width-relative:page;mso-height-relative:page;" filled="f" stroked="f" coordsize="21600,21600" o:gfxdata="UEsDBAoAAAAAAIdO4kAAAAAAAAAAAAAAAAAEAAAAZHJzL1BLAwQUAAAACACHTuJA9KQujtEAAAAD&#10;AQAADwAAAGRycy9kb3ducmV2LnhtbE2PQUvEMBCF74L/IYzgzU2rRUptuuBiPQpuPXicbca2mkxK&#10;ku3Wf2/Wi14GHu/x3jf1drVGLOTD5FhBvslAEPdOTzwoeOvamxJEiMgajWNS8E0Bts3lRY2Vdid+&#10;pWUfB5FKOFSoYIxxrqQM/UgWw8bNxMn7cN5iTNIPUns8pXJr5G2W3UuLE6eFEWfajdR/7Y9Wwa7t&#10;Or9Q8Oadntu7z5fHgp5Wpa6v8uwBRKQ1/oXhjJ/QoUlMB3dkHYRRkB6Jv/fslTmIg4KiKEE2tfzP&#10;3vwAUEsDBBQAAAAIAIdO4kB2t8q/NwIAAGEEAAAOAAAAZHJzL2Uyb0RvYy54bWytVEtu2zAQ3Rfo&#10;HQjua/mXIDUsB26CFAWCJoBbdE1TlCWAP5C0pfQA7Q266ib7nsvn6CMlOUXaRRbdUEPOcGbe4xst&#10;L1slyUE4Xxud08loTInQ3BS13uX086ebNxeU+MB0waTRIqcPwtPL1etXy8YuxNRURhbCESTRftHY&#10;nFYh2EWWeV4JxfzIWKHhLI1TLGDrdlnhWIPsSmbT8fg8a4wrrDNceI/T685J+4zuJQlNWdZcXBu+&#10;V0KHLqsTkgVA8lVtPV2lbstS8HBXll4EInMKpCGtKAJ7G9dstWSLnWO2qnnfAntJC88wKVZrFD2l&#10;umaBkb2r/0qlau6MN2UYcaOyDkhiBCgm42fcbCpmRcICqr09ke7/X1r+8XDvSF3kdEaJZgoPfvzx&#10;/fjz1/HxG5lFehrrF4jaWMSF9p1pIZrh3OMwom5Lp+IXeAj8IPfhRK5oA+Hx0mT+dnZGCYdrejGf&#10;XyTys6fL1vnwXhhFopFTh7dLlLLDrQ9oBKFDSKylzU0tZXo/qUmT0/PZ2ThdOHlwQ+oYK5IS+jQR&#10;UNd4tEK7bXuUW1M8AKQznUq85Tc1WrllPtwzB1kAFwYn3GEppUFJ01uUVMZ9/dd5jMdrwUtJA5nl&#10;VGOqKJEfNF4xKnIw3GBsB0Pv1ZWBbicYSMuTiQsuyMEsnVFfME3rWAMupjkq5TQM5lXopI5p5GK9&#10;TkHQnWXhVm8sj6kjPd6u9wF0JpYjKR0ToDxuoLxEfj8lUdp/7lPU059h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0pC6O0QAAAAMBAAAPAAAAAAAAAAEAIAAAACIAAABkcnMvZG93bnJldi54bWxQ&#10;SwECFAAUAAAACACHTuJAdrfKvzcCAABhBAAADgAAAAAAAAABACAAAAAgAQAAZHJzL2Uyb0RvYy54&#10;bWxQSwUGAAAAAAYABgBZAQAAyQUAAAAA&#10;">
              <v:fill on="f" focussize="0,0"/>
              <v:stroke on="f" weight="0.5pt"/>
              <v:imagedata o:title=""/>
              <o:lock v:ext="edit" aspectratio="f"/>
              <v:textbox inset="0mm,0mm,0mm,0mm" style="mso-fit-shape-to-text:t;">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57</w:t>
                    </w:r>
                    <w:r>
                      <w:rPr>
                        <w:rStyle w:val="31"/>
                      </w:rPr>
                      <w:fldChar w:fldCharType="end"/>
                    </w: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68</w:t>
    </w:r>
    <w:r>
      <w:rPr>
        <w:rStyle w:val="31"/>
      </w:rP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21</w:t>
    </w:r>
    <w:r>
      <w:rPr>
        <w:rStyle w:val="31"/>
      </w:rPr>
      <w:fldChar w:fldCharType="end"/>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28448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284480"/>
                      </a:xfrm>
                      <a:prstGeom prst="rect">
                        <a:avLst/>
                      </a:prstGeom>
                      <a:noFill/>
                      <a:ln w="6350">
                        <a:noFill/>
                      </a:ln>
                      <a:effectLst/>
                    </wps:spPr>
                    <wps:txbx>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69</w:t>
                          </w:r>
                          <w:r>
                            <w:rPr>
                              <w:rStyle w:val="31"/>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2.4pt;width:9.05pt;mso-position-horizontal:center;mso-position-horizontal-relative:margin;mso-wrap-style:none;z-index:251661312;mso-width-relative:page;mso-height-relative:page;" filled="f" stroked="f" coordsize="21600,21600" o:gfxdata="UEsDBAoAAAAAAIdO4kAAAAAAAAAAAAAAAAAEAAAAZHJzL1BLAwQUAAAACACHTuJA9KQujtEAAAAD&#10;AQAADwAAAGRycy9kb3ducmV2LnhtbE2PQUvEMBCF74L/IYzgzU2rRUptuuBiPQpuPXicbca2mkxK&#10;ku3Wf2/Wi14GHu/x3jf1drVGLOTD5FhBvslAEPdOTzwoeOvamxJEiMgajWNS8E0Bts3lRY2Vdid+&#10;pWUfB5FKOFSoYIxxrqQM/UgWw8bNxMn7cN5iTNIPUns8pXJr5G2W3UuLE6eFEWfajdR/7Y9Wwa7t&#10;Or9Q8Oadntu7z5fHgp5Wpa6v8uwBRKQ1/oXhjJ/QoUlMB3dkHYRRkB6Jv/fslTmIg4KiKEE2tfzP&#10;3vwAUEsDBBQAAAAIAIdO4kDoubQgNwIAAGEEAAAOAAAAZHJzL2Uyb0RvYy54bWytVEtu2zAQ3Rfo&#10;HQjua9mOHaSG5cCNkaKA0QRwi65pirIE8AeSjuQeoL1BV91k33P5HH2kLKdIu8iiG2rIGc7Me3yj&#10;+XWrJHkQztdG53Q0GFIiNDdFrXc5/fzp9s0VJT4wXTBptMjpQXh6vXj9at7YmRibyshCOIIk2s8a&#10;m9MqBDvLMs8roZgfGCs0nKVxigVs3S4rHGuQXclsPBxeZo1xhXWGC+9xuuqc9JTRvSShKcuai5Xh&#10;eyV06LI6IVkAJF/V1tNF6rYsBQ93ZelFIDKnQBrSiiKwt3HNFnM22zlmq5qfWmAvaeEZJsVqjaLn&#10;VCsWGNm7+q9UqubOeFOGATcq64AkRoBiNHzGzaZiViQsoNrbM+n+/6XlHx/uHamLnE4p0UzhwY8/&#10;vh9//jo+fiPTSE9j/QxRG4u40L4zLUTTn3scRtRt6VT8Ag+BH+QezuSKNhAeL40mby9QhMM1vppM&#10;rhL52dNl63x4L4wi0cipw9slStnD2gc0gtA+JNbS5raWMr2f1KTJ6eXFdJgunD24IXWMFUkJpzQR&#10;UNd4tEK7bU8ot6Y4AKQznUq85bc1WlkzH+6ZgyyAC4MT7rCU0qCkOVmUVMZ9/dd5jMdrwUtJA5nl&#10;VGOqKJEfNF4xKrI3XG9se0Pv1Y2BbkcYSMuTiQsuyN4snVFfME3LWAMupjkq5TT05k3opI5p5GK5&#10;TEHQnWVhrTeWx9SRHm+X+wA6E8uRlI4JUB43UF4i/zQlUdp/7lPU05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0pC6O0QAAAAMBAAAPAAAAAAAAAAEAIAAAACIAAABkcnMvZG93bnJldi54bWxQ&#10;SwECFAAUAAAACACHTuJA6Lm0IDcCAABhBAAADgAAAAAAAAABACAAAAAgAQAAZHJzL2Uyb0RvYy54&#10;bWxQSwUGAAAAAAYABgBZAQAAyQUAAAAA&#10;">
              <v:fill on="f" focussize="0,0"/>
              <v:stroke on="f" weight="0.5pt"/>
              <v:imagedata o:title=""/>
              <o:lock v:ext="edit" aspectratio="f"/>
              <v:textbox inset="0mm,0mm,0mm,0mm" style="mso-fit-shape-to-text:t;">
                <w:txbxContent>
                  <w:p>
                    <w:pPr>
                      <w:pStyle w:val="19"/>
                      <w:rPr>
                        <w:rStyle w:val="31"/>
                      </w:rPr>
                    </w:pPr>
                    <w:r>
                      <w:rPr>
                        <w:rStyle w:val="31"/>
                      </w:rPr>
                      <w:fldChar w:fldCharType="begin"/>
                    </w:r>
                    <w:r>
                      <w:rPr>
                        <w:rStyle w:val="31"/>
                      </w:rPr>
                      <w:instrText xml:space="preserve">PAGE  </w:instrText>
                    </w:r>
                    <w:r>
                      <w:rPr>
                        <w:rStyle w:val="31"/>
                      </w:rPr>
                      <w:fldChar w:fldCharType="separate"/>
                    </w:r>
                    <w:r>
                      <w:rPr>
                        <w:rStyle w:val="31"/>
                      </w:rPr>
                      <w:t>69</w:t>
                    </w:r>
                    <w:r>
                      <w:rPr>
                        <w:rStyle w:val="31"/>
                      </w:rPr>
                      <w:fldChar w:fldCharType="end"/>
                    </w:r>
                  </w:p>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21</w:t>
    </w:r>
    <w:r>
      <w:rPr>
        <w:rStyle w:val="31"/>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B27E20"/>
    <w:multiLevelType w:val="multilevel"/>
    <w:tmpl w:val="0EB27E20"/>
    <w:lvl w:ilvl="0" w:tentative="0">
      <w:start w:val="80"/>
      <w:numFmt w:val="decimal"/>
      <w:lvlText w:val="[%1]"/>
      <w:lvlJc w:val="left"/>
      <w:pPr>
        <w:ind w:left="420" w:hanging="420"/>
      </w:pPr>
      <w:rPr>
        <w:rFonts w:hint="default" w:ascii="宋体" w:hAnsi="宋体"/>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7"/>
      <w:suff w:val="space"/>
      <w:lvlText w:val="%2.%3.%4"/>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2">
    <w:nsid w:val="66E6A1B8"/>
    <w:multiLevelType w:val="singleLevel"/>
    <w:tmpl w:val="66E6A1B8"/>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ODZlMTFhZWYzZDkzOWRlYjFmNWEwODgzMDZlYTUifQ=="/>
  </w:docVars>
  <w:rsids>
    <w:rsidRoot w:val="00172A27"/>
    <w:rsid w:val="00003233"/>
    <w:rsid w:val="000075A5"/>
    <w:rsid w:val="0001148C"/>
    <w:rsid w:val="00020C4A"/>
    <w:rsid w:val="00024860"/>
    <w:rsid w:val="00025533"/>
    <w:rsid w:val="000442A4"/>
    <w:rsid w:val="000470F5"/>
    <w:rsid w:val="00047588"/>
    <w:rsid w:val="00051F95"/>
    <w:rsid w:val="000542AF"/>
    <w:rsid w:val="00055406"/>
    <w:rsid w:val="000557FF"/>
    <w:rsid w:val="000566C2"/>
    <w:rsid w:val="00061B9D"/>
    <w:rsid w:val="000732ED"/>
    <w:rsid w:val="00073E95"/>
    <w:rsid w:val="000762C5"/>
    <w:rsid w:val="000801B4"/>
    <w:rsid w:val="00083666"/>
    <w:rsid w:val="00086EC3"/>
    <w:rsid w:val="00090D7D"/>
    <w:rsid w:val="00096A88"/>
    <w:rsid w:val="000A27A7"/>
    <w:rsid w:val="000B04D7"/>
    <w:rsid w:val="000B1641"/>
    <w:rsid w:val="000B2F8E"/>
    <w:rsid w:val="000C1D50"/>
    <w:rsid w:val="000E4E89"/>
    <w:rsid w:val="000E5720"/>
    <w:rsid w:val="000F05B5"/>
    <w:rsid w:val="000F12DC"/>
    <w:rsid w:val="000F4326"/>
    <w:rsid w:val="001023E6"/>
    <w:rsid w:val="0010540F"/>
    <w:rsid w:val="00106C7F"/>
    <w:rsid w:val="001117AD"/>
    <w:rsid w:val="00114147"/>
    <w:rsid w:val="001213DD"/>
    <w:rsid w:val="00122819"/>
    <w:rsid w:val="001240DF"/>
    <w:rsid w:val="00126DC4"/>
    <w:rsid w:val="00143989"/>
    <w:rsid w:val="00143C10"/>
    <w:rsid w:val="00145B83"/>
    <w:rsid w:val="00146546"/>
    <w:rsid w:val="0015593E"/>
    <w:rsid w:val="00171416"/>
    <w:rsid w:val="00171A70"/>
    <w:rsid w:val="00172A27"/>
    <w:rsid w:val="001803E3"/>
    <w:rsid w:val="00184B14"/>
    <w:rsid w:val="00186E37"/>
    <w:rsid w:val="00190D37"/>
    <w:rsid w:val="001A508E"/>
    <w:rsid w:val="001A6E92"/>
    <w:rsid w:val="001B5E6E"/>
    <w:rsid w:val="001C2882"/>
    <w:rsid w:val="001C5F6B"/>
    <w:rsid w:val="001D18E2"/>
    <w:rsid w:val="001E15B3"/>
    <w:rsid w:val="001F0260"/>
    <w:rsid w:val="001F435D"/>
    <w:rsid w:val="001F49A5"/>
    <w:rsid w:val="001F7E0E"/>
    <w:rsid w:val="00202C35"/>
    <w:rsid w:val="00210DA9"/>
    <w:rsid w:val="002121F2"/>
    <w:rsid w:val="00213B49"/>
    <w:rsid w:val="00220B08"/>
    <w:rsid w:val="002316B2"/>
    <w:rsid w:val="00272018"/>
    <w:rsid w:val="00275562"/>
    <w:rsid w:val="0028319B"/>
    <w:rsid w:val="00295B83"/>
    <w:rsid w:val="002B39E4"/>
    <w:rsid w:val="002B5BF4"/>
    <w:rsid w:val="002C4264"/>
    <w:rsid w:val="002C52C8"/>
    <w:rsid w:val="002E55BE"/>
    <w:rsid w:val="002E7CA8"/>
    <w:rsid w:val="002F2FA4"/>
    <w:rsid w:val="002F3840"/>
    <w:rsid w:val="003006A6"/>
    <w:rsid w:val="00300F4C"/>
    <w:rsid w:val="0031038A"/>
    <w:rsid w:val="00313CFC"/>
    <w:rsid w:val="00316E56"/>
    <w:rsid w:val="003229EE"/>
    <w:rsid w:val="00322B7D"/>
    <w:rsid w:val="003235C4"/>
    <w:rsid w:val="00332127"/>
    <w:rsid w:val="00332A5C"/>
    <w:rsid w:val="00332F01"/>
    <w:rsid w:val="00334414"/>
    <w:rsid w:val="00336E20"/>
    <w:rsid w:val="0033737B"/>
    <w:rsid w:val="00337496"/>
    <w:rsid w:val="00342E13"/>
    <w:rsid w:val="00345242"/>
    <w:rsid w:val="003500A0"/>
    <w:rsid w:val="0036132E"/>
    <w:rsid w:val="003819F8"/>
    <w:rsid w:val="0038563F"/>
    <w:rsid w:val="003871CF"/>
    <w:rsid w:val="003927F8"/>
    <w:rsid w:val="00393078"/>
    <w:rsid w:val="00393288"/>
    <w:rsid w:val="00397223"/>
    <w:rsid w:val="003B2825"/>
    <w:rsid w:val="003C00FD"/>
    <w:rsid w:val="003C08F9"/>
    <w:rsid w:val="003C1B39"/>
    <w:rsid w:val="003C7A21"/>
    <w:rsid w:val="003D38C6"/>
    <w:rsid w:val="003E06B0"/>
    <w:rsid w:val="003E2A02"/>
    <w:rsid w:val="003E2C92"/>
    <w:rsid w:val="004155AC"/>
    <w:rsid w:val="00420C87"/>
    <w:rsid w:val="00421586"/>
    <w:rsid w:val="00435460"/>
    <w:rsid w:val="0043704A"/>
    <w:rsid w:val="00452673"/>
    <w:rsid w:val="00465FE0"/>
    <w:rsid w:val="004766B3"/>
    <w:rsid w:val="00477710"/>
    <w:rsid w:val="004813E2"/>
    <w:rsid w:val="004831DF"/>
    <w:rsid w:val="00484570"/>
    <w:rsid w:val="00487674"/>
    <w:rsid w:val="004926B6"/>
    <w:rsid w:val="00494087"/>
    <w:rsid w:val="004963E2"/>
    <w:rsid w:val="004B3C83"/>
    <w:rsid w:val="004C4A33"/>
    <w:rsid w:val="004C5788"/>
    <w:rsid w:val="004D1A02"/>
    <w:rsid w:val="004E3315"/>
    <w:rsid w:val="004E40EA"/>
    <w:rsid w:val="004F7055"/>
    <w:rsid w:val="00502989"/>
    <w:rsid w:val="0051490C"/>
    <w:rsid w:val="00521980"/>
    <w:rsid w:val="00532886"/>
    <w:rsid w:val="00535ED2"/>
    <w:rsid w:val="00537723"/>
    <w:rsid w:val="00551DAB"/>
    <w:rsid w:val="0055428B"/>
    <w:rsid w:val="0055554B"/>
    <w:rsid w:val="00562966"/>
    <w:rsid w:val="00567EE4"/>
    <w:rsid w:val="00571698"/>
    <w:rsid w:val="00585A36"/>
    <w:rsid w:val="005929AD"/>
    <w:rsid w:val="005A07D9"/>
    <w:rsid w:val="005B19E9"/>
    <w:rsid w:val="005B5804"/>
    <w:rsid w:val="005B5D20"/>
    <w:rsid w:val="005B6A50"/>
    <w:rsid w:val="005E31BC"/>
    <w:rsid w:val="005E3EA3"/>
    <w:rsid w:val="005F46D1"/>
    <w:rsid w:val="006066E2"/>
    <w:rsid w:val="00621C1D"/>
    <w:rsid w:val="00622A2E"/>
    <w:rsid w:val="00627E60"/>
    <w:rsid w:val="00632CFC"/>
    <w:rsid w:val="00633B8C"/>
    <w:rsid w:val="006377E4"/>
    <w:rsid w:val="00641177"/>
    <w:rsid w:val="00643307"/>
    <w:rsid w:val="0064364B"/>
    <w:rsid w:val="00653EE9"/>
    <w:rsid w:val="00655310"/>
    <w:rsid w:val="00661EA5"/>
    <w:rsid w:val="006636B7"/>
    <w:rsid w:val="0066477D"/>
    <w:rsid w:val="006720A2"/>
    <w:rsid w:val="006732EF"/>
    <w:rsid w:val="00674B68"/>
    <w:rsid w:val="006865EB"/>
    <w:rsid w:val="006B1C14"/>
    <w:rsid w:val="006C42A2"/>
    <w:rsid w:val="006C4E65"/>
    <w:rsid w:val="006D7ACA"/>
    <w:rsid w:val="006D7B32"/>
    <w:rsid w:val="006E786F"/>
    <w:rsid w:val="007040C5"/>
    <w:rsid w:val="00724C3A"/>
    <w:rsid w:val="00727B83"/>
    <w:rsid w:val="0073284C"/>
    <w:rsid w:val="0073416F"/>
    <w:rsid w:val="00737AB3"/>
    <w:rsid w:val="00755156"/>
    <w:rsid w:val="00757C0E"/>
    <w:rsid w:val="00763547"/>
    <w:rsid w:val="0076384E"/>
    <w:rsid w:val="00777335"/>
    <w:rsid w:val="007A5C22"/>
    <w:rsid w:val="007B392C"/>
    <w:rsid w:val="007B6C57"/>
    <w:rsid w:val="007C25A9"/>
    <w:rsid w:val="007C6390"/>
    <w:rsid w:val="007D2C3D"/>
    <w:rsid w:val="007D6370"/>
    <w:rsid w:val="007E514E"/>
    <w:rsid w:val="007F3A90"/>
    <w:rsid w:val="008133AC"/>
    <w:rsid w:val="0082495B"/>
    <w:rsid w:val="00833203"/>
    <w:rsid w:val="00841897"/>
    <w:rsid w:val="008443BB"/>
    <w:rsid w:val="008456C4"/>
    <w:rsid w:val="00846336"/>
    <w:rsid w:val="008479BB"/>
    <w:rsid w:val="0085242B"/>
    <w:rsid w:val="008560F8"/>
    <w:rsid w:val="008564C7"/>
    <w:rsid w:val="0086464D"/>
    <w:rsid w:val="008728C3"/>
    <w:rsid w:val="0088274B"/>
    <w:rsid w:val="00883A22"/>
    <w:rsid w:val="00887864"/>
    <w:rsid w:val="008A1387"/>
    <w:rsid w:val="008A1C63"/>
    <w:rsid w:val="008B22B3"/>
    <w:rsid w:val="008B4757"/>
    <w:rsid w:val="008B5716"/>
    <w:rsid w:val="008C5486"/>
    <w:rsid w:val="008E4B64"/>
    <w:rsid w:val="008F4A0E"/>
    <w:rsid w:val="009009C5"/>
    <w:rsid w:val="00916B25"/>
    <w:rsid w:val="00921D94"/>
    <w:rsid w:val="00937D82"/>
    <w:rsid w:val="00940B73"/>
    <w:rsid w:val="00942FFA"/>
    <w:rsid w:val="00946B0B"/>
    <w:rsid w:val="00952BB6"/>
    <w:rsid w:val="00972A2B"/>
    <w:rsid w:val="009855AE"/>
    <w:rsid w:val="0099185A"/>
    <w:rsid w:val="00992D1D"/>
    <w:rsid w:val="00993D90"/>
    <w:rsid w:val="009971EB"/>
    <w:rsid w:val="009A0214"/>
    <w:rsid w:val="009A09B8"/>
    <w:rsid w:val="009A2079"/>
    <w:rsid w:val="009B4FD1"/>
    <w:rsid w:val="009C5545"/>
    <w:rsid w:val="009D10D4"/>
    <w:rsid w:val="009D16B6"/>
    <w:rsid w:val="009D332D"/>
    <w:rsid w:val="009D38A1"/>
    <w:rsid w:val="009E0B01"/>
    <w:rsid w:val="009E3F86"/>
    <w:rsid w:val="009F7518"/>
    <w:rsid w:val="00A01FE0"/>
    <w:rsid w:val="00A34364"/>
    <w:rsid w:val="00A47E7A"/>
    <w:rsid w:val="00A721CB"/>
    <w:rsid w:val="00A738B0"/>
    <w:rsid w:val="00A75033"/>
    <w:rsid w:val="00A827F8"/>
    <w:rsid w:val="00A85AB2"/>
    <w:rsid w:val="00A85EB8"/>
    <w:rsid w:val="00A86743"/>
    <w:rsid w:val="00A9464B"/>
    <w:rsid w:val="00AA5490"/>
    <w:rsid w:val="00AA7973"/>
    <w:rsid w:val="00AD0C92"/>
    <w:rsid w:val="00AD0EEF"/>
    <w:rsid w:val="00AE3BF6"/>
    <w:rsid w:val="00AF0B85"/>
    <w:rsid w:val="00B00573"/>
    <w:rsid w:val="00B254FF"/>
    <w:rsid w:val="00B34332"/>
    <w:rsid w:val="00B602AE"/>
    <w:rsid w:val="00B63DF1"/>
    <w:rsid w:val="00B67ACF"/>
    <w:rsid w:val="00B83680"/>
    <w:rsid w:val="00B90DF3"/>
    <w:rsid w:val="00B913A6"/>
    <w:rsid w:val="00B976C5"/>
    <w:rsid w:val="00BA5009"/>
    <w:rsid w:val="00BA7F1F"/>
    <w:rsid w:val="00BC30E2"/>
    <w:rsid w:val="00BC5FCA"/>
    <w:rsid w:val="00BC76F0"/>
    <w:rsid w:val="00BD18FD"/>
    <w:rsid w:val="00BE3FF8"/>
    <w:rsid w:val="00BE5B37"/>
    <w:rsid w:val="00BF458D"/>
    <w:rsid w:val="00BF6BE0"/>
    <w:rsid w:val="00C076CC"/>
    <w:rsid w:val="00C1029D"/>
    <w:rsid w:val="00C3309F"/>
    <w:rsid w:val="00C3310F"/>
    <w:rsid w:val="00C36A8F"/>
    <w:rsid w:val="00C52645"/>
    <w:rsid w:val="00C703F9"/>
    <w:rsid w:val="00C74756"/>
    <w:rsid w:val="00C8347A"/>
    <w:rsid w:val="00C867CD"/>
    <w:rsid w:val="00C935FE"/>
    <w:rsid w:val="00CA4F40"/>
    <w:rsid w:val="00CA6376"/>
    <w:rsid w:val="00CB656B"/>
    <w:rsid w:val="00CC5DD8"/>
    <w:rsid w:val="00CD04A1"/>
    <w:rsid w:val="00CD2C6D"/>
    <w:rsid w:val="00CE30DE"/>
    <w:rsid w:val="00CE40DF"/>
    <w:rsid w:val="00CE640E"/>
    <w:rsid w:val="00CE6D81"/>
    <w:rsid w:val="00CF7B8E"/>
    <w:rsid w:val="00D015C8"/>
    <w:rsid w:val="00D02A28"/>
    <w:rsid w:val="00D03E40"/>
    <w:rsid w:val="00D16C48"/>
    <w:rsid w:val="00D242B3"/>
    <w:rsid w:val="00D3427B"/>
    <w:rsid w:val="00D46BAA"/>
    <w:rsid w:val="00D51939"/>
    <w:rsid w:val="00D5348D"/>
    <w:rsid w:val="00D556B4"/>
    <w:rsid w:val="00D64376"/>
    <w:rsid w:val="00D75018"/>
    <w:rsid w:val="00D823A4"/>
    <w:rsid w:val="00D83D9B"/>
    <w:rsid w:val="00D94271"/>
    <w:rsid w:val="00D96E0A"/>
    <w:rsid w:val="00D97829"/>
    <w:rsid w:val="00DA60BA"/>
    <w:rsid w:val="00DA6112"/>
    <w:rsid w:val="00DA6FFA"/>
    <w:rsid w:val="00DB0935"/>
    <w:rsid w:val="00DB2A8B"/>
    <w:rsid w:val="00DC7191"/>
    <w:rsid w:val="00DC7CB9"/>
    <w:rsid w:val="00DD216D"/>
    <w:rsid w:val="00DD7177"/>
    <w:rsid w:val="00DE49B0"/>
    <w:rsid w:val="00DF11FA"/>
    <w:rsid w:val="00E00160"/>
    <w:rsid w:val="00E03D0F"/>
    <w:rsid w:val="00E10D3E"/>
    <w:rsid w:val="00E15785"/>
    <w:rsid w:val="00E16902"/>
    <w:rsid w:val="00E31B89"/>
    <w:rsid w:val="00E35E9A"/>
    <w:rsid w:val="00E3757C"/>
    <w:rsid w:val="00E4506D"/>
    <w:rsid w:val="00E51037"/>
    <w:rsid w:val="00E513D5"/>
    <w:rsid w:val="00E71A1B"/>
    <w:rsid w:val="00E80AD1"/>
    <w:rsid w:val="00E83060"/>
    <w:rsid w:val="00E9612B"/>
    <w:rsid w:val="00EB395C"/>
    <w:rsid w:val="00EC3CBB"/>
    <w:rsid w:val="00EC6B13"/>
    <w:rsid w:val="00EC77FF"/>
    <w:rsid w:val="00ED4AF5"/>
    <w:rsid w:val="00EE4559"/>
    <w:rsid w:val="00EF29B7"/>
    <w:rsid w:val="00F04644"/>
    <w:rsid w:val="00F04A52"/>
    <w:rsid w:val="00F11825"/>
    <w:rsid w:val="00F30014"/>
    <w:rsid w:val="00F40762"/>
    <w:rsid w:val="00F45FF6"/>
    <w:rsid w:val="00F46874"/>
    <w:rsid w:val="00F5360A"/>
    <w:rsid w:val="00F5419E"/>
    <w:rsid w:val="00F613EA"/>
    <w:rsid w:val="00F626CE"/>
    <w:rsid w:val="00F67CCA"/>
    <w:rsid w:val="00F72120"/>
    <w:rsid w:val="00F838BC"/>
    <w:rsid w:val="00F85E59"/>
    <w:rsid w:val="00F95697"/>
    <w:rsid w:val="00F97800"/>
    <w:rsid w:val="00FB1632"/>
    <w:rsid w:val="00FB5BAD"/>
    <w:rsid w:val="00FB5FD4"/>
    <w:rsid w:val="00FC0860"/>
    <w:rsid w:val="00FC1222"/>
    <w:rsid w:val="00FC28A0"/>
    <w:rsid w:val="00FE0B61"/>
    <w:rsid w:val="00FE29E3"/>
    <w:rsid w:val="00FE3CF8"/>
    <w:rsid w:val="00FF27A7"/>
    <w:rsid w:val="00FF49CF"/>
    <w:rsid w:val="01602713"/>
    <w:rsid w:val="018359D0"/>
    <w:rsid w:val="01C5428D"/>
    <w:rsid w:val="02BF3D58"/>
    <w:rsid w:val="04167226"/>
    <w:rsid w:val="04757A59"/>
    <w:rsid w:val="04B34E0E"/>
    <w:rsid w:val="04F16AE3"/>
    <w:rsid w:val="055C7445"/>
    <w:rsid w:val="05666251"/>
    <w:rsid w:val="069A384B"/>
    <w:rsid w:val="06CC4290"/>
    <w:rsid w:val="06E15DF7"/>
    <w:rsid w:val="078A5361"/>
    <w:rsid w:val="087D263E"/>
    <w:rsid w:val="08850B9A"/>
    <w:rsid w:val="09BA7E24"/>
    <w:rsid w:val="0ADF50D4"/>
    <w:rsid w:val="0BBD5A5A"/>
    <w:rsid w:val="0BC11EE1"/>
    <w:rsid w:val="0CC6580B"/>
    <w:rsid w:val="0D822807"/>
    <w:rsid w:val="0FD50E8B"/>
    <w:rsid w:val="0FDD12BC"/>
    <w:rsid w:val="10930FB3"/>
    <w:rsid w:val="116C307D"/>
    <w:rsid w:val="12A328DE"/>
    <w:rsid w:val="13533D6F"/>
    <w:rsid w:val="13A1161C"/>
    <w:rsid w:val="14A5507A"/>
    <w:rsid w:val="1519687E"/>
    <w:rsid w:val="15382F2D"/>
    <w:rsid w:val="157D5C76"/>
    <w:rsid w:val="15AE62A9"/>
    <w:rsid w:val="15E9725C"/>
    <w:rsid w:val="160277FD"/>
    <w:rsid w:val="162641DF"/>
    <w:rsid w:val="164809E5"/>
    <w:rsid w:val="16FC6A9D"/>
    <w:rsid w:val="17141A70"/>
    <w:rsid w:val="1719707D"/>
    <w:rsid w:val="177A3FDC"/>
    <w:rsid w:val="17DE2BF9"/>
    <w:rsid w:val="181C70C0"/>
    <w:rsid w:val="18BF3681"/>
    <w:rsid w:val="18C55045"/>
    <w:rsid w:val="1B210BF7"/>
    <w:rsid w:val="1C7B124F"/>
    <w:rsid w:val="1CA7488E"/>
    <w:rsid w:val="1E852002"/>
    <w:rsid w:val="1E9A5E97"/>
    <w:rsid w:val="1F1849EE"/>
    <w:rsid w:val="1F341C78"/>
    <w:rsid w:val="1FB913FE"/>
    <w:rsid w:val="20001606"/>
    <w:rsid w:val="202D7D4C"/>
    <w:rsid w:val="20A24C20"/>
    <w:rsid w:val="20EC67FE"/>
    <w:rsid w:val="212916F7"/>
    <w:rsid w:val="212B00D9"/>
    <w:rsid w:val="21442B42"/>
    <w:rsid w:val="21E62252"/>
    <w:rsid w:val="226A4C31"/>
    <w:rsid w:val="22941CAE"/>
    <w:rsid w:val="22E5665F"/>
    <w:rsid w:val="23240398"/>
    <w:rsid w:val="23407DB1"/>
    <w:rsid w:val="23A64E72"/>
    <w:rsid w:val="23C21FD0"/>
    <w:rsid w:val="24116544"/>
    <w:rsid w:val="248A412D"/>
    <w:rsid w:val="24E56507"/>
    <w:rsid w:val="25354F7A"/>
    <w:rsid w:val="25360C0D"/>
    <w:rsid w:val="25706A02"/>
    <w:rsid w:val="25825046"/>
    <w:rsid w:val="25B05FB0"/>
    <w:rsid w:val="261746E8"/>
    <w:rsid w:val="26EE318D"/>
    <w:rsid w:val="27B60C21"/>
    <w:rsid w:val="2987256D"/>
    <w:rsid w:val="2A1B14A7"/>
    <w:rsid w:val="2A382644"/>
    <w:rsid w:val="2ADC5738"/>
    <w:rsid w:val="2AF10207"/>
    <w:rsid w:val="2D9F121C"/>
    <w:rsid w:val="2E016A0F"/>
    <w:rsid w:val="2E504F26"/>
    <w:rsid w:val="2F1A71FF"/>
    <w:rsid w:val="300F1584"/>
    <w:rsid w:val="30AE4883"/>
    <w:rsid w:val="30B434EC"/>
    <w:rsid w:val="310B3A83"/>
    <w:rsid w:val="333A754E"/>
    <w:rsid w:val="33DA5DAF"/>
    <w:rsid w:val="33F70AA8"/>
    <w:rsid w:val="340F73E6"/>
    <w:rsid w:val="368D1C4D"/>
    <w:rsid w:val="38106C7F"/>
    <w:rsid w:val="3925145A"/>
    <w:rsid w:val="39F635F6"/>
    <w:rsid w:val="3A900F49"/>
    <w:rsid w:val="3AAF1FC5"/>
    <w:rsid w:val="3AD7016A"/>
    <w:rsid w:val="3C5747B6"/>
    <w:rsid w:val="3CD01629"/>
    <w:rsid w:val="3D8F7403"/>
    <w:rsid w:val="3DCB308E"/>
    <w:rsid w:val="3F3E681D"/>
    <w:rsid w:val="3F710742"/>
    <w:rsid w:val="3FA255B3"/>
    <w:rsid w:val="40442B0E"/>
    <w:rsid w:val="417A44B7"/>
    <w:rsid w:val="42104450"/>
    <w:rsid w:val="432E6BB3"/>
    <w:rsid w:val="43697B1B"/>
    <w:rsid w:val="44376875"/>
    <w:rsid w:val="44592015"/>
    <w:rsid w:val="454E68E8"/>
    <w:rsid w:val="45644AEA"/>
    <w:rsid w:val="45827B97"/>
    <w:rsid w:val="46892679"/>
    <w:rsid w:val="46A01AF1"/>
    <w:rsid w:val="48456123"/>
    <w:rsid w:val="48A958F4"/>
    <w:rsid w:val="4A504817"/>
    <w:rsid w:val="4A582358"/>
    <w:rsid w:val="4B174746"/>
    <w:rsid w:val="4BF9132F"/>
    <w:rsid w:val="4C3D4939"/>
    <w:rsid w:val="4D7F140F"/>
    <w:rsid w:val="4E3E7BC0"/>
    <w:rsid w:val="510179A2"/>
    <w:rsid w:val="510B2C54"/>
    <w:rsid w:val="524D7600"/>
    <w:rsid w:val="535915FA"/>
    <w:rsid w:val="53872626"/>
    <w:rsid w:val="550D765D"/>
    <w:rsid w:val="552D4709"/>
    <w:rsid w:val="56CC3165"/>
    <w:rsid w:val="575D23A0"/>
    <w:rsid w:val="58220290"/>
    <w:rsid w:val="58766827"/>
    <w:rsid w:val="59BB1A82"/>
    <w:rsid w:val="5BB52C33"/>
    <w:rsid w:val="5C3E3E63"/>
    <w:rsid w:val="5C4D41B6"/>
    <w:rsid w:val="5C9320D8"/>
    <w:rsid w:val="5D215199"/>
    <w:rsid w:val="5E3F58C9"/>
    <w:rsid w:val="5E8F4270"/>
    <w:rsid w:val="5F406DC4"/>
    <w:rsid w:val="5F9074BB"/>
    <w:rsid w:val="60103816"/>
    <w:rsid w:val="60A52761"/>
    <w:rsid w:val="614A5E07"/>
    <w:rsid w:val="62834F12"/>
    <w:rsid w:val="63305264"/>
    <w:rsid w:val="63395513"/>
    <w:rsid w:val="63AD6150"/>
    <w:rsid w:val="641B1A28"/>
    <w:rsid w:val="647C3D75"/>
    <w:rsid w:val="65A138C0"/>
    <w:rsid w:val="65B9075D"/>
    <w:rsid w:val="65CD18E1"/>
    <w:rsid w:val="67242BCD"/>
    <w:rsid w:val="67AC4D96"/>
    <w:rsid w:val="68B624A0"/>
    <w:rsid w:val="68C1444C"/>
    <w:rsid w:val="6B5A1E4A"/>
    <w:rsid w:val="6C49746F"/>
    <w:rsid w:val="6CDB4897"/>
    <w:rsid w:val="6CEE5341"/>
    <w:rsid w:val="6FF9271D"/>
    <w:rsid w:val="702502A7"/>
    <w:rsid w:val="707B34B7"/>
    <w:rsid w:val="70FC1342"/>
    <w:rsid w:val="74960A38"/>
    <w:rsid w:val="75417E42"/>
    <w:rsid w:val="771534DA"/>
    <w:rsid w:val="78420591"/>
    <w:rsid w:val="785E10D9"/>
    <w:rsid w:val="794A7BF0"/>
    <w:rsid w:val="7A1818F5"/>
    <w:rsid w:val="7ABC432D"/>
    <w:rsid w:val="7B0B6C9D"/>
    <w:rsid w:val="7B9F49DF"/>
    <w:rsid w:val="7BC20611"/>
    <w:rsid w:val="7CB65982"/>
    <w:rsid w:val="7CFC339A"/>
    <w:rsid w:val="7E7219C6"/>
    <w:rsid w:val="7E7451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2"/>
    <w:qFormat/>
    <w:uiPriority w:val="9"/>
    <w:pPr>
      <w:keepNext/>
      <w:keepLines/>
      <w:spacing w:before="340" w:after="330" w:line="578" w:lineRule="auto"/>
      <w:outlineLvl w:val="0"/>
    </w:pPr>
    <w:rPr>
      <w:b/>
      <w:bCs/>
      <w:kern w:val="44"/>
      <w:sz w:val="44"/>
      <w:szCs w:val="44"/>
    </w:rPr>
  </w:style>
  <w:style w:type="paragraph" w:styleId="4">
    <w:name w:val="heading 2"/>
    <w:basedOn w:val="1"/>
    <w:next w:val="5"/>
    <w:link w:val="35"/>
    <w:qFormat/>
    <w:uiPriority w:val="0"/>
    <w:pPr>
      <w:keepNext/>
      <w:keepLines/>
      <w:spacing w:before="240" w:after="120" w:line="360" w:lineRule="auto"/>
      <w:ind w:left="454" w:hanging="454"/>
      <w:jc w:val="center"/>
      <w:outlineLvl w:val="1"/>
    </w:pPr>
    <w:rPr>
      <w:rFonts w:ascii="Arial" w:hAnsi="Arial"/>
      <w:b/>
      <w:color w:val="000000"/>
      <w:kern w:val="0"/>
      <w:sz w:val="24"/>
    </w:rPr>
  </w:style>
  <w:style w:type="paragraph" w:styleId="6">
    <w:name w:val="heading 3"/>
    <w:basedOn w:val="1"/>
    <w:next w:val="1"/>
    <w:link w:val="36"/>
    <w:qFormat/>
    <w:uiPriority w:val="0"/>
    <w:pPr>
      <w:keepNext/>
      <w:keepLines/>
      <w:spacing w:before="260" w:after="260" w:line="416" w:lineRule="auto"/>
      <w:outlineLvl w:val="2"/>
    </w:pPr>
    <w:rPr>
      <w:b/>
      <w:bCs/>
      <w:kern w:val="0"/>
      <w:sz w:val="32"/>
      <w:szCs w:val="32"/>
    </w:rPr>
  </w:style>
  <w:style w:type="paragraph" w:styleId="7">
    <w:name w:val="heading 4"/>
    <w:basedOn w:val="6"/>
    <w:next w:val="5"/>
    <w:link w:val="37"/>
    <w:qFormat/>
    <w:uiPriority w:val="0"/>
    <w:pPr>
      <w:numPr>
        <w:ilvl w:val="3"/>
        <w:numId w:val="1"/>
      </w:numPr>
      <w:spacing w:beforeLines="50" w:afterLines="50" w:line="360" w:lineRule="auto"/>
      <w:jc w:val="center"/>
      <w:outlineLvl w:val="3"/>
    </w:pPr>
    <w:rPr>
      <w:rFonts w:ascii="Arial" w:hAnsi="Arial"/>
      <w:b w:val="0"/>
      <w:bCs w:val="0"/>
      <w:color w:val="000000"/>
      <w:sz w:val="24"/>
      <w:szCs w:val="24"/>
    </w:rPr>
  </w:style>
  <w:style w:type="paragraph" w:styleId="8">
    <w:name w:val="heading 5"/>
    <w:basedOn w:val="7"/>
    <w:next w:val="5"/>
    <w:link w:val="38"/>
    <w:qFormat/>
    <w:uiPriority w:val="0"/>
    <w:pPr>
      <w:numPr>
        <w:ilvl w:val="4"/>
      </w:numPr>
      <w:spacing w:line="240" w:lineRule="exact"/>
      <w:outlineLvl w:val="4"/>
    </w:pPr>
  </w:style>
  <w:style w:type="paragraph" w:styleId="9">
    <w:name w:val="heading 7"/>
    <w:basedOn w:val="1"/>
    <w:next w:val="5"/>
    <w:link w:val="39"/>
    <w:qFormat/>
    <w:uiPriority w:val="0"/>
    <w:pPr>
      <w:keepNext/>
      <w:keepLines/>
      <w:numPr>
        <w:ilvl w:val="6"/>
        <w:numId w:val="1"/>
      </w:numPr>
      <w:spacing w:before="240" w:after="64" w:line="320" w:lineRule="auto"/>
      <w:outlineLvl w:val="6"/>
    </w:pPr>
    <w:rPr>
      <w:b/>
      <w:kern w:val="0"/>
      <w:sz w:val="24"/>
      <w:szCs w:val="20"/>
    </w:rPr>
  </w:style>
  <w:style w:type="paragraph" w:styleId="10">
    <w:name w:val="heading 8"/>
    <w:basedOn w:val="1"/>
    <w:next w:val="5"/>
    <w:link w:val="40"/>
    <w:qFormat/>
    <w:uiPriority w:val="0"/>
    <w:pPr>
      <w:keepNext/>
      <w:keepLines/>
      <w:numPr>
        <w:ilvl w:val="7"/>
        <w:numId w:val="1"/>
      </w:numPr>
      <w:spacing w:before="240" w:after="64" w:line="320" w:lineRule="auto"/>
      <w:outlineLvl w:val="7"/>
    </w:pPr>
    <w:rPr>
      <w:rFonts w:ascii="Arial" w:hAnsi="Arial" w:eastAsia="黑体"/>
      <w:kern w:val="0"/>
      <w:sz w:val="24"/>
      <w:szCs w:val="20"/>
    </w:rPr>
  </w:style>
  <w:style w:type="paragraph" w:styleId="11">
    <w:name w:val="heading 9"/>
    <w:basedOn w:val="1"/>
    <w:next w:val="5"/>
    <w:link w:val="41"/>
    <w:qFormat/>
    <w:uiPriority w:val="0"/>
    <w:pPr>
      <w:keepNext/>
      <w:keepLines/>
      <w:numPr>
        <w:ilvl w:val="8"/>
        <w:numId w:val="1"/>
      </w:numPr>
      <w:spacing w:before="240" w:after="64" w:line="320" w:lineRule="auto"/>
      <w:outlineLvl w:val="8"/>
    </w:pPr>
    <w:rPr>
      <w:rFonts w:ascii="Arial" w:hAnsi="Arial" w:eastAsia="黑体"/>
      <w:kern w:val="0"/>
      <w:sz w:val="20"/>
      <w:szCs w:val="20"/>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5"/>
    <w:qFormat/>
    <w:uiPriority w:val="0"/>
    <w:pPr>
      <w:pBdr>
        <w:top w:val="single" w:color="auto" w:sz="4" w:space="1"/>
      </w:pBdr>
    </w:pPr>
    <w:rPr>
      <w:b/>
      <w:bCs/>
      <w:kern w:val="0"/>
      <w:sz w:val="20"/>
    </w:rPr>
  </w:style>
  <w:style w:type="paragraph" w:styleId="5">
    <w:name w:val="Normal Indent"/>
    <w:basedOn w:val="1"/>
    <w:qFormat/>
    <w:uiPriority w:val="0"/>
    <w:pPr>
      <w:ind w:firstLine="420" w:firstLineChars="200"/>
    </w:pPr>
  </w:style>
  <w:style w:type="paragraph" w:styleId="12">
    <w:name w:val="Document Map"/>
    <w:basedOn w:val="1"/>
    <w:link w:val="53"/>
    <w:semiHidden/>
    <w:qFormat/>
    <w:uiPriority w:val="0"/>
    <w:pPr>
      <w:shd w:val="clear" w:color="auto" w:fill="000080"/>
    </w:pPr>
    <w:rPr>
      <w:kern w:val="0"/>
      <w:sz w:val="20"/>
    </w:rPr>
  </w:style>
  <w:style w:type="paragraph" w:styleId="13">
    <w:name w:val="annotation text"/>
    <w:basedOn w:val="1"/>
    <w:link w:val="47"/>
    <w:semiHidden/>
    <w:qFormat/>
    <w:uiPriority w:val="0"/>
    <w:pPr>
      <w:jc w:val="left"/>
    </w:pPr>
    <w:rPr>
      <w:kern w:val="0"/>
      <w:sz w:val="20"/>
    </w:rPr>
  </w:style>
  <w:style w:type="paragraph" w:styleId="14">
    <w:name w:val="Body Text Indent"/>
    <w:basedOn w:val="1"/>
    <w:link w:val="46"/>
    <w:qFormat/>
    <w:uiPriority w:val="0"/>
    <w:pPr>
      <w:ind w:firstLine="600" w:firstLineChars="200"/>
    </w:pPr>
    <w:rPr>
      <w:rFonts w:ascii="宋体"/>
      <w:kern w:val="0"/>
      <w:sz w:val="30"/>
      <w:szCs w:val="20"/>
    </w:rPr>
  </w:style>
  <w:style w:type="paragraph" w:styleId="1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6">
    <w:name w:val="Plain Text"/>
    <w:basedOn w:val="1"/>
    <w:link w:val="42"/>
    <w:qFormat/>
    <w:uiPriority w:val="0"/>
    <w:rPr>
      <w:rFonts w:ascii="宋体" w:hAnsi="Courier New"/>
      <w:kern w:val="0"/>
      <w:sz w:val="20"/>
      <w:szCs w:val="20"/>
    </w:rPr>
  </w:style>
  <w:style w:type="paragraph" w:styleId="17">
    <w:name w:val="Date"/>
    <w:basedOn w:val="1"/>
    <w:next w:val="1"/>
    <w:link w:val="48"/>
    <w:qFormat/>
    <w:uiPriority w:val="0"/>
    <w:pPr>
      <w:ind w:left="100" w:leftChars="2500"/>
    </w:pPr>
    <w:rPr>
      <w:kern w:val="0"/>
      <w:sz w:val="20"/>
    </w:rPr>
  </w:style>
  <w:style w:type="paragraph" w:styleId="18">
    <w:name w:val="Balloon Text"/>
    <w:basedOn w:val="1"/>
    <w:link w:val="49"/>
    <w:semiHidden/>
    <w:qFormat/>
    <w:uiPriority w:val="0"/>
    <w:rPr>
      <w:kern w:val="0"/>
      <w:sz w:val="18"/>
      <w:szCs w:val="18"/>
    </w:rPr>
  </w:style>
  <w:style w:type="paragraph" w:styleId="19">
    <w:name w:val="footer"/>
    <w:basedOn w:val="1"/>
    <w:link w:val="43"/>
    <w:qFormat/>
    <w:uiPriority w:val="0"/>
    <w:pPr>
      <w:tabs>
        <w:tab w:val="center" w:pos="4153"/>
        <w:tab w:val="right" w:pos="8306"/>
      </w:tabs>
      <w:snapToGrid w:val="0"/>
      <w:jc w:val="left"/>
    </w:pPr>
    <w:rPr>
      <w:kern w:val="0"/>
      <w:sz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kern w:val="0"/>
      <w:sz w:val="18"/>
    </w:rPr>
  </w:style>
  <w:style w:type="paragraph" w:styleId="2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22">
    <w:name w:val="toc 2"/>
    <w:basedOn w:val="1"/>
    <w:next w:val="1"/>
    <w:qFormat/>
    <w:uiPriority w:val="39"/>
    <w:pPr>
      <w:ind w:left="420" w:leftChars="200"/>
    </w:pPr>
  </w:style>
  <w:style w:type="paragraph" w:styleId="23">
    <w:name w:val="Normal (Web)"/>
    <w:basedOn w:val="1"/>
    <w:semiHidden/>
    <w:unhideWhenUsed/>
    <w:qFormat/>
    <w:uiPriority w:val="0"/>
    <w:rPr>
      <w:sz w:val="24"/>
    </w:rPr>
  </w:style>
  <w:style w:type="paragraph" w:styleId="24">
    <w:name w:val="Title"/>
    <w:basedOn w:val="1"/>
    <w:link w:val="52"/>
    <w:qFormat/>
    <w:uiPriority w:val="0"/>
    <w:pPr>
      <w:spacing w:before="240" w:after="60"/>
      <w:jc w:val="center"/>
      <w:outlineLvl w:val="0"/>
    </w:pPr>
    <w:rPr>
      <w:rFonts w:ascii="Arial" w:hAnsi="Arial"/>
      <w:b/>
      <w:bCs/>
      <w:kern w:val="0"/>
      <w:sz w:val="32"/>
      <w:szCs w:val="32"/>
    </w:rPr>
  </w:style>
  <w:style w:type="paragraph" w:styleId="25">
    <w:name w:val="annotation subject"/>
    <w:basedOn w:val="13"/>
    <w:next w:val="13"/>
    <w:link w:val="51"/>
    <w:qFormat/>
    <w:uiPriority w:val="0"/>
    <w:rPr>
      <w:b/>
      <w:bCs/>
    </w:rPr>
  </w:style>
  <w:style w:type="paragraph" w:styleId="26">
    <w:name w:val="Body Text First Indent"/>
    <w:basedOn w:val="2"/>
    <w:qFormat/>
    <w:uiPriority w:val="99"/>
    <w:pPr>
      <w:ind w:firstLine="420" w:firstLineChars="100"/>
    </w:pPr>
  </w:style>
  <w:style w:type="paragraph" w:styleId="27">
    <w:name w:val="Body Text First Indent 2"/>
    <w:basedOn w:val="14"/>
    <w:link w:val="63"/>
    <w:semiHidden/>
    <w:unhideWhenUsed/>
    <w:qFormat/>
    <w:uiPriority w:val="99"/>
    <w:pPr>
      <w:spacing w:after="120"/>
      <w:ind w:left="420" w:leftChars="200" w:firstLine="420"/>
    </w:pPr>
    <w:rPr>
      <w:rFonts w:ascii="Times New Roman"/>
      <w:kern w:val="2"/>
      <w:sz w:val="21"/>
      <w:szCs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qFormat/>
    <w:uiPriority w:val="99"/>
    <w:rPr>
      <w:color w:val="0000FF"/>
      <w:u w:val="single"/>
    </w:rPr>
  </w:style>
  <w:style w:type="character" w:styleId="33">
    <w:name w:val="annotation reference"/>
    <w:unhideWhenUsed/>
    <w:qFormat/>
    <w:uiPriority w:val="99"/>
    <w:rPr>
      <w:sz w:val="21"/>
      <w:szCs w:val="21"/>
    </w:rPr>
  </w:style>
  <w:style w:type="paragraph" w:customStyle="1" w:styleId="3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35">
    <w:name w:val="标题 2 字符"/>
    <w:link w:val="4"/>
    <w:qFormat/>
    <w:uiPriority w:val="0"/>
    <w:rPr>
      <w:rFonts w:ascii="Arial" w:hAnsi="Arial" w:eastAsia="宋体" w:cs="Times New Roman"/>
      <w:b/>
      <w:color w:val="000000"/>
      <w:sz w:val="24"/>
      <w:szCs w:val="24"/>
    </w:rPr>
  </w:style>
  <w:style w:type="character" w:customStyle="1" w:styleId="36">
    <w:name w:val="标题 3 字符"/>
    <w:link w:val="6"/>
    <w:qFormat/>
    <w:uiPriority w:val="0"/>
    <w:rPr>
      <w:rFonts w:ascii="Times New Roman" w:hAnsi="Times New Roman" w:eastAsia="宋体" w:cs="Times New Roman"/>
      <w:b/>
      <w:bCs/>
      <w:sz w:val="32"/>
      <w:szCs w:val="32"/>
    </w:rPr>
  </w:style>
  <w:style w:type="character" w:customStyle="1" w:styleId="37">
    <w:name w:val="标题 4 字符"/>
    <w:link w:val="7"/>
    <w:qFormat/>
    <w:uiPriority w:val="0"/>
    <w:rPr>
      <w:rFonts w:ascii="Arial" w:hAnsi="Arial" w:eastAsia="宋体" w:cs="Times New Roman"/>
      <w:color w:val="000000"/>
      <w:sz w:val="24"/>
      <w:szCs w:val="24"/>
    </w:rPr>
  </w:style>
  <w:style w:type="character" w:customStyle="1" w:styleId="38">
    <w:name w:val="标题 5 字符"/>
    <w:link w:val="8"/>
    <w:qFormat/>
    <w:uiPriority w:val="0"/>
    <w:rPr>
      <w:rFonts w:ascii="Arial" w:hAnsi="Arial" w:eastAsia="宋体" w:cs="Times New Roman"/>
      <w:color w:val="000000"/>
      <w:sz w:val="24"/>
      <w:szCs w:val="24"/>
    </w:rPr>
  </w:style>
  <w:style w:type="character" w:customStyle="1" w:styleId="39">
    <w:name w:val="标题 7 字符"/>
    <w:link w:val="9"/>
    <w:qFormat/>
    <w:uiPriority w:val="0"/>
    <w:rPr>
      <w:rFonts w:ascii="Times New Roman" w:hAnsi="Times New Roman" w:eastAsia="宋体" w:cs="Times New Roman"/>
      <w:b/>
      <w:sz w:val="24"/>
      <w:szCs w:val="20"/>
    </w:rPr>
  </w:style>
  <w:style w:type="character" w:customStyle="1" w:styleId="40">
    <w:name w:val="标题 8 字符"/>
    <w:link w:val="10"/>
    <w:qFormat/>
    <w:uiPriority w:val="0"/>
    <w:rPr>
      <w:rFonts w:ascii="Arial" w:hAnsi="Arial" w:eastAsia="黑体" w:cs="Times New Roman"/>
      <w:sz w:val="24"/>
      <w:szCs w:val="20"/>
    </w:rPr>
  </w:style>
  <w:style w:type="character" w:customStyle="1" w:styleId="41">
    <w:name w:val="标题 9 字符"/>
    <w:link w:val="11"/>
    <w:qFormat/>
    <w:uiPriority w:val="0"/>
    <w:rPr>
      <w:rFonts w:ascii="Arial" w:hAnsi="Arial" w:eastAsia="黑体" w:cs="Times New Roman"/>
      <w:szCs w:val="20"/>
    </w:rPr>
  </w:style>
  <w:style w:type="character" w:customStyle="1" w:styleId="42">
    <w:name w:val="纯文本 字符"/>
    <w:link w:val="16"/>
    <w:qFormat/>
    <w:uiPriority w:val="0"/>
    <w:rPr>
      <w:rFonts w:ascii="宋体" w:hAnsi="Courier New" w:eastAsia="宋体" w:cs="Times New Roman"/>
      <w:szCs w:val="20"/>
    </w:rPr>
  </w:style>
  <w:style w:type="character" w:customStyle="1" w:styleId="43">
    <w:name w:val="页脚 字符"/>
    <w:link w:val="19"/>
    <w:qFormat/>
    <w:uiPriority w:val="0"/>
    <w:rPr>
      <w:rFonts w:ascii="Times New Roman" w:hAnsi="Times New Roman" w:eastAsia="宋体" w:cs="Times New Roman"/>
      <w:sz w:val="18"/>
      <w:szCs w:val="24"/>
    </w:rPr>
  </w:style>
  <w:style w:type="character" w:customStyle="1" w:styleId="44">
    <w:name w:val="页眉 字符"/>
    <w:link w:val="20"/>
    <w:qFormat/>
    <w:uiPriority w:val="0"/>
    <w:rPr>
      <w:rFonts w:ascii="Times New Roman" w:hAnsi="Times New Roman" w:eastAsia="宋体" w:cs="Times New Roman"/>
      <w:sz w:val="18"/>
      <w:szCs w:val="24"/>
    </w:rPr>
  </w:style>
  <w:style w:type="character" w:customStyle="1" w:styleId="45">
    <w:name w:val="正文文本 字符"/>
    <w:link w:val="2"/>
    <w:qFormat/>
    <w:uiPriority w:val="0"/>
    <w:rPr>
      <w:rFonts w:ascii="Times New Roman" w:hAnsi="Times New Roman" w:eastAsia="宋体" w:cs="Times New Roman"/>
      <w:b/>
      <w:bCs/>
      <w:szCs w:val="24"/>
    </w:rPr>
  </w:style>
  <w:style w:type="character" w:customStyle="1" w:styleId="46">
    <w:name w:val="正文文本缩进 字符"/>
    <w:link w:val="14"/>
    <w:qFormat/>
    <w:uiPriority w:val="0"/>
    <w:rPr>
      <w:rFonts w:ascii="宋体" w:hAnsi="Times New Roman" w:eastAsia="宋体" w:cs="Times New Roman"/>
      <w:sz w:val="30"/>
      <w:szCs w:val="20"/>
    </w:rPr>
  </w:style>
  <w:style w:type="character" w:customStyle="1" w:styleId="47">
    <w:name w:val="批注文字 字符"/>
    <w:link w:val="13"/>
    <w:semiHidden/>
    <w:qFormat/>
    <w:uiPriority w:val="0"/>
    <w:rPr>
      <w:rFonts w:ascii="Times New Roman" w:hAnsi="Times New Roman" w:eastAsia="宋体" w:cs="Times New Roman"/>
      <w:szCs w:val="24"/>
    </w:rPr>
  </w:style>
  <w:style w:type="character" w:customStyle="1" w:styleId="48">
    <w:name w:val="日期 字符"/>
    <w:link w:val="17"/>
    <w:qFormat/>
    <w:uiPriority w:val="0"/>
    <w:rPr>
      <w:rFonts w:ascii="Times New Roman" w:hAnsi="Times New Roman" w:eastAsia="宋体" w:cs="Times New Roman"/>
      <w:szCs w:val="24"/>
    </w:rPr>
  </w:style>
  <w:style w:type="character" w:customStyle="1" w:styleId="49">
    <w:name w:val="批注框文本 字符"/>
    <w:link w:val="18"/>
    <w:semiHidden/>
    <w:qFormat/>
    <w:uiPriority w:val="0"/>
    <w:rPr>
      <w:rFonts w:ascii="Times New Roman" w:hAnsi="Times New Roman" w:eastAsia="宋体" w:cs="Times New Roman"/>
      <w:sz w:val="18"/>
      <w:szCs w:val="18"/>
    </w:rPr>
  </w:style>
  <w:style w:type="paragraph" w:customStyle="1" w:styleId="50">
    <w:name w:val="样式 标题 3 + 首行缩进:  1.06 厘米"/>
    <w:basedOn w:val="6"/>
    <w:qFormat/>
    <w:uiPriority w:val="0"/>
    <w:pPr>
      <w:spacing w:before="120" w:after="0" w:line="240" w:lineRule="auto"/>
      <w:jc w:val="center"/>
    </w:pPr>
    <w:rPr>
      <w:rFonts w:ascii="宋体" w:hAnsi="宋体" w:cs="宋体"/>
      <w:bCs w:val="0"/>
      <w:color w:val="000000"/>
    </w:rPr>
  </w:style>
  <w:style w:type="character" w:customStyle="1" w:styleId="51">
    <w:name w:val="批注主题 字符"/>
    <w:link w:val="25"/>
    <w:semiHidden/>
    <w:qFormat/>
    <w:uiPriority w:val="0"/>
    <w:rPr>
      <w:rFonts w:ascii="Times New Roman" w:hAnsi="Times New Roman" w:eastAsia="宋体" w:cs="Times New Roman"/>
      <w:b/>
      <w:bCs/>
      <w:szCs w:val="24"/>
    </w:rPr>
  </w:style>
  <w:style w:type="character" w:customStyle="1" w:styleId="52">
    <w:name w:val="标题 字符"/>
    <w:link w:val="24"/>
    <w:qFormat/>
    <w:uiPriority w:val="0"/>
    <w:rPr>
      <w:rFonts w:ascii="Arial" w:hAnsi="Arial" w:eastAsia="宋体" w:cs="Arial"/>
      <w:b/>
      <w:bCs/>
      <w:sz w:val="32"/>
      <w:szCs w:val="32"/>
    </w:rPr>
  </w:style>
  <w:style w:type="character" w:customStyle="1" w:styleId="53">
    <w:name w:val="文档结构图 字符"/>
    <w:link w:val="12"/>
    <w:semiHidden/>
    <w:qFormat/>
    <w:uiPriority w:val="0"/>
    <w:rPr>
      <w:rFonts w:ascii="Times New Roman" w:hAnsi="Times New Roman" w:eastAsia="宋体" w:cs="Times New Roman"/>
      <w:szCs w:val="24"/>
      <w:shd w:val="clear" w:color="auto" w:fill="000080"/>
    </w:rPr>
  </w:style>
  <w:style w:type="paragraph" w:customStyle="1" w:styleId="54">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55">
    <w:name w:val="font21"/>
    <w:basedOn w:val="30"/>
    <w:qFormat/>
    <w:uiPriority w:val="0"/>
    <w:rPr>
      <w:rFonts w:hint="eastAsia" w:ascii="宋体" w:hAnsi="宋体" w:eastAsia="宋体" w:cs="宋体"/>
      <w:color w:val="0066CC"/>
      <w:sz w:val="20"/>
      <w:szCs w:val="20"/>
      <w:u w:val="none"/>
    </w:rPr>
  </w:style>
  <w:style w:type="paragraph" w:customStyle="1" w:styleId="56">
    <w:name w:val="文二"/>
    <w:basedOn w:val="1"/>
    <w:qFormat/>
    <w:uiPriority w:val="0"/>
    <w:rPr>
      <w:rFonts w:ascii="宋体" w:hAnsi="宋体"/>
      <w:szCs w:val="21"/>
    </w:rPr>
  </w:style>
  <w:style w:type="paragraph" w:customStyle="1" w:styleId="57">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58">
    <w:name w:val="纯文本 Char"/>
    <w:qFormat/>
    <w:uiPriority w:val="0"/>
    <w:rPr>
      <w:rFonts w:ascii="宋体" w:hAnsi="Courier New" w:eastAsia="宋体" w:cs="Times New Roman"/>
      <w:szCs w:val="20"/>
    </w:rPr>
  </w:style>
  <w:style w:type="character" w:customStyle="1" w:styleId="59">
    <w:name w:val="页脚 Char"/>
    <w:qFormat/>
    <w:uiPriority w:val="0"/>
    <w:rPr>
      <w:rFonts w:ascii="Times New Roman" w:hAnsi="Times New Roman" w:eastAsia="宋体" w:cs="Times New Roman"/>
      <w:sz w:val="18"/>
      <w:szCs w:val="24"/>
    </w:rPr>
  </w:style>
  <w:style w:type="character" w:customStyle="1" w:styleId="60">
    <w:name w:val="批注主题 Char"/>
    <w:basedOn w:val="30"/>
    <w:qFormat/>
    <w:uiPriority w:val="0"/>
    <w:rPr>
      <w:kern w:val="2"/>
      <w:sz w:val="21"/>
      <w:szCs w:val="21"/>
      <w:lang w:val="en-US" w:eastAsia="zh-CN" w:bidi="ar-SA"/>
    </w:rPr>
  </w:style>
  <w:style w:type="paragraph" w:customStyle="1" w:styleId="6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2">
    <w:name w:val="标题 1 字符"/>
    <w:basedOn w:val="30"/>
    <w:link w:val="3"/>
    <w:qFormat/>
    <w:uiPriority w:val="9"/>
    <w:rPr>
      <w:b/>
      <w:bCs/>
      <w:kern w:val="44"/>
      <w:sz w:val="44"/>
      <w:szCs w:val="44"/>
    </w:rPr>
  </w:style>
  <w:style w:type="character" w:customStyle="1" w:styleId="63">
    <w:name w:val="正文文本首行缩进 2 字符"/>
    <w:basedOn w:val="46"/>
    <w:link w:val="27"/>
    <w:semiHidden/>
    <w:qFormat/>
    <w:uiPriority w:val="99"/>
    <w:rPr>
      <w:rFonts w:ascii="宋体" w:hAnsi="Times New Roman" w:eastAsia="宋体" w:cs="Times New Roman"/>
      <w:kern w:val="2"/>
      <w:sz w:val="21"/>
      <w:szCs w:val="24"/>
    </w:rPr>
  </w:style>
  <w:style w:type="paragraph" w:customStyle="1" w:styleId="64">
    <w:name w:val="样式 宋体 行距: 1.5 倍行距"/>
    <w:basedOn w:val="1"/>
    <w:qFormat/>
    <w:uiPriority w:val="0"/>
    <w:pPr>
      <w:jc w:val="center"/>
    </w:pPr>
    <w:rPr>
      <w:rFonts w:ascii="Calibri" w:hAnsi="Calibri"/>
      <w:b/>
    </w:rPr>
  </w:style>
  <w:style w:type="paragraph" w:styleId="65">
    <w:name w:val="List Paragraph"/>
    <w:basedOn w:val="1"/>
    <w:qFormat/>
    <w:uiPriority w:val="34"/>
    <w:pPr>
      <w:ind w:firstLine="420" w:firstLineChars="200"/>
    </w:pPr>
  </w:style>
  <w:style w:type="paragraph" w:customStyle="1" w:styleId="66">
    <w:name w:val="正文缩进1"/>
    <w:basedOn w:val="1"/>
    <w:qFormat/>
    <w:uiPriority w:val="0"/>
    <w:pPr>
      <w:ind w:firstLine="420" w:firstLineChars="200"/>
    </w:pPr>
  </w:style>
  <w:style w:type="paragraph" w:customStyle="1" w:styleId="67">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69">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70">
    <w:name w:val="Table Normal"/>
    <w:semiHidden/>
    <w:unhideWhenUsed/>
    <w:qFormat/>
    <w:uiPriority w:val="0"/>
    <w:tblPr>
      <w:tblCellMar>
        <w:top w:w="0" w:type="dxa"/>
        <w:left w:w="0" w:type="dxa"/>
        <w:bottom w:w="0" w:type="dxa"/>
        <w:right w:w="0" w:type="dxa"/>
      </w:tblCellMar>
    </w:tblPr>
  </w:style>
  <w:style w:type="paragraph" w:customStyle="1" w:styleId="71">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72">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6CF41-9A9D-4DB3-81AE-D954B478DF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44121</Words>
  <Characters>46276</Characters>
  <Lines>432</Lines>
  <Paragraphs>121</Paragraphs>
  <TotalTime>122</TotalTime>
  <ScaleCrop>false</ScaleCrop>
  <LinksUpToDate>false</LinksUpToDate>
  <CharactersWithSpaces>49981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2022-12-15T10:17:00Z</dcterms:created>
  <dc:creator>微软用户</dc:creator>
  <cp:lastModifiedBy>C123</cp:lastModifiedBy>
  <cp:lastPrinted>2022-12-02T03:09:00Z</cp:lastPrinted>
  <dcterms:modified xsi:type="dcterms:W3CDTF">2023-06-02T08:46:47Z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67F5EB19986446B68C74D96C775AC625</vt:lpwstr>
  </property>
  <property fmtid="{D5CDD505-2E9C-101B-9397-08002B2CF9AE}" pid="4" name="_IPGFID">
    <vt:lpwstr>[DocID]=99665AC3-27F0-4D70-84E6-F427C15B89D2</vt:lpwstr>
  </property>
  <property fmtid="{D5CDD505-2E9C-101B-9397-08002B2CF9AE}" pid="5" name="_IPGFLOW_P-B8DB_E-1_FP-1_SP-1_CV-2F8D98B3_CN-47601D03">
    <vt:lpwstr>c/o30cxK5hyudyiDpg9s3K+7a6/gnjnsDpDHO0O87Im95FY/voXDhq+5UtPtIsi+RctNrthNVAfVyDFYzMwtjUlc4KAr0a2AMPUmmmmj9/2zZLeR4QolpZydyfXheH++RiQotfdDf5jYDRdWLxP9qMOohSf+RCGPhFktrTyXC6b4pbMOxxDCSxJwNxWy9kI0urPK2KzaEktR/bxB1e7KS5n5FNa3mPFxneEg2QleQRTL8hjf6y7OY5Pj5TkT/TD</vt:lpwstr>
  </property>
  <property fmtid="{D5CDD505-2E9C-101B-9397-08002B2CF9AE}" pid="6" name="_IPGFLOW_P-B8DB_E-1_FP-1_SP-2_CV-9E058E10_CN-C747DBFD">
    <vt:lpwstr>tDfzPuFdzUz6/apmi5yN6Uml3faKqVD2Kk1he+Tw8R1v3zvXkOhOkCzVCGFYYsYaDKl3cdzp9tinF0K9s6YUfwpqI6aa6lwrl4USWcJtVUv4=</vt:lpwstr>
  </property>
  <property fmtid="{D5CDD505-2E9C-101B-9397-08002B2CF9AE}" pid="7" name="_IPGFLOW_P-B8DB_E-0_FP-1_CV-2D4294F3_CN-602ECAF1">
    <vt:lpwstr>DPSPMK|3|364|2|0</vt:lpwstr>
  </property>
  <property fmtid="{D5CDD505-2E9C-101B-9397-08002B2CF9AE}" pid="8" name="_IPGFLOW_P-B8DB_E-1_FP-2_SP-1_CV-F242C9FD_CN-33C67573">
    <vt:lpwstr>c/o30cxK5hyudyiDpg9s3AevUCJFXWk1pb19xEZewckTZ/Ov3F0PniB2FrXTJKlM/PVqSdI3pMc+s7WWaG/mGwDekIPIQAUNLIW7Rp+4dqZaLGDQIWjiLrCXur2r0A+W5iezzQR9AxR/23f2KmPwNeOAaWh/yxtoTNgRPOBXIAI0eN9BuLLXD2dY1CUfctgkYBWLxNV9qT5qmITPSkP1a7k5Gbi7NBZRFdcYn0ZSQpB3JW5GOu1pCsHbUxld+9L</vt:lpwstr>
  </property>
  <property fmtid="{D5CDD505-2E9C-101B-9397-08002B2CF9AE}" pid="9" name="_IPGFLOW_P-B8DB_E-1_FP-2_SP-2_CV-A718DCA7_CN-8E70D56F">
    <vt:lpwstr>PhmFGhuSibIuHzyO8gTGqZH5KH1cLwbvEzNdaDGFhFwDrMD0+BWWIibIINsCYCvwQFwXjbBjA+UHfb+gqnYYpxwE+SPhAHH5RFnrQym6sWWs=</vt:lpwstr>
  </property>
  <property fmtid="{D5CDD505-2E9C-101B-9397-08002B2CF9AE}" pid="10" name="_IPGFLOW_P-B8DB_E-0_FP-2_CV-2D4294F3_CN-DDE4A63F">
    <vt:lpwstr>DPSPMK|3|364|2|0</vt:lpwstr>
  </property>
  <property fmtid="{D5CDD505-2E9C-101B-9397-08002B2CF9AE}" pid="11" name="_IPGFLOW_P-B8DB_E-1_FP-3_SP-1_CV-937A635B_CN-8B72F9D3">
    <vt:lpwstr>c/o30cxK5hyudyiDpg9s3LXZvbNcZMvRCfKDlvTmZXDSFooYZO9wmcvJZshuPVHG1gQ5i1kxRV/sJUrvcFG2zGKSJ2uoX5SXd3FR58D5cQ2HDHakVFQx0eNaQAUgtz/h9IlL7VNZHWo2F2FunmvO2HaK9Wt+tvaBon6t+BGT0u+i58RYjswczbUO1GgUHBAkyat0qaQ7SOAgQhNI/+OthIp5drAsI4nxmghl+YOGsv+XNEX9NWbqQeJppUBvSfb</vt:lpwstr>
  </property>
  <property fmtid="{D5CDD505-2E9C-101B-9397-08002B2CF9AE}" pid="12" name="_IPGFLOW_P-B8DB_E-1_FP-3_SP-2_CV-7E13B740_CN-BD858CCA">
    <vt:lpwstr>S6/0DeqpafszlQ3titOpR6KvHzzMkW1VeY9q8Tk2LugY7murdsHL6YBFFaeLcYZKAiIQk04shWNRloSBrDLUjoyZlRZNYYo60DRg+powJZR4=</vt:lpwstr>
  </property>
  <property fmtid="{D5CDD505-2E9C-101B-9397-08002B2CF9AE}" pid="13" name="_IPGFLOW_P-B8DB_E-0_FP-3_CV-2D4294F3_CN-727FBA">
    <vt:lpwstr>DPSPMK|3|364|2|0</vt:lpwstr>
  </property>
  <property fmtid="{D5CDD505-2E9C-101B-9397-08002B2CF9AE}" pid="14" name="_IPGFLOW_P-B8DB_E-1_FP-4_SP-1_CV-FA54A69E_CN-DAD3FF5C">
    <vt:lpwstr>c/o30cxK5hyudyiDpg9s3O5TUWOyVeIsOKZ5OUY2kYUfZsCLeGFacPThav2D+3sXw4m7Rhjaue49M3hcjMxO36rOoEIhDV5ecXNneiqHip5+iNAoANyUzisNN+STL3+Tglhiet74H2eafWDPZU7oUhNbssauSiSAxUb+tCeXXWVtb9B7Ph08kshLH/LBVS9Ce2yW0mEE1m5tmyPqluQ9xYLPUxoggu6OUElU5m3B3nKKvn5eVczmYSllO6B9K3m</vt:lpwstr>
  </property>
  <property fmtid="{D5CDD505-2E9C-101B-9397-08002B2CF9AE}" pid="15" name="_IPGFLOW_P-B8DB_E-1_FP-4_SP-2_CV-88C830C8_CN-81670E4D">
    <vt:lpwstr>5UB6LB7ErGrgRbbFYt1Ns2jFNwch0Sj9sPT/QeisnTC39aPobFu3nhHkR7b3cxeUAUftTQtJV5vn/h2E2GUI3/dIPZNcpF00KZh4y1weiY7o=</vt:lpwstr>
  </property>
  <property fmtid="{D5CDD505-2E9C-101B-9397-08002B2CF9AE}" pid="16" name="_IPGFLOW_P-B8DB_E-0_FP-4_CV-2D4294F3_CN-7D0179E2">
    <vt:lpwstr>DPSPMK|3|364|2|0</vt:lpwstr>
  </property>
  <property fmtid="{D5CDD505-2E9C-101B-9397-08002B2CF9AE}" pid="17" name="_IPGFLOW_P-B8DB_E-1_FP-5_SP-1_CV-8760A811_CN-E5D8E947">
    <vt:lpwstr>c/o30cxK5hyudyiDpg9s3CqCxn3CtwXZ6nvfqt8pRHMNrGeWa/ODZchO3Hq56r/7+ia+LwbsewWMz1dE/wuNWiTSTcoam6hukwbOH82lkTuJaCbK8KoGKZLaNgtHtGuAmpajGIjH6+smCESCLQWYSp2HEdJC/qr09brUAvtoTeQaFSZbopcCl65lrkGo5Lkz7ftj/J/pmJ3lOsUR/KNfNRhJaSItI4Cm7Jaz6cAtjm5bqtH2JR8/D04+noBMBin</vt:lpwstr>
  </property>
  <property fmtid="{D5CDD505-2E9C-101B-9397-08002B2CF9AE}" pid="18" name="_IPGFLOW_P-B8DB_E-1_FP-5_SP-2_CV-B13E8E40_CN-27C31321">
    <vt:lpwstr>skhQTQA7bgDade8c4c8ifsas5ezmQKP0d/7oFjVSSiifi7dzw52uwyiSwVtxpA8hLcmnH0x7abpZJa02Th+DoPT520lxVqjBJhr6S4p5q0Mw=</vt:lpwstr>
  </property>
  <property fmtid="{D5CDD505-2E9C-101B-9397-08002B2CF9AE}" pid="19" name="_IPGFLOW_P-B8DB_E-0_FP-5_CV-2D4294F3_CN-A097A067">
    <vt:lpwstr>DPSPMK|3|364|2|0</vt:lpwstr>
  </property>
  <property fmtid="{D5CDD505-2E9C-101B-9397-08002B2CF9AE}" pid="20" name="_IPGFLOW_P-B8DB_E-1_FP-6_SP-1_CV-29BEB481_CN-A54D9E1B">
    <vt:lpwstr>c/o30cxK5hyudyiDpg9s3F5xZ2hORCpMrPD075RrBmvIQsuRabL0wqFfskxMc6wPg3VxwQKRG/uIUCDUQh1WEk24hPX+KRQHxSLQiwjMoQSjCEKmQlRGrLPwslQzFMXl9+FMg+gYCr9AieHa3PIDLLtjf/eF/zkKWjG2aeIS9/Yl4SYofY9a7OImOFsLdiUrVu+JZ8l120Jiyxvwbmn5TBFTL836Nd61G3jgMZGierknIsIL1KKcUkdZUxReF/v</vt:lpwstr>
  </property>
  <property fmtid="{D5CDD505-2E9C-101B-9397-08002B2CF9AE}" pid="21" name="_IPGFLOW_P-B8DB_E-1_FP-6_SP-2_CV-AD986D89_CN-6937DB98">
    <vt:lpwstr>LSnxTq4UCrS/wcwe/ExJctlAaO+iDO2h5sd0tWG/DM7JhJPoXpQR2t7xmsaAlgZU5cYhKEkUA+AUX8hA3M2RqzL2SJVR1zMcD2ZpEz9zKkvGwP+vkT2bNlQI71jl261jZ</vt:lpwstr>
  </property>
  <property fmtid="{D5CDD505-2E9C-101B-9397-08002B2CF9AE}" pid="22" name="_IPGFLOW_P-B8DB_E-0_FP-6_CV-1748F583_CN-87C097D8">
    <vt:lpwstr>DPSPMK|3|384|2|0</vt:lpwstr>
  </property>
  <property fmtid="{D5CDD505-2E9C-101B-9397-08002B2CF9AE}" pid="23" name="_IPGFLOW_P-B8DB_E-1_FP-7_SP-1_CV-D152355C_CN-97FE3CBF">
    <vt:lpwstr>c/o30cxK5hyudyiDpg9s3H7W7cEprtA9I7mMpCdgKO/2w6wEqXDeFsCmRR9q1oKjzrKINJObRQRnzzdrnYyAEGJU0naYtZ5ooMgLz29sqPrdyINdBUEuuiFCqyvxTyWsYy+B0jI59qw6kuxJOZAuNJ0xQgK2jRN1DT4WaA3lOMXnObpSzIewYrcEmHySvibc5gwEFW+Um5pHYkLSDYBWNYNJZ2Pus23TS2xMODfXxfBlDD+q96GqLPa5ftYjC6V</vt:lpwstr>
  </property>
  <property fmtid="{D5CDD505-2E9C-101B-9397-08002B2CF9AE}" pid="24" name="_IPGFLOW_P-B8DB_E-1_FP-7_SP-2_CV-9CC27DE4_CN-80E2F3B7">
    <vt:lpwstr>Z9drMKphUGEcl/CRGTgur4ZI93hd9bVUzTUlaORWpXokrkQMUstzJaBi2NNfe9PHEKMU6eUJp6OXmuqJkR9ykZGmv0FYPPPXjjPlFw9La1yw=</vt:lpwstr>
  </property>
  <property fmtid="{D5CDD505-2E9C-101B-9397-08002B2CF9AE}" pid="25" name="_IPGFLOW_P-B8DB_E-0_FP-7_CV-2D4294F3_CN-C0CB152C">
    <vt:lpwstr>DPSPMK|3|364|2|0</vt:lpwstr>
  </property>
  <property fmtid="{D5CDD505-2E9C-101B-9397-08002B2CF9AE}" pid="26" name="_IPGFLOW_P-B8DB_E-1_FP-8_SP-1_CV-4FCE0495_CN-74336B3D">
    <vt:lpwstr>FbWlWsL8ppui2QC5A1/pnC2uV9WCiYSUMKpHINlZUMuJcp2iaigcDBK9+qkHLTLJsywe7y2iYGkKr+wcOADAs/AVUXKLlQzPI/RZDO+ki1u4A2YV+wtTjrY543tX4qfrs2Ooj/Usx+N3bcuziHDK2YBNgZgXIif1g3IcQCbZveLbWZZBNVP0z/4zZdg8Dn3IF++b+37lpqkr+c8sMc3f2R8KKDHRASTVsJBl+3VyKUuQ+uqCvyn/FCW3JKkSv32</vt:lpwstr>
  </property>
  <property fmtid="{D5CDD505-2E9C-101B-9397-08002B2CF9AE}" pid="27" name="_IPGFLOW_P-B8DB_E-1_FP-8_SP-2_CV-B44A04D7_CN-4F09A3C8">
    <vt:lpwstr>6gtWb5SiD1X3oketMCuiCLmQ623uDh5VQO2RbV0w6CP4QOAptjLUuMoTLrZkR5lnwo31wJc6Vn3ix7Tj2DU4WZ0K3HTxAhHLDec2ht0Dd2I4=</vt:lpwstr>
  </property>
  <property fmtid="{D5CDD505-2E9C-101B-9397-08002B2CF9AE}" pid="28" name="_IPGFLOW_P-B8DB_E-0_FP-8_CV-2D4294F3_CN-E7BBC019">
    <vt:lpwstr>DPSPMK|3|364|2|0</vt:lpwstr>
  </property>
  <property fmtid="{D5CDD505-2E9C-101B-9397-08002B2CF9AE}" pid="29" name="_IPGFLOW_P-B8DB_E-1_FP-9_SP-1_CV-2E3BF4C_CN-6B980FF1">
    <vt:lpwstr>FbWlWsL8ppui2QC5A1/pnCALLCcMPvetdtCPOLD0apfzEPNrtvAqmx68RbYpizAHnkPw9wl24XGihBMxf8RS+xLykqvt0g7oV6ujtwk7EpB4hrnu7fY2P1Krt5cj1U1rbK0955nTg6K62d4hFfiwwig4P/OtmOJ6fKyu0V3aTwK0KiOeQaJWiikz1GcHnNoht+dEWj6oT6Syc7UDie8jL7TNwB1dRMAQlxNA8ARKTTJbry3ydb56pEO8Evf5T1K</vt:lpwstr>
  </property>
  <property fmtid="{D5CDD505-2E9C-101B-9397-08002B2CF9AE}" pid="30" name="_IPGFLOW_P-B8DB_E-1_FP-9_SP-2_CV-96D2D2C6_CN-AB38F330">
    <vt:lpwstr>xW2RCL1fT7766mnOY+LmVqT02kOh5Ya8jK1dRDbPxUQO4RqqTwdMWxb2xPS1p12jkGN/G7tCcIQQv9a6OM2UnqpetFc3xzftRo0W6qVE9LXc=</vt:lpwstr>
  </property>
  <property fmtid="{D5CDD505-2E9C-101B-9397-08002B2CF9AE}" pid="31" name="_IPGFLOW_P-B8DB_E-0_FP-9_CV-2D4294F3_CN-3A2D199C">
    <vt:lpwstr>DPSPMK|3|364|2|0</vt:lpwstr>
  </property>
  <property fmtid="{D5CDD505-2E9C-101B-9397-08002B2CF9AE}" pid="32" name="_IPGFLOW_P-B8DB_E-1_FP-A_SP-1_CV-2543FB4D_CN-B286D8FA">
    <vt:lpwstr>FbWlWsL8ppui2QC5A1/pnLPAlHqeRSgpe9Skdl6qE6pBchlahMt2q9HdL1JyuOD8pIHJNUrq4SL3DP20KnUTET0JvNJvM5j66FA1aSTPyGYB6AH1MYQod6lVzIMHprEdGkptiTlyHowD9hVzcNSeYva4jFJq1KSHdThqWNPdPu+25csD1Us8U3jRDjfPU3KXzenUwR7a08zZoQmsWQOIb215eDToYe4lxrlkuH38DIspFkaVlWREEawYGSAFv/P</vt:lpwstr>
  </property>
  <property fmtid="{D5CDD505-2E9C-101B-9397-08002B2CF9AE}" pid="33" name="_IPGFLOW_P-B8DB_E-1_FP-A_SP-2_CV-6B9F4661_CN-AFF267A0">
    <vt:lpwstr>1rJivnm/CUhzG364ZWxeW+s7pRdbBgTUN9KB7T9WrY+BThvImqohNADDo1ZEvK0vloFad2AcCM3NEEnOg8nkUcTEfcwOcU50HkgL6wAacvrI=</vt:lpwstr>
  </property>
  <property fmtid="{D5CDD505-2E9C-101B-9397-08002B2CF9AE}" pid="34" name="_IPGFLOW_P-B8DB_E-0_FP-A_CV-2D4294F3_CN-DADAB675">
    <vt:lpwstr>DPSPMK|3|364|2|0</vt:lpwstr>
  </property>
  <property fmtid="{D5CDD505-2E9C-101B-9397-08002B2CF9AE}" pid="35" name="_IPGFLOW_P-B8DB_E-1_FP-B_SP-1_CV-F67AD2FF_CN-498B9BED">
    <vt:lpwstr>FbWlWsL8ppui2QC5A1/pnP6xB4ArOoAsXxGmzCkXa5UD6/OBT/1ldVNKfyAt6hCw7ahW3SXPHlOg9iZ01jUXjFOfdpd+H+oZ6rIcp7Sci2JGjn9UcRzEVgXv6HBf8fmitN5ais0zOSDNJJWcfPHKFkXUgFv5DfRkP2JU+aXwbQ6MVHvKsui4K3mrVJD3DPaD8oxOZG+ZLiXFErkoTOtG4qNqklgT6JlRUcWC3QKc0f9RTzyFnQ0LEVH7Kt1Nkwg</vt:lpwstr>
  </property>
  <property fmtid="{D5CDD505-2E9C-101B-9397-08002B2CF9AE}" pid="36" name="_IPGFLOW_P-B8DB_E-1_FP-B_SP-2_CV-97A07C4A_CN-915BDBCA">
    <vt:lpwstr>+UgB0BsUMrdEGACiCIIXvkqzfB8aNRY+GXRw16RO+zPvHp1SjdcG4CjFFKu0kan6C70J6oE8nhZX8vZP9Gx4dMz7MJWvZFAvWpdqTswP98x4=</vt:lpwstr>
  </property>
  <property fmtid="{D5CDD505-2E9C-101B-9397-08002B2CF9AE}" pid="37" name="_IPGFLOW_P-B8DB_E-0_FP-B_CV-2D4294F3_CN-6710DABB">
    <vt:lpwstr>DPSPMK|3|364|2|0</vt:lpwstr>
  </property>
  <property fmtid="{D5CDD505-2E9C-101B-9397-08002B2CF9AE}" pid="38" name="_IPGFLOW_P-B8DB_E-1_FP-C_SP-1_CV-CAE8ECCD_CN-B2813D2">
    <vt:lpwstr>nWrOKTXzE5lZh3TMCumGY3x+L/CYpYhgSGZ3n6w7yF+dwBTf+LqoPDkmsPqf8eRQi9GVxlmJd4nvj2hAW0GqrmGCZOHAJhI/alkLCNGBoY0L1lVwhgAlaNDmBQ5D78la/njLjjyguBAMcYM6aIa83HFGrAOKDR+MnlogdPPCV+nyiqMYXN6qGX9oU09WGPt0gLm3zG/tJLFHyFiWuePzM1Mp6IVvEFDOCUBvx0rXr9R9fbQpzGBc52NrQJ2UsUq</vt:lpwstr>
  </property>
  <property fmtid="{D5CDD505-2E9C-101B-9397-08002B2CF9AE}" pid="39" name="_IPGFLOW_P-B8DB_E-1_FP-C_SP-2_CV-A1FDCD10_CN-C85C3022">
    <vt:lpwstr>GqsM5xyJaDMyhyT+ddaN2o9NcwTMIDTSFWY6VGf7mc63e5SJLWWx5pQwPZZlpB9Jhj1z0JpICEBWqKNC8cG86hyIfwqJbji1SuDlfCuq0PkM=</vt:lpwstr>
  </property>
  <property fmtid="{D5CDD505-2E9C-101B-9397-08002B2CF9AE}" pid="40" name="_IPGFLOW_P-B8DB_E-0_FP-C_CV-2D4294F3_CN-BA86033E">
    <vt:lpwstr>DPSPMK|3|364|2|0</vt:lpwstr>
  </property>
  <property fmtid="{D5CDD505-2E9C-101B-9397-08002B2CF9AE}" pid="41" name="_IPGFLOW_P-B8DB_E-1_FP-D_SP-1_CV-5B918507_CN-C41652E7">
    <vt:lpwstr>nWrOKTXzE5lZh3TMCumGY1lBC5ER9jkp2FnbfIRLkAVyP1RCqhv8fOFJ6d8mz4w8XWGJwmjGZLT0UAAICO7hxWpER0F6At/2W7Uy647/tZy7nqZlk9iHIiacJs5oK7jj9hU0shLw1+JVxjAoljao6lz93ie2+8OtcjXFzcQTvjoLTnH+gY7+zwG9Ef+PxjZK/j6mG//5TA0TeGrunxbFN1imeG2qqfkTpRale3etfD3eNrr1lrzOMewXXegUrh/</vt:lpwstr>
  </property>
  <property fmtid="{D5CDD505-2E9C-101B-9397-08002B2CF9AE}" pid="42" name="_IPGFLOW_P-B8DB_E-1_FP-D_SP-2_CV-8DF6556F_CN-4A6F4337">
    <vt:lpwstr>HCEtSgV9ClByNh/mU/gj/7fnDde64UR4iH8TA9Otj+70UYNPLiAbsgJfvsxI0u0oIItKXZUGXVSbpNCi0JUXD6c3HPpHQfryzwDYcfMOmzc4=</vt:lpwstr>
  </property>
  <property fmtid="{D5CDD505-2E9C-101B-9397-08002B2CF9AE}" pid="43" name="_IPGFLOW_P-B8DB_E-0_FP-D_CV-2D4294F3_CN-C7F50566">
    <vt:lpwstr>DPSPMK|3|364|2|0</vt:lpwstr>
  </property>
  <property fmtid="{D5CDD505-2E9C-101B-9397-08002B2CF9AE}" pid="44" name="_IPGFLOW_P-B8DB_E-0_CV-7FAAFF0F_CN-9461C7C5">
    <vt:lpwstr>DPFPMK|3|50|14|0</vt:lpwstr>
  </property>
  <property fmtid="{D5CDD505-2E9C-101B-9397-08002B2CF9AE}" pid="45" name="_IPGFLOW_P-B8DB_E-1_FP-E_SP-1_CV-7A3A9BDA_CN-1BF74B04">
    <vt:lpwstr>nWrOKTXzE5lZh3TMCumGY5LV2MF8NWnN6K6HODqf2PnaSQL8qCiF+ivNhGWwLFbF9HjAFv9PPs+YfeHuWEVGerANznBkVjhIPWe9SVeSIj0LBf+++aCgaxKDdDB8sVo01JPMOT8+1pORhYj0K8Qa7sb4IxacNqVtPY0OlGB6uFDs78jlDG+AHPBbn2jJPYaRZLAoB9opuP+8v+TzEKdx9/ECk/EaAQqo+a7sVhehA/F8vZGrErNYTSAXsryS+Fx</vt:lpwstr>
  </property>
  <property fmtid="{D5CDD505-2E9C-101B-9397-08002B2CF9AE}" pid="46" name="_IPGFLOW_P-B8DB_E-1_FP-E_SP-2_CV-8C12D64F_CN-60CE4BC3">
    <vt:lpwstr>tUs263HbZWmxjbfrk1Xx8NzSZbOMfDQZxG1Mgp+bXNhCyV+S0dbNBUkZIauF1TnT1O3/qd+WaRa6p/EWzk9oAR1zi280UV6GA+Jf3iq3vBUbrgmDk3wHJyrYWFzxNTcvl</vt:lpwstr>
  </property>
  <property fmtid="{D5CDD505-2E9C-101B-9397-08002B2CF9AE}" pid="47" name="_IPGFLOW_P-B8DB_E-0_FP-E_CV-1748F583_CN-80FE8792">
    <vt:lpwstr>DPSPMK|3|384|2|0</vt:lpwstr>
  </property>
</Properties>
</file>