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b/>
          <w:bCs/>
          <w:color w:val="auto"/>
          <w:sz w:val="30"/>
          <w:szCs w:val="30"/>
          <w:highlight w:val="none"/>
        </w:rPr>
      </w:pPr>
      <w:bookmarkStart w:id="0" w:name="_Toc27365_WPSOffice_Level2"/>
      <w:bookmarkStart w:id="1" w:name="_Toc30863_WPSOffice_Level2"/>
      <w:bookmarkStart w:id="2" w:name="_Toc15417_WPSOffice_Level2"/>
      <w:bookmarkStart w:id="3" w:name="_Toc12770_WPSOffice_Level2"/>
      <w:r>
        <w:rPr>
          <w:rFonts w:hint="eastAsia"/>
          <w:b/>
          <w:bCs/>
          <w:color w:val="auto"/>
          <w:sz w:val="30"/>
          <w:szCs w:val="30"/>
          <w:highlight w:val="none"/>
        </w:rPr>
        <w:t>附件 2 ：资格审查条件附录 1 至附录 4</w:t>
      </w:r>
      <w:bookmarkEnd w:id="0"/>
      <w:bookmarkEnd w:id="1"/>
      <w:bookmarkEnd w:id="2"/>
      <w:bookmarkEnd w:id="3"/>
      <w:r>
        <w:rPr>
          <w:rFonts w:hint="eastAsia"/>
          <w:b/>
          <w:bCs/>
          <w:color w:val="auto"/>
          <w:sz w:val="30"/>
          <w:szCs w:val="30"/>
          <w:highlight w:val="none"/>
        </w:rPr>
        <w:t xml:space="preserve"> </w:t>
      </w:r>
    </w:p>
    <w:p>
      <w:pPr>
        <w:spacing w:line="360" w:lineRule="auto"/>
        <w:ind w:firstLine="480" w:firstLineChars="200"/>
        <w:jc w:val="both"/>
        <w:rPr>
          <w:color w:val="auto"/>
          <w:sz w:val="24"/>
          <w:szCs w:val="24"/>
          <w:highlight w:val="none"/>
        </w:rPr>
      </w:pPr>
    </w:p>
    <w:p>
      <w:pPr>
        <w:spacing w:line="360" w:lineRule="auto"/>
        <w:jc w:val="center"/>
        <w:rPr>
          <w:b/>
          <w:bCs/>
          <w:color w:val="auto"/>
          <w:sz w:val="28"/>
          <w:szCs w:val="28"/>
          <w:highlight w:val="none"/>
        </w:rPr>
      </w:pPr>
      <w:bookmarkStart w:id="4" w:name="_Toc9251_WPSOffice_Level2"/>
      <w:bookmarkStart w:id="5" w:name="_Toc24143_WPSOffice_Level2"/>
      <w:bookmarkStart w:id="6" w:name="_Toc23765_WPSOffice_Level2"/>
      <w:bookmarkStart w:id="7" w:name="_Toc23874_WPSOffice_Level2"/>
      <w:r>
        <w:rPr>
          <w:rFonts w:hint="eastAsia"/>
          <w:b/>
          <w:bCs/>
          <w:color w:val="auto"/>
          <w:sz w:val="30"/>
          <w:szCs w:val="30"/>
          <w:highlight w:val="none"/>
        </w:rPr>
        <w:t>附录 1 资格审查条件(资质最低要求)</w:t>
      </w:r>
      <w:bookmarkEnd w:id="4"/>
      <w:bookmarkEnd w:id="5"/>
      <w:bookmarkEnd w:id="6"/>
      <w:bookmarkEnd w:id="7"/>
      <w:r>
        <w:rPr>
          <w:rFonts w:hint="eastAsia"/>
          <w:b/>
          <w:bCs/>
          <w:color w:val="auto"/>
          <w:sz w:val="28"/>
          <w:szCs w:val="28"/>
          <w:highlight w:val="none"/>
        </w:rPr>
        <w:t xml:space="preserve"> </w:t>
      </w:r>
    </w:p>
    <w:p>
      <w:pPr>
        <w:spacing w:line="360" w:lineRule="auto"/>
        <w:ind w:firstLine="480" w:firstLineChars="200"/>
        <w:jc w:val="center"/>
        <w:rPr>
          <w:b/>
          <w:bCs/>
          <w:color w:val="auto"/>
          <w:sz w:val="24"/>
          <w:szCs w:val="24"/>
          <w:highlight w:val="none"/>
        </w:rPr>
      </w:pPr>
    </w:p>
    <w:tbl>
      <w:tblPr>
        <w:tblStyle w:val="7"/>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3" w:hRule="atLeast"/>
        </w:trPr>
        <w:tc>
          <w:tcPr>
            <w:tcW w:w="8516" w:type="dxa"/>
            <w:vAlign w:val="center"/>
          </w:tcPr>
          <w:p>
            <w:pPr>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bCs/>
                <w:color w:val="auto"/>
                <w:szCs w:val="21"/>
                <w:highlight w:val="none"/>
                <w:lang w:val="en-US"/>
              </w:rPr>
              <w:t>一、勘察设计</w:t>
            </w:r>
            <w:r>
              <w:rPr>
                <w:rFonts w:hint="eastAsia" w:asciiTheme="minorEastAsia" w:hAnsiTheme="minorEastAsia" w:eastAsiaTheme="minorEastAsia" w:cstheme="minorEastAsia"/>
                <w:b/>
                <w:bCs/>
                <w:color w:val="auto"/>
                <w:szCs w:val="21"/>
                <w:highlight w:val="none"/>
              </w:rPr>
              <w:t>资质</w:t>
            </w:r>
            <w:r>
              <w:rPr>
                <w:rFonts w:hint="eastAsia" w:asciiTheme="minorEastAsia" w:hAnsiTheme="minorEastAsia" w:eastAsiaTheme="minorEastAsia" w:cstheme="minorEastAsia"/>
                <w:b/>
                <w:bCs/>
                <w:color w:val="auto"/>
                <w:szCs w:val="21"/>
                <w:highlight w:val="none"/>
                <w:lang w:val="en-US"/>
              </w:rPr>
              <w:t>等级</w:t>
            </w:r>
            <w:r>
              <w:rPr>
                <w:rFonts w:hint="eastAsia" w:asciiTheme="minorEastAsia" w:hAnsiTheme="minorEastAsia" w:eastAsiaTheme="minorEastAsia" w:cstheme="minorEastAsia"/>
                <w:b/>
                <w:bCs/>
                <w:color w:val="auto"/>
                <w:szCs w:val="21"/>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3" w:hRule="atLeast"/>
        </w:trPr>
        <w:tc>
          <w:tcPr>
            <w:tcW w:w="8516" w:type="dxa"/>
            <w:vAlign w:val="center"/>
          </w:tcPr>
          <w:p>
            <w:pPr>
              <w:spacing w:line="360" w:lineRule="auto"/>
              <w:ind w:firstLine="48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具备住房和城乡建设部门核发的在有效期内的下列资质：</w:t>
            </w:r>
          </w:p>
          <w:p>
            <w:pPr>
              <w:spacing w:line="360" w:lineRule="auto"/>
              <w:ind w:firstLine="480"/>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 w:val="21"/>
                <w:szCs w:val="21"/>
                <w:highlight w:val="none"/>
              </w:rPr>
              <w:t>工程设计综合甲级资质或工程设计公路行业</w:t>
            </w:r>
            <w:r>
              <w:rPr>
                <w:rFonts w:hint="eastAsia" w:asciiTheme="minorEastAsia" w:hAnsiTheme="minorEastAsia" w:eastAsiaTheme="minorEastAsia" w:cstheme="minorEastAsia"/>
                <w:color w:val="auto"/>
                <w:sz w:val="21"/>
                <w:szCs w:val="21"/>
                <w:highlight w:val="none"/>
                <w:lang w:val="en-US"/>
              </w:rPr>
              <w:t>丙</w:t>
            </w:r>
            <w:r>
              <w:rPr>
                <w:rFonts w:hint="eastAsia" w:asciiTheme="minorEastAsia" w:hAnsiTheme="minorEastAsia" w:eastAsiaTheme="minorEastAsia" w:cstheme="minorEastAsia"/>
                <w:color w:val="auto"/>
                <w:sz w:val="21"/>
                <w:szCs w:val="21"/>
                <w:highlight w:val="none"/>
              </w:rPr>
              <w:t>级</w:t>
            </w:r>
            <w:r>
              <w:rPr>
                <w:rFonts w:hint="eastAsia" w:asciiTheme="minorEastAsia" w:hAnsiTheme="minorEastAsia" w:eastAsiaTheme="minorEastAsia" w:cstheme="minorEastAsia"/>
                <w:color w:val="auto"/>
                <w:sz w:val="21"/>
                <w:szCs w:val="21"/>
                <w:highlight w:val="none"/>
                <w:lang w:val="en-US"/>
              </w:rPr>
              <w:t>(或以上)</w:t>
            </w:r>
            <w:r>
              <w:rPr>
                <w:rFonts w:hint="eastAsia" w:asciiTheme="minorEastAsia" w:hAnsiTheme="minorEastAsia" w:eastAsiaTheme="minorEastAsia" w:cstheme="minorEastAsia"/>
                <w:color w:val="auto"/>
                <w:sz w:val="21"/>
                <w:szCs w:val="21"/>
                <w:highlight w:val="none"/>
              </w:rPr>
              <w:t>资质或工程设计公路行业（公路）专业</w:t>
            </w:r>
            <w:r>
              <w:rPr>
                <w:rFonts w:hint="eastAsia" w:asciiTheme="minorEastAsia" w:hAnsiTheme="minorEastAsia" w:eastAsiaTheme="minorEastAsia" w:cstheme="minorEastAsia"/>
                <w:color w:val="auto"/>
                <w:sz w:val="21"/>
                <w:szCs w:val="21"/>
                <w:highlight w:val="none"/>
                <w:lang w:val="en-US"/>
              </w:rPr>
              <w:t>丙</w:t>
            </w:r>
            <w:r>
              <w:rPr>
                <w:rFonts w:hint="eastAsia" w:asciiTheme="minorEastAsia" w:hAnsiTheme="minorEastAsia" w:eastAsiaTheme="minorEastAsia" w:cstheme="minorEastAsia"/>
                <w:color w:val="auto"/>
                <w:sz w:val="21"/>
                <w:szCs w:val="21"/>
                <w:highlight w:val="none"/>
              </w:rPr>
              <w:t>级</w:t>
            </w:r>
            <w:r>
              <w:rPr>
                <w:rFonts w:hint="eastAsia" w:asciiTheme="minorEastAsia" w:hAnsiTheme="minorEastAsia" w:eastAsiaTheme="minorEastAsia" w:cstheme="minorEastAsia"/>
                <w:color w:val="auto"/>
                <w:sz w:val="21"/>
                <w:szCs w:val="21"/>
                <w:highlight w:val="none"/>
                <w:lang w:val="en-US"/>
              </w:rPr>
              <w:t>(或以上)</w:t>
            </w:r>
            <w:r>
              <w:rPr>
                <w:rFonts w:hint="eastAsia" w:asciiTheme="minorEastAsia" w:hAnsiTheme="minorEastAsia" w:eastAsiaTheme="minorEastAsia" w:cstheme="minorEastAsia"/>
                <w:color w:val="auto"/>
                <w:sz w:val="21"/>
                <w:szCs w:val="21"/>
                <w:highlight w:val="none"/>
              </w:rPr>
              <w:t>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3" w:hRule="atLeast"/>
        </w:trPr>
        <w:tc>
          <w:tcPr>
            <w:tcW w:w="8516" w:type="dxa"/>
            <w:vAlign w:val="center"/>
          </w:tcPr>
          <w:p>
            <w:pPr>
              <w:spacing w:line="360" w:lineRule="auto"/>
              <w:ind w:firstLine="48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lang w:val="en-US"/>
              </w:rPr>
              <w:t>二、施工</w:t>
            </w:r>
            <w:r>
              <w:rPr>
                <w:rFonts w:hint="eastAsia" w:asciiTheme="minorEastAsia" w:hAnsiTheme="minorEastAsia" w:eastAsiaTheme="minorEastAsia" w:cstheme="minorEastAsia"/>
                <w:b/>
                <w:bCs/>
                <w:color w:val="auto"/>
                <w:szCs w:val="21"/>
                <w:highlight w:val="none"/>
              </w:rPr>
              <w:t>资质</w:t>
            </w:r>
            <w:r>
              <w:rPr>
                <w:rFonts w:hint="eastAsia" w:asciiTheme="minorEastAsia" w:hAnsiTheme="minorEastAsia" w:eastAsiaTheme="minorEastAsia" w:cstheme="minorEastAsia"/>
                <w:b/>
                <w:bCs/>
                <w:color w:val="auto"/>
                <w:szCs w:val="21"/>
                <w:highlight w:val="none"/>
                <w:lang w:val="en-US"/>
              </w:rPr>
              <w:t>等级</w:t>
            </w:r>
            <w:r>
              <w:rPr>
                <w:rFonts w:hint="eastAsia" w:asciiTheme="minorEastAsia" w:hAnsiTheme="minorEastAsia" w:eastAsiaTheme="minorEastAsia" w:cstheme="minorEastAsia"/>
                <w:b/>
                <w:bCs/>
                <w:color w:val="auto"/>
                <w:szCs w:val="21"/>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32" w:hRule="atLeast"/>
        </w:trPr>
        <w:tc>
          <w:tcPr>
            <w:tcW w:w="8516" w:type="dxa"/>
            <w:vAlign w:val="center"/>
          </w:tcPr>
          <w:p>
            <w:pPr>
              <w:spacing w:line="360" w:lineRule="auto"/>
              <w:ind w:firstLine="480"/>
              <w:rPr>
                <w:rFonts w:asciiTheme="minorEastAsia" w:hAnsiTheme="minorEastAsia" w:eastAsiaTheme="minorEastAsia" w:cstheme="minorEastAsia"/>
                <w:color w:val="auto"/>
                <w:szCs w:val="21"/>
                <w:highlight w:val="none"/>
                <w:lang w:val="en-US"/>
              </w:rPr>
            </w:pPr>
            <w:r>
              <w:rPr>
                <w:rFonts w:hint="eastAsia" w:asciiTheme="minorEastAsia" w:hAnsiTheme="minorEastAsia" w:eastAsiaTheme="minorEastAsia" w:cstheme="minorEastAsia"/>
                <w:color w:val="auto"/>
                <w:szCs w:val="21"/>
                <w:highlight w:val="none"/>
              </w:rPr>
              <w:t>具备住房和城乡建设部门核发的在有效期内的公路工程施工总承包</w:t>
            </w:r>
            <w:r>
              <w:rPr>
                <w:rFonts w:hint="eastAsia" w:asciiTheme="minorEastAsia" w:hAnsiTheme="minorEastAsia" w:eastAsiaTheme="minorEastAsia" w:cstheme="minorEastAsia"/>
                <w:color w:val="auto"/>
                <w:szCs w:val="21"/>
                <w:highlight w:val="none"/>
                <w:lang w:val="en-US"/>
              </w:rPr>
              <w:t>三</w:t>
            </w:r>
            <w:r>
              <w:rPr>
                <w:rFonts w:hint="eastAsia" w:asciiTheme="minorEastAsia" w:hAnsiTheme="minorEastAsia" w:eastAsiaTheme="minorEastAsia" w:cstheme="minorEastAsia"/>
                <w:color w:val="auto"/>
                <w:szCs w:val="21"/>
                <w:highlight w:val="none"/>
              </w:rPr>
              <w:t>级</w:t>
            </w:r>
            <w:r>
              <w:rPr>
                <w:rFonts w:hint="eastAsia" w:asciiTheme="minorEastAsia" w:hAnsiTheme="minorEastAsia" w:eastAsiaTheme="minorEastAsia" w:cstheme="minorEastAsia"/>
                <w:color w:val="auto"/>
                <w:szCs w:val="21"/>
                <w:highlight w:val="none"/>
                <w:lang w:val="en-US"/>
              </w:rPr>
              <w:t>或以上</w:t>
            </w:r>
            <w:r>
              <w:rPr>
                <w:rFonts w:hint="eastAsia" w:asciiTheme="minorEastAsia" w:hAnsiTheme="minorEastAsia" w:eastAsiaTheme="minorEastAsia" w:cstheme="minorEastAsia"/>
                <w:color w:val="auto"/>
                <w:szCs w:val="21"/>
                <w:highlight w:val="none"/>
              </w:rPr>
              <w:t>资质</w:t>
            </w:r>
            <w:r>
              <w:rPr>
                <w:rFonts w:hint="eastAsia" w:asciiTheme="minorEastAsia" w:hAnsiTheme="minorEastAsia" w:eastAsiaTheme="minorEastAsia" w:cstheme="minorEastAsia"/>
                <w:color w:val="auto"/>
                <w:szCs w:val="21"/>
                <w:highlight w:val="none"/>
                <w:lang w:val="en-US"/>
              </w:rPr>
              <w:t>，同时具备</w:t>
            </w:r>
            <w:r>
              <w:rPr>
                <w:rFonts w:hint="eastAsia" w:asciiTheme="minorEastAsia" w:hAnsiTheme="minorEastAsia" w:eastAsiaTheme="minorEastAsia" w:cstheme="minorEastAsia"/>
                <w:color w:val="auto"/>
                <w:szCs w:val="21"/>
                <w:highlight w:val="none"/>
              </w:rPr>
              <w:t>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20" w:hRule="atLeast"/>
        </w:trPr>
        <w:tc>
          <w:tcPr>
            <w:tcW w:w="8516" w:type="dxa"/>
            <w:vAlign w:val="center"/>
          </w:tcPr>
          <w:p>
            <w:pPr>
              <w:spacing w:line="360" w:lineRule="auto"/>
              <w:ind w:firstLine="44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承担施工任务的联合体成员方需在交通运输部《全国公路建设市场信用信息管理系统》网站中“公路工程施工资质企业名录”（以下简称“名录”）中。承担设计任务的联合体成员方需在交通运输部《全国公路建设市场信用信息管理系统》网站中 “公路工程设计资质企业名录”（以下简称“名录”）中，对于未列入“名录”或投标人名称、资质信息与“名录”查询结果不符的，将不能通过资格审查。</w:t>
            </w:r>
          </w:p>
        </w:tc>
      </w:tr>
    </w:tbl>
    <w:p>
      <w:pPr>
        <w:spacing w:line="360" w:lineRule="auto"/>
        <w:ind w:firstLine="480" w:firstLineChars="200"/>
        <w:jc w:val="center"/>
        <w:rPr>
          <w:b/>
          <w:bCs/>
          <w:color w:val="auto"/>
          <w:sz w:val="24"/>
          <w:szCs w:val="24"/>
          <w:highlight w:val="none"/>
        </w:rPr>
      </w:pPr>
    </w:p>
    <w:p>
      <w:pPr>
        <w:spacing w:line="360" w:lineRule="auto"/>
        <w:ind w:firstLine="480" w:firstLineChars="200"/>
        <w:jc w:val="center"/>
        <w:rPr>
          <w:b/>
          <w:bCs/>
          <w:color w:val="auto"/>
          <w:sz w:val="24"/>
          <w:szCs w:val="24"/>
          <w:highlight w:val="none"/>
        </w:rPr>
      </w:pPr>
    </w:p>
    <w:p>
      <w:pPr>
        <w:rPr>
          <w:b/>
          <w:bCs/>
          <w:color w:val="auto"/>
          <w:sz w:val="24"/>
          <w:szCs w:val="24"/>
          <w:highlight w:val="none"/>
        </w:rPr>
      </w:pPr>
    </w:p>
    <w:p>
      <w:pPr>
        <w:rPr>
          <w:b/>
          <w:bCs/>
          <w:color w:val="auto"/>
          <w:sz w:val="24"/>
          <w:szCs w:val="24"/>
          <w:highlight w:val="none"/>
        </w:rPr>
      </w:pPr>
    </w:p>
    <w:p>
      <w:pPr>
        <w:rPr>
          <w:b/>
          <w:bCs/>
          <w:color w:val="auto"/>
          <w:sz w:val="24"/>
          <w:szCs w:val="24"/>
          <w:highlight w:val="none"/>
        </w:rPr>
      </w:pPr>
    </w:p>
    <w:p>
      <w:pPr>
        <w:rPr>
          <w:b/>
          <w:bCs/>
          <w:color w:val="auto"/>
          <w:sz w:val="24"/>
          <w:szCs w:val="24"/>
          <w:highlight w:val="none"/>
        </w:rPr>
      </w:pPr>
    </w:p>
    <w:p>
      <w:pPr>
        <w:rPr>
          <w:b/>
          <w:bCs/>
          <w:color w:val="auto"/>
          <w:sz w:val="24"/>
          <w:szCs w:val="24"/>
          <w:highlight w:val="none"/>
        </w:rPr>
      </w:pPr>
    </w:p>
    <w:p>
      <w:pPr>
        <w:ind w:firstLine="480" w:firstLineChars="200"/>
        <w:jc w:val="both"/>
        <w:rPr>
          <w:b/>
          <w:bCs/>
          <w:color w:val="auto"/>
          <w:sz w:val="24"/>
          <w:szCs w:val="24"/>
          <w:highlight w:val="none"/>
        </w:rPr>
      </w:pPr>
      <w:r>
        <w:rPr>
          <w:rFonts w:hint="eastAsia"/>
          <w:b/>
          <w:bCs/>
          <w:color w:val="auto"/>
          <w:sz w:val="24"/>
          <w:szCs w:val="24"/>
          <w:highlight w:val="none"/>
        </w:rPr>
        <w:br w:type="page"/>
      </w:r>
    </w:p>
    <w:p>
      <w:pPr>
        <w:spacing w:line="360" w:lineRule="auto"/>
        <w:jc w:val="center"/>
        <w:rPr>
          <w:b/>
          <w:bCs/>
          <w:color w:val="auto"/>
          <w:sz w:val="30"/>
          <w:szCs w:val="30"/>
          <w:highlight w:val="none"/>
        </w:rPr>
      </w:pPr>
    </w:p>
    <w:p>
      <w:pPr>
        <w:spacing w:line="360" w:lineRule="auto"/>
        <w:jc w:val="center"/>
        <w:rPr>
          <w:b/>
          <w:bCs/>
          <w:color w:val="auto"/>
          <w:sz w:val="28"/>
          <w:szCs w:val="28"/>
          <w:highlight w:val="none"/>
        </w:rPr>
      </w:pPr>
      <w:bookmarkStart w:id="8" w:name="_Toc19828_WPSOffice_Level2"/>
      <w:bookmarkStart w:id="9" w:name="_Toc15246_WPSOffice_Level2"/>
      <w:bookmarkStart w:id="10" w:name="_Toc10513_WPSOffice_Level2"/>
      <w:bookmarkStart w:id="11" w:name="_Toc8360_WPSOffice_Level2"/>
      <w:r>
        <w:rPr>
          <w:rFonts w:hint="eastAsia"/>
          <w:b/>
          <w:bCs/>
          <w:color w:val="auto"/>
          <w:sz w:val="30"/>
          <w:szCs w:val="30"/>
          <w:highlight w:val="none"/>
        </w:rPr>
        <w:t>附录 2 资格审查条件(财务最低要求)</w:t>
      </w:r>
      <w:bookmarkEnd w:id="8"/>
      <w:bookmarkEnd w:id="9"/>
      <w:bookmarkEnd w:id="10"/>
      <w:bookmarkEnd w:id="11"/>
      <w:r>
        <w:rPr>
          <w:rFonts w:hint="eastAsia"/>
          <w:b/>
          <w:bCs/>
          <w:color w:val="auto"/>
          <w:sz w:val="28"/>
          <w:szCs w:val="28"/>
          <w:highlight w:val="none"/>
        </w:rPr>
        <w:t xml:space="preserve"> </w:t>
      </w:r>
    </w:p>
    <w:p>
      <w:pPr>
        <w:spacing w:line="360" w:lineRule="auto"/>
        <w:ind w:firstLine="480" w:firstLineChars="200"/>
        <w:jc w:val="center"/>
        <w:rPr>
          <w:b/>
          <w:bCs/>
          <w:color w:val="auto"/>
          <w:sz w:val="24"/>
          <w:szCs w:val="24"/>
          <w:highlight w:val="none"/>
        </w:rPr>
      </w:pPr>
    </w:p>
    <w:tbl>
      <w:tblPr>
        <w:tblStyle w:val="8"/>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67" w:type="dxa"/>
            <w:vAlign w:val="center"/>
          </w:tcPr>
          <w:p>
            <w:pPr>
              <w:spacing w:line="360" w:lineRule="auto"/>
              <w:jc w:val="center"/>
              <w:rPr>
                <w:rFonts w:ascii="Times New Roman" w:hAnsi="Times New Roman" w:cs="Times New Roman" w:eastAsiaTheme="minorEastAsia"/>
                <w:color w:val="auto"/>
                <w:sz w:val="24"/>
                <w:szCs w:val="24"/>
                <w:highlight w:val="none"/>
              </w:rPr>
            </w:pPr>
            <w:r>
              <w:rPr>
                <w:rFonts w:ascii="Times New Roman" w:hAnsi="Times New Roman" w:cs="Times New Roman" w:eastAsiaTheme="minorEastAsia"/>
                <w:b/>
                <w:bCs/>
                <w:color w:val="auto"/>
                <w:sz w:val="24"/>
                <w:szCs w:val="24"/>
                <w:highlight w:val="none"/>
              </w:rPr>
              <w:t>财务最低要求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5" w:hRule="atLeast"/>
          <w:jc w:val="center"/>
        </w:trPr>
        <w:tc>
          <w:tcPr>
            <w:tcW w:w="8967" w:type="dxa"/>
            <w:vAlign w:val="center"/>
          </w:tcPr>
          <w:p>
            <w:pPr>
              <w:spacing w:line="360" w:lineRule="auto"/>
              <w:jc w:val="left"/>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z w:val="21"/>
                <w:szCs w:val="21"/>
                <w:highlight w:val="none"/>
              </w:rPr>
              <w:t>1.</w:t>
            </w:r>
            <w:r>
              <w:rPr>
                <w:rFonts w:ascii="Times New Roman" w:hAnsi="Times New Roman" w:cs="Times New Roman" w:eastAsiaTheme="minorEastAsia"/>
                <w:color w:val="auto"/>
                <w:sz w:val="21"/>
                <w:szCs w:val="21"/>
                <w:highlight w:val="none"/>
                <w:lang w:val="en-US"/>
              </w:rPr>
              <w:t>近一年（20</w:t>
            </w:r>
            <w:r>
              <w:rPr>
                <w:rFonts w:hint="eastAsia" w:ascii="Times New Roman" w:hAnsi="Times New Roman" w:cs="Times New Roman" w:eastAsiaTheme="minorEastAsia"/>
                <w:color w:val="auto"/>
                <w:sz w:val="21"/>
                <w:szCs w:val="21"/>
                <w:highlight w:val="none"/>
                <w:lang w:val="en-US"/>
              </w:rPr>
              <w:t>21</w:t>
            </w:r>
            <w:r>
              <w:rPr>
                <w:rFonts w:ascii="Times New Roman" w:hAnsi="Times New Roman" w:cs="Times New Roman" w:eastAsiaTheme="minorEastAsia"/>
                <w:color w:val="auto"/>
                <w:sz w:val="21"/>
                <w:szCs w:val="21"/>
                <w:highlight w:val="none"/>
                <w:lang w:val="en-US"/>
              </w:rPr>
              <w:t>年），</w:t>
            </w:r>
            <w:r>
              <w:rPr>
                <w:rFonts w:ascii="Times New Roman" w:hAnsi="Times New Roman" w:cs="Times New Roman" w:eastAsiaTheme="minorEastAsia"/>
                <w:color w:val="auto"/>
                <w:sz w:val="21"/>
                <w:szCs w:val="21"/>
                <w:highlight w:val="none"/>
              </w:rPr>
              <w:t>企业净资产（总资产－总负债）不少于</w:t>
            </w:r>
            <w:r>
              <w:rPr>
                <w:rFonts w:ascii="Times New Roman" w:hAnsi="Times New Roman" w:cs="Times New Roman" w:eastAsiaTheme="minorEastAsia"/>
                <w:color w:val="auto"/>
                <w:sz w:val="21"/>
                <w:szCs w:val="21"/>
                <w:highlight w:val="none"/>
                <w:u w:val="single"/>
                <w:lang w:val="en-US"/>
              </w:rPr>
              <w:t xml:space="preserve"> 80</w:t>
            </w:r>
            <w:r>
              <w:rPr>
                <w:rFonts w:ascii="Times New Roman" w:hAnsi="Times New Roman" w:cs="Times New Roman" w:eastAsiaTheme="minorEastAsia"/>
                <w:color w:val="auto"/>
                <w:sz w:val="21"/>
                <w:szCs w:val="21"/>
                <w:highlight w:val="none"/>
                <w:u w:val="single"/>
              </w:rPr>
              <w:t>0</w:t>
            </w:r>
            <w:r>
              <w:rPr>
                <w:rFonts w:ascii="Times New Roman" w:hAnsi="Times New Roman" w:cs="Times New Roman" w:eastAsiaTheme="minorEastAsia"/>
                <w:color w:val="auto"/>
                <w:sz w:val="21"/>
                <w:szCs w:val="21"/>
                <w:highlight w:val="none"/>
                <w:u w:val="single"/>
                <w:lang w:val="en-US"/>
              </w:rPr>
              <w:t xml:space="preserve"> </w:t>
            </w:r>
            <w:r>
              <w:rPr>
                <w:rFonts w:ascii="Times New Roman" w:hAnsi="Times New Roman" w:cs="Times New Roman" w:eastAsiaTheme="minorEastAsia"/>
                <w:color w:val="auto"/>
                <w:sz w:val="21"/>
                <w:szCs w:val="21"/>
                <w:highlight w:val="none"/>
              </w:rPr>
              <w:t xml:space="preserve">万元人民币； </w:t>
            </w:r>
          </w:p>
          <w:p>
            <w:pPr>
              <w:spacing w:line="360" w:lineRule="auto"/>
              <w:jc w:val="left"/>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z w:val="21"/>
                <w:szCs w:val="21"/>
                <w:highlight w:val="none"/>
              </w:rPr>
              <w:t>2.</w:t>
            </w:r>
            <w:r>
              <w:rPr>
                <w:rFonts w:ascii="Times New Roman" w:hAnsi="Times New Roman" w:cs="Times New Roman" w:eastAsiaTheme="minorEastAsia"/>
                <w:color w:val="auto"/>
                <w:sz w:val="21"/>
                <w:szCs w:val="21"/>
                <w:highlight w:val="none"/>
                <w:lang w:val="en-US"/>
              </w:rPr>
              <w:t>近一年（20</w:t>
            </w:r>
            <w:r>
              <w:rPr>
                <w:rFonts w:hint="eastAsia" w:ascii="Times New Roman" w:hAnsi="Times New Roman" w:cs="Times New Roman" w:eastAsiaTheme="minorEastAsia"/>
                <w:color w:val="auto"/>
                <w:sz w:val="21"/>
                <w:szCs w:val="21"/>
                <w:highlight w:val="none"/>
                <w:lang w:val="en-US"/>
              </w:rPr>
              <w:t>21</w:t>
            </w:r>
            <w:r>
              <w:rPr>
                <w:rFonts w:ascii="Times New Roman" w:hAnsi="Times New Roman" w:cs="Times New Roman" w:eastAsiaTheme="minorEastAsia"/>
                <w:color w:val="auto"/>
                <w:sz w:val="21"/>
                <w:szCs w:val="21"/>
                <w:highlight w:val="none"/>
                <w:lang w:val="en-US"/>
              </w:rPr>
              <w:t>年），</w:t>
            </w:r>
            <w:r>
              <w:rPr>
                <w:rFonts w:ascii="Times New Roman" w:hAnsi="Times New Roman" w:cs="Times New Roman" w:eastAsiaTheme="minorEastAsia"/>
                <w:color w:val="auto"/>
                <w:sz w:val="21"/>
                <w:szCs w:val="21"/>
                <w:highlight w:val="none"/>
              </w:rPr>
              <w:t>营运资金（流动资产－流动负债）不少于</w:t>
            </w:r>
            <w:r>
              <w:rPr>
                <w:rFonts w:ascii="Times New Roman" w:hAnsi="Times New Roman" w:cs="Times New Roman" w:eastAsiaTheme="minorEastAsia"/>
                <w:color w:val="auto"/>
                <w:sz w:val="21"/>
                <w:szCs w:val="21"/>
                <w:highlight w:val="none"/>
                <w:u w:val="single"/>
                <w:lang w:val="en-US"/>
              </w:rPr>
              <w:t xml:space="preserve"> </w:t>
            </w:r>
            <w:r>
              <w:rPr>
                <w:rFonts w:hint="eastAsia" w:ascii="Times New Roman" w:hAnsi="Times New Roman" w:cs="Times New Roman" w:eastAsiaTheme="minorEastAsia"/>
                <w:color w:val="auto"/>
                <w:sz w:val="21"/>
                <w:szCs w:val="21"/>
                <w:highlight w:val="none"/>
                <w:u w:val="single"/>
                <w:lang w:val="en-US" w:eastAsia="zh-CN"/>
              </w:rPr>
              <w:t>3</w:t>
            </w:r>
            <w:r>
              <w:rPr>
                <w:rFonts w:hint="eastAsia" w:ascii="Times New Roman" w:hAnsi="Times New Roman" w:cs="Times New Roman" w:eastAsiaTheme="minorEastAsia"/>
                <w:color w:val="auto"/>
                <w:sz w:val="21"/>
                <w:szCs w:val="21"/>
                <w:highlight w:val="none"/>
                <w:u w:val="single"/>
                <w:lang w:val="en-US"/>
              </w:rPr>
              <w:t>0</w:t>
            </w:r>
            <w:r>
              <w:rPr>
                <w:rFonts w:ascii="Times New Roman" w:hAnsi="Times New Roman" w:cs="Times New Roman" w:eastAsiaTheme="minorEastAsia"/>
                <w:color w:val="auto"/>
                <w:sz w:val="21"/>
                <w:szCs w:val="21"/>
                <w:highlight w:val="none"/>
                <w:u w:val="single"/>
                <w:lang w:val="en-US"/>
              </w:rPr>
              <w:t>0</w:t>
            </w:r>
            <w:r>
              <w:rPr>
                <w:rFonts w:ascii="Times New Roman" w:hAnsi="Times New Roman" w:cs="Times New Roman" w:eastAsiaTheme="minorEastAsia"/>
                <w:color w:val="auto"/>
                <w:sz w:val="21"/>
                <w:szCs w:val="21"/>
                <w:highlight w:val="none"/>
                <w:u w:val="single"/>
              </w:rPr>
              <w:t>00</w:t>
            </w:r>
            <w:r>
              <w:rPr>
                <w:rFonts w:ascii="Times New Roman" w:hAnsi="Times New Roman" w:cs="Times New Roman" w:eastAsiaTheme="minorEastAsia"/>
                <w:color w:val="auto"/>
                <w:sz w:val="21"/>
                <w:szCs w:val="21"/>
                <w:highlight w:val="none"/>
                <w:u w:val="single"/>
                <w:lang w:val="en-US"/>
              </w:rPr>
              <w:t xml:space="preserve"> </w:t>
            </w:r>
            <w:r>
              <w:rPr>
                <w:rFonts w:ascii="Times New Roman" w:hAnsi="Times New Roman" w:cs="Times New Roman" w:eastAsiaTheme="minorEastAsia"/>
                <w:color w:val="auto"/>
                <w:sz w:val="21"/>
                <w:szCs w:val="21"/>
                <w:highlight w:val="none"/>
              </w:rPr>
              <w:t xml:space="preserve">万元人民币；  </w:t>
            </w:r>
          </w:p>
          <w:p>
            <w:pPr>
              <w:spacing w:line="360" w:lineRule="auto"/>
              <w:jc w:val="left"/>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z w:val="21"/>
                <w:szCs w:val="21"/>
                <w:highlight w:val="none"/>
              </w:rPr>
              <w:t>3.最近三年（</w:t>
            </w:r>
            <w:r>
              <w:rPr>
                <w:rFonts w:ascii="Times New Roman" w:hAnsi="Times New Roman" w:cs="Times New Roman" w:eastAsiaTheme="minorEastAsia"/>
                <w:color w:val="auto"/>
                <w:sz w:val="21"/>
                <w:szCs w:val="21"/>
                <w:highlight w:val="none"/>
                <w:lang w:val="en-US"/>
              </w:rPr>
              <w:t>20</w:t>
            </w:r>
            <w:r>
              <w:rPr>
                <w:rFonts w:hint="eastAsia" w:ascii="Times New Roman" w:hAnsi="Times New Roman" w:cs="Times New Roman" w:eastAsiaTheme="minorEastAsia"/>
                <w:color w:val="auto"/>
                <w:sz w:val="21"/>
                <w:szCs w:val="21"/>
                <w:highlight w:val="none"/>
                <w:lang w:val="en-US"/>
              </w:rPr>
              <w:t>19</w:t>
            </w:r>
            <w:r>
              <w:rPr>
                <w:rFonts w:ascii="Times New Roman" w:hAnsi="Times New Roman" w:cs="Times New Roman" w:eastAsiaTheme="minorEastAsia"/>
                <w:color w:val="auto"/>
                <w:sz w:val="21"/>
                <w:szCs w:val="21"/>
                <w:highlight w:val="none"/>
                <w:lang w:val="en-US"/>
              </w:rPr>
              <w:t>年至20</w:t>
            </w:r>
            <w:r>
              <w:rPr>
                <w:rFonts w:hint="eastAsia" w:ascii="Times New Roman" w:hAnsi="Times New Roman" w:cs="Times New Roman" w:eastAsiaTheme="minorEastAsia"/>
                <w:color w:val="auto"/>
                <w:sz w:val="21"/>
                <w:szCs w:val="21"/>
                <w:highlight w:val="none"/>
                <w:lang w:val="en-US"/>
              </w:rPr>
              <w:t>21</w:t>
            </w:r>
            <w:r>
              <w:rPr>
                <w:rFonts w:ascii="Times New Roman" w:hAnsi="Times New Roman" w:cs="Times New Roman" w:eastAsiaTheme="minorEastAsia"/>
                <w:color w:val="auto"/>
                <w:sz w:val="21"/>
                <w:szCs w:val="21"/>
                <w:highlight w:val="none"/>
                <w:lang w:val="en-US"/>
              </w:rPr>
              <w:t>年</w:t>
            </w:r>
            <w:r>
              <w:rPr>
                <w:rFonts w:ascii="Times New Roman" w:hAnsi="Times New Roman" w:cs="Times New Roman" w:eastAsiaTheme="minorEastAsia"/>
                <w:color w:val="auto"/>
                <w:sz w:val="21"/>
                <w:szCs w:val="21"/>
                <w:highlight w:val="none"/>
              </w:rPr>
              <w:t>）的平均营业总收入不少于</w:t>
            </w:r>
            <w:r>
              <w:rPr>
                <w:rFonts w:hint="eastAsia" w:ascii="Times New Roman" w:hAnsi="Times New Roman" w:cs="Times New Roman" w:eastAsiaTheme="minorEastAsia"/>
                <w:color w:val="auto"/>
                <w:sz w:val="21"/>
                <w:szCs w:val="21"/>
                <w:highlight w:val="none"/>
                <w:u w:val="single"/>
                <w:lang w:val="en-US" w:eastAsia="zh-CN"/>
              </w:rPr>
              <w:t>3</w:t>
            </w:r>
            <w:r>
              <w:rPr>
                <w:rFonts w:ascii="Times New Roman" w:hAnsi="Times New Roman" w:cs="Times New Roman" w:eastAsiaTheme="minorEastAsia"/>
                <w:color w:val="auto"/>
                <w:sz w:val="21"/>
                <w:szCs w:val="21"/>
                <w:highlight w:val="none"/>
                <w:u w:val="single"/>
              </w:rPr>
              <w:t>0000</w:t>
            </w:r>
            <w:r>
              <w:rPr>
                <w:rFonts w:ascii="Times New Roman" w:hAnsi="Times New Roman" w:cs="Times New Roman" w:eastAsiaTheme="minorEastAsia"/>
                <w:color w:val="auto"/>
                <w:sz w:val="21"/>
                <w:szCs w:val="21"/>
                <w:highlight w:val="none"/>
                <w:u w:val="single"/>
                <w:lang w:val="en-US"/>
              </w:rPr>
              <w:t xml:space="preserve"> </w:t>
            </w:r>
            <w:r>
              <w:rPr>
                <w:rFonts w:ascii="Times New Roman" w:hAnsi="Times New Roman" w:cs="Times New Roman" w:eastAsiaTheme="minorEastAsia"/>
                <w:color w:val="auto"/>
                <w:sz w:val="21"/>
                <w:szCs w:val="21"/>
                <w:highlight w:val="none"/>
              </w:rPr>
              <w:t xml:space="preserve">万元人民币； </w:t>
            </w:r>
          </w:p>
          <w:p>
            <w:pPr>
              <w:spacing w:line="360" w:lineRule="auto"/>
              <w:jc w:val="both"/>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z w:val="21"/>
                <w:szCs w:val="21"/>
                <w:highlight w:val="none"/>
              </w:rPr>
              <w:t>4.最近三年（</w:t>
            </w:r>
            <w:r>
              <w:rPr>
                <w:rFonts w:ascii="Times New Roman" w:hAnsi="Times New Roman" w:cs="Times New Roman" w:eastAsiaTheme="minorEastAsia"/>
                <w:color w:val="auto"/>
                <w:sz w:val="21"/>
                <w:szCs w:val="21"/>
                <w:highlight w:val="none"/>
                <w:lang w:val="en-US"/>
              </w:rPr>
              <w:t>20</w:t>
            </w:r>
            <w:r>
              <w:rPr>
                <w:rFonts w:hint="eastAsia" w:ascii="Times New Roman" w:hAnsi="Times New Roman" w:cs="Times New Roman" w:eastAsiaTheme="minorEastAsia"/>
                <w:color w:val="auto"/>
                <w:sz w:val="21"/>
                <w:szCs w:val="21"/>
                <w:highlight w:val="none"/>
                <w:lang w:val="en-US"/>
              </w:rPr>
              <w:t>19</w:t>
            </w:r>
            <w:r>
              <w:rPr>
                <w:rFonts w:ascii="Times New Roman" w:hAnsi="Times New Roman" w:cs="Times New Roman" w:eastAsiaTheme="minorEastAsia"/>
                <w:color w:val="auto"/>
                <w:sz w:val="21"/>
                <w:szCs w:val="21"/>
                <w:highlight w:val="none"/>
                <w:lang w:val="en-US"/>
              </w:rPr>
              <w:t>年至20</w:t>
            </w:r>
            <w:r>
              <w:rPr>
                <w:rFonts w:hint="eastAsia" w:ascii="Times New Roman" w:hAnsi="Times New Roman" w:cs="Times New Roman" w:eastAsiaTheme="minorEastAsia"/>
                <w:color w:val="auto"/>
                <w:sz w:val="21"/>
                <w:szCs w:val="21"/>
                <w:highlight w:val="none"/>
                <w:lang w:val="en-US"/>
              </w:rPr>
              <w:t>21</w:t>
            </w:r>
            <w:r>
              <w:rPr>
                <w:rFonts w:ascii="Times New Roman" w:hAnsi="Times New Roman" w:cs="Times New Roman" w:eastAsiaTheme="minorEastAsia"/>
                <w:color w:val="auto"/>
                <w:sz w:val="21"/>
                <w:szCs w:val="21"/>
                <w:highlight w:val="none"/>
                <w:lang w:val="en-US"/>
              </w:rPr>
              <w:t>年</w:t>
            </w:r>
            <w:r>
              <w:rPr>
                <w:rFonts w:ascii="Times New Roman" w:hAnsi="Times New Roman" w:cs="Times New Roman" w:eastAsiaTheme="minorEastAsia"/>
                <w:color w:val="auto"/>
                <w:sz w:val="21"/>
                <w:szCs w:val="21"/>
                <w:highlight w:val="none"/>
              </w:rPr>
              <w:t>）至少有</w:t>
            </w:r>
            <w:r>
              <w:rPr>
                <w:rFonts w:ascii="Times New Roman" w:hAnsi="Times New Roman" w:cs="Times New Roman" w:eastAsiaTheme="minorEastAsia"/>
                <w:color w:val="auto"/>
                <w:sz w:val="21"/>
                <w:szCs w:val="21"/>
                <w:highlight w:val="none"/>
                <w:u w:val="single"/>
                <w:lang w:val="en-US"/>
              </w:rPr>
              <w:t xml:space="preserve"> </w:t>
            </w:r>
            <w:r>
              <w:rPr>
                <w:rFonts w:hint="eastAsia" w:ascii="Times New Roman" w:hAnsi="Times New Roman" w:cs="Times New Roman" w:eastAsiaTheme="minorEastAsia"/>
                <w:color w:val="auto"/>
                <w:sz w:val="21"/>
                <w:szCs w:val="21"/>
                <w:highlight w:val="none"/>
                <w:u w:val="single"/>
                <w:lang w:val="en-US" w:eastAsia="zh-CN"/>
              </w:rPr>
              <w:t>1</w:t>
            </w:r>
            <w:r>
              <w:rPr>
                <w:rFonts w:ascii="Times New Roman" w:hAnsi="Times New Roman" w:cs="Times New Roman" w:eastAsiaTheme="minorEastAsia"/>
                <w:color w:val="auto"/>
                <w:sz w:val="21"/>
                <w:szCs w:val="21"/>
                <w:highlight w:val="none"/>
                <w:u w:val="single"/>
                <w:lang w:val="en-US"/>
              </w:rPr>
              <w:t xml:space="preserve"> </w:t>
            </w:r>
            <w:r>
              <w:rPr>
                <w:rFonts w:ascii="Times New Roman" w:hAnsi="Times New Roman" w:cs="Times New Roman" w:eastAsiaTheme="minorEastAsia"/>
                <w:color w:val="auto"/>
                <w:sz w:val="21"/>
                <w:szCs w:val="21"/>
                <w:highlight w:val="none"/>
              </w:rPr>
              <w:t xml:space="preserve">年盈利。 </w:t>
            </w:r>
          </w:p>
        </w:tc>
      </w:tr>
    </w:tbl>
    <w:p>
      <w:pPr>
        <w:spacing w:line="360" w:lineRule="auto"/>
        <w:ind w:firstLine="480" w:firstLineChars="200"/>
        <w:jc w:val="center"/>
        <w:rPr>
          <w:b/>
          <w:bCs/>
          <w:color w:val="auto"/>
          <w:sz w:val="24"/>
          <w:szCs w:val="24"/>
          <w:highlight w:val="none"/>
        </w:rPr>
      </w:pPr>
    </w:p>
    <w:p>
      <w:pPr>
        <w:spacing w:line="360" w:lineRule="auto"/>
        <w:jc w:val="both"/>
        <w:rPr>
          <w:color w:val="auto"/>
          <w:sz w:val="21"/>
          <w:szCs w:val="21"/>
          <w:highlight w:val="none"/>
        </w:rPr>
      </w:pPr>
      <w:r>
        <w:rPr>
          <w:rFonts w:hint="eastAsia"/>
          <w:color w:val="auto"/>
          <w:sz w:val="21"/>
          <w:szCs w:val="21"/>
          <w:highlight w:val="none"/>
        </w:rPr>
        <w:t xml:space="preserve">注：1.企业净资产、营运资金是按交通运输部“全国公路建设市场信用信息管理系统”登记的最新年度数据计算得出。 </w:t>
      </w:r>
    </w:p>
    <w:p>
      <w:pPr>
        <w:spacing w:line="360" w:lineRule="auto"/>
        <w:ind w:firstLine="420" w:firstLineChars="200"/>
        <w:jc w:val="both"/>
        <w:rPr>
          <w:color w:val="auto"/>
          <w:sz w:val="21"/>
          <w:szCs w:val="21"/>
          <w:highlight w:val="none"/>
        </w:rPr>
      </w:pPr>
      <w:r>
        <w:rPr>
          <w:rFonts w:hint="eastAsia"/>
          <w:color w:val="auto"/>
          <w:sz w:val="21"/>
          <w:szCs w:val="21"/>
          <w:highlight w:val="none"/>
        </w:rPr>
        <w:t xml:space="preserve">2.近三个年度财务信息以投标人提供的“全国公路建设市场信用信息管理系统”企业所填的信息截图为准。 </w:t>
      </w:r>
    </w:p>
    <w:p>
      <w:pPr>
        <w:spacing w:line="360" w:lineRule="auto"/>
        <w:ind w:firstLine="420" w:firstLineChars="200"/>
        <w:jc w:val="both"/>
        <w:rPr>
          <w:color w:val="auto"/>
          <w:sz w:val="24"/>
          <w:szCs w:val="24"/>
          <w:highlight w:val="none"/>
        </w:rPr>
      </w:pPr>
      <w:r>
        <w:rPr>
          <w:rFonts w:hint="eastAsia"/>
          <w:color w:val="auto"/>
          <w:sz w:val="21"/>
          <w:szCs w:val="21"/>
          <w:highlight w:val="none"/>
        </w:rPr>
        <w:t>3.以联合体形式投标的，其财务能力以联合体牵头人为准。</w:t>
      </w:r>
    </w:p>
    <w:p>
      <w:pPr>
        <w:rPr>
          <w:color w:val="auto"/>
          <w:sz w:val="24"/>
          <w:szCs w:val="24"/>
          <w:highlight w:val="none"/>
        </w:rPr>
      </w:pPr>
      <w:r>
        <w:rPr>
          <w:rFonts w:hint="eastAsia"/>
          <w:color w:val="auto"/>
          <w:sz w:val="24"/>
          <w:szCs w:val="24"/>
          <w:highlight w:val="none"/>
        </w:rPr>
        <w:br w:type="page"/>
      </w:r>
    </w:p>
    <w:p>
      <w:pPr>
        <w:spacing w:line="360" w:lineRule="auto"/>
        <w:jc w:val="center"/>
        <w:rPr>
          <w:b/>
          <w:bCs/>
          <w:color w:val="auto"/>
          <w:sz w:val="30"/>
          <w:szCs w:val="30"/>
          <w:highlight w:val="none"/>
        </w:rPr>
      </w:pPr>
    </w:p>
    <w:p>
      <w:pPr>
        <w:spacing w:line="360" w:lineRule="auto"/>
        <w:jc w:val="center"/>
        <w:rPr>
          <w:b/>
          <w:bCs/>
          <w:color w:val="auto"/>
          <w:sz w:val="28"/>
          <w:szCs w:val="28"/>
          <w:highlight w:val="none"/>
        </w:rPr>
      </w:pPr>
      <w:bookmarkStart w:id="12" w:name="_Toc29471_WPSOffice_Level2"/>
      <w:bookmarkStart w:id="13" w:name="_Toc8240_WPSOffice_Level2"/>
      <w:bookmarkStart w:id="14" w:name="_Toc19194_WPSOffice_Level2"/>
      <w:bookmarkStart w:id="15" w:name="_Toc21967_WPSOffice_Level2"/>
      <w:r>
        <w:rPr>
          <w:rFonts w:hint="eastAsia"/>
          <w:b/>
          <w:bCs/>
          <w:color w:val="auto"/>
          <w:sz w:val="30"/>
          <w:szCs w:val="30"/>
          <w:highlight w:val="none"/>
        </w:rPr>
        <w:t>附录 3 资格审查条件(业绩最低要求)</w:t>
      </w:r>
      <w:bookmarkEnd w:id="12"/>
      <w:bookmarkEnd w:id="13"/>
      <w:bookmarkEnd w:id="14"/>
      <w:bookmarkEnd w:id="15"/>
      <w:r>
        <w:rPr>
          <w:rFonts w:hint="eastAsia"/>
          <w:b/>
          <w:bCs/>
          <w:color w:val="auto"/>
          <w:sz w:val="28"/>
          <w:szCs w:val="28"/>
          <w:highlight w:val="none"/>
        </w:rPr>
        <w:t xml:space="preserve"> </w:t>
      </w:r>
    </w:p>
    <w:tbl>
      <w:tblPr>
        <w:tblStyle w:val="7"/>
        <w:tblW w:w="831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0" w:hRule="exact"/>
        </w:trPr>
        <w:tc>
          <w:tcPr>
            <w:tcW w:w="8310" w:type="dxa"/>
            <w:vAlign w:val="center"/>
          </w:tcPr>
          <w:p>
            <w:pPr>
              <w:jc w:val="center"/>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z w:val="21"/>
                <w:szCs w:val="21"/>
                <w:highlight w:val="none"/>
                <w:lang w:val="en-US"/>
              </w:rPr>
              <w:t>勘察设计</w:t>
            </w:r>
            <w:r>
              <w:rPr>
                <w:rFonts w:ascii="Times New Roman" w:hAnsi="Times New Roman" w:cs="Times New Roman" w:eastAsiaTheme="minorEastAsia"/>
                <w:color w:val="auto"/>
                <w:sz w:val="21"/>
                <w:szCs w:val="21"/>
                <w:highlight w:val="none"/>
              </w:rPr>
              <w:t>业绩最低要求</w:t>
            </w:r>
          </w:p>
        </w:tc>
      </w:tr>
      <w:tr>
        <w:trPr>
          <w:trHeight w:val="880" w:hRule="exact"/>
        </w:trPr>
        <w:tc>
          <w:tcPr>
            <w:tcW w:w="8310" w:type="dxa"/>
            <w:vAlign w:val="center"/>
          </w:tcPr>
          <w:p>
            <w:pPr>
              <w:jc w:val="center"/>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z w:val="21"/>
                <w:szCs w:val="21"/>
                <w:highlight w:val="none"/>
                <w:lang w:val="en-US"/>
              </w:rPr>
              <w:t>近五年内（201</w:t>
            </w:r>
            <w:r>
              <w:rPr>
                <w:rFonts w:hint="eastAsia" w:ascii="Times New Roman" w:hAnsi="Times New Roman" w:cs="Times New Roman" w:eastAsiaTheme="minorEastAsia"/>
                <w:color w:val="auto"/>
                <w:sz w:val="21"/>
                <w:szCs w:val="21"/>
                <w:highlight w:val="none"/>
                <w:lang w:val="en-US"/>
              </w:rPr>
              <w:t>8</w:t>
            </w:r>
            <w:r>
              <w:rPr>
                <w:rFonts w:ascii="Times New Roman" w:hAnsi="Times New Roman" w:cs="Times New Roman" w:eastAsiaTheme="minorEastAsia"/>
                <w:color w:val="auto"/>
                <w:sz w:val="21"/>
                <w:szCs w:val="21"/>
                <w:highlight w:val="none"/>
                <w:lang w:val="en-US"/>
              </w:rPr>
              <w:t>年</w:t>
            </w:r>
            <w:r>
              <w:rPr>
                <w:rFonts w:hint="eastAsia" w:ascii="Times New Roman" w:hAnsi="Times New Roman" w:cs="Times New Roman" w:eastAsiaTheme="minorEastAsia"/>
                <w:color w:val="auto"/>
                <w:sz w:val="21"/>
                <w:szCs w:val="21"/>
                <w:highlight w:val="none"/>
                <w:lang w:val="en-US"/>
              </w:rPr>
              <w:t>1</w:t>
            </w:r>
            <w:r>
              <w:rPr>
                <w:rFonts w:ascii="Times New Roman" w:hAnsi="Times New Roman" w:cs="Times New Roman" w:eastAsiaTheme="minorEastAsia"/>
                <w:color w:val="auto"/>
                <w:sz w:val="21"/>
                <w:szCs w:val="21"/>
                <w:highlight w:val="none"/>
                <w:lang w:val="en-US"/>
              </w:rPr>
              <w:t>月1日至投标截止日），完成过</w:t>
            </w:r>
            <w:r>
              <w:rPr>
                <w:rFonts w:hint="eastAsia" w:ascii="Times New Roman" w:hAnsi="Times New Roman" w:cs="Times New Roman" w:eastAsiaTheme="minorEastAsia"/>
                <w:color w:val="auto"/>
                <w:sz w:val="21"/>
                <w:szCs w:val="21"/>
                <w:highlight w:val="none"/>
                <w:lang w:val="en-US"/>
              </w:rPr>
              <w:t>1项四级公路（或以上等级）公路工程</w:t>
            </w:r>
            <w:r>
              <w:rPr>
                <w:rFonts w:ascii="Times New Roman" w:hAnsi="Times New Roman" w:cs="Times New Roman" w:eastAsiaTheme="minorEastAsia"/>
                <w:color w:val="auto"/>
                <w:sz w:val="21"/>
                <w:szCs w:val="21"/>
                <w:highlight w:val="none"/>
              </w:rPr>
              <w:t>设计</w:t>
            </w:r>
            <w:r>
              <w:rPr>
                <w:rFonts w:hint="eastAsia" w:ascii="Times New Roman" w:hAnsi="Times New Roman" w:cs="Times New Roman" w:eastAsiaTheme="minorEastAsia"/>
                <w:color w:val="auto"/>
                <w:sz w:val="21"/>
                <w:szCs w:val="21"/>
                <w:highlight w:val="none"/>
                <w:lang w:val="en-US"/>
              </w:rPr>
              <w:t>业绩</w:t>
            </w:r>
            <w:r>
              <w:rPr>
                <w:rFonts w:ascii="Times New Roman" w:hAnsi="Times New Roman" w:cs="Times New Roman" w:eastAsiaTheme="minorEastAsia"/>
                <w:color w:val="auto"/>
                <w:sz w:val="21"/>
                <w:szCs w:val="21"/>
                <w:highlight w:val="no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0" w:hRule="exact"/>
        </w:trPr>
        <w:tc>
          <w:tcPr>
            <w:tcW w:w="8310" w:type="dxa"/>
            <w:vAlign w:val="center"/>
          </w:tcPr>
          <w:p>
            <w:pPr>
              <w:jc w:val="center"/>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z w:val="21"/>
                <w:szCs w:val="21"/>
                <w:highlight w:val="none"/>
                <w:lang w:val="en-US"/>
              </w:rPr>
              <w:t>施工</w:t>
            </w:r>
            <w:r>
              <w:rPr>
                <w:rFonts w:ascii="Times New Roman" w:hAnsi="Times New Roman" w:cs="Times New Roman" w:eastAsiaTheme="minorEastAsia"/>
                <w:color w:val="auto"/>
                <w:sz w:val="21"/>
                <w:szCs w:val="21"/>
                <w:highlight w:val="none"/>
              </w:rPr>
              <w:t>业绩最低要求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310" w:type="dxa"/>
            <w:vAlign w:val="center"/>
          </w:tcPr>
          <w:p>
            <w:pPr>
              <w:adjustRightInd w:val="0"/>
              <w:snapToGrid w:val="0"/>
              <w:spacing w:line="360" w:lineRule="auto"/>
              <w:ind w:left="154" w:leftChars="70" w:right="235" w:rightChars="107" w:firstLine="420" w:firstLineChars="200"/>
              <w:rPr>
                <w:rFonts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近</w:t>
            </w:r>
            <w:r>
              <w:rPr>
                <w:rFonts w:hint="eastAsia" w:ascii="Times New Roman" w:hAnsi="Times New Roman" w:cs="Times New Roman" w:eastAsiaTheme="minorEastAsia"/>
                <w:color w:val="auto"/>
                <w:sz w:val="21"/>
                <w:szCs w:val="21"/>
                <w:highlight w:val="none"/>
                <w:lang w:val="en-US"/>
              </w:rPr>
              <w:t>五</w:t>
            </w:r>
            <w:r>
              <w:rPr>
                <w:rFonts w:hint="eastAsia" w:ascii="Times New Roman" w:hAnsi="Times New Roman" w:cs="Times New Roman" w:eastAsiaTheme="minorEastAsia"/>
                <w:color w:val="auto"/>
                <w:sz w:val="21"/>
                <w:szCs w:val="21"/>
                <w:highlight w:val="none"/>
              </w:rPr>
              <w:t>年内（</w:t>
            </w:r>
            <w:r>
              <w:rPr>
                <w:rFonts w:hint="eastAsia" w:ascii="Times New Roman" w:hAnsi="Times New Roman" w:cs="Times New Roman" w:eastAsiaTheme="minorEastAsia"/>
                <w:color w:val="auto"/>
                <w:sz w:val="21"/>
                <w:szCs w:val="21"/>
                <w:highlight w:val="none"/>
                <w:lang w:val="en-US"/>
              </w:rPr>
              <w:t>2018年1月1日至投标截止日</w:t>
            </w:r>
            <w:r>
              <w:rPr>
                <w:rFonts w:hint="eastAsia" w:ascii="Times New Roman" w:hAnsi="Times New Roman" w:cs="Times New Roman" w:eastAsiaTheme="minorEastAsia"/>
                <w:color w:val="auto"/>
                <w:sz w:val="21"/>
                <w:szCs w:val="21"/>
                <w:highlight w:val="none"/>
              </w:rPr>
              <w:t>）独立完成单个合同段不少于20公里的四级（或以上等级）的新建、改建、扩建公路工程（同时含路基、路面）的施工项目业绩</w:t>
            </w:r>
            <w:r>
              <w:rPr>
                <w:rFonts w:ascii="Times New Roman" w:hAnsi="Times New Roman" w:cs="Times New Roman" w:eastAsiaTheme="minorEastAsia"/>
                <w:color w:val="auto"/>
                <w:sz w:val="21"/>
                <w:szCs w:val="21"/>
                <w:highlight w:val="none"/>
              </w:rPr>
              <w:t>。</w:t>
            </w:r>
          </w:p>
        </w:tc>
      </w:tr>
    </w:tbl>
    <w:p>
      <w:pPr>
        <w:rPr>
          <w:b/>
          <w:color w:val="auto"/>
          <w:sz w:val="20"/>
          <w:szCs w:val="24"/>
          <w:highlight w:val="none"/>
        </w:rPr>
      </w:pPr>
    </w:p>
    <w:p>
      <w:pPr>
        <w:spacing w:line="360" w:lineRule="auto"/>
        <w:jc w:val="both"/>
        <w:rPr>
          <w:color w:val="auto"/>
          <w:sz w:val="21"/>
          <w:szCs w:val="21"/>
          <w:highlight w:val="none"/>
        </w:rPr>
      </w:pPr>
      <w:r>
        <w:rPr>
          <w:rFonts w:hint="eastAsia"/>
          <w:color w:val="auto"/>
          <w:sz w:val="21"/>
          <w:szCs w:val="21"/>
          <w:highlight w:val="none"/>
        </w:rPr>
        <w:t>注：1、本附录所要求的业绩仅限中华人民共和国境内业绩。按照资质要求对应设定业绩内容。</w:t>
      </w:r>
    </w:p>
    <w:p>
      <w:pPr>
        <w:spacing w:line="360" w:lineRule="auto"/>
        <w:ind w:firstLine="420" w:firstLineChars="200"/>
        <w:jc w:val="both"/>
        <w:rPr>
          <w:color w:val="auto"/>
          <w:sz w:val="21"/>
          <w:szCs w:val="21"/>
          <w:highlight w:val="none"/>
        </w:rPr>
      </w:pPr>
      <w:r>
        <w:rPr>
          <w:rFonts w:hint="eastAsia"/>
          <w:color w:val="auto"/>
          <w:sz w:val="21"/>
          <w:szCs w:val="21"/>
          <w:highlight w:val="none"/>
        </w:rPr>
        <w:t xml:space="preserve">2、若投标人提供的业绩证明为联合体业绩，则按交通运输部“全国公路建设市场信用信息管理系统”业绩信息的网页截图）体现其完成的工作量认定，无法界定其完成的工作量，此业绩不予认定。 </w:t>
      </w:r>
    </w:p>
    <w:p>
      <w:pPr>
        <w:spacing w:line="360" w:lineRule="auto"/>
        <w:ind w:firstLine="420" w:firstLineChars="200"/>
        <w:jc w:val="both"/>
        <w:rPr>
          <w:color w:val="auto"/>
          <w:sz w:val="21"/>
          <w:szCs w:val="21"/>
          <w:highlight w:val="none"/>
        </w:rPr>
      </w:pPr>
      <w:r>
        <w:rPr>
          <w:rFonts w:hint="eastAsia"/>
          <w:color w:val="auto"/>
          <w:sz w:val="21"/>
          <w:szCs w:val="21"/>
          <w:highlight w:val="none"/>
        </w:rPr>
        <w:t xml:space="preserve">3、若为联合体投标，投标人业绩的资格审查条件和加分条件（如有）的认定原则如下：联合体成员须按联合体协议书中约定承担的各专业工程满足对应的业绩要求。 </w:t>
      </w:r>
    </w:p>
    <w:p>
      <w:pPr>
        <w:spacing w:line="360" w:lineRule="auto"/>
        <w:ind w:firstLine="420" w:firstLineChars="200"/>
        <w:jc w:val="both"/>
        <w:rPr>
          <w:color w:val="auto"/>
          <w:sz w:val="21"/>
          <w:szCs w:val="21"/>
          <w:highlight w:val="none"/>
          <w:lang w:val="en-US"/>
        </w:rPr>
      </w:pPr>
      <w:r>
        <w:rPr>
          <w:rFonts w:hint="eastAsia"/>
          <w:color w:val="auto"/>
          <w:sz w:val="21"/>
          <w:szCs w:val="21"/>
          <w:highlight w:val="none"/>
          <w:lang w:val="en-US"/>
        </w:rPr>
        <w:t>4</w:t>
      </w:r>
      <w:r>
        <w:rPr>
          <w:rFonts w:hint="eastAsia"/>
          <w:color w:val="auto"/>
          <w:sz w:val="21"/>
          <w:szCs w:val="21"/>
          <w:highlight w:val="none"/>
        </w:rPr>
        <w:t>、</w:t>
      </w:r>
      <w:r>
        <w:rPr>
          <w:rFonts w:hint="eastAsia"/>
          <w:color w:val="auto"/>
          <w:sz w:val="21"/>
          <w:szCs w:val="21"/>
          <w:highlight w:val="none"/>
          <w:lang w:val="en-US"/>
        </w:rPr>
        <w:t>设计业绩认定时间以施工图设计批复时间为准，施工业绩认定时间以交工验收时间为准（无交工验收的，以一次性竣工验收时间为准）。</w:t>
      </w:r>
    </w:p>
    <w:p>
      <w:pPr>
        <w:rPr>
          <w:color w:val="auto"/>
          <w:sz w:val="21"/>
          <w:szCs w:val="21"/>
          <w:highlight w:val="none"/>
        </w:rPr>
      </w:pPr>
      <w:r>
        <w:rPr>
          <w:rFonts w:hint="eastAsia"/>
          <w:color w:val="auto"/>
          <w:sz w:val="21"/>
          <w:szCs w:val="21"/>
          <w:highlight w:val="none"/>
        </w:rPr>
        <w:br w:type="page"/>
      </w:r>
    </w:p>
    <w:p>
      <w:pPr>
        <w:spacing w:line="360" w:lineRule="auto"/>
        <w:jc w:val="both"/>
        <w:rPr>
          <w:b/>
          <w:bCs/>
          <w:color w:val="auto"/>
          <w:sz w:val="28"/>
          <w:szCs w:val="28"/>
          <w:highlight w:val="none"/>
        </w:rPr>
      </w:pPr>
    </w:p>
    <w:p>
      <w:pPr>
        <w:spacing w:line="360" w:lineRule="auto"/>
        <w:jc w:val="both"/>
        <w:rPr>
          <w:b/>
          <w:bCs/>
          <w:color w:val="auto"/>
          <w:sz w:val="24"/>
          <w:szCs w:val="24"/>
          <w:highlight w:val="none"/>
        </w:rPr>
      </w:pPr>
      <w:bookmarkStart w:id="16" w:name="_Toc24344_WPSOffice_Level2"/>
      <w:bookmarkStart w:id="17" w:name="_Toc7701_WPSOffice_Level2"/>
      <w:bookmarkStart w:id="18" w:name="_Toc883_WPSOffice_Level2"/>
      <w:bookmarkStart w:id="19" w:name="_Toc10176_WPSOffice_Level2"/>
      <w:r>
        <w:rPr>
          <w:rFonts w:hint="eastAsia"/>
          <w:b/>
          <w:bCs/>
          <w:color w:val="auto"/>
          <w:sz w:val="28"/>
          <w:szCs w:val="28"/>
          <w:highlight w:val="none"/>
        </w:rPr>
        <w:t>附录 4 资格审查条件(项目经理、项目总工、设计负责人最低要求)</w:t>
      </w:r>
      <w:bookmarkEnd w:id="16"/>
      <w:bookmarkEnd w:id="17"/>
      <w:bookmarkEnd w:id="18"/>
      <w:bookmarkEnd w:id="19"/>
    </w:p>
    <w:tbl>
      <w:tblPr>
        <w:tblStyle w:val="8"/>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360"/>
        <w:gridCol w:w="3539"/>
        <w:gridCol w:w="1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36" w:type="dxa"/>
            <w:vAlign w:val="center"/>
          </w:tcPr>
          <w:p>
            <w:pPr>
              <w:spacing w:line="360" w:lineRule="auto"/>
              <w:jc w:val="center"/>
              <w:rPr>
                <w:b/>
                <w:bCs/>
                <w:color w:val="auto"/>
                <w:sz w:val="24"/>
                <w:szCs w:val="24"/>
                <w:highlight w:val="none"/>
              </w:rPr>
            </w:pPr>
            <w:r>
              <w:rPr>
                <w:rFonts w:hint="eastAsia"/>
                <w:b/>
                <w:bCs/>
                <w:color w:val="auto"/>
                <w:sz w:val="24"/>
                <w:szCs w:val="24"/>
                <w:highlight w:val="none"/>
              </w:rPr>
              <w:t>人员</w:t>
            </w:r>
          </w:p>
        </w:tc>
        <w:tc>
          <w:tcPr>
            <w:tcW w:w="1360" w:type="dxa"/>
            <w:vAlign w:val="center"/>
          </w:tcPr>
          <w:p>
            <w:pPr>
              <w:spacing w:line="360" w:lineRule="auto"/>
              <w:jc w:val="center"/>
              <w:rPr>
                <w:b/>
                <w:bCs/>
                <w:color w:val="auto"/>
                <w:sz w:val="24"/>
                <w:szCs w:val="24"/>
                <w:highlight w:val="none"/>
              </w:rPr>
            </w:pPr>
            <w:r>
              <w:rPr>
                <w:rFonts w:hint="eastAsia"/>
                <w:b/>
                <w:bCs/>
                <w:color w:val="auto"/>
                <w:sz w:val="24"/>
                <w:szCs w:val="24"/>
                <w:highlight w:val="none"/>
              </w:rPr>
              <w:t>数量</w:t>
            </w:r>
          </w:p>
        </w:tc>
        <w:tc>
          <w:tcPr>
            <w:tcW w:w="3539" w:type="dxa"/>
            <w:vAlign w:val="center"/>
          </w:tcPr>
          <w:p>
            <w:pPr>
              <w:spacing w:line="360" w:lineRule="auto"/>
              <w:jc w:val="center"/>
              <w:rPr>
                <w:b/>
                <w:bCs/>
                <w:color w:val="auto"/>
                <w:sz w:val="24"/>
                <w:szCs w:val="24"/>
                <w:highlight w:val="none"/>
              </w:rPr>
            </w:pPr>
            <w:r>
              <w:rPr>
                <w:rFonts w:hint="eastAsia"/>
                <w:b/>
                <w:bCs/>
                <w:color w:val="auto"/>
                <w:sz w:val="24"/>
                <w:szCs w:val="24"/>
                <w:highlight w:val="none"/>
              </w:rPr>
              <w:t>资格要求</w:t>
            </w:r>
          </w:p>
        </w:tc>
        <w:tc>
          <w:tcPr>
            <w:tcW w:w="1981" w:type="dxa"/>
            <w:vAlign w:val="center"/>
          </w:tcPr>
          <w:p>
            <w:pPr>
              <w:spacing w:line="360" w:lineRule="auto"/>
              <w:jc w:val="center"/>
              <w:rPr>
                <w:b/>
                <w:bCs/>
                <w:color w:val="auto"/>
                <w:sz w:val="24"/>
                <w:szCs w:val="24"/>
                <w:highlight w:val="none"/>
              </w:rPr>
            </w:pPr>
            <w:r>
              <w:rPr>
                <w:rFonts w:hint="eastAsia"/>
                <w:b/>
                <w:bCs/>
                <w:color w:val="auto"/>
                <w:sz w:val="24"/>
                <w:szCs w:val="24"/>
                <w:highlight w:val="none"/>
              </w:rPr>
              <w:t>在岗要求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36" w:type="dxa"/>
            <w:vAlign w:val="center"/>
          </w:tcPr>
          <w:p>
            <w:pPr>
              <w:spacing w:line="360" w:lineRule="auto"/>
              <w:jc w:val="center"/>
              <w:rPr>
                <w:color w:val="auto"/>
                <w:sz w:val="21"/>
                <w:szCs w:val="21"/>
                <w:highlight w:val="none"/>
              </w:rPr>
            </w:pPr>
            <w:r>
              <w:rPr>
                <w:color w:val="auto"/>
                <w:sz w:val="21"/>
                <w:szCs w:val="21"/>
                <w:highlight w:val="none"/>
              </w:rPr>
              <w:t>项目经理</w:t>
            </w:r>
          </w:p>
        </w:tc>
        <w:tc>
          <w:tcPr>
            <w:tcW w:w="1360" w:type="dxa"/>
            <w:vAlign w:val="center"/>
          </w:tcPr>
          <w:p>
            <w:pPr>
              <w:spacing w:line="360" w:lineRule="auto"/>
              <w:jc w:val="center"/>
              <w:rPr>
                <w:color w:val="auto"/>
                <w:sz w:val="21"/>
                <w:szCs w:val="21"/>
                <w:highlight w:val="none"/>
                <w:lang w:val="en-US"/>
              </w:rPr>
            </w:pPr>
            <w:r>
              <w:rPr>
                <w:rFonts w:hint="eastAsia"/>
                <w:color w:val="auto"/>
                <w:sz w:val="21"/>
                <w:szCs w:val="21"/>
                <w:highlight w:val="none"/>
                <w:lang w:val="en-US"/>
              </w:rPr>
              <w:t>1</w:t>
            </w:r>
          </w:p>
        </w:tc>
        <w:tc>
          <w:tcPr>
            <w:tcW w:w="3539" w:type="dxa"/>
            <w:vAlign w:val="center"/>
          </w:tcPr>
          <w:p>
            <w:pPr>
              <w:spacing w:line="360" w:lineRule="auto"/>
              <w:jc w:val="left"/>
              <w:rPr>
                <w:color w:val="auto"/>
                <w:sz w:val="21"/>
                <w:szCs w:val="21"/>
                <w:highlight w:val="none"/>
              </w:rPr>
            </w:pPr>
            <w:r>
              <w:rPr>
                <w:rFonts w:hint="eastAsia"/>
                <w:color w:val="auto"/>
                <w:sz w:val="21"/>
                <w:szCs w:val="21"/>
                <w:highlight w:val="none"/>
              </w:rPr>
              <w:t>工程师</w:t>
            </w:r>
            <w:r>
              <w:rPr>
                <w:rFonts w:hint="eastAsia"/>
                <w:color w:val="auto"/>
                <w:sz w:val="21"/>
                <w:szCs w:val="21"/>
                <w:highlight w:val="none"/>
                <w:lang w:val="en-US"/>
              </w:rPr>
              <w:t>或以上职称</w:t>
            </w:r>
            <w:r>
              <w:rPr>
                <w:rFonts w:hint="eastAsia"/>
                <w:color w:val="auto"/>
                <w:sz w:val="21"/>
                <w:szCs w:val="21"/>
                <w:highlight w:val="none"/>
              </w:rPr>
              <w:t>，持有住房和城乡建设部颁发的公路工程专业一级建造师注册证书， 具有交通主管部门颁发的有效安全生产“三类人员”B类证书</w:t>
            </w:r>
            <w:r>
              <w:rPr>
                <w:rFonts w:hint="eastAsia"/>
                <w:color w:val="auto"/>
                <w:sz w:val="21"/>
                <w:szCs w:val="21"/>
                <w:highlight w:val="none"/>
                <w:lang w:eastAsia="zh-CN"/>
              </w:rPr>
              <w:t>，担任类似工程施工项目经理（或项目副经理或项目总工）岗位累计不少于</w:t>
            </w:r>
            <w:r>
              <w:rPr>
                <w:rFonts w:hint="eastAsia"/>
                <w:color w:val="auto"/>
                <w:sz w:val="21"/>
                <w:szCs w:val="21"/>
                <w:highlight w:val="none"/>
                <w:lang w:val="en-US" w:eastAsia="zh-CN"/>
              </w:rPr>
              <w:t>24</w:t>
            </w:r>
            <w:r>
              <w:rPr>
                <w:rFonts w:hint="eastAsia"/>
                <w:color w:val="auto"/>
                <w:sz w:val="21"/>
                <w:szCs w:val="21"/>
                <w:highlight w:val="none"/>
                <w:lang w:eastAsia="zh-CN"/>
              </w:rPr>
              <w:t>个月</w:t>
            </w:r>
            <w:r>
              <w:rPr>
                <w:rFonts w:hint="eastAsia"/>
                <w:color w:val="auto"/>
                <w:sz w:val="21"/>
                <w:szCs w:val="21"/>
                <w:highlight w:val="none"/>
              </w:rPr>
              <w:t>。</w:t>
            </w:r>
          </w:p>
        </w:tc>
        <w:tc>
          <w:tcPr>
            <w:tcW w:w="1981" w:type="dxa"/>
            <w:vMerge w:val="restart"/>
            <w:vAlign w:val="center"/>
          </w:tcPr>
          <w:p>
            <w:pPr>
              <w:spacing w:line="360" w:lineRule="auto"/>
              <w:jc w:val="center"/>
              <w:rPr>
                <w:color w:val="auto"/>
                <w:sz w:val="21"/>
                <w:szCs w:val="21"/>
                <w:highlight w:val="none"/>
              </w:rPr>
            </w:pPr>
            <w:r>
              <w:rPr>
                <w:rFonts w:hint="eastAsia"/>
                <w:color w:val="auto"/>
                <w:sz w:val="21"/>
                <w:szCs w:val="21"/>
                <w:highlight w:val="none"/>
              </w:rPr>
              <w:t>无在岗项目（指目前未在其他项目上任职，或虽在其他项目上任职但本项目中标后能够从该项目撤离）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36" w:type="dxa"/>
            <w:vAlign w:val="center"/>
          </w:tcPr>
          <w:p>
            <w:pPr>
              <w:spacing w:line="360" w:lineRule="auto"/>
              <w:jc w:val="center"/>
              <w:rPr>
                <w:color w:val="auto"/>
                <w:sz w:val="21"/>
                <w:szCs w:val="21"/>
                <w:highlight w:val="none"/>
              </w:rPr>
            </w:pPr>
            <w:r>
              <w:rPr>
                <w:rFonts w:hint="eastAsia"/>
                <w:color w:val="auto"/>
                <w:sz w:val="21"/>
                <w:szCs w:val="21"/>
                <w:highlight w:val="none"/>
              </w:rPr>
              <w:t>项目总工</w:t>
            </w:r>
          </w:p>
        </w:tc>
        <w:tc>
          <w:tcPr>
            <w:tcW w:w="1360" w:type="dxa"/>
            <w:vAlign w:val="center"/>
          </w:tcPr>
          <w:p>
            <w:pPr>
              <w:spacing w:line="360" w:lineRule="auto"/>
              <w:jc w:val="center"/>
              <w:rPr>
                <w:color w:val="auto"/>
                <w:sz w:val="21"/>
                <w:szCs w:val="21"/>
                <w:highlight w:val="none"/>
                <w:lang w:val="en-US"/>
              </w:rPr>
            </w:pPr>
            <w:r>
              <w:rPr>
                <w:rFonts w:hint="eastAsia"/>
                <w:color w:val="auto"/>
                <w:sz w:val="21"/>
                <w:szCs w:val="21"/>
                <w:highlight w:val="none"/>
                <w:lang w:val="en-US"/>
              </w:rPr>
              <w:t>1</w:t>
            </w:r>
          </w:p>
        </w:tc>
        <w:tc>
          <w:tcPr>
            <w:tcW w:w="3539" w:type="dxa"/>
            <w:vAlign w:val="center"/>
          </w:tcPr>
          <w:p>
            <w:pPr>
              <w:spacing w:line="360" w:lineRule="auto"/>
              <w:jc w:val="left"/>
              <w:rPr>
                <w:color w:val="auto"/>
                <w:sz w:val="21"/>
                <w:szCs w:val="21"/>
                <w:highlight w:val="none"/>
              </w:rPr>
            </w:pPr>
            <w:r>
              <w:rPr>
                <w:rFonts w:hint="eastAsia"/>
                <w:color w:val="auto"/>
                <w:sz w:val="21"/>
                <w:szCs w:val="21"/>
                <w:highlight w:val="none"/>
              </w:rPr>
              <w:t>路桥相关专业工程师</w:t>
            </w:r>
            <w:r>
              <w:rPr>
                <w:rFonts w:hint="eastAsia"/>
                <w:color w:val="auto"/>
                <w:sz w:val="21"/>
                <w:szCs w:val="21"/>
                <w:highlight w:val="none"/>
                <w:lang w:val="en-US"/>
              </w:rPr>
              <w:t>或以上职称</w:t>
            </w:r>
            <w:r>
              <w:rPr>
                <w:rFonts w:hint="eastAsia"/>
                <w:color w:val="auto"/>
                <w:sz w:val="21"/>
                <w:szCs w:val="21"/>
                <w:highlight w:val="none"/>
              </w:rPr>
              <w:t>，具有交通主管部门颁发的有效安全生产“三类人员”B类证书</w:t>
            </w:r>
            <w:r>
              <w:rPr>
                <w:rFonts w:hint="eastAsia"/>
                <w:color w:val="auto"/>
                <w:sz w:val="21"/>
                <w:szCs w:val="21"/>
                <w:highlight w:val="none"/>
                <w:lang w:eastAsia="zh-CN"/>
              </w:rPr>
              <w:t>，担任类似工程施工主管技术工作岗位累计不少于</w:t>
            </w:r>
            <w:r>
              <w:rPr>
                <w:rFonts w:hint="eastAsia"/>
                <w:color w:val="auto"/>
                <w:sz w:val="21"/>
                <w:szCs w:val="21"/>
                <w:highlight w:val="none"/>
                <w:lang w:val="en-US" w:eastAsia="zh-CN"/>
              </w:rPr>
              <w:t>24</w:t>
            </w:r>
            <w:r>
              <w:rPr>
                <w:rFonts w:hint="eastAsia"/>
                <w:color w:val="auto"/>
                <w:sz w:val="21"/>
                <w:szCs w:val="21"/>
                <w:highlight w:val="none"/>
                <w:lang w:eastAsia="zh-CN"/>
              </w:rPr>
              <w:t>个月</w:t>
            </w:r>
            <w:r>
              <w:rPr>
                <w:rFonts w:hint="eastAsia"/>
                <w:color w:val="auto"/>
                <w:sz w:val="21"/>
                <w:szCs w:val="21"/>
                <w:highlight w:val="none"/>
              </w:rPr>
              <w:t>。</w:t>
            </w:r>
          </w:p>
        </w:tc>
        <w:tc>
          <w:tcPr>
            <w:tcW w:w="1981" w:type="dxa"/>
            <w:vMerge w:val="continue"/>
            <w:vAlign w:val="center"/>
          </w:tcPr>
          <w:p>
            <w:pPr>
              <w:spacing w:line="360" w:lineRule="auto"/>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36" w:type="dxa"/>
            <w:vAlign w:val="center"/>
          </w:tcPr>
          <w:p>
            <w:pPr>
              <w:spacing w:line="360" w:lineRule="auto"/>
              <w:jc w:val="center"/>
              <w:rPr>
                <w:color w:val="auto"/>
                <w:sz w:val="21"/>
                <w:szCs w:val="21"/>
                <w:highlight w:val="none"/>
              </w:rPr>
            </w:pPr>
            <w:r>
              <w:rPr>
                <w:rFonts w:hint="eastAsia"/>
                <w:color w:val="auto"/>
                <w:sz w:val="21"/>
                <w:szCs w:val="21"/>
                <w:highlight w:val="none"/>
              </w:rPr>
              <w:t>设计负责人</w:t>
            </w:r>
          </w:p>
        </w:tc>
        <w:tc>
          <w:tcPr>
            <w:tcW w:w="1360" w:type="dxa"/>
            <w:vAlign w:val="center"/>
          </w:tcPr>
          <w:p>
            <w:pPr>
              <w:spacing w:line="360" w:lineRule="auto"/>
              <w:jc w:val="center"/>
              <w:rPr>
                <w:color w:val="auto"/>
                <w:sz w:val="21"/>
                <w:szCs w:val="21"/>
                <w:highlight w:val="none"/>
                <w:lang w:val="en-US"/>
              </w:rPr>
            </w:pPr>
            <w:r>
              <w:rPr>
                <w:rFonts w:hint="eastAsia"/>
                <w:color w:val="auto"/>
                <w:sz w:val="21"/>
                <w:szCs w:val="21"/>
                <w:highlight w:val="none"/>
                <w:lang w:val="en-US"/>
              </w:rPr>
              <w:t>1</w:t>
            </w:r>
          </w:p>
        </w:tc>
        <w:tc>
          <w:tcPr>
            <w:tcW w:w="3539" w:type="dxa"/>
            <w:vAlign w:val="center"/>
          </w:tcPr>
          <w:p>
            <w:pPr>
              <w:spacing w:line="360" w:lineRule="auto"/>
              <w:jc w:val="left"/>
              <w:rPr>
                <w:color w:val="auto"/>
                <w:sz w:val="21"/>
                <w:szCs w:val="21"/>
                <w:highlight w:val="none"/>
              </w:rPr>
            </w:pPr>
            <w:r>
              <w:rPr>
                <w:rFonts w:hint="eastAsia"/>
                <w:color w:val="auto"/>
                <w:sz w:val="21"/>
                <w:szCs w:val="21"/>
                <w:highlight w:val="none"/>
              </w:rPr>
              <w:t>路桥相关专业高级工程师</w:t>
            </w:r>
            <w:r>
              <w:rPr>
                <w:rFonts w:hint="eastAsia"/>
                <w:color w:val="auto"/>
                <w:sz w:val="21"/>
                <w:szCs w:val="21"/>
                <w:highlight w:val="none"/>
                <w:lang w:val="en-US"/>
              </w:rPr>
              <w:t>或以上职称</w:t>
            </w:r>
            <w:r>
              <w:rPr>
                <w:rFonts w:hint="eastAsia"/>
                <w:color w:val="auto"/>
                <w:sz w:val="21"/>
                <w:szCs w:val="21"/>
                <w:highlight w:val="none"/>
              </w:rPr>
              <w:t>。</w:t>
            </w:r>
          </w:p>
        </w:tc>
        <w:tc>
          <w:tcPr>
            <w:tcW w:w="1981" w:type="dxa"/>
            <w:vAlign w:val="center"/>
          </w:tcPr>
          <w:p>
            <w:pPr>
              <w:spacing w:line="360" w:lineRule="auto"/>
              <w:jc w:val="center"/>
              <w:rPr>
                <w:color w:val="auto"/>
                <w:sz w:val="21"/>
                <w:szCs w:val="21"/>
                <w:highlight w:val="none"/>
              </w:rPr>
            </w:pPr>
            <w:r>
              <w:rPr>
                <w:rFonts w:hint="eastAsia"/>
                <w:color w:val="auto"/>
                <w:sz w:val="21"/>
                <w:szCs w:val="21"/>
                <w:highlight w:val="none"/>
              </w:rPr>
              <w:t>无</w:t>
            </w:r>
          </w:p>
        </w:tc>
      </w:tr>
    </w:tbl>
    <w:p>
      <w:pPr>
        <w:spacing w:line="400" w:lineRule="exact"/>
        <w:jc w:val="both"/>
        <w:rPr>
          <w:color w:val="auto"/>
          <w:sz w:val="21"/>
          <w:szCs w:val="21"/>
          <w:highlight w:val="none"/>
        </w:rPr>
      </w:pPr>
      <w:r>
        <w:rPr>
          <w:rFonts w:hint="eastAsia"/>
          <w:color w:val="auto"/>
          <w:sz w:val="21"/>
          <w:szCs w:val="21"/>
          <w:highlight w:val="none"/>
        </w:rPr>
        <w:t xml:space="preserve">注：1.资格审查条件要求的人员建造师注册证书、安全生产“三类人员”B类证书及社保均应在投标人所在的单位，否则视为无效。 </w:t>
      </w:r>
    </w:p>
    <w:p>
      <w:pPr>
        <w:spacing w:line="400" w:lineRule="exact"/>
        <w:ind w:firstLine="420" w:firstLineChars="200"/>
        <w:jc w:val="both"/>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val="en-US"/>
        </w:rPr>
        <w:t>2.</w:t>
      </w:r>
      <w:r>
        <w:rPr>
          <w:rFonts w:ascii="Times New Roman" w:hAnsi="Times New Roman" w:cs="Times New Roman"/>
          <w:color w:val="auto"/>
          <w:sz w:val="21"/>
          <w:szCs w:val="21"/>
          <w:highlight w:val="none"/>
        </w:rPr>
        <w:t>若为联合体投标，项目经理、项目总工为联合体中负责施工工作的成员方的正式员工，设计负责人为联合体中负责设计工作的成员方正式员工。</w:t>
      </w:r>
    </w:p>
    <w:p>
      <w:pPr>
        <w:pStyle w:val="2"/>
        <w:spacing w:line="400" w:lineRule="exact"/>
        <w:ind w:left="0" w:leftChars="0"/>
        <w:rPr>
          <w:color w:val="auto"/>
          <w:highlight w:val="none"/>
          <w:lang w:val="en-US"/>
        </w:rPr>
      </w:pPr>
      <w:r>
        <w:rPr>
          <w:color w:val="auto"/>
          <w:highlight w:val="none"/>
          <w:lang w:val="en-US"/>
        </w:rPr>
        <w:t>3</w:t>
      </w:r>
      <w:r>
        <w:rPr>
          <w:rFonts w:hint="eastAsia"/>
          <w:color w:val="auto"/>
          <w:highlight w:val="none"/>
          <w:lang w:val="en-US"/>
        </w:rPr>
        <w:t>.</w:t>
      </w:r>
      <w:r>
        <w:rPr>
          <w:color w:val="auto"/>
          <w:highlight w:val="none"/>
          <w:lang w:val="en-US"/>
        </w:rPr>
        <w:t>路桥相关专业包括交通行业、市政行业及铁路行业中相关的公路、桥梁、公路与桥梁、交通土建、市政道路、市政桥梁、市政道路与桥梁、市政隧道、铁路桥梁、铁路隧道、道路工程、桥梁工程、道桥工程、路桥工程、交通工程、隧道工程、市政路桥、土木工程专业。</w:t>
      </w:r>
      <w:r>
        <w:rPr>
          <w:rFonts w:hint="eastAsia"/>
          <w:color w:val="auto"/>
          <w:highlight w:val="none"/>
          <w:lang w:val="en-US" w:eastAsia="zh-CN"/>
        </w:rPr>
        <w:t xml:space="preserve">       4、</w:t>
      </w:r>
      <w:r>
        <w:rPr>
          <w:rFonts w:hint="eastAsia"/>
          <w:color w:val="auto"/>
          <w:highlight w:val="none"/>
          <w:lang w:val="en-US"/>
        </w:rPr>
        <w:t>主管技术工作指：担任过项目经理、项目副经理、项目总工、项目</w:t>
      </w:r>
      <w:r>
        <w:rPr>
          <w:rFonts w:hint="eastAsia"/>
          <w:color w:val="auto"/>
          <w:highlight w:val="none"/>
          <w:lang w:val="en-US" w:eastAsia="zh-CN"/>
        </w:rPr>
        <w:t>副</w:t>
      </w:r>
      <w:r>
        <w:rPr>
          <w:rFonts w:hint="eastAsia"/>
          <w:color w:val="auto"/>
          <w:highlight w:val="none"/>
          <w:lang w:val="en-US"/>
        </w:rPr>
        <w:t>总工、质检负责人、工程部门负责人。担任类似工程项目经理（或项目副经理或项目总工）岗位经验累计时间、主管类似工程技术工作岗位经验累计时间统计至月，计算时尾数如不少于 15 天的按1个月计，不足15 天部分不计。岗位工作经历以“全国公路建设市场信用信息管理系统”中“个人业绩”的“起始日期”和“截止日期”</w:t>
      </w:r>
      <w:r>
        <w:rPr>
          <w:rFonts w:hint="eastAsia"/>
          <w:color w:val="auto"/>
          <w:highlight w:val="none"/>
          <w:lang w:val="en-US" w:eastAsia="zh-CN"/>
        </w:rPr>
        <w:t>，若同一时间段同时担任了两个或以上符合上述岗位要求的岗位，重叠时间段部分只计算一次时间，不重复计算岗位月数</w:t>
      </w:r>
      <w:r>
        <w:rPr>
          <w:rFonts w:hint="eastAsia"/>
          <w:color w:val="auto"/>
          <w:highlight w:val="none"/>
          <w:lang w:val="en-US"/>
        </w:rPr>
        <w:t>。</w:t>
      </w:r>
    </w:p>
    <w:p>
      <w:pPr>
        <w:rPr>
          <w:rFonts w:hint="default"/>
          <w:color w:val="auto"/>
          <w:highlight w:val="none"/>
          <w:lang w:val="en-US" w:eastAsia="zh-CN"/>
        </w:rPr>
        <w:sectPr>
          <w:footerReference r:id="rId3" w:type="default"/>
          <w:pgSz w:w="11900" w:h="16850"/>
          <w:pgMar w:top="1440" w:right="1800" w:bottom="1440" w:left="1800" w:header="0" w:footer="683" w:gutter="0"/>
          <w:pgNumType w:start="1"/>
          <w:cols w:space="720" w:num="1"/>
        </w:sectPr>
      </w:pPr>
      <w:r>
        <w:rPr>
          <w:rFonts w:hint="eastAsia"/>
          <w:color w:val="auto"/>
          <w:highlight w:val="none"/>
          <w:lang w:val="en-US" w:eastAsia="zh-CN"/>
        </w:rPr>
        <w:t>5、类似工程指四级公路（或以上等级）公路工程施工项目。</w:t>
      </w:r>
    </w:p>
    <w:p>
      <w:pPr>
        <w:spacing w:line="360" w:lineRule="auto"/>
        <w:jc w:val="center"/>
        <w:outlineLvl w:val="1"/>
        <w:rPr>
          <w:b/>
          <w:bCs/>
          <w:color w:val="auto"/>
          <w:sz w:val="44"/>
          <w:szCs w:val="44"/>
          <w:highlight w:val="none"/>
        </w:rPr>
        <w:sectPr>
          <w:footerReference r:id="rId4" w:type="default"/>
          <w:pgSz w:w="11906" w:h="16838"/>
          <w:pgMar w:top="1418" w:right="1134" w:bottom="1418" w:left="1134" w:header="851" w:footer="992" w:gutter="0"/>
          <w:cols w:space="720" w:num="1"/>
          <w:docGrid w:type="lines" w:linePitch="312" w:charSpace="0"/>
        </w:sectPr>
      </w:pPr>
      <w:bookmarkStart w:id="20" w:name="_Toc9401_WPSOffice_Level1"/>
      <w:r>
        <w:rPr>
          <w:rFonts w:hint="eastAsia"/>
          <w:b/>
          <w:bCs/>
          <w:color w:val="auto"/>
          <w:sz w:val="44"/>
          <w:szCs w:val="44"/>
          <w:highlight w:val="none"/>
        </w:rPr>
        <w:t>第三章</w:t>
      </w:r>
      <w:r>
        <w:rPr>
          <w:rFonts w:hint="eastAsia"/>
          <w:b/>
          <w:bCs/>
          <w:color w:val="auto"/>
          <w:sz w:val="44"/>
          <w:szCs w:val="44"/>
          <w:highlight w:val="none"/>
          <w:lang w:val="en-US"/>
        </w:rPr>
        <w:t xml:space="preserve"> </w:t>
      </w:r>
      <w:r>
        <w:rPr>
          <w:rFonts w:hint="eastAsia"/>
          <w:b/>
          <w:bCs/>
          <w:color w:val="auto"/>
          <w:sz w:val="44"/>
          <w:szCs w:val="44"/>
          <w:highlight w:val="none"/>
        </w:rPr>
        <w:t>评标</w:t>
      </w:r>
      <w:r>
        <w:rPr>
          <w:rFonts w:hint="eastAsia"/>
          <w:b/>
          <w:bCs/>
          <w:color w:val="auto"/>
          <w:sz w:val="44"/>
          <w:szCs w:val="44"/>
          <w:highlight w:val="none"/>
          <w:lang w:val="en-US"/>
        </w:rPr>
        <w:t>定标</w:t>
      </w:r>
      <w:r>
        <w:rPr>
          <w:rFonts w:hint="eastAsia"/>
          <w:b/>
          <w:bCs/>
          <w:color w:val="auto"/>
          <w:sz w:val="44"/>
          <w:szCs w:val="44"/>
          <w:highlight w:val="none"/>
        </w:rPr>
        <w:t>办法</w:t>
      </w:r>
      <w:bookmarkEnd w:id="20"/>
    </w:p>
    <w:p>
      <w:pPr>
        <w:pStyle w:val="4"/>
        <w:adjustRightInd w:val="0"/>
        <w:snapToGrid w:val="0"/>
        <w:spacing w:before="480" w:after="240" w:line="360" w:lineRule="auto"/>
        <w:jc w:val="center"/>
        <w:rPr>
          <w:rFonts w:eastAsia="黑体"/>
          <w:b w:val="0"/>
          <w:color w:val="auto"/>
          <w:sz w:val="28"/>
          <w:szCs w:val="28"/>
          <w:highlight w:val="none"/>
          <w:lang w:val="en-US"/>
        </w:rPr>
      </w:pPr>
      <w:r>
        <w:rPr>
          <w:rFonts w:hint="eastAsia" w:eastAsia="黑体"/>
          <w:b w:val="0"/>
          <w:color w:val="auto"/>
          <w:sz w:val="28"/>
          <w:szCs w:val="28"/>
          <w:highlight w:val="none"/>
          <w:lang w:val="en-US"/>
        </w:rPr>
        <w:t>第一节  双信封的综合评分法</w:t>
      </w:r>
    </w:p>
    <w:p>
      <w:pPr>
        <w:spacing w:line="360" w:lineRule="auto"/>
        <w:jc w:val="both"/>
        <w:rPr>
          <w:b/>
          <w:bCs/>
          <w:color w:val="auto"/>
          <w:sz w:val="30"/>
          <w:szCs w:val="30"/>
          <w:highlight w:val="none"/>
        </w:rPr>
      </w:pPr>
      <w:bookmarkStart w:id="21" w:name="_Toc9297_WPSOffice_Level2"/>
      <w:bookmarkStart w:id="22" w:name="_Toc6820_WPSOffice_Level2"/>
      <w:bookmarkStart w:id="23" w:name="_Toc26475_WPSOffice_Level2"/>
      <w:bookmarkStart w:id="24" w:name="_Toc21579_WPSOffice_Level2"/>
      <w:r>
        <w:rPr>
          <w:rFonts w:hint="eastAsia"/>
          <w:b/>
          <w:bCs/>
          <w:color w:val="auto"/>
          <w:sz w:val="30"/>
          <w:szCs w:val="30"/>
          <w:highlight w:val="none"/>
        </w:rPr>
        <w:t>评标办法前附表</w:t>
      </w:r>
      <w:bookmarkEnd w:id="21"/>
      <w:bookmarkEnd w:id="22"/>
      <w:bookmarkEnd w:id="23"/>
      <w:bookmarkEnd w:id="24"/>
      <w:r>
        <w:rPr>
          <w:rFonts w:hint="eastAsia"/>
          <w:b/>
          <w:bCs/>
          <w:color w:val="auto"/>
          <w:sz w:val="30"/>
          <w:szCs w:val="30"/>
          <w:highlight w:val="none"/>
        </w:rPr>
        <w:t xml:space="preserve"> </w:t>
      </w:r>
    </w:p>
    <w:tbl>
      <w:tblPr>
        <w:tblStyle w:val="10"/>
        <w:tblW w:w="96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1"/>
        <w:gridCol w:w="1020"/>
        <w:gridCol w:w="78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841" w:type="dxa"/>
            <w:gridSpan w:val="2"/>
            <w:vAlign w:val="center"/>
          </w:tcPr>
          <w:p>
            <w:pPr>
              <w:spacing w:before="142"/>
              <w:jc w:val="center"/>
              <w:rPr>
                <w:b/>
                <w:bCs/>
                <w:color w:val="auto"/>
                <w:sz w:val="24"/>
                <w:szCs w:val="24"/>
                <w:highlight w:val="none"/>
              </w:rPr>
            </w:pPr>
            <w:r>
              <w:rPr>
                <w:b/>
                <w:bCs/>
                <w:color w:val="auto"/>
                <w:sz w:val="24"/>
                <w:szCs w:val="24"/>
                <w:highlight w:val="none"/>
              </w:rPr>
              <w:t>条款号</w:t>
            </w:r>
          </w:p>
        </w:tc>
        <w:tc>
          <w:tcPr>
            <w:tcW w:w="7805" w:type="dxa"/>
            <w:vAlign w:val="center"/>
          </w:tcPr>
          <w:p>
            <w:pPr>
              <w:spacing w:before="142"/>
              <w:jc w:val="center"/>
              <w:rPr>
                <w:b/>
                <w:bCs/>
                <w:color w:val="auto"/>
                <w:sz w:val="24"/>
                <w:szCs w:val="24"/>
                <w:highlight w:val="none"/>
              </w:rPr>
            </w:pPr>
            <w:r>
              <w:rPr>
                <w:b/>
                <w:bCs/>
                <w:color w:val="auto"/>
                <w:sz w:val="24"/>
                <w:szCs w:val="24"/>
                <w:highlight w:val="none"/>
              </w:rPr>
              <w:t>评审因素与标准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21" w:type="dxa"/>
            <w:vAlign w:val="center"/>
          </w:tcPr>
          <w:p>
            <w:pPr>
              <w:spacing w:before="142"/>
              <w:jc w:val="center"/>
              <w:rPr>
                <w:color w:val="auto"/>
                <w:sz w:val="21"/>
                <w:highlight w:val="none"/>
              </w:rPr>
            </w:pPr>
            <w:r>
              <w:rPr>
                <w:color w:val="auto"/>
                <w:sz w:val="21"/>
                <w:highlight w:val="none"/>
              </w:rPr>
              <w:t>1</w:t>
            </w:r>
          </w:p>
        </w:tc>
        <w:tc>
          <w:tcPr>
            <w:tcW w:w="1020" w:type="dxa"/>
            <w:vAlign w:val="center"/>
          </w:tcPr>
          <w:p>
            <w:pPr>
              <w:spacing w:before="142"/>
              <w:ind w:right="-29"/>
              <w:jc w:val="center"/>
              <w:rPr>
                <w:color w:val="auto"/>
                <w:sz w:val="21"/>
                <w:highlight w:val="none"/>
              </w:rPr>
            </w:pPr>
            <w:r>
              <w:rPr>
                <w:color w:val="auto"/>
                <w:spacing w:val="-2"/>
                <w:sz w:val="21"/>
                <w:highlight w:val="none"/>
              </w:rPr>
              <w:t>评标方法</w:t>
            </w:r>
          </w:p>
        </w:tc>
        <w:tc>
          <w:tcPr>
            <w:tcW w:w="7805" w:type="dxa"/>
          </w:tcPr>
          <w:p>
            <w:pPr>
              <w:pStyle w:val="11"/>
              <w:jc w:val="both"/>
              <w:rPr>
                <w:color w:val="auto"/>
                <w:sz w:val="21"/>
                <w:szCs w:val="21"/>
                <w:highlight w:val="none"/>
              </w:rPr>
            </w:pPr>
            <w:r>
              <w:rPr>
                <w:rFonts w:hint="eastAsia"/>
                <w:color w:val="auto"/>
                <w:sz w:val="21"/>
                <w:szCs w:val="21"/>
                <w:highlight w:val="none"/>
                <w:lang w:val="en-US"/>
              </w:rPr>
              <w:t>综合得分</w:t>
            </w:r>
            <w:r>
              <w:rPr>
                <w:color w:val="auto"/>
                <w:sz w:val="21"/>
                <w:szCs w:val="21"/>
                <w:highlight w:val="none"/>
              </w:rPr>
              <w:t>相等时</w:t>
            </w:r>
            <w:r>
              <w:rPr>
                <w:rFonts w:hint="eastAsia"/>
                <w:color w:val="auto"/>
                <w:sz w:val="21"/>
                <w:szCs w:val="21"/>
                <w:highlight w:val="none"/>
              </w:rPr>
              <w:t>，</w:t>
            </w:r>
            <w:r>
              <w:rPr>
                <w:color w:val="auto"/>
                <w:sz w:val="21"/>
                <w:szCs w:val="21"/>
                <w:highlight w:val="none"/>
              </w:rPr>
              <w:t>评标委员会依次按照以下</w:t>
            </w:r>
            <w:r>
              <w:rPr>
                <w:rFonts w:hint="eastAsia"/>
                <w:color w:val="auto"/>
                <w:sz w:val="21"/>
                <w:szCs w:val="21"/>
                <w:highlight w:val="none"/>
              </w:rPr>
              <w:t>优先</w:t>
            </w:r>
            <w:r>
              <w:rPr>
                <w:color w:val="auto"/>
                <w:sz w:val="21"/>
                <w:szCs w:val="21"/>
                <w:highlight w:val="none"/>
              </w:rPr>
              <w:t>顺序推荐</w:t>
            </w:r>
            <w:r>
              <w:rPr>
                <w:rFonts w:hint="eastAsia"/>
                <w:color w:val="auto"/>
                <w:sz w:val="21"/>
                <w:szCs w:val="21"/>
                <w:highlight w:val="none"/>
              </w:rPr>
              <w:t>定</w:t>
            </w:r>
            <w:r>
              <w:rPr>
                <w:color w:val="auto"/>
                <w:sz w:val="21"/>
                <w:szCs w:val="21"/>
                <w:highlight w:val="none"/>
              </w:rPr>
              <w:t>标候选人：</w:t>
            </w:r>
          </w:p>
          <w:p>
            <w:pPr>
              <w:pStyle w:val="11"/>
              <w:jc w:val="both"/>
              <w:rPr>
                <w:color w:val="auto"/>
                <w:sz w:val="21"/>
                <w:szCs w:val="21"/>
                <w:highlight w:val="none"/>
              </w:rPr>
            </w:pPr>
            <w:r>
              <w:rPr>
                <w:color w:val="auto"/>
                <w:sz w:val="21"/>
                <w:szCs w:val="21"/>
                <w:highlight w:val="none"/>
              </w:rPr>
              <w:t>（1）评标价低的优先；</w:t>
            </w:r>
          </w:p>
          <w:p>
            <w:pPr>
              <w:pStyle w:val="11"/>
              <w:jc w:val="both"/>
              <w:rPr>
                <w:color w:val="auto"/>
                <w:sz w:val="21"/>
                <w:szCs w:val="21"/>
                <w:highlight w:val="none"/>
              </w:rPr>
            </w:pPr>
            <w:r>
              <w:rPr>
                <w:color w:val="auto"/>
                <w:sz w:val="21"/>
                <w:szCs w:val="21"/>
                <w:highlight w:val="none"/>
              </w:rPr>
              <w:t>（</w:t>
            </w:r>
            <w:r>
              <w:rPr>
                <w:rFonts w:hint="eastAsia"/>
                <w:color w:val="auto"/>
                <w:sz w:val="21"/>
                <w:szCs w:val="21"/>
                <w:highlight w:val="none"/>
                <w:lang w:val="en-US"/>
              </w:rPr>
              <w:t>2</w:t>
            </w:r>
            <w:r>
              <w:rPr>
                <w:color w:val="auto"/>
                <w:sz w:val="21"/>
                <w:szCs w:val="21"/>
                <w:highlight w:val="none"/>
              </w:rPr>
              <w:t>）以投标人企业最新年度净资产较高的优先</w:t>
            </w:r>
            <w:r>
              <w:rPr>
                <w:rFonts w:hint="eastAsia"/>
                <w:color w:val="auto"/>
                <w:sz w:val="21"/>
                <w:szCs w:val="21"/>
                <w:highlight w:val="none"/>
              </w:rPr>
              <w:t>（如果联合体参加投标的，本款中最新年度净资产以承担施工任务的联合体成员方（数量不止1家，按就高不就低的原则确定）的情况为准）</w:t>
            </w:r>
            <w:r>
              <w:rPr>
                <w:color w:val="auto"/>
                <w:sz w:val="21"/>
                <w:szCs w:val="21"/>
                <w:highlight w:val="none"/>
              </w:rPr>
              <w:t>；</w:t>
            </w:r>
          </w:p>
          <w:p>
            <w:pPr>
              <w:pStyle w:val="11"/>
              <w:jc w:val="both"/>
              <w:rPr>
                <w:color w:val="auto"/>
                <w:sz w:val="21"/>
                <w:highlight w:val="none"/>
              </w:rPr>
            </w:pPr>
            <w:r>
              <w:rPr>
                <w:color w:val="auto"/>
                <w:sz w:val="21"/>
                <w:szCs w:val="21"/>
                <w:highlight w:val="none"/>
              </w:rPr>
              <w:t>（</w:t>
            </w:r>
            <w:r>
              <w:rPr>
                <w:rFonts w:hint="eastAsia"/>
                <w:color w:val="auto"/>
                <w:sz w:val="21"/>
                <w:szCs w:val="21"/>
                <w:highlight w:val="none"/>
                <w:lang w:val="en-US"/>
              </w:rPr>
              <w:t>3</w:t>
            </w:r>
            <w:r>
              <w:rPr>
                <w:color w:val="auto"/>
                <w:sz w:val="21"/>
                <w:szCs w:val="21"/>
                <w:highlight w:val="none"/>
              </w:rPr>
              <w:t xml:space="preserve">）评标委员会视投标人情况综合比较，投票确定其名次。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21" w:type="dxa"/>
            <w:vAlign w:val="center"/>
          </w:tcPr>
          <w:p>
            <w:pPr>
              <w:spacing w:before="142"/>
              <w:jc w:val="center"/>
              <w:rPr>
                <w:color w:val="auto"/>
                <w:sz w:val="21"/>
                <w:highlight w:val="none"/>
              </w:rPr>
            </w:pPr>
            <w:r>
              <w:rPr>
                <w:color w:val="auto"/>
                <w:sz w:val="21"/>
                <w:highlight w:val="none"/>
              </w:rPr>
              <w:t>2.1.1</w:t>
            </w:r>
          </w:p>
          <w:p>
            <w:pPr>
              <w:spacing w:before="142"/>
              <w:jc w:val="center"/>
              <w:rPr>
                <w:color w:val="auto"/>
                <w:sz w:val="21"/>
                <w:highlight w:val="none"/>
              </w:rPr>
            </w:pPr>
            <w:r>
              <w:rPr>
                <w:color w:val="auto"/>
                <w:sz w:val="21"/>
                <w:highlight w:val="none"/>
              </w:rPr>
              <w:t>2.1.3</w:t>
            </w:r>
          </w:p>
        </w:tc>
        <w:tc>
          <w:tcPr>
            <w:tcW w:w="1020" w:type="dxa"/>
            <w:vAlign w:val="center"/>
          </w:tcPr>
          <w:p>
            <w:pPr>
              <w:spacing w:before="142"/>
              <w:jc w:val="center"/>
              <w:rPr>
                <w:color w:val="auto"/>
                <w:sz w:val="21"/>
                <w:highlight w:val="none"/>
              </w:rPr>
            </w:pPr>
            <w:r>
              <w:rPr>
                <w:color w:val="auto"/>
                <w:sz w:val="21"/>
                <w:highlight w:val="none"/>
              </w:rPr>
              <w:t>形式评审与响应性评审标准</w:t>
            </w:r>
          </w:p>
        </w:tc>
        <w:tc>
          <w:tcPr>
            <w:tcW w:w="7805" w:type="dxa"/>
          </w:tcPr>
          <w:p>
            <w:pPr>
              <w:spacing w:before="78"/>
              <w:rPr>
                <w:b/>
                <w:color w:val="auto"/>
                <w:sz w:val="21"/>
                <w:highlight w:val="none"/>
              </w:rPr>
            </w:pPr>
            <w:r>
              <w:rPr>
                <w:b/>
                <w:color w:val="auto"/>
                <w:sz w:val="21"/>
                <w:highlight w:val="none"/>
              </w:rPr>
              <w:t>第一个信封（商务及技术文件）评审标准：</w:t>
            </w:r>
            <w:r>
              <w:rPr>
                <w:b/>
                <w:color w:val="auto"/>
                <w:w w:val="99"/>
                <w:sz w:val="21"/>
                <w:highlight w:val="none"/>
              </w:rPr>
              <w:t xml:space="preserve"> </w:t>
            </w:r>
          </w:p>
          <w:p>
            <w:pPr>
              <w:pStyle w:val="11"/>
              <w:jc w:val="both"/>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1</w:t>
            </w:r>
            <w:r>
              <w:rPr>
                <w:rFonts w:hint="eastAsia"/>
                <w:color w:val="auto"/>
                <w:sz w:val="21"/>
                <w:szCs w:val="21"/>
                <w:highlight w:val="none"/>
              </w:rPr>
              <w:t>)</w:t>
            </w:r>
            <w:r>
              <w:rPr>
                <w:color w:val="auto"/>
                <w:sz w:val="21"/>
                <w:szCs w:val="21"/>
                <w:highlight w:val="none"/>
              </w:rPr>
              <w:t xml:space="preserve">投标文件按照招标文件规定的格式、内容填写，字迹清晰可辨： </w:t>
            </w:r>
          </w:p>
          <w:p>
            <w:pPr>
              <w:pStyle w:val="11"/>
              <w:jc w:val="both"/>
              <w:rPr>
                <w:color w:val="auto"/>
                <w:sz w:val="21"/>
                <w:szCs w:val="21"/>
                <w:highlight w:val="none"/>
              </w:rPr>
            </w:pPr>
            <w:r>
              <w:rPr>
                <w:color w:val="auto"/>
                <w:sz w:val="21"/>
                <w:szCs w:val="21"/>
                <w:highlight w:val="none"/>
              </w:rPr>
              <w:t xml:space="preserve">a.投标函按招标文件规定填报了项目名称、补遗书编号（如有)、工期、工程质量要求及安全目标； </w:t>
            </w:r>
          </w:p>
          <w:p>
            <w:pPr>
              <w:pStyle w:val="11"/>
              <w:jc w:val="both"/>
              <w:rPr>
                <w:color w:val="auto"/>
                <w:sz w:val="21"/>
                <w:szCs w:val="21"/>
                <w:highlight w:val="none"/>
              </w:rPr>
            </w:pPr>
            <w:r>
              <w:rPr>
                <w:color w:val="auto"/>
                <w:sz w:val="21"/>
                <w:szCs w:val="21"/>
                <w:highlight w:val="none"/>
              </w:rPr>
              <w:t>b.投标函附录的所有数据均符合招标文件规定；</w:t>
            </w:r>
          </w:p>
          <w:p>
            <w:pPr>
              <w:pStyle w:val="11"/>
              <w:jc w:val="both"/>
              <w:rPr>
                <w:color w:val="auto"/>
                <w:sz w:val="21"/>
                <w:szCs w:val="21"/>
                <w:highlight w:val="none"/>
              </w:rPr>
            </w:pPr>
            <w:r>
              <w:rPr>
                <w:color w:val="auto"/>
                <w:sz w:val="21"/>
                <w:szCs w:val="21"/>
                <w:highlight w:val="none"/>
              </w:rPr>
              <w:t xml:space="preserve">c.投标文件组成齐全完整，内容均按规定填写。 </w:t>
            </w:r>
          </w:p>
          <w:p>
            <w:pPr>
              <w:pStyle w:val="11"/>
              <w:jc w:val="both"/>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2</w:t>
            </w:r>
            <w:r>
              <w:rPr>
                <w:rFonts w:hint="eastAsia"/>
                <w:color w:val="auto"/>
                <w:sz w:val="21"/>
                <w:szCs w:val="21"/>
                <w:highlight w:val="none"/>
              </w:rPr>
              <w:t>)</w:t>
            </w:r>
            <w:r>
              <w:rPr>
                <w:color w:val="auto"/>
                <w:sz w:val="21"/>
                <w:szCs w:val="21"/>
                <w:highlight w:val="none"/>
              </w:rPr>
              <w:t>投标文件上法定代表人或其委托代理人的签字</w:t>
            </w:r>
            <w:r>
              <w:rPr>
                <w:rFonts w:hint="eastAsia"/>
                <w:color w:val="auto"/>
                <w:sz w:val="21"/>
                <w:szCs w:val="21"/>
                <w:highlight w:val="none"/>
              </w:rPr>
              <w:t>、</w:t>
            </w:r>
            <w:r>
              <w:rPr>
                <w:rFonts w:hint="eastAsia"/>
                <w:color w:val="auto"/>
                <w:sz w:val="21"/>
                <w:szCs w:val="21"/>
                <w:highlight w:val="none"/>
                <w:lang w:val="en-US"/>
              </w:rPr>
              <w:t>项目经理和项目总工的签字</w:t>
            </w:r>
            <w:r>
              <w:rPr>
                <w:color w:val="auto"/>
                <w:sz w:val="21"/>
                <w:szCs w:val="21"/>
                <w:highlight w:val="none"/>
              </w:rPr>
              <w:t xml:space="preserve">、投标人的单位章盖章齐全，符合招标文件规定。 </w:t>
            </w:r>
          </w:p>
          <w:p>
            <w:pPr>
              <w:pStyle w:val="11"/>
              <w:jc w:val="both"/>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3</w:t>
            </w:r>
            <w:r>
              <w:rPr>
                <w:rFonts w:hint="eastAsia"/>
                <w:color w:val="auto"/>
                <w:sz w:val="21"/>
                <w:szCs w:val="21"/>
                <w:highlight w:val="none"/>
              </w:rPr>
              <w:t>)</w:t>
            </w:r>
            <w:r>
              <w:rPr>
                <w:color w:val="auto"/>
                <w:sz w:val="21"/>
                <w:szCs w:val="21"/>
                <w:highlight w:val="none"/>
              </w:rPr>
              <w:t xml:space="preserve">投标人按照招标文件的规定提供了投标保证金： </w:t>
            </w:r>
          </w:p>
          <w:p>
            <w:pPr>
              <w:pStyle w:val="11"/>
              <w:jc w:val="both"/>
              <w:rPr>
                <w:color w:val="auto"/>
                <w:sz w:val="21"/>
                <w:szCs w:val="21"/>
                <w:highlight w:val="none"/>
              </w:rPr>
            </w:pPr>
            <w:r>
              <w:rPr>
                <w:color w:val="auto"/>
                <w:sz w:val="21"/>
                <w:szCs w:val="21"/>
                <w:highlight w:val="none"/>
              </w:rPr>
              <w:t xml:space="preserve">a.投标保证金金额符合招标文件规定的金额，且投标保证金有效期不少于投标有效期； </w:t>
            </w:r>
          </w:p>
          <w:p>
            <w:pPr>
              <w:pStyle w:val="11"/>
              <w:jc w:val="both"/>
              <w:rPr>
                <w:color w:val="auto"/>
                <w:sz w:val="21"/>
                <w:szCs w:val="21"/>
                <w:highlight w:val="none"/>
              </w:rPr>
            </w:pPr>
            <w:r>
              <w:rPr>
                <w:rFonts w:hint="eastAsia"/>
                <w:color w:val="auto"/>
                <w:sz w:val="21"/>
                <w:szCs w:val="21"/>
                <w:highlight w:val="none"/>
                <w:lang w:val="en-US"/>
              </w:rPr>
              <w:t>b</w:t>
            </w:r>
            <w:r>
              <w:rPr>
                <w:color w:val="auto"/>
                <w:sz w:val="21"/>
                <w:szCs w:val="21"/>
                <w:highlight w:val="none"/>
              </w:rPr>
              <w:t xml:space="preserve">.若投标保证金采用现金或支票形式提交，投标人应在投标人须知3.4.1项规定的时间，将投标保证金由投标人的基本账户转入招标人指定账户； </w:t>
            </w:r>
          </w:p>
          <w:p>
            <w:pPr>
              <w:pStyle w:val="11"/>
              <w:jc w:val="both"/>
              <w:rPr>
                <w:color w:val="auto"/>
                <w:sz w:val="21"/>
                <w:szCs w:val="21"/>
                <w:highlight w:val="none"/>
              </w:rPr>
            </w:pPr>
            <w:r>
              <w:rPr>
                <w:color w:val="auto"/>
                <w:sz w:val="21"/>
                <w:szCs w:val="21"/>
                <w:highlight w:val="none"/>
              </w:rPr>
              <w:t xml:space="preserve">c.若投标保证金采用银行保函形式提交，银行保函的格式、开具保函的银行均满足招标文件要求，银行保函原件在递交投标文件时单独密封递交，其复印件装订在投标文件中。 </w:t>
            </w:r>
          </w:p>
          <w:p>
            <w:pPr>
              <w:pStyle w:val="11"/>
              <w:jc w:val="both"/>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4</w:t>
            </w:r>
            <w:r>
              <w:rPr>
                <w:rFonts w:hint="eastAsia"/>
                <w:color w:val="auto"/>
                <w:sz w:val="21"/>
                <w:szCs w:val="21"/>
                <w:highlight w:val="none"/>
              </w:rPr>
              <w:t>)</w:t>
            </w:r>
            <w:r>
              <w:rPr>
                <w:color w:val="auto"/>
                <w:sz w:val="21"/>
                <w:szCs w:val="21"/>
                <w:highlight w:val="none"/>
              </w:rPr>
              <w:t xml:space="preserve">投标人法定代表人授权委托代理人签署投标文件的，需提交授权委托书，且授权人和被授权人均在授权委托书上签名，未使用印章、签名章或其他电子制版签名代替。 </w:t>
            </w:r>
          </w:p>
          <w:p>
            <w:pPr>
              <w:pStyle w:val="11"/>
              <w:jc w:val="both"/>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5</w:t>
            </w:r>
            <w:r>
              <w:rPr>
                <w:rFonts w:hint="eastAsia"/>
                <w:color w:val="auto"/>
                <w:sz w:val="21"/>
                <w:szCs w:val="21"/>
                <w:highlight w:val="none"/>
              </w:rPr>
              <w:t xml:space="preserve">)投标人法定代表人亲自签署投标文件的，提供了法定代表人身份证明，且法定代表人在法定代表人身份证明上签名，未使用印章、签名章或其他电子制版签名代替。 </w:t>
            </w:r>
          </w:p>
          <w:p>
            <w:pPr>
              <w:pStyle w:val="11"/>
              <w:jc w:val="both"/>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6</w:t>
            </w:r>
            <w:r>
              <w:rPr>
                <w:rFonts w:hint="eastAsia"/>
                <w:color w:val="auto"/>
                <w:sz w:val="21"/>
                <w:szCs w:val="21"/>
                <w:highlight w:val="none"/>
              </w:rPr>
              <w:t xml:space="preserve">)投标人以联合体形式投标时，联合体满足招标文件的要求：投标人按照招标文件提供的格式签订了联合体协议书，明确各方承担连带责任， 并明确了联合体牵头人。  </w:t>
            </w:r>
          </w:p>
          <w:p>
            <w:pPr>
              <w:pStyle w:val="11"/>
              <w:jc w:val="both"/>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7</w:t>
            </w:r>
            <w:r>
              <w:rPr>
                <w:rFonts w:hint="eastAsia"/>
                <w:color w:val="auto"/>
                <w:sz w:val="21"/>
                <w:szCs w:val="21"/>
                <w:highlight w:val="none"/>
              </w:rPr>
              <w:t xml:space="preserve">)投标人如有分包计划，符合招标文件第二章“投标人须知”第1.11款规定，且按招标文件第七章“投标文件格式”的要求填写了“拟分包项目情况表”。 </w:t>
            </w:r>
          </w:p>
          <w:p>
            <w:pPr>
              <w:pStyle w:val="11"/>
              <w:jc w:val="both"/>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8</w:t>
            </w:r>
            <w:r>
              <w:rPr>
                <w:rFonts w:hint="eastAsia"/>
                <w:color w:val="auto"/>
                <w:sz w:val="21"/>
                <w:szCs w:val="21"/>
                <w:highlight w:val="none"/>
              </w:rPr>
              <w:t xml:space="preserve">)同一投标人未提交两个以上不同的投标文件，但招标文件要求提交备选投标的除外。 </w:t>
            </w:r>
          </w:p>
          <w:p>
            <w:pPr>
              <w:pStyle w:val="11"/>
              <w:jc w:val="both"/>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9</w:t>
            </w:r>
            <w:r>
              <w:rPr>
                <w:rFonts w:hint="eastAsia"/>
                <w:color w:val="auto"/>
                <w:sz w:val="21"/>
                <w:szCs w:val="21"/>
                <w:highlight w:val="none"/>
              </w:rPr>
              <w:t>)投标文件中未出现有关投标报价的内容。</w:t>
            </w:r>
          </w:p>
          <w:p>
            <w:pPr>
              <w:pStyle w:val="11"/>
              <w:jc w:val="both"/>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10</w:t>
            </w:r>
            <w:r>
              <w:rPr>
                <w:rFonts w:hint="eastAsia"/>
                <w:color w:val="auto"/>
                <w:sz w:val="21"/>
                <w:szCs w:val="21"/>
                <w:highlight w:val="none"/>
              </w:rPr>
              <w:t>)投标文件载明的招标项目完成期限未超过招标文件规定的时限。</w:t>
            </w:r>
          </w:p>
          <w:p>
            <w:pPr>
              <w:pStyle w:val="11"/>
              <w:jc w:val="both"/>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11</w:t>
            </w:r>
            <w:r>
              <w:rPr>
                <w:rFonts w:hint="eastAsia"/>
                <w:color w:val="auto"/>
                <w:sz w:val="21"/>
                <w:szCs w:val="21"/>
                <w:highlight w:val="none"/>
              </w:rPr>
              <w:t xml:space="preserve">)投标文件对招标文件的实质性要求和条件作出响应。 </w:t>
            </w:r>
          </w:p>
        </w:tc>
      </w:tr>
    </w:tbl>
    <w:p>
      <w:pPr>
        <w:ind w:firstLine="440" w:firstLineChars="200"/>
        <w:jc w:val="both"/>
        <w:rPr>
          <w:color w:val="auto"/>
          <w:highlight w:val="none"/>
          <w:lang w:val="en-US"/>
        </w:rPr>
      </w:pPr>
    </w:p>
    <w:p>
      <w:pPr>
        <w:ind w:firstLine="440" w:firstLineChars="200"/>
        <w:jc w:val="both"/>
        <w:rPr>
          <w:color w:val="auto"/>
          <w:highlight w:val="none"/>
          <w:lang w:val="en-US"/>
        </w:rPr>
      </w:pPr>
    </w:p>
    <w:p>
      <w:pPr>
        <w:ind w:firstLine="440" w:firstLineChars="200"/>
        <w:jc w:val="both"/>
        <w:rPr>
          <w:color w:val="auto"/>
          <w:highlight w:val="none"/>
          <w:lang w:val="en-US"/>
        </w:rPr>
      </w:pPr>
    </w:p>
    <w:tbl>
      <w:tblPr>
        <w:tblStyle w:val="10"/>
        <w:tblW w:w="98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1"/>
        <w:gridCol w:w="1020"/>
        <w:gridCol w:w="80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1" w:hRule="atLeast"/>
          <w:jc w:val="center"/>
        </w:trPr>
        <w:tc>
          <w:tcPr>
            <w:tcW w:w="1841" w:type="dxa"/>
            <w:gridSpan w:val="2"/>
            <w:vAlign w:val="center"/>
          </w:tcPr>
          <w:p>
            <w:pPr>
              <w:spacing w:before="142"/>
              <w:jc w:val="center"/>
              <w:rPr>
                <w:b/>
                <w:bCs/>
                <w:color w:val="auto"/>
                <w:sz w:val="24"/>
                <w:szCs w:val="24"/>
                <w:highlight w:val="none"/>
              </w:rPr>
            </w:pPr>
            <w:r>
              <w:rPr>
                <w:b/>
                <w:bCs/>
                <w:color w:val="auto"/>
                <w:sz w:val="24"/>
                <w:szCs w:val="24"/>
                <w:highlight w:val="none"/>
              </w:rPr>
              <w:t>条款号</w:t>
            </w:r>
          </w:p>
        </w:tc>
        <w:tc>
          <w:tcPr>
            <w:tcW w:w="8038" w:type="dxa"/>
            <w:vAlign w:val="center"/>
          </w:tcPr>
          <w:p>
            <w:pPr>
              <w:spacing w:before="142"/>
              <w:jc w:val="center"/>
              <w:rPr>
                <w:b/>
                <w:bCs/>
                <w:color w:val="auto"/>
                <w:sz w:val="24"/>
                <w:szCs w:val="24"/>
                <w:highlight w:val="none"/>
              </w:rPr>
            </w:pPr>
            <w:r>
              <w:rPr>
                <w:b/>
                <w:bCs/>
                <w:color w:val="auto"/>
                <w:sz w:val="24"/>
                <w:szCs w:val="24"/>
                <w:highlight w:val="none"/>
              </w:rPr>
              <w:t>评审因素与标准</w:t>
            </w:r>
          </w:p>
        </w:tc>
      </w:tr>
      <w:tr>
        <w:trPr>
          <w:trHeight w:val="2198" w:hRule="atLeast"/>
          <w:jc w:val="center"/>
        </w:trPr>
        <w:tc>
          <w:tcPr>
            <w:tcW w:w="821" w:type="dxa"/>
            <w:vAlign w:val="center"/>
          </w:tcPr>
          <w:p>
            <w:pPr>
              <w:spacing w:before="142"/>
              <w:jc w:val="center"/>
              <w:rPr>
                <w:color w:val="auto"/>
                <w:sz w:val="21"/>
                <w:highlight w:val="none"/>
              </w:rPr>
            </w:pPr>
          </w:p>
        </w:tc>
        <w:tc>
          <w:tcPr>
            <w:tcW w:w="1020" w:type="dxa"/>
            <w:vAlign w:val="center"/>
          </w:tcPr>
          <w:p>
            <w:pPr>
              <w:spacing w:before="142"/>
              <w:ind w:right="-29"/>
              <w:jc w:val="center"/>
              <w:rPr>
                <w:color w:val="auto"/>
                <w:sz w:val="21"/>
                <w:highlight w:val="none"/>
              </w:rPr>
            </w:pPr>
          </w:p>
        </w:tc>
        <w:tc>
          <w:tcPr>
            <w:tcW w:w="8038" w:type="dxa"/>
          </w:tcPr>
          <w:p>
            <w:pPr>
              <w:pStyle w:val="11"/>
              <w:jc w:val="both"/>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12</w:t>
            </w:r>
            <w:r>
              <w:rPr>
                <w:rFonts w:hint="eastAsia"/>
                <w:color w:val="auto"/>
                <w:sz w:val="21"/>
                <w:szCs w:val="21"/>
                <w:highlight w:val="none"/>
              </w:rPr>
              <w:t xml:space="preserve">)权利义务符合招标文件规定： </w:t>
            </w:r>
          </w:p>
          <w:p>
            <w:pPr>
              <w:spacing w:before="8"/>
              <w:rPr>
                <w:color w:val="auto"/>
                <w:sz w:val="21"/>
                <w:szCs w:val="21"/>
                <w:highlight w:val="none"/>
              </w:rPr>
            </w:pPr>
            <w:r>
              <w:rPr>
                <w:color w:val="auto"/>
                <w:sz w:val="21"/>
                <w:szCs w:val="21"/>
                <w:highlight w:val="none"/>
              </w:rPr>
              <w:t>a.</w:t>
            </w:r>
            <w:r>
              <w:rPr>
                <w:rFonts w:hint="eastAsia"/>
                <w:color w:val="auto"/>
                <w:sz w:val="21"/>
                <w:szCs w:val="21"/>
                <w:highlight w:val="none"/>
              </w:rPr>
              <w:t xml:space="preserve">投标人应接受招标文件规定的风险划分原则，未提出新的风险划分办法； </w:t>
            </w:r>
          </w:p>
          <w:p>
            <w:pPr>
              <w:pStyle w:val="11"/>
              <w:jc w:val="both"/>
              <w:rPr>
                <w:color w:val="auto"/>
                <w:sz w:val="21"/>
                <w:szCs w:val="21"/>
                <w:highlight w:val="none"/>
              </w:rPr>
            </w:pPr>
            <w:r>
              <w:rPr>
                <w:rFonts w:hint="eastAsia"/>
                <w:color w:val="auto"/>
                <w:sz w:val="21"/>
                <w:szCs w:val="21"/>
                <w:highlight w:val="none"/>
                <w:lang w:val="en-US"/>
              </w:rPr>
              <w:t>b</w:t>
            </w:r>
            <w:r>
              <w:rPr>
                <w:color w:val="auto"/>
                <w:sz w:val="21"/>
                <w:szCs w:val="21"/>
                <w:highlight w:val="none"/>
              </w:rPr>
              <w:t>.</w:t>
            </w:r>
            <w:r>
              <w:rPr>
                <w:rFonts w:hint="eastAsia"/>
                <w:color w:val="auto"/>
                <w:sz w:val="21"/>
                <w:szCs w:val="21"/>
                <w:highlight w:val="none"/>
              </w:rPr>
              <w:t xml:space="preserve">投标人未增加发包人的责任范围，或减少投标人义务； </w:t>
            </w:r>
          </w:p>
          <w:p>
            <w:pPr>
              <w:pStyle w:val="11"/>
              <w:jc w:val="both"/>
              <w:rPr>
                <w:color w:val="auto"/>
                <w:sz w:val="21"/>
                <w:szCs w:val="21"/>
                <w:highlight w:val="none"/>
              </w:rPr>
            </w:pPr>
            <w:r>
              <w:rPr>
                <w:rFonts w:hint="eastAsia"/>
                <w:color w:val="auto"/>
                <w:sz w:val="21"/>
                <w:szCs w:val="21"/>
                <w:highlight w:val="none"/>
              </w:rPr>
              <w:t xml:space="preserve">c.投标人未提出不同的工程验收、计量、支付办法； </w:t>
            </w:r>
          </w:p>
          <w:p>
            <w:pPr>
              <w:pStyle w:val="11"/>
              <w:jc w:val="both"/>
              <w:rPr>
                <w:color w:val="auto"/>
                <w:sz w:val="21"/>
                <w:szCs w:val="21"/>
                <w:highlight w:val="none"/>
              </w:rPr>
            </w:pPr>
            <w:r>
              <w:rPr>
                <w:rFonts w:hint="eastAsia"/>
                <w:color w:val="auto"/>
                <w:sz w:val="21"/>
                <w:szCs w:val="21"/>
                <w:highlight w:val="none"/>
              </w:rPr>
              <w:t xml:space="preserve">d.投标人对合同纠纷、事故处理办法未提出异议； </w:t>
            </w:r>
          </w:p>
          <w:p>
            <w:pPr>
              <w:pStyle w:val="11"/>
              <w:jc w:val="both"/>
              <w:rPr>
                <w:color w:val="auto"/>
                <w:sz w:val="21"/>
                <w:szCs w:val="21"/>
                <w:highlight w:val="none"/>
              </w:rPr>
            </w:pPr>
            <w:r>
              <w:rPr>
                <w:rFonts w:hint="eastAsia"/>
                <w:color w:val="auto"/>
                <w:sz w:val="21"/>
                <w:szCs w:val="21"/>
                <w:highlight w:val="none"/>
              </w:rPr>
              <w:t xml:space="preserve">e.投标人在投标活动中无欺诈行为； </w:t>
            </w:r>
          </w:p>
          <w:p>
            <w:pPr>
              <w:pStyle w:val="11"/>
              <w:jc w:val="both"/>
              <w:rPr>
                <w:color w:val="auto"/>
                <w:sz w:val="21"/>
                <w:szCs w:val="21"/>
                <w:highlight w:val="none"/>
              </w:rPr>
            </w:pPr>
            <w:r>
              <w:rPr>
                <w:rFonts w:hint="eastAsia"/>
                <w:color w:val="auto"/>
                <w:sz w:val="21"/>
                <w:szCs w:val="21"/>
                <w:highlight w:val="none"/>
              </w:rPr>
              <w:t xml:space="preserve">f.投标人未对合同条款有重要保留。 </w:t>
            </w:r>
          </w:p>
          <w:p>
            <w:pPr>
              <w:pStyle w:val="11"/>
              <w:jc w:val="both"/>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13</w:t>
            </w:r>
            <w:r>
              <w:rPr>
                <w:rFonts w:hint="eastAsia"/>
                <w:color w:val="auto"/>
                <w:sz w:val="21"/>
                <w:szCs w:val="21"/>
                <w:highlight w:val="none"/>
              </w:rPr>
              <w:t xml:space="preserve">)投标文件正、副本份数符合招标文件第二章“投标人须知第3.7.4项规定。 </w:t>
            </w:r>
          </w:p>
          <w:p>
            <w:pPr>
              <w:pStyle w:val="11"/>
              <w:jc w:val="both"/>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14</w:t>
            </w:r>
            <w:r>
              <w:rPr>
                <w:rFonts w:hint="eastAsia"/>
                <w:color w:val="auto"/>
                <w:sz w:val="21"/>
                <w:szCs w:val="21"/>
                <w:highlight w:val="none"/>
              </w:rPr>
              <w:t xml:space="preserve">)投标文件未附有招标人不能接受的条件。 </w:t>
            </w:r>
          </w:p>
          <w:p>
            <w:pPr>
              <w:pStyle w:val="11"/>
              <w:spacing w:before="91"/>
              <w:ind w:left="4"/>
              <w:rPr>
                <w:color w:val="auto"/>
                <w:sz w:val="21"/>
                <w:highlight w:val="none"/>
              </w:rPr>
            </w:pPr>
          </w:p>
          <w:p>
            <w:pPr>
              <w:pStyle w:val="11"/>
              <w:spacing w:before="91"/>
              <w:ind w:left="4"/>
              <w:rPr>
                <w:b/>
                <w:color w:val="auto"/>
                <w:sz w:val="21"/>
                <w:highlight w:val="none"/>
              </w:rPr>
            </w:pPr>
            <w:r>
              <w:rPr>
                <w:b/>
                <w:color w:val="auto"/>
                <w:sz w:val="21"/>
                <w:highlight w:val="none"/>
              </w:rPr>
              <w:t>第二个信封（报价文件）评审标准：</w:t>
            </w:r>
            <w:r>
              <w:rPr>
                <w:b/>
                <w:color w:val="auto"/>
                <w:w w:val="99"/>
                <w:sz w:val="21"/>
                <w:highlight w:val="none"/>
              </w:rPr>
              <w:t xml:space="preserve"> </w:t>
            </w:r>
          </w:p>
          <w:p>
            <w:pPr>
              <w:pStyle w:val="11"/>
              <w:jc w:val="both"/>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1</w:t>
            </w:r>
            <w:r>
              <w:rPr>
                <w:rFonts w:hint="eastAsia"/>
                <w:color w:val="auto"/>
                <w:sz w:val="21"/>
                <w:szCs w:val="21"/>
                <w:highlight w:val="none"/>
              </w:rPr>
              <w:t xml:space="preserve">)投标文件按照招标文件规定的格式、内容填写，字迹清晰可辨： </w:t>
            </w:r>
          </w:p>
          <w:p>
            <w:pPr>
              <w:pStyle w:val="11"/>
              <w:jc w:val="both"/>
              <w:rPr>
                <w:color w:val="auto"/>
                <w:sz w:val="21"/>
                <w:szCs w:val="21"/>
                <w:highlight w:val="none"/>
              </w:rPr>
            </w:pPr>
            <w:r>
              <w:rPr>
                <w:rFonts w:hint="eastAsia"/>
                <w:color w:val="auto"/>
                <w:sz w:val="21"/>
                <w:szCs w:val="21"/>
                <w:highlight w:val="none"/>
              </w:rPr>
              <w:t xml:space="preserve">a.投标函按招标文件规定填报了项目名称、投标报价（包括大写金额和小写金额）； </w:t>
            </w:r>
          </w:p>
          <w:p>
            <w:pPr>
              <w:pStyle w:val="11"/>
              <w:jc w:val="both"/>
              <w:rPr>
                <w:color w:val="auto"/>
                <w:sz w:val="21"/>
                <w:szCs w:val="21"/>
                <w:highlight w:val="none"/>
              </w:rPr>
            </w:pPr>
            <w:r>
              <w:rPr>
                <w:rFonts w:hint="eastAsia"/>
                <w:color w:val="auto"/>
                <w:sz w:val="21"/>
                <w:szCs w:val="21"/>
                <w:highlight w:val="none"/>
                <w:lang w:val="en-US"/>
              </w:rPr>
              <w:t>b.</w:t>
            </w:r>
            <w:r>
              <w:rPr>
                <w:rFonts w:hint="eastAsia"/>
                <w:color w:val="auto"/>
                <w:sz w:val="21"/>
                <w:szCs w:val="21"/>
                <w:highlight w:val="none"/>
              </w:rPr>
              <w:t xml:space="preserve">投标文件组成齐全完整，内容均按规定填写。 </w:t>
            </w:r>
          </w:p>
          <w:p>
            <w:pPr>
              <w:pStyle w:val="11"/>
              <w:jc w:val="both"/>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2</w:t>
            </w:r>
            <w:r>
              <w:rPr>
                <w:rFonts w:hint="eastAsia"/>
                <w:color w:val="auto"/>
                <w:sz w:val="21"/>
                <w:szCs w:val="21"/>
                <w:highlight w:val="none"/>
              </w:rPr>
              <w:t xml:space="preserve">)投标文件上法定代表人或其委托代理人的签字、投标人的单位章盖章齐全，符合招标文件规定。 </w:t>
            </w:r>
          </w:p>
          <w:p>
            <w:pPr>
              <w:pStyle w:val="11"/>
              <w:jc w:val="both"/>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3</w:t>
            </w:r>
            <w:r>
              <w:rPr>
                <w:rFonts w:hint="eastAsia"/>
                <w:color w:val="auto"/>
                <w:sz w:val="21"/>
                <w:szCs w:val="21"/>
                <w:highlight w:val="none"/>
              </w:rPr>
              <w:t>)投标报价或调价函中的报价</w:t>
            </w:r>
            <w:r>
              <w:rPr>
                <w:rFonts w:hint="eastAsia"/>
                <w:color w:val="auto"/>
                <w:sz w:val="21"/>
                <w:szCs w:val="21"/>
                <w:highlight w:val="none"/>
                <w:lang w:val="en-US"/>
              </w:rPr>
              <w:t>符合</w:t>
            </w:r>
            <w:r>
              <w:rPr>
                <w:rFonts w:hint="eastAsia"/>
                <w:color w:val="auto"/>
                <w:sz w:val="21"/>
                <w:szCs w:val="21"/>
                <w:highlight w:val="none"/>
              </w:rPr>
              <w:t>招标文件设定的</w:t>
            </w:r>
            <w:r>
              <w:rPr>
                <w:rFonts w:hint="eastAsia"/>
                <w:color w:val="auto"/>
                <w:sz w:val="21"/>
                <w:szCs w:val="21"/>
                <w:highlight w:val="none"/>
                <w:lang w:val="en-US"/>
              </w:rPr>
              <w:t>报价范围</w:t>
            </w:r>
            <w:r>
              <w:rPr>
                <w:rFonts w:hint="eastAsia"/>
                <w:color w:val="auto"/>
                <w:sz w:val="21"/>
                <w:szCs w:val="21"/>
                <w:highlight w:val="none"/>
              </w:rPr>
              <w:t xml:space="preserve">。 </w:t>
            </w:r>
          </w:p>
          <w:p>
            <w:pPr>
              <w:pStyle w:val="11"/>
              <w:jc w:val="both"/>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4</w:t>
            </w:r>
            <w:r>
              <w:rPr>
                <w:rFonts w:hint="eastAsia"/>
                <w:color w:val="auto"/>
                <w:sz w:val="21"/>
                <w:szCs w:val="21"/>
                <w:highlight w:val="none"/>
              </w:rPr>
              <w:t xml:space="preserve">)投标报价或调价函中报价的大写金额能够确定具体数值。 </w:t>
            </w:r>
          </w:p>
          <w:p>
            <w:pPr>
              <w:pStyle w:val="11"/>
              <w:jc w:val="both"/>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5</w:t>
            </w:r>
            <w:r>
              <w:rPr>
                <w:rFonts w:hint="eastAsia"/>
                <w:color w:val="auto"/>
                <w:sz w:val="21"/>
                <w:szCs w:val="21"/>
                <w:highlight w:val="none"/>
              </w:rPr>
              <w:t xml:space="preserve">)同一投标人未提交两个以上不同的投标报价，但招标文件要求提交备选投标的除外。  </w:t>
            </w:r>
          </w:p>
          <w:p>
            <w:pPr>
              <w:pStyle w:val="11"/>
              <w:jc w:val="both"/>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6</w:t>
            </w:r>
            <w:r>
              <w:rPr>
                <w:rFonts w:hint="eastAsia"/>
                <w:color w:val="auto"/>
                <w:sz w:val="21"/>
                <w:szCs w:val="21"/>
                <w:highlight w:val="none"/>
              </w:rPr>
              <w:t xml:space="preserve">)投标文件正、副本份数符合招标文件第二章“投标人须知”第3.7.4项规定。 </w:t>
            </w:r>
          </w:p>
          <w:p>
            <w:pPr>
              <w:pStyle w:val="11"/>
              <w:jc w:val="both"/>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7</w:t>
            </w:r>
            <w:r>
              <w:rPr>
                <w:rFonts w:hint="eastAsia"/>
                <w:color w:val="auto"/>
                <w:sz w:val="21"/>
                <w:szCs w:val="21"/>
                <w:highlight w:val="none"/>
              </w:rPr>
              <w:t xml:space="preserve">)投标文件对招标文件的实质性要求和条件作出响应。 </w:t>
            </w:r>
          </w:p>
          <w:p>
            <w:pPr>
              <w:pStyle w:val="11"/>
              <w:jc w:val="both"/>
              <w:rPr>
                <w:color w:val="auto"/>
                <w:sz w:val="21"/>
                <w:highlight w:val="none"/>
              </w:rPr>
            </w:pPr>
            <w:r>
              <w:rPr>
                <w:rFonts w:hint="eastAsia"/>
                <w:color w:val="auto"/>
                <w:sz w:val="21"/>
                <w:szCs w:val="21"/>
                <w:highlight w:val="none"/>
              </w:rPr>
              <w:t>(</w:t>
            </w:r>
            <w:r>
              <w:rPr>
                <w:rFonts w:hint="eastAsia"/>
                <w:color w:val="auto"/>
                <w:sz w:val="21"/>
                <w:szCs w:val="21"/>
                <w:highlight w:val="none"/>
                <w:lang w:val="en-US"/>
              </w:rPr>
              <w:t>8</w:t>
            </w:r>
            <w:r>
              <w:rPr>
                <w:rFonts w:hint="eastAsia"/>
                <w:color w:val="auto"/>
                <w:sz w:val="21"/>
                <w:szCs w:val="21"/>
                <w:highlight w:val="none"/>
              </w:rPr>
              <w:t xml:space="preserve">)投标文件未附有招标人不能接受的条件。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98" w:hRule="atLeast"/>
          <w:jc w:val="center"/>
        </w:trPr>
        <w:tc>
          <w:tcPr>
            <w:tcW w:w="821" w:type="dxa"/>
            <w:vAlign w:val="center"/>
          </w:tcPr>
          <w:p>
            <w:pPr>
              <w:spacing w:before="142"/>
              <w:jc w:val="center"/>
              <w:rPr>
                <w:color w:val="auto"/>
                <w:sz w:val="21"/>
                <w:highlight w:val="none"/>
              </w:rPr>
            </w:pPr>
            <w:r>
              <w:rPr>
                <w:color w:val="auto"/>
                <w:sz w:val="21"/>
                <w:highlight w:val="none"/>
              </w:rPr>
              <w:t>2.1.2</w:t>
            </w:r>
          </w:p>
        </w:tc>
        <w:tc>
          <w:tcPr>
            <w:tcW w:w="1020" w:type="dxa"/>
            <w:vAlign w:val="center"/>
          </w:tcPr>
          <w:p>
            <w:pPr>
              <w:spacing w:before="142"/>
              <w:jc w:val="center"/>
              <w:rPr>
                <w:color w:val="auto"/>
                <w:sz w:val="21"/>
                <w:highlight w:val="none"/>
              </w:rPr>
            </w:pPr>
            <w:r>
              <w:rPr>
                <w:color w:val="auto"/>
                <w:sz w:val="21"/>
                <w:highlight w:val="none"/>
              </w:rPr>
              <w:t>资格评审标准</w:t>
            </w:r>
          </w:p>
        </w:tc>
        <w:tc>
          <w:tcPr>
            <w:tcW w:w="8038" w:type="dxa"/>
          </w:tcPr>
          <w:p>
            <w:pPr>
              <w:pStyle w:val="11"/>
              <w:jc w:val="both"/>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1</w:t>
            </w:r>
            <w:r>
              <w:rPr>
                <w:rFonts w:hint="eastAsia"/>
                <w:color w:val="auto"/>
                <w:sz w:val="21"/>
                <w:szCs w:val="21"/>
                <w:highlight w:val="none"/>
              </w:rPr>
              <w:t xml:space="preserve">)投标人具备有效的营业执照、资质证书、安全生产许可证和基本账户开户许可证（如企业所在地已取消企业银行账户许可而无法提供开户许可证的，则需附上开户银行出具的“基本存款账户信息”或“人民银行账户管理系统查询的基本账户信息截图”）。 </w:t>
            </w:r>
          </w:p>
          <w:p>
            <w:pPr>
              <w:pStyle w:val="11"/>
              <w:jc w:val="both"/>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2</w:t>
            </w:r>
            <w:r>
              <w:rPr>
                <w:rFonts w:hint="eastAsia"/>
                <w:color w:val="auto"/>
                <w:sz w:val="21"/>
                <w:szCs w:val="21"/>
                <w:highlight w:val="none"/>
              </w:rPr>
              <w:t xml:space="preserve">)投标人的资质等级符合招标文件规定。 </w:t>
            </w:r>
          </w:p>
          <w:p>
            <w:pPr>
              <w:pStyle w:val="11"/>
              <w:jc w:val="both"/>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3</w:t>
            </w:r>
            <w:r>
              <w:rPr>
                <w:rFonts w:hint="eastAsia"/>
                <w:color w:val="auto"/>
                <w:sz w:val="21"/>
                <w:szCs w:val="21"/>
                <w:highlight w:val="none"/>
              </w:rPr>
              <w:t xml:space="preserve">)投标人的财务状况符合招标文件规定。 </w:t>
            </w:r>
          </w:p>
          <w:p>
            <w:pPr>
              <w:pStyle w:val="11"/>
              <w:jc w:val="both"/>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4</w:t>
            </w:r>
            <w:r>
              <w:rPr>
                <w:rFonts w:hint="eastAsia"/>
                <w:color w:val="auto"/>
                <w:sz w:val="21"/>
                <w:szCs w:val="21"/>
                <w:highlight w:val="none"/>
              </w:rPr>
              <w:t xml:space="preserve">)投标人的类似项目业绩符合招标文件规定。 </w:t>
            </w:r>
          </w:p>
          <w:p>
            <w:pPr>
              <w:pStyle w:val="11"/>
              <w:jc w:val="both"/>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5</w:t>
            </w:r>
            <w:r>
              <w:rPr>
                <w:rFonts w:hint="eastAsia"/>
                <w:color w:val="auto"/>
                <w:sz w:val="21"/>
                <w:szCs w:val="21"/>
                <w:highlight w:val="none"/>
              </w:rPr>
              <w:t xml:space="preserve">)投标人的项目经理、项目总工、设计负责人资格、在岗情况符合招标文件规定。 </w:t>
            </w:r>
          </w:p>
          <w:p>
            <w:pPr>
              <w:pStyle w:val="11"/>
              <w:jc w:val="both"/>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6</w:t>
            </w:r>
            <w:r>
              <w:rPr>
                <w:rFonts w:hint="eastAsia"/>
                <w:color w:val="auto"/>
                <w:sz w:val="21"/>
                <w:szCs w:val="21"/>
                <w:highlight w:val="none"/>
              </w:rPr>
              <w:t xml:space="preserve">)投标人不存在第二章“投标人须知”第1.4.3项或第1.4.4项规定的任何一种情形。 </w:t>
            </w:r>
          </w:p>
          <w:p>
            <w:pPr>
              <w:pStyle w:val="11"/>
              <w:jc w:val="both"/>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7</w:t>
            </w:r>
            <w:r>
              <w:rPr>
                <w:rFonts w:hint="eastAsia"/>
                <w:color w:val="auto"/>
                <w:sz w:val="21"/>
                <w:szCs w:val="21"/>
                <w:highlight w:val="none"/>
              </w:rPr>
              <w:t xml:space="preserve">)投标人符合第二章“投标人须知”第1.4.5项规定。 </w:t>
            </w:r>
          </w:p>
          <w:p>
            <w:pPr>
              <w:pStyle w:val="11"/>
              <w:jc w:val="both"/>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8</w:t>
            </w:r>
            <w:r>
              <w:rPr>
                <w:rFonts w:hint="eastAsia"/>
                <w:color w:val="auto"/>
                <w:sz w:val="21"/>
                <w:szCs w:val="21"/>
                <w:highlight w:val="none"/>
              </w:rPr>
              <w:t xml:space="preserve">)以联合体形式参与投标的，联合体各方均未再以自己名义单独或参加其他联合体在同一合同段中投标；独立参与投标的，投标人未同时参加联合体在同一合同段中投标。 </w:t>
            </w:r>
          </w:p>
        </w:tc>
      </w:tr>
    </w:tbl>
    <w:p>
      <w:pPr>
        <w:rPr>
          <w:color w:val="auto"/>
          <w:highlight w:val="none"/>
          <w:lang w:val="en-US"/>
        </w:rPr>
      </w:pPr>
      <w:r>
        <w:rPr>
          <w:rFonts w:hint="eastAsia"/>
          <w:color w:val="auto"/>
          <w:highlight w:val="none"/>
          <w:lang w:val="en-US"/>
        </w:rPr>
        <w:br w:type="page"/>
      </w:r>
    </w:p>
    <w:p>
      <w:pPr>
        <w:spacing w:before="51"/>
        <w:ind w:right="1685"/>
        <w:jc w:val="right"/>
        <w:rPr>
          <w:color w:val="auto"/>
          <w:highlight w:val="none"/>
        </w:rPr>
      </w:pPr>
      <w:r>
        <w:rPr>
          <w:rFonts w:hint="eastAsia"/>
          <w:color w:val="auto"/>
          <w:highlight w:val="none"/>
          <w:lang w:val="en-US"/>
        </w:rPr>
        <w:t xml:space="preserve">                    </w:t>
      </w:r>
      <w:r>
        <w:rPr>
          <w:color w:val="auto"/>
          <w:highlight w:val="none"/>
        </w:rPr>
        <w:t>续上表</w:t>
      </w:r>
    </w:p>
    <w:tbl>
      <w:tblPr>
        <w:tblStyle w:val="10"/>
        <w:tblW w:w="95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2"/>
        <w:gridCol w:w="1458"/>
        <w:gridCol w:w="7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1" w:hRule="atLeast"/>
          <w:jc w:val="center"/>
        </w:trPr>
        <w:tc>
          <w:tcPr>
            <w:tcW w:w="922" w:type="dxa"/>
            <w:vAlign w:val="center"/>
          </w:tcPr>
          <w:p>
            <w:pPr>
              <w:spacing w:before="142"/>
              <w:jc w:val="center"/>
              <w:rPr>
                <w:b/>
                <w:bCs/>
                <w:color w:val="auto"/>
                <w:sz w:val="24"/>
                <w:szCs w:val="24"/>
                <w:highlight w:val="none"/>
              </w:rPr>
            </w:pPr>
            <w:r>
              <w:rPr>
                <w:b/>
                <w:bCs/>
                <w:color w:val="auto"/>
                <w:sz w:val="24"/>
                <w:szCs w:val="24"/>
                <w:highlight w:val="none"/>
              </w:rPr>
              <w:t>条款号</w:t>
            </w:r>
          </w:p>
        </w:tc>
        <w:tc>
          <w:tcPr>
            <w:tcW w:w="1458" w:type="dxa"/>
            <w:vAlign w:val="center"/>
          </w:tcPr>
          <w:p>
            <w:pPr>
              <w:spacing w:before="142"/>
              <w:jc w:val="center"/>
              <w:rPr>
                <w:b/>
                <w:bCs/>
                <w:color w:val="auto"/>
                <w:sz w:val="24"/>
                <w:szCs w:val="24"/>
                <w:highlight w:val="none"/>
              </w:rPr>
            </w:pPr>
            <w:r>
              <w:rPr>
                <w:b/>
                <w:bCs/>
                <w:color w:val="auto"/>
                <w:sz w:val="24"/>
                <w:szCs w:val="24"/>
                <w:highlight w:val="none"/>
              </w:rPr>
              <w:t>条款内容</w:t>
            </w:r>
          </w:p>
        </w:tc>
        <w:tc>
          <w:tcPr>
            <w:tcW w:w="7134" w:type="dxa"/>
            <w:vAlign w:val="center"/>
          </w:tcPr>
          <w:p>
            <w:pPr>
              <w:spacing w:before="142"/>
              <w:jc w:val="center"/>
              <w:rPr>
                <w:b/>
                <w:bCs/>
                <w:color w:val="auto"/>
                <w:sz w:val="24"/>
                <w:szCs w:val="24"/>
                <w:highlight w:val="none"/>
              </w:rPr>
            </w:pPr>
            <w:r>
              <w:rPr>
                <w:b/>
                <w:bCs/>
                <w:color w:val="auto"/>
                <w:sz w:val="24"/>
                <w:szCs w:val="24"/>
                <w:highlight w:val="none"/>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45" w:hRule="atLeast"/>
          <w:jc w:val="center"/>
        </w:trPr>
        <w:tc>
          <w:tcPr>
            <w:tcW w:w="922" w:type="dxa"/>
            <w:vAlign w:val="center"/>
          </w:tcPr>
          <w:p>
            <w:pPr>
              <w:spacing w:before="142"/>
              <w:jc w:val="center"/>
              <w:rPr>
                <w:color w:val="auto"/>
                <w:sz w:val="21"/>
                <w:highlight w:val="none"/>
              </w:rPr>
            </w:pPr>
            <w:r>
              <w:rPr>
                <w:color w:val="auto"/>
                <w:sz w:val="21"/>
                <w:highlight w:val="none"/>
              </w:rPr>
              <w:t>2.2.1</w:t>
            </w:r>
          </w:p>
        </w:tc>
        <w:tc>
          <w:tcPr>
            <w:tcW w:w="1458" w:type="dxa"/>
            <w:vAlign w:val="center"/>
          </w:tcPr>
          <w:p>
            <w:pPr>
              <w:spacing w:before="142"/>
              <w:jc w:val="center"/>
              <w:rPr>
                <w:color w:val="auto"/>
                <w:sz w:val="21"/>
                <w:highlight w:val="none"/>
              </w:rPr>
            </w:pPr>
            <w:r>
              <w:rPr>
                <w:color w:val="auto"/>
                <w:sz w:val="21"/>
                <w:highlight w:val="none"/>
              </w:rPr>
              <w:t>分值构成   (总分100分)</w:t>
            </w:r>
          </w:p>
        </w:tc>
        <w:tc>
          <w:tcPr>
            <w:tcW w:w="7134" w:type="dxa"/>
            <w:vAlign w:val="center"/>
          </w:tcPr>
          <w:p>
            <w:pPr>
              <w:pStyle w:val="11"/>
              <w:jc w:val="both"/>
              <w:rPr>
                <w:color w:val="auto"/>
                <w:sz w:val="21"/>
                <w:szCs w:val="21"/>
                <w:highlight w:val="none"/>
                <w:lang w:val="en-US"/>
              </w:rPr>
            </w:pPr>
            <w:r>
              <w:rPr>
                <w:rFonts w:hint="eastAsia"/>
                <w:color w:val="auto"/>
                <w:sz w:val="21"/>
                <w:szCs w:val="21"/>
                <w:highlight w:val="none"/>
              </w:rPr>
              <w:t>(</w:t>
            </w:r>
            <w:r>
              <w:rPr>
                <w:rFonts w:hint="eastAsia"/>
                <w:color w:val="auto"/>
                <w:sz w:val="21"/>
                <w:szCs w:val="21"/>
                <w:highlight w:val="none"/>
                <w:lang w:val="en-US"/>
              </w:rPr>
              <w:t>1</w:t>
            </w:r>
            <w:r>
              <w:rPr>
                <w:rFonts w:hint="eastAsia"/>
                <w:color w:val="auto"/>
                <w:sz w:val="21"/>
                <w:szCs w:val="21"/>
                <w:highlight w:val="none"/>
              </w:rPr>
              <w:t>)</w:t>
            </w:r>
            <w:r>
              <w:rPr>
                <w:rFonts w:hint="eastAsia"/>
                <w:color w:val="auto"/>
                <w:sz w:val="21"/>
                <w:szCs w:val="21"/>
                <w:highlight w:val="none"/>
                <w:lang w:val="en-US"/>
              </w:rPr>
              <w:t>建设总承包方案：</w:t>
            </w:r>
            <w:r>
              <w:rPr>
                <w:rFonts w:hint="eastAsia"/>
                <w:color w:val="auto"/>
                <w:sz w:val="21"/>
                <w:szCs w:val="21"/>
                <w:highlight w:val="none"/>
                <w:u w:val="single"/>
                <w:lang w:val="en-US"/>
              </w:rPr>
              <w:t>20</w:t>
            </w:r>
            <w:r>
              <w:rPr>
                <w:rFonts w:hint="eastAsia"/>
                <w:color w:val="auto"/>
                <w:sz w:val="21"/>
                <w:szCs w:val="21"/>
                <w:highlight w:val="none"/>
                <w:lang w:val="en-US"/>
              </w:rPr>
              <w:t xml:space="preserve">分 </w:t>
            </w:r>
          </w:p>
          <w:p>
            <w:pPr>
              <w:pStyle w:val="11"/>
              <w:jc w:val="both"/>
              <w:rPr>
                <w:color w:val="auto"/>
                <w:sz w:val="21"/>
                <w:szCs w:val="21"/>
                <w:highlight w:val="none"/>
                <w:lang w:val="en-US"/>
              </w:rPr>
            </w:pPr>
            <w:r>
              <w:rPr>
                <w:rFonts w:hint="eastAsia"/>
                <w:color w:val="auto"/>
                <w:sz w:val="21"/>
                <w:szCs w:val="21"/>
                <w:highlight w:val="none"/>
              </w:rPr>
              <w:t>(</w:t>
            </w:r>
            <w:r>
              <w:rPr>
                <w:rFonts w:hint="eastAsia"/>
                <w:color w:val="auto"/>
                <w:sz w:val="21"/>
                <w:szCs w:val="21"/>
                <w:highlight w:val="none"/>
                <w:lang w:val="en-US"/>
              </w:rPr>
              <w:t>2</w:t>
            </w:r>
            <w:r>
              <w:rPr>
                <w:rFonts w:hint="eastAsia"/>
                <w:color w:val="auto"/>
                <w:sz w:val="21"/>
                <w:szCs w:val="21"/>
                <w:highlight w:val="none"/>
              </w:rPr>
              <w:t>)</w:t>
            </w:r>
            <w:r>
              <w:rPr>
                <w:rFonts w:hint="eastAsia"/>
                <w:color w:val="auto"/>
                <w:sz w:val="21"/>
                <w:szCs w:val="21"/>
                <w:highlight w:val="none"/>
                <w:lang w:val="en-US"/>
              </w:rPr>
              <w:t>项目管理机构：</w:t>
            </w:r>
            <w:r>
              <w:rPr>
                <w:rFonts w:hint="eastAsia"/>
                <w:color w:val="auto"/>
                <w:sz w:val="21"/>
                <w:szCs w:val="21"/>
                <w:highlight w:val="none"/>
                <w:u w:val="single"/>
                <w:lang w:val="en-US"/>
              </w:rPr>
              <w:t>0</w:t>
            </w:r>
            <w:r>
              <w:rPr>
                <w:rFonts w:hint="eastAsia"/>
                <w:color w:val="auto"/>
                <w:sz w:val="21"/>
                <w:szCs w:val="21"/>
                <w:highlight w:val="none"/>
                <w:lang w:val="en-US"/>
              </w:rPr>
              <w:t xml:space="preserve">分 </w:t>
            </w:r>
          </w:p>
          <w:p>
            <w:pPr>
              <w:pStyle w:val="11"/>
              <w:jc w:val="both"/>
              <w:rPr>
                <w:color w:val="auto"/>
                <w:sz w:val="21"/>
                <w:szCs w:val="21"/>
                <w:highlight w:val="none"/>
                <w:lang w:val="en-US"/>
              </w:rPr>
            </w:pPr>
            <w:r>
              <w:rPr>
                <w:rFonts w:hint="eastAsia"/>
                <w:color w:val="auto"/>
                <w:sz w:val="21"/>
                <w:szCs w:val="21"/>
                <w:highlight w:val="none"/>
              </w:rPr>
              <w:t>(</w:t>
            </w:r>
            <w:r>
              <w:rPr>
                <w:rFonts w:hint="eastAsia"/>
                <w:color w:val="auto"/>
                <w:sz w:val="21"/>
                <w:szCs w:val="21"/>
                <w:highlight w:val="none"/>
                <w:lang w:val="en-US"/>
              </w:rPr>
              <w:t>3</w:t>
            </w:r>
            <w:r>
              <w:rPr>
                <w:rFonts w:hint="eastAsia"/>
                <w:color w:val="auto"/>
                <w:sz w:val="21"/>
                <w:szCs w:val="21"/>
                <w:highlight w:val="none"/>
              </w:rPr>
              <w:t>)</w:t>
            </w:r>
            <w:r>
              <w:rPr>
                <w:rFonts w:hint="eastAsia"/>
                <w:color w:val="auto"/>
                <w:sz w:val="21"/>
                <w:szCs w:val="21"/>
                <w:highlight w:val="none"/>
                <w:lang w:val="en-US"/>
              </w:rPr>
              <w:t>投标报价：</w:t>
            </w:r>
            <w:r>
              <w:rPr>
                <w:rFonts w:hint="eastAsia"/>
                <w:color w:val="auto"/>
                <w:sz w:val="21"/>
                <w:szCs w:val="21"/>
                <w:highlight w:val="none"/>
                <w:u w:val="single"/>
                <w:lang w:val="en-US"/>
              </w:rPr>
              <w:t>50</w:t>
            </w:r>
            <w:r>
              <w:rPr>
                <w:rFonts w:hint="eastAsia"/>
                <w:color w:val="auto"/>
                <w:sz w:val="21"/>
                <w:szCs w:val="21"/>
                <w:highlight w:val="none"/>
                <w:lang w:val="en-US"/>
              </w:rPr>
              <w:t xml:space="preserve">分 </w:t>
            </w:r>
          </w:p>
          <w:p>
            <w:pPr>
              <w:pStyle w:val="11"/>
              <w:jc w:val="both"/>
              <w:rPr>
                <w:color w:val="auto"/>
                <w:sz w:val="21"/>
                <w:szCs w:val="21"/>
                <w:highlight w:val="none"/>
                <w:lang w:val="en-US"/>
              </w:rPr>
            </w:pPr>
            <w:r>
              <w:rPr>
                <w:rFonts w:hint="eastAsia"/>
                <w:color w:val="auto"/>
                <w:sz w:val="21"/>
                <w:szCs w:val="21"/>
                <w:highlight w:val="none"/>
              </w:rPr>
              <w:t>(</w:t>
            </w:r>
            <w:r>
              <w:rPr>
                <w:rFonts w:hint="eastAsia"/>
                <w:color w:val="auto"/>
                <w:sz w:val="21"/>
                <w:szCs w:val="21"/>
                <w:highlight w:val="none"/>
                <w:lang w:val="en-US"/>
              </w:rPr>
              <w:t>4</w:t>
            </w:r>
            <w:r>
              <w:rPr>
                <w:rFonts w:hint="eastAsia"/>
                <w:color w:val="auto"/>
                <w:sz w:val="21"/>
                <w:szCs w:val="21"/>
                <w:highlight w:val="none"/>
              </w:rPr>
              <w:t>)</w:t>
            </w:r>
            <w:r>
              <w:rPr>
                <w:rFonts w:hint="eastAsia"/>
                <w:color w:val="auto"/>
                <w:sz w:val="21"/>
                <w:szCs w:val="21"/>
                <w:highlight w:val="none"/>
                <w:lang w:val="en-US"/>
              </w:rPr>
              <w:t>其他评分因素：</w:t>
            </w:r>
          </w:p>
          <w:p>
            <w:pPr>
              <w:pStyle w:val="11"/>
              <w:jc w:val="both"/>
              <w:rPr>
                <w:color w:val="auto"/>
                <w:sz w:val="21"/>
                <w:szCs w:val="21"/>
                <w:highlight w:val="none"/>
                <w:lang w:val="en-US"/>
              </w:rPr>
            </w:pPr>
            <w:r>
              <w:rPr>
                <w:rFonts w:hint="eastAsia"/>
                <w:color w:val="auto"/>
                <w:sz w:val="21"/>
                <w:szCs w:val="21"/>
                <w:highlight w:val="none"/>
                <w:lang w:val="en-US"/>
              </w:rPr>
              <w:t>财务能力：</w:t>
            </w:r>
            <w:r>
              <w:rPr>
                <w:rFonts w:hint="eastAsia"/>
                <w:color w:val="auto"/>
                <w:sz w:val="21"/>
                <w:szCs w:val="21"/>
                <w:highlight w:val="none"/>
                <w:u w:val="single"/>
                <w:lang w:val="en-US"/>
              </w:rPr>
              <w:t>5</w:t>
            </w:r>
            <w:r>
              <w:rPr>
                <w:rFonts w:hint="eastAsia"/>
                <w:color w:val="auto"/>
                <w:sz w:val="21"/>
                <w:szCs w:val="21"/>
                <w:highlight w:val="none"/>
                <w:lang w:val="en-US"/>
              </w:rPr>
              <w:t xml:space="preserve">分 </w:t>
            </w:r>
          </w:p>
          <w:p>
            <w:pPr>
              <w:pStyle w:val="11"/>
              <w:jc w:val="both"/>
              <w:rPr>
                <w:color w:val="auto"/>
                <w:sz w:val="21"/>
                <w:szCs w:val="21"/>
                <w:highlight w:val="none"/>
                <w:lang w:val="en-US"/>
              </w:rPr>
            </w:pPr>
            <w:r>
              <w:rPr>
                <w:rFonts w:hint="eastAsia"/>
                <w:color w:val="auto"/>
                <w:sz w:val="21"/>
                <w:szCs w:val="21"/>
                <w:highlight w:val="none"/>
                <w:lang w:val="en-US"/>
              </w:rPr>
              <w:t>业绩：</w:t>
            </w:r>
            <w:r>
              <w:rPr>
                <w:rFonts w:hint="eastAsia"/>
                <w:color w:val="auto"/>
                <w:sz w:val="21"/>
                <w:szCs w:val="21"/>
                <w:highlight w:val="none"/>
                <w:u w:val="single"/>
                <w:lang w:val="en-US"/>
              </w:rPr>
              <w:t>5</w:t>
            </w:r>
            <w:r>
              <w:rPr>
                <w:rFonts w:hint="eastAsia"/>
                <w:color w:val="auto"/>
                <w:sz w:val="21"/>
                <w:szCs w:val="21"/>
                <w:highlight w:val="none"/>
                <w:lang w:val="en-US"/>
              </w:rPr>
              <w:t>分</w:t>
            </w:r>
          </w:p>
          <w:p>
            <w:pPr>
              <w:pStyle w:val="11"/>
              <w:jc w:val="both"/>
              <w:rPr>
                <w:color w:val="auto"/>
                <w:sz w:val="21"/>
                <w:szCs w:val="21"/>
                <w:highlight w:val="none"/>
                <w:lang w:val="en-US"/>
              </w:rPr>
            </w:pPr>
            <w:r>
              <w:rPr>
                <w:rFonts w:hint="eastAsia"/>
                <w:color w:val="auto"/>
                <w:sz w:val="21"/>
                <w:szCs w:val="21"/>
                <w:highlight w:val="none"/>
                <w:lang w:val="en-US"/>
              </w:rPr>
              <w:t>技术能力：</w:t>
            </w:r>
            <w:r>
              <w:rPr>
                <w:rFonts w:hint="eastAsia"/>
                <w:color w:val="auto"/>
                <w:sz w:val="21"/>
                <w:szCs w:val="21"/>
                <w:highlight w:val="none"/>
                <w:u w:val="single"/>
                <w:lang w:val="en-US"/>
              </w:rPr>
              <w:t>10</w:t>
            </w:r>
            <w:r>
              <w:rPr>
                <w:rFonts w:hint="eastAsia"/>
                <w:color w:val="auto"/>
                <w:sz w:val="21"/>
                <w:szCs w:val="21"/>
                <w:highlight w:val="none"/>
                <w:lang w:val="en-US"/>
              </w:rPr>
              <w:t>分</w:t>
            </w:r>
          </w:p>
          <w:p>
            <w:pPr>
              <w:pStyle w:val="11"/>
              <w:jc w:val="both"/>
              <w:rPr>
                <w:color w:val="auto"/>
                <w:sz w:val="21"/>
                <w:highlight w:val="none"/>
              </w:rPr>
            </w:pPr>
            <w:r>
              <w:rPr>
                <w:rFonts w:hint="eastAsia"/>
                <w:color w:val="auto"/>
                <w:sz w:val="21"/>
                <w:szCs w:val="21"/>
                <w:highlight w:val="none"/>
                <w:lang w:val="en-US"/>
              </w:rPr>
              <w:t>履约信誉：</w:t>
            </w:r>
            <w:r>
              <w:rPr>
                <w:rFonts w:hint="eastAsia"/>
                <w:color w:val="auto"/>
                <w:sz w:val="21"/>
                <w:szCs w:val="21"/>
                <w:highlight w:val="none"/>
                <w:u w:val="single"/>
                <w:lang w:val="en-US"/>
              </w:rPr>
              <w:t>10</w:t>
            </w:r>
            <w:r>
              <w:rPr>
                <w:rFonts w:hint="eastAsia"/>
                <w:color w:val="auto"/>
                <w:sz w:val="21"/>
                <w:szCs w:val="21"/>
                <w:highlight w:val="none"/>
                <w:lang w:val="en-US"/>
              </w:rPr>
              <w:t xml:space="preserve">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45" w:hRule="atLeast"/>
          <w:jc w:val="center"/>
        </w:trPr>
        <w:tc>
          <w:tcPr>
            <w:tcW w:w="922" w:type="dxa"/>
            <w:vAlign w:val="center"/>
          </w:tcPr>
          <w:p>
            <w:pPr>
              <w:spacing w:before="142"/>
              <w:jc w:val="center"/>
              <w:rPr>
                <w:color w:val="auto"/>
                <w:sz w:val="21"/>
                <w:highlight w:val="none"/>
              </w:rPr>
            </w:pPr>
            <w:r>
              <w:rPr>
                <w:color w:val="auto"/>
                <w:sz w:val="21"/>
                <w:highlight w:val="none"/>
              </w:rPr>
              <w:t>2.2.2</w:t>
            </w:r>
          </w:p>
        </w:tc>
        <w:tc>
          <w:tcPr>
            <w:tcW w:w="1458" w:type="dxa"/>
            <w:vAlign w:val="center"/>
          </w:tcPr>
          <w:p>
            <w:pPr>
              <w:spacing w:before="142"/>
              <w:jc w:val="center"/>
              <w:rPr>
                <w:color w:val="auto"/>
                <w:sz w:val="21"/>
                <w:highlight w:val="none"/>
              </w:rPr>
            </w:pPr>
            <w:r>
              <w:rPr>
                <w:color w:val="auto"/>
                <w:sz w:val="21"/>
                <w:highlight w:val="none"/>
              </w:rPr>
              <w:t>评标基准价计算方法</w:t>
            </w:r>
          </w:p>
        </w:tc>
        <w:tc>
          <w:tcPr>
            <w:tcW w:w="7134" w:type="dxa"/>
          </w:tcPr>
          <w:p>
            <w:pPr>
              <w:pStyle w:val="11"/>
              <w:jc w:val="both"/>
              <w:rPr>
                <w:color w:val="auto"/>
                <w:sz w:val="21"/>
                <w:szCs w:val="21"/>
                <w:highlight w:val="none"/>
              </w:rPr>
            </w:pPr>
            <w:r>
              <w:rPr>
                <w:rFonts w:hint="eastAsia"/>
                <w:color w:val="auto"/>
                <w:sz w:val="21"/>
                <w:szCs w:val="21"/>
                <w:highlight w:val="none"/>
              </w:rPr>
              <w:t>评标基准价的计算：</w:t>
            </w:r>
          </w:p>
          <w:p>
            <w:pPr>
              <w:pStyle w:val="11"/>
              <w:jc w:val="both"/>
              <w:rPr>
                <w:color w:val="auto"/>
                <w:sz w:val="21"/>
                <w:szCs w:val="21"/>
                <w:highlight w:val="none"/>
              </w:rPr>
            </w:pPr>
            <w:r>
              <w:rPr>
                <w:rFonts w:hint="eastAsia"/>
                <w:color w:val="auto"/>
                <w:sz w:val="21"/>
                <w:szCs w:val="21"/>
                <w:highlight w:val="none"/>
              </w:rPr>
              <w:t>在开标现场，招标人将当场计算并宣布评标基准价。</w:t>
            </w:r>
          </w:p>
          <w:p>
            <w:pPr>
              <w:pStyle w:val="11"/>
              <w:jc w:val="both"/>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1</w:t>
            </w:r>
            <w:r>
              <w:rPr>
                <w:rFonts w:hint="eastAsia"/>
                <w:color w:val="auto"/>
                <w:sz w:val="21"/>
                <w:szCs w:val="21"/>
                <w:highlight w:val="none"/>
              </w:rPr>
              <w:t>)评标价的确定：</w:t>
            </w:r>
          </w:p>
          <w:p>
            <w:pPr>
              <w:pStyle w:val="11"/>
              <w:jc w:val="both"/>
              <w:rPr>
                <w:color w:val="auto"/>
                <w:sz w:val="21"/>
                <w:szCs w:val="21"/>
                <w:highlight w:val="none"/>
                <w:lang w:val="en-US"/>
              </w:rPr>
            </w:pPr>
            <w:r>
              <w:rPr>
                <w:rFonts w:hint="eastAsia"/>
                <w:color w:val="auto"/>
                <w:sz w:val="21"/>
                <w:szCs w:val="21"/>
                <w:highlight w:val="none"/>
              </w:rPr>
              <w:t>评标价＝</w:t>
            </w:r>
            <w:r>
              <w:rPr>
                <w:rFonts w:hint="eastAsia"/>
                <w:color w:val="auto"/>
                <w:sz w:val="21"/>
                <w:szCs w:val="21"/>
                <w:highlight w:val="none"/>
                <w:lang w:val="en-US"/>
              </w:rPr>
              <w:t>投标总报价（按投标文件第二信封报价汇总表的数字）</w:t>
            </w:r>
          </w:p>
          <w:p>
            <w:pPr>
              <w:pStyle w:val="11"/>
              <w:jc w:val="both"/>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2</w:t>
            </w:r>
            <w:r>
              <w:rPr>
                <w:rFonts w:hint="eastAsia"/>
                <w:color w:val="auto"/>
                <w:sz w:val="21"/>
                <w:szCs w:val="21"/>
                <w:highlight w:val="none"/>
              </w:rPr>
              <w:t>)最高评标限价的确定：</w:t>
            </w:r>
          </w:p>
          <w:p>
            <w:pPr>
              <w:pStyle w:val="11"/>
              <w:ind w:firstLine="420" w:firstLineChars="200"/>
              <w:jc w:val="both"/>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①下浮率在第二个信封开标现场采取摇球方式确定。摇球操作办法如下：在下浮率摇球范围内，以0.1%为一档次增序确定摇球号码，不少于31个球，摇出3个球（摇出的球不放回），摇出3个球对应的下浮率的算术平均值即为本招标的下浮率（注：下浮率</w:t>
            </w:r>
            <w:r>
              <w:rPr>
                <w:rFonts w:ascii="Times New Roman" w:hAnsi="Times New Roman" w:cs="Times New Roman"/>
                <w:color w:val="auto"/>
                <w:sz w:val="21"/>
                <w:szCs w:val="21"/>
                <w:highlight w:val="none"/>
                <w:lang w:val="en-US"/>
              </w:rPr>
              <w:t>范围为</w:t>
            </w:r>
            <w:r>
              <w:rPr>
                <w:rFonts w:hint="eastAsia" w:ascii="Times New Roman" w:hAnsi="Times New Roman" w:cs="Times New Roman"/>
                <w:color w:val="auto"/>
                <w:sz w:val="21"/>
                <w:szCs w:val="21"/>
                <w:highlight w:val="none"/>
                <w:lang w:val="en-US"/>
              </w:rPr>
              <w:t>5</w:t>
            </w:r>
            <w:r>
              <w:rPr>
                <w:rFonts w:ascii="Times New Roman" w:hAnsi="Times New Roman" w:cs="Times New Roman"/>
                <w:color w:val="auto"/>
                <w:sz w:val="21"/>
                <w:szCs w:val="21"/>
                <w:highlight w:val="none"/>
                <w:lang w:val="en-US"/>
              </w:rPr>
              <w:t>%~</w:t>
            </w:r>
            <w:r>
              <w:rPr>
                <w:rFonts w:hint="eastAsia" w:ascii="Times New Roman" w:hAnsi="Times New Roman" w:cs="Times New Roman"/>
                <w:color w:val="auto"/>
                <w:sz w:val="21"/>
                <w:szCs w:val="21"/>
                <w:highlight w:val="none"/>
                <w:lang w:val="en-US"/>
              </w:rPr>
              <w:t>8</w:t>
            </w:r>
            <w:r>
              <w:rPr>
                <w:rFonts w:ascii="Times New Roman" w:hAnsi="Times New Roman" w:cs="Times New Roman"/>
                <w:color w:val="auto"/>
                <w:sz w:val="21"/>
                <w:szCs w:val="21"/>
                <w:highlight w:val="none"/>
                <w:lang w:val="en-US"/>
              </w:rPr>
              <w:t>%</w:t>
            </w:r>
            <w:r>
              <w:rPr>
                <w:rFonts w:ascii="Times New Roman" w:hAnsi="Times New Roman" w:cs="Times New Roman"/>
                <w:color w:val="auto"/>
                <w:sz w:val="21"/>
                <w:szCs w:val="21"/>
                <w:highlight w:val="none"/>
              </w:rPr>
              <w:t>，摇出3个下浮率的算术平均值四舍五入取整到0.001</w:t>
            </w:r>
            <w:r>
              <w:rPr>
                <w:rFonts w:ascii="Times New Roman" w:hAnsi="Times New Roman" w:cs="Times New Roman"/>
                <w:color w:val="auto"/>
                <w:sz w:val="21"/>
                <w:szCs w:val="21"/>
                <w:highlight w:val="none"/>
                <w:lang w:val="en-US"/>
              </w:rPr>
              <w:t>%</w:t>
            </w:r>
            <w:r>
              <w:rPr>
                <w:rFonts w:ascii="Times New Roman" w:hAnsi="Times New Roman" w:cs="Times New Roman"/>
                <w:color w:val="auto"/>
                <w:sz w:val="21"/>
                <w:szCs w:val="21"/>
                <w:highlight w:val="none"/>
              </w:rPr>
              <w:t>）。</w:t>
            </w:r>
          </w:p>
          <w:tbl>
            <w:tblPr>
              <w:tblStyle w:val="7"/>
              <w:tblW w:w="6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637"/>
              <w:gridCol w:w="636"/>
              <w:gridCol w:w="636"/>
              <w:gridCol w:w="637"/>
              <w:gridCol w:w="636"/>
              <w:gridCol w:w="636"/>
              <w:gridCol w:w="637"/>
              <w:gridCol w:w="629"/>
              <w:gridCol w:w="637"/>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6" w:type="dxa"/>
                </w:tcPr>
                <w:p>
                  <w:pPr>
                    <w:spacing w:line="360" w:lineRule="atLeast"/>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1</w:t>
                  </w:r>
                </w:p>
              </w:tc>
              <w:tc>
                <w:tcPr>
                  <w:tcW w:w="637" w:type="dxa"/>
                </w:tcPr>
                <w:p>
                  <w:pPr>
                    <w:spacing w:line="360" w:lineRule="atLeast"/>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2</w:t>
                  </w:r>
                </w:p>
              </w:tc>
              <w:tc>
                <w:tcPr>
                  <w:tcW w:w="636" w:type="dxa"/>
                </w:tcPr>
                <w:p>
                  <w:pPr>
                    <w:spacing w:line="360" w:lineRule="atLeast"/>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3</w:t>
                  </w:r>
                </w:p>
              </w:tc>
              <w:tc>
                <w:tcPr>
                  <w:tcW w:w="636" w:type="dxa"/>
                </w:tcPr>
                <w:p>
                  <w:pPr>
                    <w:spacing w:line="360" w:lineRule="atLeast"/>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4</w:t>
                  </w:r>
                </w:p>
              </w:tc>
              <w:tc>
                <w:tcPr>
                  <w:tcW w:w="637" w:type="dxa"/>
                </w:tcPr>
                <w:p>
                  <w:pPr>
                    <w:spacing w:line="360" w:lineRule="atLeast"/>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5</w:t>
                  </w:r>
                </w:p>
              </w:tc>
              <w:tc>
                <w:tcPr>
                  <w:tcW w:w="636" w:type="dxa"/>
                </w:tcPr>
                <w:p>
                  <w:pPr>
                    <w:spacing w:line="360" w:lineRule="atLeast"/>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6</w:t>
                  </w:r>
                </w:p>
              </w:tc>
              <w:tc>
                <w:tcPr>
                  <w:tcW w:w="636" w:type="dxa"/>
                </w:tcPr>
                <w:p>
                  <w:pPr>
                    <w:spacing w:line="360" w:lineRule="atLeast"/>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7</w:t>
                  </w:r>
                </w:p>
              </w:tc>
              <w:tc>
                <w:tcPr>
                  <w:tcW w:w="637" w:type="dxa"/>
                </w:tcPr>
                <w:p>
                  <w:pPr>
                    <w:spacing w:line="360" w:lineRule="atLeast"/>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8</w:t>
                  </w:r>
                </w:p>
              </w:tc>
              <w:tc>
                <w:tcPr>
                  <w:tcW w:w="629" w:type="dxa"/>
                </w:tcPr>
                <w:p>
                  <w:pPr>
                    <w:spacing w:line="360" w:lineRule="atLeast"/>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9</w:t>
                  </w:r>
                </w:p>
              </w:tc>
              <w:tc>
                <w:tcPr>
                  <w:tcW w:w="637" w:type="dxa"/>
                </w:tcPr>
                <w:p>
                  <w:pPr>
                    <w:spacing w:line="360" w:lineRule="atLeast"/>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10</w:t>
                  </w:r>
                </w:p>
              </w:tc>
              <w:tc>
                <w:tcPr>
                  <w:tcW w:w="636" w:type="dxa"/>
                </w:tcPr>
                <w:p>
                  <w:pPr>
                    <w:spacing w:line="360" w:lineRule="atLeast"/>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6" w:type="dxa"/>
                </w:tcPr>
                <w:p>
                  <w:pPr>
                    <w:spacing w:line="360" w:lineRule="atLeast"/>
                    <w:jc w:val="center"/>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val="en-US"/>
                    </w:rPr>
                    <w:t>5</w:t>
                  </w:r>
                  <w:r>
                    <w:rPr>
                      <w:rFonts w:ascii="Times New Roman" w:hAnsi="Times New Roman" w:cs="Times New Roman"/>
                      <w:color w:val="auto"/>
                      <w:sz w:val="18"/>
                      <w:szCs w:val="18"/>
                      <w:highlight w:val="none"/>
                    </w:rPr>
                    <w:t>.0%</w:t>
                  </w:r>
                </w:p>
              </w:tc>
              <w:tc>
                <w:tcPr>
                  <w:tcW w:w="637" w:type="dxa"/>
                </w:tcPr>
                <w:p>
                  <w:pPr>
                    <w:spacing w:line="360" w:lineRule="atLeast"/>
                    <w:jc w:val="center"/>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val="en-US"/>
                    </w:rPr>
                    <w:t>5</w:t>
                  </w:r>
                  <w:r>
                    <w:rPr>
                      <w:rFonts w:ascii="Times New Roman" w:hAnsi="Times New Roman" w:cs="Times New Roman"/>
                      <w:color w:val="auto"/>
                      <w:sz w:val="18"/>
                      <w:szCs w:val="18"/>
                      <w:highlight w:val="none"/>
                    </w:rPr>
                    <w:t>.1%</w:t>
                  </w:r>
                </w:p>
              </w:tc>
              <w:tc>
                <w:tcPr>
                  <w:tcW w:w="636" w:type="dxa"/>
                </w:tcPr>
                <w:p>
                  <w:pPr>
                    <w:spacing w:line="360" w:lineRule="atLeast"/>
                    <w:jc w:val="center"/>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val="en-US"/>
                    </w:rPr>
                    <w:t>5</w:t>
                  </w:r>
                  <w:r>
                    <w:rPr>
                      <w:rFonts w:ascii="Times New Roman" w:hAnsi="Times New Roman" w:cs="Times New Roman"/>
                      <w:color w:val="auto"/>
                      <w:sz w:val="18"/>
                      <w:szCs w:val="18"/>
                      <w:highlight w:val="none"/>
                    </w:rPr>
                    <w:t>.2%</w:t>
                  </w:r>
                </w:p>
              </w:tc>
              <w:tc>
                <w:tcPr>
                  <w:tcW w:w="636" w:type="dxa"/>
                </w:tcPr>
                <w:p>
                  <w:pPr>
                    <w:spacing w:line="360" w:lineRule="atLeast"/>
                    <w:jc w:val="center"/>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val="en-US"/>
                    </w:rPr>
                    <w:t>5</w:t>
                  </w:r>
                  <w:r>
                    <w:rPr>
                      <w:rFonts w:ascii="Times New Roman" w:hAnsi="Times New Roman" w:cs="Times New Roman"/>
                      <w:color w:val="auto"/>
                      <w:sz w:val="18"/>
                      <w:szCs w:val="18"/>
                      <w:highlight w:val="none"/>
                    </w:rPr>
                    <w:t>.3%</w:t>
                  </w:r>
                </w:p>
              </w:tc>
              <w:tc>
                <w:tcPr>
                  <w:tcW w:w="637" w:type="dxa"/>
                </w:tcPr>
                <w:p>
                  <w:pPr>
                    <w:spacing w:line="360" w:lineRule="atLeast"/>
                    <w:jc w:val="center"/>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val="en-US"/>
                    </w:rPr>
                    <w:t>5</w:t>
                  </w:r>
                  <w:r>
                    <w:rPr>
                      <w:rFonts w:ascii="Times New Roman" w:hAnsi="Times New Roman" w:cs="Times New Roman"/>
                      <w:color w:val="auto"/>
                      <w:sz w:val="18"/>
                      <w:szCs w:val="18"/>
                      <w:highlight w:val="none"/>
                    </w:rPr>
                    <w:t>.4%</w:t>
                  </w:r>
                </w:p>
              </w:tc>
              <w:tc>
                <w:tcPr>
                  <w:tcW w:w="636" w:type="dxa"/>
                </w:tcPr>
                <w:p>
                  <w:pPr>
                    <w:spacing w:line="360" w:lineRule="atLeast"/>
                    <w:jc w:val="center"/>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val="en-US"/>
                    </w:rPr>
                    <w:t>5</w:t>
                  </w:r>
                  <w:r>
                    <w:rPr>
                      <w:rFonts w:ascii="Times New Roman" w:hAnsi="Times New Roman" w:cs="Times New Roman"/>
                      <w:color w:val="auto"/>
                      <w:sz w:val="18"/>
                      <w:szCs w:val="18"/>
                      <w:highlight w:val="none"/>
                    </w:rPr>
                    <w:t>.5%</w:t>
                  </w:r>
                </w:p>
              </w:tc>
              <w:tc>
                <w:tcPr>
                  <w:tcW w:w="636" w:type="dxa"/>
                </w:tcPr>
                <w:p>
                  <w:pPr>
                    <w:spacing w:line="360" w:lineRule="atLeast"/>
                    <w:jc w:val="center"/>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val="en-US"/>
                    </w:rPr>
                    <w:t>5</w:t>
                  </w:r>
                  <w:r>
                    <w:rPr>
                      <w:rFonts w:ascii="Times New Roman" w:hAnsi="Times New Roman" w:cs="Times New Roman"/>
                      <w:color w:val="auto"/>
                      <w:sz w:val="18"/>
                      <w:szCs w:val="18"/>
                      <w:highlight w:val="none"/>
                    </w:rPr>
                    <w:t>.6%</w:t>
                  </w:r>
                </w:p>
              </w:tc>
              <w:tc>
                <w:tcPr>
                  <w:tcW w:w="637" w:type="dxa"/>
                </w:tcPr>
                <w:p>
                  <w:pPr>
                    <w:spacing w:line="360" w:lineRule="atLeast"/>
                    <w:jc w:val="center"/>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val="en-US"/>
                    </w:rPr>
                    <w:t>5</w:t>
                  </w:r>
                  <w:r>
                    <w:rPr>
                      <w:rFonts w:ascii="Times New Roman" w:hAnsi="Times New Roman" w:cs="Times New Roman"/>
                      <w:color w:val="auto"/>
                      <w:sz w:val="18"/>
                      <w:szCs w:val="18"/>
                      <w:highlight w:val="none"/>
                    </w:rPr>
                    <w:t>.7%</w:t>
                  </w:r>
                </w:p>
              </w:tc>
              <w:tc>
                <w:tcPr>
                  <w:tcW w:w="629" w:type="dxa"/>
                </w:tcPr>
                <w:p>
                  <w:pPr>
                    <w:spacing w:line="360" w:lineRule="atLeast"/>
                    <w:jc w:val="center"/>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val="en-US"/>
                    </w:rPr>
                    <w:t>5</w:t>
                  </w:r>
                  <w:r>
                    <w:rPr>
                      <w:rFonts w:ascii="Times New Roman" w:hAnsi="Times New Roman" w:cs="Times New Roman"/>
                      <w:color w:val="auto"/>
                      <w:sz w:val="18"/>
                      <w:szCs w:val="18"/>
                      <w:highlight w:val="none"/>
                    </w:rPr>
                    <w:t>.8%</w:t>
                  </w:r>
                </w:p>
              </w:tc>
              <w:tc>
                <w:tcPr>
                  <w:tcW w:w="637" w:type="dxa"/>
                </w:tcPr>
                <w:p>
                  <w:pPr>
                    <w:spacing w:line="360" w:lineRule="atLeast"/>
                    <w:jc w:val="center"/>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val="en-US"/>
                    </w:rPr>
                    <w:t>5</w:t>
                  </w:r>
                  <w:r>
                    <w:rPr>
                      <w:rFonts w:ascii="Times New Roman" w:hAnsi="Times New Roman" w:cs="Times New Roman"/>
                      <w:color w:val="auto"/>
                      <w:sz w:val="18"/>
                      <w:szCs w:val="18"/>
                      <w:highlight w:val="none"/>
                    </w:rPr>
                    <w:t>.9%</w:t>
                  </w:r>
                </w:p>
              </w:tc>
              <w:tc>
                <w:tcPr>
                  <w:tcW w:w="636" w:type="dxa"/>
                </w:tcPr>
                <w:p>
                  <w:pPr>
                    <w:spacing w:line="360" w:lineRule="atLeast"/>
                    <w:jc w:val="center"/>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val="en-US"/>
                    </w:rPr>
                    <w:t>6</w:t>
                  </w:r>
                  <w:r>
                    <w:rPr>
                      <w:rFonts w:ascii="Times New Roman" w:hAnsi="Times New Roman" w:cs="Times New Roman"/>
                      <w:color w:val="auto"/>
                      <w:sz w:val="18"/>
                      <w:szCs w:val="18"/>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6" w:type="dxa"/>
                </w:tcPr>
                <w:p>
                  <w:pPr>
                    <w:spacing w:line="360" w:lineRule="atLeast"/>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12</w:t>
                  </w:r>
                </w:p>
              </w:tc>
              <w:tc>
                <w:tcPr>
                  <w:tcW w:w="637" w:type="dxa"/>
                </w:tcPr>
                <w:p>
                  <w:pPr>
                    <w:spacing w:line="360" w:lineRule="atLeast"/>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13</w:t>
                  </w:r>
                </w:p>
              </w:tc>
              <w:tc>
                <w:tcPr>
                  <w:tcW w:w="636" w:type="dxa"/>
                </w:tcPr>
                <w:p>
                  <w:pPr>
                    <w:spacing w:line="360" w:lineRule="atLeast"/>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14</w:t>
                  </w:r>
                </w:p>
              </w:tc>
              <w:tc>
                <w:tcPr>
                  <w:tcW w:w="636" w:type="dxa"/>
                </w:tcPr>
                <w:p>
                  <w:pPr>
                    <w:spacing w:line="360" w:lineRule="atLeast"/>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15</w:t>
                  </w:r>
                </w:p>
              </w:tc>
              <w:tc>
                <w:tcPr>
                  <w:tcW w:w="637" w:type="dxa"/>
                </w:tcPr>
                <w:p>
                  <w:pPr>
                    <w:spacing w:line="360" w:lineRule="atLeast"/>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16</w:t>
                  </w:r>
                </w:p>
              </w:tc>
              <w:tc>
                <w:tcPr>
                  <w:tcW w:w="636" w:type="dxa"/>
                </w:tcPr>
                <w:p>
                  <w:pPr>
                    <w:spacing w:line="360" w:lineRule="atLeast"/>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17</w:t>
                  </w:r>
                </w:p>
              </w:tc>
              <w:tc>
                <w:tcPr>
                  <w:tcW w:w="636" w:type="dxa"/>
                </w:tcPr>
                <w:p>
                  <w:pPr>
                    <w:spacing w:line="360" w:lineRule="atLeast"/>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18</w:t>
                  </w:r>
                </w:p>
              </w:tc>
              <w:tc>
                <w:tcPr>
                  <w:tcW w:w="637" w:type="dxa"/>
                </w:tcPr>
                <w:p>
                  <w:pPr>
                    <w:spacing w:line="360" w:lineRule="atLeast"/>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19</w:t>
                  </w:r>
                </w:p>
              </w:tc>
              <w:tc>
                <w:tcPr>
                  <w:tcW w:w="629" w:type="dxa"/>
                </w:tcPr>
                <w:p>
                  <w:pPr>
                    <w:spacing w:line="360" w:lineRule="atLeast"/>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20</w:t>
                  </w:r>
                </w:p>
              </w:tc>
              <w:tc>
                <w:tcPr>
                  <w:tcW w:w="637" w:type="dxa"/>
                </w:tcPr>
                <w:p>
                  <w:pPr>
                    <w:spacing w:line="360" w:lineRule="atLeast"/>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21</w:t>
                  </w:r>
                </w:p>
              </w:tc>
              <w:tc>
                <w:tcPr>
                  <w:tcW w:w="636" w:type="dxa"/>
                </w:tcPr>
                <w:p>
                  <w:pPr>
                    <w:spacing w:line="360" w:lineRule="atLeast"/>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6" w:type="dxa"/>
                </w:tcPr>
                <w:p>
                  <w:pPr>
                    <w:spacing w:line="360" w:lineRule="atLeast"/>
                    <w:jc w:val="center"/>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val="en-US"/>
                    </w:rPr>
                    <w:t>6</w:t>
                  </w:r>
                  <w:r>
                    <w:rPr>
                      <w:rFonts w:ascii="Times New Roman" w:hAnsi="Times New Roman" w:cs="Times New Roman"/>
                      <w:color w:val="auto"/>
                      <w:sz w:val="18"/>
                      <w:szCs w:val="18"/>
                      <w:highlight w:val="none"/>
                    </w:rPr>
                    <w:t>.1%</w:t>
                  </w:r>
                </w:p>
              </w:tc>
              <w:tc>
                <w:tcPr>
                  <w:tcW w:w="637" w:type="dxa"/>
                </w:tcPr>
                <w:p>
                  <w:pPr>
                    <w:spacing w:line="360" w:lineRule="atLeast"/>
                    <w:jc w:val="center"/>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val="en-US"/>
                    </w:rPr>
                    <w:t>6</w:t>
                  </w:r>
                  <w:r>
                    <w:rPr>
                      <w:rFonts w:ascii="Times New Roman" w:hAnsi="Times New Roman" w:cs="Times New Roman"/>
                      <w:color w:val="auto"/>
                      <w:sz w:val="18"/>
                      <w:szCs w:val="18"/>
                      <w:highlight w:val="none"/>
                    </w:rPr>
                    <w:t>.2%</w:t>
                  </w:r>
                </w:p>
              </w:tc>
              <w:tc>
                <w:tcPr>
                  <w:tcW w:w="636" w:type="dxa"/>
                </w:tcPr>
                <w:p>
                  <w:pPr>
                    <w:spacing w:line="360" w:lineRule="atLeast"/>
                    <w:jc w:val="center"/>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val="en-US"/>
                    </w:rPr>
                    <w:t>6</w:t>
                  </w:r>
                  <w:r>
                    <w:rPr>
                      <w:rFonts w:ascii="Times New Roman" w:hAnsi="Times New Roman" w:cs="Times New Roman"/>
                      <w:color w:val="auto"/>
                      <w:sz w:val="18"/>
                      <w:szCs w:val="18"/>
                      <w:highlight w:val="none"/>
                    </w:rPr>
                    <w:t>.3%</w:t>
                  </w:r>
                </w:p>
              </w:tc>
              <w:tc>
                <w:tcPr>
                  <w:tcW w:w="636" w:type="dxa"/>
                </w:tcPr>
                <w:p>
                  <w:pPr>
                    <w:spacing w:line="360" w:lineRule="atLeast"/>
                    <w:jc w:val="center"/>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val="en-US"/>
                    </w:rPr>
                    <w:t>6</w:t>
                  </w:r>
                  <w:r>
                    <w:rPr>
                      <w:rFonts w:ascii="Times New Roman" w:hAnsi="Times New Roman" w:cs="Times New Roman"/>
                      <w:color w:val="auto"/>
                      <w:sz w:val="18"/>
                      <w:szCs w:val="18"/>
                      <w:highlight w:val="none"/>
                    </w:rPr>
                    <w:t>.4%</w:t>
                  </w:r>
                </w:p>
              </w:tc>
              <w:tc>
                <w:tcPr>
                  <w:tcW w:w="637" w:type="dxa"/>
                </w:tcPr>
                <w:p>
                  <w:pPr>
                    <w:spacing w:line="360" w:lineRule="atLeast"/>
                    <w:jc w:val="center"/>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val="en-US"/>
                    </w:rPr>
                    <w:t>6</w:t>
                  </w:r>
                  <w:r>
                    <w:rPr>
                      <w:rFonts w:ascii="Times New Roman" w:hAnsi="Times New Roman" w:cs="Times New Roman"/>
                      <w:color w:val="auto"/>
                      <w:sz w:val="18"/>
                      <w:szCs w:val="18"/>
                      <w:highlight w:val="none"/>
                    </w:rPr>
                    <w:t>.5%</w:t>
                  </w:r>
                </w:p>
              </w:tc>
              <w:tc>
                <w:tcPr>
                  <w:tcW w:w="636" w:type="dxa"/>
                </w:tcPr>
                <w:p>
                  <w:pPr>
                    <w:spacing w:line="360" w:lineRule="atLeast"/>
                    <w:jc w:val="center"/>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val="en-US"/>
                    </w:rPr>
                    <w:t>6</w:t>
                  </w:r>
                  <w:r>
                    <w:rPr>
                      <w:rFonts w:ascii="Times New Roman" w:hAnsi="Times New Roman" w:cs="Times New Roman"/>
                      <w:color w:val="auto"/>
                      <w:sz w:val="18"/>
                      <w:szCs w:val="18"/>
                      <w:highlight w:val="none"/>
                    </w:rPr>
                    <w:t>.6%</w:t>
                  </w:r>
                </w:p>
              </w:tc>
              <w:tc>
                <w:tcPr>
                  <w:tcW w:w="636" w:type="dxa"/>
                </w:tcPr>
                <w:p>
                  <w:pPr>
                    <w:spacing w:line="360" w:lineRule="atLeast"/>
                    <w:jc w:val="center"/>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val="en-US"/>
                    </w:rPr>
                    <w:t>6</w:t>
                  </w:r>
                  <w:r>
                    <w:rPr>
                      <w:rFonts w:ascii="Times New Roman" w:hAnsi="Times New Roman" w:cs="Times New Roman"/>
                      <w:color w:val="auto"/>
                      <w:sz w:val="18"/>
                      <w:szCs w:val="18"/>
                      <w:highlight w:val="none"/>
                    </w:rPr>
                    <w:t>.7%</w:t>
                  </w:r>
                </w:p>
              </w:tc>
              <w:tc>
                <w:tcPr>
                  <w:tcW w:w="637" w:type="dxa"/>
                </w:tcPr>
                <w:p>
                  <w:pPr>
                    <w:spacing w:line="360" w:lineRule="atLeast"/>
                    <w:jc w:val="center"/>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val="en-US"/>
                    </w:rPr>
                    <w:t>6</w:t>
                  </w:r>
                  <w:r>
                    <w:rPr>
                      <w:rFonts w:ascii="Times New Roman" w:hAnsi="Times New Roman" w:cs="Times New Roman"/>
                      <w:color w:val="auto"/>
                      <w:sz w:val="18"/>
                      <w:szCs w:val="18"/>
                      <w:highlight w:val="none"/>
                    </w:rPr>
                    <w:t>.8%</w:t>
                  </w:r>
                </w:p>
              </w:tc>
              <w:tc>
                <w:tcPr>
                  <w:tcW w:w="629" w:type="dxa"/>
                </w:tcPr>
                <w:p>
                  <w:pPr>
                    <w:spacing w:line="360" w:lineRule="atLeast"/>
                    <w:jc w:val="center"/>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val="en-US"/>
                    </w:rPr>
                    <w:t>6</w:t>
                  </w:r>
                  <w:r>
                    <w:rPr>
                      <w:rFonts w:ascii="Times New Roman" w:hAnsi="Times New Roman" w:cs="Times New Roman"/>
                      <w:color w:val="auto"/>
                      <w:sz w:val="18"/>
                      <w:szCs w:val="18"/>
                      <w:highlight w:val="none"/>
                    </w:rPr>
                    <w:t>.9%</w:t>
                  </w:r>
                </w:p>
              </w:tc>
              <w:tc>
                <w:tcPr>
                  <w:tcW w:w="637" w:type="dxa"/>
                </w:tcPr>
                <w:p>
                  <w:pPr>
                    <w:spacing w:line="360" w:lineRule="atLeast"/>
                    <w:jc w:val="center"/>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val="en-US"/>
                    </w:rPr>
                    <w:t>7</w:t>
                  </w:r>
                  <w:r>
                    <w:rPr>
                      <w:rFonts w:ascii="Times New Roman" w:hAnsi="Times New Roman" w:cs="Times New Roman"/>
                      <w:color w:val="auto"/>
                      <w:sz w:val="18"/>
                      <w:szCs w:val="18"/>
                      <w:highlight w:val="none"/>
                    </w:rPr>
                    <w:t>.0%</w:t>
                  </w:r>
                </w:p>
              </w:tc>
              <w:tc>
                <w:tcPr>
                  <w:tcW w:w="636" w:type="dxa"/>
                </w:tcPr>
                <w:p>
                  <w:pPr>
                    <w:spacing w:line="360" w:lineRule="atLeast"/>
                    <w:jc w:val="center"/>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val="en-US"/>
                    </w:rPr>
                    <w:t>7</w:t>
                  </w:r>
                  <w:r>
                    <w:rPr>
                      <w:rFonts w:ascii="Times New Roman" w:hAnsi="Times New Roman" w:cs="Times New Roman"/>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6" w:type="dxa"/>
                </w:tcPr>
                <w:p>
                  <w:pPr>
                    <w:spacing w:line="360" w:lineRule="atLeast"/>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23</w:t>
                  </w:r>
                </w:p>
              </w:tc>
              <w:tc>
                <w:tcPr>
                  <w:tcW w:w="637" w:type="dxa"/>
                </w:tcPr>
                <w:p>
                  <w:pPr>
                    <w:spacing w:line="360" w:lineRule="atLeast"/>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24</w:t>
                  </w:r>
                </w:p>
              </w:tc>
              <w:tc>
                <w:tcPr>
                  <w:tcW w:w="636" w:type="dxa"/>
                </w:tcPr>
                <w:p>
                  <w:pPr>
                    <w:spacing w:line="360" w:lineRule="atLeast"/>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25</w:t>
                  </w:r>
                </w:p>
              </w:tc>
              <w:tc>
                <w:tcPr>
                  <w:tcW w:w="636" w:type="dxa"/>
                </w:tcPr>
                <w:p>
                  <w:pPr>
                    <w:spacing w:line="360" w:lineRule="atLeast"/>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26</w:t>
                  </w:r>
                </w:p>
              </w:tc>
              <w:tc>
                <w:tcPr>
                  <w:tcW w:w="637" w:type="dxa"/>
                </w:tcPr>
                <w:p>
                  <w:pPr>
                    <w:spacing w:line="360" w:lineRule="atLeast"/>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27</w:t>
                  </w:r>
                </w:p>
              </w:tc>
              <w:tc>
                <w:tcPr>
                  <w:tcW w:w="636" w:type="dxa"/>
                </w:tcPr>
                <w:p>
                  <w:pPr>
                    <w:spacing w:line="360" w:lineRule="atLeast"/>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28</w:t>
                  </w:r>
                </w:p>
              </w:tc>
              <w:tc>
                <w:tcPr>
                  <w:tcW w:w="636" w:type="dxa"/>
                </w:tcPr>
                <w:p>
                  <w:pPr>
                    <w:spacing w:line="360" w:lineRule="atLeast"/>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29</w:t>
                  </w:r>
                </w:p>
              </w:tc>
              <w:tc>
                <w:tcPr>
                  <w:tcW w:w="637" w:type="dxa"/>
                </w:tcPr>
                <w:p>
                  <w:pPr>
                    <w:spacing w:line="360" w:lineRule="atLeast"/>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30</w:t>
                  </w:r>
                </w:p>
              </w:tc>
              <w:tc>
                <w:tcPr>
                  <w:tcW w:w="1902" w:type="dxa"/>
                  <w:gridSpan w:val="3"/>
                </w:tcPr>
                <w:p>
                  <w:pPr>
                    <w:spacing w:line="360" w:lineRule="atLeast"/>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6" w:type="dxa"/>
                </w:tcPr>
                <w:p>
                  <w:pPr>
                    <w:spacing w:line="360" w:lineRule="atLeast"/>
                    <w:jc w:val="center"/>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val="en-US"/>
                    </w:rPr>
                    <w:t>7</w:t>
                  </w:r>
                  <w:r>
                    <w:rPr>
                      <w:rFonts w:ascii="Times New Roman" w:hAnsi="Times New Roman" w:cs="Times New Roman"/>
                      <w:color w:val="auto"/>
                      <w:sz w:val="18"/>
                      <w:szCs w:val="18"/>
                      <w:highlight w:val="none"/>
                    </w:rPr>
                    <w:t>.2%</w:t>
                  </w:r>
                </w:p>
              </w:tc>
              <w:tc>
                <w:tcPr>
                  <w:tcW w:w="637" w:type="dxa"/>
                </w:tcPr>
                <w:p>
                  <w:pPr>
                    <w:spacing w:line="360" w:lineRule="atLeast"/>
                    <w:jc w:val="center"/>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val="en-US"/>
                    </w:rPr>
                    <w:t>7</w:t>
                  </w:r>
                  <w:r>
                    <w:rPr>
                      <w:rFonts w:ascii="Times New Roman" w:hAnsi="Times New Roman" w:cs="Times New Roman"/>
                      <w:color w:val="auto"/>
                      <w:sz w:val="18"/>
                      <w:szCs w:val="18"/>
                      <w:highlight w:val="none"/>
                    </w:rPr>
                    <w:t>.3%</w:t>
                  </w:r>
                </w:p>
              </w:tc>
              <w:tc>
                <w:tcPr>
                  <w:tcW w:w="636" w:type="dxa"/>
                </w:tcPr>
                <w:p>
                  <w:pPr>
                    <w:spacing w:line="360" w:lineRule="atLeast"/>
                    <w:jc w:val="center"/>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val="en-US"/>
                    </w:rPr>
                    <w:t>7</w:t>
                  </w:r>
                  <w:r>
                    <w:rPr>
                      <w:rFonts w:ascii="Times New Roman" w:hAnsi="Times New Roman" w:cs="Times New Roman"/>
                      <w:color w:val="auto"/>
                      <w:sz w:val="18"/>
                      <w:szCs w:val="18"/>
                      <w:highlight w:val="none"/>
                    </w:rPr>
                    <w:t>.4%</w:t>
                  </w:r>
                </w:p>
              </w:tc>
              <w:tc>
                <w:tcPr>
                  <w:tcW w:w="636" w:type="dxa"/>
                </w:tcPr>
                <w:p>
                  <w:pPr>
                    <w:spacing w:line="360" w:lineRule="atLeast"/>
                    <w:jc w:val="center"/>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val="en-US"/>
                    </w:rPr>
                    <w:t>7</w:t>
                  </w:r>
                  <w:r>
                    <w:rPr>
                      <w:rFonts w:ascii="Times New Roman" w:hAnsi="Times New Roman" w:cs="Times New Roman"/>
                      <w:color w:val="auto"/>
                      <w:sz w:val="18"/>
                      <w:szCs w:val="18"/>
                      <w:highlight w:val="none"/>
                    </w:rPr>
                    <w:t>.5%</w:t>
                  </w:r>
                </w:p>
              </w:tc>
              <w:tc>
                <w:tcPr>
                  <w:tcW w:w="637" w:type="dxa"/>
                </w:tcPr>
                <w:p>
                  <w:pPr>
                    <w:spacing w:line="360" w:lineRule="atLeast"/>
                    <w:jc w:val="center"/>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val="en-US"/>
                    </w:rPr>
                    <w:t>7</w:t>
                  </w:r>
                  <w:r>
                    <w:rPr>
                      <w:rFonts w:ascii="Times New Roman" w:hAnsi="Times New Roman" w:cs="Times New Roman"/>
                      <w:color w:val="auto"/>
                      <w:sz w:val="18"/>
                      <w:szCs w:val="18"/>
                      <w:highlight w:val="none"/>
                    </w:rPr>
                    <w:t>.6%</w:t>
                  </w:r>
                </w:p>
              </w:tc>
              <w:tc>
                <w:tcPr>
                  <w:tcW w:w="636" w:type="dxa"/>
                </w:tcPr>
                <w:p>
                  <w:pPr>
                    <w:spacing w:line="360" w:lineRule="atLeast"/>
                    <w:jc w:val="center"/>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val="en-US"/>
                    </w:rPr>
                    <w:t>7</w:t>
                  </w:r>
                  <w:r>
                    <w:rPr>
                      <w:rFonts w:ascii="Times New Roman" w:hAnsi="Times New Roman" w:cs="Times New Roman"/>
                      <w:color w:val="auto"/>
                      <w:sz w:val="18"/>
                      <w:szCs w:val="18"/>
                      <w:highlight w:val="none"/>
                    </w:rPr>
                    <w:t>.7%</w:t>
                  </w:r>
                </w:p>
              </w:tc>
              <w:tc>
                <w:tcPr>
                  <w:tcW w:w="636" w:type="dxa"/>
                </w:tcPr>
                <w:p>
                  <w:pPr>
                    <w:spacing w:line="360" w:lineRule="atLeast"/>
                    <w:jc w:val="center"/>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val="en-US"/>
                    </w:rPr>
                    <w:t>7</w:t>
                  </w:r>
                  <w:r>
                    <w:rPr>
                      <w:rFonts w:ascii="Times New Roman" w:hAnsi="Times New Roman" w:cs="Times New Roman"/>
                      <w:color w:val="auto"/>
                      <w:sz w:val="18"/>
                      <w:szCs w:val="18"/>
                      <w:highlight w:val="none"/>
                    </w:rPr>
                    <w:t>.8%</w:t>
                  </w:r>
                </w:p>
              </w:tc>
              <w:tc>
                <w:tcPr>
                  <w:tcW w:w="637" w:type="dxa"/>
                </w:tcPr>
                <w:p>
                  <w:pPr>
                    <w:spacing w:line="360" w:lineRule="atLeast"/>
                    <w:jc w:val="center"/>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val="en-US"/>
                    </w:rPr>
                    <w:t>7</w:t>
                  </w:r>
                  <w:r>
                    <w:rPr>
                      <w:rFonts w:ascii="Times New Roman" w:hAnsi="Times New Roman" w:cs="Times New Roman"/>
                      <w:color w:val="auto"/>
                      <w:sz w:val="18"/>
                      <w:szCs w:val="18"/>
                      <w:highlight w:val="none"/>
                    </w:rPr>
                    <w:t>.9%</w:t>
                  </w:r>
                </w:p>
              </w:tc>
              <w:tc>
                <w:tcPr>
                  <w:tcW w:w="1902" w:type="dxa"/>
                  <w:gridSpan w:val="3"/>
                </w:tcPr>
                <w:p>
                  <w:pPr>
                    <w:spacing w:line="360" w:lineRule="atLeast"/>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val="en-US"/>
                    </w:rPr>
                    <w:t>8</w:t>
                  </w:r>
                  <w:r>
                    <w:rPr>
                      <w:rFonts w:ascii="Times New Roman" w:hAnsi="Times New Roman" w:cs="Times New Roman"/>
                      <w:color w:val="auto"/>
                      <w:sz w:val="18"/>
                      <w:szCs w:val="18"/>
                      <w:highlight w:val="none"/>
                    </w:rPr>
                    <w:t>.0%</w:t>
                  </w:r>
                </w:p>
              </w:tc>
            </w:tr>
          </w:tbl>
          <w:p>
            <w:pPr>
              <w:pStyle w:val="11"/>
              <w:ind w:firstLine="420" w:firstLineChars="200"/>
              <w:jc w:val="both"/>
              <w:rPr>
                <w:color w:val="auto"/>
                <w:sz w:val="21"/>
                <w:szCs w:val="21"/>
                <w:highlight w:val="none"/>
              </w:rPr>
            </w:pPr>
            <w:r>
              <w:rPr>
                <w:rFonts w:hint="eastAsia"/>
                <w:color w:val="auto"/>
                <w:sz w:val="21"/>
                <w:szCs w:val="21"/>
                <w:highlight w:val="none"/>
              </w:rPr>
              <w:t>②最高评标限价=最高投标限价×（1-下浮率）</w:t>
            </w:r>
          </w:p>
          <w:p>
            <w:pPr>
              <w:pStyle w:val="11"/>
              <w:ind w:firstLine="420" w:firstLineChars="200"/>
              <w:jc w:val="both"/>
              <w:rPr>
                <w:color w:val="auto"/>
                <w:sz w:val="21"/>
                <w:szCs w:val="21"/>
                <w:highlight w:val="none"/>
              </w:rPr>
            </w:pPr>
            <w:r>
              <w:rPr>
                <w:rFonts w:hint="eastAsia"/>
                <w:color w:val="auto"/>
                <w:sz w:val="21"/>
                <w:szCs w:val="21"/>
                <w:highlight w:val="none"/>
              </w:rPr>
              <w:t>③有效评标价范围：不大于最高评标限价的评标价为有效评标价。若大于最高评标限价的评标价，将否决其投标。</w:t>
            </w:r>
          </w:p>
          <w:p>
            <w:pPr>
              <w:pStyle w:val="11"/>
              <w:jc w:val="both"/>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3</w:t>
            </w:r>
            <w:r>
              <w:rPr>
                <w:rFonts w:hint="eastAsia"/>
                <w:color w:val="auto"/>
                <w:sz w:val="21"/>
                <w:szCs w:val="21"/>
                <w:highlight w:val="none"/>
              </w:rPr>
              <w:t>)评标基准价的确定：</w:t>
            </w:r>
          </w:p>
          <w:p>
            <w:pPr>
              <w:pStyle w:val="11"/>
              <w:ind w:firstLine="420" w:firstLineChars="200"/>
              <w:jc w:val="both"/>
              <w:rPr>
                <w:color w:val="auto"/>
                <w:sz w:val="21"/>
                <w:szCs w:val="21"/>
                <w:highlight w:val="none"/>
              </w:rPr>
            </w:pPr>
            <w:r>
              <w:rPr>
                <w:rFonts w:hint="eastAsia"/>
                <w:color w:val="auto"/>
                <w:sz w:val="21"/>
                <w:szCs w:val="21"/>
                <w:highlight w:val="none"/>
              </w:rPr>
              <w:t>将最高评标限价下浮</w:t>
            </w:r>
            <w:r>
              <w:rPr>
                <w:rFonts w:hint="eastAsia"/>
                <w:color w:val="auto"/>
                <w:sz w:val="21"/>
                <w:szCs w:val="21"/>
                <w:highlight w:val="none"/>
                <w:u w:val="single"/>
              </w:rPr>
              <w:t xml:space="preserve"> </w:t>
            </w:r>
            <w:r>
              <w:rPr>
                <w:rFonts w:hint="eastAsia"/>
                <w:color w:val="auto"/>
                <w:sz w:val="21"/>
                <w:szCs w:val="21"/>
                <w:highlight w:val="none"/>
                <w:u w:val="single"/>
                <w:lang w:val="en-US"/>
              </w:rPr>
              <w:t xml:space="preserve">1 </w:t>
            </w:r>
            <w:r>
              <w:rPr>
                <w:rFonts w:hint="eastAsia"/>
                <w:color w:val="auto"/>
                <w:sz w:val="21"/>
                <w:szCs w:val="21"/>
                <w:highlight w:val="none"/>
              </w:rPr>
              <w:t>%，作为评标基准价。</w:t>
            </w:r>
          </w:p>
          <w:p>
            <w:pPr>
              <w:pStyle w:val="11"/>
              <w:ind w:firstLine="420" w:firstLineChars="200"/>
              <w:jc w:val="both"/>
              <w:rPr>
                <w:color w:val="auto"/>
                <w:sz w:val="21"/>
                <w:szCs w:val="21"/>
                <w:highlight w:val="none"/>
              </w:rPr>
            </w:pPr>
            <w:r>
              <w:rPr>
                <w:rFonts w:hint="eastAsia"/>
                <w:color w:val="auto"/>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p>
            <w:pPr>
              <w:pStyle w:val="11"/>
              <w:ind w:firstLine="420" w:firstLineChars="200"/>
              <w:jc w:val="both"/>
              <w:rPr>
                <w:color w:val="auto"/>
                <w:sz w:val="21"/>
                <w:szCs w:val="21"/>
                <w:highlight w:val="none"/>
              </w:rPr>
            </w:pPr>
            <w:r>
              <w:rPr>
                <w:rFonts w:hint="eastAsia"/>
                <w:color w:val="auto"/>
                <w:sz w:val="21"/>
                <w:szCs w:val="21"/>
                <w:highlight w:val="none"/>
              </w:rPr>
              <w:t>注：</w:t>
            </w:r>
            <w:r>
              <w:rPr>
                <w:rFonts w:hint="eastAsia"/>
                <w:color w:val="auto"/>
                <w:sz w:val="21"/>
                <w:szCs w:val="21"/>
                <w:highlight w:val="none"/>
                <w:lang w:val="en-US"/>
              </w:rPr>
              <w:t>评标价、</w:t>
            </w:r>
            <w:r>
              <w:rPr>
                <w:rFonts w:hint="eastAsia"/>
                <w:color w:val="auto"/>
                <w:sz w:val="21"/>
                <w:szCs w:val="21"/>
                <w:highlight w:val="none"/>
              </w:rPr>
              <w:t xml:space="preserve">最高评标限价、评标基准价的计算均四舍五入至个位整数元。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jc w:val="center"/>
        </w:trPr>
        <w:tc>
          <w:tcPr>
            <w:tcW w:w="922" w:type="dxa"/>
            <w:vAlign w:val="center"/>
          </w:tcPr>
          <w:p>
            <w:pPr>
              <w:spacing w:before="142"/>
              <w:jc w:val="center"/>
              <w:rPr>
                <w:color w:val="auto"/>
                <w:sz w:val="21"/>
                <w:highlight w:val="none"/>
              </w:rPr>
            </w:pPr>
            <w:r>
              <w:rPr>
                <w:color w:val="auto"/>
                <w:sz w:val="21"/>
                <w:highlight w:val="none"/>
              </w:rPr>
              <w:t>2.2.3</w:t>
            </w:r>
          </w:p>
        </w:tc>
        <w:tc>
          <w:tcPr>
            <w:tcW w:w="1458" w:type="dxa"/>
            <w:vAlign w:val="center"/>
          </w:tcPr>
          <w:p>
            <w:pPr>
              <w:spacing w:before="142"/>
              <w:jc w:val="center"/>
              <w:rPr>
                <w:color w:val="auto"/>
                <w:sz w:val="21"/>
                <w:highlight w:val="none"/>
              </w:rPr>
            </w:pPr>
            <w:r>
              <w:rPr>
                <w:color w:val="auto"/>
                <w:sz w:val="21"/>
                <w:highlight w:val="none"/>
              </w:rPr>
              <w:t>投标报价的偏差率计算公式</w:t>
            </w:r>
          </w:p>
        </w:tc>
        <w:tc>
          <w:tcPr>
            <w:tcW w:w="7134" w:type="dxa"/>
            <w:vAlign w:val="center"/>
          </w:tcPr>
          <w:p>
            <w:pPr>
              <w:pStyle w:val="11"/>
              <w:jc w:val="both"/>
              <w:rPr>
                <w:color w:val="auto"/>
                <w:sz w:val="21"/>
                <w:szCs w:val="21"/>
                <w:highlight w:val="none"/>
              </w:rPr>
            </w:pPr>
            <w:r>
              <w:rPr>
                <w:rFonts w:hint="eastAsia"/>
                <w:color w:val="auto"/>
                <w:sz w:val="21"/>
                <w:szCs w:val="21"/>
                <w:highlight w:val="none"/>
              </w:rPr>
              <w:t xml:space="preserve">偏差率=100% ×(投标人评标价－评标基准价)/评标基准价 </w:t>
            </w:r>
          </w:p>
        </w:tc>
      </w:tr>
    </w:tbl>
    <w:p>
      <w:pPr>
        <w:spacing w:line="360" w:lineRule="auto"/>
        <w:jc w:val="both"/>
        <w:rPr>
          <w:b/>
          <w:bCs/>
          <w:color w:val="auto"/>
          <w:sz w:val="30"/>
          <w:szCs w:val="30"/>
          <w:highlight w:val="none"/>
        </w:rPr>
      </w:pPr>
    </w:p>
    <w:p>
      <w:pPr>
        <w:spacing w:line="360" w:lineRule="auto"/>
        <w:jc w:val="both"/>
        <w:rPr>
          <w:b/>
          <w:bCs/>
          <w:color w:val="auto"/>
          <w:sz w:val="30"/>
          <w:szCs w:val="30"/>
          <w:highlight w:val="none"/>
        </w:rPr>
      </w:pPr>
    </w:p>
    <w:p>
      <w:pPr>
        <w:spacing w:line="360" w:lineRule="auto"/>
        <w:jc w:val="both"/>
        <w:rPr>
          <w:b/>
          <w:bCs/>
          <w:color w:val="auto"/>
          <w:sz w:val="30"/>
          <w:szCs w:val="30"/>
          <w:highlight w:val="none"/>
        </w:rPr>
      </w:pPr>
    </w:p>
    <w:p>
      <w:pPr>
        <w:spacing w:before="48" w:after="23"/>
        <w:ind w:left="540"/>
        <w:rPr>
          <w:color w:val="auto"/>
          <w:sz w:val="21"/>
          <w:highlight w:val="none"/>
          <w:lang w:val="en-US"/>
        </w:rPr>
      </w:pPr>
      <w:r>
        <w:rPr>
          <w:color w:val="auto"/>
          <w:sz w:val="21"/>
          <w:highlight w:val="none"/>
        </w:rPr>
        <w:t xml:space="preserve">                                                        </w:t>
      </w:r>
      <w:r>
        <w:rPr>
          <w:rFonts w:hint="eastAsia"/>
          <w:color w:val="auto"/>
          <w:sz w:val="21"/>
          <w:highlight w:val="none"/>
          <w:lang w:val="en-US"/>
        </w:rPr>
        <w:t xml:space="preserve">      </w:t>
      </w:r>
      <w:r>
        <w:rPr>
          <w:color w:val="auto"/>
          <w:sz w:val="21"/>
          <w:highlight w:val="none"/>
        </w:rPr>
        <w:t xml:space="preserve"> </w:t>
      </w:r>
      <w:r>
        <w:rPr>
          <w:rFonts w:hint="eastAsia"/>
          <w:color w:val="auto"/>
          <w:sz w:val="21"/>
          <w:highlight w:val="none"/>
          <w:lang w:val="en-US"/>
        </w:rPr>
        <w:t xml:space="preserve">    </w:t>
      </w:r>
    </w:p>
    <w:p>
      <w:pPr>
        <w:spacing w:before="48" w:after="23"/>
        <w:ind w:left="540"/>
        <w:jc w:val="center"/>
        <w:rPr>
          <w:color w:val="auto"/>
          <w:sz w:val="21"/>
          <w:highlight w:val="none"/>
        </w:rPr>
      </w:pPr>
      <w:r>
        <w:rPr>
          <w:rFonts w:hint="eastAsia"/>
          <w:color w:val="auto"/>
          <w:sz w:val="21"/>
          <w:highlight w:val="none"/>
          <w:lang w:val="en-US"/>
        </w:rPr>
        <w:t xml:space="preserve">                                                                           </w:t>
      </w:r>
      <w:bookmarkStart w:id="25" w:name="_Toc22096_WPSOffice_Level2"/>
      <w:bookmarkStart w:id="26" w:name="_Toc26683_WPSOffice_Level2"/>
      <w:bookmarkStart w:id="27" w:name="_Toc7282_WPSOffice_Level2"/>
      <w:r>
        <w:rPr>
          <w:color w:val="auto"/>
          <w:sz w:val="21"/>
          <w:highlight w:val="none"/>
        </w:rPr>
        <w:t>续上表</w:t>
      </w:r>
      <w:bookmarkEnd w:id="25"/>
      <w:bookmarkEnd w:id="26"/>
      <w:bookmarkEnd w:id="27"/>
      <w:r>
        <w:rPr>
          <w:color w:val="auto"/>
          <w:sz w:val="21"/>
          <w:highlight w:val="none"/>
        </w:rPr>
        <w:t xml:space="preserve"> </w:t>
      </w:r>
    </w:p>
    <w:tbl>
      <w:tblPr>
        <w:tblStyle w:val="10"/>
        <w:tblW w:w="91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7"/>
        <w:gridCol w:w="1073"/>
        <w:gridCol w:w="1275"/>
        <w:gridCol w:w="1419"/>
        <w:gridCol w:w="708"/>
        <w:gridCol w:w="39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5" w:hRule="atLeast"/>
          <w:jc w:val="center"/>
        </w:trPr>
        <w:tc>
          <w:tcPr>
            <w:tcW w:w="737" w:type="dxa"/>
            <w:vAlign w:val="center"/>
          </w:tcPr>
          <w:p>
            <w:pPr>
              <w:spacing w:before="142"/>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条款</w:t>
            </w:r>
          </w:p>
          <w:p>
            <w:pPr>
              <w:spacing w:before="142"/>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号</w:t>
            </w:r>
          </w:p>
        </w:tc>
        <w:tc>
          <w:tcPr>
            <w:tcW w:w="1073" w:type="dxa"/>
            <w:vAlign w:val="center"/>
          </w:tcPr>
          <w:p>
            <w:pPr>
              <w:spacing w:before="142"/>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评分因素</w:t>
            </w:r>
          </w:p>
        </w:tc>
        <w:tc>
          <w:tcPr>
            <w:tcW w:w="1275" w:type="dxa"/>
            <w:vAlign w:val="center"/>
          </w:tcPr>
          <w:p>
            <w:pPr>
              <w:spacing w:before="142"/>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评分因素权</w:t>
            </w:r>
          </w:p>
          <w:p>
            <w:pPr>
              <w:spacing w:before="142"/>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重分值</w:t>
            </w:r>
          </w:p>
        </w:tc>
        <w:tc>
          <w:tcPr>
            <w:tcW w:w="1419" w:type="dxa"/>
            <w:vAlign w:val="center"/>
          </w:tcPr>
          <w:p>
            <w:pPr>
              <w:spacing w:before="142"/>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各评分因素</w:t>
            </w:r>
          </w:p>
          <w:p>
            <w:pPr>
              <w:spacing w:before="142"/>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细分项</w:t>
            </w:r>
          </w:p>
        </w:tc>
        <w:tc>
          <w:tcPr>
            <w:tcW w:w="708" w:type="dxa"/>
            <w:vAlign w:val="center"/>
          </w:tcPr>
          <w:p>
            <w:pPr>
              <w:spacing w:before="142"/>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分值</w:t>
            </w:r>
          </w:p>
        </w:tc>
        <w:tc>
          <w:tcPr>
            <w:tcW w:w="3970" w:type="dxa"/>
            <w:vAlign w:val="center"/>
          </w:tcPr>
          <w:p>
            <w:pPr>
              <w:spacing w:before="142"/>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5" w:hRule="atLeast"/>
          <w:jc w:val="center"/>
        </w:trPr>
        <w:tc>
          <w:tcPr>
            <w:tcW w:w="737" w:type="dxa"/>
            <w:vMerge w:val="restart"/>
          </w:tcPr>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jc w:val="center"/>
              <w:rPr>
                <w:rFonts w:ascii="Times New Roman" w:hAnsi="Times New Roman" w:cs="Times New Roman"/>
                <w:color w:val="auto"/>
                <w:sz w:val="20"/>
                <w:highlight w:val="none"/>
              </w:rPr>
            </w:pPr>
            <w:r>
              <w:rPr>
                <w:rFonts w:ascii="Times New Roman" w:hAnsi="Times New Roman" w:cs="Times New Roman"/>
                <w:color w:val="auto"/>
                <w:sz w:val="20"/>
                <w:highlight w:val="none"/>
              </w:rPr>
              <w:t>2.2.4（1）</w:t>
            </w:r>
          </w:p>
        </w:tc>
        <w:tc>
          <w:tcPr>
            <w:tcW w:w="1073" w:type="dxa"/>
            <w:vMerge w:val="restart"/>
          </w:tcPr>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jc w:val="center"/>
              <w:rPr>
                <w:rFonts w:ascii="Times New Roman" w:hAnsi="Times New Roman" w:cs="Times New Roman"/>
                <w:color w:val="auto"/>
                <w:sz w:val="20"/>
                <w:highlight w:val="none"/>
              </w:rPr>
            </w:pPr>
          </w:p>
          <w:p>
            <w:pPr>
              <w:jc w:val="center"/>
              <w:rPr>
                <w:rFonts w:ascii="Times New Roman" w:hAnsi="Times New Roman" w:cs="Times New Roman"/>
                <w:color w:val="auto"/>
                <w:sz w:val="20"/>
                <w:highlight w:val="none"/>
              </w:rPr>
            </w:pPr>
            <w:r>
              <w:rPr>
                <w:rFonts w:ascii="Times New Roman" w:hAnsi="Times New Roman" w:cs="Times New Roman"/>
                <w:color w:val="auto"/>
                <w:sz w:val="20"/>
                <w:highlight w:val="none"/>
              </w:rPr>
              <w:t>建设总承包方案</w:t>
            </w:r>
          </w:p>
          <w:p>
            <w:pPr>
              <w:jc w:val="center"/>
              <w:rPr>
                <w:rFonts w:ascii="Times New Roman" w:hAnsi="Times New Roman" w:cs="Times New Roman"/>
                <w:color w:val="auto"/>
                <w:sz w:val="20"/>
                <w:highlight w:val="none"/>
              </w:rPr>
            </w:pPr>
            <w:r>
              <w:rPr>
                <w:rFonts w:ascii="Times New Roman" w:hAnsi="Times New Roman" w:cs="Times New Roman"/>
                <w:color w:val="auto"/>
                <w:sz w:val="20"/>
                <w:highlight w:val="none"/>
              </w:rPr>
              <w:t>（</w:t>
            </w:r>
            <w:r>
              <w:rPr>
                <w:rFonts w:ascii="Times New Roman" w:hAnsi="Times New Roman" w:cs="Times New Roman"/>
                <w:color w:val="auto"/>
                <w:sz w:val="20"/>
                <w:highlight w:val="none"/>
                <w:u w:val="single"/>
                <w:lang w:val="en-US"/>
              </w:rPr>
              <w:t xml:space="preserve"> 20 </w:t>
            </w:r>
            <w:r>
              <w:rPr>
                <w:rFonts w:ascii="Times New Roman" w:hAnsi="Times New Roman" w:cs="Times New Roman"/>
                <w:color w:val="auto"/>
                <w:sz w:val="20"/>
                <w:highlight w:val="none"/>
              </w:rPr>
              <w:t>分）</w:t>
            </w:r>
          </w:p>
        </w:tc>
        <w:tc>
          <w:tcPr>
            <w:tcW w:w="1275" w:type="dxa"/>
            <w:vMerge w:val="restart"/>
          </w:tcPr>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p>
          <w:p>
            <w:pPr>
              <w:rPr>
                <w:rFonts w:ascii="Times New Roman" w:hAnsi="Times New Roman" w:cs="Times New Roman"/>
                <w:color w:val="auto"/>
                <w:sz w:val="20"/>
                <w:highlight w:val="none"/>
              </w:rPr>
            </w:pPr>
            <w:r>
              <w:rPr>
                <w:rFonts w:ascii="Times New Roman" w:hAnsi="Times New Roman" w:cs="Times New Roman"/>
                <w:color w:val="auto"/>
                <w:sz w:val="21"/>
                <w:szCs w:val="21"/>
                <w:highlight w:val="none"/>
              </w:rPr>
              <w:t>(</w:t>
            </w:r>
            <w:r>
              <w:rPr>
                <w:rFonts w:ascii="Times New Roman" w:hAnsi="Times New Roman" w:cs="Times New Roman"/>
                <w:color w:val="auto"/>
                <w:sz w:val="21"/>
                <w:szCs w:val="21"/>
                <w:highlight w:val="none"/>
                <w:lang w:val="en-US"/>
              </w:rPr>
              <w:t>1</w:t>
            </w:r>
            <w:r>
              <w:rPr>
                <w:rFonts w:ascii="Times New Roman" w:hAnsi="Times New Roman" w:cs="Times New Roman"/>
                <w:color w:val="auto"/>
                <w:sz w:val="21"/>
                <w:szCs w:val="21"/>
                <w:highlight w:val="none"/>
              </w:rPr>
              <w:t>)</w:t>
            </w:r>
            <w:r>
              <w:rPr>
                <w:rFonts w:ascii="Times New Roman" w:hAnsi="Times New Roman" w:cs="Times New Roman"/>
                <w:color w:val="auto"/>
                <w:sz w:val="20"/>
                <w:highlight w:val="none"/>
              </w:rPr>
              <w:t>勘察设计方案（</w:t>
            </w:r>
            <w:r>
              <w:rPr>
                <w:rFonts w:ascii="Times New Roman" w:hAnsi="Times New Roman" w:cs="Times New Roman"/>
                <w:color w:val="auto"/>
                <w:sz w:val="20"/>
                <w:highlight w:val="none"/>
                <w:u w:val="single"/>
                <w:lang w:val="en-US"/>
              </w:rPr>
              <w:t>10</w:t>
            </w:r>
            <w:r>
              <w:rPr>
                <w:rFonts w:ascii="Times New Roman" w:hAnsi="Times New Roman" w:cs="Times New Roman"/>
                <w:color w:val="auto"/>
                <w:sz w:val="20"/>
                <w:highlight w:val="none"/>
              </w:rPr>
              <w:t xml:space="preserve">分） </w:t>
            </w:r>
          </w:p>
        </w:tc>
        <w:tc>
          <w:tcPr>
            <w:tcW w:w="1419" w:type="dxa"/>
            <w:vAlign w:val="center"/>
          </w:tcPr>
          <w:p>
            <w:pPr>
              <w:pStyle w:val="11"/>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对招标项目勘察设计的理解和总体设计思路</w:t>
            </w:r>
          </w:p>
        </w:tc>
        <w:tc>
          <w:tcPr>
            <w:tcW w:w="708" w:type="dxa"/>
            <w:vAlign w:val="center"/>
          </w:tcPr>
          <w:p>
            <w:pPr>
              <w:pStyle w:val="11"/>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u w:val="single"/>
                <w:lang w:val="en-US"/>
              </w:rPr>
              <w:t xml:space="preserve"> 2 </w:t>
            </w:r>
            <w:r>
              <w:rPr>
                <w:rFonts w:ascii="Times New Roman" w:hAnsi="Times New Roman" w:cs="Times New Roman"/>
                <w:color w:val="auto"/>
                <w:sz w:val="21"/>
                <w:szCs w:val="21"/>
                <w:highlight w:val="none"/>
              </w:rPr>
              <w:t>分</w:t>
            </w:r>
          </w:p>
        </w:tc>
        <w:tc>
          <w:tcPr>
            <w:tcW w:w="3970" w:type="dxa"/>
            <w:vAlign w:val="center"/>
          </w:tcPr>
          <w:p>
            <w:pPr>
              <w:pStyle w:val="11"/>
              <w:jc w:val="both"/>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w:t>
            </w:r>
            <w:r>
              <w:rPr>
                <w:rFonts w:ascii="Times New Roman" w:hAnsi="Times New Roman" w:cs="Times New Roman"/>
                <w:color w:val="auto"/>
                <w:sz w:val="21"/>
                <w:szCs w:val="21"/>
                <w:highlight w:val="none"/>
                <w:lang w:val="en-US"/>
              </w:rPr>
              <w:t>1</w:t>
            </w:r>
            <w:r>
              <w:rPr>
                <w:rFonts w:ascii="Times New Roman" w:hAnsi="Times New Roman" w:cs="Times New Roman"/>
                <w:color w:val="auto"/>
                <w:sz w:val="21"/>
                <w:szCs w:val="21"/>
                <w:highlight w:val="none"/>
              </w:rPr>
              <w:t>)对勘察设计工作范围和任务描述准确程度和总体设计思路很清晰、切实可行程度 很高，得</w:t>
            </w:r>
            <w:r>
              <w:rPr>
                <w:rFonts w:ascii="Times New Roman" w:hAnsi="Times New Roman" w:cs="Times New Roman"/>
                <w:color w:val="auto"/>
                <w:sz w:val="21"/>
                <w:szCs w:val="21"/>
                <w:highlight w:val="none"/>
                <w:u w:val="single"/>
                <w:lang w:val="en-US"/>
              </w:rPr>
              <w:t>1.</w:t>
            </w:r>
            <w:r>
              <w:rPr>
                <w:rFonts w:hint="eastAsia" w:ascii="Times New Roman" w:hAnsi="Times New Roman" w:cs="Times New Roman"/>
                <w:color w:val="auto"/>
                <w:sz w:val="21"/>
                <w:szCs w:val="21"/>
                <w:highlight w:val="none"/>
                <w:u w:val="single"/>
                <w:lang w:val="en-US"/>
              </w:rPr>
              <w:t>9</w:t>
            </w:r>
            <w:r>
              <w:rPr>
                <w:rFonts w:ascii="Times New Roman" w:hAnsi="Times New Roman" w:cs="Times New Roman"/>
                <w:color w:val="auto"/>
                <w:sz w:val="21"/>
                <w:szCs w:val="21"/>
                <w:highlight w:val="none"/>
                <w:u w:val="single"/>
              </w:rPr>
              <w:t>～</w:t>
            </w:r>
            <w:r>
              <w:rPr>
                <w:rFonts w:ascii="Times New Roman" w:hAnsi="Times New Roman" w:cs="Times New Roman"/>
                <w:color w:val="auto"/>
                <w:sz w:val="21"/>
                <w:szCs w:val="21"/>
                <w:highlight w:val="none"/>
                <w:u w:val="single"/>
                <w:lang w:val="en-US"/>
              </w:rPr>
              <w:t>2</w:t>
            </w:r>
            <w:r>
              <w:rPr>
                <w:rFonts w:ascii="Times New Roman" w:hAnsi="Times New Roman" w:cs="Times New Roman"/>
                <w:color w:val="auto"/>
                <w:sz w:val="21"/>
                <w:szCs w:val="21"/>
                <w:highlight w:val="none"/>
              </w:rPr>
              <w:t>分；</w:t>
            </w:r>
          </w:p>
          <w:p>
            <w:pPr>
              <w:pStyle w:val="11"/>
              <w:jc w:val="both"/>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w:t>
            </w:r>
            <w:r>
              <w:rPr>
                <w:rFonts w:ascii="Times New Roman" w:hAnsi="Times New Roman" w:cs="Times New Roman"/>
                <w:color w:val="auto"/>
                <w:sz w:val="21"/>
                <w:szCs w:val="21"/>
                <w:highlight w:val="none"/>
                <w:lang w:val="en-US"/>
              </w:rPr>
              <w:t>2</w:t>
            </w:r>
            <w:r>
              <w:rPr>
                <w:rFonts w:ascii="Times New Roman" w:hAnsi="Times New Roman" w:cs="Times New Roman"/>
                <w:color w:val="auto"/>
                <w:sz w:val="21"/>
                <w:szCs w:val="21"/>
                <w:highlight w:val="none"/>
              </w:rPr>
              <w:t xml:space="preserve">)对勘察设计工作范围和任务描述准确程度和总体设计思路较为清晰、基本可行，得 </w:t>
            </w:r>
            <w:r>
              <w:rPr>
                <w:rFonts w:ascii="Times New Roman" w:hAnsi="Times New Roman" w:cs="Times New Roman"/>
                <w:color w:val="auto"/>
                <w:sz w:val="21"/>
                <w:szCs w:val="21"/>
                <w:highlight w:val="none"/>
                <w:u w:val="single"/>
                <w:lang w:val="en-US"/>
              </w:rPr>
              <w:t>1.</w:t>
            </w:r>
            <w:r>
              <w:rPr>
                <w:rFonts w:hint="eastAsia" w:ascii="Times New Roman" w:hAnsi="Times New Roman" w:cs="Times New Roman"/>
                <w:color w:val="auto"/>
                <w:sz w:val="21"/>
                <w:szCs w:val="21"/>
                <w:highlight w:val="none"/>
                <w:u w:val="single"/>
                <w:lang w:val="en-US"/>
              </w:rPr>
              <w:t>8</w:t>
            </w:r>
            <w:r>
              <w:rPr>
                <w:rFonts w:ascii="Times New Roman" w:hAnsi="Times New Roman" w:cs="Times New Roman"/>
                <w:color w:val="auto"/>
                <w:sz w:val="21"/>
                <w:szCs w:val="21"/>
                <w:highlight w:val="none"/>
                <w:u w:val="single"/>
              </w:rPr>
              <w:t>～</w:t>
            </w:r>
            <w:r>
              <w:rPr>
                <w:rFonts w:ascii="Times New Roman" w:hAnsi="Times New Roman" w:cs="Times New Roman"/>
                <w:color w:val="auto"/>
                <w:sz w:val="21"/>
                <w:szCs w:val="21"/>
                <w:highlight w:val="none"/>
                <w:u w:val="single"/>
                <w:lang w:val="en-US"/>
              </w:rPr>
              <w:t>1.</w:t>
            </w:r>
            <w:r>
              <w:rPr>
                <w:rFonts w:hint="eastAsia" w:ascii="Times New Roman" w:hAnsi="Times New Roman" w:cs="Times New Roman"/>
                <w:color w:val="auto"/>
                <w:sz w:val="21"/>
                <w:szCs w:val="21"/>
                <w:highlight w:val="none"/>
                <w:u w:val="single"/>
                <w:lang w:val="en-US"/>
              </w:rPr>
              <w:t>9</w:t>
            </w:r>
            <w:r>
              <w:rPr>
                <w:rFonts w:ascii="Times New Roman" w:hAnsi="Times New Roman" w:cs="Times New Roman"/>
                <w:color w:val="auto"/>
                <w:sz w:val="21"/>
                <w:szCs w:val="21"/>
                <w:highlight w:val="none"/>
              </w:rPr>
              <w:t>分；</w:t>
            </w:r>
          </w:p>
          <w:p>
            <w:pPr>
              <w:pStyle w:val="11"/>
              <w:jc w:val="both"/>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w:t>
            </w:r>
            <w:r>
              <w:rPr>
                <w:rFonts w:ascii="Times New Roman" w:hAnsi="Times New Roman" w:cs="Times New Roman"/>
                <w:color w:val="auto"/>
                <w:sz w:val="21"/>
                <w:szCs w:val="21"/>
                <w:highlight w:val="none"/>
                <w:lang w:val="en-US"/>
              </w:rPr>
              <w:t>3</w:t>
            </w:r>
            <w:r>
              <w:rPr>
                <w:rFonts w:ascii="Times New Roman" w:hAnsi="Times New Roman" w:cs="Times New Roman"/>
                <w:color w:val="auto"/>
                <w:sz w:val="21"/>
                <w:szCs w:val="21"/>
                <w:highlight w:val="none"/>
              </w:rPr>
              <w:t xml:space="preserve">)一般但不被评定为不响应的,起评分 </w:t>
            </w:r>
            <w:r>
              <w:rPr>
                <w:rFonts w:ascii="Times New Roman" w:hAnsi="Times New Roman" w:cs="Times New Roman"/>
                <w:color w:val="auto"/>
                <w:sz w:val="21"/>
                <w:szCs w:val="21"/>
                <w:highlight w:val="none"/>
                <w:u w:val="single"/>
                <w:lang w:val="en-US"/>
              </w:rPr>
              <w:t>1.</w:t>
            </w:r>
            <w:r>
              <w:rPr>
                <w:rFonts w:hint="eastAsia" w:ascii="Times New Roman" w:hAnsi="Times New Roman" w:cs="Times New Roman"/>
                <w:color w:val="auto"/>
                <w:sz w:val="21"/>
                <w:szCs w:val="21"/>
                <w:highlight w:val="none"/>
                <w:u w:val="single"/>
                <w:lang w:val="en-US"/>
              </w:rPr>
              <w:t>8</w:t>
            </w:r>
            <w:r>
              <w:rPr>
                <w:rFonts w:ascii="Times New Roman" w:hAnsi="Times New Roman" w:cs="Times New Roman"/>
                <w:color w:val="auto"/>
                <w:sz w:val="21"/>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59" w:hRule="atLeast"/>
          <w:jc w:val="center"/>
        </w:trPr>
        <w:tc>
          <w:tcPr>
            <w:tcW w:w="737" w:type="dxa"/>
            <w:vMerge w:val="continue"/>
          </w:tcPr>
          <w:p>
            <w:pPr>
              <w:rPr>
                <w:rFonts w:ascii="Times New Roman" w:hAnsi="Times New Roman" w:cs="Times New Roman"/>
                <w:color w:val="auto"/>
                <w:sz w:val="2"/>
                <w:szCs w:val="2"/>
                <w:highlight w:val="none"/>
              </w:rPr>
            </w:pPr>
          </w:p>
        </w:tc>
        <w:tc>
          <w:tcPr>
            <w:tcW w:w="1073" w:type="dxa"/>
            <w:vMerge w:val="continue"/>
          </w:tcPr>
          <w:p>
            <w:pPr>
              <w:rPr>
                <w:rFonts w:ascii="Times New Roman" w:hAnsi="Times New Roman" w:cs="Times New Roman"/>
                <w:color w:val="auto"/>
                <w:sz w:val="2"/>
                <w:szCs w:val="2"/>
                <w:highlight w:val="none"/>
              </w:rPr>
            </w:pPr>
          </w:p>
        </w:tc>
        <w:tc>
          <w:tcPr>
            <w:tcW w:w="1275" w:type="dxa"/>
            <w:vMerge w:val="continue"/>
          </w:tcPr>
          <w:p>
            <w:pPr>
              <w:rPr>
                <w:rFonts w:ascii="Times New Roman" w:hAnsi="Times New Roman" w:cs="Times New Roman"/>
                <w:color w:val="auto"/>
                <w:sz w:val="2"/>
                <w:szCs w:val="2"/>
                <w:highlight w:val="none"/>
              </w:rPr>
            </w:pPr>
          </w:p>
        </w:tc>
        <w:tc>
          <w:tcPr>
            <w:tcW w:w="1419" w:type="dxa"/>
          </w:tcPr>
          <w:p>
            <w:pPr>
              <w:pStyle w:val="11"/>
              <w:jc w:val="center"/>
              <w:rPr>
                <w:rFonts w:ascii="Times New Roman" w:hAnsi="Times New Roman" w:cs="Times New Roman"/>
                <w:color w:val="auto"/>
                <w:sz w:val="21"/>
                <w:szCs w:val="21"/>
                <w:highlight w:val="none"/>
              </w:rPr>
            </w:pPr>
          </w:p>
          <w:p>
            <w:pPr>
              <w:pStyle w:val="11"/>
              <w:jc w:val="center"/>
              <w:rPr>
                <w:rFonts w:ascii="Times New Roman" w:hAnsi="Times New Roman" w:cs="Times New Roman"/>
                <w:color w:val="auto"/>
                <w:sz w:val="21"/>
                <w:szCs w:val="21"/>
                <w:highlight w:val="none"/>
              </w:rPr>
            </w:pPr>
          </w:p>
          <w:p>
            <w:pPr>
              <w:pStyle w:val="11"/>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招标项目勘察设计的特点、关键技术问题的认识及其对策措施</w:t>
            </w:r>
          </w:p>
        </w:tc>
        <w:tc>
          <w:tcPr>
            <w:tcW w:w="708" w:type="dxa"/>
          </w:tcPr>
          <w:p>
            <w:pPr>
              <w:pStyle w:val="11"/>
              <w:jc w:val="center"/>
              <w:rPr>
                <w:rFonts w:ascii="Times New Roman" w:hAnsi="Times New Roman" w:cs="Times New Roman"/>
                <w:color w:val="auto"/>
                <w:sz w:val="21"/>
                <w:szCs w:val="21"/>
                <w:highlight w:val="none"/>
              </w:rPr>
            </w:pPr>
          </w:p>
          <w:p>
            <w:pPr>
              <w:pStyle w:val="11"/>
              <w:jc w:val="center"/>
              <w:rPr>
                <w:rFonts w:ascii="Times New Roman" w:hAnsi="Times New Roman" w:cs="Times New Roman"/>
                <w:color w:val="auto"/>
                <w:sz w:val="21"/>
                <w:szCs w:val="21"/>
                <w:highlight w:val="none"/>
              </w:rPr>
            </w:pPr>
          </w:p>
          <w:p>
            <w:pPr>
              <w:pStyle w:val="11"/>
              <w:jc w:val="center"/>
              <w:rPr>
                <w:rFonts w:ascii="Times New Roman" w:hAnsi="Times New Roman" w:cs="Times New Roman"/>
                <w:color w:val="auto"/>
                <w:sz w:val="21"/>
                <w:szCs w:val="21"/>
                <w:highlight w:val="none"/>
              </w:rPr>
            </w:pPr>
          </w:p>
          <w:p>
            <w:pPr>
              <w:pStyle w:val="11"/>
              <w:jc w:val="center"/>
              <w:rPr>
                <w:rFonts w:ascii="Times New Roman" w:hAnsi="Times New Roman" w:cs="Times New Roman"/>
                <w:color w:val="auto"/>
                <w:sz w:val="21"/>
                <w:szCs w:val="21"/>
                <w:highlight w:val="none"/>
              </w:rPr>
            </w:pPr>
          </w:p>
          <w:p>
            <w:pPr>
              <w:pStyle w:val="11"/>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u w:val="single"/>
                <w:lang w:val="en-US"/>
              </w:rPr>
              <w:t xml:space="preserve"> 2 </w:t>
            </w:r>
            <w:r>
              <w:rPr>
                <w:rFonts w:ascii="Times New Roman" w:hAnsi="Times New Roman" w:cs="Times New Roman"/>
                <w:color w:val="auto"/>
                <w:sz w:val="21"/>
                <w:szCs w:val="21"/>
                <w:highlight w:val="none"/>
              </w:rPr>
              <w:t>分</w:t>
            </w:r>
          </w:p>
        </w:tc>
        <w:tc>
          <w:tcPr>
            <w:tcW w:w="3970" w:type="dxa"/>
            <w:vAlign w:val="center"/>
          </w:tcPr>
          <w:p>
            <w:pPr>
              <w:pStyle w:val="11"/>
              <w:jc w:val="both"/>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w:t>
            </w:r>
            <w:r>
              <w:rPr>
                <w:rFonts w:ascii="Times New Roman" w:hAnsi="Times New Roman" w:cs="Times New Roman"/>
                <w:color w:val="auto"/>
                <w:sz w:val="21"/>
                <w:szCs w:val="21"/>
                <w:highlight w:val="none"/>
                <w:lang w:val="en-US"/>
              </w:rPr>
              <w:t>1</w:t>
            </w:r>
            <w:r>
              <w:rPr>
                <w:rFonts w:ascii="Times New Roman" w:hAnsi="Times New Roman" w:cs="Times New Roman"/>
                <w:color w:val="auto"/>
                <w:sz w:val="21"/>
                <w:szCs w:val="21"/>
                <w:highlight w:val="none"/>
              </w:rPr>
              <w:t xml:space="preserve">)对项目特点、关键技术问题的把握程度和初步设计、施工图设计应着重解决的技术问题所提出处理措施的可行性程度很高，得  </w:t>
            </w:r>
            <w:r>
              <w:rPr>
                <w:rFonts w:ascii="Times New Roman" w:hAnsi="Times New Roman" w:cs="Times New Roman"/>
                <w:color w:val="auto"/>
                <w:sz w:val="21"/>
                <w:szCs w:val="21"/>
                <w:highlight w:val="none"/>
                <w:u w:val="single"/>
                <w:lang w:val="en-US"/>
              </w:rPr>
              <w:t>1.</w:t>
            </w:r>
            <w:r>
              <w:rPr>
                <w:rFonts w:hint="eastAsia" w:ascii="Times New Roman" w:hAnsi="Times New Roman" w:cs="Times New Roman"/>
                <w:color w:val="auto"/>
                <w:sz w:val="21"/>
                <w:szCs w:val="21"/>
                <w:highlight w:val="none"/>
                <w:u w:val="single"/>
                <w:lang w:val="en-US"/>
              </w:rPr>
              <w:t>9</w:t>
            </w:r>
            <w:r>
              <w:rPr>
                <w:rFonts w:ascii="Times New Roman" w:hAnsi="Times New Roman" w:cs="Times New Roman"/>
                <w:color w:val="auto"/>
                <w:sz w:val="21"/>
                <w:szCs w:val="21"/>
                <w:highlight w:val="none"/>
                <w:u w:val="single"/>
              </w:rPr>
              <w:t>～</w:t>
            </w:r>
            <w:r>
              <w:rPr>
                <w:rFonts w:ascii="Times New Roman" w:hAnsi="Times New Roman" w:cs="Times New Roman"/>
                <w:color w:val="auto"/>
                <w:sz w:val="21"/>
                <w:szCs w:val="21"/>
                <w:highlight w:val="none"/>
                <w:u w:val="single"/>
                <w:lang w:val="en-US"/>
              </w:rPr>
              <w:t>2</w:t>
            </w:r>
            <w:r>
              <w:rPr>
                <w:rFonts w:ascii="Times New Roman" w:hAnsi="Times New Roman" w:cs="Times New Roman"/>
                <w:color w:val="auto"/>
                <w:sz w:val="21"/>
                <w:szCs w:val="21"/>
                <w:highlight w:val="none"/>
              </w:rPr>
              <w:t>分；</w:t>
            </w:r>
          </w:p>
          <w:p>
            <w:pPr>
              <w:pStyle w:val="11"/>
              <w:jc w:val="both"/>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w:t>
            </w:r>
            <w:r>
              <w:rPr>
                <w:rFonts w:ascii="Times New Roman" w:hAnsi="Times New Roman" w:cs="Times New Roman"/>
                <w:color w:val="auto"/>
                <w:sz w:val="21"/>
                <w:szCs w:val="21"/>
                <w:highlight w:val="none"/>
                <w:lang w:val="en-US"/>
              </w:rPr>
              <w:t>2</w:t>
            </w:r>
            <w:r>
              <w:rPr>
                <w:rFonts w:ascii="Times New Roman" w:hAnsi="Times New Roman" w:cs="Times New Roman"/>
                <w:color w:val="auto"/>
                <w:sz w:val="21"/>
                <w:szCs w:val="21"/>
                <w:highlight w:val="none"/>
              </w:rPr>
              <w:t xml:space="preserve">)对项目特点、关键技术问题的把握程度和初步设计、施工图设计应着重解决的技术问题所提出处理措施的可行性程度较高，得  </w:t>
            </w:r>
            <w:r>
              <w:rPr>
                <w:rFonts w:ascii="Times New Roman" w:hAnsi="Times New Roman" w:cs="Times New Roman"/>
                <w:color w:val="auto"/>
                <w:sz w:val="21"/>
                <w:szCs w:val="21"/>
                <w:highlight w:val="none"/>
                <w:u w:val="single"/>
                <w:lang w:val="en-US"/>
              </w:rPr>
              <w:t>1.</w:t>
            </w:r>
            <w:r>
              <w:rPr>
                <w:rFonts w:hint="eastAsia" w:ascii="Times New Roman" w:hAnsi="Times New Roman" w:cs="Times New Roman"/>
                <w:color w:val="auto"/>
                <w:sz w:val="21"/>
                <w:szCs w:val="21"/>
                <w:highlight w:val="none"/>
                <w:u w:val="single"/>
                <w:lang w:val="en-US"/>
              </w:rPr>
              <w:t>8</w:t>
            </w:r>
            <w:r>
              <w:rPr>
                <w:rFonts w:ascii="Times New Roman" w:hAnsi="Times New Roman" w:cs="Times New Roman"/>
                <w:color w:val="auto"/>
                <w:sz w:val="21"/>
                <w:szCs w:val="21"/>
                <w:highlight w:val="none"/>
                <w:u w:val="single"/>
              </w:rPr>
              <w:t>～</w:t>
            </w:r>
            <w:r>
              <w:rPr>
                <w:rFonts w:ascii="Times New Roman" w:hAnsi="Times New Roman" w:cs="Times New Roman"/>
                <w:color w:val="auto"/>
                <w:sz w:val="21"/>
                <w:szCs w:val="21"/>
                <w:highlight w:val="none"/>
                <w:u w:val="single"/>
                <w:lang w:val="en-US"/>
              </w:rPr>
              <w:t>1.</w:t>
            </w:r>
            <w:r>
              <w:rPr>
                <w:rFonts w:hint="eastAsia" w:ascii="Times New Roman" w:hAnsi="Times New Roman" w:cs="Times New Roman"/>
                <w:color w:val="auto"/>
                <w:sz w:val="21"/>
                <w:szCs w:val="21"/>
                <w:highlight w:val="none"/>
                <w:u w:val="single"/>
                <w:lang w:val="en-US"/>
              </w:rPr>
              <w:t>9</w:t>
            </w:r>
            <w:r>
              <w:rPr>
                <w:rFonts w:ascii="Times New Roman" w:hAnsi="Times New Roman" w:cs="Times New Roman"/>
                <w:color w:val="auto"/>
                <w:sz w:val="21"/>
                <w:szCs w:val="21"/>
                <w:highlight w:val="none"/>
              </w:rPr>
              <w:t>分；</w:t>
            </w:r>
          </w:p>
          <w:p>
            <w:pPr>
              <w:pStyle w:val="11"/>
              <w:jc w:val="both"/>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w:t>
            </w:r>
            <w:r>
              <w:rPr>
                <w:rFonts w:ascii="Times New Roman" w:hAnsi="Times New Roman" w:cs="Times New Roman"/>
                <w:color w:val="auto"/>
                <w:sz w:val="21"/>
                <w:szCs w:val="21"/>
                <w:highlight w:val="none"/>
                <w:lang w:val="en-US"/>
              </w:rPr>
              <w:t>3</w:t>
            </w:r>
            <w:r>
              <w:rPr>
                <w:rFonts w:ascii="Times New Roman" w:hAnsi="Times New Roman" w:cs="Times New Roman"/>
                <w:color w:val="auto"/>
                <w:sz w:val="21"/>
                <w:szCs w:val="21"/>
                <w:highlight w:val="none"/>
              </w:rPr>
              <w:t xml:space="preserve">)一般但不被评定为不响应的,起评分 </w:t>
            </w:r>
            <w:r>
              <w:rPr>
                <w:rFonts w:ascii="Times New Roman" w:hAnsi="Times New Roman" w:cs="Times New Roman"/>
                <w:color w:val="auto"/>
                <w:sz w:val="21"/>
                <w:szCs w:val="21"/>
                <w:highlight w:val="none"/>
                <w:u w:val="single"/>
                <w:lang w:val="en-US"/>
              </w:rPr>
              <w:t>1.</w:t>
            </w:r>
            <w:r>
              <w:rPr>
                <w:rFonts w:hint="eastAsia" w:ascii="Times New Roman" w:hAnsi="Times New Roman" w:cs="Times New Roman"/>
                <w:color w:val="auto"/>
                <w:sz w:val="21"/>
                <w:szCs w:val="21"/>
                <w:highlight w:val="none"/>
                <w:u w:val="single"/>
                <w:lang w:val="en-US"/>
              </w:rPr>
              <w:t>8</w:t>
            </w:r>
            <w:r>
              <w:rPr>
                <w:rFonts w:ascii="Times New Roman" w:hAnsi="Times New Roman" w:cs="Times New Roman"/>
                <w:color w:val="auto"/>
                <w:sz w:val="21"/>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jc w:val="center"/>
        </w:trPr>
        <w:tc>
          <w:tcPr>
            <w:tcW w:w="737" w:type="dxa"/>
            <w:vMerge w:val="continue"/>
          </w:tcPr>
          <w:p>
            <w:pPr>
              <w:rPr>
                <w:rFonts w:ascii="Times New Roman" w:hAnsi="Times New Roman" w:cs="Times New Roman"/>
                <w:color w:val="auto"/>
                <w:sz w:val="2"/>
                <w:szCs w:val="2"/>
                <w:highlight w:val="none"/>
              </w:rPr>
            </w:pPr>
          </w:p>
        </w:tc>
        <w:tc>
          <w:tcPr>
            <w:tcW w:w="1073" w:type="dxa"/>
            <w:vMerge w:val="continue"/>
          </w:tcPr>
          <w:p>
            <w:pPr>
              <w:rPr>
                <w:rFonts w:ascii="Times New Roman" w:hAnsi="Times New Roman" w:cs="Times New Roman"/>
                <w:color w:val="auto"/>
                <w:sz w:val="2"/>
                <w:szCs w:val="2"/>
                <w:highlight w:val="none"/>
              </w:rPr>
            </w:pPr>
          </w:p>
        </w:tc>
        <w:tc>
          <w:tcPr>
            <w:tcW w:w="1275" w:type="dxa"/>
            <w:vMerge w:val="continue"/>
          </w:tcPr>
          <w:p>
            <w:pPr>
              <w:rPr>
                <w:rFonts w:ascii="Times New Roman" w:hAnsi="Times New Roman" w:cs="Times New Roman"/>
                <w:color w:val="auto"/>
                <w:sz w:val="2"/>
                <w:szCs w:val="2"/>
                <w:highlight w:val="none"/>
              </w:rPr>
            </w:pPr>
          </w:p>
        </w:tc>
        <w:tc>
          <w:tcPr>
            <w:tcW w:w="1419" w:type="dxa"/>
            <w:vAlign w:val="center"/>
          </w:tcPr>
          <w:p>
            <w:pPr>
              <w:pStyle w:val="11"/>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勘察设计工作量及计划</w:t>
            </w:r>
          </w:p>
          <w:p>
            <w:pPr>
              <w:pStyle w:val="11"/>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安排</w:t>
            </w:r>
          </w:p>
        </w:tc>
        <w:tc>
          <w:tcPr>
            <w:tcW w:w="708" w:type="dxa"/>
            <w:vAlign w:val="center"/>
          </w:tcPr>
          <w:p>
            <w:pPr>
              <w:pStyle w:val="11"/>
              <w:jc w:val="center"/>
              <w:rPr>
                <w:rFonts w:ascii="Times New Roman" w:hAnsi="Times New Roman" w:cs="Times New Roman"/>
                <w:color w:val="auto"/>
                <w:sz w:val="21"/>
                <w:szCs w:val="21"/>
                <w:highlight w:val="none"/>
                <w:u w:val="single"/>
                <w:lang w:val="en-US"/>
              </w:rPr>
            </w:pPr>
            <w:r>
              <w:rPr>
                <w:rFonts w:ascii="Times New Roman" w:hAnsi="Times New Roman" w:cs="Times New Roman"/>
                <w:color w:val="auto"/>
                <w:sz w:val="21"/>
                <w:szCs w:val="21"/>
                <w:highlight w:val="none"/>
                <w:u w:val="single"/>
                <w:lang w:val="en-US"/>
              </w:rPr>
              <w:t xml:space="preserve"> 2 </w:t>
            </w:r>
            <w:r>
              <w:rPr>
                <w:rFonts w:ascii="Times New Roman" w:hAnsi="Times New Roman" w:cs="Times New Roman"/>
                <w:color w:val="auto"/>
                <w:sz w:val="21"/>
                <w:szCs w:val="21"/>
                <w:highlight w:val="none"/>
              </w:rPr>
              <w:t>分</w:t>
            </w:r>
          </w:p>
        </w:tc>
        <w:tc>
          <w:tcPr>
            <w:tcW w:w="3970" w:type="dxa"/>
            <w:vAlign w:val="center"/>
          </w:tcPr>
          <w:p>
            <w:pPr>
              <w:pStyle w:val="11"/>
              <w:jc w:val="both"/>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w:t>
            </w:r>
            <w:r>
              <w:rPr>
                <w:rFonts w:ascii="Times New Roman" w:hAnsi="Times New Roman" w:cs="Times New Roman"/>
                <w:color w:val="auto"/>
                <w:sz w:val="21"/>
                <w:szCs w:val="21"/>
                <w:highlight w:val="none"/>
                <w:lang w:val="en-US"/>
              </w:rPr>
              <w:t>1</w:t>
            </w:r>
            <w:r>
              <w:rPr>
                <w:rFonts w:ascii="Times New Roman" w:hAnsi="Times New Roman" w:cs="Times New Roman"/>
                <w:color w:val="auto"/>
                <w:sz w:val="21"/>
                <w:szCs w:val="21"/>
                <w:highlight w:val="none"/>
              </w:rPr>
              <w:t xml:space="preserve">)工作计划实施、安排的合理性很高 ，得 </w:t>
            </w:r>
            <w:r>
              <w:rPr>
                <w:rFonts w:ascii="Times New Roman" w:hAnsi="Times New Roman" w:cs="Times New Roman"/>
                <w:color w:val="auto"/>
                <w:sz w:val="21"/>
                <w:szCs w:val="21"/>
                <w:highlight w:val="none"/>
                <w:u w:val="single"/>
                <w:lang w:val="en-US"/>
              </w:rPr>
              <w:t>1.</w:t>
            </w:r>
            <w:r>
              <w:rPr>
                <w:rFonts w:hint="eastAsia" w:ascii="Times New Roman" w:hAnsi="Times New Roman" w:cs="Times New Roman"/>
                <w:color w:val="auto"/>
                <w:sz w:val="21"/>
                <w:szCs w:val="21"/>
                <w:highlight w:val="none"/>
                <w:u w:val="single"/>
                <w:lang w:val="en-US"/>
              </w:rPr>
              <w:t>9</w:t>
            </w:r>
            <w:r>
              <w:rPr>
                <w:rFonts w:ascii="Times New Roman" w:hAnsi="Times New Roman" w:cs="Times New Roman"/>
                <w:color w:val="auto"/>
                <w:sz w:val="21"/>
                <w:szCs w:val="21"/>
                <w:highlight w:val="none"/>
                <w:u w:val="single"/>
              </w:rPr>
              <w:t>～</w:t>
            </w:r>
            <w:r>
              <w:rPr>
                <w:rFonts w:ascii="Times New Roman" w:hAnsi="Times New Roman" w:cs="Times New Roman"/>
                <w:color w:val="auto"/>
                <w:sz w:val="21"/>
                <w:szCs w:val="21"/>
                <w:highlight w:val="none"/>
                <w:u w:val="single"/>
                <w:lang w:val="en-US"/>
              </w:rPr>
              <w:t>2</w:t>
            </w:r>
            <w:r>
              <w:rPr>
                <w:rFonts w:ascii="Times New Roman" w:hAnsi="Times New Roman" w:cs="Times New Roman"/>
                <w:color w:val="auto"/>
                <w:sz w:val="21"/>
                <w:szCs w:val="21"/>
                <w:highlight w:val="none"/>
              </w:rPr>
              <w:t xml:space="preserve">分； </w:t>
            </w:r>
          </w:p>
          <w:p>
            <w:pPr>
              <w:pStyle w:val="11"/>
              <w:jc w:val="both"/>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w:t>
            </w:r>
            <w:r>
              <w:rPr>
                <w:rFonts w:ascii="Times New Roman" w:hAnsi="Times New Roman" w:cs="Times New Roman"/>
                <w:color w:val="auto"/>
                <w:sz w:val="21"/>
                <w:szCs w:val="21"/>
                <w:highlight w:val="none"/>
                <w:lang w:val="en-US"/>
              </w:rPr>
              <w:t>2</w:t>
            </w:r>
            <w:r>
              <w:rPr>
                <w:rFonts w:ascii="Times New Roman" w:hAnsi="Times New Roman" w:cs="Times New Roman"/>
                <w:color w:val="auto"/>
                <w:sz w:val="21"/>
                <w:szCs w:val="21"/>
                <w:highlight w:val="none"/>
              </w:rPr>
              <w:t xml:space="preserve">)工作计划实施、安排的合理性较高 ，得 </w:t>
            </w:r>
            <w:r>
              <w:rPr>
                <w:rFonts w:ascii="Times New Roman" w:hAnsi="Times New Roman" w:cs="Times New Roman"/>
                <w:color w:val="auto"/>
                <w:sz w:val="21"/>
                <w:szCs w:val="21"/>
                <w:highlight w:val="none"/>
                <w:u w:val="single"/>
                <w:lang w:val="en-US"/>
              </w:rPr>
              <w:t>1.</w:t>
            </w:r>
            <w:r>
              <w:rPr>
                <w:rFonts w:hint="eastAsia" w:ascii="Times New Roman" w:hAnsi="Times New Roman" w:cs="Times New Roman"/>
                <w:color w:val="auto"/>
                <w:sz w:val="21"/>
                <w:szCs w:val="21"/>
                <w:highlight w:val="none"/>
                <w:u w:val="single"/>
                <w:lang w:val="en-US"/>
              </w:rPr>
              <w:t>8</w:t>
            </w:r>
            <w:r>
              <w:rPr>
                <w:rFonts w:ascii="Times New Roman" w:hAnsi="Times New Roman" w:cs="Times New Roman"/>
                <w:color w:val="auto"/>
                <w:sz w:val="21"/>
                <w:szCs w:val="21"/>
                <w:highlight w:val="none"/>
                <w:u w:val="single"/>
              </w:rPr>
              <w:t>～</w:t>
            </w:r>
            <w:r>
              <w:rPr>
                <w:rFonts w:ascii="Times New Roman" w:hAnsi="Times New Roman" w:cs="Times New Roman"/>
                <w:color w:val="auto"/>
                <w:sz w:val="21"/>
                <w:szCs w:val="21"/>
                <w:highlight w:val="none"/>
                <w:u w:val="single"/>
                <w:lang w:val="en-US"/>
              </w:rPr>
              <w:t>1.</w:t>
            </w:r>
            <w:r>
              <w:rPr>
                <w:rFonts w:hint="eastAsia" w:ascii="Times New Roman" w:hAnsi="Times New Roman" w:cs="Times New Roman"/>
                <w:color w:val="auto"/>
                <w:sz w:val="21"/>
                <w:szCs w:val="21"/>
                <w:highlight w:val="none"/>
                <w:u w:val="single"/>
                <w:lang w:val="en-US"/>
              </w:rPr>
              <w:t>9</w:t>
            </w:r>
            <w:r>
              <w:rPr>
                <w:rFonts w:ascii="Times New Roman" w:hAnsi="Times New Roman" w:cs="Times New Roman"/>
                <w:color w:val="auto"/>
                <w:sz w:val="21"/>
                <w:szCs w:val="21"/>
                <w:highlight w:val="none"/>
              </w:rPr>
              <w:t>分；</w:t>
            </w:r>
          </w:p>
          <w:p>
            <w:pPr>
              <w:pStyle w:val="11"/>
              <w:jc w:val="both"/>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w:t>
            </w:r>
            <w:r>
              <w:rPr>
                <w:rFonts w:ascii="Times New Roman" w:hAnsi="Times New Roman" w:cs="Times New Roman"/>
                <w:color w:val="auto"/>
                <w:sz w:val="21"/>
                <w:szCs w:val="21"/>
                <w:highlight w:val="none"/>
                <w:lang w:val="en-US"/>
              </w:rPr>
              <w:t>3</w:t>
            </w:r>
            <w:r>
              <w:rPr>
                <w:rFonts w:ascii="Times New Roman" w:hAnsi="Times New Roman" w:cs="Times New Roman"/>
                <w:color w:val="auto"/>
                <w:sz w:val="21"/>
                <w:szCs w:val="21"/>
                <w:highlight w:val="none"/>
              </w:rPr>
              <w:t>)一般但不被评定为不响应的,起评分</w:t>
            </w:r>
            <w:r>
              <w:rPr>
                <w:rFonts w:ascii="Times New Roman" w:hAnsi="Times New Roman" w:cs="Times New Roman"/>
                <w:color w:val="auto"/>
                <w:sz w:val="21"/>
                <w:szCs w:val="21"/>
                <w:highlight w:val="none"/>
                <w:lang w:val="en-US"/>
              </w:rPr>
              <w:t xml:space="preserve">  </w:t>
            </w:r>
            <w:r>
              <w:rPr>
                <w:rFonts w:ascii="Times New Roman" w:hAnsi="Times New Roman" w:cs="Times New Roman"/>
                <w:color w:val="auto"/>
                <w:sz w:val="21"/>
                <w:szCs w:val="21"/>
                <w:highlight w:val="none"/>
                <w:u w:val="single"/>
                <w:lang w:val="en-US"/>
              </w:rPr>
              <w:t>1.</w:t>
            </w:r>
            <w:r>
              <w:rPr>
                <w:rFonts w:hint="eastAsia" w:ascii="Times New Roman" w:hAnsi="Times New Roman" w:cs="Times New Roman"/>
                <w:color w:val="auto"/>
                <w:sz w:val="21"/>
                <w:szCs w:val="21"/>
                <w:highlight w:val="none"/>
                <w:u w:val="single"/>
                <w:lang w:val="en-US"/>
              </w:rPr>
              <w:t>8</w:t>
            </w:r>
            <w:r>
              <w:rPr>
                <w:rFonts w:ascii="Times New Roman" w:hAnsi="Times New Roman" w:cs="Times New Roman"/>
                <w:color w:val="auto"/>
                <w:sz w:val="21"/>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jc w:val="center"/>
        </w:trPr>
        <w:tc>
          <w:tcPr>
            <w:tcW w:w="737" w:type="dxa"/>
            <w:vMerge w:val="continue"/>
          </w:tcPr>
          <w:p>
            <w:pPr>
              <w:rPr>
                <w:rFonts w:ascii="Times New Roman" w:hAnsi="Times New Roman" w:cs="Times New Roman"/>
                <w:color w:val="auto"/>
                <w:sz w:val="20"/>
                <w:highlight w:val="none"/>
              </w:rPr>
            </w:pPr>
          </w:p>
        </w:tc>
        <w:tc>
          <w:tcPr>
            <w:tcW w:w="1073" w:type="dxa"/>
            <w:vMerge w:val="continue"/>
          </w:tcPr>
          <w:p>
            <w:pPr>
              <w:jc w:val="center"/>
              <w:rPr>
                <w:rFonts w:ascii="Times New Roman" w:hAnsi="Times New Roman" w:cs="Times New Roman"/>
                <w:color w:val="auto"/>
                <w:sz w:val="20"/>
                <w:highlight w:val="none"/>
              </w:rPr>
            </w:pPr>
          </w:p>
        </w:tc>
        <w:tc>
          <w:tcPr>
            <w:tcW w:w="1275" w:type="dxa"/>
            <w:vMerge w:val="continue"/>
            <w:vAlign w:val="center"/>
          </w:tcPr>
          <w:p>
            <w:pPr>
              <w:jc w:val="center"/>
              <w:rPr>
                <w:rFonts w:ascii="Times New Roman" w:hAnsi="Times New Roman" w:cs="Times New Roman"/>
                <w:color w:val="auto"/>
                <w:sz w:val="20"/>
                <w:highlight w:val="none"/>
              </w:rPr>
            </w:pPr>
          </w:p>
        </w:tc>
        <w:tc>
          <w:tcPr>
            <w:tcW w:w="1419" w:type="dxa"/>
            <w:vAlign w:val="center"/>
          </w:tcPr>
          <w:p>
            <w:pPr>
              <w:pStyle w:val="11"/>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勘察设计的质量保证措施、进度保证措施</w:t>
            </w:r>
          </w:p>
        </w:tc>
        <w:tc>
          <w:tcPr>
            <w:tcW w:w="708" w:type="dxa"/>
            <w:vAlign w:val="center"/>
          </w:tcPr>
          <w:p>
            <w:pPr>
              <w:pStyle w:val="11"/>
              <w:jc w:val="center"/>
              <w:rPr>
                <w:rFonts w:ascii="Times New Roman" w:hAnsi="Times New Roman" w:cs="Times New Roman"/>
                <w:color w:val="auto"/>
                <w:sz w:val="21"/>
                <w:szCs w:val="21"/>
                <w:highlight w:val="none"/>
                <w:lang w:val="en-US"/>
              </w:rPr>
            </w:pPr>
            <w:r>
              <w:rPr>
                <w:rFonts w:ascii="Times New Roman" w:hAnsi="Times New Roman" w:cs="Times New Roman"/>
                <w:color w:val="auto"/>
                <w:sz w:val="21"/>
                <w:szCs w:val="21"/>
                <w:highlight w:val="none"/>
                <w:u w:val="single"/>
                <w:lang w:val="en-US"/>
              </w:rPr>
              <w:t xml:space="preserve"> 2 </w:t>
            </w:r>
            <w:r>
              <w:rPr>
                <w:rFonts w:ascii="Times New Roman" w:hAnsi="Times New Roman" w:cs="Times New Roman"/>
                <w:color w:val="auto"/>
                <w:sz w:val="21"/>
                <w:szCs w:val="21"/>
                <w:highlight w:val="none"/>
              </w:rPr>
              <w:t>分</w:t>
            </w:r>
          </w:p>
        </w:tc>
        <w:tc>
          <w:tcPr>
            <w:tcW w:w="3970" w:type="dxa"/>
            <w:vAlign w:val="center"/>
          </w:tcPr>
          <w:p>
            <w:pPr>
              <w:pStyle w:val="11"/>
              <w:jc w:val="both"/>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w:t>
            </w:r>
            <w:r>
              <w:rPr>
                <w:rFonts w:ascii="Times New Roman" w:hAnsi="Times New Roman" w:cs="Times New Roman"/>
                <w:color w:val="auto"/>
                <w:sz w:val="21"/>
                <w:szCs w:val="21"/>
                <w:highlight w:val="none"/>
                <w:lang w:val="en-US"/>
              </w:rPr>
              <w:t>1</w:t>
            </w:r>
            <w:r>
              <w:rPr>
                <w:rFonts w:ascii="Times New Roman" w:hAnsi="Times New Roman" w:cs="Times New Roman"/>
                <w:color w:val="auto"/>
                <w:sz w:val="21"/>
                <w:szCs w:val="21"/>
                <w:highlight w:val="none"/>
              </w:rPr>
              <w:t>)进度和质量保证措施的可实施性很高，得</w:t>
            </w:r>
            <w:r>
              <w:rPr>
                <w:rFonts w:ascii="Times New Roman" w:hAnsi="Times New Roman" w:cs="Times New Roman"/>
                <w:color w:val="auto"/>
                <w:sz w:val="21"/>
                <w:szCs w:val="21"/>
                <w:highlight w:val="none"/>
                <w:u w:val="single"/>
                <w:lang w:val="en-US"/>
              </w:rPr>
              <w:t>1.</w:t>
            </w:r>
            <w:r>
              <w:rPr>
                <w:rFonts w:hint="eastAsia" w:ascii="Times New Roman" w:hAnsi="Times New Roman" w:cs="Times New Roman"/>
                <w:color w:val="auto"/>
                <w:sz w:val="21"/>
                <w:szCs w:val="21"/>
                <w:highlight w:val="none"/>
                <w:u w:val="single"/>
                <w:lang w:val="en-US"/>
              </w:rPr>
              <w:t>9</w:t>
            </w:r>
            <w:r>
              <w:rPr>
                <w:rFonts w:ascii="Times New Roman" w:hAnsi="Times New Roman" w:cs="Times New Roman"/>
                <w:color w:val="auto"/>
                <w:sz w:val="21"/>
                <w:szCs w:val="21"/>
                <w:highlight w:val="none"/>
                <w:u w:val="single"/>
              </w:rPr>
              <w:t>～</w:t>
            </w:r>
            <w:r>
              <w:rPr>
                <w:rFonts w:ascii="Times New Roman" w:hAnsi="Times New Roman" w:cs="Times New Roman"/>
                <w:color w:val="auto"/>
                <w:sz w:val="21"/>
                <w:szCs w:val="21"/>
                <w:highlight w:val="none"/>
                <w:u w:val="single"/>
                <w:lang w:val="en-US"/>
              </w:rPr>
              <w:t>2</w:t>
            </w:r>
            <w:r>
              <w:rPr>
                <w:rFonts w:ascii="Times New Roman" w:hAnsi="Times New Roman" w:cs="Times New Roman"/>
                <w:color w:val="auto"/>
                <w:sz w:val="21"/>
                <w:szCs w:val="21"/>
                <w:highlight w:val="none"/>
              </w:rPr>
              <w:t xml:space="preserve">分； </w:t>
            </w:r>
          </w:p>
          <w:p>
            <w:pPr>
              <w:pStyle w:val="11"/>
              <w:jc w:val="both"/>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w:t>
            </w:r>
            <w:r>
              <w:rPr>
                <w:rFonts w:ascii="Times New Roman" w:hAnsi="Times New Roman" w:cs="Times New Roman"/>
                <w:color w:val="auto"/>
                <w:sz w:val="21"/>
                <w:szCs w:val="21"/>
                <w:highlight w:val="none"/>
                <w:lang w:val="en-US"/>
              </w:rPr>
              <w:t>2</w:t>
            </w:r>
            <w:r>
              <w:rPr>
                <w:rFonts w:ascii="Times New Roman" w:hAnsi="Times New Roman" w:cs="Times New Roman"/>
                <w:color w:val="auto"/>
                <w:sz w:val="21"/>
                <w:szCs w:val="21"/>
                <w:highlight w:val="none"/>
              </w:rPr>
              <w:t>)进度和质量保证措施的可实施性较高，得</w:t>
            </w:r>
            <w:r>
              <w:rPr>
                <w:rFonts w:ascii="Times New Roman" w:hAnsi="Times New Roman" w:cs="Times New Roman"/>
                <w:color w:val="auto"/>
                <w:sz w:val="21"/>
                <w:szCs w:val="21"/>
                <w:highlight w:val="none"/>
                <w:u w:val="single"/>
                <w:lang w:val="en-US"/>
              </w:rPr>
              <w:t>1.</w:t>
            </w:r>
            <w:r>
              <w:rPr>
                <w:rFonts w:hint="eastAsia" w:ascii="Times New Roman" w:hAnsi="Times New Roman" w:cs="Times New Roman"/>
                <w:color w:val="auto"/>
                <w:sz w:val="21"/>
                <w:szCs w:val="21"/>
                <w:highlight w:val="none"/>
                <w:u w:val="single"/>
                <w:lang w:val="en-US"/>
              </w:rPr>
              <w:t>8</w:t>
            </w:r>
            <w:r>
              <w:rPr>
                <w:rFonts w:ascii="Times New Roman" w:hAnsi="Times New Roman" w:cs="Times New Roman"/>
                <w:color w:val="auto"/>
                <w:sz w:val="21"/>
                <w:szCs w:val="21"/>
                <w:highlight w:val="none"/>
                <w:u w:val="single"/>
              </w:rPr>
              <w:t>～</w:t>
            </w:r>
            <w:r>
              <w:rPr>
                <w:rFonts w:ascii="Times New Roman" w:hAnsi="Times New Roman" w:cs="Times New Roman"/>
                <w:color w:val="auto"/>
                <w:sz w:val="21"/>
                <w:szCs w:val="21"/>
                <w:highlight w:val="none"/>
                <w:u w:val="single"/>
                <w:lang w:val="en-US"/>
              </w:rPr>
              <w:t>1.</w:t>
            </w:r>
            <w:r>
              <w:rPr>
                <w:rFonts w:hint="eastAsia" w:ascii="Times New Roman" w:hAnsi="Times New Roman" w:cs="Times New Roman"/>
                <w:color w:val="auto"/>
                <w:sz w:val="21"/>
                <w:szCs w:val="21"/>
                <w:highlight w:val="none"/>
                <w:u w:val="single"/>
                <w:lang w:val="en-US"/>
              </w:rPr>
              <w:t>9</w:t>
            </w:r>
            <w:r>
              <w:rPr>
                <w:rFonts w:ascii="Times New Roman" w:hAnsi="Times New Roman" w:cs="Times New Roman"/>
                <w:color w:val="auto"/>
                <w:sz w:val="21"/>
                <w:szCs w:val="21"/>
                <w:highlight w:val="none"/>
              </w:rPr>
              <w:t xml:space="preserve">分； </w:t>
            </w:r>
          </w:p>
          <w:p>
            <w:pPr>
              <w:pStyle w:val="11"/>
              <w:jc w:val="both"/>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w:t>
            </w:r>
            <w:r>
              <w:rPr>
                <w:rFonts w:ascii="Times New Roman" w:hAnsi="Times New Roman" w:cs="Times New Roman"/>
                <w:color w:val="auto"/>
                <w:sz w:val="21"/>
                <w:szCs w:val="21"/>
                <w:highlight w:val="none"/>
                <w:lang w:val="en-US"/>
              </w:rPr>
              <w:t>3</w:t>
            </w:r>
            <w:r>
              <w:rPr>
                <w:rFonts w:ascii="Times New Roman" w:hAnsi="Times New Roman" w:cs="Times New Roman"/>
                <w:color w:val="auto"/>
                <w:sz w:val="21"/>
                <w:szCs w:val="21"/>
                <w:highlight w:val="none"/>
              </w:rPr>
              <w:t>)一般但不被评定为不响应的,起评分</w:t>
            </w:r>
            <w:r>
              <w:rPr>
                <w:rFonts w:ascii="Times New Roman" w:hAnsi="Times New Roman" w:cs="Times New Roman"/>
                <w:color w:val="auto"/>
                <w:sz w:val="21"/>
                <w:szCs w:val="21"/>
                <w:highlight w:val="none"/>
                <w:u w:val="single"/>
                <w:lang w:val="en-US"/>
              </w:rPr>
              <w:t>1.</w:t>
            </w:r>
            <w:r>
              <w:rPr>
                <w:rFonts w:hint="eastAsia" w:ascii="Times New Roman" w:hAnsi="Times New Roman" w:cs="Times New Roman"/>
                <w:color w:val="auto"/>
                <w:sz w:val="21"/>
                <w:szCs w:val="21"/>
                <w:highlight w:val="none"/>
                <w:u w:val="single"/>
                <w:lang w:val="en-US"/>
              </w:rPr>
              <w:t>8</w:t>
            </w:r>
            <w:r>
              <w:rPr>
                <w:rFonts w:ascii="Times New Roman" w:hAnsi="Times New Roman" w:cs="Times New Roman"/>
                <w:color w:val="auto"/>
                <w:sz w:val="21"/>
                <w:szCs w:val="21"/>
                <w:highlight w:val="none"/>
              </w:rPr>
              <w:t xml:space="preserve">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30" w:hRule="atLeast"/>
          <w:jc w:val="center"/>
        </w:trPr>
        <w:tc>
          <w:tcPr>
            <w:tcW w:w="737" w:type="dxa"/>
            <w:vMerge w:val="continue"/>
          </w:tcPr>
          <w:p>
            <w:pPr>
              <w:rPr>
                <w:rFonts w:ascii="Times New Roman" w:hAnsi="Times New Roman" w:cs="Times New Roman"/>
                <w:color w:val="auto"/>
                <w:sz w:val="20"/>
                <w:highlight w:val="none"/>
              </w:rPr>
            </w:pPr>
          </w:p>
        </w:tc>
        <w:tc>
          <w:tcPr>
            <w:tcW w:w="1073" w:type="dxa"/>
            <w:vMerge w:val="continue"/>
          </w:tcPr>
          <w:p>
            <w:pPr>
              <w:rPr>
                <w:rFonts w:ascii="Times New Roman" w:hAnsi="Times New Roman" w:cs="Times New Roman"/>
                <w:color w:val="auto"/>
                <w:sz w:val="20"/>
                <w:highlight w:val="none"/>
              </w:rPr>
            </w:pPr>
          </w:p>
        </w:tc>
        <w:tc>
          <w:tcPr>
            <w:tcW w:w="1275" w:type="dxa"/>
            <w:vMerge w:val="continue"/>
            <w:vAlign w:val="center"/>
          </w:tcPr>
          <w:p>
            <w:pPr>
              <w:jc w:val="center"/>
              <w:rPr>
                <w:rFonts w:ascii="Times New Roman" w:hAnsi="Times New Roman" w:cs="Times New Roman"/>
                <w:color w:val="auto"/>
                <w:sz w:val="20"/>
                <w:highlight w:val="none"/>
              </w:rPr>
            </w:pPr>
          </w:p>
        </w:tc>
        <w:tc>
          <w:tcPr>
            <w:tcW w:w="1419" w:type="dxa"/>
            <w:vAlign w:val="center"/>
          </w:tcPr>
          <w:p>
            <w:pPr>
              <w:pStyle w:val="11"/>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过程服务的安排及保证措施</w:t>
            </w:r>
          </w:p>
        </w:tc>
        <w:tc>
          <w:tcPr>
            <w:tcW w:w="708" w:type="dxa"/>
            <w:vAlign w:val="center"/>
          </w:tcPr>
          <w:p>
            <w:pPr>
              <w:pStyle w:val="11"/>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u w:val="single"/>
                <w:lang w:val="en-US"/>
              </w:rPr>
              <w:t xml:space="preserve"> 2 </w:t>
            </w:r>
            <w:r>
              <w:rPr>
                <w:rFonts w:ascii="Times New Roman" w:hAnsi="Times New Roman" w:cs="Times New Roman"/>
                <w:color w:val="auto"/>
                <w:sz w:val="21"/>
                <w:szCs w:val="21"/>
                <w:highlight w:val="none"/>
              </w:rPr>
              <w:t>分</w:t>
            </w:r>
          </w:p>
        </w:tc>
        <w:tc>
          <w:tcPr>
            <w:tcW w:w="3970" w:type="dxa"/>
            <w:vAlign w:val="center"/>
          </w:tcPr>
          <w:p>
            <w:pPr>
              <w:pStyle w:val="11"/>
              <w:jc w:val="both"/>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w:t>
            </w:r>
            <w:r>
              <w:rPr>
                <w:rFonts w:ascii="Times New Roman" w:hAnsi="Times New Roman" w:cs="Times New Roman"/>
                <w:color w:val="auto"/>
                <w:sz w:val="21"/>
                <w:szCs w:val="21"/>
                <w:highlight w:val="none"/>
                <w:lang w:val="en-US"/>
              </w:rPr>
              <w:t>1</w:t>
            </w:r>
            <w:r>
              <w:rPr>
                <w:rFonts w:ascii="Times New Roman" w:hAnsi="Times New Roman" w:cs="Times New Roman"/>
                <w:color w:val="auto"/>
                <w:sz w:val="21"/>
                <w:szCs w:val="21"/>
                <w:highlight w:val="none"/>
              </w:rPr>
              <w:t>)承诺的后续服务机构人员的完善程度很高，得</w:t>
            </w:r>
            <w:r>
              <w:rPr>
                <w:rFonts w:ascii="Times New Roman" w:hAnsi="Times New Roman" w:cs="Times New Roman"/>
                <w:color w:val="auto"/>
                <w:sz w:val="21"/>
                <w:szCs w:val="21"/>
                <w:highlight w:val="none"/>
                <w:u w:val="single"/>
                <w:lang w:val="en-US"/>
              </w:rPr>
              <w:t>1.</w:t>
            </w:r>
            <w:r>
              <w:rPr>
                <w:rFonts w:hint="eastAsia" w:ascii="Times New Roman" w:hAnsi="Times New Roman" w:cs="Times New Roman"/>
                <w:color w:val="auto"/>
                <w:sz w:val="21"/>
                <w:szCs w:val="21"/>
                <w:highlight w:val="none"/>
                <w:u w:val="single"/>
                <w:lang w:val="en-US"/>
              </w:rPr>
              <w:t>9</w:t>
            </w:r>
            <w:r>
              <w:rPr>
                <w:rFonts w:ascii="Times New Roman" w:hAnsi="Times New Roman" w:cs="Times New Roman"/>
                <w:color w:val="auto"/>
                <w:sz w:val="21"/>
                <w:szCs w:val="21"/>
                <w:highlight w:val="none"/>
                <w:u w:val="single"/>
              </w:rPr>
              <w:t>～</w:t>
            </w:r>
            <w:r>
              <w:rPr>
                <w:rFonts w:ascii="Times New Roman" w:hAnsi="Times New Roman" w:cs="Times New Roman"/>
                <w:color w:val="auto"/>
                <w:sz w:val="21"/>
                <w:szCs w:val="21"/>
                <w:highlight w:val="none"/>
                <w:u w:val="single"/>
                <w:lang w:val="en-US"/>
              </w:rPr>
              <w:t>2</w:t>
            </w:r>
            <w:r>
              <w:rPr>
                <w:rFonts w:ascii="Times New Roman" w:hAnsi="Times New Roman" w:cs="Times New Roman"/>
                <w:color w:val="auto"/>
                <w:sz w:val="21"/>
                <w:szCs w:val="21"/>
                <w:highlight w:val="none"/>
              </w:rPr>
              <w:t xml:space="preserve">分； </w:t>
            </w:r>
          </w:p>
          <w:p>
            <w:pPr>
              <w:pStyle w:val="11"/>
              <w:jc w:val="both"/>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w:t>
            </w:r>
            <w:r>
              <w:rPr>
                <w:rFonts w:ascii="Times New Roman" w:hAnsi="Times New Roman" w:cs="Times New Roman"/>
                <w:color w:val="auto"/>
                <w:sz w:val="21"/>
                <w:szCs w:val="21"/>
                <w:highlight w:val="none"/>
                <w:lang w:val="en-US"/>
              </w:rPr>
              <w:t>2</w:t>
            </w:r>
            <w:r>
              <w:rPr>
                <w:rFonts w:ascii="Times New Roman" w:hAnsi="Times New Roman" w:cs="Times New Roman"/>
                <w:color w:val="auto"/>
                <w:sz w:val="21"/>
                <w:szCs w:val="21"/>
                <w:highlight w:val="none"/>
              </w:rPr>
              <w:t>)承诺的后续服务机构人员的完善程度较高，得</w:t>
            </w:r>
            <w:r>
              <w:rPr>
                <w:rFonts w:ascii="Times New Roman" w:hAnsi="Times New Roman" w:cs="Times New Roman"/>
                <w:color w:val="auto"/>
                <w:sz w:val="21"/>
                <w:szCs w:val="21"/>
                <w:highlight w:val="none"/>
                <w:u w:val="single"/>
                <w:lang w:val="en-US"/>
              </w:rPr>
              <w:t>1.</w:t>
            </w:r>
            <w:r>
              <w:rPr>
                <w:rFonts w:hint="eastAsia" w:ascii="Times New Roman" w:hAnsi="Times New Roman" w:cs="Times New Roman"/>
                <w:color w:val="auto"/>
                <w:sz w:val="21"/>
                <w:szCs w:val="21"/>
                <w:highlight w:val="none"/>
                <w:u w:val="single"/>
                <w:lang w:val="en-US"/>
              </w:rPr>
              <w:t>8</w:t>
            </w:r>
            <w:r>
              <w:rPr>
                <w:rFonts w:ascii="Times New Roman" w:hAnsi="Times New Roman" w:cs="Times New Roman"/>
                <w:color w:val="auto"/>
                <w:sz w:val="21"/>
                <w:szCs w:val="21"/>
                <w:highlight w:val="none"/>
                <w:u w:val="single"/>
              </w:rPr>
              <w:t>～</w:t>
            </w:r>
            <w:r>
              <w:rPr>
                <w:rFonts w:ascii="Times New Roman" w:hAnsi="Times New Roman" w:cs="Times New Roman"/>
                <w:color w:val="auto"/>
                <w:sz w:val="21"/>
                <w:szCs w:val="21"/>
                <w:highlight w:val="none"/>
                <w:u w:val="single"/>
                <w:lang w:val="en-US"/>
              </w:rPr>
              <w:t>1.</w:t>
            </w:r>
            <w:r>
              <w:rPr>
                <w:rFonts w:hint="eastAsia" w:ascii="Times New Roman" w:hAnsi="Times New Roman" w:cs="Times New Roman"/>
                <w:color w:val="auto"/>
                <w:sz w:val="21"/>
                <w:szCs w:val="21"/>
                <w:highlight w:val="none"/>
                <w:u w:val="single"/>
                <w:lang w:val="en-US"/>
              </w:rPr>
              <w:t>9</w:t>
            </w:r>
            <w:r>
              <w:rPr>
                <w:rFonts w:ascii="Times New Roman" w:hAnsi="Times New Roman" w:cs="Times New Roman"/>
                <w:color w:val="auto"/>
                <w:sz w:val="21"/>
                <w:szCs w:val="21"/>
                <w:highlight w:val="none"/>
              </w:rPr>
              <w:t xml:space="preserve">分； </w:t>
            </w:r>
          </w:p>
          <w:p>
            <w:pPr>
              <w:pStyle w:val="11"/>
              <w:jc w:val="both"/>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w:t>
            </w:r>
            <w:r>
              <w:rPr>
                <w:rFonts w:ascii="Times New Roman" w:hAnsi="Times New Roman" w:cs="Times New Roman"/>
                <w:color w:val="auto"/>
                <w:sz w:val="21"/>
                <w:szCs w:val="21"/>
                <w:highlight w:val="none"/>
                <w:lang w:val="en-US"/>
              </w:rPr>
              <w:t>3</w:t>
            </w:r>
            <w:r>
              <w:rPr>
                <w:rFonts w:ascii="Times New Roman" w:hAnsi="Times New Roman" w:cs="Times New Roman"/>
                <w:color w:val="auto"/>
                <w:sz w:val="21"/>
                <w:szCs w:val="21"/>
                <w:highlight w:val="none"/>
              </w:rPr>
              <w:t>)一般但不被评定为不响应的,起评分</w:t>
            </w:r>
            <w:r>
              <w:rPr>
                <w:rFonts w:ascii="Times New Roman" w:hAnsi="Times New Roman" w:cs="Times New Roman"/>
                <w:color w:val="auto"/>
                <w:sz w:val="21"/>
                <w:szCs w:val="21"/>
                <w:highlight w:val="none"/>
                <w:u w:val="single"/>
                <w:lang w:val="en-US"/>
              </w:rPr>
              <w:t>1.</w:t>
            </w:r>
            <w:r>
              <w:rPr>
                <w:rFonts w:hint="eastAsia" w:ascii="Times New Roman" w:hAnsi="Times New Roman" w:cs="Times New Roman"/>
                <w:color w:val="auto"/>
                <w:sz w:val="21"/>
                <w:szCs w:val="21"/>
                <w:highlight w:val="none"/>
                <w:u w:val="single"/>
                <w:lang w:val="en-US"/>
              </w:rPr>
              <w:t>8</w:t>
            </w:r>
            <w:r>
              <w:rPr>
                <w:rFonts w:ascii="Times New Roman" w:hAnsi="Times New Roman" w:cs="Times New Roman"/>
                <w:color w:val="auto"/>
                <w:sz w:val="21"/>
                <w:szCs w:val="21"/>
                <w:highlight w:val="none"/>
              </w:rPr>
              <w:t xml:space="preserve">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80" w:hRule="atLeast"/>
          <w:jc w:val="center"/>
        </w:trPr>
        <w:tc>
          <w:tcPr>
            <w:tcW w:w="737" w:type="dxa"/>
            <w:vMerge w:val="continue"/>
          </w:tcPr>
          <w:p>
            <w:pPr>
              <w:rPr>
                <w:rFonts w:ascii="Times New Roman" w:hAnsi="Times New Roman" w:cs="Times New Roman"/>
                <w:color w:val="auto"/>
                <w:sz w:val="20"/>
                <w:highlight w:val="none"/>
              </w:rPr>
            </w:pPr>
          </w:p>
        </w:tc>
        <w:tc>
          <w:tcPr>
            <w:tcW w:w="1073" w:type="dxa"/>
            <w:vMerge w:val="continue"/>
          </w:tcPr>
          <w:p>
            <w:pPr>
              <w:rPr>
                <w:rFonts w:ascii="Times New Roman" w:hAnsi="Times New Roman" w:cs="Times New Roman"/>
                <w:color w:val="auto"/>
                <w:sz w:val="20"/>
                <w:highlight w:val="none"/>
              </w:rPr>
            </w:pPr>
          </w:p>
        </w:tc>
        <w:tc>
          <w:tcPr>
            <w:tcW w:w="1275" w:type="dxa"/>
            <w:vMerge w:val="restart"/>
            <w:vAlign w:val="center"/>
          </w:tcPr>
          <w:p>
            <w:pPr>
              <w:pStyle w:val="11"/>
              <w:jc w:val="center"/>
              <w:rPr>
                <w:rFonts w:ascii="Times New Roman" w:hAnsi="Times New Roman" w:cs="Times New Roman"/>
                <w:color w:val="auto"/>
                <w:sz w:val="21"/>
                <w:szCs w:val="21"/>
                <w:highlight w:val="none"/>
              </w:rPr>
            </w:pPr>
          </w:p>
          <w:p>
            <w:pPr>
              <w:pStyle w:val="11"/>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w:t>
            </w:r>
            <w:r>
              <w:rPr>
                <w:rFonts w:ascii="Times New Roman" w:hAnsi="Times New Roman" w:cs="Times New Roman"/>
                <w:color w:val="auto"/>
                <w:sz w:val="21"/>
                <w:szCs w:val="21"/>
                <w:highlight w:val="none"/>
                <w:lang w:val="en-US"/>
              </w:rPr>
              <w:t>2</w:t>
            </w:r>
            <w:r>
              <w:rPr>
                <w:rFonts w:ascii="Times New Roman" w:hAnsi="Times New Roman" w:cs="Times New Roman"/>
                <w:color w:val="auto"/>
                <w:sz w:val="21"/>
                <w:szCs w:val="21"/>
                <w:highlight w:val="none"/>
              </w:rPr>
              <w:t>）施工组织设计方案</w:t>
            </w:r>
          </w:p>
          <w:p>
            <w:pPr>
              <w:pStyle w:val="11"/>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w:t>
            </w:r>
            <w:r>
              <w:rPr>
                <w:rFonts w:ascii="Times New Roman" w:hAnsi="Times New Roman" w:cs="Times New Roman"/>
                <w:color w:val="auto"/>
                <w:sz w:val="21"/>
                <w:szCs w:val="21"/>
                <w:highlight w:val="none"/>
                <w:u w:val="single"/>
                <w:lang w:val="en-US"/>
              </w:rPr>
              <w:t xml:space="preserve"> 10 </w:t>
            </w:r>
            <w:r>
              <w:rPr>
                <w:rFonts w:ascii="Times New Roman" w:hAnsi="Times New Roman" w:cs="Times New Roman"/>
                <w:color w:val="auto"/>
                <w:sz w:val="21"/>
                <w:szCs w:val="21"/>
                <w:highlight w:val="none"/>
              </w:rPr>
              <w:t>分）</w:t>
            </w:r>
          </w:p>
        </w:tc>
        <w:tc>
          <w:tcPr>
            <w:tcW w:w="1419" w:type="dxa"/>
            <w:vAlign w:val="center"/>
          </w:tcPr>
          <w:p>
            <w:pPr>
              <w:pStyle w:val="11"/>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工期保证体系及保证措施</w:t>
            </w:r>
          </w:p>
        </w:tc>
        <w:tc>
          <w:tcPr>
            <w:tcW w:w="708" w:type="dxa"/>
            <w:vAlign w:val="center"/>
          </w:tcPr>
          <w:p>
            <w:pPr>
              <w:pStyle w:val="11"/>
              <w:spacing w:before="1"/>
              <w:jc w:val="center"/>
              <w:rPr>
                <w:rFonts w:ascii="Times New Roman" w:hAnsi="Times New Roman" w:cs="Times New Roman"/>
                <w:color w:val="auto"/>
                <w:sz w:val="21"/>
                <w:szCs w:val="21"/>
                <w:highlight w:val="none"/>
              </w:rPr>
            </w:pPr>
            <w:r>
              <w:rPr>
                <w:rFonts w:ascii="Times New Roman" w:hAnsi="Times New Roman" w:cs="Times New Roman"/>
                <w:color w:val="auto"/>
                <w:sz w:val="21"/>
                <w:highlight w:val="none"/>
                <w:u w:val="single"/>
                <w:lang w:val="en-US"/>
              </w:rPr>
              <w:t xml:space="preserve"> 3 </w:t>
            </w:r>
            <w:r>
              <w:rPr>
                <w:rFonts w:ascii="Times New Roman" w:hAnsi="Times New Roman" w:cs="Times New Roman"/>
                <w:color w:val="auto"/>
                <w:sz w:val="21"/>
                <w:highlight w:val="none"/>
              </w:rPr>
              <w:t>分</w:t>
            </w:r>
          </w:p>
        </w:tc>
        <w:tc>
          <w:tcPr>
            <w:tcW w:w="3970" w:type="dxa"/>
            <w:vAlign w:val="center"/>
          </w:tcPr>
          <w:p>
            <w:pPr>
              <w:pStyle w:val="11"/>
              <w:jc w:val="both"/>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w:t>
            </w:r>
            <w:r>
              <w:rPr>
                <w:rFonts w:ascii="Times New Roman" w:hAnsi="Times New Roman" w:cs="Times New Roman"/>
                <w:color w:val="auto"/>
                <w:sz w:val="21"/>
                <w:szCs w:val="21"/>
                <w:highlight w:val="none"/>
                <w:lang w:val="en-US"/>
              </w:rPr>
              <w:t>1</w:t>
            </w:r>
            <w:r>
              <w:rPr>
                <w:rFonts w:ascii="Times New Roman" w:hAnsi="Times New Roman" w:cs="Times New Roman"/>
                <w:color w:val="auto"/>
                <w:sz w:val="21"/>
                <w:szCs w:val="21"/>
                <w:highlight w:val="none"/>
              </w:rPr>
              <w:t>)工期保证体系及保证措施科学、充分，能有效处理各种突发问题的，计划科学合理，可操作性高，得</w:t>
            </w:r>
            <w:r>
              <w:rPr>
                <w:rFonts w:ascii="Times New Roman" w:hAnsi="Times New Roman" w:cs="Times New Roman"/>
                <w:color w:val="auto"/>
                <w:sz w:val="21"/>
                <w:szCs w:val="21"/>
                <w:highlight w:val="none"/>
                <w:u w:val="single"/>
                <w:lang w:val="en-US"/>
              </w:rPr>
              <w:t>2.</w:t>
            </w:r>
            <w:r>
              <w:rPr>
                <w:rFonts w:hint="eastAsia" w:ascii="Times New Roman" w:hAnsi="Times New Roman" w:cs="Times New Roman"/>
                <w:color w:val="auto"/>
                <w:sz w:val="21"/>
                <w:szCs w:val="21"/>
                <w:highlight w:val="none"/>
                <w:u w:val="single"/>
                <w:lang w:val="en-US"/>
              </w:rPr>
              <w:t>8</w:t>
            </w:r>
            <w:r>
              <w:rPr>
                <w:rFonts w:ascii="Times New Roman" w:hAnsi="Times New Roman" w:cs="Times New Roman"/>
                <w:color w:val="auto"/>
                <w:sz w:val="21"/>
                <w:szCs w:val="21"/>
                <w:highlight w:val="none"/>
                <w:u w:val="single"/>
              </w:rPr>
              <w:t>～</w:t>
            </w:r>
            <w:r>
              <w:rPr>
                <w:rFonts w:ascii="Times New Roman" w:hAnsi="Times New Roman" w:cs="Times New Roman"/>
                <w:color w:val="auto"/>
                <w:sz w:val="21"/>
                <w:szCs w:val="21"/>
                <w:highlight w:val="none"/>
                <w:u w:val="single"/>
                <w:lang w:val="en-US"/>
              </w:rPr>
              <w:t>3</w:t>
            </w:r>
            <w:r>
              <w:rPr>
                <w:rFonts w:ascii="Times New Roman" w:hAnsi="Times New Roman" w:cs="Times New Roman"/>
                <w:color w:val="auto"/>
                <w:sz w:val="21"/>
                <w:szCs w:val="21"/>
                <w:highlight w:val="none"/>
              </w:rPr>
              <w:t xml:space="preserve">分； </w:t>
            </w:r>
          </w:p>
          <w:p>
            <w:pPr>
              <w:pStyle w:val="11"/>
              <w:jc w:val="both"/>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w:t>
            </w:r>
            <w:r>
              <w:rPr>
                <w:rFonts w:ascii="Times New Roman" w:hAnsi="Times New Roman" w:cs="Times New Roman"/>
                <w:color w:val="auto"/>
                <w:sz w:val="21"/>
                <w:szCs w:val="21"/>
                <w:highlight w:val="none"/>
                <w:lang w:val="en-US"/>
              </w:rPr>
              <w:t>2</w:t>
            </w:r>
            <w:r>
              <w:rPr>
                <w:rFonts w:ascii="Times New Roman" w:hAnsi="Times New Roman" w:cs="Times New Roman"/>
                <w:color w:val="auto"/>
                <w:sz w:val="21"/>
                <w:szCs w:val="21"/>
                <w:highlight w:val="none"/>
              </w:rPr>
              <w:t>)工期保证体系及保证措施基本可行，内容较为充实、全面的，得</w:t>
            </w:r>
            <w:r>
              <w:rPr>
                <w:rFonts w:hint="eastAsia" w:ascii="Times New Roman" w:hAnsi="Times New Roman" w:cs="Times New Roman"/>
                <w:color w:val="auto"/>
                <w:sz w:val="21"/>
                <w:szCs w:val="21"/>
                <w:highlight w:val="none"/>
                <w:u w:val="single"/>
                <w:lang w:val="en-US"/>
              </w:rPr>
              <w:t>2</w:t>
            </w:r>
            <w:r>
              <w:rPr>
                <w:rFonts w:ascii="Times New Roman" w:hAnsi="Times New Roman" w:cs="Times New Roman"/>
                <w:color w:val="auto"/>
                <w:sz w:val="21"/>
                <w:szCs w:val="21"/>
                <w:highlight w:val="none"/>
                <w:u w:val="single"/>
                <w:lang w:val="en-US"/>
              </w:rPr>
              <w:t>.</w:t>
            </w:r>
            <w:r>
              <w:rPr>
                <w:rFonts w:hint="eastAsia" w:ascii="Times New Roman" w:hAnsi="Times New Roman" w:cs="Times New Roman"/>
                <w:color w:val="auto"/>
                <w:sz w:val="21"/>
                <w:szCs w:val="21"/>
                <w:highlight w:val="none"/>
                <w:u w:val="single"/>
                <w:lang w:val="en-US"/>
              </w:rPr>
              <w:t>7</w:t>
            </w:r>
            <w:r>
              <w:rPr>
                <w:rFonts w:ascii="Times New Roman" w:hAnsi="Times New Roman" w:cs="Times New Roman"/>
                <w:color w:val="auto"/>
                <w:sz w:val="21"/>
                <w:szCs w:val="21"/>
                <w:highlight w:val="none"/>
                <w:u w:val="single"/>
              </w:rPr>
              <w:t>～</w:t>
            </w:r>
            <w:r>
              <w:rPr>
                <w:rFonts w:ascii="Times New Roman" w:hAnsi="Times New Roman" w:cs="Times New Roman"/>
                <w:color w:val="auto"/>
                <w:sz w:val="21"/>
                <w:szCs w:val="21"/>
                <w:highlight w:val="none"/>
                <w:u w:val="single"/>
                <w:lang w:val="en-US"/>
              </w:rPr>
              <w:t>2.</w:t>
            </w:r>
            <w:r>
              <w:rPr>
                <w:rFonts w:hint="eastAsia" w:ascii="Times New Roman" w:hAnsi="Times New Roman" w:cs="Times New Roman"/>
                <w:color w:val="auto"/>
                <w:sz w:val="21"/>
                <w:szCs w:val="21"/>
                <w:highlight w:val="none"/>
                <w:u w:val="single"/>
                <w:lang w:val="en-US"/>
              </w:rPr>
              <w:t>8</w:t>
            </w:r>
            <w:r>
              <w:rPr>
                <w:rFonts w:ascii="Times New Roman" w:hAnsi="Times New Roman" w:cs="Times New Roman"/>
                <w:color w:val="auto"/>
                <w:sz w:val="21"/>
                <w:szCs w:val="21"/>
                <w:highlight w:val="none"/>
              </w:rPr>
              <w:t xml:space="preserve">分； </w:t>
            </w:r>
          </w:p>
          <w:p>
            <w:pPr>
              <w:pStyle w:val="11"/>
              <w:jc w:val="both"/>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w:t>
            </w:r>
            <w:r>
              <w:rPr>
                <w:rFonts w:ascii="Times New Roman" w:hAnsi="Times New Roman" w:cs="Times New Roman"/>
                <w:color w:val="auto"/>
                <w:sz w:val="21"/>
                <w:szCs w:val="21"/>
                <w:highlight w:val="none"/>
                <w:lang w:val="en-US"/>
              </w:rPr>
              <w:t>3</w:t>
            </w:r>
            <w:r>
              <w:rPr>
                <w:rFonts w:ascii="Times New Roman" w:hAnsi="Times New Roman" w:cs="Times New Roman"/>
                <w:color w:val="auto"/>
                <w:sz w:val="21"/>
                <w:szCs w:val="21"/>
                <w:highlight w:val="none"/>
              </w:rPr>
              <w:t>)一般但不被评定为不响应的,起评分</w:t>
            </w:r>
            <w:r>
              <w:rPr>
                <w:rFonts w:hint="eastAsia" w:ascii="Times New Roman" w:hAnsi="Times New Roman" w:cs="Times New Roman"/>
                <w:color w:val="auto"/>
                <w:sz w:val="21"/>
                <w:szCs w:val="21"/>
                <w:highlight w:val="none"/>
                <w:u w:val="single"/>
                <w:lang w:val="en-US"/>
              </w:rPr>
              <w:t>2</w:t>
            </w:r>
            <w:r>
              <w:rPr>
                <w:rFonts w:ascii="Times New Roman" w:hAnsi="Times New Roman" w:cs="Times New Roman"/>
                <w:color w:val="auto"/>
                <w:sz w:val="21"/>
                <w:szCs w:val="21"/>
                <w:highlight w:val="none"/>
                <w:u w:val="single"/>
                <w:lang w:val="en-US"/>
              </w:rPr>
              <w:t>.</w:t>
            </w:r>
            <w:r>
              <w:rPr>
                <w:rFonts w:hint="eastAsia" w:ascii="Times New Roman" w:hAnsi="Times New Roman" w:cs="Times New Roman"/>
                <w:color w:val="auto"/>
                <w:sz w:val="21"/>
                <w:szCs w:val="21"/>
                <w:highlight w:val="none"/>
                <w:u w:val="single"/>
                <w:lang w:val="en-US"/>
              </w:rPr>
              <w:t>7</w:t>
            </w:r>
            <w:r>
              <w:rPr>
                <w:rFonts w:ascii="Times New Roman" w:hAnsi="Times New Roman" w:cs="Times New Roman"/>
                <w:color w:val="auto"/>
                <w:sz w:val="21"/>
                <w:szCs w:val="21"/>
                <w:highlight w:val="none"/>
              </w:rPr>
              <w:t xml:space="preserve">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32" w:hRule="atLeast"/>
          <w:jc w:val="center"/>
        </w:trPr>
        <w:tc>
          <w:tcPr>
            <w:tcW w:w="737" w:type="dxa"/>
            <w:vMerge w:val="continue"/>
          </w:tcPr>
          <w:p>
            <w:pPr>
              <w:rPr>
                <w:rFonts w:ascii="Times New Roman" w:hAnsi="Times New Roman" w:cs="Times New Roman"/>
                <w:color w:val="auto"/>
                <w:sz w:val="2"/>
                <w:szCs w:val="2"/>
                <w:highlight w:val="none"/>
              </w:rPr>
            </w:pPr>
          </w:p>
        </w:tc>
        <w:tc>
          <w:tcPr>
            <w:tcW w:w="1073" w:type="dxa"/>
            <w:vMerge w:val="continue"/>
          </w:tcPr>
          <w:p>
            <w:pPr>
              <w:rPr>
                <w:rFonts w:ascii="Times New Roman" w:hAnsi="Times New Roman" w:cs="Times New Roman"/>
                <w:color w:val="auto"/>
                <w:sz w:val="2"/>
                <w:szCs w:val="2"/>
                <w:highlight w:val="none"/>
              </w:rPr>
            </w:pPr>
          </w:p>
        </w:tc>
        <w:tc>
          <w:tcPr>
            <w:tcW w:w="1275" w:type="dxa"/>
            <w:vMerge w:val="continue"/>
          </w:tcPr>
          <w:p>
            <w:pPr>
              <w:pStyle w:val="11"/>
              <w:jc w:val="center"/>
              <w:rPr>
                <w:rFonts w:ascii="Times New Roman" w:hAnsi="Times New Roman" w:cs="Times New Roman"/>
                <w:color w:val="auto"/>
                <w:sz w:val="21"/>
                <w:szCs w:val="21"/>
                <w:highlight w:val="none"/>
              </w:rPr>
            </w:pPr>
          </w:p>
        </w:tc>
        <w:tc>
          <w:tcPr>
            <w:tcW w:w="1419" w:type="dxa"/>
            <w:vAlign w:val="center"/>
          </w:tcPr>
          <w:p>
            <w:pPr>
              <w:pStyle w:val="11"/>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质量、安全保证体系及保证措施</w:t>
            </w:r>
          </w:p>
        </w:tc>
        <w:tc>
          <w:tcPr>
            <w:tcW w:w="708" w:type="dxa"/>
            <w:vAlign w:val="center"/>
          </w:tcPr>
          <w:p>
            <w:pPr>
              <w:pStyle w:val="11"/>
              <w:spacing w:before="1"/>
              <w:jc w:val="center"/>
              <w:rPr>
                <w:rFonts w:ascii="Times New Roman" w:hAnsi="Times New Roman" w:cs="Times New Roman"/>
                <w:color w:val="auto"/>
                <w:sz w:val="21"/>
                <w:szCs w:val="21"/>
                <w:highlight w:val="none"/>
              </w:rPr>
            </w:pPr>
            <w:r>
              <w:rPr>
                <w:rFonts w:ascii="Times New Roman" w:hAnsi="Times New Roman" w:cs="Times New Roman"/>
                <w:color w:val="auto"/>
                <w:sz w:val="21"/>
                <w:highlight w:val="none"/>
                <w:u w:val="single"/>
                <w:lang w:val="en-US"/>
              </w:rPr>
              <w:t xml:space="preserve"> 4</w:t>
            </w:r>
            <w:r>
              <w:rPr>
                <w:rFonts w:ascii="Times New Roman" w:hAnsi="Times New Roman" w:cs="Times New Roman"/>
                <w:color w:val="auto"/>
                <w:sz w:val="21"/>
                <w:highlight w:val="none"/>
                <w:u w:val="single"/>
              </w:rPr>
              <w:t xml:space="preserve"> </w:t>
            </w:r>
            <w:r>
              <w:rPr>
                <w:rFonts w:ascii="Times New Roman" w:hAnsi="Times New Roman" w:cs="Times New Roman"/>
                <w:color w:val="auto"/>
                <w:sz w:val="21"/>
                <w:highlight w:val="none"/>
              </w:rPr>
              <w:t>分</w:t>
            </w:r>
          </w:p>
        </w:tc>
        <w:tc>
          <w:tcPr>
            <w:tcW w:w="3970" w:type="dxa"/>
          </w:tcPr>
          <w:p>
            <w:pPr>
              <w:pStyle w:val="11"/>
              <w:jc w:val="both"/>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w:t>
            </w:r>
            <w:r>
              <w:rPr>
                <w:rFonts w:ascii="Times New Roman" w:hAnsi="Times New Roman" w:cs="Times New Roman"/>
                <w:color w:val="auto"/>
                <w:sz w:val="21"/>
                <w:szCs w:val="21"/>
                <w:highlight w:val="none"/>
                <w:lang w:val="en-US"/>
              </w:rPr>
              <w:t>1</w:t>
            </w:r>
            <w:r>
              <w:rPr>
                <w:rFonts w:ascii="Times New Roman" w:hAnsi="Times New Roman" w:cs="Times New Roman"/>
                <w:color w:val="auto"/>
                <w:sz w:val="21"/>
                <w:szCs w:val="21"/>
                <w:highlight w:val="none"/>
              </w:rPr>
              <w:t>)对本项目质量及安全控制有透彻的认识，对施工过程中可能发生的各种质量和安全问题有深刻的认识和合理的预见，并有相应的应对措施，应对措施应科学、充分，能有效处理各种突发问题的，得</w:t>
            </w:r>
            <w:r>
              <w:rPr>
                <w:rFonts w:ascii="Times New Roman" w:hAnsi="Times New Roman" w:cs="Times New Roman"/>
                <w:color w:val="auto"/>
                <w:sz w:val="21"/>
                <w:szCs w:val="21"/>
                <w:highlight w:val="none"/>
                <w:u w:val="single"/>
                <w:lang w:val="en-US"/>
              </w:rPr>
              <w:t>3.</w:t>
            </w:r>
            <w:r>
              <w:rPr>
                <w:rFonts w:hint="eastAsia" w:ascii="Times New Roman" w:hAnsi="Times New Roman" w:cs="Times New Roman"/>
                <w:color w:val="auto"/>
                <w:sz w:val="21"/>
                <w:szCs w:val="21"/>
                <w:highlight w:val="none"/>
                <w:u w:val="single"/>
                <w:lang w:val="en-US"/>
              </w:rPr>
              <w:t>8</w:t>
            </w:r>
            <w:r>
              <w:rPr>
                <w:rFonts w:ascii="Times New Roman" w:hAnsi="Times New Roman" w:cs="Times New Roman"/>
                <w:color w:val="auto"/>
                <w:sz w:val="21"/>
                <w:szCs w:val="21"/>
                <w:highlight w:val="none"/>
                <w:u w:val="single"/>
              </w:rPr>
              <w:t>～</w:t>
            </w:r>
            <w:r>
              <w:rPr>
                <w:rFonts w:ascii="Times New Roman" w:hAnsi="Times New Roman" w:cs="Times New Roman"/>
                <w:color w:val="auto"/>
                <w:sz w:val="21"/>
                <w:szCs w:val="21"/>
                <w:highlight w:val="none"/>
                <w:u w:val="single"/>
                <w:lang w:val="en-US"/>
              </w:rPr>
              <w:t>4</w:t>
            </w:r>
            <w:r>
              <w:rPr>
                <w:rFonts w:ascii="Times New Roman" w:hAnsi="Times New Roman" w:cs="Times New Roman"/>
                <w:color w:val="auto"/>
                <w:sz w:val="21"/>
                <w:szCs w:val="21"/>
                <w:highlight w:val="none"/>
              </w:rPr>
              <w:t xml:space="preserve">分； </w:t>
            </w:r>
          </w:p>
          <w:p>
            <w:pPr>
              <w:pStyle w:val="11"/>
              <w:jc w:val="both"/>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w:t>
            </w:r>
            <w:r>
              <w:rPr>
                <w:rFonts w:ascii="Times New Roman" w:hAnsi="Times New Roman" w:cs="Times New Roman"/>
                <w:color w:val="auto"/>
                <w:sz w:val="21"/>
                <w:szCs w:val="21"/>
                <w:highlight w:val="none"/>
                <w:lang w:val="en-US"/>
              </w:rPr>
              <w:t>2</w:t>
            </w:r>
            <w:r>
              <w:rPr>
                <w:rFonts w:ascii="Times New Roman" w:hAnsi="Times New Roman" w:cs="Times New Roman"/>
                <w:color w:val="auto"/>
                <w:sz w:val="21"/>
                <w:szCs w:val="21"/>
                <w:highlight w:val="none"/>
              </w:rPr>
              <w:t>)对本项目质量及安全控制有一定的认识，基本能合理的预见施工过程中可能发生的各种质量和安全问题，并有相应的应对措施，应对措施较为科学、充分，基本能有效处理各种质量和安全问题的，得</w:t>
            </w:r>
            <w:r>
              <w:rPr>
                <w:rFonts w:hint="eastAsia" w:ascii="Times New Roman" w:hAnsi="Times New Roman" w:cs="Times New Roman"/>
                <w:color w:val="auto"/>
                <w:sz w:val="21"/>
                <w:szCs w:val="21"/>
                <w:highlight w:val="none"/>
                <w:u w:val="single"/>
                <w:lang w:val="en-US"/>
              </w:rPr>
              <w:t>3</w:t>
            </w:r>
            <w:r>
              <w:rPr>
                <w:rFonts w:ascii="Times New Roman" w:hAnsi="Times New Roman" w:cs="Times New Roman"/>
                <w:color w:val="auto"/>
                <w:sz w:val="21"/>
                <w:szCs w:val="21"/>
                <w:highlight w:val="none"/>
                <w:u w:val="single"/>
                <w:lang w:val="en-US"/>
              </w:rPr>
              <w:t>.</w:t>
            </w:r>
            <w:r>
              <w:rPr>
                <w:rFonts w:hint="eastAsia" w:ascii="Times New Roman" w:hAnsi="Times New Roman" w:cs="Times New Roman"/>
                <w:color w:val="auto"/>
                <w:sz w:val="21"/>
                <w:szCs w:val="21"/>
                <w:highlight w:val="none"/>
                <w:u w:val="single"/>
                <w:lang w:val="en-US"/>
              </w:rPr>
              <w:t>6</w:t>
            </w:r>
            <w:r>
              <w:rPr>
                <w:rFonts w:ascii="Times New Roman" w:hAnsi="Times New Roman" w:cs="Times New Roman"/>
                <w:color w:val="auto"/>
                <w:sz w:val="21"/>
                <w:szCs w:val="21"/>
                <w:highlight w:val="none"/>
                <w:u w:val="single"/>
              </w:rPr>
              <w:t>～</w:t>
            </w:r>
            <w:r>
              <w:rPr>
                <w:rFonts w:ascii="Times New Roman" w:hAnsi="Times New Roman" w:cs="Times New Roman"/>
                <w:color w:val="auto"/>
                <w:sz w:val="21"/>
                <w:szCs w:val="21"/>
                <w:highlight w:val="none"/>
                <w:u w:val="single"/>
                <w:lang w:val="en-US"/>
              </w:rPr>
              <w:t>3.</w:t>
            </w:r>
            <w:r>
              <w:rPr>
                <w:rFonts w:hint="eastAsia" w:ascii="Times New Roman" w:hAnsi="Times New Roman" w:cs="Times New Roman"/>
                <w:color w:val="auto"/>
                <w:sz w:val="21"/>
                <w:szCs w:val="21"/>
                <w:highlight w:val="none"/>
                <w:u w:val="single"/>
                <w:lang w:val="en-US"/>
              </w:rPr>
              <w:t>8</w:t>
            </w:r>
            <w:r>
              <w:rPr>
                <w:rFonts w:ascii="Times New Roman" w:hAnsi="Times New Roman" w:cs="Times New Roman"/>
                <w:color w:val="auto"/>
                <w:sz w:val="21"/>
                <w:szCs w:val="21"/>
                <w:highlight w:val="none"/>
              </w:rPr>
              <w:t xml:space="preserve">分 ； </w:t>
            </w:r>
          </w:p>
          <w:p>
            <w:pPr>
              <w:pStyle w:val="11"/>
              <w:jc w:val="both"/>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w:t>
            </w:r>
            <w:r>
              <w:rPr>
                <w:rFonts w:ascii="Times New Roman" w:hAnsi="Times New Roman" w:cs="Times New Roman"/>
                <w:color w:val="auto"/>
                <w:sz w:val="21"/>
                <w:szCs w:val="21"/>
                <w:highlight w:val="none"/>
                <w:lang w:val="en-US"/>
              </w:rPr>
              <w:t>3</w:t>
            </w:r>
            <w:r>
              <w:rPr>
                <w:rFonts w:ascii="Times New Roman" w:hAnsi="Times New Roman" w:cs="Times New Roman"/>
                <w:color w:val="auto"/>
                <w:sz w:val="21"/>
                <w:szCs w:val="21"/>
                <w:highlight w:val="none"/>
              </w:rPr>
              <w:t xml:space="preserve">)一般但不被评定为不响应的, 起评分 </w:t>
            </w:r>
            <w:r>
              <w:rPr>
                <w:rFonts w:hint="eastAsia" w:ascii="Times New Roman" w:hAnsi="Times New Roman" w:cs="Times New Roman"/>
                <w:color w:val="auto"/>
                <w:sz w:val="21"/>
                <w:szCs w:val="21"/>
                <w:highlight w:val="none"/>
                <w:u w:val="single"/>
                <w:lang w:val="en-US"/>
              </w:rPr>
              <w:t>3</w:t>
            </w:r>
            <w:r>
              <w:rPr>
                <w:rFonts w:ascii="Times New Roman" w:hAnsi="Times New Roman" w:cs="Times New Roman"/>
                <w:color w:val="auto"/>
                <w:sz w:val="21"/>
                <w:szCs w:val="21"/>
                <w:highlight w:val="none"/>
                <w:u w:val="single"/>
                <w:lang w:val="en-US"/>
              </w:rPr>
              <w:t>.</w:t>
            </w:r>
            <w:r>
              <w:rPr>
                <w:rFonts w:hint="eastAsia" w:ascii="Times New Roman" w:hAnsi="Times New Roman" w:cs="Times New Roman"/>
                <w:color w:val="auto"/>
                <w:sz w:val="21"/>
                <w:szCs w:val="21"/>
                <w:highlight w:val="none"/>
                <w:u w:val="single"/>
                <w:lang w:val="en-US"/>
              </w:rPr>
              <w:t>6</w:t>
            </w:r>
            <w:r>
              <w:rPr>
                <w:rFonts w:ascii="Times New Roman" w:hAnsi="Times New Roman" w:cs="Times New Roman"/>
                <w:color w:val="auto"/>
                <w:sz w:val="21"/>
                <w:szCs w:val="21"/>
                <w:highlight w:val="none"/>
              </w:rPr>
              <w:t xml:space="preserve">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12" w:hRule="atLeast"/>
          <w:jc w:val="center"/>
        </w:trPr>
        <w:tc>
          <w:tcPr>
            <w:tcW w:w="737" w:type="dxa"/>
            <w:vMerge w:val="continue"/>
          </w:tcPr>
          <w:p>
            <w:pPr>
              <w:rPr>
                <w:rFonts w:ascii="Times New Roman" w:hAnsi="Times New Roman" w:cs="Times New Roman"/>
                <w:color w:val="auto"/>
                <w:sz w:val="2"/>
                <w:szCs w:val="2"/>
                <w:highlight w:val="none"/>
              </w:rPr>
            </w:pPr>
          </w:p>
        </w:tc>
        <w:tc>
          <w:tcPr>
            <w:tcW w:w="1073" w:type="dxa"/>
            <w:vMerge w:val="continue"/>
          </w:tcPr>
          <w:p>
            <w:pPr>
              <w:rPr>
                <w:rFonts w:ascii="Times New Roman" w:hAnsi="Times New Roman" w:cs="Times New Roman"/>
                <w:color w:val="auto"/>
                <w:sz w:val="2"/>
                <w:szCs w:val="2"/>
                <w:highlight w:val="none"/>
              </w:rPr>
            </w:pPr>
          </w:p>
        </w:tc>
        <w:tc>
          <w:tcPr>
            <w:tcW w:w="1275" w:type="dxa"/>
            <w:vMerge w:val="continue"/>
          </w:tcPr>
          <w:p>
            <w:pPr>
              <w:pStyle w:val="11"/>
              <w:jc w:val="center"/>
              <w:rPr>
                <w:rFonts w:ascii="Times New Roman" w:hAnsi="Times New Roman" w:cs="Times New Roman"/>
                <w:color w:val="auto"/>
                <w:sz w:val="21"/>
                <w:szCs w:val="21"/>
                <w:highlight w:val="none"/>
              </w:rPr>
            </w:pPr>
          </w:p>
        </w:tc>
        <w:tc>
          <w:tcPr>
            <w:tcW w:w="1419" w:type="dxa"/>
            <w:vAlign w:val="center"/>
          </w:tcPr>
          <w:p>
            <w:pPr>
              <w:pStyle w:val="11"/>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环境保护、文明施工保证体系及措施</w:t>
            </w:r>
          </w:p>
        </w:tc>
        <w:tc>
          <w:tcPr>
            <w:tcW w:w="708" w:type="dxa"/>
            <w:vAlign w:val="center"/>
          </w:tcPr>
          <w:p>
            <w:pPr>
              <w:pStyle w:val="11"/>
              <w:jc w:val="center"/>
              <w:rPr>
                <w:rFonts w:ascii="Times New Roman" w:hAnsi="Times New Roman" w:cs="Times New Roman"/>
                <w:color w:val="auto"/>
                <w:sz w:val="21"/>
                <w:highlight w:val="none"/>
                <w:u w:val="single"/>
                <w:lang w:val="en-US"/>
              </w:rPr>
            </w:pPr>
            <w:r>
              <w:rPr>
                <w:rFonts w:ascii="Times New Roman" w:hAnsi="Times New Roman" w:cs="Times New Roman"/>
                <w:color w:val="auto"/>
                <w:sz w:val="21"/>
                <w:szCs w:val="21"/>
                <w:highlight w:val="none"/>
                <w:u w:val="single"/>
                <w:lang w:val="en-US"/>
              </w:rPr>
              <w:t xml:space="preserve"> 3 </w:t>
            </w:r>
            <w:r>
              <w:rPr>
                <w:rFonts w:ascii="Times New Roman" w:hAnsi="Times New Roman" w:cs="Times New Roman"/>
                <w:color w:val="auto"/>
                <w:sz w:val="21"/>
                <w:szCs w:val="21"/>
                <w:highlight w:val="none"/>
              </w:rPr>
              <w:t>分</w:t>
            </w:r>
          </w:p>
        </w:tc>
        <w:tc>
          <w:tcPr>
            <w:tcW w:w="3970" w:type="dxa"/>
          </w:tcPr>
          <w:p>
            <w:pPr>
              <w:pStyle w:val="11"/>
              <w:jc w:val="both"/>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w:t>
            </w:r>
            <w:r>
              <w:rPr>
                <w:rFonts w:ascii="Times New Roman" w:hAnsi="Times New Roman" w:cs="Times New Roman"/>
                <w:color w:val="auto"/>
                <w:sz w:val="21"/>
                <w:szCs w:val="21"/>
                <w:highlight w:val="none"/>
                <w:lang w:val="en-US"/>
              </w:rPr>
              <w:t>1</w:t>
            </w:r>
            <w:r>
              <w:rPr>
                <w:rFonts w:ascii="Times New Roman" w:hAnsi="Times New Roman" w:cs="Times New Roman"/>
                <w:color w:val="auto"/>
                <w:sz w:val="21"/>
                <w:szCs w:val="21"/>
                <w:highlight w:val="none"/>
              </w:rPr>
              <w:t>)对本项目的环保及文明施工等工作有独到的见解，能制定科学的措施，施工做到符合环保的要求，对文明施工有相应的措施，能创造良好的施工环境的，得</w:t>
            </w:r>
            <w:r>
              <w:rPr>
                <w:rFonts w:ascii="Times New Roman" w:hAnsi="Times New Roman" w:cs="Times New Roman"/>
                <w:color w:val="auto"/>
                <w:sz w:val="21"/>
                <w:szCs w:val="21"/>
                <w:highlight w:val="none"/>
                <w:u w:val="single"/>
                <w:lang w:val="en-US"/>
              </w:rPr>
              <w:t>2.</w:t>
            </w:r>
            <w:r>
              <w:rPr>
                <w:rFonts w:hint="eastAsia" w:ascii="Times New Roman" w:hAnsi="Times New Roman" w:cs="Times New Roman"/>
                <w:color w:val="auto"/>
                <w:sz w:val="21"/>
                <w:szCs w:val="21"/>
                <w:highlight w:val="none"/>
                <w:u w:val="single"/>
                <w:lang w:val="en-US"/>
              </w:rPr>
              <w:t>8</w:t>
            </w:r>
            <w:r>
              <w:rPr>
                <w:rFonts w:ascii="Times New Roman" w:hAnsi="Times New Roman" w:cs="Times New Roman"/>
                <w:color w:val="auto"/>
                <w:sz w:val="21"/>
                <w:szCs w:val="21"/>
                <w:highlight w:val="none"/>
                <w:u w:val="single"/>
              </w:rPr>
              <w:t>～</w:t>
            </w:r>
            <w:r>
              <w:rPr>
                <w:rFonts w:ascii="Times New Roman" w:hAnsi="Times New Roman" w:cs="Times New Roman"/>
                <w:color w:val="auto"/>
                <w:sz w:val="21"/>
                <w:szCs w:val="21"/>
                <w:highlight w:val="none"/>
                <w:u w:val="single"/>
                <w:lang w:val="en-US"/>
              </w:rPr>
              <w:t>3</w:t>
            </w:r>
            <w:r>
              <w:rPr>
                <w:rFonts w:ascii="Times New Roman" w:hAnsi="Times New Roman" w:cs="Times New Roman"/>
                <w:color w:val="auto"/>
                <w:sz w:val="21"/>
                <w:szCs w:val="21"/>
                <w:highlight w:val="none"/>
              </w:rPr>
              <w:t xml:space="preserve">分； </w:t>
            </w:r>
          </w:p>
          <w:p>
            <w:pPr>
              <w:pStyle w:val="11"/>
              <w:jc w:val="both"/>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w:t>
            </w:r>
            <w:r>
              <w:rPr>
                <w:rFonts w:ascii="Times New Roman" w:hAnsi="Times New Roman" w:cs="Times New Roman"/>
                <w:color w:val="auto"/>
                <w:sz w:val="21"/>
                <w:szCs w:val="21"/>
                <w:highlight w:val="none"/>
                <w:lang w:val="en-US"/>
              </w:rPr>
              <w:t>2</w:t>
            </w:r>
            <w:r>
              <w:rPr>
                <w:rFonts w:ascii="Times New Roman" w:hAnsi="Times New Roman" w:cs="Times New Roman"/>
                <w:color w:val="auto"/>
                <w:sz w:val="21"/>
                <w:szCs w:val="21"/>
                <w:highlight w:val="none"/>
              </w:rPr>
              <w:t>)对工程环保及文明施工等工作制定有相关的措施，基本能满足本项目环保及文明施工的要求的，得</w:t>
            </w:r>
            <w:r>
              <w:rPr>
                <w:rFonts w:hint="eastAsia" w:ascii="Times New Roman" w:hAnsi="Times New Roman" w:cs="Times New Roman"/>
                <w:color w:val="auto"/>
                <w:sz w:val="21"/>
                <w:szCs w:val="21"/>
                <w:highlight w:val="none"/>
                <w:u w:val="single"/>
                <w:lang w:val="en-US"/>
              </w:rPr>
              <w:t>2</w:t>
            </w:r>
            <w:r>
              <w:rPr>
                <w:rFonts w:ascii="Times New Roman" w:hAnsi="Times New Roman" w:cs="Times New Roman"/>
                <w:color w:val="auto"/>
                <w:sz w:val="21"/>
                <w:szCs w:val="21"/>
                <w:highlight w:val="none"/>
                <w:u w:val="single"/>
                <w:lang w:val="en-US"/>
              </w:rPr>
              <w:t>.</w:t>
            </w:r>
            <w:r>
              <w:rPr>
                <w:rFonts w:hint="eastAsia" w:ascii="Times New Roman" w:hAnsi="Times New Roman" w:cs="Times New Roman"/>
                <w:color w:val="auto"/>
                <w:sz w:val="21"/>
                <w:szCs w:val="21"/>
                <w:highlight w:val="none"/>
                <w:u w:val="single"/>
                <w:lang w:val="en-US"/>
              </w:rPr>
              <w:t>7</w:t>
            </w:r>
            <w:r>
              <w:rPr>
                <w:rFonts w:ascii="Times New Roman" w:hAnsi="Times New Roman" w:cs="Times New Roman"/>
                <w:color w:val="auto"/>
                <w:sz w:val="21"/>
                <w:szCs w:val="21"/>
                <w:highlight w:val="none"/>
                <w:u w:val="single"/>
              </w:rPr>
              <w:t>～</w:t>
            </w:r>
            <w:r>
              <w:rPr>
                <w:rFonts w:ascii="Times New Roman" w:hAnsi="Times New Roman" w:cs="Times New Roman"/>
                <w:color w:val="auto"/>
                <w:sz w:val="21"/>
                <w:szCs w:val="21"/>
                <w:highlight w:val="none"/>
                <w:u w:val="single"/>
                <w:lang w:val="en-US"/>
              </w:rPr>
              <w:t>2.</w:t>
            </w:r>
            <w:r>
              <w:rPr>
                <w:rFonts w:hint="eastAsia" w:ascii="Times New Roman" w:hAnsi="Times New Roman" w:cs="Times New Roman"/>
                <w:color w:val="auto"/>
                <w:sz w:val="21"/>
                <w:szCs w:val="21"/>
                <w:highlight w:val="none"/>
                <w:u w:val="single"/>
                <w:lang w:val="en-US"/>
              </w:rPr>
              <w:t>8</w:t>
            </w:r>
            <w:r>
              <w:rPr>
                <w:rFonts w:ascii="Times New Roman" w:hAnsi="Times New Roman" w:cs="Times New Roman"/>
                <w:color w:val="auto"/>
                <w:sz w:val="21"/>
                <w:szCs w:val="21"/>
                <w:highlight w:val="none"/>
              </w:rPr>
              <w:t xml:space="preserve">分； </w:t>
            </w:r>
          </w:p>
          <w:p>
            <w:pPr>
              <w:pStyle w:val="11"/>
              <w:jc w:val="both"/>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w:t>
            </w:r>
            <w:r>
              <w:rPr>
                <w:rFonts w:ascii="Times New Roman" w:hAnsi="Times New Roman" w:cs="Times New Roman"/>
                <w:color w:val="auto"/>
                <w:sz w:val="21"/>
                <w:szCs w:val="21"/>
                <w:highlight w:val="none"/>
                <w:lang w:val="en-US"/>
              </w:rPr>
              <w:t>3</w:t>
            </w:r>
            <w:r>
              <w:rPr>
                <w:rFonts w:ascii="Times New Roman" w:hAnsi="Times New Roman" w:cs="Times New Roman"/>
                <w:color w:val="auto"/>
                <w:sz w:val="21"/>
                <w:szCs w:val="21"/>
                <w:highlight w:val="none"/>
              </w:rPr>
              <w:t xml:space="preserve">)一般但不被评定为不响应的, 起评分 </w:t>
            </w:r>
            <w:r>
              <w:rPr>
                <w:rFonts w:hint="eastAsia" w:ascii="Times New Roman" w:hAnsi="Times New Roman" w:cs="Times New Roman"/>
                <w:color w:val="auto"/>
                <w:sz w:val="21"/>
                <w:szCs w:val="21"/>
                <w:highlight w:val="none"/>
                <w:u w:val="single"/>
                <w:lang w:val="en-US"/>
              </w:rPr>
              <w:t>2</w:t>
            </w:r>
            <w:r>
              <w:rPr>
                <w:rFonts w:ascii="Times New Roman" w:hAnsi="Times New Roman" w:cs="Times New Roman"/>
                <w:color w:val="auto"/>
                <w:sz w:val="21"/>
                <w:szCs w:val="21"/>
                <w:highlight w:val="none"/>
                <w:u w:val="single"/>
                <w:lang w:val="en-US"/>
              </w:rPr>
              <w:t>.</w:t>
            </w:r>
            <w:r>
              <w:rPr>
                <w:rFonts w:hint="eastAsia" w:ascii="Times New Roman" w:hAnsi="Times New Roman" w:cs="Times New Roman"/>
                <w:color w:val="auto"/>
                <w:sz w:val="21"/>
                <w:szCs w:val="21"/>
                <w:highlight w:val="none"/>
                <w:u w:val="single"/>
                <w:lang w:val="en-US"/>
              </w:rPr>
              <w:t>7</w:t>
            </w:r>
            <w:r>
              <w:rPr>
                <w:rFonts w:ascii="Times New Roman" w:hAnsi="Times New Roman" w:cs="Times New Roman"/>
                <w:color w:val="auto"/>
                <w:sz w:val="21"/>
                <w:szCs w:val="21"/>
                <w:highlight w:val="none"/>
              </w:rPr>
              <w:t xml:space="preserve">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5" w:hRule="atLeast"/>
          <w:jc w:val="center"/>
        </w:trPr>
        <w:tc>
          <w:tcPr>
            <w:tcW w:w="737" w:type="dxa"/>
            <w:vAlign w:val="center"/>
          </w:tcPr>
          <w:p>
            <w:pPr>
              <w:spacing w:before="142"/>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条款</w:t>
            </w:r>
          </w:p>
          <w:p>
            <w:pPr>
              <w:spacing w:before="142"/>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号</w:t>
            </w:r>
          </w:p>
        </w:tc>
        <w:tc>
          <w:tcPr>
            <w:tcW w:w="1073" w:type="dxa"/>
            <w:vAlign w:val="center"/>
          </w:tcPr>
          <w:p>
            <w:pPr>
              <w:spacing w:before="142"/>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评分因素</w:t>
            </w:r>
          </w:p>
        </w:tc>
        <w:tc>
          <w:tcPr>
            <w:tcW w:w="1275" w:type="dxa"/>
            <w:vAlign w:val="center"/>
          </w:tcPr>
          <w:p>
            <w:pPr>
              <w:spacing w:before="142"/>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评分因素权</w:t>
            </w:r>
          </w:p>
          <w:p>
            <w:pPr>
              <w:spacing w:before="142"/>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重分值</w:t>
            </w:r>
          </w:p>
        </w:tc>
        <w:tc>
          <w:tcPr>
            <w:tcW w:w="1419" w:type="dxa"/>
            <w:vAlign w:val="center"/>
          </w:tcPr>
          <w:p>
            <w:pPr>
              <w:spacing w:before="142"/>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各评分因素</w:t>
            </w:r>
          </w:p>
          <w:p>
            <w:pPr>
              <w:spacing w:before="142"/>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细分项</w:t>
            </w:r>
          </w:p>
        </w:tc>
        <w:tc>
          <w:tcPr>
            <w:tcW w:w="708" w:type="dxa"/>
            <w:vAlign w:val="center"/>
          </w:tcPr>
          <w:p>
            <w:pPr>
              <w:spacing w:before="142"/>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分值</w:t>
            </w:r>
          </w:p>
        </w:tc>
        <w:tc>
          <w:tcPr>
            <w:tcW w:w="3970" w:type="dxa"/>
            <w:vAlign w:val="center"/>
          </w:tcPr>
          <w:p>
            <w:pPr>
              <w:spacing w:before="142"/>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9" w:hRule="atLeast"/>
          <w:jc w:val="center"/>
        </w:trPr>
        <w:tc>
          <w:tcPr>
            <w:tcW w:w="737" w:type="dxa"/>
          </w:tcPr>
          <w:p>
            <w:pPr>
              <w:pStyle w:val="11"/>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2.2.4（2）</w:t>
            </w:r>
          </w:p>
        </w:tc>
        <w:tc>
          <w:tcPr>
            <w:tcW w:w="1073" w:type="dxa"/>
            <w:vAlign w:val="center"/>
          </w:tcPr>
          <w:p>
            <w:pPr>
              <w:pStyle w:val="11"/>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项目管理</w:t>
            </w:r>
          </w:p>
          <w:p>
            <w:pPr>
              <w:pStyle w:val="11"/>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机构</w:t>
            </w:r>
          </w:p>
        </w:tc>
        <w:tc>
          <w:tcPr>
            <w:tcW w:w="3402" w:type="dxa"/>
            <w:gridSpan w:val="3"/>
            <w:vAlign w:val="center"/>
          </w:tcPr>
          <w:p>
            <w:pPr>
              <w:pStyle w:val="11"/>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u w:val="single"/>
                <w:lang w:val="en-US"/>
              </w:rPr>
              <w:t xml:space="preserve"> 0 </w:t>
            </w:r>
            <w:r>
              <w:rPr>
                <w:rFonts w:ascii="Times New Roman" w:hAnsi="Times New Roman" w:cs="Times New Roman"/>
                <w:color w:val="auto"/>
                <w:sz w:val="21"/>
                <w:szCs w:val="21"/>
                <w:highlight w:val="none"/>
              </w:rPr>
              <w:t>分</w:t>
            </w:r>
          </w:p>
        </w:tc>
        <w:tc>
          <w:tcPr>
            <w:tcW w:w="3970" w:type="dxa"/>
            <w:vAlign w:val="center"/>
          </w:tcPr>
          <w:p>
            <w:pPr>
              <w:pStyle w:val="11"/>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满足资格要求的得满分。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9" w:hRule="atLeast"/>
          <w:jc w:val="center"/>
        </w:trPr>
        <w:tc>
          <w:tcPr>
            <w:tcW w:w="737" w:type="dxa"/>
            <w:vAlign w:val="center"/>
          </w:tcPr>
          <w:p>
            <w:pPr>
              <w:pStyle w:val="11"/>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2.2.4（3）</w:t>
            </w:r>
          </w:p>
        </w:tc>
        <w:tc>
          <w:tcPr>
            <w:tcW w:w="1073" w:type="dxa"/>
            <w:vAlign w:val="center"/>
          </w:tcPr>
          <w:p>
            <w:pPr>
              <w:pStyle w:val="11"/>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评标价</w:t>
            </w:r>
          </w:p>
        </w:tc>
        <w:tc>
          <w:tcPr>
            <w:tcW w:w="3402" w:type="dxa"/>
            <w:gridSpan w:val="3"/>
            <w:vAlign w:val="center"/>
          </w:tcPr>
          <w:p>
            <w:pPr>
              <w:pStyle w:val="11"/>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u w:val="single"/>
                <w:lang w:val="en-US"/>
              </w:rPr>
              <w:t xml:space="preserve"> 50 </w:t>
            </w:r>
            <w:r>
              <w:rPr>
                <w:rFonts w:ascii="Times New Roman" w:hAnsi="Times New Roman" w:cs="Times New Roman"/>
                <w:color w:val="auto"/>
                <w:sz w:val="21"/>
                <w:szCs w:val="21"/>
                <w:highlight w:val="none"/>
              </w:rPr>
              <w:t>分</w:t>
            </w:r>
          </w:p>
        </w:tc>
        <w:tc>
          <w:tcPr>
            <w:tcW w:w="3970" w:type="dxa"/>
          </w:tcPr>
          <w:p>
            <w:pPr>
              <w:pStyle w:val="11"/>
              <w:jc w:val="both"/>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 xml:space="preserve">评标价得分计算公式示例： </w:t>
            </w:r>
          </w:p>
          <w:p>
            <w:pPr>
              <w:pStyle w:val="11"/>
              <w:jc w:val="both"/>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w:t>
            </w:r>
            <w:r>
              <w:rPr>
                <w:rFonts w:ascii="Times New Roman" w:hAnsi="Times New Roman" w:cs="Times New Roman"/>
                <w:color w:val="auto"/>
                <w:sz w:val="21"/>
                <w:szCs w:val="21"/>
                <w:highlight w:val="none"/>
                <w:lang w:val="en-US"/>
              </w:rPr>
              <w:t>1</w:t>
            </w:r>
            <w:r>
              <w:rPr>
                <w:rFonts w:ascii="Times New Roman" w:hAnsi="Times New Roman" w:cs="Times New Roman"/>
                <w:color w:val="auto"/>
                <w:sz w:val="21"/>
                <w:szCs w:val="21"/>
                <w:highlight w:val="none"/>
              </w:rPr>
              <w:t>)如果投标人的评标价&gt;评标基准价，则评标价得分＝</w:t>
            </w:r>
            <w:r>
              <w:rPr>
                <w:rFonts w:ascii="Times New Roman" w:hAnsi="Times New Roman" w:cs="Times New Roman"/>
                <w:color w:val="auto"/>
                <w:sz w:val="21"/>
                <w:szCs w:val="21"/>
                <w:highlight w:val="none"/>
                <w:lang w:val="en-US"/>
              </w:rPr>
              <w:t>50</w:t>
            </w:r>
            <w:r>
              <w:rPr>
                <w:rFonts w:ascii="Times New Roman" w:hAnsi="Times New Roman" w:cs="Times New Roman"/>
                <w:color w:val="auto"/>
                <w:sz w:val="21"/>
                <w:szCs w:val="21"/>
                <w:highlight w:val="none"/>
              </w:rPr>
              <w:t xml:space="preserve">-偏差率×100×D1；D1取1.5； </w:t>
            </w:r>
          </w:p>
          <w:p>
            <w:pPr>
              <w:pStyle w:val="11"/>
              <w:jc w:val="both"/>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w:t>
            </w:r>
            <w:r>
              <w:rPr>
                <w:rFonts w:ascii="Times New Roman" w:hAnsi="Times New Roman" w:cs="Times New Roman"/>
                <w:color w:val="auto"/>
                <w:sz w:val="21"/>
                <w:szCs w:val="21"/>
                <w:highlight w:val="none"/>
                <w:lang w:val="en-US"/>
              </w:rPr>
              <w:t>2</w:t>
            </w:r>
            <w:r>
              <w:rPr>
                <w:rFonts w:ascii="Times New Roman" w:hAnsi="Times New Roman" w:cs="Times New Roman"/>
                <w:color w:val="auto"/>
                <w:sz w:val="21"/>
                <w:szCs w:val="21"/>
                <w:highlight w:val="none"/>
              </w:rPr>
              <w:t>)如果投标人的评标价≤评标基准价，则评标价得分＝</w:t>
            </w:r>
            <w:r>
              <w:rPr>
                <w:rFonts w:ascii="Times New Roman" w:hAnsi="Times New Roman" w:cs="Times New Roman"/>
                <w:color w:val="auto"/>
                <w:sz w:val="21"/>
                <w:szCs w:val="21"/>
                <w:highlight w:val="none"/>
                <w:lang w:val="en-US"/>
              </w:rPr>
              <w:t>50</w:t>
            </w:r>
            <w:r>
              <w:rPr>
                <w:rFonts w:ascii="Times New Roman" w:hAnsi="Times New Roman" w:cs="Times New Roman"/>
                <w:color w:val="auto"/>
                <w:sz w:val="21"/>
                <w:szCs w:val="21"/>
                <w:highlight w:val="none"/>
              </w:rPr>
              <w:t xml:space="preserve">＋偏差率×100×D2；D2＝0.5。 </w:t>
            </w:r>
          </w:p>
          <w:p>
            <w:pPr>
              <w:pStyle w:val="11"/>
              <w:jc w:val="both"/>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 xml:space="preserve">注：评标价得分四舍五入至小数点后四位。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9" w:hRule="atLeast"/>
          <w:jc w:val="center"/>
        </w:trPr>
        <w:tc>
          <w:tcPr>
            <w:tcW w:w="737" w:type="dxa"/>
            <w:vMerge w:val="restart"/>
            <w:vAlign w:val="center"/>
          </w:tcPr>
          <w:p>
            <w:pPr>
              <w:pStyle w:val="11"/>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2.2.4（4）</w:t>
            </w:r>
          </w:p>
          <w:p>
            <w:pPr>
              <w:rPr>
                <w:rFonts w:ascii="Times New Roman" w:hAnsi="Times New Roman" w:cs="Times New Roman"/>
                <w:color w:val="auto"/>
                <w:sz w:val="20"/>
                <w:highlight w:val="none"/>
              </w:rPr>
            </w:pPr>
            <w:r>
              <w:rPr>
                <w:rFonts w:ascii="Times New Roman" w:hAnsi="Times New Roman" w:cs="Times New Roman"/>
                <w:color w:val="auto"/>
                <w:sz w:val="20"/>
                <w:highlight w:val="none"/>
              </w:rPr>
              <w:t xml:space="preserve"> </w:t>
            </w:r>
          </w:p>
        </w:tc>
        <w:tc>
          <w:tcPr>
            <w:tcW w:w="1073" w:type="dxa"/>
            <w:vMerge w:val="restart"/>
            <w:vAlign w:val="center"/>
          </w:tcPr>
          <w:p>
            <w:pPr>
              <w:pStyle w:val="11"/>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其他因素</w:t>
            </w:r>
          </w:p>
          <w:p>
            <w:pPr>
              <w:pStyle w:val="11"/>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w:t>
            </w:r>
            <w:r>
              <w:rPr>
                <w:rFonts w:ascii="Times New Roman" w:hAnsi="Times New Roman" w:cs="Times New Roman"/>
                <w:color w:val="auto"/>
                <w:sz w:val="21"/>
                <w:szCs w:val="21"/>
                <w:highlight w:val="none"/>
                <w:u w:val="single"/>
              </w:rPr>
              <w:t xml:space="preserve"> </w:t>
            </w:r>
            <w:r>
              <w:rPr>
                <w:rFonts w:ascii="Times New Roman" w:hAnsi="Times New Roman" w:cs="Times New Roman"/>
                <w:color w:val="auto"/>
                <w:sz w:val="21"/>
                <w:szCs w:val="21"/>
                <w:highlight w:val="none"/>
                <w:u w:val="single"/>
                <w:lang w:val="en-US"/>
              </w:rPr>
              <w:t xml:space="preserve">30 </w:t>
            </w:r>
            <w:r>
              <w:rPr>
                <w:rFonts w:ascii="Times New Roman" w:hAnsi="Times New Roman" w:cs="Times New Roman"/>
                <w:color w:val="auto"/>
                <w:sz w:val="21"/>
                <w:szCs w:val="21"/>
                <w:highlight w:val="none"/>
              </w:rPr>
              <w:t>分）</w:t>
            </w:r>
          </w:p>
        </w:tc>
        <w:tc>
          <w:tcPr>
            <w:tcW w:w="3402" w:type="dxa"/>
            <w:gridSpan w:val="3"/>
            <w:vAlign w:val="center"/>
          </w:tcPr>
          <w:p>
            <w:pPr>
              <w:pStyle w:val="11"/>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财务能力（</w:t>
            </w:r>
            <w:r>
              <w:rPr>
                <w:rFonts w:ascii="Times New Roman" w:hAnsi="Times New Roman" w:cs="Times New Roman"/>
                <w:color w:val="auto"/>
                <w:sz w:val="21"/>
                <w:szCs w:val="21"/>
                <w:highlight w:val="none"/>
                <w:u w:val="single"/>
                <w:lang w:val="en-US"/>
              </w:rPr>
              <w:t xml:space="preserve"> 5 </w:t>
            </w:r>
            <w:r>
              <w:rPr>
                <w:rFonts w:ascii="Times New Roman" w:hAnsi="Times New Roman" w:cs="Times New Roman"/>
                <w:color w:val="auto"/>
                <w:sz w:val="21"/>
                <w:szCs w:val="21"/>
                <w:highlight w:val="none"/>
              </w:rPr>
              <w:t>分）</w:t>
            </w:r>
          </w:p>
        </w:tc>
        <w:tc>
          <w:tcPr>
            <w:tcW w:w="3970" w:type="dxa"/>
          </w:tcPr>
          <w:p>
            <w:pPr>
              <w:pStyle w:val="11"/>
              <w:jc w:val="both"/>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满足资格条件（财务最低要求）的得基本分</w:t>
            </w:r>
            <w:r>
              <w:rPr>
                <w:rFonts w:ascii="Times New Roman" w:hAnsi="Times New Roman" w:cs="Times New Roman"/>
                <w:color w:val="auto"/>
                <w:sz w:val="21"/>
                <w:szCs w:val="21"/>
                <w:highlight w:val="none"/>
                <w:lang w:val="en-US"/>
              </w:rPr>
              <w:t>3</w:t>
            </w:r>
            <w:r>
              <w:rPr>
                <w:rFonts w:ascii="Times New Roman" w:hAnsi="Times New Roman" w:cs="Times New Roman"/>
                <w:color w:val="auto"/>
                <w:sz w:val="21"/>
                <w:szCs w:val="21"/>
                <w:highlight w:val="none"/>
              </w:rPr>
              <w:t xml:space="preserve">分，在此基础上： </w:t>
            </w:r>
          </w:p>
          <w:p>
            <w:pPr>
              <w:pStyle w:val="11"/>
              <w:jc w:val="both"/>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w:t>
            </w:r>
            <w:r>
              <w:rPr>
                <w:rFonts w:ascii="Times New Roman" w:hAnsi="Times New Roman" w:cs="Times New Roman"/>
                <w:color w:val="auto"/>
                <w:sz w:val="21"/>
                <w:szCs w:val="21"/>
                <w:highlight w:val="none"/>
                <w:lang w:val="en-US"/>
              </w:rPr>
              <w:t>1</w:t>
            </w:r>
            <w:r>
              <w:rPr>
                <w:rFonts w:ascii="Times New Roman" w:hAnsi="Times New Roman"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近一年（2021年），</w:t>
            </w:r>
            <w:r>
              <w:rPr>
                <w:rFonts w:ascii="Times New Roman" w:hAnsi="Times New Roman" w:cs="Times New Roman"/>
                <w:color w:val="auto"/>
                <w:sz w:val="21"/>
                <w:szCs w:val="21"/>
                <w:highlight w:val="none"/>
              </w:rPr>
              <w:t>营运资金每累计增加</w:t>
            </w:r>
            <w:r>
              <w:rPr>
                <w:rFonts w:hint="eastAsia" w:ascii="Times New Roman" w:hAnsi="Times New Roman" w:cs="Times New Roman"/>
                <w:color w:val="auto"/>
                <w:sz w:val="21"/>
                <w:szCs w:val="21"/>
                <w:highlight w:val="none"/>
                <w:u w:val="single"/>
                <w:lang w:val="en-US" w:eastAsia="zh-CN"/>
              </w:rPr>
              <w:t>3</w:t>
            </w:r>
            <w:r>
              <w:rPr>
                <w:rFonts w:ascii="Times New Roman" w:hAnsi="Times New Roman" w:cs="Times New Roman"/>
                <w:color w:val="auto"/>
                <w:sz w:val="21"/>
                <w:szCs w:val="21"/>
                <w:highlight w:val="none"/>
                <w:u w:val="single"/>
                <w:lang w:val="en-US"/>
              </w:rPr>
              <w:t>0000</w:t>
            </w:r>
            <w:r>
              <w:rPr>
                <w:rFonts w:ascii="Times New Roman" w:hAnsi="Times New Roman" w:cs="Times New Roman"/>
                <w:color w:val="auto"/>
                <w:sz w:val="21"/>
                <w:szCs w:val="21"/>
                <w:highlight w:val="none"/>
              </w:rPr>
              <w:t>万元（尾数不计）加</w:t>
            </w:r>
            <w:r>
              <w:rPr>
                <w:rFonts w:ascii="Times New Roman" w:hAnsi="Times New Roman" w:cs="Times New Roman"/>
                <w:color w:val="auto"/>
                <w:sz w:val="21"/>
                <w:szCs w:val="21"/>
                <w:highlight w:val="none"/>
                <w:u w:val="single"/>
                <w:lang w:val="en-US"/>
              </w:rPr>
              <w:t>0.</w:t>
            </w:r>
            <w:r>
              <w:rPr>
                <w:rFonts w:hint="eastAsia" w:ascii="Times New Roman" w:hAnsi="Times New Roman" w:cs="Times New Roman"/>
                <w:color w:val="auto"/>
                <w:sz w:val="21"/>
                <w:szCs w:val="21"/>
                <w:highlight w:val="none"/>
                <w:u w:val="single"/>
                <w:lang w:val="en-US" w:eastAsia="zh-CN"/>
              </w:rPr>
              <w:t>5</w:t>
            </w:r>
            <w:r>
              <w:rPr>
                <w:rFonts w:ascii="Times New Roman" w:hAnsi="Times New Roman" w:cs="Times New Roman"/>
                <w:color w:val="auto"/>
                <w:sz w:val="21"/>
                <w:szCs w:val="21"/>
                <w:highlight w:val="none"/>
              </w:rPr>
              <w:t>分，最高加分不超过</w:t>
            </w:r>
            <w:r>
              <w:rPr>
                <w:rFonts w:ascii="Times New Roman" w:hAnsi="Times New Roman" w:cs="Times New Roman"/>
                <w:color w:val="auto"/>
                <w:sz w:val="21"/>
                <w:szCs w:val="21"/>
                <w:highlight w:val="none"/>
                <w:u w:val="single"/>
                <w:lang w:val="en-US"/>
              </w:rPr>
              <w:t>1</w:t>
            </w:r>
            <w:r>
              <w:rPr>
                <w:rFonts w:ascii="Times New Roman" w:hAnsi="Times New Roman" w:cs="Times New Roman"/>
                <w:color w:val="auto"/>
                <w:sz w:val="21"/>
                <w:szCs w:val="21"/>
                <w:highlight w:val="none"/>
              </w:rPr>
              <w:t xml:space="preserve">分。 </w:t>
            </w:r>
          </w:p>
          <w:p>
            <w:pPr>
              <w:pStyle w:val="11"/>
              <w:jc w:val="both"/>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w:t>
            </w:r>
            <w:r>
              <w:rPr>
                <w:rFonts w:ascii="Times New Roman" w:hAnsi="Times New Roman" w:cs="Times New Roman"/>
                <w:color w:val="auto"/>
                <w:sz w:val="21"/>
                <w:szCs w:val="21"/>
                <w:highlight w:val="none"/>
                <w:lang w:val="en-US"/>
              </w:rPr>
              <w:t>2</w:t>
            </w:r>
            <w:r>
              <w:rPr>
                <w:rFonts w:ascii="Times New Roman" w:hAnsi="Times New Roman" w:cs="Times New Roman"/>
                <w:color w:val="auto"/>
                <w:sz w:val="21"/>
                <w:szCs w:val="21"/>
                <w:highlight w:val="none"/>
              </w:rPr>
              <w:t>)</w:t>
            </w:r>
            <w:r>
              <w:rPr>
                <w:rFonts w:hint="default" w:ascii="Times New Roman" w:hAnsi="Times New Roman" w:eastAsia="宋体" w:cs="Times New Roman"/>
                <w:color w:val="auto"/>
                <w:sz w:val="21"/>
                <w:szCs w:val="21"/>
                <w:highlight w:val="none"/>
              </w:rPr>
              <w:t>最近三年</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2019年至2021年</w:t>
            </w:r>
            <w:r>
              <w:rPr>
                <w:rFonts w:hint="eastAsia" w:ascii="Times New Roman" w:hAnsi="Times New Roman" w:eastAsia="宋体" w:cs="Times New Roman"/>
                <w:color w:val="auto"/>
                <w:sz w:val="21"/>
                <w:szCs w:val="21"/>
                <w:highlight w:val="none"/>
                <w:lang w:eastAsia="zh-CN"/>
              </w:rPr>
              <w:t>）</w:t>
            </w:r>
            <w:r>
              <w:rPr>
                <w:rFonts w:ascii="Times New Roman" w:hAnsi="Times New Roman" w:cs="Times New Roman"/>
                <w:color w:val="auto"/>
                <w:sz w:val="21"/>
                <w:szCs w:val="21"/>
                <w:highlight w:val="none"/>
              </w:rPr>
              <w:t>的</w:t>
            </w:r>
            <w:r>
              <w:rPr>
                <w:rFonts w:hint="eastAsia" w:ascii="Times New Roman" w:hAnsi="Times New Roman" w:cs="Times New Roman"/>
                <w:color w:val="auto"/>
                <w:sz w:val="21"/>
                <w:szCs w:val="21"/>
                <w:highlight w:val="none"/>
                <w:lang w:val="en-US" w:eastAsia="zh-CN"/>
              </w:rPr>
              <w:t>年</w:t>
            </w:r>
            <w:r>
              <w:rPr>
                <w:rFonts w:ascii="Times New Roman" w:hAnsi="Times New Roman" w:cs="Times New Roman"/>
                <w:color w:val="auto"/>
                <w:sz w:val="21"/>
                <w:szCs w:val="21"/>
                <w:highlight w:val="none"/>
              </w:rPr>
              <w:t>平均营业总收入每累计增加</w:t>
            </w:r>
            <w:r>
              <w:rPr>
                <w:rFonts w:hint="eastAsia" w:ascii="Times New Roman" w:hAnsi="Times New Roman" w:cs="Times New Roman"/>
                <w:color w:val="auto"/>
                <w:sz w:val="21"/>
                <w:szCs w:val="21"/>
                <w:highlight w:val="none"/>
                <w:lang w:val="en-US" w:eastAsia="zh-CN"/>
              </w:rPr>
              <w:t>3</w:t>
            </w:r>
            <w:r>
              <w:rPr>
                <w:rFonts w:ascii="Times New Roman" w:hAnsi="Times New Roman" w:cs="Times New Roman"/>
                <w:color w:val="auto"/>
                <w:sz w:val="21"/>
                <w:szCs w:val="21"/>
                <w:highlight w:val="none"/>
                <w:lang w:val="en-US"/>
              </w:rPr>
              <w:t>0000</w:t>
            </w:r>
            <w:r>
              <w:rPr>
                <w:rFonts w:ascii="Times New Roman" w:hAnsi="Times New Roman" w:cs="Times New Roman"/>
                <w:color w:val="auto"/>
                <w:sz w:val="21"/>
                <w:szCs w:val="21"/>
                <w:highlight w:val="none"/>
              </w:rPr>
              <w:t>万元（尾数不计）加</w:t>
            </w:r>
            <w:r>
              <w:rPr>
                <w:rFonts w:ascii="Times New Roman" w:hAnsi="Times New Roman" w:cs="Times New Roman"/>
                <w:color w:val="auto"/>
                <w:sz w:val="21"/>
                <w:szCs w:val="21"/>
                <w:highlight w:val="none"/>
                <w:lang w:val="en-US"/>
              </w:rPr>
              <w:t>0.2</w:t>
            </w:r>
            <w:r>
              <w:rPr>
                <w:rFonts w:ascii="Times New Roman" w:hAnsi="Times New Roman" w:cs="Times New Roman"/>
                <w:color w:val="auto"/>
                <w:sz w:val="21"/>
                <w:szCs w:val="21"/>
                <w:highlight w:val="none"/>
              </w:rPr>
              <w:t>分，最高加分不超过</w:t>
            </w:r>
            <w:r>
              <w:rPr>
                <w:rFonts w:ascii="Times New Roman" w:hAnsi="Times New Roman" w:cs="Times New Roman"/>
                <w:color w:val="auto"/>
                <w:sz w:val="21"/>
                <w:szCs w:val="21"/>
                <w:highlight w:val="none"/>
                <w:lang w:val="en-US"/>
              </w:rPr>
              <w:t>1</w:t>
            </w:r>
            <w:r>
              <w:rPr>
                <w:rFonts w:ascii="Times New Roman" w:hAnsi="Times New Roman" w:cs="Times New Roman"/>
                <w:color w:val="auto"/>
                <w:sz w:val="21"/>
                <w:szCs w:val="21"/>
                <w:highlight w:val="none"/>
              </w:rPr>
              <w:t xml:space="preserve">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9" w:hRule="atLeast"/>
          <w:jc w:val="center"/>
        </w:trPr>
        <w:tc>
          <w:tcPr>
            <w:tcW w:w="737" w:type="dxa"/>
            <w:vMerge w:val="continue"/>
          </w:tcPr>
          <w:p>
            <w:pPr>
              <w:pStyle w:val="11"/>
              <w:jc w:val="center"/>
              <w:rPr>
                <w:rFonts w:ascii="Times New Roman" w:hAnsi="Times New Roman" w:cs="Times New Roman"/>
                <w:color w:val="auto"/>
                <w:sz w:val="21"/>
                <w:szCs w:val="21"/>
                <w:highlight w:val="none"/>
              </w:rPr>
            </w:pPr>
          </w:p>
        </w:tc>
        <w:tc>
          <w:tcPr>
            <w:tcW w:w="1073" w:type="dxa"/>
            <w:vMerge w:val="continue"/>
          </w:tcPr>
          <w:p>
            <w:pPr>
              <w:pStyle w:val="11"/>
              <w:jc w:val="center"/>
              <w:rPr>
                <w:rFonts w:ascii="Times New Roman" w:hAnsi="Times New Roman" w:cs="Times New Roman"/>
                <w:color w:val="auto"/>
                <w:sz w:val="21"/>
                <w:szCs w:val="21"/>
                <w:highlight w:val="none"/>
              </w:rPr>
            </w:pPr>
          </w:p>
        </w:tc>
        <w:tc>
          <w:tcPr>
            <w:tcW w:w="3402" w:type="dxa"/>
            <w:gridSpan w:val="3"/>
            <w:vAlign w:val="center"/>
          </w:tcPr>
          <w:p>
            <w:pPr>
              <w:pStyle w:val="11"/>
              <w:jc w:val="center"/>
              <w:rPr>
                <w:rFonts w:ascii="Times New Roman" w:hAnsi="Times New Roman" w:cs="Times New Roman"/>
                <w:color w:val="auto"/>
                <w:sz w:val="21"/>
                <w:szCs w:val="21"/>
                <w:highlight w:val="none"/>
              </w:rPr>
            </w:pPr>
          </w:p>
          <w:p>
            <w:pPr>
              <w:pStyle w:val="11"/>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类似项目业绩（</w:t>
            </w:r>
            <w:r>
              <w:rPr>
                <w:rFonts w:ascii="Times New Roman" w:hAnsi="Times New Roman" w:cs="Times New Roman"/>
                <w:color w:val="auto"/>
                <w:sz w:val="21"/>
                <w:szCs w:val="21"/>
                <w:highlight w:val="none"/>
                <w:u w:val="single"/>
                <w:lang w:val="en-US"/>
              </w:rPr>
              <w:t xml:space="preserve"> 5 </w:t>
            </w:r>
            <w:r>
              <w:rPr>
                <w:rFonts w:ascii="Times New Roman" w:hAnsi="Times New Roman" w:cs="Times New Roman"/>
                <w:color w:val="auto"/>
                <w:sz w:val="21"/>
                <w:szCs w:val="21"/>
                <w:highlight w:val="none"/>
              </w:rPr>
              <w:t>分）</w:t>
            </w:r>
          </w:p>
        </w:tc>
        <w:tc>
          <w:tcPr>
            <w:tcW w:w="3970" w:type="dxa"/>
          </w:tcPr>
          <w:p>
            <w:pPr>
              <w:pStyle w:val="11"/>
              <w:jc w:val="both"/>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 xml:space="preserve">满足资格条件（业绩最低要求）的得基本分 </w:t>
            </w:r>
            <w:r>
              <w:rPr>
                <w:rFonts w:hint="eastAsia" w:ascii="Times New Roman" w:hAnsi="Times New Roman" w:cs="Times New Roman"/>
                <w:color w:val="auto"/>
                <w:sz w:val="21"/>
                <w:szCs w:val="21"/>
                <w:highlight w:val="none"/>
                <w:lang w:val="en-US"/>
              </w:rPr>
              <w:t>3</w:t>
            </w:r>
            <w:r>
              <w:rPr>
                <w:rFonts w:ascii="Times New Roman" w:hAnsi="Times New Roman" w:cs="Times New Roman"/>
                <w:color w:val="auto"/>
                <w:sz w:val="21"/>
                <w:szCs w:val="21"/>
                <w:highlight w:val="none"/>
              </w:rPr>
              <w:t xml:space="preserve">分，在此基础上： </w:t>
            </w:r>
          </w:p>
          <w:p>
            <w:pPr>
              <w:pStyle w:val="11"/>
              <w:numPr>
                <w:ilvl w:val="0"/>
                <w:numId w:val="1"/>
              </w:numPr>
              <w:jc w:val="both"/>
              <w:rPr>
                <w:rFonts w:hint="eastAsia" w:ascii="Times New Roman" w:hAnsi="Times New Roman" w:cs="Times New Roman"/>
                <w:color w:val="auto"/>
                <w:sz w:val="21"/>
                <w:szCs w:val="21"/>
                <w:highlight w:val="none"/>
              </w:rPr>
            </w:pPr>
            <w:r>
              <w:rPr>
                <w:rFonts w:hint="eastAsia" w:ascii="Times New Roman" w:hAnsi="Times New Roman" w:cs="Times New Roman" w:eastAsiaTheme="minorEastAsia"/>
                <w:color w:val="auto"/>
                <w:sz w:val="21"/>
                <w:szCs w:val="21"/>
                <w:highlight w:val="none"/>
              </w:rPr>
              <w:t>每累计增加20公里（尾数不计）的四级（或以上等级）的新建、改建、扩建公路工程（同时含路基、路面）的施工项目业绩加0</w:t>
            </w:r>
            <w:r>
              <w:rPr>
                <w:rFonts w:ascii="Times New Roman" w:hAnsi="Times New Roman" w:cs="Times New Roman" w:eastAsiaTheme="minorEastAsia"/>
                <w:color w:val="auto"/>
                <w:sz w:val="21"/>
                <w:szCs w:val="21"/>
                <w:highlight w:val="none"/>
              </w:rPr>
              <w:t>.4</w:t>
            </w:r>
            <w:r>
              <w:rPr>
                <w:rFonts w:hint="eastAsia" w:ascii="Times New Roman" w:hAnsi="Times New Roman" w:cs="Times New Roman" w:eastAsiaTheme="minorEastAsia"/>
                <w:color w:val="auto"/>
                <w:sz w:val="21"/>
                <w:szCs w:val="21"/>
                <w:highlight w:val="none"/>
              </w:rPr>
              <w:t>分，最高加</w:t>
            </w:r>
            <w:r>
              <w:rPr>
                <w:rFonts w:hint="eastAsia" w:ascii="Times New Roman" w:hAnsi="Times New Roman" w:cs="Times New Roman" w:eastAsiaTheme="minorEastAsia"/>
                <w:color w:val="auto"/>
                <w:sz w:val="21"/>
                <w:szCs w:val="21"/>
                <w:highlight w:val="none"/>
                <w:lang w:val="en-US" w:eastAsia="zh-CN"/>
              </w:rPr>
              <w:t>1.2</w:t>
            </w:r>
            <w:r>
              <w:rPr>
                <w:rFonts w:hint="eastAsia" w:ascii="Times New Roman" w:hAnsi="Times New Roman" w:cs="Times New Roman" w:eastAsiaTheme="minorEastAsia"/>
                <w:color w:val="auto"/>
                <w:sz w:val="21"/>
                <w:szCs w:val="21"/>
                <w:highlight w:val="none"/>
              </w:rPr>
              <w:t>分</w:t>
            </w:r>
            <w:r>
              <w:rPr>
                <w:rFonts w:hint="eastAsia" w:ascii="Times New Roman" w:hAnsi="Times New Roman" w:cs="Times New Roman"/>
                <w:color w:val="auto"/>
                <w:sz w:val="21"/>
                <w:szCs w:val="21"/>
                <w:highlight w:val="none"/>
              </w:rPr>
              <w:t>。</w:t>
            </w:r>
          </w:p>
          <w:p>
            <w:pPr>
              <w:pStyle w:val="11"/>
              <w:numPr>
                <w:ilvl w:val="0"/>
                <w:numId w:val="1"/>
              </w:numPr>
              <w:jc w:val="both"/>
              <w:rPr>
                <w:rFonts w:hint="eastAsia" w:ascii="Times New Roman" w:hAnsi="Times New Roman" w:cs="Times New Roman"/>
                <w:color w:val="auto"/>
                <w:sz w:val="21"/>
                <w:szCs w:val="21"/>
                <w:highlight w:val="none"/>
                <w:lang w:val="en-US"/>
              </w:rPr>
            </w:pPr>
            <w:r>
              <w:rPr>
                <w:rFonts w:hint="eastAsia" w:ascii="Times New Roman" w:hAnsi="Times New Roman" w:cs="Times New Roman"/>
                <w:color w:val="auto"/>
                <w:sz w:val="21"/>
                <w:szCs w:val="21"/>
                <w:highlight w:val="none"/>
              </w:rPr>
              <w:t>每累计增加20公里（尾数不计）的四级（或以上等级）的新建、改建、扩建公路工程（同时含路基、路面）的勘察设计项目业绩加0</w:t>
            </w:r>
            <w:r>
              <w:rPr>
                <w:rFonts w:ascii="Times New Roman" w:hAnsi="Times New Roman" w:cs="Times New Roman"/>
                <w:color w:val="auto"/>
                <w:sz w:val="21"/>
                <w:szCs w:val="21"/>
                <w:highlight w:val="none"/>
              </w:rPr>
              <w:t>.4</w:t>
            </w:r>
            <w:r>
              <w:rPr>
                <w:rFonts w:hint="eastAsia" w:ascii="Times New Roman" w:hAnsi="Times New Roman" w:cs="Times New Roman"/>
                <w:color w:val="auto"/>
                <w:sz w:val="21"/>
                <w:szCs w:val="21"/>
                <w:highlight w:val="none"/>
              </w:rPr>
              <w:t>分，最高加</w:t>
            </w:r>
            <w:r>
              <w:rPr>
                <w:rFonts w:ascii="Times New Roman" w:hAnsi="Times New Roman" w:cs="Times New Roman"/>
                <w:color w:val="auto"/>
                <w:sz w:val="21"/>
                <w:szCs w:val="21"/>
                <w:highlight w:val="none"/>
              </w:rPr>
              <w:t>0.8</w:t>
            </w:r>
            <w:r>
              <w:rPr>
                <w:rFonts w:hint="eastAsia" w:ascii="Times New Roman" w:hAnsi="Times New Roman" w:cs="Times New Roman"/>
                <w:color w:val="auto"/>
                <w:sz w:val="21"/>
                <w:szCs w:val="21"/>
                <w:highlight w:val="none"/>
              </w:rPr>
              <w:t>分。</w:t>
            </w:r>
          </w:p>
          <w:p>
            <w:pPr>
              <w:pStyle w:val="11"/>
              <w:numPr>
                <w:ilvl w:val="0"/>
                <w:numId w:val="0"/>
              </w:numPr>
              <w:jc w:val="both"/>
              <w:rPr>
                <w:rFonts w:hint="eastAsia" w:ascii="Times New Roman" w:hAnsi="Times New Roman" w:cs="Times New Roman"/>
                <w:color w:val="auto"/>
                <w:sz w:val="21"/>
                <w:szCs w:val="21"/>
                <w:highlight w:val="none"/>
                <w:lang w:val="en-US"/>
              </w:rPr>
            </w:pPr>
            <w:r>
              <w:rPr>
                <w:rFonts w:hint="eastAsia" w:ascii="Times New Roman" w:hAnsi="Times New Roman" w:cs="Times New Roman"/>
                <w:color w:val="auto"/>
                <w:sz w:val="21"/>
                <w:szCs w:val="21"/>
                <w:highlight w:val="none"/>
                <w:lang w:val="en-US" w:eastAsia="zh-CN"/>
              </w:rPr>
              <w:t>注：</w:t>
            </w:r>
            <w:r>
              <w:rPr>
                <w:rFonts w:hint="eastAsia" w:ascii="Times New Roman" w:hAnsi="Times New Roman" w:cs="Times New Roman"/>
                <w:color w:val="auto"/>
                <w:sz w:val="21"/>
                <w:szCs w:val="21"/>
                <w:highlight w:val="none"/>
                <w:lang w:val="en-US"/>
              </w:rPr>
              <w:t>设计业绩认定时间以施工图设计批复时间为准，施工业绩认定时间以交工验收时间为准（无交工验收的，以一次性竣工验收时间为准）。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9" w:hRule="atLeast"/>
          <w:jc w:val="center"/>
        </w:trPr>
        <w:tc>
          <w:tcPr>
            <w:tcW w:w="737" w:type="dxa"/>
            <w:vMerge w:val="continue"/>
          </w:tcPr>
          <w:p>
            <w:pPr>
              <w:pStyle w:val="11"/>
              <w:jc w:val="center"/>
              <w:rPr>
                <w:rFonts w:ascii="Times New Roman" w:hAnsi="Times New Roman" w:cs="Times New Roman"/>
                <w:color w:val="auto"/>
                <w:sz w:val="21"/>
                <w:szCs w:val="21"/>
                <w:highlight w:val="none"/>
              </w:rPr>
            </w:pPr>
          </w:p>
        </w:tc>
        <w:tc>
          <w:tcPr>
            <w:tcW w:w="1073" w:type="dxa"/>
            <w:vMerge w:val="continue"/>
          </w:tcPr>
          <w:p>
            <w:pPr>
              <w:pStyle w:val="11"/>
              <w:jc w:val="center"/>
              <w:rPr>
                <w:rFonts w:ascii="Times New Roman" w:hAnsi="Times New Roman" w:cs="Times New Roman"/>
                <w:color w:val="auto"/>
                <w:sz w:val="21"/>
                <w:szCs w:val="21"/>
                <w:highlight w:val="none"/>
              </w:rPr>
            </w:pPr>
          </w:p>
        </w:tc>
        <w:tc>
          <w:tcPr>
            <w:tcW w:w="3402" w:type="dxa"/>
            <w:gridSpan w:val="3"/>
            <w:vAlign w:val="center"/>
          </w:tcPr>
          <w:p>
            <w:pPr>
              <w:pStyle w:val="11"/>
              <w:jc w:val="center"/>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技术能力（1</w:t>
            </w:r>
            <w:r>
              <w:rPr>
                <w:rFonts w:ascii="Times New Roman" w:hAnsi="Times New Roman" w:cs="Times New Roman"/>
                <w:color w:val="auto"/>
                <w:sz w:val="21"/>
                <w:szCs w:val="21"/>
                <w:highlight w:val="none"/>
              </w:rPr>
              <w:t>0</w:t>
            </w:r>
            <w:r>
              <w:rPr>
                <w:rFonts w:hint="eastAsia" w:ascii="Times New Roman" w:hAnsi="Times New Roman" w:cs="Times New Roman"/>
                <w:color w:val="auto"/>
                <w:sz w:val="21"/>
                <w:szCs w:val="21"/>
                <w:highlight w:val="none"/>
              </w:rPr>
              <w:t>分）</w:t>
            </w:r>
          </w:p>
        </w:tc>
        <w:tc>
          <w:tcPr>
            <w:tcW w:w="3970" w:type="dxa"/>
          </w:tcPr>
          <w:p>
            <w:pPr>
              <w:spacing w:line="240" w:lineRule="exact"/>
              <w:jc w:val="both"/>
              <w:rPr>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自2</w:t>
            </w:r>
            <w:r>
              <w:rPr>
                <w:color w:val="auto"/>
                <w:highlight w:val="none"/>
              </w:rPr>
              <w:t>019</w:t>
            </w:r>
            <w:r>
              <w:rPr>
                <w:rFonts w:hint="eastAsia"/>
                <w:color w:val="auto"/>
                <w:highlight w:val="none"/>
              </w:rPr>
              <w:t>年1月1日以来，投标人参与过的公路工程项目获得过国家级奖项公路交通优质工程（李春奖）的，每个得1</w:t>
            </w:r>
            <w:r>
              <w:rPr>
                <w:color w:val="auto"/>
                <w:highlight w:val="none"/>
              </w:rPr>
              <w:t>.5</w:t>
            </w:r>
            <w:r>
              <w:rPr>
                <w:rFonts w:hint="eastAsia"/>
                <w:color w:val="auto"/>
                <w:highlight w:val="none"/>
              </w:rPr>
              <w:t>分，最多得6分</w:t>
            </w:r>
            <w:r>
              <w:rPr>
                <w:rFonts w:hint="eastAsia"/>
                <w:color w:val="auto"/>
                <w:highlight w:val="none"/>
                <w:lang w:eastAsia="zh-CN"/>
              </w:rPr>
              <w:t>（</w:t>
            </w:r>
            <w:r>
              <w:rPr>
                <w:rFonts w:hint="eastAsia"/>
                <w:color w:val="auto"/>
                <w:highlight w:val="none"/>
                <w:lang w:val="en-US" w:eastAsia="zh-CN"/>
              </w:rPr>
              <w:t>如为联合体投标，本小项加分以施工方为准</w:t>
            </w:r>
            <w:r>
              <w:rPr>
                <w:rFonts w:hint="eastAsia"/>
                <w:color w:val="auto"/>
                <w:highlight w:val="none"/>
                <w:lang w:eastAsia="zh-CN"/>
              </w:rPr>
              <w:t>）</w:t>
            </w:r>
            <w:r>
              <w:rPr>
                <w:rFonts w:hint="eastAsia"/>
                <w:color w:val="auto"/>
                <w:highlight w:val="none"/>
              </w:rPr>
              <w:t>。</w:t>
            </w:r>
          </w:p>
          <w:p>
            <w:pPr>
              <w:spacing w:line="240" w:lineRule="exact"/>
              <w:jc w:val="both"/>
              <w:rPr>
                <w:rFonts w:hint="eastAsia"/>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自</w:t>
            </w:r>
            <w:r>
              <w:rPr>
                <w:color w:val="auto"/>
                <w:highlight w:val="none"/>
              </w:rPr>
              <w:t>2019</w:t>
            </w:r>
            <w:r>
              <w:rPr>
                <w:rFonts w:hint="eastAsia"/>
                <w:color w:val="auto"/>
                <w:highlight w:val="none"/>
              </w:rPr>
              <w:t>年</w:t>
            </w:r>
            <w:r>
              <w:rPr>
                <w:color w:val="auto"/>
                <w:highlight w:val="none"/>
              </w:rPr>
              <w:t>1</w:t>
            </w:r>
            <w:r>
              <w:rPr>
                <w:rFonts w:hint="eastAsia"/>
                <w:color w:val="auto"/>
                <w:highlight w:val="none"/>
              </w:rPr>
              <w:t>月</w:t>
            </w:r>
            <w:r>
              <w:rPr>
                <w:color w:val="auto"/>
                <w:highlight w:val="none"/>
              </w:rPr>
              <w:t>1</w:t>
            </w:r>
            <w:r>
              <w:rPr>
                <w:rFonts w:hint="eastAsia"/>
                <w:color w:val="auto"/>
                <w:highlight w:val="none"/>
              </w:rPr>
              <w:t>日以来，投标人参与过的公路工程获得过国家级奖项（如詹天佑奖、鲁班奖、国家优质工程奖）</w:t>
            </w:r>
            <w:r>
              <w:rPr>
                <w:rFonts w:hint="eastAsia"/>
                <w:color w:val="auto"/>
                <w:highlight w:val="none"/>
                <w:lang w:eastAsia="zh-CN"/>
              </w:rPr>
              <w:t>，</w:t>
            </w:r>
            <w:r>
              <w:rPr>
                <w:rFonts w:hint="eastAsia"/>
                <w:color w:val="auto"/>
                <w:highlight w:val="none"/>
              </w:rPr>
              <w:t>每个得</w:t>
            </w:r>
            <w:r>
              <w:rPr>
                <w:rFonts w:hint="eastAsia"/>
                <w:color w:val="auto"/>
                <w:highlight w:val="none"/>
                <w:lang w:val="en-US" w:eastAsia="zh-CN"/>
              </w:rPr>
              <w:t>0.75</w:t>
            </w:r>
            <w:r>
              <w:rPr>
                <w:rFonts w:hint="eastAsia"/>
                <w:color w:val="auto"/>
                <w:highlight w:val="none"/>
              </w:rPr>
              <w:t>分，最多得</w:t>
            </w:r>
            <w:r>
              <w:rPr>
                <w:rFonts w:hint="eastAsia"/>
                <w:color w:val="auto"/>
                <w:highlight w:val="none"/>
                <w:lang w:val="en-US" w:eastAsia="zh-CN"/>
              </w:rPr>
              <w:t>3</w:t>
            </w:r>
            <w:r>
              <w:rPr>
                <w:rFonts w:hint="eastAsia"/>
                <w:color w:val="auto"/>
                <w:highlight w:val="none"/>
              </w:rPr>
              <w:t>分</w:t>
            </w:r>
            <w:r>
              <w:rPr>
                <w:rFonts w:hint="eastAsia"/>
                <w:color w:val="auto"/>
                <w:highlight w:val="none"/>
                <w:lang w:eastAsia="zh-CN"/>
              </w:rPr>
              <w:t>（</w:t>
            </w:r>
            <w:r>
              <w:rPr>
                <w:rFonts w:hint="eastAsia"/>
                <w:color w:val="auto"/>
                <w:highlight w:val="none"/>
                <w:lang w:val="en-US" w:eastAsia="zh-CN"/>
              </w:rPr>
              <w:t>如为联合体投标，本小项加分以施工方为准</w:t>
            </w:r>
            <w:r>
              <w:rPr>
                <w:rFonts w:hint="eastAsia"/>
                <w:color w:val="auto"/>
                <w:highlight w:val="none"/>
                <w:lang w:eastAsia="zh-CN"/>
              </w:rPr>
              <w:t>）</w:t>
            </w:r>
            <w:r>
              <w:rPr>
                <w:rFonts w:hint="eastAsia"/>
                <w:color w:val="auto"/>
                <w:highlight w:val="none"/>
              </w:rPr>
              <w:t>。</w:t>
            </w:r>
          </w:p>
          <w:p>
            <w:pPr>
              <w:spacing w:line="240" w:lineRule="exact"/>
              <w:jc w:val="both"/>
              <w:rPr>
                <w:rFonts w:hint="eastAsia"/>
                <w:color w:val="auto"/>
                <w:highlight w:val="none"/>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rPr>
              <w:t>自</w:t>
            </w:r>
            <w:r>
              <w:rPr>
                <w:color w:val="auto"/>
                <w:highlight w:val="none"/>
              </w:rPr>
              <w:t>2019</w:t>
            </w:r>
            <w:r>
              <w:rPr>
                <w:rFonts w:hint="eastAsia"/>
                <w:color w:val="auto"/>
                <w:highlight w:val="none"/>
              </w:rPr>
              <w:t>年</w:t>
            </w:r>
            <w:r>
              <w:rPr>
                <w:color w:val="auto"/>
                <w:highlight w:val="none"/>
              </w:rPr>
              <w:t>1</w:t>
            </w:r>
            <w:r>
              <w:rPr>
                <w:rFonts w:hint="eastAsia"/>
                <w:color w:val="auto"/>
                <w:highlight w:val="none"/>
              </w:rPr>
              <w:t>月</w:t>
            </w:r>
            <w:r>
              <w:rPr>
                <w:color w:val="auto"/>
                <w:highlight w:val="none"/>
              </w:rPr>
              <w:t>1</w:t>
            </w:r>
            <w:r>
              <w:rPr>
                <w:rFonts w:hint="eastAsia"/>
                <w:color w:val="auto"/>
                <w:highlight w:val="none"/>
              </w:rPr>
              <w:t>日以来，投标人参与过的公路工程获得省级以上（含省级）优秀工程勘察设计一等奖的，每个得</w:t>
            </w:r>
            <w:r>
              <w:rPr>
                <w:color w:val="auto"/>
                <w:highlight w:val="none"/>
              </w:rPr>
              <w:t>1</w:t>
            </w:r>
            <w:r>
              <w:rPr>
                <w:rFonts w:hint="eastAsia"/>
                <w:color w:val="auto"/>
                <w:highlight w:val="none"/>
              </w:rPr>
              <w:t>分，最多得</w:t>
            </w:r>
            <w:r>
              <w:rPr>
                <w:color w:val="auto"/>
                <w:highlight w:val="none"/>
              </w:rPr>
              <w:t>1</w:t>
            </w:r>
            <w:r>
              <w:rPr>
                <w:rFonts w:hint="eastAsia"/>
                <w:color w:val="auto"/>
                <w:highlight w:val="none"/>
              </w:rPr>
              <w:t>分</w:t>
            </w:r>
            <w:r>
              <w:rPr>
                <w:rFonts w:hint="eastAsia"/>
                <w:color w:val="auto"/>
                <w:highlight w:val="none"/>
                <w:lang w:eastAsia="zh-CN"/>
              </w:rPr>
              <w:t>（</w:t>
            </w:r>
            <w:r>
              <w:rPr>
                <w:rFonts w:hint="eastAsia"/>
                <w:color w:val="auto"/>
                <w:highlight w:val="none"/>
                <w:lang w:val="en-US" w:eastAsia="zh-CN"/>
              </w:rPr>
              <w:t>如为联合体投标，本小项加分以设计方为准</w:t>
            </w:r>
            <w:r>
              <w:rPr>
                <w:rFonts w:hint="eastAsia"/>
                <w:color w:val="auto"/>
                <w:highlight w:val="none"/>
                <w:lang w:eastAsia="zh-CN"/>
              </w:rPr>
              <w:t>）</w:t>
            </w:r>
            <w:r>
              <w:rPr>
                <w:rFonts w:hint="eastAsia"/>
                <w:color w:val="auto"/>
                <w:highlight w:val="none"/>
              </w:rPr>
              <w:t>。</w:t>
            </w:r>
          </w:p>
          <w:p>
            <w:pPr>
              <w:spacing w:line="240" w:lineRule="exact"/>
              <w:jc w:val="both"/>
              <w:rPr>
                <w:color w:val="auto"/>
                <w:highlight w:val="none"/>
              </w:rPr>
            </w:pPr>
            <w:r>
              <w:rPr>
                <w:rFonts w:hint="eastAsia"/>
                <w:color w:val="auto"/>
                <w:highlight w:val="none"/>
              </w:rPr>
              <w:t xml:space="preserve">本项最高得10分。 </w:t>
            </w:r>
          </w:p>
          <w:p>
            <w:pPr>
              <w:spacing w:line="240" w:lineRule="exact"/>
              <w:jc w:val="both"/>
              <w:rPr>
                <w:rFonts w:hint="eastAsia"/>
                <w:color w:val="auto"/>
                <w:highlight w:val="none"/>
              </w:rPr>
            </w:pPr>
            <w:r>
              <w:rPr>
                <w:rFonts w:hint="eastAsia"/>
                <w:color w:val="auto"/>
                <w:highlight w:val="none"/>
              </w:rPr>
              <w:t>注：（1）时间以获奖文件或获奖证书的时间为准。</w:t>
            </w:r>
          </w:p>
          <w:p>
            <w:pPr>
              <w:spacing w:line="240" w:lineRule="exact"/>
              <w:jc w:val="both"/>
              <w:rPr>
                <w:rFonts w:hint="eastAsia"/>
                <w:color w:val="auto"/>
                <w:highlight w:val="none"/>
              </w:rPr>
            </w:pPr>
            <w:r>
              <w:rPr>
                <w:rFonts w:hint="eastAsia"/>
                <w:color w:val="auto"/>
                <w:highlight w:val="none"/>
              </w:rPr>
              <w:t>提供获奖文件或获奖证书复印件。</w:t>
            </w:r>
          </w:p>
          <w:p>
            <w:pPr>
              <w:spacing w:line="240" w:lineRule="exact"/>
              <w:jc w:val="both"/>
              <w:rPr>
                <w:color w:val="auto"/>
                <w:highlight w:val="none"/>
              </w:rPr>
            </w:pPr>
            <w:r>
              <w:rPr>
                <w:rFonts w:hint="eastAsia"/>
                <w:color w:val="auto"/>
                <w:highlight w:val="none"/>
              </w:rPr>
              <w:t>（3）“优秀工程勘察设计奖指”各级住房和城乡建设主管部门或省级以上(含省级）工程勘察设计协会评定的优秀工程勘察设计奖项。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9" w:hRule="atLeast"/>
          <w:jc w:val="center"/>
        </w:trPr>
        <w:tc>
          <w:tcPr>
            <w:tcW w:w="737" w:type="dxa"/>
            <w:vMerge w:val="continue"/>
          </w:tcPr>
          <w:p>
            <w:pPr>
              <w:rPr>
                <w:rFonts w:ascii="Times New Roman" w:hAnsi="Times New Roman" w:cs="Times New Roman"/>
                <w:color w:val="auto"/>
                <w:sz w:val="20"/>
                <w:highlight w:val="none"/>
              </w:rPr>
            </w:pPr>
          </w:p>
        </w:tc>
        <w:tc>
          <w:tcPr>
            <w:tcW w:w="1073" w:type="dxa"/>
            <w:vMerge w:val="continue"/>
            <w:vAlign w:val="center"/>
          </w:tcPr>
          <w:p>
            <w:pPr>
              <w:jc w:val="center"/>
              <w:rPr>
                <w:rFonts w:ascii="Times New Roman" w:hAnsi="Times New Roman" w:cs="Times New Roman"/>
                <w:color w:val="auto"/>
                <w:sz w:val="20"/>
                <w:highlight w:val="none"/>
              </w:rPr>
            </w:pPr>
          </w:p>
        </w:tc>
        <w:tc>
          <w:tcPr>
            <w:tcW w:w="3402" w:type="dxa"/>
            <w:gridSpan w:val="3"/>
            <w:vAlign w:val="center"/>
          </w:tcPr>
          <w:p>
            <w:pPr>
              <w:pStyle w:val="11"/>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履约信誉（10 分）</w:t>
            </w:r>
          </w:p>
        </w:tc>
        <w:tc>
          <w:tcPr>
            <w:tcW w:w="3970" w:type="dxa"/>
          </w:tcPr>
          <w:p>
            <w:pPr>
              <w:pStyle w:val="11"/>
              <w:jc w:val="both"/>
              <w:rPr>
                <w:rFonts w:ascii="Times New Roman" w:hAnsi="Times New Roman" w:cs="Times New Roman"/>
                <w:color w:val="auto"/>
                <w:sz w:val="21"/>
                <w:szCs w:val="21"/>
                <w:highlight w:val="none"/>
                <w:lang w:val="en-US"/>
              </w:rPr>
            </w:pPr>
            <w:r>
              <w:rPr>
                <w:rFonts w:ascii="Times New Roman" w:hAnsi="Times New Roman" w:cs="Times New Roman"/>
                <w:color w:val="auto"/>
                <w:sz w:val="21"/>
                <w:szCs w:val="21"/>
                <w:highlight w:val="none"/>
                <w:lang w:val="en-US"/>
              </w:rPr>
              <w:t>1、信用等级分值（5分）</w:t>
            </w:r>
          </w:p>
          <w:p>
            <w:pPr>
              <w:pStyle w:val="11"/>
              <w:jc w:val="both"/>
              <w:rPr>
                <w:rFonts w:ascii="Times New Roman" w:hAnsi="Times New Roman" w:cs="Times New Roman"/>
                <w:color w:val="auto"/>
                <w:sz w:val="21"/>
                <w:szCs w:val="21"/>
                <w:highlight w:val="none"/>
                <w:lang w:val="en-US"/>
              </w:rPr>
            </w:pPr>
            <w:r>
              <w:rPr>
                <w:rFonts w:ascii="Times New Roman" w:hAnsi="Times New Roman" w:cs="Times New Roman"/>
                <w:color w:val="auto"/>
                <w:sz w:val="21"/>
                <w:szCs w:val="21"/>
                <w:highlight w:val="none"/>
                <w:lang w:val="en-US"/>
              </w:rPr>
              <w:t>AA、A、B、C级单位的信用等级分得分分别为5、4.75、4.45、3.65分。</w:t>
            </w:r>
          </w:p>
          <w:p>
            <w:pPr>
              <w:pStyle w:val="11"/>
              <w:jc w:val="both"/>
              <w:rPr>
                <w:rFonts w:ascii="Times New Roman" w:hAnsi="Times New Roman" w:cs="Times New Roman"/>
                <w:color w:val="auto"/>
                <w:sz w:val="21"/>
                <w:szCs w:val="21"/>
                <w:highlight w:val="none"/>
                <w:lang w:val="en-US"/>
              </w:rPr>
            </w:pPr>
            <w:r>
              <w:rPr>
                <w:rFonts w:ascii="Times New Roman" w:hAnsi="Times New Roman" w:cs="Times New Roman"/>
                <w:color w:val="auto"/>
                <w:sz w:val="21"/>
                <w:szCs w:val="21"/>
                <w:highlight w:val="none"/>
                <w:lang w:val="en-US"/>
              </w:rPr>
              <w:t>注：信用等级的认定原则详见第二章投标人须知第9.17款。</w:t>
            </w:r>
          </w:p>
          <w:p>
            <w:pPr>
              <w:pStyle w:val="11"/>
              <w:jc w:val="both"/>
              <w:rPr>
                <w:rFonts w:ascii="Times New Roman" w:hAnsi="Times New Roman" w:cs="Times New Roman"/>
                <w:color w:val="auto"/>
                <w:sz w:val="21"/>
                <w:szCs w:val="21"/>
                <w:highlight w:val="none"/>
                <w:lang w:val="en-US"/>
              </w:rPr>
            </w:pPr>
          </w:p>
          <w:p>
            <w:pPr>
              <w:pStyle w:val="11"/>
              <w:jc w:val="both"/>
              <w:rPr>
                <w:rFonts w:ascii="Times New Roman" w:hAnsi="Times New Roman" w:cs="Times New Roman"/>
                <w:color w:val="auto"/>
                <w:sz w:val="21"/>
                <w:szCs w:val="21"/>
                <w:highlight w:val="none"/>
                <w:lang w:val="en-US"/>
              </w:rPr>
            </w:pPr>
            <w:r>
              <w:rPr>
                <w:rFonts w:hint="eastAsia" w:ascii="Times New Roman" w:hAnsi="Times New Roman" w:cs="Times New Roman"/>
                <w:color w:val="auto"/>
                <w:sz w:val="21"/>
                <w:szCs w:val="21"/>
                <w:highlight w:val="none"/>
                <w:lang w:val="en-US"/>
              </w:rPr>
              <w:t>2</w:t>
            </w:r>
            <w:r>
              <w:rPr>
                <w:rFonts w:ascii="Times New Roman" w:hAnsi="Times New Roman" w:cs="Times New Roman"/>
                <w:color w:val="auto"/>
                <w:sz w:val="21"/>
                <w:szCs w:val="21"/>
                <w:highlight w:val="none"/>
                <w:lang w:val="en-US"/>
              </w:rPr>
              <w:t>、履约情况（5 分）</w:t>
            </w:r>
          </w:p>
          <w:p>
            <w:pPr>
              <w:pStyle w:val="11"/>
              <w:jc w:val="both"/>
              <w:rPr>
                <w:rFonts w:ascii="Times New Roman" w:hAnsi="Times New Roman" w:cs="Times New Roman"/>
                <w:color w:val="auto"/>
                <w:sz w:val="21"/>
                <w:szCs w:val="21"/>
                <w:highlight w:val="none"/>
                <w:lang w:val="en-US"/>
              </w:rPr>
            </w:pPr>
            <w:r>
              <w:rPr>
                <w:rFonts w:ascii="Times New Roman" w:hAnsi="Times New Roman" w:cs="Times New Roman"/>
                <w:color w:val="auto"/>
                <w:sz w:val="21"/>
                <w:szCs w:val="21"/>
                <w:highlight w:val="none"/>
                <w:lang w:val="en-US"/>
              </w:rPr>
              <w:t>若没出现下述情形得满分；</w:t>
            </w:r>
          </w:p>
          <w:p>
            <w:pPr>
              <w:pStyle w:val="11"/>
              <w:jc w:val="both"/>
              <w:rPr>
                <w:rFonts w:ascii="Times New Roman" w:hAnsi="Times New Roman" w:cs="Times New Roman"/>
                <w:color w:val="auto"/>
                <w:sz w:val="21"/>
                <w:szCs w:val="21"/>
                <w:highlight w:val="none"/>
                <w:lang w:val="en-US"/>
              </w:rPr>
            </w:pPr>
            <w:r>
              <w:rPr>
                <w:rFonts w:ascii="Times New Roman" w:hAnsi="Times New Roman" w:cs="Times New Roman"/>
                <w:color w:val="auto"/>
                <w:sz w:val="21"/>
                <w:szCs w:val="21"/>
                <w:highlight w:val="none"/>
                <w:lang w:val="en-US"/>
              </w:rPr>
              <w:t>自 2022年</w:t>
            </w:r>
            <w:r>
              <w:rPr>
                <w:rFonts w:hint="eastAsia" w:ascii="Times New Roman" w:hAnsi="Times New Roman" w:cs="Times New Roman"/>
                <w:color w:val="auto"/>
                <w:sz w:val="21"/>
                <w:szCs w:val="21"/>
                <w:highlight w:val="none"/>
                <w:lang w:val="en-US"/>
              </w:rPr>
              <w:t>1</w:t>
            </w:r>
            <w:r>
              <w:rPr>
                <w:rFonts w:ascii="Times New Roman" w:hAnsi="Times New Roman" w:cs="Times New Roman"/>
                <w:color w:val="auto"/>
                <w:sz w:val="21"/>
                <w:szCs w:val="21"/>
                <w:highlight w:val="none"/>
                <w:lang w:val="en-US"/>
              </w:rPr>
              <w:t>月1日至投标文件递交截止日（投标文件递交截止日前1年内），因公路工程（含附属设施）质量、安全、履约或招标投标问题等原因被：</w:t>
            </w:r>
          </w:p>
          <w:p>
            <w:pPr>
              <w:pStyle w:val="11"/>
              <w:jc w:val="both"/>
              <w:rPr>
                <w:rFonts w:ascii="Times New Roman" w:hAnsi="Times New Roman" w:cs="Times New Roman"/>
                <w:color w:val="auto"/>
                <w:sz w:val="21"/>
                <w:szCs w:val="21"/>
                <w:highlight w:val="none"/>
                <w:lang w:val="en-US"/>
              </w:rPr>
            </w:pPr>
            <w:r>
              <w:rPr>
                <w:rFonts w:ascii="Times New Roman" w:hAnsi="Times New Roman" w:cs="Times New Roman"/>
                <w:color w:val="auto"/>
                <w:sz w:val="21"/>
                <w:szCs w:val="21"/>
                <w:highlight w:val="none"/>
                <w:lang w:val="en-US"/>
              </w:rPr>
              <w:t>（1）交通运输部行政处罚的，扣5分/次；</w:t>
            </w:r>
          </w:p>
          <w:p>
            <w:pPr>
              <w:pStyle w:val="11"/>
              <w:jc w:val="both"/>
              <w:rPr>
                <w:rFonts w:ascii="Times New Roman" w:hAnsi="Times New Roman" w:cs="Times New Roman"/>
                <w:color w:val="auto"/>
                <w:sz w:val="21"/>
                <w:szCs w:val="21"/>
                <w:highlight w:val="none"/>
                <w:lang w:val="en-US"/>
              </w:rPr>
            </w:pPr>
            <w:r>
              <w:rPr>
                <w:rFonts w:ascii="Times New Roman" w:hAnsi="Times New Roman" w:cs="Times New Roman"/>
                <w:color w:val="auto"/>
                <w:sz w:val="21"/>
                <w:szCs w:val="21"/>
                <w:highlight w:val="none"/>
                <w:lang w:val="en-US"/>
              </w:rPr>
              <w:t>（2）广东省交通运输厅行政处罚的，扣3分/次；</w:t>
            </w:r>
          </w:p>
          <w:p>
            <w:pPr>
              <w:pStyle w:val="11"/>
              <w:jc w:val="both"/>
              <w:rPr>
                <w:rFonts w:ascii="Times New Roman" w:hAnsi="Times New Roman" w:cs="Times New Roman"/>
                <w:color w:val="auto"/>
                <w:sz w:val="21"/>
                <w:szCs w:val="21"/>
                <w:highlight w:val="none"/>
                <w:lang w:val="en-US"/>
              </w:rPr>
            </w:pPr>
            <w:r>
              <w:rPr>
                <w:rFonts w:ascii="Times New Roman" w:hAnsi="Times New Roman" w:cs="Times New Roman"/>
                <w:color w:val="auto"/>
                <w:sz w:val="21"/>
                <w:szCs w:val="21"/>
                <w:highlight w:val="none"/>
                <w:lang w:val="en-US"/>
              </w:rPr>
              <w:t>（3）茂名市交通运输局行政处罚的，扣1.5分/次。</w:t>
            </w:r>
          </w:p>
          <w:p>
            <w:pPr>
              <w:pStyle w:val="11"/>
              <w:jc w:val="both"/>
              <w:rPr>
                <w:rFonts w:ascii="Times New Roman" w:hAnsi="Times New Roman" w:cs="Times New Roman"/>
                <w:color w:val="auto"/>
                <w:sz w:val="21"/>
                <w:szCs w:val="21"/>
                <w:highlight w:val="none"/>
                <w:lang w:val="en-US"/>
              </w:rPr>
            </w:pPr>
            <w:r>
              <w:rPr>
                <w:rFonts w:ascii="Times New Roman" w:hAnsi="Times New Roman" w:cs="Times New Roman"/>
                <w:color w:val="auto"/>
                <w:sz w:val="21"/>
                <w:szCs w:val="21"/>
                <w:highlight w:val="none"/>
                <w:lang w:val="en-US"/>
              </w:rPr>
              <w:t>（4）广东省交通运输厅正式约谈的，扣0.1分/次。</w:t>
            </w:r>
          </w:p>
          <w:p>
            <w:pPr>
              <w:pStyle w:val="11"/>
              <w:jc w:val="both"/>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val="en-US"/>
              </w:rPr>
              <w:t>同一事项同时被多个部门行政处罚或正式约谈只按最高的扣分计算1次。如果扣完本项分值，可以从总分中扣</w:t>
            </w:r>
            <w:r>
              <w:rPr>
                <w:rFonts w:ascii="Times New Roman" w:hAnsi="Times New Roman" w:cs="Times New Roman"/>
                <w:color w:val="auto"/>
                <w:sz w:val="21"/>
                <w:szCs w:val="21"/>
                <w:highlight w:val="none"/>
              </w:rPr>
              <w:t>。</w:t>
            </w:r>
          </w:p>
          <w:p>
            <w:pPr>
              <w:rPr>
                <w:color w:val="auto"/>
                <w:sz w:val="18"/>
                <w:highlight w:val="none"/>
              </w:rPr>
            </w:pPr>
            <w:r>
              <w:rPr>
                <w:rFonts w:hint="eastAsia" w:ascii="Times New Roman" w:hAnsi="Times New Roman" w:cs="Times New Roman"/>
                <w:color w:val="auto"/>
                <w:sz w:val="21"/>
                <w:szCs w:val="21"/>
                <w:highlight w:val="none"/>
                <w:lang w:val="en-US"/>
              </w:rPr>
              <w:t>注：</w:t>
            </w:r>
            <w:r>
              <w:rPr>
                <w:rFonts w:hint="eastAsia"/>
                <w:color w:val="auto"/>
                <w:sz w:val="18"/>
                <w:highlight w:val="none"/>
              </w:rPr>
              <w:t>本条内容所指的行政处罚和正式约谈</w:t>
            </w:r>
            <w:r>
              <w:rPr>
                <w:rFonts w:hint="eastAsia"/>
                <w:color w:val="auto"/>
                <w:sz w:val="18"/>
                <w:highlight w:val="none"/>
                <w:lang w:val="en-US"/>
              </w:rPr>
              <w:t>是</w:t>
            </w:r>
            <w:r>
              <w:rPr>
                <w:rFonts w:hint="eastAsia"/>
                <w:color w:val="auto"/>
                <w:sz w:val="18"/>
                <w:highlight w:val="none"/>
              </w:rPr>
              <w:t>指</w:t>
            </w:r>
            <w:r>
              <w:rPr>
                <w:rFonts w:hint="eastAsia"/>
                <w:color w:val="auto"/>
                <w:sz w:val="18"/>
                <w:highlight w:val="none"/>
                <w:lang w:val="en-US"/>
              </w:rPr>
              <w:t>2023年4月1日</w:t>
            </w:r>
            <w:r>
              <w:rPr>
                <w:rFonts w:hint="eastAsia"/>
                <w:color w:val="auto"/>
                <w:sz w:val="18"/>
                <w:highlight w:val="none"/>
              </w:rPr>
              <w:t>起发生的行政处罚和正式约谈。其中：正式约谈是指从业单位的企业法人因建设</w:t>
            </w:r>
            <w:r>
              <w:rPr>
                <w:rFonts w:hint="eastAsia"/>
                <w:color w:val="auto"/>
                <w:sz w:val="18"/>
                <w:highlight w:val="none"/>
                <w:lang w:val="en-US"/>
              </w:rPr>
              <w:t>项</w:t>
            </w:r>
            <w:r>
              <w:rPr>
                <w:rFonts w:hint="eastAsia"/>
                <w:color w:val="auto"/>
                <w:sz w:val="18"/>
                <w:highlight w:val="none"/>
              </w:rPr>
              <w:t>目质量、安全、履约或招标投标等问</w:t>
            </w:r>
            <w:r>
              <w:rPr>
                <w:rFonts w:hint="eastAsia"/>
                <w:color w:val="auto"/>
                <w:sz w:val="18"/>
                <w:highlight w:val="none"/>
                <w:lang w:val="en-US"/>
              </w:rPr>
              <w:t>题</w:t>
            </w:r>
            <w:r>
              <w:rPr>
                <w:rFonts w:hint="eastAsia"/>
                <w:color w:val="auto"/>
                <w:sz w:val="18"/>
                <w:highlight w:val="none"/>
              </w:rPr>
              <w:t>，被上述单位约谈的情形。行政处罚要以上述单位正式发文为依据，以正式发文时间为准；正式约谈要以上述单位的书面通知和约谈会议纪要为依据，时间以约谈</w:t>
            </w:r>
          </w:p>
          <w:p>
            <w:pPr>
              <w:rPr>
                <w:rFonts w:ascii="Times New Roman" w:hAnsi="Times New Roman" w:cs="Times New Roman"/>
                <w:color w:val="auto"/>
                <w:sz w:val="21"/>
                <w:szCs w:val="21"/>
                <w:highlight w:val="none"/>
              </w:rPr>
            </w:pPr>
            <w:r>
              <w:rPr>
                <w:rFonts w:hint="eastAsia"/>
                <w:color w:val="auto"/>
                <w:sz w:val="18"/>
                <w:highlight w:val="none"/>
              </w:rPr>
              <w:t>会议纪要发文时间为准。</w:t>
            </w:r>
            <w:r>
              <w:rPr>
                <w:rFonts w:ascii="Times New Roman" w:hAnsi="Times New Roman" w:cs="Times New Roman"/>
                <w:color w:val="auto"/>
                <w:sz w:val="21"/>
                <w:szCs w:val="21"/>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8" w:hRule="atLeast"/>
          <w:jc w:val="center"/>
        </w:trPr>
        <w:tc>
          <w:tcPr>
            <w:tcW w:w="9182" w:type="dxa"/>
            <w:gridSpan w:val="6"/>
          </w:tcPr>
          <w:p>
            <w:pPr>
              <w:pStyle w:val="11"/>
              <w:jc w:val="both"/>
              <w:rPr>
                <w:rFonts w:ascii="Times New Roman" w:hAnsi="Times New Roman" w:cs="Times New Roman"/>
                <w:color w:val="auto"/>
                <w:sz w:val="21"/>
                <w:szCs w:val="21"/>
                <w:highlight w:val="none"/>
              </w:rPr>
            </w:pPr>
            <w:r>
              <w:rPr>
                <w:rFonts w:ascii="Times New Roman" w:hAnsi="Times New Roman" w:cs="Times New Roman"/>
                <w:color w:val="auto"/>
                <w:sz w:val="21"/>
                <w:highlight w:val="none"/>
              </w:rPr>
              <w:t>需要补充</w:t>
            </w:r>
            <w:r>
              <w:rPr>
                <w:rFonts w:hint="eastAsia" w:ascii="Times New Roman" w:hAnsi="Times New Roman" w:cs="Times New Roman"/>
                <w:color w:val="auto"/>
                <w:sz w:val="21"/>
                <w:highlight w:val="none"/>
                <w:lang w:val="en-US"/>
              </w:rPr>
              <w:t>或修改</w:t>
            </w:r>
            <w:r>
              <w:rPr>
                <w:rFonts w:ascii="Times New Roman" w:hAnsi="Times New Roman" w:cs="Times New Roman"/>
                <w:color w:val="auto"/>
                <w:sz w:val="21"/>
                <w:highlight w:val="none"/>
              </w:rPr>
              <w:t>的其他内容</w:t>
            </w:r>
            <w:r>
              <w:rPr>
                <w:rFonts w:hint="eastAsia"/>
                <w:b/>
                <w:bCs/>
                <w:color w:val="auto"/>
                <w:szCs w:val="21"/>
                <w:highlight w:val="none"/>
                <w:lang w:bidi="ar"/>
              </w:rPr>
              <w:t>（评标办法</w:t>
            </w:r>
            <w:r>
              <w:rPr>
                <w:rFonts w:hint="eastAsia"/>
                <w:b/>
                <w:bCs/>
                <w:color w:val="auto"/>
                <w:szCs w:val="21"/>
                <w:highlight w:val="none"/>
                <w:lang w:val="en-US" w:bidi="ar"/>
              </w:rPr>
              <w:t>正</w:t>
            </w:r>
            <w:r>
              <w:rPr>
                <w:rFonts w:hint="eastAsia"/>
                <w:b/>
                <w:bCs/>
                <w:color w:val="auto"/>
                <w:szCs w:val="21"/>
                <w:highlight w:val="none"/>
                <w:lang w:bidi="ar"/>
              </w:rPr>
              <w:t>文与本表不一致的，以本表为准）</w:t>
            </w:r>
            <w:r>
              <w:rPr>
                <w:rFonts w:ascii="Times New Roman" w:hAnsi="Times New Roman" w:cs="Times New Roman"/>
                <w:color w:val="auto"/>
                <w:sz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3" w:hRule="atLeast"/>
          <w:jc w:val="center"/>
        </w:trPr>
        <w:tc>
          <w:tcPr>
            <w:tcW w:w="737" w:type="dxa"/>
          </w:tcPr>
          <w:p>
            <w:pPr>
              <w:pStyle w:val="11"/>
              <w:ind w:right="86"/>
              <w:jc w:val="center"/>
              <w:rPr>
                <w:rFonts w:ascii="Times New Roman" w:hAnsi="Times New Roman" w:cs="Times New Roman"/>
                <w:color w:val="auto"/>
                <w:highlight w:val="none"/>
                <w:lang w:val="en-US"/>
              </w:rPr>
            </w:pPr>
          </w:p>
          <w:p>
            <w:pPr>
              <w:pStyle w:val="11"/>
              <w:ind w:right="86"/>
              <w:jc w:val="center"/>
              <w:rPr>
                <w:rFonts w:ascii="Times New Roman" w:hAnsi="Times New Roman" w:cs="Times New Roman"/>
                <w:color w:val="auto"/>
                <w:highlight w:val="none"/>
                <w:lang w:val="en-US"/>
              </w:rPr>
            </w:pPr>
          </w:p>
          <w:p>
            <w:pPr>
              <w:pStyle w:val="11"/>
              <w:ind w:right="86"/>
              <w:jc w:val="center"/>
              <w:rPr>
                <w:rFonts w:ascii="Times New Roman" w:hAnsi="Times New Roman" w:cs="Times New Roman"/>
                <w:color w:val="auto"/>
                <w:highlight w:val="none"/>
                <w:lang w:val="en-US"/>
              </w:rPr>
            </w:pPr>
          </w:p>
          <w:p>
            <w:pPr>
              <w:pStyle w:val="11"/>
              <w:ind w:right="86"/>
              <w:jc w:val="center"/>
              <w:rPr>
                <w:rFonts w:ascii="Times New Roman" w:hAnsi="Times New Roman" w:cs="Times New Roman"/>
                <w:color w:val="auto"/>
                <w:highlight w:val="none"/>
                <w:lang w:val="en-US"/>
              </w:rPr>
            </w:pPr>
          </w:p>
          <w:p>
            <w:pPr>
              <w:pStyle w:val="11"/>
              <w:ind w:right="86"/>
              <w:jc w:val="center"/>
              <w:rPr>
                <w:rFonts w:ascii="Times New Roman" w:hAnsi="Times New Roman" w:cs="Times New Roman"/>
                <w:color w:val="auto"/>
                <w:highlight w:val="none"/>
                <w:lang w:val="en-US"/>
              </w:rPr>
            </w:pPr>
          </w:p>
          <w:p>
            <w:pPr>
              <w:pStyle w:val="11"/>
              <w:ind w:right="86"/>
              <w:jc w:val="center"/>
              <w:rPr>
                <w:rFonts w:ascii="Times New Roman" w:hAnsi="Times New Roman" w:cs="Times New Roman"/>
                <w:color w:val="auto"/>
                <w:highlight w:val="none"/>
                <w:lang w:val="en-US"/>
              </w:rPr>
            </w:pPr>
          </w:p>
          <w:p>
            <w:pPr>
              <w:pStyle w:val="11"/>
              <w:ind w:right="86"/>
              <w:jc w:val="center"/>
              <w:rPr>
                <w:rFonts w:ascii="Times New Roman" w:hAnsi="Times New Roman" w:cs="Times New Roman"/>
                <w:color w:val="auto"/>
                <w:highlight w:val="none"/>
                <w:lang w:val="en-US"/>
              </w:rPr>
            </w:pPr>
            <w:r>
              <w:rPr>
                <w:rFonts w:hint="eastAsia" w:ascii="Times New Roman" w:hAnsi="Times New Roman" w:cs="Times New Roman"/>
                <w:color w:val="auto"/>
                <w:highlight w:val="none"/>
                <w:lang w:val="en-US"/>
              </w:rPr>
              <w:t>1</w:t>
            </w:r>
          </w:p>
        </w:tc>
        <w:tc>
          <w:tcPr>
            <w:tcW w:w="8445" w:type="dxa"/>
            <w:gridSpan w:val="5"/>
          </w:tcPr>
          <w:p>
            <w:pPr>
              <w:adjustRightInd w:val="0"/>
              <w:snapToGrid w:val="0"/>
              <w:spacing w:line="360" w:lineRule="auto"/>
              <w:rPr>
                <w:color w:val="auto"/>
                <w:szCs w:val="21"/>
                <w:highlight w:val="none"/>
              </w:rPr>
            </w:pPr>
            <w:r>
              <w:rPr>
                <w:color w:val="auto"/>
                <w:szCs w:val="21"/>
                <w:highlight w:val="none"/>
              </w:rPr>
              <w:t>将评标办法范本原文第1条“评标方法”改为“评标方法、组织及工作程序”，并且原文</w:t>
            </w:r>
          </w:p>
          <w:p>
            <w:pPr>
              <w:adjustRightInd w:val="0"/>
              <w:snapToGrid w:val="0"/>
              <w:spacing w:line="360" w:lineRule="auto"/>
              <w:rPr>
                <w:color w:val="auto"/>
                <w:szCs w:val="21"/>
                <w:highlight w:val="none"/>
              </w:rPr>
            </w:pPr>
            <w:r>
              <w:rPr>
                <w:color w:val="auto"/>
                <w:szCs w:val="21"/>
                <w:highlight w:val="none"/>
              </w:rPr>
              <w:t>内容修改如下：</w:t>
            </w:r>
          </w:p>
          <w:p>
            <w:pPr>
              <w:adjustRightInd w:val="0"/>
              <w:snapToGrid w:val="0"/>
              <w:spacing w:line="360" w:lineRule="auto"/>
              <w:rPr>
                <w:color w:val="auto"/>
                <w:szCs w:val="21"/>
                <w:highlight w:val="none"/>
              </w:rPr>
            </w:pPr>
            <w:r>
              <w:rPr>
                <w:color w:val="auto"/>
                <w:szCs w:val="21"/>
                <w:highlight w:val="none"/>
              </w:rPr>
              <w:t>1.1评标方法</w:t>
            </w:r>
          </w:p>
          <w:p>
            <w:pPr>
              <w:spacing w:line="400" w:lineRule="exact"/>
              <w:rPr>
                <w:color w:val="auto"/>
                <w:szCs w:val="21"/>
                <w:highlight w:val="none"/>
              </w:rPr>
            </w:pPr>
            <w:r>
              <w:rPr>
                <w:rFonts w:cs="Times New Roman"/>
                <w:color w:val="auto"/>
                <w:szCs w:val="21"/>
                <w:highlight w:val="none"/>
              </w:rPr>
              <w:t>本次评标采用双信封的综合评分法。</w:t>
            </w:r>
            <w:r>
              <w:rPr>
                <w:rFonts w:hint="eastAsia"/>
                <w:color w:val="auto"/>
                <w:szCs w:val="21"/>
                <w:highlight w:val="none"/>
                <w:lang w:bidi="ar"/>
              </w:rPr>
              <w:t>评标委员会对满足招标文件实质性要求的投标文件，按照本章第2.2款规定的评分标准进行打分，</w:t>
            </w:r>
            <w:r>
              <w:rPr>
                <w:rFonts w:hint="eastAsia"/>
                <w:color w:val="auto"/>
                <w:kern w:val="2"/>
                <w:sz w:val="21"/>
                <w:szCs w:val="21"/>
                <w:highlight w:val="none"/>
                <w:lang w:val="en-US" w:bidi="ar"/>
              </w:rPr>
              <w:t>取综合得分大于或等于9</w:t>
            </w:r>
            <w:r>
              <w:rPr>
                <w:rFonts w:hint="eastAsia"/>
                <w:color w:val="auto"/>
                <w:kern w:val="2"/>
                <w:sz w:val="21"/>
                <w:szCs w:val="21"/>
                <w:highlight w:val="none"/>
                <w:lang w:val="en-US" w:eastAsia="zh-CN" w:bidi="ar"/>
              </w:rPr>
              <w:t>0</w:t>
            </w:r>
            <w:r>
              <w:rPr>
                <w:rFonts w:hint="eastAsia"/>
                <w:color w:val="auto"/>
                <w:kern w:val="2"/>
                <w:sz w:val="21"/>
                <w:szCs w:val="21"/>
                <w:highlight w:val="none"/>
                <w:lang w:val="en-US" w:bidi="ar"/>
              </w:rPr>
              <w:t>分的全部有效投标人为不标明排序的定标候选人（但当综合得分大于或等于9</w:t>
            </w:r>
            <w:r>
              <w:rPr>
                <w:rFonts w:hint="eastAsia"/>
                <w:color w:val="auto"/>
                <w:kern w:val="2"/>
                <w:sz w:val="21"/>
                <w:szCs w:val="21"/>
                <w:highlight w:val="none"/>
                <w:lang w:val="en-US" w:eastAsia="zh-CN" w:bidi="ar"/>
              </w:rPr>
              <w:t>0</w:t>
            </w:r>
            <w:r>
              <w:rPr>
                <w:rFonts w:hint="eastAsia"/>
                <w:color w:val="auto"/>
                <w:kern w:val="2"/>
                <w:sz w:val="21"/>
                <w:szCs w:val="21"/>
                <w:highlight w:val="none"/>
                <w:lang w:val="en-US" w:bidi="ar"/>
              </w:rPr>
              <w:t>分的有效投标人不足5家时，则从9</w:t>
            </w:r>
            <w:r>
              <w:rPr>
                <w:rFonts w:hint="eastAsia"/>
                <w:color w:val="auto"/>
                <w:kern w:val="2"/>
                <w:sz w:val="21"/>
                <w:szCs w:val="21"/>
                <w:highlight w:val="none"/>
                <w:lang w:val="en-US" w:eastAsia="zh-CN" w:bidi="ar"/>
              </w:rPr>
              <w:t>0</w:t>
            </w:r>
            <w:r>
              <w:rPr>
                <w:rFonts w:hint="eastAsia"/>
                <w:color w:val="auto"/>
                <w:kern w:val="2"/>
                <w:sz w:val="21"/>
                <w:szCs w:val="21"/>
                <w:highlight w:val="none"/>
                <w:lang w:val="en-US" w:bidi="ar"/>
              </w:rPr>
              <w:t>分以下的有效投标人中按综合得分从高到低推荐，直至补齐5家定标候选人）；当全部有效投标人不少于3名，不多于5名时，则推荐全部有效投标人为定标候选人）</w:t>
            </w:r>
            <w:r>
              <w:rPr>
                <w:rFonts w:hint="eastAsia"/>
                <w:color w:val="auto"/>
                <w:szCs w:val="21"/>
                <w:highlight w:val="none"/>
                <w:lang w:bidi="ar"/>
              </w:rPr>
              <w:t>，但投标报价低于其成本的除外。综合评分相等时，评标委员会应按照评标办法前附表规定的优先次序推荐定标候选人。</w:t>
            </w:r>
          </w:p>
          <w:p>
            <w:pPr>
              <w:pStyle w:val="11"/>
              <w:spacing w:line="274" w:lineRule="exact"/>
              <w:ind w:left="107"/>
              <w:rPr>
                <w:rFonts w:ascii="Times New Roman" w:hAnsi="Times New Roman" w:cs="Times New Roman"/>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3" w:hRule="atLeast"/>
          <w:jc w:val="center"/>
        </w:trPr>
        <w:tc>
          <w:tcPr>
            <w:tcW w:w="737" w:type="dxa"/>
          </w:tcPr>
          <w:p>
            <w:pPr>
              <w:pStyle w:val="11"/>
              <w:ind w:right="86"/>
              <w:jc w:val="center"/>
              <w:rPr>
                <w:rFonts w:ascii="Times New Roman" w:hAnsi="Times New Roman" w:cs="Times New Roman"/>
                <w:color w:val="auto"/>
                <w:highlight w:val="none"/>
                <w:lang w:val="en-US"/>
              </w:rPr>
            </w:pPr>
          </w:p>
          <w:p>
            <w:pPr>
              <w:pStyle w:val="11"/>
              <w:ind w:right="86"/>
              <w:jc w:val="center"/>
              <w:rPr>
                <w:rFonts w:ascii="Times New Roman" w:hAnsi="Times New Roman" w:cs="Times New Roman"/>
                <w:color w:val="auto"/>
                <w:highlight w:val="none"/>
                <w:lang w:val="en-US"/>
              </w:rPr>
            </w:pPr>
          </w:p>
          <w:p>
            <w:pPr>
              <w:pStyle w:val="11"/>
              <w:ind w:right="86"/>
              <w:jc w:val="center"/>
              <w:rPr>
                <w:rFonts w:ascii="Times New Roman" w:hAnsi="Times New Roman" w:cs="Times New Roman"/>
                <w:color w:val="auto"/>
                <w:highlight w:val="none"/>
                <w:lang w:val="en-US"/>
              </w:rPr>
            </w:pPr>
          </w:p>
          <w:p>
            <w:pPr>
              <w:pStyle w:val="11"/>
              <w:ind w:right="86"/>
              <w:jc w:val="center"/>
              <w:rPr>
                <w:rFonts w:ascii="Times New Roman" w:hAnsi="Times New Roman" w:cs="Times New Roman"/>
                <w:color w:val="auto"/>
                <w:highlight w:val="none"/>
                <w:lang w:val="en-US"/>
              </w:rPr>
            </w:pPr>
          </w:p>
          <w:p>
            <w:pPr>
              <w:pStyle w:val="11"/>
              <w:ind w:right="86"/>
              <w:jc w:val="center"/>
              <w:rPr>
                <w:rFonts w:ascii="Times New Roman" w:hAnsi="Times New Roman" w:cs="Times New Roman"/>
                <w:color w:val="auto"/>
                <w:highlight w:val="none"/>
                <w:lang w:val="en-US"/>
              </w:rPr>
            </w:pPr>
          </w:p>
          <w:p>
            <w:pPr>
              <w:pStyle w:val="11"/>
              <w:ind w:right="86"/>
              <w:jc w:val="center"/>
              <w:rPr>
                <w:rFonts w:ascii="Times New Roman" w:hAnsi="Times New Roman" w:cs="Times New Roman"/>
                <w:color w:val="auto"/>
                <w:highlight w:val="none"/>
                <w:lang w:val="en-US"/>
              </w:rPr>
            </w:pPr>
          </w:p>
          <w:p>
            <w:pPr>
              <w:pStyle w:val="11"/>
              <w:ind w:right="86"/>
              <w:jc w:val="center"/>
              <w:rPr>
                <w:rFonts w:ascii="Times New Roman" w:hAnsi="Times New Roman" w:cs="Times New Roman"/>
                <w:color w:val="auto"/>
                <w:highlight w:val="none"/>
                <w:lang w:val="en-US"/>
              </w:rPr>
            </w:pPr>
            <w:r>
              <w:rPr>
                <w:rFonts w:hint="eastAsia" w:ascii="Times New Roman" w:hAnsi="Times New Roman" w:cs="Times New Roman"/>
                <w:color w:val="auto"/>
                <w:highlight w:val="none"/>
                <w:lang w:val="en-US"/>
              </w:rPr>
              <w:t>3.2.3</w:t>
            </w:r>
          </w:p>
        </w:tc>
        <w:tc>
          <w:tcPr>
            <w:tcW w:w="8445" w:type="dxa"/>
            <w:gridSpan w:val="5"/>
          </w:tcPr>
          <w:p>
            <w:pPr>
              <w:adjustRightInd w:val="0"/>
              <w:snapToGrid w:val="0"/>
              <w:spacing w:line="360" w:lineRule="auto"/>
              <w:rPr>
                <w:color w:val="auto"/>
                <w:highlight w:val="none"/>
              </w:rPr>
            </w:pPr>
            <w:r>
              <w:rPr>
                <w:color w:val="auto"/>
                <w:highlight w:val="none"/>
              </w:rPr>
              <w:t>将评标办法范本原文第3.2.3款细化如下：</w:t>
            </w:r>
          </w:p>
          <w:p>
            <w:pPr>
              <w:adjustRightInd w:val="0"/>
              <w:snapToGrid w:val="0"/>
              <w:spacing w:line="360" w:lineRule="auto"/>
              <w:ind w:firstLine="440" w:firstLineChars="200"/>
              <w:rPr>
                <w:color w:val="auto"/>
                <w:highlight w:val="none"/>
              </w:rPr>
            </w:pPr>
            <w:r>
              <w:rPr>
                <w:color w:val="auto"/>
                <w:highlight w:val="none"/>
              </w:rPr>
              <w:t>投标人的商务和技术得分=A+B+D。</w:t>
            </w:r>
          </w:p>
          <w:p>
            <w:pPr>
              <w:adjustRightInd w:val="0"/>
              <w:snapToGrid w:val="0"/>
              <w:spacing w:line="360" w:lineRule="auto"/>
              <w:ind w:firstLine="440" w:firstLineChars="200"/>
              <w:rPr>
                <w:rFonts w:ascii="Times New Roman" w:hAnsi="Times New Roman" w:cs="Times New Roman"/>
                <w:color w:val="auto"/>
                <w:sz w:val="21"/>
                <w:szCs w:val="21"/>
                <w:highlight w:val="none"/>
              </w:rPr>
            </w:pPr>
            <w:r>
              <w:rPr>
                <w:color w:val="auto"/>
                <w:highlight w:val="none"/>
              </w:rPr>
              <w:t>投标文件建设总承包方案的各评分因素细分项得分均不应低于其权重分的</w:t>
            </w:r>
            <w:r>
              <w:rPr>
                <w:rFonts w:hint="eastAsia"/>
                <w:color w:val="auto"/>
                <w:highlight w:val="none"/>
                <w:lang w:val="en-US"/>
              </w:rPr>
              <w:t>9</w:t>
            </w:r>
            <w:r>
              <w:rPr>
                <w:color w:val="auto"/>
                <w:highlight w:val="none"/>
              </w:rPr>
              <w:t>0%（保留小数点后一位），评分低于权重分值</w:t>
            </w:r>
            <w:r>
              <w:rPr>
                <w:rFonts w:hint="eastAsia"/>
                <w:color w:val="auto"/>
                <w:highlight w:val="none"/>
                <w:lang w:val="en-US"/>
              </w:rPr>
              <w:t>9</w:t>
            </w:r>
            <w:r>
              <w:rPr>
                <w:color w:val="auto"/>
                <w:highlight w:val="none"/>
              </w:rPr>
              <w:t xml:space="preserve">0%的，评标委员会成员应当在评标报告中作出说明。计算投标人技术文件得分时：首先在评委技术评分中，同一评委对各投标人评分因素总分的差值最大的评委评分进行取舍（当一位或两位评委评分因素总分差值最大时，均取消其评委评分，不参与技术分的计算；当多于两位评委评分因素总分差值均最大时，不取消任一评委评分），各评委再对同一投标人的各评分因素细分项中取消一个最高、一个最低分后计算算术平均值的和为投标人的最终技术得分，平均值计算四舍五入保留小数点后四位。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3" w:hRule="atLeast"/>
          <w:jc w:val="center"/>
        </w:trPr>
        <w:tc>
          <w:tcPr>
            <w:tcW w:w="737" w:type="dxa"/>
            <w:vAlign w:val="center"/>
          </w:tcPr>
          <w:p>
            <w:pPr>
              <w:adjustRightInd w:val="0"/>
              <w:snapToGrid w:val="0"/>
              <w:spacing w:line="360" w:lineRule="auto"/>
              <w:jc w:val="center"/>
              <w:rPr>
                <w:rFonts w:ascii="Times New Roman" w:hAnsi="Times New Roman" w:cs="Times New Roman"/>
                <w:color w:val="auto"/>
                <w:highlight w:val="none"/>
                <w:lang w:val="en-US"/>
              </w:rPr>
            </w:pPr>
            <w:r>
              <w:rPr>
                <w:rFonts w:hint="eastAsia" w:ascii="Times New Roman" w:hAnsi="Times New Roman" w:cs="Times New Roman"/>
                <w:color w:val="auto"/>
                <w:highlight w:val="none"/>
                <w:lang w:val="en-US"/>
              </w:rPr>
              <w:t>3.9</w:t>
            </w:r>
          </w:p>
        </w:tc>
        <w:tc>
          <w:tcPr>
            <w:tcW w:w="8445" w:type="dxa"/>
            <w:gridSpan w:val="5"/>
            <w:vAlign w:val="center"/>
          </w:tcPr>
          <w:p>
            <w:pPr>
              <w:snapToGrid w:val="0"/>
              <w:spacing w:line="400" w:lineRule="exact"/>
              <w:rPr>
                <w:color w:val="auto"/>
                <w:highlight w:val="none"/>
              </w:rPr>
            </w:pPr>
            <w:r>
              <w:rPr>
                <w:rFonts w:hint="eastAsia"/>
                <w:color w:val="auto"/>
                <w:highlight w:val="none"/>
              </w:rPr>
              <w:t>将评标办法范本原文第3.9项</w:t>
            </w:r>
            <w:r>
              <w:rPr>
                <w:rFonts w:hint="eastAsia"/>
                <w:color w:val="auto"/>
                <w:highlight w:val="none"/>
                <w:lang w:val="en-US"/>
              </w:rPr>
              <w:t>修改为</w:t>
            </w:r>
            <w:r>
              <w:rPr>
                <w:rFonts w:hint="eastAsia"/>
                <w:color w:val="auto"/>
                <w:highlight w:val="none"/>
              </w:rPr>
              <w:t>如下：</w:t>
            </w:r>
          </w:p>
          <w:p>
            <w:pPr>
              <w:snapToGrid w:val="0"/>
              <w:spacing w:line="400" w:lineRule="exact"/>
              <w:rPr>
                <w:color w:val="auto"/>
                <w:highlight w:val="none"/>
              </w:rPr>
            </w:pPr>
            <w:r>
              <w:rPr>
                <w:rFonts w:hint="eastAsia"/>
                <w:color w:val="auto"/>
                <w:highlight w:val="none"/>
              </w:rPr>
              <w:t>3.</w:t>
            </w:r>
            <w:r>
              <w:rPr>
                <w:rFonts w:hint="eastAsia"/>
                <w:color w:val="auto"/>
                <w:highlight w:val="none"/>
                <w:lang w:val="en-US"/>
              </w:rPr>
              <w:t>9</w:t>
            </w:r>
            <w:r>
              <w:rPr>
                <w:rFonts w:hint="eastAsia"/>
                <w:color w:val="auto"/>
                <w:highlight w:val="none"/>
              </w:rPr>
              <w:t xml:space="preserve">.1 </w:t>
            </w:r>
            <w:r>
              <w:rPr>
                <w:rFonts w:hint="eastAsia"/>
                <w:color w:val="auto"/>
                <w:highlight w:val="none"/>
                <w:lang w:val="en-US"/>
              </w:rPr>
              <w:t>评标委员会根据综合得分，取综合得分大于或等于9</w:t>
            </w:r>
            <w:r>
              <w:rPr>
                <w:rFonts w:hint="eastAsia"/>
                <w:color w:val="auto"/>
                <w:highlight w:val="none"/>
                <w:lang w:val="en-US" w:eastAsia="zh-CN"/>
              </w:rPr>
              <w:t>0</w:t>
            </w:r>
            <w:r>
              <w:rPr>
                <w:rFonts w:hint="eastAsia"/>
                <w:color w:val="auto"/>
                <w:highlight w:val="none"/>
                <w:lang w:val="en-US"/>
              </w:rPr>
              <w:t>分的全部有效投标人为</w:t>
            </w:r>
            <w:r>
              <w:rPr>
                <w:rFonts w:hint="eastAsia"/>
                <w:color w:val="auto"/>
                <w:kern w:val="2"/>
                <w:sz w:val="21"/>
                <w:szCs w:val="21"/>
                <w:highlight w:val="none"/>
                <w:lang w:val="en-US" w:bidi="ar"/>
              </w:rPr>
              <w:t>不标明排序的</w:t>
            </w:r>
            <w:r>
              <w:rPr>
                <w:rFonts w:hint="eastAsia"/>
                <w:color w:val="auto"/>
                <w:highlight w:val="none"/>
                <w:lang w:val="en-US"/>
              </w:rPr>
              <w:t>定标候选人（但当综合得分大于或等于9</w:t>
            </w:r>
            <w:r>
              <w:rPr>
                <w:rFonts w:hint="eastAsia"/>
                <w:color w:val="auto"/>
                <w:highlight w:val="none"/>
                <w:lang w:val="en-US" w:eastAsia="zh-CN"/>
              </w:rPr>
              <w:t>0</w:t>
            </w:r>
            <w:r>
              <w:rPr>
                <w:rFonts w:hint="eastAsia"/>
                <w:color w:val="auto"/>
                <w:highlight w:val="none"/>
                <w:lang w:val="en-US"/>
              </w:rPr>
              <w:t>分的有效投标人不足5家时，则从9</w:t>
            </w:r>
            <w:r>
              <w:rPr>
                <w:rFonts w:hint="eastAsia"/>
                <w:color w:val="auto"/>
                <w:highlight w:val="none"/>
                <w:lang w:val="en-US" w:eastAsia="zh-CN"/>
              </w:rPr>
              <w:t>0</w:t>
            </w:r>
            <w:r>
              <w:rPr>
                <w:rFonts w:hint="eastAsia"/>
                <w:color w:val="auto"/>
                <w:highlight w:val="none"/>
                <w:lang w:val="en-US"/>
              </w:rPr>
              <w:t>分以下的有效投标人中按综合得分从高到低推荐，直至补齐5家定标候选人；当全部有效投标人不少于3名，不多于5名时，则推荐全部有效投标人为定标候选人）</w:t>
            </w:r>
            <w:r>
              <w:rPr>
                <w:rFonts w:hint="eastAsia"/>
                <w:color w:val="auto"/>
                <w:szCs w:val="21"/>
                <w:highlight w:val="none"/>
                <w:lang w:bidi="ar"/>
              </w:rPr>
              <w:t>。</w:t>
            </w:r>
          </w:p>
          <w:p>
            <w:pPr>
              <w:snapToGrid w:val="0"/>
              <w:spacing w:line="400" w:lineRule="exact"/>
              <w:rPr>
                <w:color w:val="auto"/>
                <w:highlight w:val="none"/>
              </w:rPr>
            </w:pPr>
            <w:r>
              <w:rPr>
                <w:rFonts w:hint="eastAsia"/>
                <w:color w:val="auto"/>
                <w:highlight w:val="none"/>
              </w:rPr>
              <w:t>3.</w:t>
            </w:r>
            <w:r>
              <w:rPr>
                <w:rFonts w:hint="eastAsia"/>
                <w:color w:val="auto"/>
                <w:highlight w:val="none"/>
                <w:lang w:val="en-US"/>
              </w:rPr>
              <w:t>9</w:t>
            </w:r>
            <w:r>
              <w:rPr>
                <w:rFonts w:hint="eastAsia"/>
                <w:color w:val="auto"/>
                <w:highlight w:val="none"/>
              </w:rPr>
              <w:t>.2 评标委员会完成评标后，应向招标人提交书面评标报告。</w:t>
            </w:r>
          </w:p>
          <w:p>
            <w:pPr>
              <w:snapToGrid w:val="0"/>
              <w:spacing w:line="400" w:lineRule="exact"/>
              <w:rPr>
                <w:color w:val="auto"/>
                <w:highlight w:val="none"/>
              </w:rPr>
            </w:pPr>
            <w:r>
              <w:rPr>
                <w:rFonts w:hint="eastAsia"/>
                <w:color w:val="auto"/>
                <w:highlight w:val="none"/>
              </w:rPr>
              <w:t>3.</w:t>
            </w:r>
            <w:r>
              <w:rPr>
                <w:rFonts w:hint="eastAsia"/>
                <w:color w:val="auto"/>
                <w:highlight w:val="none"/>
                <w:lang w:val="en-US"/>
              </w:rPr>
              <w:t>9</w:t>
            </w:r>
            <w:r>
              <w:rPr>
                <w:rFonts w:hint="eastAsia"/>
                <w:color w:val="auto"/>
                <w:highlight w:val="none"/>
              </w:rPr>
              <w:t>.3如果发生无法确定推荐定标候选人的其它意外情况，评标委员会可建议招标人重新招标。</w:t>
            </w:r>
          </w:p>
          <w:p>
            <w:pPr>
              <w:snapToGrid w:val="0"/>
              <w:spacing w:line="400" w:lineRule="exact"/>
              <w:rPr>
                <w:color w:val="auto"/>
                <w:highlight w:val="none"/>
              </w:rPr>
            </w:pPr>
            <w:r>
              <w:rPr>
                <w:rFonts w:hint="eastAsia"/>
                <w:color w:val="auto"/>
                <w:highlight w:val="none"/>
              </w:rPr>
              <w:t>3.</w:t>
            </w:r>
            <w:r>
              <w:rPr>
                <w:rFonts w:hint="eastAsia"/>
                <w:color w:val="auto"/>
                <w:highlight w:val="none"/>
                <w:lang w:val="en-US"/>
              </w:rPr>
              <w:t>9</w:t>
            </w:r>
            <w:r>
              <w:rPr>
                <w:rFonts w:hint="eastAsia"/>
                <w:color w:val="auto"/>
                <w:highlight w:val="none"/>
              </w:rPr>
              <w:t>.4评标委员会按招标文件规定编制评标报告，其中应包含无具体得分及排序的定标候选人推荐名单，及各定标候选人投标文件优缺点汇总和签订合同前应注意和澄清的事项。</w:t>
            </w:r>
          </w:p>
        </w:tc>
      </w:tr>
    </w:tbl>
    <w:p>
      <w:pPr>
        <w:ind w:firstLine="420" w:firstLineChars="200"/>
        <w:jc w:val="both"/>
        <w:rPr>
          <w:color w:val="auto"/>
          <w:sz w:val="21"/>
          <w:szCs w:val="21"/>
          <w:highlight w:val="none"/>
        </w:rPr>
      </w:pPr>
    </w:p>
    <w:p>
      <w:pPr>
        <w:tabs>
          <w:tab w:val="left" w:pos="824"/>
        </w:tabs>
        <w:spacing w:line="360" w:lineRule="auto"/>
        <w:jc w:val="both"/>
        <w:outlineLvl w:val="2"/>
        <w:rPr>
          <w:b/>
          <w:bCs/>
          <w:color w:val="auto"/>
          <w:sz w:val="30"/>
          <w:szCs w:val="30"/>
          <w:highlight w:val="none"/>
        </w:rPr>
      </w:pPr>
      <w:bookmarkStart w:id="28" w:name="_Toc3828_WPSOffice_Level2"/>
      <w:bookmarkStart w:id="29" w:name="_Toc15781_WPSOffice_Level2"/>
      <w:bookmarkStart w:id="30" w:name="_Toc9422_WPSOffice_Level2"/>
      <w:bookmarkStart w:id="31" w:name="_Toc11147_WPSOffice_Level2"/>
    </w:p>
    <w:p>
      <w:pPr>
        <w:tabs>
          <w:tab w:val="left" w:pos="824"/>
        </w:tabs>
        <w:spacing w:line="360" w:lineRule="auto"/>
        <w:jc w:val="both"/>
        <w:outlineLvl w:val="2"/>
        <w:rPr>
          <w:b/>
          <w:bCs/>
          <w:color w:val="auto"/>
          <w:sz w:val="30"/>
          <w:szCs w:val="30"/>
          <w:highlight w:val="none"/>
        </w:rPr>
      </w:pPr>
    </w:p>
    <w:p>
      <w:pPr>
        <w:tabs>
          <w:tab w:val="left" w:pos="824"/>
        </w:tabs>
        <w:spacing w:line="360" w:lineRule="auto"/>
        <w:jc w:val="both"/>
        <w:outlineLvl w:val="2"/>
        <w:rPr>
          <w:b/>
          <w:bCs/>
          <w:color w:val="auto"/>
          <w:sz w:val="30"/>
          <w:szCs w:val="30"/>
          <w:highlight w:val="none"/>
        </w:rPr>
      </w:pPr>
    </w:p>
    <w:p>
      <w:pPr>
        <w:pStyle w:val="5"/>
        <w:rPr>
          <w:color w:val="auto"/>
          <w:sz w:val="30"/>
          <w:szCs w:val="30"/>
          <w:highlight w:val="none"/>
        </w:rPr>
      </w:pPr>
    </w:p>
    <w:p>
      <w:pPr>
        <w:rPr>
          <w:b/>
          <w:bCs/>
          <w:color w:val="auto"/>
          <w:sz w:val="30"/>
          <w:szCs w:val="30"/>
          <w:highlight w:val="none"/>
        </w:rPr>
      </w:pPr>
    </w:p>
    <w:p>
      <w:pPr>
        <w:pStyle w:val="5"/>
        <w:rPr>
          <w:color w:val="auto"/>
          <w:sz w:val="30"/>
          <w:szCs w:val="30"/>
          <w:highlight w:val="none"/>
        </w:rPr>
      </w:pPr>
    </w:p>
    <w:p>
      <w:pPr>
        <w:rPr>
          <w:b/>
          <w:bCs/>
          <w:color w:val="auto"/>
          <w:sz w:val="30"/>
          <w:szCs w:val="30"/>
          <w:highlight w:val="none"/>
        </w:rPr>
      </w:pPr>
    </w:p>
    <w:p>
      <w:pPr>
        <w:pStyle w:val="5"/>
        <w:rPr>
          <w:color w:val="auto"/>
          <w:sz w:val="30"/>
          <w:szCs w:val="30"/>
          <w:highlight w:val="none"/>
        </w:rPr>
      </w:pPr>
    </w:p>
    <w:p>
      <w:pPr>
        <w:rPr>
          <w:b/>
          <w:bCs/>
          <w:color w:val="auto"/>
          <w:sz w:val="30"/>
          <w:szCs w:val="30"/>
          <w:highlight w:val="none"/>
        </w:rPr>
      </w:pPr>
    </w:p>
    <w:p>
      <w:pPr>
        <w:rPr>
          <w:b/>
          <w:bCs/>
          <w:color w:val="auto"/>
          <w:sz w:val="30"/>
          <w:szCs w:val="30"/>
          <w:highlight w:val="none"/>
        </w:rPr>
      </w:pPr>
    </w:p>
    <w:p>
      <w:pPr>
        <w:tabs>
          <w:tab w:val="left" w:pos="824"/>
        </w:tabs>
        <w:spacing w:line="360" w:lineRule="auto"/>
        <w:jc w:val="both"/>
        <w:outlineLvl w:val="2"/>
        <w:rPr>
          <w:b/>
          <w:bCs/>
          <w:color w:val="auto"/>
          <w:sz w:val="30"/>
          <w:szCs w:val="30"/>
          <w:highlight w:val="none"/>
        </w:rPr>
      </w:pPr>
      <w:r>
        <w:rPr>
          <w:rFonts w:hint="eastAsia"/>
          <w:b/>
          <w:bCs/>
          <w:color w:val="auto"/>
          <w:sz w:val="30"/>
          <w:szCs w:val="30"/>
          <w:highlight w:val="none"/>
        </w:rPr>
        <w:t>1.评标方法、组织及工作程序</w:t>
      </w:r>
      <w:bookmarkEnd w:id="28"/>
      <w:bookmarkEnd w:id="29"/>
      <w:bookmarkEnd w:id="30"/>
      <w:bookmarkEnd w:id="31"/>
      <w:r>
        <w:rPr>
          <w:rFonts w:hint="eastAsia"/>
          <w:b/>
          <w:bCs/>
          <w:color w:val="auto"/>
          <w:sz w:val="30"/>
          <w:szCs w:val="30"/>
          <w:highlight w:val="none"/>
        </w:rPr>
        <w:t xml:space="preserve"> </w:t>
      </w:r>
    </w:p>
    <w:p>
      <w:pPr>
        <w:pStyle w:val="11"/>
        <w:jc w:val="both"/>
        <w:rPr>
          <w:color w:val="auto"/>
          <w:sz w:val="21"/>
          <w:szCs w:val="21"/>
          <w:highlight w:val="none"/>
        </w:rPr>
      </w:pPr>
    </w:p>
    <w:p>
      <w:pPr>
        <w:pStyle w:val="11"/>
        <w:spacing w:line="360" w:lineRule="auto"/>
        <w:jc w:val="both"/>
        <w:rPr>
          <w:color w:val="auto"/>
          <w:sz w:val="24"/>
          <w:szCs w:val="24"/>
          <w:highlight w:val="none"/>
        </w:rPr>
      </w:pPr>
      <w:bookmarkStart w:id="32" w:name="_Toc19931_WPSOffice_Level3"/>
      <w:bookmarkStart w:id="33" w:name="_Toc9549_WPSOffice_Level3"/>
      <w:bookmarkStart w:id="34" w:name="_Toc9643_WPSOffice_Level3"/>
      <w:bookmarkStart w:id="35" w:name="_Toc6073_WPSOffice_Level3"/>
      <w:r>
        <w:rPr>
          <w:rFonts w:hint="eastAsia"/>
          <w:color w:val="auto"/>
          <w:sz w:val="24"/>
          <w:szCs w:val="24"/>
          <w:highlight w:val="none"/>
        </w:rPr>
        <w:t>1.1评标方法</w:t>
      </w:r>
      <w:bookmarkEnd w:id="32"/>
      <w:bookmarkEnd w:id="33"/>
      <w:bookmarkEnd w:id="34"/>
      <w:bookmarkEnd w:id="35"/>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本次评标采用双信封的综合评分法。评标委员会对满足招标文件实质性要求的投标文件，按照本章第2.2款规定的评分标准进行打分，并按综合得分由高到低顺序推荐中标候选人，但投标报价低于其成本的除外。综合得分相等时，评标委员会应按照评标办法前附表规定的优先次序推荐中标候选人或确定中标人。 </w:t>
      </w:r>
    </w:p>
    <w:p>
      <w:pPr>
        <w:pStyle w:val="11"/>
        <w:spacing w:line="360" w:lineRule="auto"/>
        <w:jc w:val="both"/>
        <w:rPr>
          <w:color w:val="auto"/>
          <w:sz w:val="24"/>
          <w:szCs w:val="24"/>
          <w:highlight w:val="none"/>
        </w:rPr>
      </w:pPr>
      <w:bookmarkStart w:id="36" w:name="_Toc18343_WPSOffice_Level3"/>
      <w:bookmarkStart w:id="37" w:name="_Toc23202_WPSOffice_Level3"/>
      <w:bookmarkStart w:id="38" w:name="_Toc5321_WPSOffice_Level3"/>
      <w:bookmarkStart w:id="39" w:name="_Toc4887_WPSOffice_Level3"/>
      <w:r>
        <w:rPr>
          <w:rFonts w:hint="eastAsia"/>
          <w:color w:val="auto"/>
          <w:sz w:val="24"/>
          <w:szCs w:val="24"/>
          <w:highlight w:val="none"/>
        </w:rPr>
        <w:t>1.2评标组织</w:t>
      </w:r>
      <w:bookmarkEnd w:id="36"/>
      <w:bookmarkEnd w:id="37"/>
      <w:bookmarkEnd w:id="38"/>
      <w:bookmarkEnd w:id="39"/>
      <w:r>
        <w:rPr>
          <w:rFonts w:hint="eastAsia"/>
          <w:color w:val="auto"/>
          <w:sz w:val="24"/>
          <w:szCs w:val="24"/>
          <w:highlight w:val="none"/>
        </w:rPr>
        <w:t xml:space="preserve">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1.2.1协助工作组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招标人可在评标工作开始前成立协助工作组，选派熟悉招标工作、政治素质高的人员组成，协助评标委员会工作。协助工作组人员的具体数量由招标人视评标工作量确定。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招标人可以协助评标委员会开展下列工作并提供相关信息：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（1）根据招标文件，编制评标使用的相应表格；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（2）对投标报价进行算术性校核；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（3）以评标标准和方法为依据，列出投标文件相对于招标文件的所有偏差，并进行归类汇总；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（4）查询公路建设市场信用信息管理系统及相关网站，对投标人的资质、业绩、主要人员资历和目前在岗情况、信用等级进行核实。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招标人不得对投标文件作出任何评价，不得故意遗漏或者片面摘录，不得在评标委员会对所有偏差定性之前透露存有偏差的投标人名称。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1.2.2评标委员会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评标委员会由招标人按国家、广东省等的有关规定依法组建。评标委员会的主要工作内容包括：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（1）评标委员会开始评标工作之前，首先听取招标人、协助工作组关于工程情况和辅助工作的说明，并认真研读招标文件，获取评标所需的重要信息和数据；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（2）对协助工作组提供的评标工作用表和评标内容进行核查。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（3）按照以下1.3款程序进行各项评审工作。 </w:t>
      </w:r>
    </w:p>
    <w:p>
      <w:pPr>
        <w:pStyle w:val="11"/>
        <w:spacing w:line="360" w:lineRule="auto"/>
        <w:ind w:firstLine="480" w:firstLineChars="200"/>
        <w:jc w:val="both"/>
        <w:rPr>
          <w:color w:val="auto"/>
          <w:sz w:val="24"/>
          <w:szCs w:val="24"/>
          <w:highlight w:val="none"/>
        </w:rPr>
      </w:pPr>
    </w:p>
    <w:p>
      <w:pPr>
        <w:pStyle w:val="11"/>
        <w:spacing w:line="360" w:lineRule="auto"/>
        <w:jc w:val="both"/>
        <w:rPr>
          <w:color w:val="auto"/>
          <w:sz w:val="24"/>
          <w:szCs w:val="24"/>
          <w:highlight w:val="none"/>
        </w:rPr>
      </w:pPr>
      <w:bookmarkStart w:id="40" w:name="_Toc30337_WPSOffice_Level3"/>
      <w:bookmarkStart w:id="41" w:name="_Toc19300_WPSOffice_Level3"/>
      <w:bookmarkStart w:id="42" w:name="_Toc26507_WPSOffice_Level3"/>
      <w:bookmarkStart w:id="43" w:name="_Toc30712_WPSOffice_Level3"/>
      <w:r>
        <w:rPr>
          <w:rFonts w:hint="eastAsia"/>
          <w:color w:val="auto"/>
          <w:sz w:val="24"/>
          <w:szCs w:val="24"/>
          <w:highlight w:val="none"/>
        </w:rPr>
        <w:t>1.3评审工作程序</w:t>
      </w:r>
      <w:bookmarkEnd w:id="40"/>
      <w:bookmarkEnd w:id="41"/>
      <w:bookmarkEnd w:id="42"/>
      <w:bookmarkEnd w:id="43"/>
      <w:r>
        <w:rPr>
          <w:rFonts w:hint="eastAsia"/>
          <w:color w:val="auto"/>
          <w:sz w:val="24"/>
          <w:szCs w:val="24"/>
          <w:highlight w:val="none"/>
        </w:rPr>
        <w:t xml:space="preserve">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1.3.1第一个信封（商务及技术文件）：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（l）初步评审：包括形式评审与响应性评审、资格评审；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（2）详细评审（评审打分）：评标委员会首先对通过初步评审的投标文件第一个信封（商务及技术文件）进行详细评审，对投标人的建设总承包方案、项目管理机构、其他评分因素等分别评审打分。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1.3.2第二个信封（报价文件）：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（l）初步评审：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①只有投标文件第一个信封通过详细评审的投标人才能继续参加第二个信封报价文件的形式评审与响应性评审；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②报价算术性修正（如采用固化清单，本步骤省略）；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（2）详细评审：计算评标基准价、评标价得分及综合得分；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1.3.3投标文件相关信息的核查。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1.3.4投标文件的澄清和说明(如有)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1.3.5按评标办法规定推荐中标候选人，编写评标报告。 </w:t>
      </w:r>
    </w:p>
    <w:p>
      <w:pPr>
        <w:pStyle w:val="11"/>
        <w:jc w:val="both"/>
        <w:rPr>
          <w:color w:val="auto"/>
          <w:sz w:val="21"/>
          <w:szCs w:val="21"/>
          <w:highlight w:val="none"/>
        </w:rPr>
      </w:pPr>
    </w:p>
    <w:p>
      <w:pPr>
        <w:tabs>
          <w:tab w:val="left" w:pos="824"/>
        </w:tabs>
        <w:spacing w:line="360" w:lineRule="auto"/>
        <w:jc w:val="both"/>
        <w:outlineLvl w:val="2"/>
        <w:rPr>
          <w:b/>
          <w:bCs/>
          <w:color w:val="auto"/>
          <w:sz w:val="30"/>
          <w:szCs w:val="30"/>
          <w:highlight w:val="none"/>
        </w:rPr>
      </w:pPr>
      <w:bookmarkStart w:id="44" w:name="_Toc7427_WPSOffice_Level2"/>
      <w:bookmarkStart w:id="45" w:name="_Toc2983_WPSOffice_Level2"/>
      <w:bookmarkStart w:id="46" w:name="_Toc6022_WPSOffice_Level2"/>
      <w:bookmarkStart w:id="47" w:name="_Toc10191_WPSOffice_Level2"/>
      <w:r>
        <w:rPr>
          <w:rFonts w:hint="eastAsia"/>
          <w:b/>
          <w:bCs/>
          <w:color w:val="auto"/>
          <w:sz w:val="30"/>
          <w:szCs w:val="30"/>
          <w:highlight w:val="none"/>
        </w:rPr>
        <w:t>2.评审标准</w:t>
      </w:r>
      <w:bookmarkEnd w:id="44"/>
      <w:bookmarkEnd w:id="45"/>
      <w:bookmarkEnd w:id="46"/>
      <w:bookmarkEnd w:id="47"/>
      <w:r>
        <w:rPr>
          <w:rFonts w:hint="eastAsia"/>
          <w:b/>
          <w:bCs/>
          <w:color w:val="auto"/>
          <w:sz w:val="30"/>
          <w:szCs w:val="30"/>
          <w:highlight w:val="none"/>
        </w:rPr>
        <w:t xml:space="preserve"> </w:t>
      </w:r>
    </w:p>
    <w:p>
      <w:pPr>
        <w:pStyle w:val="11"/>
        <w:spacing w:line="360" w:lineRule="auto"/>
        <w:jc w:val="both"/>
        <w:rPr>
          <w:color w:val="auto"/>
          <w:sz w:val="24"/>
          <w:szCs w:val="24"/>
          <w:highlight w:val="none"/>
        </w:rPr>
      </w:pPr>
      <w:bookmarkStart w:id="48" w:name="_Toc15739_WPSOffice_Level3"/>
      <w:bookmarkStart w:id="49" w:name="_Toc31435_WPSOffice_Level3"/>
      <w:bookmarkStart w:id="50" w:name="_Toc13578_WPSOffice_Level3"/>
      <w:bookmarkStart w:id="51" w:name="_Toc20001_WPSOffice_Level3"/>
      <w:r>
        <w:rPr>
          <w:rFonts w:hint="eastAsia"/>
          <w:color w:val="auto"/>
          <w:sz w:val="24"/>
          <w:szCs w:val="24"/>
          <w:highlight w:val="none"/>
        </w:rPr>
        <w:t>2.1初步评审标准</w:t>
      </w:r>
      <w:bookmarkEnd w:id="48"/>
      <w:bookmarkEnd w:id="49"/>
      <w:bookmarkEnd w:id="50"/>
      <w:bookmarkEnd w:id="51"/>
      <w:r>
        <w:rPr>
          <w:rFonts w:hint="eastAsia"/>
          <w:color w:val="auto"/>
          <w:sz w:val="24"/>
          <w:szCs w:val="24"/>
          <w:highlight w:val="none"/>
        </w:rPr>
        <w:t xml:space="preserve">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2.1.1形式评审标准：见评标办法前附表。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2.1.2资格评审标准：见评标办法前附表。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2.1.3响应性评审标准：见评标办法前附表。 </w:t>
      </w:r>
    </w:p>
    <w:p>
      <w:pPr>
        <w:pStyle w:val="11"/>
        <w:spacing w:line="360" w:lineRule="auto"/>
        <w:ind w:firstLine="480" w:firstLineChars="200"/>
        <w:jc w:val="both"/>
        <w:rPr>
          <w:color w:val="auto"/>
          <w:sz w:val="24"/>
          <w:szCs w:val="24"/>
          <w:highlight w:val="none"/>
        </w:rPr>
      </w:pPr>
    </w:p>
    <w:p>
      <w:pPr>
        <w:pStyle w:val="11"/>
        <w:spacing w:line="360" w:lineRule="auto"/>
        <w:jc w:val="both"/>
        <w:rPr>
          <w:color w:val="auto"/>
          <w:sz w:val="24"/>
          <w:szCs w:val="24"/>
          <w:highlight w:val="none"/>
        </w:rPr>
      </w:pPr>
      <w:bookmarkStart w:id="52" w:name="_Toc6899_WPSOffice_Level3"/>
      <w:bookmarkStart w:id="53" w:name="_Toc24165_WPSOffice_Level3"/>
      <w:bookmarkStart w:id="54" w:name="_Toc621_WPSOffice_Level3"/>
      <w:bookmarkStart w:id="55" w:name="_Toc28219_WPSOffice_Level3"/>
      <w:r>
        <w:rPr>
          <w:rFonts w:hint="eastAsia"/>
          <w:color w:val="auto"/>
          <w:sz w:val="24"/>
          <w:szCs w:val="24"/>
          <w:highlight w:val="none"/>
        </w:rPr>
        <w:t>2.2分值构成与评分标准</w:t>
      </w:r>
      <w:bookmarkEnd w:id="52"/>
      <w:bookmarkEnd w:id="53"/>
      <w:bookmarkEnd w:id="54"/>
      <w:bookmarkEnd w:id="55"/>
      <w:r>
        <w:rPr>
          <w:rFonts w:hint="eastAsia"/>
          <w:color w:val="auto"/>
          <w:sz w:val="24"/>
          <w:szCs w:val="24"/>
          <w:highlight w:val="none"/>
        </w:rPr>
        <w:t xml:space="preserve">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2.2.1分值构成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（1）建设总承包方案：见评标办法前附表；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（2）项目管理机构：见评标办法前附表；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（3）投标报价：见评标办法前附表；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（4）其他评分因素：见评标办法前附表。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2.2.2评标基准价计算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2.2.3投标报价的偏差率计算 </w:t>
      </w:r>
    </w:p>
    <w:p>
      <w:pPr>
        <w:pStyle w:val="11"/>
        <w:spacing w:line="360" w:lineRule="auto"/>
        <w:ind w:firstLine="480" w:firstLineChars="200"/>
        <w:jc w:val="both"/>
        <w:rPr>
          <w:color w:val="auto"/>
          <w:sz w:val="24"/>
          <w:szCs w:val="24"/>
          <w:highlight w:val="none"/>
        </w:rPr>
      </w:pP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2.2.4评分标准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（1）建设总承包方案评分标准：见评标办法前附表；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（2）项目管理机构评分标准：见评标办法前附表；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（3）投标报价评分标准：见评标办法前附表；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（4）其他因素评分标准：见评标办法前附表； </w:t>
      </w:r>
    </w:p>
    <w:p>
      <w:pPr>
        <w:pStyle w:val="11"/>
        <w:spacing w:line="360" w:lineRule="auto"/>
        <w:ind w:firstLine="480" w:firstLineChars="200"/>
        <w:jc w:val="both"/>
        <w:rPr>
          <w:color w:val="auto"/>
          <w:sz w:val="24"/>
          <w:szCs w:val="24"/>
          <w:highlight w:val="none"/>
        </w:rPr>
      </w:pPr>
    </w:p>
    <w:p>
      <w:pPr>
        <w:tabs>
          <w:tab w:val="left" w:pos="824"/>
        </w:tabs>
        <w:spacing w:line="360" w:lineRule="auto"/>
        <w:jc w:val="both"/>
        <w:outlineLvl w:val="2"/>
        <w:rPr>
          <w:b/>
          <w:bCs/>
          <w:color w:val="auto"/>
          <w:sz w:val="24"/>
          <w:szCs w:val="24"/>
          <w:highlight w:val="none"/>
        </w:rPr>
      </w:pPr>
      <w:bookmarkStart w:id="56" w:name="_Toc4648_WPSOffice_Level2"/>
      <w:bookmarkStart w:id="57" w:name="_Toc10143_WPSOffice_Level2"/>
      <w:bookmarkStart w:id="58" w:name="_Toc13073_WPSOffice_Level2"/>
      <w:bookmarkStart w:id="59" w:name="_Toc20228_WPSOffice_Level2"/>
      <w:r>
        <w:rPr>
          <w:rFonts w:hint="eastAsia"/>
          <w:b/>
          <w:bCs/>
          <w:color w:val="auto"/>
          <w:sz w:val="30"/>
          <w:szCs w:val="30"/>
          <w:highlight w:val="none"/>
        </w:rPr>
        <w:t>3.评标程序</w:t>
      </w:r>
      <w:bookmarkEnd w:id="56"/>
      <w:bookmarkEnd w:id="57"/>
      <w:bookmarkEnd w:id="58"/>
      <w:bookmarkEnd w:id="59"/>
      <w:r>
        <w:rPr>
          <w:rFonts w:hint="eastAsia"/>
          <w:b/>
          <w:bCs/>
          <w:color w:val="auto"/>
          <w:sz w:val="24"/>
          <w:szCs w:val="24"/>
          <w:highlight w:val="none"/>
        </w:rPr>
        <w:t xml:space="preserve"> </w:t>
      </w:r>
    </w:p>
    <w:p>
      <w:pPr>
        <w:pStyle w:val="11"/>
        <w:spacing w:line="360" w:lineRule="auto"/>
        <w:jc w:val="both"/>
        <w:rPr>
          <w:color w:val="auto"/>
          <w:sz w:val="24"/>
          <w:szCs w:val="24"/>
          <w:highlight w:val="none"/>
        </w:rPr>
      </w:pPr>
      <w:bookmarkStart w:id="60" w:name="_Toc21681_WPSOffice_Level3"/>
      <w:bookmarkStart w:id="61" w:name="_Toc24427_WPSOffice_Level3"/>
      <w:bookmarkStart w:id="62" w:name="_Toc2725_WPSOffice_Level3"/>
      <w:bookmarkStart w:id="63" w:name="_Toc5521_WPSOffice_Level3"/>
      <w:r>
        <w:rPr>
          <w:rFonts w:hint="eastAsia"/>
          <w:color w:val="auto"/>
          <w:sz w:val="24"/>
          <w:szCs w:val="24"/>
          <w:highlight w:val="none"/>
        </w:rPr>
        <w:t>3.1第一个信封初步评审</w:t>
      </w:r>
      <w:bookmarkEnd w:id="60"/>
      <w:bookmarkEnd w:id="61"/>
      <w:bookmarkEnd w:id="62"/>
      <w:bookmarkEnd w:id="63"/>
      <w:r>
        <w:rPr>
          <w:rFonts w:hint="eastAsia"/>
          <w:color w:val="auto"/>
          <w:sz w:val="24"/>
          <w:szCs w:val="24"/>
          <w:highlight w:val="none"/>
        </w:rPr>
        <w:t xml:space="preserve">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评标委员会可以要求投标人提交第二章“投标人须知”第3.5.1项至第3.5.5项规定的有关证明和证件的原件，以便核验。评标委员会依据本章第2.1款规定的标准对投标文件第一个信封（商务及技术文件）进行初步评审。有一项不符合评审标准的，评标委员会应否决其投标。 </w:t>
      </w:r>
    </w:p>
    <w:p>
      <w:pPr>
        <w:pStyle w:val="11"/>
        <w:spacing w:line="360" w:lineRule="auto"/>
        <w:ind w:firstLine="480" w:firstLineChars="200"/>
        <w:jc w:val="both"/>
        <w:rPr>
          <w:color w:val="auto"/>
          <w:sz w:val="24"/>
          <w:szCs w:val="24"/>
          <w:highlight w:val="none"/>
        </w:rPr>
      </w:pPr>
    </w:p>
    <w:p>
      <w:pPr>
        <w:pStyle w:val="11"/>
        <w:spacing w:line="360" w:lineRule="auto"/>
        <w:jc w:val="both"/>
        <w:rPr>
          <w:color w:val="auto"/>
          <w:sz w:val="24"/>
          <w:szCs w:val="24"/>
          <w:highlight w:val="none"/>
        </w:rPr>
      </w:pPr>
      <w:bookmarkStart w:id="64" w:name="_Toc10836_WPSOffice_Level3"/>
      <w:bookmarkStart w:id="65" w:name="_Toc3201_WPSOffice_Level3"/>
      <w:bookmarkStart w:id="66" w:name="_Toc8459_WPSOffice_Level3"/>
      <w:bookmarkStart w:id="67" w:name="_Toc6019_WPSOffice_Level3"/>
      <w:r>
        <w:rPr>
          <w:rFonts w:hint="eastAsia"/>
          <w:color w:val="auto"/>
          <w:sz w:val="24"/>
          <w:szCs w:val="24"/>
          <w:highlight w:val="none"/>
        </w:rPr>
        <w:t>3.2第一个信封详细评审</w:t>
      </w:r>
      <w:bookmarkEnd w:id="64"/>
      <w:bookmarkEnd w:id="65"/>
      <w:bookmarkEnd w:id="66"/>
      <w:bookmarkEnd w:id="67"/>
      <w:r>
        <w:rPr>
          <w:rFonts w:hint="eastAsia"/>
          <w:color w:val="auto"/>
          <w:sz w:val="24"/>
          <w:szCs w:val="24"/>
          <w:highlight w:val="none"/>
        </w:rPr>
        <w:t xml:space="preserve">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3.2.1评标委员会按本章第2.2款规定的量化因素和分值进行打分，并计算出个投标人的商务和技术得分。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（1）按本章第2.2.4（1）目规定的评审因素和分值对建设总承包方案计算出得分A；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（2）按本章第2.2.4（2）目规定的评审因素和分值对项目管理机构计算出得分B；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（3）按本章第2.2.4（4）目规定的评审因素和分值对其他部分计算出得分D；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3.2.2除有特别说明外，评分分值计算保留小数点后四位，小数点后第五位“四舍五入”。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3.2.3投标人的商务和技术得分=A+B+D。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投标文件建设总承包方案的各评分因素细分项得分均不应低于其权重分的60%（保留小数点后一位），评分低于权重分值60%的，评标委员会成员应当在评标报告中作出说明。计算投标人技术文件得分时：首先在评委技术评分中，同一评委对各投标人评分因素总分的差值最大的评委评分进行取舍（当一位或两位评委评分因素总分差值最大时，均取消其评委评分，不参与技术分的计算；当多于两位评委评分因素总分差值均最大时，不取消任一评委评分），各评委再对同一投标人的各评分因素细分项中取消一个最高、一个最低分后计算算术平均值的和为投标人的最终技术得分，平均值计算四舍五入保留小数点后四位。 </w:t>
      </w:r>
    </w:p>
    <w:p>
      <w:pPr>
        <w:pStyle w:val="11"/>
        <w:spacing w:line="360" w:lineRule="auto"/>
        <w:ind w:firstLine="480" w:firstLineChars="200"/>
        <w:jc w:val="both"/>
        <w:rPr>
          <w:color w:val="auto"/>
          <w:sz w:val="24"/>
          <w:szCs w:val="24"/>
          <w:highlight w:val="none"/>
        </w:rPr>
      </w:pPr>
    </w:p>
    <w:p>
      <w:pPr>
        <w:pStyle w:val="11"/>
        <w:spacing w:line="360" w:lineRule="auto"/>
        <w:jc w:val="both"/>
        <w:rPr>
          <w:color w:val="auto"/>
          <w:sz w:val="24"/>
          <w:szCs w:val="24"/>
          <w:highlight w:val="none"/>
        </w:rPr>
      </w:pPr>
      <w:bookmarkStart w:id="68" w:name="_Toc25605_WPSOffice_Level3"/>
      <w:bookmarkStart w:id="69" w:name="_Toc6078_WPSOffice_Level3"/>
      <w:bookmarkStart w:id="70" w:name="_Toc10672_WPSOffice_Level3"/>
      <w:bookmarkStart w:id="71" w:name="_Toc14003_WPSOffice_Level3"/>
      <w:r>
        <w:rPr>
          <w:rFonts w:hint="eastAsia"/>
          <w:color w:val="auto"/>
          <w:sz w:val="24"/>
          <w:szCs w:val="24"/>
          <w:highlight w:val="none"/>
        </w:rPr>
        <w:t>3.3第二个信封开标</w:t>
      </w:r>
      <w:bookmarkEnd w:id="68"/>
      <w:bookmarkEnd w:id="69"/>
      <w:bookmarkEnd w:id="70"/>
      <w:bookmarkEnd w:id="71"/>
      <w:r>
        <w:rPr>
          <w:rFonts w:hint="eastAsia"/>
          <w:color w:val="auto"/>
          <w:sz w:val="24"/>
          <w:szCs w:val="24"/>
          <w:highlight w:val="none"/>
        </w:rPr>
        <w:t xml:space="preserve">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第一个信封（商务及技术文件）评审结束后，招标人将按照第二章“投标人须知”第5.1款规定的时间和地点对通过投标文件第一个信封（商务及技术文件） 评审的投标文件第二个信封（报价文件）进行开标。 </w:t>
      </w:r>
    </w:p>
    <w:p>
      <w:pPr>
        <w:pStyle w:val="11"/>
        <w:spacing w:line="360" w:lineRule="auto"/>
        <w:ind w:firstLine="480" w:firstLineChars="200"/>
        <w:jc w:val="both"/>
        <w:rPr>
          <w:color w:val="auto"/>
          <w:sz w:val="24"/>
          <w:szCs w:val="24"/>
          <w:highlight w:val="none"/>
        </w:rPr>
      </w:pPr>
    </w:p>
    <w:p>
      <w:pPr>
        <w:pStyle w:val="11"/>
        <w:spacing w:line="360" w:lineRule="auto"/>
        <w:jc w:val="both"/>
        <w:rPr>
          <w:color w:val="auto"/>
          <w:sz w:val="24"/>
          <w:szCs w:val="24"/>
          <w:highlight w:val="none"/>
        </w:rPr>
      </w:pPr>
      <w:bookmarkStart w:id="72" w:name="_Toc6357_WPSOffice_Level3"/>
      <w:bookmarkStart w:id="73" w:name="_Toc20357_WPSOffice_Level3"/>
      <w:bookmarkStart w:id="74" w:name="_Toc86_WPSOffice_Level3"/>
      <w:bookmarkStart w:id="75" w:name="_Toc3909_WPSOffice_Level3"/>
      <w:r>
        <w:rPr>
          <w:rFonts w:hint="eastAsia"/>
          <w:color w:val="auto"/>
          <w:sz w:val="24"/>
          <w:szCs w:val="24"/>
          <w:highlight w:val="none"/>
        </w:rPr>
        <w:t>3.4第二个信封初步评审</w:t>
      </w:r>
      <w:bookmarkEnd w:id="72"/>
      <w:bookmarkEnd w:id="73"/>
      <w:bookmarkEnd w:id="74"/>
      <w:bookmarkEnd w:id="75"/>
      <w:r>
        <w:rPr>
          <w:rFonts w:hint="eastAsia"/>
          <w:color w:val="auto"/>
          <w:sz w:val="24"/>
          <w:szCs w:val="24"/>
          <w:highlight w:val="none"/>
        </w:rPr>
        <w:t xml:space="preserve">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3.4.1评标委员会依据本章第2.1.1项、第2.1.3项规定的评审标准对投标文件第二个信封（报价文件）进行初步评审。有一项不符合评审标准的，评标委员会应否决其投标。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3.4.2投标报价有算术错误的，评标委员会按以下原则对投标报价进行修正，修正的价格经投标人书面确认后具有约束力。投标人不接受修正价格的，评标委员会应否决其投标。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(1)投标文件中的大写金额与小写金额不一致的，以大写金额为准；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(2)总价金额与依据单价计算出的结果不一致的，以单价金额为准修正总价， 但单价金额小数点有明显错误的除外；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(3)当单价与数量相乘不等于合价时，以单价计算为准，如果单价有明显的小数点位置差错，应以标出的合价为准，同时对单价予以修正；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(4)当各子目的合价累计不等于总价时，应以各子目合价累计数为准，修正总价。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3.4.3工程量清单中的投标报价有其他错误的，评标委员会按以下原则对投标报价进行修正，修正的价格经投标人书面确认后具有约束力。投标人不接受修正价格的，评标委员会应否决其投标。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(2)在招标人给定的工程量清单中多报了某个工程子目的单价、合价或总额价，或所报单价、合价或总额价增加了报价范围，则从投标报价中扣除多报的工程子目报价或工程子目报价中增加了报价范围的部分报价。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(3)当单价与数量的乘积与合价(金额)虽然一致，但投标人修改了该子目的工程数量，则其合价按招标人给定的工程数量乘以投标人所报单价予以修正。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3.4.4修正后的最终投标报价若超过最高投标限价(如有)，评标委员会应否决其投标。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3.4.5 修正后的最终投标报价仅作为签订合同的一个依据，不参与评标价得分的计算。 </w:t>
      </w:r>
    </w:p>
    <w:p>
      <w:pPr>
        <w:pStyle w:val="11"/>
        <w:spacing w:line="360" w:lineRule="auto"/>
        <w:ind w:firstLine="480" w:firstLineChars="200"/>
        <w:jc w:val="both"/>
        <w:rPr>
          <w:color w:val="auto"/>
          <w:sz w:val="24"/>
          <w:szCs w:val="24"/>
          <w:highlight w:val="none"/>
        </w:rPr>
      </w:pPr>
    </w:p>
    <w:p>
      <w:pPr>
        <w:pStyle w:val="11"/>
        <w:spacing w:line="360" w:lineRule="auto"/>
        <w:jc w:val="both"/>
        <w:rPr>
          <w:color w:val="auto"/>
          <w:sz w:val="24"/>
          <w:szCs w:val="24"/>
          <w:highlight w:val="none"/>
        </w:rPr>
      </w:pPr>
      <w:bookmarkStart w:id="76" w:name="_Toc23515_WPSOffice_Level3"/>
      <w:bookmarkStart w:id="77" w:name="_Toc10856_WPSOffice_Level3"/>
      <w:bookmarkStart w:id="78" w:name="_Toc24251_WPSOffice_Level3"/>
      <w:bookmarkStart w:id="79" w:name="_Toc17719_WPSOffice_Level3"/>
      <w:r>
        <w:rPr>
          <w:rFonts w:hint="eastAsia"/>
          <w:color w:val="auto"/>
          <w:sz w:val="24"/>
          <w:szCs w:val="24"/>
          <w:highlight w:val="none"/>
        </w:rPr>
        <w:t>3.5第二个信封详细评审</w:t>
      </w:r>
      <w:bookmarkEnd w:id="76"/>
      <w:bookmarkEnd w:id="77"/>
      <w:bookmarkEnd w:id="78"/>
      <w:bookmarkEnd w:id="79"/>
      <w:r>
        <w:rPr>
          <w:rFonts w:hint="eastAsia"/>
          <w:color w:val="auto"/>
          <w:sz w:val="24"/>
          <w:szCs w:val="24"/>
          <w:highlight w:val="none"/>
        </w:rPr>
        <w:t xml:space="preserve">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3.5.1评标委员会按本章第2.2.4（3）目规定的评审因素和分值对投标报价计算出得分C。投标报价得分分值计算保留小数点后四位，小数点后第五位“四舍五入”。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3.5.2投标人综合得分=投标人的商务和技术得分+C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3.5.3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 </w:t>
      </w:r>
    </w:p>
    <w:p>
      <w:pPr>
        <w:pStyle w:val="11"/>
        <w:spacing w:line="360" w:lineRule="auto"/>
        <w:ind w:firstLine="480" w:firstLineChars="200"/>
        <w:jc w:val="both"/>
        <w:rPr>
          <w:color w:val="auto"/>
          <w:sz w:val="24"/>
          <w:szCs w:val="24"/>
          <w:highlight w:val="none"/>
        </w:rPr>
      </w:pPr>
    </w:p>
    <w:p>
      <w:pPr>
        <w:pStyle w:val="11"/>
        <w:spacing w:line="360" w:lineRule="auto"/>
        <w:jc w:val="both"/>
        <w:rPr>
          <w:color w:val="auto"/>
          <w:sz w:val="24"/>
          <w:szCs w:val="24"/>
          <w:highlight w:val="none"/>
        </w:rPr>
      </w:pPr>
      <w:bookmarkStart w:id="80" w:name="_Toc11689_WPSOffice_Level3"/>
      <w:bookmarkStart w:id="81" w:name="_Toc9368_WPSOffice_Level3"/>
      <w:bookmarkStart w:id="82" w:name="_Toc25025_WPSOffice_Level3"/>
      <w:bookmarkStart w:id="83" w:name="_Toc19046_WPSOffice_Level3"/>
      <w:r>
        <w:rPr>
          <w:rFonts w:hint="eastAsia"/>
          <w:color w:val="auto"/>
          <w:sz w:val="24"/>
          <w:szCs w:val="24"/>
          <w:highlight w:val="none"/>
        </w:rPr>
        <w:t>3.6投标文件相关信息的核查</w:t>
      </w:r>
      <w:bookmarkEnd w:id="80"/>
      <w:bookmarkEnd w:id="81"/>
      <w:bookmarkEnd w:id="82"/>
      <w:bookmarkEnd w:id="83"/>
      <w:r>
        <w:rPr>
          <w:rFonts w:hint="eastAsia"/>
          <w:color w:val="auto"/>
          <w:sz w:val="24"/>
          <w:szCs w:val="24"/>
          <w:highlight w:val="none"/>
        </w:rPr>
        <w:t xml:space="preserve">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3.6.1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3.6.2评标委员会应对在评标过程中发现的投标人与投标人之间、投标人与招标人之间存在的串通投标的情形进行评审和认定。投标人存在串通投标、弄虚作假、行贿等违法行为的，评标委员会应否决其投标。 </w:t>
      </w:r>
    </w:p>
    <w:p>
      <w:pPr>
        <w:pStyle w:val="11"/>
        <w:numPr>
          <w:ilvl w:val="0"/>
          <w:numId w:val="2"/>
        </w:numPr>
        <w:spacing w:line="360" w:lineRule="auto"/>
        <w:ind w:firstLine="480" w:firstLineChars="200"/>
        <w:jc w:val="both"/>
        <w:rPr>
          <w:color w:val="auto"/>
          <w:sz w:val="24"/>
          <w:szCs w:val="24"/>
          <w:highlight w:val="none"/>
        </w:rPr>
      </w:pPr>
      <w:r>
        <w:rPr>
          <w:rFonts w:hint="eastAsia"/>
          <w:color w:val="auto"/>
          <w:sz w:val="24"/>
          <w:szCs w:val="24"/>
          <w:highlight w:val="none"/>
        </w:rPr>
        <w:t xml:space="preserve">有下列情形之一的，属于投标人相互串通投标：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a.投标人之间协商投标报价等投标文件的实质性内容；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b.投标人之间约定中标人；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c.投标人之间约定部分投标人放弃投标或中标；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d.属于同一集团、协会、商会等组织成员的投标人按照该组织要求协同投标；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e.投标人之间为谋取中标或排斥特定投标人而采取的其他联合行动。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（2）有下列情形之一的，视为投标人相互串通投标：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a.不同投标人的投标文件由同一单位或个人编制；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b.不同投标人委托同一单位或个人办理投标事宜；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c.不同投标人的投标文件载明的项目管理成员为同一人；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d.不同投标人的投标文件异常一致或投标报价呈规律性差异；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e.不同投标人的投标文件相互混装；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f.不同投标人的投标保证金从同一单位或个人的账户转出。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（3）有下列情形之一的，属于招标人与投标人串通投标：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a.招标人在开标前开启投标文件并将有关信息泄露给其他投标人；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b.招标人直接或间接向投标人泄露标底、评标委员会成员等信息；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c.招标人明示或暗示投标人压低或抬高投标报价；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d.招标人授意投标人撤换、修改投标文件；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e.招标人明示或暗示投标人为特定投标人中标提供方便；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f.招标人与投标人为谋求特定投标人中标而采取的其他串通行为；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g.广东省实施《中华人民共和国招标投标法》办法第十六条规定的情形。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（4）投标人有下列情形之一的，属于弄虚作假的行为：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a.使用通过受让或租借等方式获取的资格、资质证书投标；</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b.使用伪造、变造的许可证件；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c.提供虚假的财务状况或业绩；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d.提供虚假的主要负责人简历、社保证明；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e.提供虚假的信用状况；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f.其他弄虚作假的行为。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3.6.3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 </w:t>
      </w:r>
    </w:p>
    <w:p>
      <w:pPr>
        <w:pStyle w:val="11"/>
        <w:spacing w:line="360" w:lineRule="auto"/>
        <w:ind w:firstLine="480" w:firstLineChars="200"/>
        <w:jc w:val="both"/>
        <w:rPr>
          <w:color w:val="auto"/>
          <w:sz w:val="24"/>
          <w:szCs w:val="24"/>
          <w:highlight w:val="none"/>
        </w:rPr>
      </w:pPr>
    </w:p>
    <w:p>
      <w:pPr>
        <w:pStyle w:val="11"/>
        <w:spacing w:line="360" w:lineRule="auto"/>
        <w:jc w:val="both"/>
        <w:rPr>
          <w:color w:val="auto"/>
          <w:sz w:val="24"/>
          <w:szCs w:val="24"/>
          <w:highlight w:val="none"/>
        </w:rPr>
      </w:pPr>
      <w:bookmarkStart w:id="84" w:name="_Toc24718_WPSOffice_Level3"/>
      <w:bookmarkStart w:id="85" w:name="_Toc15441_WPSOffice_Level3"/>
      <w:bookmarkStart w:id="86" w:name="_Toc1405_WPSOffice_Level3"/>
      <w:bookmarkStart w:id="87" w:name="_Toc10908_WPSOffice_Level3"/>
      <w:r>
        <w:rPr>
          <w:rFonts w:hint="eastAsia"/>
          <w:color w:val="auto"/>
          <w:sz w:val="24"/>
          <w:szCs w:val="24"/>
          <w:highlight w:val="none"/>
        </w:rPr>
        <w:t>3.7投标文件的澄清和说明</w:t>
      </w:r>
      <w:bookmarkEnd w:id="84"/>
      <w:bookmarkEnd w:id="85"/>
      <w:bookmarkEnd w:id="86"/>
      <w:bookmarkEnd w:id="87"/>
      <w:r>
        <w:rPr>
          <w:rFonts w:hint="eastAsia"/>
          <w:color w:val="auto"/>
          <w:sz w:val="24"/>
          <w:szCs w:val="24"/>
          <w:highlight w:val="none"/>
        </w:rPr>
        <w:t xml:space="preserve">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3.7.1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3.7.2澄清和说明不得超出投标文件的范围或改变投标文件的实质性内容（算术性错误的修正除外）。投标人的书面澄清、说明属于投标文件的组成部分。</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3.7.3 评标委员会不得暗示或诱导投标人作出澄清、说明，对投标人提交的澄清、说明有疑问的，可以要求投标人进一步澄清或说明，直至满足评标委员会的要求。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3.7.4 凡超出招标文件规定的或给发包人带来未曾要求的利益的变化、偏差或其他因素在评标时不予考虑。 </w:t>
      </w:r>
    </w:p>
    <w:p>
      <w:pPr>
        <w:pStyle w:val="11"/>
        <w:spacing w:line="360" w:lineRule="auto"/>
        <w:ind w:firstLine="480" w:firstLineChars="200"/>
        <w:jc w:val="both"/>
        <w:rPr>
          <w:color w:val="auto"/>
          <w:sz w:val="24"/>
          <w:szCs w:val="24"/>
          <w:highlight w:val="none"/>
        </w:rPr>
      </w:pPr>
    </w:p>
    <w:p>
      <w:pPr>
        <w:pStyle w:val="11"/>
        <w:spacing w:line="360" w:lineRule="auto"/>
        <w:jc w:val="both"/>
        <w:rPr>
          <w:color w:val="auto"/>
          <w:sz w:val="24"/>
          <w:szCs w:val="24"/>
          <w:highlight w:val="none"/>
        </w:rPr>
      </w:pPr>
      <w:bookmarkStart w:id="88" w:name="_Toc16028_WPSOffice_Level3"/>
      <w:bookmarkStart w:id="89" w:name="_Toc8162_WPSOffice_Level3"/>
      <w:bookmarkStart w:id="90" w:name="_Toc25882_WPSOffice_Level3"/>
      <w:bookmarkStart w:id="91" w:name="_Toc6206_WPSOffice_Level3"/>
      <w:r>
        <w:rPr>
          <w:rFonts w:hint="eastAsia"/>
          <w:color w:val="auto"/>
          <w:sz w:val="24"/>
          <w:szCs w:val="24"/>
          <w:highlight w:val="none"/>
        </w:rPr>
        <w:t>3.8不得否决投标的情形</w:t>
      </w:r>
      <w:bookmarkEnd w:id="88"/>
      <w:bookmarkEnd w:id="89"/>
      <w:bookmarkEnd w:id="90"/>
      <w:bookmarkEnd w:id="91"/>
      <w:r>
        <w:rPr>
          <w:rFonts w:hint="eastAsia"/>
          <w:color w:val="auto"/>
          <w:sz w:val="24"/>
          <w:szCs w:val="24"/>
          <w:highlight w:val="none"/>
        </w:rPr>
        <w:t xml:space="preserve">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投标文件存在第二章“投标人须知”第1.12.3 项所列情形的，均视为细微偏差，评标委员会不得否决投标人的投标，应按照第二章“投标人须知”第1.12.4 项规定的原则处理。 </w:t>
      </w:r>
    </w:p>
    <w:p>
      <w:pPr>
        <w:pStyle w:val="11"/>
        <w:spacing w:line="360" w:lineRule="auto"/>
        <w:ind w:firstLine="480" w:firstLineChars="200"/>
        <w:jc w:val="both"/>
        <w:rPr>
          <w:color w:val="auto"/>
          <w:sz w:val="24"/>
          <w:szCs w:val="24"/>
          <w:highlight w:val="none"/>
        </w:rPr>
      </w:pPr>
    </w:p>
    <w:p>
      <w:pPr>
        <w:pStyle w:val="11"/>
        <w:spacing w:line="360" w:lineRule="auto"/>
        <w:ind w:firstLine="480" w:firstLineChars="200"/>
        <w:jc w:val="both"/>
        <w:rPr>
          <w:color w:val="auto"/>
          <w:sz w:val="24"/>
          <w:szCs w:val="24"/>
          <w:highlight w:val="none"/>
        </w:rPr>
      </w:pPr>
      <w:bookmarkStart w:id="92" w:name="_Toc15755_WPSOffice_Level3"/>
      <w:bookmarkStart w:id="93" w:name="_Toc22312_WPSOffice_Level3"/>
      <w:bookmarkStart w:id="94" w:name="_Toc6671_WPSOffice_Level3"/>
      <w:bookmarkStart w:id="95" w:name="_Toc31961_WPSOffice_Level3"/>
      <w:r>
        <w:rPr>
          <w:rFonts w:hint="eastAsia"/>
          <w:color w:val="auto"/>
          <w:sz w:val="24"/>
          <w:szCs w:val="24"/>
          <w:highlight w:val="none"/>
        </w:rPr>
        <w:t>3.9评标结果</w:t>
      </w:r>
      <w:bookmarkEnd w:id="92"/>
      <w:bookmarkEnd w:id="93"/>
      <w:bookmarkEnd w:id="94"/>
      <w:bookmarkEnd w:id="95"/>
      <w:r>
        <w:rPr>
          <w:rFonts w:hint="eastAsia"/>
          <w:color w:val="auto"/>
          <w:sz w:val="24"/>
          <w:szCs w:val="24"/>
          <w:highlight w:val="none"/>
        </w:rPr>
        <w:t xml:space="preserve">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3.9.1除第二章“投标人须知”前附表授权直接确定中标人外，评标委员会按照得分由高到低的顺序推荐中标候选人，并标明中标候选人排序。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3.9.2评标委员会完成评标后，应向招标人提交书面评标报告。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3.9.3通过第一个信封商务及技术文件评审的投标人少于3个的，评标委员会可以否决全部投标；未否决全部投标的，评标委员会应当在评标报告中阐明理由，招标人应当按照招标文件规定的程序进行第二个信封报价文件开标，但评标委员会在进行报价文件评审时仍有权否决全部投标；评标委员会未在报价文件评审时否决全部投标的，应当在评标报告中阐明理由并推荐中标候选人。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3.9.4通过第一个信封商务及技术文件评审的投标人在3个及以上的，招标人应当按照招标文件规定的程序进行第二个信封报价文件开标；在对报价文件进行评审后，有效投标不足3个的，评标委员会可以否决全部投标。未否决全部投标的，评标委员会应当在评标报告中阐明理由并推荐中标候选人。 </w:t>
      </w:r>
    </w:p>
    <w:p>
      <w:pPr>
        <w:pStyle w:val="11"/>
        <w:spacing w:line="360" w:lineRule="auto"/>
        <w:ind w:firstLine="480" w:firstLineChars="200"/>
        <w:jc w:val="both"/>
        <w:rPr>
          <w:color w:val="auto"/>
          <w:sz w:val="24"/>
          <w:szCs w:val="24"/>
          <w:highlight w:val="none"/>
        </w:rPr>
      </w:pPr>
      <w:r>
        <w:rPr>
          <w:rFonts w:hint="eastAsia"/>
          <w:color w:val="auto"/>
          <w:sz w:val="24"/>
          <w:szCs w:val="24"/>
          <w:highlight w:val="none"/>
        </w:rPr>
        <w:t xml:space="preserve">3.9.5如果发生无法确定推荐中标候选人的其它意外情况，评标委员会可建议招标人重新招标。 </w:t>
      </w:r>
    </w:p>
    <w:p>
      <w:pPr>
        <w:spacing w:line="360" w:lineRule="auto"/>
        <w:ind w:firstLine="420" w:firstLineChars="200"/>
        <w:jc w:val="both"/>
        <w:rPr>
          <w:color w:val="auto"/>
          <w:sz w:val="21"/>
          <w:szCs w:val="21"/>
          <w:highlight w:val="none"/>
        </w:rPr>
        <w:sectPr>
          <w:pgSz w:w="11906" w:h="16838"/>
          <w:pgMar w:top="1418" w:right="1134" w:bottom="1418" w:left="1134" w:header="851" w:footer="992" w:gutter="0"/>
          <w:cols w:space="720" w:num="1"/>
          <w:docGrid w:type="lines" w:linePitch="312" w:charSpace="0"/>
        </w:sectPr>
      </w:pPr>
    </w:p>
    <w:p>
      <w:pPr>
        <w:numPr>
          <w:ilvl w:val="0"/>
          <w:numId w:val="3"/>
        </w:numPr>
        <w:spacing w:line="360" w:lineRule="auto"/>
        <w:ind w:firstLine="562"/>
        <w:jc w:val="center"/>
        <w:rPr>
          <w:rFonts w:hint="eastAsia"/>
          <w:b/>
          <w:color w:val="auto"/>
          <w:sz w:val="28"/>
          <w:szCs w:val="28"/>
          <w:highlight w:val="none"/>
        </w:rPr>
      </w:pPr>
      <w:r>
        <w:rPr>
          <w:rFonts w:hint="eastAsia"/>
          <w:b/>
          <w:color w:val="auto"/>
          <w:sz w:val="28"/>
          <w:szCs w:val="28"/>
          <w:highlight w:val="none"/>
        </w:rPr>
        <w:t>定标办法</w:t>
      </w:r>
    </w:p>
    <w:p>
      <w:pPr>
        <w:pStyle w:val="2"/>
        <w:numPr>
          <w:ilvl w:val="0"/>
          <w:numId w:val="0"/>
        </w:numPr>
        <w:ind w:firstLine="480" w:firstLineChars="200"/>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Hans" w:bidi="zh-CN"/>
        </w:rPr>
        <w:t>根据《中华人民共和国招标投标法》《中华人民共和国招标投标法实施条例》《国家发展改革委等部门关于严格执行招标投标法规制度进一步规范招标投标主体行为的若干意见》（发改法规规〔2022〕1117号）和《广东省人民政府办公厅关于印发广东省促进建筑业高质量发展若干措施的通知》</w:t>
      </w:r>
      <w:r>
        <w:rPr>
          <w:rFonts w:hint="default" w:ascii="宋体" w:hAnsi="宋体" w:eastAsia="宋体" w:cs="宋体"/>
          <w:color w:val="auto"/>
          <w:sz w:val="24"/>
          <w:szCs w:val="24"/>
          <w:highlight w:val="none"/>
          <w:lang w:eastAsia="zh-Hans" w:bidi="zh-CN"/>
        </w:rPr>
        <w:t>《</w:t>
      </w:r>
      <w:r>
        <w:rPr>
          <w:rFonts w:hint="eastAsia" w:ascii="宋体" w:hAnsi="宋体" w:eastAsia="宋体" w:cs="宋体"/>
          <w:color w:val="auto"/>
          <w:sz w:val="24"/>
          <w:szCs w:val="24"/>
          <w:highlight w:val="none"/>
          <w:lang w:val="en-US" w:eastAsia="zh-Hans" w:bidi="zh-CN"/>
        </w:rPr>
        <w:t>粤府办〔2021〕11号</w:t>
      </w:r>
      <w:r>
        <w:rPr>
          <w:rFonts w:hint="default" w:ascii="宋体" w:hAnsi="宋体" w:eastAsia="宋体" w:cs="宋体"/>
          <w:color w:val="auto"/>
          <w:sz w:val="24"/>
          <w:szCs w:val="24"/>
          <w:highlight w:val="none"/>
          <w:lang w:eastAsia="zh-Hans" w:bidi="zh-CN"/>
        </w:rPr>
        <w:t>》、《</w:t>
      </w:r>
      <w:r>
        <w:rPr>
          <w:rFonts w:hint="eastAsia" w:ascii="宋体" w:hAnsi="宋体" w:eastAsia="宋体" w:cs="宋体"/>
          <w:color w:val="auto"/>
          <w:sz w:val="24"/>
          <w:szCs w:val="24"/>
          <w:highlight w:val="none"/>
          <w:lang w:val="en-US" w:eastAsia="zh-Hans" w:bidi="zh-CN"/>
        </w:rPr>
        <w:t>茂发改规〔2023〕1号</w:t>
      </w:r>
      <w:r>
        <w:rPr>
          <w:rFonts w:hint="default" w:ascii="宋体" w:hAnsi="宋体" w:eastAsia="宋体" w:cs="宋体"/>
          <w:color w:val="auto"/>
          <w:sz w:val="24"/>
          <w:szCs w:val="24"/>
          <w:highlight w:val="none"/>
          <w:lang w:eastAsia="zh-Hans" w:bidi="zh-CN"/>
        </w:rPr>
        <w:t>》</w:t>
      </w:r>
      <w:r>
        <w:rPr>
          <w:rFonts w:hint="eastAsia" w:ascii="宋体" w:hAnsi="宋体" w:eastAsia="宋体" w:cs="宋体"/>
          <w:color w:val="auto"/>
          <w:sz w:val="24"/>
          <w:szCs w:val="24"/>
          <w:highlight w:val="none"/>
          <w:lang w:val="en-US" w:eastAsia="zh-Hans" w:bidi="zh-CN"/>
        </w:rPr>
        <w:t>等法律、法规和有关政策的规定，结合本市实际，制定评标定标分离管理办法。</w:t>
      </w:r>
    </w:p>
    <w:p>
      <w:pPr>
        <w:spacing w:line="360" w:lineRule="auto"/>
        <w:ind w:firstLine="480" w:firstLineChars="200"/>
        <w:rPr>
          <w:color w:val="auto"/>
          <w:sz w:val="24"/>
          <w:szCs w:val="24"/>
          <w:highlight w:val="none"/>
        </w:rPr>
      </w:pPr>
      <w:r>
        <w:rPr>
          <w:rFonts w:hint="eastAsia"/>
          <w:color w:val="auto"/>
          <w:sz w:val="24"/>
          <w:szCs w:val="24"/>
          <w:highlight w:val="none"/>
        </w:rPr>
        <w:t>1.组建招标监督小组。</w:t>
      </w:r>
    </w:p>
    <w:p>
      <w:pPr>
        <w:spacing w:line="360" w:lineRule="auto"/>
        <w:ind w:firstLine="480" w:firstLineChars="200"/>
        <w:rPr>
          <w:color w:val="auto"/>
          <w:sz w:val="24"/>
          <w:szCs w:val="24"/>
          <w:highlight w:val="none"/>
        </w:rPr>
      </w:pPr>
      <w:r>
        <w:rPr>
          <w:rFonts w:hint="eastAsia"/>
          <w:color w:val="auto"/>
          <w:sz w:val="24"/>
          <w:szCs w:val="24"/>
          <w:highlight w:val="none"/>
        </w:rPr>
        <w:t>1.1由</w:t>
      </w:r>
      <w:r>
        <w:rPr>
          <w:rFonts w:hint="eastAsia"/>
          <w:color w:val="auto"/>
          <w:sz w:val="24"/>
          <w:szCs w:val="24"/>
          <w:highlight w:val="none"/>
          <w:lang w:val="en-US"/>
        </w:rPr>
        <w:t>招标人组建</w:t>
      </w:r>
      <w:r>
        <w:rPr>
          <w:rFonts w:hint="eastAsia"/>
          <w:color w:val="auto"/>
          <w:sz w:val="24"/>
          <w:szCs w:val="24"/>
          <w:highlight w:val="none"/>
        </w:rPr>
        <w:t>监督小组，</w:t>
      </w:r>
      <w:r>
        <w:rPr>
          <w:rFonts w:hint="eastAsia"/>
          <w:color w:val="auto"/>
          <w:sz w:val="24"/>
          <w:szCs w:val="24"/>
          <w:highlight w:val="none"/>
          <w:lang w:val="en-US"/>
        </w:rPr>
        <w:t>人数为3人</w:t>
      </w:r>
      <w:r>
        <w:rPr>
          <w:rFonts w:hint="eastAsia"/>
          <w:color w:val="auto"/>
          <w:sz w:val="24"/>
          <w:szCs w:val="24"/>
          <w:highlight w:val="none"/>
        </w:rPr>
        <w:t>，对开标、评标、定标全过程进行监督，及时指出、制止违反程序及纪律的行为。</w:t>
      </w:r>
    </w:p>
    <w:p>
      <w:pPr>
        <w:spacing w:line="360" w:lineRule="auto"/>
        <w:ind w:firstLine="480" w:firstLineChars="200"/>
        <w:rPr>
          <w:color w:val="auto"/>
          <w:sz w:val="24"/>
          <w:szCs w:val="24"/>
          <w:highlight w:val="none"/>
        </w:rPr>
      </w:pPr>
      <w:r>
        <w:rPr>
          <w:rFonts w:hint="eastAsia"/>
          <w:color w:val="auto"/>
          <w:sz w:val="24"/>
          <w:szCs w:val="24"/>
          <w:highlight w:val="none"/>
        </w:rPr>
        <w:t>1.2特殊情况导致开标、评标或者定标无法继续进行的、相关人员存在违反程序及纪律的行为被指出后仍拒绝纠正的、发现招标投标活动存在其他违反相关规定行为的，招标监督小组应当及时报告招标投标行政监督部门。</w:t>
      </w:r>
    </w:p>
    <w:p>
      <w:pPr>
        <w:spacing w:line="360" w:lineRule="auto"/>
        <w:ind w:firstLine="480" w:firstLineChars="200"/>
        <w:rPr>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rPr>
        <w:t>3</w:t>
      </w:r>
      <w:r>
        <w:rPr>
          <w:rFonts w:hint="eastAsia"/>
          <w:color w:val="auto"/>
          <w:sz w:val="24"/>
          <w:szCs w:val="24"/>
          <w:highlight w:val="none"/>
        </w:rPr>
        <w:t>招标监督小组负责编制本招标项目的监督报告，并于招标情况备案时同步向招标投标行政监督部门提交。</w:t>
      </w:r>
    </w:p>
    <w:p>
      <w:pPr>
        <w:spacing w:line="360" w:lineRule="auto"/>
        <w:ind w:firstLine="480" w:firstLineChars="200"/>
        <w:rPr>
          <w:color w:val="auto"/>
          <w:sz w:val="24"/>
          <w:szCs w:val="24"/>
          <w:highlight w:val="none"/>
        </w:rPr>
      </w:pPr>
      <w:r>
        <w:rPr>
          <w:rFonts w:hint="eastAsia"/>
          <w:color w:val="auto"/>
          <w:sz w:val="24"/>
          <w:szCs w:val="24"/>
          <w:highlight w:val="none"/>
        </w:rPr>
        <w:t>2.定标委员会</w:t>
      </w:r>
    </w:p>
    <w:p>
      <w:pPr>
        <w:spacing w:line="360" w:lineRule="auto"/>
        <w:ind w:firstLine="480" w:firstLineChars="200"/>
        <w:rPr>
          <w:color w:val="auto"/>
          <w:sz w:val="24"/>
          <w:szCs w:val="24"/>
          <w:highlight w:val="none"/>
        </w:rPr>
      </w:pPr>
      <w:r>
        <w:rPr>
          <w:rFonts w:hint="eastAsia"/>
          <w:color w:val="auto"/>
          <w:sz w:val="24"/>
          <w:szCs w:val="24"/>
          <w:highlight w:val="none"/>
        </w:rPr>
        <w:t>2.1招标人采用</w:t>
      </w:r>
      <w:r>
        <w:rPr>
          <w:rFonts w:hint="eastAsia"/>
          <w:color w:val="auto"/>
          <w:sz w:val="24"/>
          <w:szCs w:val="24"/>
          <w:highlight w:val="none"/>
          <w:u w:val="single"/>
          <w:lang w:val="en-US"/>
        </w:rPr>
        <w:t>票决</w:t>
      </w:r>
      <w:r>
        <w:rPr>
          <w:rFonts w:hint="eastAsia"/>
          <w:color w:val="auto"/>
          <w:sz w:val="24"/>
          <w:szCs w:val="24"/>
          <w:highlight w:val="none"/>
          <w:u w:val="single"/>
        </w:rPr>
        <w:t>定标法</w:t>
      </w:r>
      <w:r>
        <w:rPr>
          <w:rFonts w:hint="eastAsia"/>
          <w:color w:val="auto"/>
          <w:sz w:val="24"/>
          <w:szCs w:val="24"/>
          <w:highlight w:val="none"/>
        </w:rPr>
        <w:t>定标，由</w:t>
      </w:r>
      <w:r>
        <w:rPr>
          <w:rFonts w:hint="eastAsia"/>
          <w:color w:val="auto"/>
          <w:sz w:val="24"/>
          <w:szCs w:val="24"/>
          <w:highlight w:val="none"/>
          <w:lang w:val="en-US"/>
        </w:rPr>
        <w:t>招标人</w:t>
      </w:r>
      <w:r>
        <w:rPr>
          <w:rFonts w:hint="eastAsia"/>
          <w:color w:val="auto"/>
          <w:sz w:val="24"/>
          <w:szCs w:val="24"/>
          <w:highlight w:val="none"/>
        </w:rPr>
        <w:t>组建定标委员会。</w:t>
      </w:r>
    </w:p>
    <w:p>
      <w:pPr>
        <w:spacing w:line="360" w:lineRule="auto"/>
        <w:ind w:firstLine="480" w:firstLineChars="200"/>
        <w:rPr>
          <w:color w:val="auto"/>
          <w:sz w:val="24"/>
          <w:szCs w:val="24"/>
          <w:highlight w:val="none"/>
          <w:lang w:val="en-US"/>
        </w:rPr>
      </w:pPr>
      <w:r>
        <w:rPr>
          <w:rFonts w:hint="eastAsia"/>
          <w:color w:val="auto"/>
          <w:sz w:val="24"/>
          <w:szCs w:val="24"/>
          <w:highlight w:val="none"/>
        </w:rPr>
        <w:t>2.2定标委员会组成：定标委员会组成人员共</w:t>
      </w:r>
      <w:r>
        <w:rPr>
          <w:rFonts w:hint="eastAsia"/>
          <w:color w:val="auto"/>
          <w:sz w:val="24"/>
          <w:szCs w:val="24"/>
          <w:highlight w:val="none"/>
          <w:lang w:val="en-US"/>
        </w:rPr>
        <w:t>7</w:t>
      </w:r>
      <w:r>
        <w:rPr>
          <w:rFonts w:hint="eastAsia"/>
          <w:color w:val="auto"/>
          <w:sz w:val="24"/>
          <w:szCs w:val="24"/>
          <w:highlight w:val="none"/>
        </w:rPr>
        <w:t>人（其中指定</w:t>
      </w:r>
      <w:r>
        <w:rPr>
          <w:rFonts w:hint="eastAsia"/>
          <w:color w:val="auto"/>
          <w:sz w:val="24"/>
          <w:szCs w:val="24"/>
          <w:highlight w:val="none"/>
          <w:lang w:val="en-US"/>
        </w:rPr>
        <w:t>2</w:t>
      </w:r>
      <w:r>
        <w:rPr>
          <w:rFonts w:hint="eastAsia"/>
          <w:color w:val="auto"/>
          <w:sz w:val="24"/>
          <w:szCs w:val="24"/>
          <w:highlight w:val="none"/>
        </w:rPr>
        <w:t>人，另外</w:t>
      </w:r>
      <w:r>
        <w:rPr>
          <w:rFonts w:hint="eastAsia"/>
          <w:color w:val="auto"/>
          <w:sz w:val="24"/>
          <w:szCs w:val="24"/>
          <w:highlight w:val="none"/>
          <w:lang w:val="en-US"/>
        </w:rPr>
        <w:t>5</w:t>
      </w:r>
      <w:r>
        <w:rPr>
          <w:rFonts w:hint="eastAsia"/>
          <w:color w:val="auto"/>
          <w:sz w:val="24"/>
          <w:szCs w:val="24"/>
          <w:highlight w:val="none"/>
        </w:rPr>
        <w:t>人由</w:t>
      </w:r>
      <w:r>
        <w:rPr>
          <w:rFonts w:hint="eastAsia"/>
          <w:color w:val="auto"/>
          <w:sz w:val="24"/>
          <w:szCs w:val="24"/>
          <w:highlight w:val="none"/>
          <w:lang w:val="en-US"/>
        </w:rPr>
        <w:t>招标人</w:t>
      </w:r>
      <w:r>
        <w:rPr>
          <w:rFonts w:hint="eastAsia"/>
          <w:bCs/>
          <w:color w:val="auto"/>
          <w:spacing w:val="10"/>
          <w:sz w:val="24"/>
          <w:szCs w:val="24"/>
          <w:highlight w:val="none"/>
          <w:lang w:val="en-US"/>
        </w:rPr>
        <w:t>于定标当日</w:t>
      </w:r>
      <w:r>
        <w:rPr>
          <w:rFonts w:hint="eastAsia"/>
          <w:color w:val="auto"/>
          <w:sz w:val="24"/>
          <w:szCs w:val="24"/>
          <w:highlight w:val="none"/>
        </w:rPr>
        <w:t>从</w:t>
      </w:r>
      <w:r>
        <w:rPr>
          <w:rFonts w:hint="eastAsia"/>
          <w:color w:val="auto"/>
          <w:sz w:val="24"/>
          <w:szCs w:val="24"/>
          <w:highlight w:val="none"/>
          <w:lang w:val="en-US"/>
        </w:rPr>
        <w:t>2</w:t>
      </w:r>
      <w:r>
        <w:rPr>
          <w:rFonts w:hint="eastAsia"/>
          <w:color w:val="auto"/>
          <w:sz w:val="24"/>
          <w:szCs w:val="24"/>
          <w:highlight w:val="none"/>
        </w:rPr>
        <w:t>倍以上备选人员名单中</w:t>
      </w:r>
      <w:r>
        <w:rPr>
          <w:rFonts w:hint="eastAsia"/>
          <w:color w:val="auto"/>
          <w:sz w:val="24"/>
          <w:szCs w:val="24"/>
          <w:highlight w:val="none"/>
          <w:lang w:val="en-US"/>
        </w:rPr>
        <w:t>随机</w:t>
      </w:r>
      <w:r>
        <w:rPr>
          <w:rFonts w:hint="eastAsia"/>
          <w:color w:val="auto"/>
          <w:sz w:val="24"/>
          <w:szCs w:val="24"/>
          <w:highlight w:val="none"/>
        </w:rPr>
        <w:t>抽取</w:t>
      </w:r>
      <w:r>
        <w:rPr>
          <w:rFonts w:hint="eastAsia"/>
          <w:color w:val="auto"/>
          <w:sz w:val="24"/>
          <w:szCs w:val="24"/>
          <w:highlight w:val="none"/>
          <w:lang w:val="en-US"/>
        </w:rPr>
        <w:t>确定</w:t>
      </w:r>
      <w:r>
        <w:rPr>
          <w:rFonts w:hint="eastAsia"/>
          <w:color w:val="auto"/>
          <w:sz w:val="24"/>
          <w:szCs w:val="24"/>
          <w:highlight w:val="none"/>
        </w:rPr>
        <w:t>，</w:t>
      </w:r>
      <w:r>
        <w:rPr>
          <w:rFonts w:hint="eastAsia"/>
          <w:color w:val="auto"/>
          <w:sz w:val="24"/>
          <w:szCs w:val="24"/>
          <w:highlight w:val="none"/>
          <w:lang w:val="en-US"/>
        </w:rPr>
        <w:t>备选成员原则上从招标人的领导班子成员、具备中级及以上职称、具有注册执业资格证的工程技术（经济）人员中产生，优先考虑具备工程相关管理经验或相关技术职称的领导干部。确有需要的，招标人可以从本系统上级主管部门、下级管理单位或者系统外相关部门工作人员确定成员），定标委员会按照民主原则推选出一名组长，负责组织整个定标工作。</w:t>
      </w:r>
    </w:p>
    <w:p>
      <w:pPr>
        <w:spacing w:line="360" w:lineRule="auto"/>
        <w:ind w:firstLine="480" w:firstLineChars="200"/>
        <w:rPr>
          <w:color w:val="auto"/>
          <w:sz w:val="24"/>
          <w:szCs w:val="24"/>
          <w:highlight w:val="none"/>
        </w:rPr>
      </w:pPr>
      <w:r>
        <w:rPr>
          <w:rFonts w:hint="eastAsia"/>
          <w:color w:val="auto"/>
          <w:sz w:val="24"/>
          <w:szCs w:val="24"/>
          <w:highlight w:val="none"/>
        </w:rPr>
        <w:t>3.召开定标会</w:t>
      </w:r>
    </w:p>
    <w:p>
      <w:pPr>
        <w:spacing w:line="360" w:lineRule="auto"/>
        <w:ind w:firstLine="480" w:firstLineChars="200"/>
        <w:rPr>
          <w:rFonts w:hAnsi="Times New Roman"/>
          <w:color w:val="auto"/>
          <w:sz w:val="24"/>
          <w:szCs w:val="24"/>
          <w:highlight w:val="none"/>
          <w:lang w:val="en-US"/>
        </w:rPr>
      </w:pPr>
      <w:r>
        <w:rPr>
          <w:rFonts w:hint="eastAsia" w:hAnsi="Times New Roman"/>
          <w:color w:val="auto"/>
          <w:sz w:val="24"/>
          <w:szCs w:val="24"/>
          <w:highlight w:val="none"/>
          <w:lang w:val="en-US"/>
        </w:rPr>
        <w:t>3.1定标候选人：</w:t>
      </w:r>
      <w:r>
        <w:rPr>
          <w:rFonts w:hAnsi="Times New Roman"/>
          <w:color w:val="auto"/>
          <w:sz w:val="24"/>
          <w:szCs w:val="24"/>
          <w:highlight w:val="none"/>
          <w:lang w:val="en-US"/>
        </w:rPr>
        <w:t>根据综合得分，</w:t>
      </w:r>
      <w:r>
        <w:rPr>
          <w:rFonts w:hint="eastAsia" w:hAnsi="Times New Roman"/>
          <w:color w:val="auto"/>
          <w:sz w:val="24"/>
          <w:szCs w:val="24"/>
          <w:highlight w:val="none"/>
          <w:lang w:val="en-US"/>
        </w:rPr>
        <w:t>取综合得分大于或等于9</w:t>
      </w:r>
      <w:r>
        <w:rPr>
          <w:rFonts w:hint="eastAsia" w:hAnsi="Times New Roman"/>
          <w:color w:val="auto"/>
          <w:sz w:val="24"/>
          <w:szCs w:val="24"/>
          <w:highlight w:val="none"/>
          <w:lang w:val="en-US" w:eastAsia="zh-CN"/>
        </w:rPr>
        <w:t>0</w:t>
      </w:r>
      <w:r>
        <w:rPr>
          <w:rFonts w:hint="eastAsia" w:hAnsi="Times New Roman"/>
          <w:color w:val="auto"/>
          <w:sz w:val="24"/>
          <w:szCs w:val="24"/>
          <w:highlight w:val="none"/>
          <w:lang w:val="en-US"/>
        </w:rPr>
        <w:t>分的全部有效投标人为</w:t>
      </w:r>
      <w:r>
        <w:rPr>
          <w:rFonts w:hint="eastAsia"/>
          <w:color w:val="auto"/>
          <w:kern w:val="2"/>
          <w:sz w:val="24"/>
          <w:szCs w:val="24"/>
          <w:highlight w:val="none"/>
          <w:lang w:val="en-US" w:bidi="ar"/>
        </w:rPr>
        <w:t>不标明</w:t>
      </w:r>
      <w:r>
        <w:rPr>
          <w:rFonts w:hint="eastAsia" w:hAnsi="Times New Roman"/>
          <w:color w:val="auto"/>
          <w:sz w:val="24"/>
          <w:szCs w:val="24"/>
          <w:highlight w:val="none"/>
          <w:lang w:val="en-US"/>
        </w:rPr>
        <w:t>排序的定标候选人（但当综合得分大于或等于9</w:t>
      </w:r>
      <w:r>
        <w:rPr>
          <w:rFonts w:hint="eastAsia" w:hAnsi="Times New Roman"/>
          <w:color w:val="auto"/>
          <w:sz w:val="24"/>
          <w:szCs w:val="24"/>
          <w:highlight w:val="none"/>
          <w:lang w:val="en-US" w:eastAsia="zh-CN"/>
        </w:rPr>
        <w:t>0</w:t>
      </w:r>
      <w:r>
        <w:rPr>
          <w:rFonts w:hint="eastAsia" w:hAnsi="Times New Roman"/>
          <w:color w:val="auto"/>
          <w:sz w:val="24"/>
          <w:szCs w:val="24"/>
          <w:highlight w:val="none"/>
          <w:lang w:val="en-US"/>
        </w:rPr>
        <w:t>分的有效投标人不足5家时，则从9</w:t>
      </w:r>
      <w:r>
        <w:rPr>
          <w:rFonts w:hint="eastAsia" w:hAnsi="Times New Roman"/>
          <w:color w:val="auto"/>
          <w:sz w:val="24"/>
          <w:szCs w:val="24"/>
          <w:highlight w:val="none"/>
          <w:lang w:val="en-US" w:eastAsia="zh-CN"/>
        </w:rPr>
        <w:t>0</w:t>
      </w:r>
      <w:r>
        <w:rPr>
          <w:rFonts w:hint="eastAsia" w:hAnsi="Times New Roman"/>
          <w:color w:val="auto"/>
          <w:sz w:val="24"/>
          <w:szCs w:val="24"/>
          <w:highlight w:val="none"/>
          <w:lang w:val="en-US"/>
        </w:rPr>
        <w:t>分以下的有效投标人中按综合得分从高到低推荐，直至补齐5家定标候选人；当全部有效投标人不少于3名，不多于5名时，则推荐全部有效投标人为定标候选人）</w:t>
      </w:r>
      <w:r>
        <w:rPr>
          <w:rFonts w:hAnsi="Times New Roman"/>
          <w:color w:val="auto"/>
          <w:sz w:val="24"/>
          <w:szCs w:val="24"/>
          <w:highlight w:val="none"/>
          <w:lang w:val="en-US"/>
        </w:rPr>
        <w:t>。</w:t>
      </w:r>
    </w:p>
    <w:p>
      <w:pPr>
        <w:spacing w:line="360" w:lineRule="auto"/>
        <w:ind w:firstLine="480" w:firstLineChars="200"/>
        <w:rPr>
          <w:rFonts w:hAnsi="Times New Roman"/>
          <w:color w:val="auto"/>
          <w:sz w:val="24"/>
          <w:szCs w:val="24"/>
          <w:highlight w:val="none"/>
          <w:lang w:val="en-US"/>
        </w:rPr>
      </w:pPr>
      <w:r>
        <w:rPr>
          <w:rFonts w:hint="eastAsia" w:hAnsi="Times New Roman"/>
          <w:color w:val="auto"/>
          <w:sz w:val="24"/>
          <w:szCs w:val="24"/>
          <w:highlight w:val="none"/>
          <w:lang w:val="en-US"/>
        </w:rPr>
        <w:t>3.2定标会召开时间、地点：招标人自评标结束后7个工作日内召开定标会，具体时间、地点由招标人另行告知。</w:t>
      </w:r>
    </w:p>
    <w:p>
      <w:pPr>
        <w:spacing w:line="360" w:lineRule="auto"/>
        <w:ind w:firstLine="480" w:firstLineChars="200"/>
        <w:rPr>
          <w:rFonts w:hAnsi="Times New Roman"/>
          <w:color w:val="auto"/>
          <w:sz w:val="24"/>
          <w:szCs w:val="24"/>
          <w:highlight w:val="none"/>
          <w:lang w:val="en-US"/>
        </w:rPr>
      </w:pPr>
      <w:r>
        <w:rPr>
          <w:rFonts w:hint="eastAsia" w:hAnsi="Times New Roman"/>
          <w:color w:val="auto"/>
          <w:sz w:val="24"/>
          <w:szCs w:val="24"/>
          <w:highlight w:val="none"/>
          <w:lang w:val="en-US"/>
        </w:rPr>
        <w:t>定标会议全过程录音录像。招标人需要延期定标的，应当及时通知定标候选人。</w:t>
      </w:r>
    </w:p>
    <w:p>
      <w:pPr>
        <w:spacing w:line="360" w:lineRule="auto"/>
        <w:ind w:firstLine="480" w:firstLineChars="200"/>
        <w:rPr>
          <w:rFonts w:hAnsi="Times New Roman"/>
          <w:color w:val="auto"/>
          <w:sz w:val="24"/>
          <w:szCs w:val="24"/>
          <w:highlight w:val="none"/>
          <w:lang w:val="en-US"/>
        </w:rPr>
      </w:pPr>
      <w:r>
        <w:rPr>
          <w:rFonts w:hint="eastAsia" w:hAnsi="Times New Roman"/>
          <w:color w:val="auto"/>
          <w:sz w:val="24"/>
          <w:szCs w:val="24"/>
          <w:highlight w:val="none"/>
          <w:lang w:val="en-US"/>
        </w:rPr>
        <w:t>4．定标方法</w:t>
      </w:r>
    </w:p>
    <w:p>
      <w:pPr>
        <w:spacing w:line="360" w:lineRule="auto"/>
        <w:ind w:firstLine="480" w:firstLineChars="200"/>
        <w:rPr>
          <w:color w:val="auto"/>
          <w:sz w:val="24"/>
          <w:szCs w:val="24"/>
          <w:highlight w:val="none"/>
        </w:rPr>
      </w:pPr>
      <w:r>
        <w:rPr>
          <w:rFonts w:hint="eastAsia" w:hAnsi="Times New Roman"/>
          <w:color w:val="auto"/>
          <w:sz w:val="24"/>
          <w:szCs w:val="24"/>
          <w:highlight w:val="none"/>
          <w:lang w:val="en-US"/>
        </w:rPr>
        <w:t>票决定标法。定标委员会根据定标因素</w:t>
      </w:r>
      <w:r>
        <w:rPr>
          <w:rFonts w:hint="eastAsia"/>
          <w:color w:val="auto"/>
          <w:sz w:val="24"/>
          <w:szCs w:val="24"/>
          <w:highlight w:val="none"/>
        </w:rPr>
        <w:t>对各定标候选人进行评审比较后，进行一次性票决排名。票决采取投票计分法，即各定标委员会成员对所有进入定标程序的投标人择优排序进行打分，最优的N分（N</w:t>
      </w:r>
      <w:r>
        <w:rPr>
          <w:rFonts w:hint="eastAsia"/>
          <w:color w:val="auto"/>
          <w:sz w:val="24"/>
          <w:szCs w:val="24"/>
          <w:highlight w:val="none"/>
          <w:lang w:val="en-US"/>
        </w:rPr>
        <w:t>为</w:t>
      </w:r>
      <w:r>
        <w:rPr>
          <w:rFonts w:hint="eastAsia"/>
          <w:color w:val="auto"/>
          <w:sz w:val="24"/>
          <w:szCs w:val="24"/>
          <w:highlight w:val="none"/>
        </w:rPr>
        <w:t>入围定标候选人的数量），其次N-1分，依此类推，按总分高低排序推荐</w:t>
      </w:r>
      <w:r>
        <w:rPr>
          <w:rFonts w:hint="eastAsia"/>
          <w:color w:val="auto"/>
          <w:sz w:val="24"/>
          <w:szCs w:val="24"/>
          <w:highlight w:val="none"/>
          <w:lang w:val="en-US"/>
        </w:rPr>
        <w:t>3名</w:t>
      </w:r>
      <w:r>
        <w:rPr>
          <w:rFonts w:hint="eastAsia"/>
          <w:color w:val="auto"/>
          <w:sz w:val="24"/>
          <w:szCs w:val="24"/>
          <w:highlight w:val="none"/>
        </w:rPr>
        <w:t>中标候选人（标明排序），得分相同且影响中标候选人确定的，可由定标委员会成员对得总分相同的单位进行再次票决确定排名。</w:t>
      </w:r>
    </w:p>
    <w:p>
      <w:pPr>
        <w:spacing w:line="360" w:lineRule="auto"/>
        <w:ind w:firstLine="480" w:firstLineChars="200"/>
        <w:rPr>
          <w:color w:val="auto"/>
          <w:sz w:val="24"/>
          <w:szCs w:val="24"/>
          <w:highlight w:val="none"/>
        </w:rPr>
      </w:pPr>
      <w:r>
        <w:rPr>
          <w:rFonts w:hint="eastAsia"/>
          <w:color w:val="auto"/>
          <w:sz w:val="24"/>
          <w:szCs w:val="24"/>
          <w:highlight w:val="none"/>
          <w:lang w:val="en-US"/>
        </w:rPr>
        <w:t>票决采用记名方式并注明投票理由。</w:t>
      </w:r>
    </w:p>
    <w:p>
      <w:pPr>
        <w:spacing w:line="360" w:lineRule="auto"/>
        <w:ind w:firstLine="480" w:firstLineChars="200"/>
        <w:rPr>
          <w:rFonts w:hAnsi="Times New Roman"/>
          <w:color w:val="auto"/>
          <w:sz w:val="24"/>
          <w:szCs w:val="24"/>
          <w:highlight w:val="none"/>
          <w:lang w:val="en-US"/>
        </w:rPr>
      </w:pPr>
      <w:r>
        <w:rPr>
          <w:rFonts w:hint="eastAsia" w:hAnsi="Times New Roman"/>
          <w:color w:val="auto"/>
          <w:sz w:val="24"/>
          <w:szCs w:val="24"/>
          <w:highlight w:val="none"/>
          <w:lang w:val="en-US"/>
        </w:rPr>
        <w:t>5.定标因素</w:t>
      </w:r>
    </w:p>
    <w:p>
      <w:pPr>
        <w:spacing w:line="360" w:lineRule="auto"/>
        <w:ind w:firstLine="480" w:firstLineChars="200"/>
        <w:rPr>
          <w:color w:val="auto"/>
          <w:sz w:val="24"/>
          <w:szCs w:val="24"/>
          <w:highlight w:val="none"/>
          <w:lang w:val="en-US"/>
        </w:rPr>
      </w:pPr>
      <w:r>
        <w:rPr>
          <w:rFonts w:hint="eastAsia"/>
          <w:color w:val="auto"/>
          <w:sz w:val="24"/>
          <w:szCs w:val="24"/>
          <w:highlight w:val="none"/>
          <w:lang w:val="en-US"/>
        </w:rPr>
        <w:t>5.1企业实力因素：综合考虑各定标候选人企业实力。需提供企业资质等级、近三年（2019年、2020年、2021年）“全国公路建设市场信用信息管理系统”企业所填的财务信息截图等方面的材料。</w:t>
      </w:r>
    </w:p>
    <w:p>
      <w:pPr>
        <w:spacing w:line="360" w:lineRule="auto"/>
        <w:ind w:firstLine="480" w:firstLineChars="200"/>
        <w:rPr>
          <w:color w:val="auto"/>
          <w:sz w:val="24"/>
          <w:szCs w:val="24"/>
          <w:highlight w:val="none"/>
          <w:lang w:val="en-US"/>
        </w:rPr>
      </w:pPr>
      <w:r>
        <w:rPr>
          <w:rFonts w:hint="eastAsia"/>
          <w:color w:val="auto"/>
          <w:sz w:val="24"/>
          <w:szCs w:val="24"/>
          <w:highlight w:val="none"/>
          <w:lang w:val="en-US"/>
        </w:rPr>
        <w:t>5.2创新能力因素：综合考虑各定标候选人创新能力。需提供2019年1月1日以来，投标人参与过的公路工程项目获得过的公路交通优质工程（李春奖）、鲁班奖、詹天佑奖、国家优质工程奖等相关奖项证书复印件，时间以获奖证书或获奖文件颁发时间为准。</w:t>
      </w:r>
    </w:p>
    <w:p>
      <w:pPr>
        <w:spacing w:line="360" w:lineRule="auto"/>
        <w:ind w:firstLine="480" w:firstLineChars="200"/>
        <w:rPr>
          <w:color w:val="auto"/>
          <w:sz w:val="24"/>
          <w:szCs w:val="24"/>
          <w:highlight w:val="none"/>
          <w:lang w:val="en-US"/>
        </w:rPr>
      </w:pPr>
      <w:r>
        <w:rPr>
          <w:rFonts w:hint="eastAsia"/>
          <w:color w:val="auto"/>
          <w:sz w:val="24"/>
          <w:szCs w:val="24"/>
          <w:highlight w:val="none"/>
          <w:lang w:val="en-US"/>
        </w:rPr>
        <w:t>5.3技术方案因素：综合考虑各定标候选人技术方案。需提供本项目的建设总承包方案</w:t>
      </w:r>
    </w:p>
    <w:p>
      <w:pPr>
        <w:spacing w:line="360" w:lineRule="auto"/>
        <w:rPr>
          <w:color w:val="auto"/>
          <w:sz w:val="24"/>
          <w:szCs w:val="24"/>
          <w:highlight w:val="none"/>
          <w:lang w:val="en-US"/>
        </w:rPr>
      </w:pPr>
      <w:r>
        <w:rPr>
          <w:rFonts w:hint="eastAsia"/>
          <w:color w:val="auto"/>
          <w:sz w:val="24"/>
          <w:szCs w:val="24"/>
          <w:highlight w:val="none"/>
          <w:lang w:val="en-US"/>
        </w:rPr>
        <w:t>（提供投标文件的建设总承包方案），方案要表述清晰、完整、具体，方案要具备合理性、科学性、有效并实施可行。</w:t>
      </w:r>
    </w:p>
    <w:p>
      <w:pPr>
        <w:spacing w:line="360" w:lineRule="auto"/>
        <w:ind w:firstLine="480" w:firstLineChars="200"/>
        <w:rPr>
          <w:color w:val="auto"/>
          <w:sz w:val="24"/>
          <w:szCs w:val="24"/>
          <w:highlight w:val="none"/>
        </w:rPr>
      </w:pPr>
      <w:r>
        <w:rPr>
          <w:rFonts w:hint="eastAsia"/>
          <w:color w:val="auto"/>
          <w:sz w:val="24"/>
          <w:szCs w:val="24"/>
          <w:highlight w:val="none"/>
        </w:rPr>
        <w:t>5.</w:t>
      </w:r>
      <w:r>
        <w:rPr>
          <w:rFonts w:hint="eastAsia"/>
          <w:color w:val="auto"/>
          <w:sz w:val="24"/>
          <w:szCs w:val="24"/>
          <w:highlight w:val="none"/>
          <w:lang w:val="en-US"/>
        </w:rPr>
        <w:t>4</w:t>
      </w:r>
      <w:r>
        <w:rPr>
          <w:rFonts w:hint="eastAsia"/>
          <w:color w:val="auto"/>
          <w:sz w:val="24"/>
          <w:szCs w:val="24"/>
          <w:highlight w:val="none"/>
        </w:rPr>
        <w:t>价格因素：综合考虑各定标候选人投标报价的合理性。需</w:t>
      </w:r>
      <w:r>
        <w:rPr>
          <w:rFonts w:hint="eastAsia"/>
          <w:color w:val="auto"/>
          <w:sz w:val="24"/>
          <w:szCs w:val="24"/>
          <w:highlight w:val="none"/>
          <w:lang w:val="en-US"/>
        </w:rPr>
        <w:t>提供投标人的报价汇总表。</w:t>
      </w:r>
    </w:p>
    <w:p>
      <w:pPr>
        <w:spacing w:line="360" w:lineRule="auto"/>
        <w:ind w:firstLine="480" w:firstLineChars="200"/>
        <w:rPr>
          <w:color w:val="auto"/>
          <w:sz w:val="24"/>
          <w:szCs w:val="24"/>
          <w:highlight w:val="none"/>
          <w:lang w:val="en-US"/>
        </w:rPr>
      </w:pPr>
      <w:r>
        <w:rPr>
          <w:rFonts w:hint="eastAsia"/>
          <w:color w:val="auto"/>
          <w:sz w:val="24"/>
          <w:szCs w:val="24"/>
          <w:highlight w:val="none"/>
          <w:lang w:val="en-US"/>
        </w:rPr>
        <w:t>5.5拟派团队管理能力因素：综合考虑各定标候选人对项目拟派团队管理能力。提供企业拟派的项目经理和项目总工及团队水平、按时按质完成项目的能力、团队稳定性、施工期间现场服务及时性、便利性的综合情况说明。</w:t>
      </w:r>
    </w:p>
    <w:p>
      <w:pPr>
        <w:spacing w:line="440" w:lineRule="exact"/>
        <w:ind w:firstLine="480" w:firstLineChars="200"/>
        <w:rPr>
          <w:color w:val="auto"/>
          <w:sz w:val="24"/>
          <w:szCs w:val="24"/>
          <w:highlight w:val="none"/>
        </w:rPr>
      </w:pPr>
      <w:r>
        <w:rPr>
          <w:rFonts w:hint="eastAsia"/>
          <w:color w:val="auto"/>
          <w:sz w:val="24"/>
          <w:szCs w:val="24"/>
          <w:highlight w:val="none"/>
        </w:rPr>
        <w:t>6.定标程序</w:t>
      </w:r>
    </w:p>
    <w:p>
      <w:pPr>
        <w:spacing w:line="440" w:lineRule="exact"/>
        <w:ind w:firstLine="480" w:firstLineChars="200"/>
        <w:outlineLvl w:val="1"/>
        <w:rPr>
          <w:color w:val="auto"/>
          <w:sz w:val="24"/>
          <w:szCs w:val="24"/>
          <w:highlight w:val="none"/>
        </w:rPr>
      </w:pPr>
      <w:bookmarkStart w:id="96" w:name="_Toc11367"/>
      <w:r>
        <w:rPr>
          <w:rFonts w:hint="eastAsia"/>
          <w:color w:val="auto"/>
          <w:sz w:val="24"/>
          <w:szCs w:val="24"/>
          <w:highlight w:val="none"/>
        </w:rPr>
        <w:t>6.1确定中标人</w:t>
      </w:r>
      <w:bookmarkEnd w:id="96"/>
    </w:p>
    <w:p>
      <w:pPr>
        <w:spacing w:line="440" w:lineRule="exact"/>
        <w:ind w:firstLine="480" w:firstLineChars="200"/>
        <w:rPr>
          <w:color w:val="auto"/>
          <w:sz w:val="24"/>
          <w:szCs w:val="24"/>
          <w:highlight w:val="none"/>
        </w:rPr>
      </w:pPr>
      <w:r>
        <w:rPr>
          <w:rFonts w:hint="eastAsia"/>
          <w:color w:val="auto"/>
          <w:sz w:val="24"/>
          <w:szCs w:val="24"/>
          <w:highlight w:val="none"/>
        </w:rPr>
        <w:t>6.1.1招标人在定标会上介绍项目情况、招标情况</w:t>
      </w:r>
      <w:r>
        <w:rPr>
          <w:rFonts w:hint="eastAsia"/>
          <w:color w:val="auto"/>
          <w:sz w:val="24"/>
          <w:szCs w:val="24"/>
          <w:highlight w:val="none"/>
          <w:lang w:val="en-US"/>
        </w:rPr>
        <w:t>等</w:t>
      </w:r>
      <w:r>
        <w:rPr>
          <w:rFonts w:hint="eastAsia"/>
          <w:color w:val="auto"/>
          <w:sz w:val="24"/>
          <w:szCs w:val="24"/>
          <w:highlight w:val="none"/>
        </w:rPr>
        <w:t>，定标委员会成员有疑问的，可以向招标人或者招标代理机构提问。</w:t>
      </w:r>
    </w:p>
    <w:p>
      <w:pPr>
        <w:spacing w:line="440" w:lineRule="exact"/>
        <w:ind w:firstLine="480" w:firstLineChars="200"/>
        <w:rPr>
          <w:color w:val="auto"/>
          <w:sz w:val="24"/>
          <w:szCs w:val="24"/>
          <w:highlight w:val="none"/>
        </w:rPr>
      </w:pPr>
      <w:r>
        <w:rPr>
          <w:rFonts w:hint="eastAsia"/>
          <w:color w:val="auto"/>
          <w:sz w:val="24"/>
          <w:szCs w:val="24"/>
          <w:highlight w:val="none"/>
        </w:rPr>
        <w:t>6.1.2定标委员会成员应当按照充分竞争、合理低价的原则，采用本招标文件确定的定标方法，在评标委员会推荐的定标候选人中择优确定中标候选人（3名，标明排序）。</w:t>
      </w:r>
    </w:p>
    <w:p>
      <w:pPr>
        <w:spacing w:line="440" w:lineRule="exact"/>
        <w:ind w:firstLine="480" w:firstLineChars="200"/>
        <w:rPr>
          <w:color w:val="auto"/>
          <w:sz w:val="24"/>
          <w:szCs w:val="24"/>
          <w:highlight w:val="none"/>
        </w:rPr>
      </w:pPr>
      <w:r>
        <w:rPr>
          <w:rFonts w:hint="eastAsia"/>
          <w:color w:val="auto"/>
          <w:sz w:val="24"/>
          <w:szCs w:val="24"/>
          <w:highlight w:val="none"/>
        </w:rPr>
        <w:t>6.1.3定标委员会成员编制定标报告，定标报告编制完成并由定标委员会成员签字确认后，定标会议结束。</w:t>
      </w:r>
    </w:p>
    <w:p>
      <w:pPr>
        <w:spacing w:line="440" w:lineRule="exact"/>
        <w:ind w:firstLine="480" w:firstLineChars="200"/>
        <w:rPr>
          <w:color w:val="auto"/>
          <w:sz w:val="24"/>
          <w:szCs w:val="24"/>
          <w:highlight w:val="none"/>
        </w:rPr>
      </w:pPr>
      <w:r>
        <w:rPr>
          <w:rFonts w:hint="eastAsia"/>
          <w:color w:val="auto"/>
          <w:sz w:val="24"/>
          <w:szCs w:val="24"/>
          <w:highlight w:val="none"/>
        </w:rPr>
        <w:t>6.2中标候选人公示</w:t>
      </w:r>
    </w:p>
    <w:p>
      <w:pPr>
        <w:spacing w:line="440" w:lineRule="exact"/>
        <w:ind w:firstLine="480" w:firstLineChars="200"/>
        <w:rPr>
          <w:color w:val="auto"/>
          <w:sz w:val="24"/>
          <w:szCs w:val="24"/>
          <w:highlight w:val="none"/>
        </w:rPr>
      </w:pPr>
      <w:r>
        <w:rPr>
          <w:rFonts w:hint="eastAsia"/>
          <w:color w:val="auto"/>
          <w:sz w:val="24"/>
          <w:szCs w:val="24"/>
          <w:highlight w:val="none"/>
        </w:rPr>
        <w:t>6.2.1招标人应当在定标工作完成后的3日内，对中标候选人公示，公示期3个工作日。</w:t>
      </w:r>
    </w:p>
    <w:p>
      <w:pPr>
        <w:spacing w:line="440" w:lineRule="exact"/>
        <w:ind w:firstLine="480" w:firstLineChars="200"/>
        <w:rPr>
          <w:color w:val="auto"/>
          <w:sz w:val="24"/>
          <w:szCs w:val="24"/>
          <w:highlight w:val="none"/>
        </w:rPr>
      </w:pPr>
      <w:r>
        <w:rPr>
          <w:rFonts w:hint="eastAsia"/>
          <w:color w:val="auto"/>
          <w:sz w:val="24"/>
          <w:szCs w:val="24"/>
          <w:highlight w:val="none"/>
        </w:rPr>
        <w:t>6.2.</w:t>
      </w:r>
      <w:r>
        <w:rPr>
          <w:rFonts w:hint="eastAsia"/>
          <w:color w:val="auto"/>
          <w:sz w:val="24"/>
          <w:szCs w:val="24"/>
          <w:highlight w:val="none"/>
          <w:lang w:val="en-US"/>
        </w:rPr>
        <w:t>2</w:t>
      </w:r>
      <w:r>
        <w:rPr>
          <w:rFonts w:hint="eastAsia"/>
          <w:color w:val="auto"/>
          <w:sz w:val="24"/>
          <w:szCs w:val="24"/>
          <w:highlight w:val="none"/>
        </w:rPr>
        <w:t>利害关系人以自然人名义异议的，该自然人必须为所异议项目招投标活动中有记录的参与者（如投标员、拟派的项目经理、招标人代表等），并能如实提供其在所异议项目招投标活动直接参与单位工作的社保证明等文件，否则，</w:t>
      </w:r>
      <w:r>
        <w:rPr>
          <w:rFonts w:hint="eastAsia"/>
          <w:color w:val="auto"/>
          <w:sz w:val="24"/>
          <w:szCs w:val="24"/>
          <w:highlight w:val="none"/>
          <w:lang w:val="en-US"/>
        </w:rPr>
        <w:t>招标人可</w:t>
      </w:r>
      <w:r>
        <w:rPr>
          <w:rFonts w:hint="eastAsia"/>
          <w:color w:val="auto"/>
          <w:sz w:val="24"/>
          <w:szCs w:val="24"/>
          <w:highlight w:val="none"/>
        </w:rPr>
        <w:t>不予受理。</w:t>
      </w:r>
    </w:p>
    <w:p>
      <w:pPr>
        <w:spacing w:line="440" w:lineRule="exact"/>
        <w:ind w:firstLine="480" w:firstLineChars="200"/>
        <w:rPr>
          <w:color w:val="auto"/>
          <w:sz w:val="24"/>
          <w:szCs w:val="24"/>
          <w:highlight w:val="none"/>
        </w:rPr>
      </w:pPr>
      <w:r>
        <w:rPr>
          <w:rFonts w:hint="eastAsia"/>
          <w:color w:val="auto"/>
          <w:sz w:val="24"/>
          <w:szCs w:val="24"/>
          <w:highlight w:val="none"/>
        </w:rPr>
        <w:t>6.2.</w:t>
      </w:r>
      <w:r>
        <w:rPr>
          <w:rFonts w:hint="eastAsia"/>
          <w:color w:val="auto"/>
          <w:sz w:val="24"/>
          <w:szCs w:val="24"/>
          <w:highlight w:val="none"/>
          <w:lang w:val="en-US"/>
        </w:rPr>
        <w:t>3</w:t>
      </w:r>
      <w:r>
        <w:rPr>
          <w:rFonts w:hint="eastAsia"/>
          <w:color w:val="auto"/>
          <w:sz w:val="24"/>
          <w:szCs w:val="24"/>
          <w:highlight w:val="none"/>
        </w:rPr>
        <w:t>投标人对评标定标结果有异议的应当在公示期内提出，适用《中华人民共和国招标投标法实施条例》第五十四条</w:t>
      </w:r>
      <w:r>
        <w:rPr>
          <w:rFonts w:hint="eastAsia"/>
          <w:color w:val="auto"/>
          <w:sz w:val="24"/>
          <w:szCs w:val="24"/>
          <w:highlight w:val="none"/>
          <w:lang w:val="en-US"/>
        </w:rPr>
        <w:t>及其他有关</w:t>
      </w:r>
      <w:r>
        <w:rPr>
          <w:rFonts w:hint="eastAsia"/>
          <w:color w:val="auto"/>
          <w:sz w:val="24"/>
          <w:szCs w:val="24"/>
          <w:highlight w:val="none"/>
        </w:rPr>
        <w:t>规定。公示期间，投标人提出的针对第一中标候选人以外的异议，无论调查结果是否属实，均不改变第一中标候选人资格。</w:t>
      </w:r>
    </w:p>
    <w:p>
      <w:pPr>
        <w:spacing w:line="440" w:lineRule="exact"/>
        <w:ind w:firstLine="480" w:firstLineChars="200"/>
        <w:rPr>
          <w:color w:val="auto"/>
          <w:sz w:val="24"/>
          <w:szCs w:val="24"/>
          <w:highlight w:val="none"/>
        </w:rPr>
      </w:pPr>
      <w:r>
        <w:rPr>
          <w:rFonts w:hint="eastAsia"/>
          <w:color w:val="auto"/>
          <w:sz w:val="24"/>
          <w:szCs w:val="24"/>
          <w:highlight w:val="none"/>
        </w:rPr>
        <w:t>6.2.</w:t>
      </w:r>
      <w:r>
        <w:rPr>
          <w:rFonts w:hint="eastAsia"/>
          <w:color w:val="auto"/>
          <w:sz w:val="24"/>
          <w:szCs w:val="24"/>
          <w:highlight w:val="none"/>
          <w:lang w:val="en-US"/>
        </w:rPr>
        <w:t>4</w:t>
      </w:r>
      <w:r>
        <w:rPr>
          <w:rFonts w:hint="eastAsia"/>
          <w:color w:val="auto"/>
          <w:sz w:val="24"/>
          <w:szCs w:val="24"/>
          <w:highlight w:val="none"/>
        </w:rPr>
        <w:t>第一中标候选人放弃中标、因不可抗力不能履行合同、不按照招标文件要求提交履约保证金，或者被查实存在影响中标结果的违法行为等情形，不符合中标条件的，招标人可以按照中标候选人名单排序依次确定其他中标候选人为中标人，也可以重新招标。</w:t>
      </w:r>
    </w:p>
    <w:p>
      <w:pPr>
        <w:spacing w:line="440" w:lineRule="exact"/>
        <w:ind w:firstLine="480" w:firstLineChars="200"/>
        <w:rPr>
          <w:color w:val="auto"/>
          <w:sz w:val="24"/>
          <w:szCs w:val="24"/>
          <w:highlight w:val="none"/>
        </w:rPr>
      </w:pPr>
      <w:r>
        <w:rPr>
          <w:rFonts w:hint="eastAsia"/>
          <w:color w:val="auto"/>
          <w:sz w:val="24"/>
          <w:szCs w:val="24"/>
          <w:highlight w:val="none"/>
        </w:rPr>
        <w:t>6.2.</w:t>
      </w:r>
      <w:r>
        <w:rPr>
          <w:rFonts w:hint="eastAsia"/>
          <w:color w:val="auto"/>
          <w:sz w:val="24"/>
          <w:szCs w:val="24"/>
          <w:highlight w:val="none"/>
          <w:lang w:val="en-US"/>
        </w:rPr>
        <w:t>5</w:t>
      </w:r>
      <w:r>
        <w:rPr>
          <w:rFonts w:hint="eastAsia"/>
          <w:color w:val="auto"/>
          <w:sz w:val="24"/>
          <w:szCs w:val="24"/>
          <w:highlight w:val="none"/>
        </w:rPr>
        <w:t>自</w:t>
      </w:r>
      <w:r>
        <w:rPr>
          <w:rFonts w:hint="eastAsia"/>
          <w:color w:val="auto"/>
          <w:sz w:val="24"/>
          <w:szCs w:val="24"/>
          <w:highlight w:val="none"/>
          <w:lang w:val="en-US"/>
        </w:rPr>
        <w:t>确定中标人之日</w:t>
      </w:r>
      <w:r>
        <w:rPr>
          <w:rFonts w:hint="eastAsia"/>
          <w:color w:val="auto"/>
          <w:sz w:val="24"/>
          <w:szCs w:val="24"/>
          <w:highlight w:val="none"/>
        </w:rPr>
        <w:t>起15日内，招标人应当向招投标监管机构提交招标投标情况书面报告。</w:t>
      </w:r>
    </w:p>
    <w:p>
      <w:pPr>
        <w:spacing w:line="440" w:lineRule="exact"/>
        <w:ind w:firstLine="480" w:firstLineChars="200"/>
        <w:rPr>
          <w:color w:val="auto"/>
          <w:sz w:val="24"/>
          <w:szCs w:val="24"/>
          <w:highlight w:val="none"/>
        </w:rPr>
      </w:pPr>
      <w:r>
        <w:rPr>
          <w:rFonts w:hint="eastAsia"/>
          <w:color w:val="auto"/>
          <w:sz w:val="24"/>
          <w:szCs w:val="24"/>
          <w:highlight w:val="none"/>
        </w:rPr>
        <w:t>7.签订合同</w:t>
      </w:r>
    </w:p>
    <w:p>
      <w:pPr>
        <w:spacing w:line="360" w:lineRule="auto"/>
        <w:ind w:firstLine="480" w:firstLineChars="200"/>
        <w:rPr>
          <w:color w:val="auto"/>
          <w:sz w:val="24"/>
          <w:szCs w:val="24"/>
          <w:highlight w:val="none"/>
        </w:rPr>
      </w:pPr>
      <w:r>
        <w:rPr>
          <w:rFonts w:hint="eastAsia"/>
          <w:color w:val="auto"/>
          <w:sz w:val="24"/>
          <w:szCs w:val="24"/>
          <w:highlight w:val="none"/>
        </w:rPr>
        <w:t>招标人和中标人应当在投标有效期内并在自中标通知书发出之日起30日内，依照招标文件、投标文件签订书面合同，合同的标的、价款、履行期限等主要条款应当与招标文件和中标人的投标文件的内容一致。招标人和中标人不得再行订立背离合同实质性内容的其他协议。</w:t>
      </w:r>
    </w:p>
    <w:p>
      <w:pPr>
        <w:spacing w:line="360" w:lineRule="auto"/>
        <w:ind w:firstLine="480" w:firstLineChars="200"/>
        <w:rPr>
          <w:color w:val="auto"/>
          <w:sz w:val="24"/>
          <w:szCs w:val="24"/>
          <w:highlight w:val="none"/>
        </w:rPr>
      </w:pPr>
      <w:r>
        <w:rPr>
          <w:rFonts w:hint="eastAsia"/>
          <w:color w:val="auto"/>
          <w:sz w:val="24"/>
          <w:szCs w:val="24"/>
          <w:highlight w:val="none"/>
        </w:rPr>
        <w:t>8.对定标委员会成员的纪律要求</w:t>
      </w:r>
    </w:p>
    <w:p>
      <w:pPr>
        <w:spacing w:line="360" w:lineRule="auto"/>
        <w:ind w:firstLine="480" w:firstLineChars="200"/>
        <w:rPr>
          <w:color w:val="auto"/>
          <w:sz w:val="24"/>
          <w:szCs w:val="24"/>
          <w:highlight w:val="none"/>
        </w:rPr>
      </w:pPr>
      <w:r>
        <w:rPr>
          <w:rFonts w:hint="eastAsia"/>
          <w:color w:val="auto"/>
          <w:sz w:val="24"/>
          <w:szCs w:val="24"/>
          <w:highlight w:val="none"/>
        </w:rPr>
        <w:t>定标委员会成员不得收受他人的财物或者其它好处，不得向他人</w:t>
      </w:r>
      <w:r>
        <w:rPr>
          <w:rFonts w:hint="eastAsia"/>
          <w:color w:val="auto"/>
          <w:sz w:val="24"/>
          <w:szCs w:val="24"/>
          <w:highlight w:val="none"/>
          <w:lang w:val="en-US"/>
        </w:rPr>
        <w:t>透露</w:t>
      </w:r>
      <w:r>
        <w:rPr>
          <w:rFonts w:hint="eastAsia"/>
          <w:color w:val="auto"/>
          <w:sz w:val="24"/>
          <w:szCs w:val="24"/>
          <w:highlight w:val="none"/>
        </w:rPr>
        <w:t>对投标文件的评审和比较、中标候选人的推荐情况以及定标有关的其它情况。在定标活动中，定标委员会成员不得擅离职守，影响定标程序正常进行，不得使用</w:t>
      </w:r>
      <w:r>
        <w:rPr>
          <w:rFonts w:hint="eastAsia"/>
          <w:color w:val="auto"/>
          <w:sz w:val="24"/>
          <w:szCs w:val="24"/>
          <w:highlight w:val="none"/>
          <w:lang w:val="en-US"/>
        </w:rPr>
        <w:t>招标文件</w:t>
      </w:r>
      <w:r>
        <w:rPr>
          <w:rFonts w:hint="eastAsia"/>
          <w:color w:val="auto"/>
          <w:sz w:val="24"/>
          <w:szCs w:val="24"/>
          <w:highlight w:val="none"/>
        </w:rPr>
        <w:t>没有规定的评审因素和标准进行定标。</w:t>
      </w:r>
    </w:p>
    <w:p>
      <w:pPr>
        <w:spacing w:line="360" w:lineRule="auto"/>
        <w:ind w:firstLine="480" w:firstLineChars="200"/>
        <w:rPr>
          <w:color w:val="auto"/>
          <w:sz w:val="24"/>
          <w:szCs w:val="24"/>
          <w:highlight w:val="none"/>
        </w:rPr>
      </w:pPr>
      <w:r>
        <w:rPr>
          <w:rFonts w:hint="eastAsia"/>
          <w:color w:val="auto"/>
          <w:sz w:val="24"/>
          <w:szCs w:val="24"/>
          <w:highlight w:val="none"/>
        </w:rPr>
        <w:t>9.对与定标活动有关的工作人员的纪律要求</w:t>
      </w:r>
    </w:p>
    <w:p>
      <w:r>
        <w:rPr>
          <w:rFonts w:hint="eastAsia"/>
          <w:color w:val="auto"/>
          <w:sz w:val="24"/>
          <w:szCs w:val="24"/>
          <w:highlight w:val="none"/>
        </w:rPr>
        <w:t>与定标活动有关的工作</w:t>
      </w:r>
      <w:r>
        <w:rPr>
          <w:rFonts w:hint="eastAsia" w:hAnsi="Times New Roman"/>
          <w:color w:val="auto"/>
          <w:sz w:val="24"/>
          <w:szCs w:val="24"/>
          <w:highlight w:val="none"/>
        </w:rPr>
        <w:t>人员不得收受他人的财物或者其它好处，不得向他人透漏对投标文件的评审和比较、中标候选人的推荐情况以及定标有关的其它情况。在定标活动中，与定标活动有关的工作人员不得擅离职守，影响定标程序正常进行。</w:t>
      </w:r>
      <w:bookmarkStart w:id="97" w:name="_GoBack"/>
      <w:bookmarkEnd w:id="9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PMingLiU-ExtB">
    <w:altName w:val="宋体-繁"/>
    <w:panose1 w:val="02020500000000000000"/>
    <w:charset w:val="88"/>
    <w:family w:val="roman"/>
    <w:pitch w:val="default"/>
    <w:sig w:usb0="00000000" w:usb1="00000000" w:usb2="00000000" w:usb3="00000000" w:csb0="00100001" w:csb1="00000000"/>
  </w:font>
  <w:font w:name="汉仪中黑KW">
    <w:panose1 w:val="00020600040101010101"/>
    <w:charset w:val="86"/>
    <w:family w:val="auto"/>
    <w:pitch w:val="default"/>
    <w:sig w:usb0="00000000" w:usb1="00000000" w:usb2="00000000" w:usb3="00000000" w:csb0="00160000" w:csb1="00000000"/>
  </w:font>
  <w:font w:name="宋体-简">
    <w:panose1 w:val="02010600040101010101"/>
    <w:charset w:val="86"/>
    <w:family w:val="auto"/>
    <w:pitch w:val="default"/>
    <w:sig w:usb0="00000000" w:usb1="00000000" w:usb2="00000000" w:usb3="00000000" w:csb0="00160000" w:csb1="00000000"/>
  </w:font>
  <w:font w:name="宋体-繁">
    <w:panose1 w:val="02010600040101010101"/>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Cvt69YsAgAAVwQAAA4AAAAAAAAAAQAgAAAANQEAAGRy&#10;cy9lMm9Eb2MueG1sUEsFBgAAAAAGAAYAWQEAANMFA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DILIswsAgAAVwQAAA4AAAAAAAAAAQAgAAAANQEAAGRy&#10;cy9lMm9Eb2MueG1sUEsFBgAAAAAGAAYAWQEAANMFAAAAAA==&#10;">
              <v:fill on="f" focussize="0,0"/>
              <v:stroke on="f" weight="0.5pt"/>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overflowPunct w:val="0"/>
      <w:spacing w:line="200" w:lineRule="exact"/>
      <w:rPr>
        <w:rFonts w:eastAsia="Times New Roman"/>
        <w:sz w:val="20"/>
      </w:rPr>
    </w:pPr>
    <w:r>
      <w:rPr>
        <w:rFonts w:eastAsia="Times New Roman"/>
        <w:sz w:val="24"/>
      </w:rPr>
      <mc:AlternateContent>
        <mc:Choice Requires="wps">
          <w:drawing>
            <wp:anchor distT="0" distB="0" distL="114300" distR="114300" simplePos="0" relativeHeight="251659264" behindDoc="0" locked="0" layoutInCell="0" allowOverlap="1">
              <wp:simplePos x="0" y="0"/>
              <wp:positionH relativeFrom="margin">
                <wp:align>center</wp:align>
              </wp:positionH>
              <wp:positionV relativeFrom="page">
                <wp:posOffset>9916795</wp:posOffset>
              </wp:positionV>
              <wp:extent cx="268605"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68605" cy="139700"/>
                      </a:xfrm>
                      <a:prstGeom prst="rect">
                        <a:avLst/>
                      </a:prstGeom>
                      <a:noFill/>
                      <a:ln>
                        <a:noFill/>
                      </a:ln>
                    </wps:spPr>
                    <wps:txbx>
                      <w:txbxContent>
                        <w:p>
                          <w:pPr>
                            <w:kinsoku w:val="0"/>
                            <w:overflowPunct w:val="0"/>
                            <w:spacing w:line="200" w:lineRule="exact"/>
                            <w:ind w:left="40"/>
                            <w:rPr>
                              <w:rFonts w:ascii="PMingLiU-ExtB" w:eastAsia="PMingLiU-ExtB"/>
                              <w:sz w:val="18"/>
                            </w:rPr>
                          </w:pPr>
                          <w:r>
                            <w:rPr>
                              <w:rFonts w:hint="eastAsia" w:ascii="PMingLiU-ExtB" w:eastAsia="PMingLiU-ExtB"/>
                              <w:w w:val="105"/>
                              <w:sz w:val="18"/>
                            </w:rPr>
                            <w:fldChar w:fldCharType="begin"/>
                          </w:r>
                          <w:r>
                            <w:rPr>
                              <w:rFonts w:hint="eastAsia" w:ascii="PMingLiU-ExtB" w:eastAsia="PMingLiU-ExtB"/>
                              <w:w w:val="105"/>
                              <w:sz w:val="18"/>
                            </w:rPr>
                            <w:instrText xml:space="preserve"> PAGE </w:instrText>
                          </w:r>
                          <w:r>
                            <w:rPr>
                              <w:rFonts w:hint="eastAsia" w:ascii="PMingLiU-ExtB" w:eastAsia="PMingLiU-ExtB"/>
                              <w:w w:val="105"/>
                              <w:sz w:val="18"/>
                            </w:rPr>
                            <w:fldChar w:fldCharType="separate"/>
                          </w:r>
                          <w:r>
                            <w:rPr>
                              <w:rFonts w:hint="eastAsia" w:ascii="PMingLiU-ExtB" w:eastAsia="PMingLiU-ExtB"/>
                              <w:w w:val="105"/>
                              <w:sz w:val="18"/>
                            </w:rPr>
                            <w:t>20</w:t>
                          </w:r>
                          <w:r>
                            <w:rPr>
                              <w:rFonts w:hint="eastAsia" w:ascii="PMingLiU-ExtB" w:eastAsia="PMingLiU-ExtB"/>
                              <w:w w:val="105"/>
                              <w:sz w:val="18"/>
                            </w:rPr>
                            <w:fldChar w:fldCharType="end"/>
                          </w:r>
                        </w:p>
                      </w:txbxContent>
                    </wps:txbx>
                    <wps:bodyPr lIns="0" tIns="0" rIns="0" bIns="0" upright="1"/>
                  </wps:wsp>
                </a:graphicData>
              </a:graphic>
            </wp:anchor>
          </w:drawing>
        </mc:Choice>
        <mc:Fallback>
          <w:pict>
            <v:shape id="_x0000_s1026" o:spid="_x0000_s1026" o:spt="202" type="#_x0000_t202" style="position:absolute;left:0pt;margin-top:780.85pt;height:11pt;width:21.15pt;mso-position-horizontal:center;mso-position-horizontal-relative:margin;mso-position-vertical-relative:page;z-index:251659264;mso-width-relative:page;mso-height-relative:page;" filled="f" stroked="f" coordsize="21600,21600" o:allowincell="f" o:gfxdata="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FgAAAGRycy9QSwECFAAUAAAACACHTuJAg4ChUNgAAAAJAQAADwAAAAAAAAABACAAAAA4&#10;AAAAZHJzL2Rvd25yZXYueG1sUEsBAhQAFAAAAAgAh07iQPYI8I+7AQAAcQMAAA4AAAAAAAAAAQAg&#10;AAAAPQEAAGRycy9lMm9Eb2MueG1sUEsFBgAAAAAGAAYAWQEAAGoFAAAAAA==&#10;">
              <v:fill on="f" focussize="0,0"/>
              <v:stroke on="f"/>
              <v:imagedata o:title=""/>
              <o:lock v:ext="edit" aspectratio="f"/>
              <v:textbox inset="0mm,0mm,0mm,0mm">
                <w:txbxContent>
                  <w:p>
                    <w:pPr>
                      <w:kinsoku w:val="0"/>
                      <w:overflowPunct w:val="0"/>
                      <w:spacing w:line="200" w:lineRule="exact"/>
                      <w:ind w:left="40"/>
                      <w:rPr>
                        <w:rFonts w:ascii="PMingLiU-ExtB" w:eastAsia="PMingLiU-ExtB"/>
                        <w:sz w:val="18"/>
                      </w:rPr>
                    </w:pPr>
                    <w:r>
                      <w:rPr>
                        <w:rFonts w:hint="eastAsia" w:ascii="PMingLiU-ExtB" w:eastAsia="PMingLiU-ExtB"/>
                        <w:w w:val="105"/>
                        <w:sz w:val="18"/>
                      </w:rPr>
                      <w:fldChar w:fldCharType="begin"/>
                    </w:r>
                    <w:r>
                      <w:rPr>
                        <w:rFonts w:hint="eastAsia" w:ascii="PMingLiU-ExtB" w:eastAsia="PMingLiU-ExtB"/>
                        <w:w w:val="105"/>
                        <w:sz w:val="18"/>
                      </w:rPr>
                      <w:instrText xml:space="preserve"> PAGE </w:instrText>
                    </w:r>
                    <w:r>
                      <w:rPr>
                        <w:rFonts w:hint="eastAsia" w:ascii="PMingLiU-ExtB" w:eastAsia="PMingLiU-ExtB"/>
                        <w:w w:val="105"/>
                        <w:sz w:val="18"/>
                      </w:rPr>
                      <w:fldChar w:fldCharType="separate"/>
                    </w:r>
                    <w:r>
                      <w:rPr>
                        <w:rFonts w:hint="eastAsia" w:ascii="PMingLiU-ExtB" w:eastAsia="PMingLiU-ExtB"/>
                        <w:w w:val="105"/>
                        <w:sz w:val="18"/>
                      </w:rPr>
                      <w:t>20</w:t>
                    </w:r>
                    <w:r>
                      <w:rPr>
                        <w:rFonts w:hint="eastAsia" w:ascii="PMingLiU-ExtB" w:eastAsia="PMingLiU-ExtB"/>
                        <w:w w:val="105"/>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685743"/>
    <w:multiLevelType w:val="singleLevel"/>
    <w:tmpl w:val="A6685743"/>
    <w:lvl w:ilvl="0" w:tentative="0">
      <w:start w:val="1"/>
      <w:numFmt w:val="decimal"/>
      <w:suff w:val="nothing"/>
      <w:lvlText w:val="（%1）"/>
      <w:lvlJc w:val="left"/>
    </w:lvl>
  </w:abstractNum>
  <w:abstractNum w:abstractNumId="1">
    <w:nsid w:val="52684824"/>
    <w:multiLevelType w:val="singleLevel"/>
    <w:tmpl w:val="52684824"/>
    <w:lvl w:ilvl="0" w:tentative="0">
      <w:start w:val="1"/>
      <w:numFmt w:val="decimal"/>
      <w:lvlText w:val="(%1)"/>
      <w:lvlJc w:val="left"/>
      <w:pPr>
        <w:tabs>
          <w:tab w:val="left" w:pos="312"/>
        </w:tabs>
      </w:pPr>
    </w:lvl>
  </w:abstractNum>
  <w:abstractNum w:abstractNumId="2">
    <w:nsid w:val="7F6EF8A9"/>
    <w:multiLevelType w:val="singleLevel"/>
    <w:tmpl w:val="7F6EF8A9"/>
    <w:lvl w:ilvl="0" w:tentative="0">
      <w:start w:val="2"/>
      <w:numFmt w:val="chineseCounting"/>
      <w:suff w:val="nothing"/>
      <w:lvlText w:val="第%1节、"/>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993F01"/>
    <w:rsid w:val="6D993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tabs>
        <w:tab w:val="left" w:pos="1275"/>
      </w:tabs>
      <w:autoSpaceDE/>
      <w:autoSpaceDN/>
      <w:ind w:firstLine="420" w:firstLineChars="200"/>
    </w:pPr>
    <w:rPr>
      <w:rFonts w:ascii="Times New Roman" w:hAnsi="Times New Roman"/>
      <w:sz w:val="21"/>
      <w:szCs w:val="24"/>
    </w:rPr>
  </w:style>
  <w:style w:type="paragraph" w:styleId="3">
    <w:name w:val="Body Text Indent"/>
    <w:basedOn w:val="1"/>
    <w:qFormat/>
    <w:uiPriority w:val="0"/>
    <w:pPr>
      <w:spacing w:after="120"/>
      <w:ind w:left="420" w:leftChars="200"/>
    </w:pPr>
    <w:rPr>
      <w:rFonts w:ascii="Calibri" w:hAnsi="Calibri" w:cs="Times New Roman"/>
    </w:rPr>
  </w:style>
  <w:style w:type="paragraph" w:styleId="6">
    <w:name w:val="footer"/>
    <w:basedOn w:val="1"/>
    <w:qFormat/>
    <w:uiPriority w:val="0"/>
    <w:pPr>
      <w:tabs>
        <w:tab w:val="center" w:pos="4153"/>
        <w:tab w:val="right" w:pos="8306"/>
      </w:tabs>
      <w:snapToGrid w:val="0"/>
    </w:pPr>
    <w:rPr>
      <w:sz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semiHidden/>
    <w:unhideWhenUsed/>
    <w:qFormat/>
    <w:uiPriority w:val="2"/>
    <w:tblPr>
      <w:tblCellMar>
        <w:top w:w="0" w:type="dxa"/>
        <w:left w:w="0" w:type="dxa"/>
        <w:bottom w:w="0" w:type="dxa"/>
        <w:right w:w="0" w:type="dxa"/>
      </w:tblCellMar>
    </w:tblPr>
  </w:style>
  <w:style w:type="paragraph" w:customStyle="1" w:styleId="11">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Office_5.4.1.7920_F1E327BC-269C-435d-A152-05C5408002CA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2023-06-02T14:12:00Z</dcterms:created>
  <dc:creator>    信者＂</dc:creator>
  <cp:lastModifiedBy>    信者＂</cp:lastModifiedBy>
  <dcterms:modified xsi:type="dcterms:W3CDTF">2023-06-02T14:13:55Z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8A4968B3AB622E485F887964249A4A90_41</vt:lpwstr>
  </property>
</Properties>
</file>