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4"/>
          <w:rFonts w:hAnsi="宋体"/>
          <w:b/>
          <w:bCs/>
          <w:color w:val="auto"/>
          <w:sz w:val="44"/>
          <w:szCs w:val="44"/>
          <w:highlight w:val="none"/>
          <w:u w:val="none"/>
        </w:rPr>
      </w:pPr>
    </w:p>
    <w:p>
      <w:pPr>
        <w:spacing w:line="360" w:lineRule="auto"/>
        <w:ind w:left="0" w:leftChars="0" w:right="84" w:rightChars="40" w:firstLine="0" w:firstLineChars="0"/>
        <w:jc w:val="center"/>
        <w:rPr>
          <w:rFonts w:hint="eastAsia" w:ascii="宋体" w:cs="黑体"/>
          <w:b/>
          <w:bCs/>
          <w:color w:val="auto"/>
          <w:sz w:val="44"/>
          <w:szCs w:val="44"/>
          <w:highlight w:val="none"/>
          <w:lang w:eastAsia="zh-CN"/>
        </w:rPr>
      </w:pPr>
      <w:r>
        <w:rPr>
          <w:rFonts w:hint="eastAsia" w:ascii="宋体" w:cs="黑体"/>
          <w:b/>
          <w:bCs/>
          <w:color w:val="auto"/>
          <w:sz w:val="44"/>
          <w:szCs w:val="44"/>
          <w:highlight w:val="none"/>
          <w:lang w:eastAsia="zh-CN"/>
        </w:rPr>
        <w:t>越秀区城市更新改造补短板项目（二期）——中心城区品质化提升项目（梅花村街老旧小区改造）</w:t>
      </w:r>
    </w:p>
    <w:p>
      <w:pPr>
        <w:spacing w:line="360" w:lineRule="auto"/>
        <w:ind w:left="0" w:leftChars="0" w:right="84" w:rightChars="40" w:firstLine="0" w:firstLineChars="0"/>
        <w:jc w:val="center"/>
        <w:outlineLvl w:val="0"/>
        <w:rPr>
          <w:rFonts w:hint="eastAsia" w:ascii="宋体" w:eastAsia="宋体" w:cs="黑体"/>
          <w:color w:val="auto"/>
          <w:sz w:val="44"/>
          <w:szCs w:val="44"/>
          <w:highlight w:val="none"/>
          <w:lang w:eastAsia="zh-CN"/>
        </w:rPr>
      </w:pPr>
      <w:bookmarkStart w:id="0" w:name="_Toc3151"/>
      <w:r>
        <w:rPr>
          <w:rFonts w:hint="eastAsia" w:ascii="宋体" w:cs="黑体"/>
          <w:b/>
          <w:bCs/>
          <w:color w:val="auto"/>
          <w:sz w:val="44"/>
          <w:szCs w:val="44"/>
          <w:highlight w:val="none"/>
          <w:lang w:eastAsia="zh-CN"/>
        </w:rPr>
        <w:t>监理</w:t>
      </w:r>
      <w:bookmarkEnd w:id="0"/>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b/>
          <w:bCs/>
          <w:color w:val="auto"/>
          <w:sz w:val="84"/>
          <w:szCs w:val="84"/>
          <w:highlight w:val="none"/>
          <w:u w:val="none"/>
        </w:rPr>
      </w:pPr>
      <w:r>
        <w:rPr>
          <w:rStyle w:val="44"/>
          <w:rFonts w:hint="eastAsia"/>
          <w:b/>
          <w:bCs/>
          <w:color w:val="auto"/>
          <w:sz w:val="84"/>
          <w:szCs w:val="84"/>
          <w:highlight w:val="none"/>
          <w:u w:val="none"/>
        </w:rPr>
        <w:t>招标文件</w:t>
      </w: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rFonts w:hAnsi="宋体"/>
          <w:b/>
          <w:bCs/>
          <w:color w:val="auto"/>
          <w:sz w:val="44"/>
          <w:szCs w:val="44"/>
          <w:highlight w:val="none"/>
          <w:u w:val="none"/>
        </w:rPr>
      </w:pPr>
    </w:p>
    <w:p>
      <w:pPr>
        <w:jc w:val="center"/>
        <w:rPr>
          <w:rStyle w:val="44"/>
          <w:b/>
          <w:bCs/>
          <w:color w:val="auto"/>
          <w:sz w:val="28"/>
          <w:szCs w:val="28"/>
          <w:highlight w:val="none"/>
          <w:u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506" w:firstLineChars="500"/>
        <w:outlineLvl w:val="0"/>
        <w:rPr>
          <w:rFonts w:hint="eastAsia" w:ascii="宋体" w:eastAsia="宋体" w:cs="黑体"/>
          <w:b/>
          <w:color w:val="auto"/>
          <w:sz w:val="30"/>
          <w:szCs w:val="30"/>
          <w:highlight w:val="none"/>
          <w:lang w:eastAsia="zh-CN"/>
        </w:rPr>
      </w:pPr>
      <w:bookmarkStart w:id="1" w:name="_Toc11219"/>
      <w:r>
        <w:rPr>
          <w:rFonts w:hint="eastAsia" w:ascii="宋体" w:cs="黑体"/>
          <w:b/>
          <w:color w:val="auto"/>
          <w:sz w:val="30"/>
          <w:szCs w:val="30"/>
          <w:highlight w:val="none"/>
        </w:rPr>
        <w:t>招 标 人：</w:t>
      </w:r>
      <w:r>
        <w:rPr>
          <w:rFonts w:hint="eastAsia" w:ascii="宋体" w:cs="黑体"/>
          <w:b/>
          <w:color w:val="auto"/>
          <w:sz w:val="30"/>
          <w:szCs w:val="30"/>
          <w:highlight w:val="none"/>
          <w:lang w:val="en-US" w:eastAsia="zh-CN"/>
        </w:rPr>
        <w:t>广州市越秀区人民政府梅花村街道办事处</w:t>
      </w:r>
      <w:bookmarkEnd w:id="1"/>
    </w:p>
    <w:p>
      <w:pPr>
        <w:snapToGrid w:val="0"/>
        <w:spacing w:line="360" w:lineRule="auto"/>
        <w:ind w:firstLine="1506" w:firstLineChars="500"/>
        <w:outlineLvl w:val="0"/>
        <w:rPr>
          <w:rFonts w:hint="eastAsia" w:ascii="宋体" w:eastAsia="宋体" w:cs="黑体"/>
          <w:b/>
          <w:color w:val="auto"/>
          <w:sz w:val="30"/>
          <w:szCs w:val="30"/>
          <w:highlight w:val="none"/>
          <w:lang w:eastAsia="zh-CN"/>
        </w:rPr>
      </w:pPr>
      <w:bookmarkStart w:id="2" w:name="_Toc28554"/>
      <w:r>
        <w:rPr>
          <w:rFonts w:hint="eastAsia" w:ascii="宋体" w:cs="黑体"/>
          <w:b/>
          <w:color w:val="auto"/>
          <w:sz w:val="30"/>
          <w:szCs w:val="30"/>
          <w:highlight w:val="none"/>
        </w:rPr>
        <w:t>招标代理机构：</w:t>
      </w:r>
      <w:r>
        <w:rPr>
          <w:rFonts w:hint="eastAsia" w:ascii="宋体" w:cs="黑体"/>
          <w:b/>
          <w:color w:val="auto"/>
          <w:sz w:val="30"/>
          <w:szCs w:val="30"/>
          <w:highlight w:val="none"/>
          <w:lang w:val="en-US" w:eastAsia="zh-CN"/>
        </w:rPr>
        <w:t>广东省建筑工程监理有限公司</w:t>
      </w:r>
      <w:bookmarkEnd w:id="2"/>
    </w:p>
    <w:p>
      <w:pPr>
        <w:snapToGrid w:val="0"/>
        <w:spacing w:line="360" w:lineRule="auto"/>
        <w:ind w:firstLine="1807" w:firstLineChars="600"/>
        <w:rPr>
          <w:rFonts w:ascii="Times New Roman" w:hAnsi="Times New Roman" w:eastAsia="Times New Roman"/>
          <w:color w:val="auto"/>
          <w:sz w:val="24"/>
          <w:highlight w:val="none"/>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r>
        <w:rPr>
          <w:rFonts w:hint="eastAsia" w:ascii="宋体" w:cs="黑体"/>
          <w:b/>
          <w:color w:val="auto"/>
          <w:sz w:val="30"/>
          <w:szCs w:val="30"/>
          <w:highlight w:val="none"/>
        </w:rPr>
        <w:t>编制日期：2023年</w:t>
      </w:r>
      <w:r>
        <w:rPr>
          <w:rFonts w:hint="eastAsia" w:ascii="宋体" w:cs="黑体"/>
          <w:b/>
          <w:color w:val="auto"/>
          <w:sz w:val="30"/>
          <w:szCs w:val="30"/>
          <w:highlight w:val="none"/>
          <w:lang w:val="en-US" w:eastAsia="zh-CN"/>
        </w:rPr>
        <w:t xml:space="preserve"> 6 </w:t>
      </w:r>
      <w:r>
        <w:rPr>
          <w:rFonts w:hint="eastAsia" w:ascii="宋体" w:cs="黑体"/>
          <w:b/>
          <w:color w:val="auto"/>
          <w:sz w:val="30"/>
          <w:szCs w:val="30"/>
          <w:highlight w:val="none"/>
        </w:rPr>
        <w:t>月</w:t>
      </w:r>
    </w:p>
    <w:p>
      <w:pPr>
        <w:tabs>
          <w:tab w:val="left" w:leader="dot" w:pos="8760"/>
        </w:tabs>
        <w:spacing w:before="0" w:beforeLines="-2147483648" w:after="0" w:afterLines="-2147483648" w:line="360" w:lineRule="auto"/>
        <w:ind w:left="0" w:leftChars="0" w:right="0" w:rightChars="0" w:firstLine="0" w:firstLineChars="0"/>
        <w:jc w:val="center"/>
      </w:pPr>
    </w:p>
    <w:sdt>
      <w:sdtPr>
        <w:rPr>
          <w:rFonts w:ascii="宋体" w:hAnsi="宋体" w:eastAsia="宋体" w:cs="Times New Roman"/>
          <w:b/>
          <w:bCs/>
          <w:kern w:val="2"/>
          <w:sz w:val="28"/>
          <w:szCs w:val="28"/>
          <w:lang w:val="en-US" w:eastAsia="zh-CN" w:bidi="ar-SA"/>
        </w:rPr>
        <w:id w:val="147468989"/>
        <w15:color w:val="DBDBDB"/>
        <w:docPartObj>
          <w:docPartGallery w:val="Table of Contents"/>
          <w:docPartUnique/>
        </w:docPartObj>
      </w:sdtPr>
      <w:sdtEndPr>
        <w:rPr>
          <w:rFonts w:hint="default" w:ascii="Arial" w:hAnsi="Arial" w:eastAsia="黑体" w:cs="Times New Roman"/>
          <w:b/>
          <w:bCs/>
          <w:color w:val="000000"/>
          <w:kern w:val="0"/>
          <w:sz w:val="36"/>
          <w:szCs w:val="3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pPr>
            <w:pStyle w:val="8"/>
          </w:pP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TOC \o "1-1" \h \u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_Toc3789 </w:instrText>
          </w:r>
          <w:r>
            <w:rPr>
              <w:rFonts w:hint="eastAsia" w:ascii="宋体" w:hAnsi="宋体" w:cs="宋体"/>
              <w:sz w:val="28"/>
              <w:szCs w:val="28"/>
              <w:lang w:val="en-US" w:eastAsia="zh-CN"/>
            </w:rPr>
            <w:fldChar w:fldCharType="separate"/>
          </w:r>
          <w:r>
            <w:rPr>
              <w:rFonts w:hint="eastAsia" w:ascii="宋体" w:hAnsi="宋体" w:cs="宋体"/>
              <w:sz w:val="28"/>
              <w:szCs w:val="28"/>
              <w:highlight w:val="none"/>
            </w:rPr>
            <w:t>第一章 招标公告</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_Toc25335 </w:instrText>
          </w:r>
          <w:r>
            <w:rPr>
              <w:rFonts w:hint="eastAsia" w:ascii="宋体" w:hAnsi="宋体" w:cs="宋体"/>
              <w:sz w:val="28"/>
              <w:szCs w:val="28"/>
              <w:lang w:val="en-US" w:eastAsia="zh-CN"/>
            </w:rPr>
            <w:fldChar w:fldCharType="separate"/>
          </w:r>
          <w:r>
            <w:rPr>
              <w:rFonts w:hint="eastAsia" w:ascii="宋体" w:hAnsi="宋体" w:cs="宋体"/>
              <w:sz w:val="28"/>
              <w:szCs w:val="28"/>
              <w:highlight w:val="none"/>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_Toc25335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fldChar w:fldCharType="end"/>
          </w: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_Toc5106 </w:instrText>
          </w:r>
          <w:r>
            <w:rPr>
              <w:rFonts w:hint="eastAsia" w:ascii="宋体" w:hAnsi="宋体" w:cs="宋体"/>
              <w:sz w:val="28"/>
              <w:szCs w:val="28"/>
              <w:lang w:val="en-US" w:eastAsia="zh-CN"/>
            </w:rPr>
            <w:fldChar w:fldCharType="separate"/>
          </w:r>
          <w:r>
            <w:rPr>
              <w:rFonts w:hint="eastAsia" w:ascii="宋体" w:hAnsi="宋体" w:cs="宋体"/>
              <w:sz w:val="28"/>
              <w:szCs w:val="28"/>
              <w:highlight w:val="none"/>
            </w:rPr>
            <w:t>第三章 评标办法（综合评估法）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_Toc5106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lang w:val="en-US" w:eastAsia="zh-CN"/>
            </w:rPr>
            <w:fldChar w:fldCharType="end"/>
          </w: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_Toc15836 </w:instrText>
          </w:r>
          <w:r>
            <w:rPr>
              <w:rFonts w:hint="eastAsia" w:ascii="宋体" w:hAnsi="宋体" w:cs="宋体"/>
              <w:sz w:val="28"/>
              <w:szCs w:val="28"/>
              <w:lang w:val="en-US" w:eastAsia="zh-CN"/>
            </w:rPr>
            <w:fldChar w:fldCharType="separate"/>
          </w:r>
          <w:r>
            <w:rPr>
              <w:rFonts w:hint="eastAsia" w:ascii="宋体" w:hAnsi="宋体" w:cs="宋体"/>
              <w:sz w:val="28"/>
              <w:szCs w:val="28"/>
              <w:highlight w:val="none"/>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_Toc15836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lang w:val="en-US" w:eastAsia="zh-CN"/>
            </w:rPr>
            <w:fldChar w:fldCharType="end"/>
          </w: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_Toc8995 </w:instrText>
          </w:r>
          <w:r>
            <w:rPr>
              <w:rFonts w:hint="eastAsia" w:ascii="宋体" w:hAnsi="宋体" w:cs="宋体"/>
              <w:sz w:val="28"/>
              <w:szCs w:val="28"/>
              <w:lang w:val="en-US" w:eastAsia="zh-CN"/>
            </w:rPr>
            <w:fldChar w:fldCharType="separate"/>
          </w:r>
          <w:r>
            <w:rPr>
              <w:rFonts w:hint="eastAsia" w:ascii="宋体" w:hAnsi="宋体" w:cs="宋体"/>
              <w:sz w:val="28"/>
              <w:szCs w:val="28"/>
            </w:rPr>
            <w:t xml:space="preserve">第五章 </w:t>
          </w:r>
          <w:r>
            <w:rPr>
              <w:rFonts w:hint="eastAsia" w:ascii="宋体" w:hAnsi="宋体" w:cs="宋体"/>
              <w:sz w:val="28"/>
              <w:szCs w:val="28"/>
              <w:highlight w:val="none"/>
            </w:rPr>
            <w:t>委托人要求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_Toc8995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lang w:val="en-US" w:eastAsia="zh-CN"/>
            </w:rPr>
            <w:fldChar w:fldCharType="end"/>
          </w:r>
        </w:p>
        <w:p>
          <w:pPr>
            <w:pStyle w:val="172"/>
            <w:tabs>
              <w:tab w:val="right" w:leader="dot" w:pos="9070"/>
            </w:tabs>
            <w:rPr>
              <w:rFonts w:hint="eastAsia" w:ascii="宋体" w:hAnsi="宋体" w:cs="宋体"/>
              <w:sz w:val="28"/>
              <w:szCs w:val="28"/>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\l _Toc2410 </w:instrText>
          </w:r>
          <w:r>
            <w:rPr>
              <w:rFonts w:hint="eastAsia" w:ascii="宋体" w:hAnsi="宋体" w:cs="宋体"/>
              <w:sz w:val="28"/>
              <w:szCs w:val="28"/>
              <w:lang w:val="en-US" w:eastAsia="zh-CN"/>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_Toc2410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lang w:val="en-US" w:eastAsia="zh-CN"/>
            </w:rPr>
            <w:fldChar w:fldCharType="end"/>
          </w:r>
        </w:p>
        <w:p>
          <w:pPr>
            <w:pStyle w:val="8"/>
            <w:outlineLvl w:val="9"/>
            <w:rPr>
              <w:rFonts w:hint="default"/>
              <w:lang w:val="en-US" w:eastAsia="zh-CN"/>
            </w:rPr>
          </w:pPr>
          <w:r>
            <w:rPr>
              <w:rFonts w:hint="eastAsia" w:ascii="宋体" w:hAnsi="宋体" w:eastAsia="宋体" w:cs="宋体"/>
              <w:sz w:val="28"/>
              <w:szCs w:val="28"/>
              <w:lang w:val="en-US" w:eastAsia="zh-CN"/>
            </w:rPr>
            <w:fldChar w:fldCharType="end"/>
          </w:r>
        </w:p>
      </w:sdtContent>
    </w:sdt>
    <w:p>
      <w:pPr>
        <w:tabs>
          <w:tab w:val="left" w:leader="dot" w:pos="8760"/>
        </w:tabs>
        <w:spacing w:line="360" w:lineRule="auto"/>
        <w:rPr>
          <w:rFonts w:ascii="宋体" w:hAnsi="宋体" w:cs="宋体"/>
          <w:color w:val="auto"/>
          <w:sz w:val="28"/>
          <w:szCs w:val="28"/>
          <w:highlight w:val="none"/>
        </w:rPr>
      </w:pPr>
    </w:p>
    <w:p>
      <w:pPr>
        <w:tabs>
          <w:tab w:val="left" w:leader="dot" w:pos="8760"/>
        </w:tabs>
        <w:spacing w:line="270" w:lineRule="exact"/>
        <w:rPr>
          <w:rFonts w:ascii="Times New Roman" w:hAnsi="Times New Roman"/>
          <w:color w:val="auto"/>
          <w:highlight w:val="none"/>
        </w:rPr>
        <w:sectPr>
          <w:footerReference r:id="rId5" w:type="default"/>
          <w:pgSz w:w="11906" w:h="16838"/>
          <w:pgMar w:top="1418" w:right="1418" w:bottom="1418" w:left="1418" w:header="851" w:footer="992" w:gutter="0"/>
          <w:pgNumType w:start="1"/>
          <w:cols w:space="720" w:num="1"/>
          <w:docGrid w:type="lines" w:linePitch="312" w:charSpace="0"/>
        </w:sect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pStyle w:val="7"/>
        <w:jc w:val="center"/>
        <w:rPr>
          <w:color w:val="auto"/>
          <w:highlight w:val="none"/>
        </w:rPr>
      </w:pPr>
      <w:bookmarkStart w:id="3" w:name="_Toc15933"/>
      <w:bookmarkStart w:id="4" w:name="_Toc530728897"/>
      <w:r>
        <w:rPr>
          <w:color w:val="auto"/>
          <w:highlight w:val="none"/>
        </w:rPr>
        <w:t>第一章</w:t>
      </w:r>
      <w:r>
        <w:rPr>
          <w:rFonts w:hint="eastAsia"/>
          <w:color w:val="auto"/>
          <w:highlight w:val="none"/>
        </w:rPr>
        <w:t xml:space="preserve"> 招标公告</w:t>
      </w:r>
      <w:bookmarkEnd w:id="3"/>
      <w:bookmarkEnd w:id="4"/>
    </w:p>
    <w:p>
      <w:pPr>
        <w:spacing w:line="360" w:lineRule="auto"/>
        <w:jc w:val="center"/>
        <w:rPr>
          <w:rFonts w:ascii="Times New Roman" w:hAnsi="Times New Roman"/>
          <w:b/>
          <w:color w:val="auto"/>
          <w:sz w:val="43"/>
          <w:highlight w:val="none"/>
        </w:rPr>
      </w:pPr>
      <w:r>
        <w:rPr>
          <w:rFonts w:ascii="Times New Roman" w:hAnsi="Times New Roman"/>
          <w:b/>
          <w:color w:val="auto"/>
          <w:sz w:val="43"/>
          <w:highlight w:val="none"/>
        </w:rPr>
        <w:t>（</w:t>
      </w:r>
      <w:r>
        <w:rPr>
          <w:rFonts w:hint="eastAsia" w:ascii="Times New Roman" w:hAnsi="Times New Roman"/>
          <w:b/>
          <w:color w:val="auto"/>
          <w:sz w:val="43"/>
          <w:highlight w:val="none"/>
        </w:rPr>
        <w:t>略</w:t>
      </w:r>
      <w:r>
        <w:rPr>
          <w:rFonts w:ascii="Times New Roman" w:hAnsi="Times New Roman"/>
          <w:b/>
          <w:color w:val="auto"/>
          <w:sz w:val="43"/>
          <w:highlight w:val="none"/>
        </w:rPr>
        <w:t>）</w:t>
      </w: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sectPr>
          <w:footerReference r:id="rId8" w:type="first"/>
          <w:headerReference r:id="rId6" w:type="default"/>
          <w:footerReference r:id="rId7" w:type="default"/>
          <w:pgSz w:w="11907" w:h="16839"/>
          <w:pgMar w:top="1440" w:right="1440" w:bottom="1418" w:left="1440" w:header="993" w:footer="749" w:gutter="0"/>
          <w:pgNumType w:fmt="decimal" w:start="1"/>
          <w:cols w:space="720" w:num="1"/>
          <w:titlePg/>
          <w:docGrid w:linePitch="360" w:charSpace="0"/>
        </w:sectPr>
      </w:pPr>
    </w:p>
    <w:p>
      <w:pPr>
        <w:pStyle w:val="8"/>
        <w:jc w:val="center"/>
        <w:outlineLvl w:val="0"/>
        <w:rPr>
          <w:rFonts w:ascii="Times New Roman" w:hAnsi="Times New Roman"/>
          <w:color w:val="auto"/>
          <w:highlight w:val="none"/>
        </w:rPr>
      </w:pPr>
      <w:bookmarkStart w:id="5" w:name="_Toc25335"/>
      <w:bookmarkStart w:id="6" w:name="_Toc530728898"/>
      <w:r>
        <w:rPr>
          <w:rFonts w:ascii="Times New Roman" w:hAnsi="Times New Roman"/>
          <w:color w:val="auto"/>
          <w:highlight w:val="none"/>
        </w:rPr>
        <w:t>第二章</w:t>
      </w:r>
      <w:r>
        <w:rPr>
          <w:rFonts w:hint="eastAsia" w:ascii="Times New Roman" w:hAnsi="Times New Roman"/>
          <w:color w:val="auto"/>
          <w:highlight w:val="none"/>
        </w:rPr>
        <w:t xml:space="preserve"> </w:t>
      </w:r>
      <w:r>
        <w:rPr>
          <w:rFonts w:ascii="Times New Roman" w:hAnsi="Times New Roman"/>
          <w:color w:val="auto"/>
          <w:highlight w:val="none"/>
        </w:rPr>
        <w:t>投标人须知</w:t>
      </w:r>
      <w:bookmarkEnd w:id="5"/>
      <w:bookmarkEnd w:id="6"/>
    </w:p>
    <w:p>
      <w:pPr>
        <w:spacing w:line="201" w:lineRule="exact"/>
        <w:rPr>
          <w:rFonts w:ascii="Times New Roman" w:hAnsi="Times New Roman" w:eastAsia="Times New Roman"/>
          <w:color w:val="auto"/>
          <w:highlight w:val="none"/>
        </w:rPr>
      </w:pPr>
    </w:p>
    <w:p>
      <w:pPr>
        <w:spacing w:line="366" w:lineRule="exact"/>
        <w:ind w:left="357"/>
        <w:jc w:val="center"/>
        <w:outlineLvl w:val="2"/>
        <w:rPr>
          <w:rFonts w:ascii="Times New Roman" w:hAnsi="Times New Roman" w:eastAsia="黑体"/>
          <w:b/>
          <w:color w:val="auto"/>
          <w:sz w:val="24"/>
          <w:szCs w:val="24"/>
          <w:highlight w:val="none"/>
        </w:rPr>
      </w:pPr>
      <w:r>
        <w:rPr>
          <w:rFonts w:ascii="Times New Roman" w:hAnsi="Times New Roman" w:eastAsia="黑体"/>
          <w:b/>
          <w:color w:val="auto"/>
          <w:sz w:val="24"/>
          <w:szCs w:val="24"/>
          <w:highlight w:val="none"/>
        </w:rPr>
        <w:t>投标人须知前附表</w:t>
      </w:r>
    </w:p>
    <w:tbl>
      <w:tblPr>
        <w:tblStyle w:val="40"/>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广州市越秀区人民政府梅花村街道办事处</w:t>
            </w:r>
          </w:p>
          <w:p>
            <w:pPr>
              <w:spacing w:line="400" w:lineRule="exact"/>
              <w:ind w:left="40" w:leftChars="19" w:right="107" w:rightChars="51"/>
              <w:rPr>
                <w:rFonts w:hint="eastAsia" w:ascii="宋体" w:hAnsi="宋体" w:cs="宋体"/>
                <w:sz w:val="24"/>
                <w:szCs w:val="24"/>
                <w:u w:val="none"/>
              </w:rPr>
            </w:pPr>
            <w:r>
              <w:rPr>
                <w:rFonts w:hint="eastAsia" w:ascii="宋体" w:hAnsi="宋体" w:cs="宋体"/>
                <w:color w:val="auto"/>
                <w:sz w:val="24"/>
                <w:szCs w:val="24"/>
                <w:highlight w:val="none"/>
              </w:rPr>
              <w:t>地址：</w:t>
            </w:r>
            <w:r>
              <w:rPr>
                <w:rFonts w:hint="eastAsia" w:ascii="宋体" w:hAnsi="宋体" w:cs="宋体"/>
                <w:sz w:val="24"/>
                <w:szCs w:val="24"/>
                <w:u w:val="single"/>
              </w:rPr>
              <w:t>广州市越秀区</w:t>
            </w:r>
            <w:r>
              <w:rPr>
                <w:rFonts w:hint="eastAsia" w:ascii="宋体" w:hAnsi="宋体" w:cs="宋体"/>
                <w:sz w:val="24"/>
                <w:szCs w:val="24"/>
                <w:u w:val="single"/>
                <w:lang w:val="en-US" w:eastAsia="zh-CN"/>
              </w:rPr>
              <w:t>梅花</w:t>
            </w:r>
            <w:r>
              <w:rPr>
                <w:rFonts w:hint="eastAsia" w:ascii="宋体" w:hAnsi="宋体" w:cs="宋体"/>
                <w:sz w:val="24"/>
                <w:szCs w:val="24"/>
                <w:u w:val="single"/>
              </w:rPr>
              <w:t>路</w:t>
            </w:r>
            <w:r>
              <w:rPr>
                <w:rFonts w:hint="eastAsia" w:ascii="宋体" w:hAnsi="宋体" w:cs="宋体"/>
                <w:sz w:val="24"/>
                <w:szCs w:val="24"/>
                <w:u w:val="single"/>
                <w:lang w:val="en-US" w:eastAsia="zh-CN"/>
              </w:rPr>
              <w:t>6</w:t>
            </w:r>
            <w:r>
              <w:rPr>
                <w:rFonts w:hint="eastAsia" w:ascii="宋体" w:hAnsi="宋体" w:cs="宋体"/>
                <w:sz w:val="24"/>
                <w:szCs w:val="24"/>
                <w:u w:val="single"/>
              </w:rPr>
              <w:t>号</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吴</w:t>
            </w:r>
            <w:r>
              <w:rPr>
                <w:rFonts w:hint="eastAsia" w:ascii="宋体" w:hAnsi="宋体" w:cs="宋体"/>
                <w:color w:val="auto"/>
                <w:sz w:val="24"/>
                <w:szCs w:val="24"/>
                <w:highlight w:val="none"/>
                <w:u w:val="single"/>
              </w:rPr>
              <w:t>工</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38627740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38" w:leftChars="0" w:right="107" w:rightChars="51" w:hanging="38" w:hangingChars="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广东省建筑工程监理有限公司</w:t>
            </w:r>
          </w:p>
          <w:p>
            <w:pPr>
              <w:spacing w:line="400" w:lineRule="exact"/>
              <w:ind w:left="38" w:leftChars="0" w:right="107" w:rightChars="51" w:hanging="38" w:hangingChars="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广州市流花路85号</w:t>
            </w:r>
          </w:p>
          <w:p>
            <w:pPr>
              <w:spacing w:line="400" w:lineRule="exact"/>
              <w:ind w:left="38" w:leftChars="0" w:right="107" w:rightChars="51" w:hanging="38" w:hangingChars="1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赖工、李工</w:t>
            </w:r>
          </w:p>
          <w:p>
            <w:pPr>
              <w:spacing w:line="400" w:lineRule="exact"/>
              <w:ind w:left="38" w:leftChars="0" w:right="107" w:rightChars="51" w:hanging="38" w:hangingChars="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86673560</w:t>
            </w:r>
          </w:p>
          <w:p>
            <w:pPr>
              <w:pStyle w:val="33"/>
              <w:ind w:left="38" w:leftChars="0" w:hanging="38" w:hangingChars="1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邮箱：</w:t>
            </w:r>
            <w:r>
              <w:rPr>
                <w:rFonts w:hint="eastAsia" w:ascii="宋体" w:hAnsi="宋体" w:cs="宋体"/>
                <w:bCs/>
                <w:color w:val="auto"/>
                <w:sz w:val="24"/>
                <w:szCs w:val="24"/>
                <w:highlight w:val="none"/>
                <w:u w:val="single"/>
                <w:lang w:val="en-US" w:eastAsia="zh-CN"/>
              </w:rPr>
              <w:t>2017549491@qq.com</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eastAsia="zh-CN"/>
              </w:rPr>
              <w:t>越秀区城市更新改造补短板项目（二期）——中心城区品质化提升项目（梅花村街老旧小区改造）监理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1.1.7</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40" w:leftChars="19" w:right="107" w:rightChars="51"/>
              <w:rPr>
                <w:rFonts w:hint="eastAsia" w:ascii="宋体" w:hAnsi="宋体"/>
                <w:color w:val="auto"/>
                <w:sz w:val="24"/>
                <w:szCs w:val="24"/>
                <w:highlight w:val="none"/>
                <w:u w:val="single"/>
              </w:rPr>
            </w:pPr>
            <w:r>
              <w:rPr>
                <w:rFonts w:hint="eastAsia" w:ascii="宋体" w:hAnsi="宋体"/>
                <w:color w:val="auto"/>
                <w:sz w:val="24"/>
                <w:szCs w:val="24"/>
                <w:highlight w:val="none"/>
                <w:u w:val="single"/>
              </w:rPr>
              <w:t>工程项目施工预计开工日期：开工时间以招标人通知为准。</w:t>
            </w:r>
          </w:p>
          <w:p>
            <w:pPr>
              <w:snapToGrid w:val="0"/>
              <w:spacing w:line="400" w:lineRule="exact"/>
              <w:ind w:right="107" w:rightChars="51"/>
              <w:rPr>
                <w:rFonts w:ascii="宋体" w:hAnsi="宋体" w:cs="宋体"/>
                <w:color w:val="auto"/>
                <w:sz w:val="24"/>
                <w:szCs w:val="24"/>
                <w:highlight w:val="none"/>
                <w:u w:val="single"/>
              </w:rPr>
            </w:pPr>
            <w:r>
              <w:rPr>
                <w:rFonts w:hint="eastAsia" w:ascii="宋体" w:hAnsi="宋体"/>
                <w:color w:val="auto"/>
                <w:sz w:val="24"/>
                <w:szCs w:val="24"/>
                <w:highlight w:val="none"/>
                <w:u w:val="single"/>
              </w:rPr>
              <w:t>建设周期：施工工期为业主下达开工令或开工报告审批之日起按施工进度要求控制。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1.1.8</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区财政资金，出资比例100%</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（1）资质要求：见招标公告投标人资格要求</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（2）财务要求：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（3）业绩要求：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（4）信誉要求：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（5））总监理工程师的资格要求：见招标公告投标人资格要求</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（6）其他主要人员要求：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（7）试验检测仪器设备要求：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（8）其他要求：</w:t>
            </w:r>
            <w:r>
              <w:rPr>
                <w:rFonts w:hint="eastAsia" w:ascii="宋体" w:hAnsi="宋体" w:cs="宋体"/>
                <w:color w:val="auto"/>
                <w:sz w:val="24"/>
                <w:szCs w:val="24"/>
                <w:highlight w:val="none"/>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■不接受</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none"/>
                <w:lang w:val="en-US" w:eastAsia="zh-CN"/>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1.9.1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补充说明如下：</w:t>
            </w:r>
          </w:p>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□组织，踏勘时间：</w:t>
            </w:r>
          </w:p>
          <w:p>
            <w:pPr>
              <w:pStyle w:val="20"/>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□召开，召开时间：</w:t>
            </w:r>
            <w:r>
              <w:rPr>
                <w:rFonts w:hint="eastAsia" w:ascii="宋体" w:hAnsi="宋体" w:cs="宋体"/>
                <w:color w:val="auto"/>
                <w:sz w:val="24"/>
                <w:szCs w:val="24"/>
                <w:highlight w:val="none"/>
                <w:u w:val="single"/>
              </w:rPr>
              <w:t>/</w:t>
            </w:r>
          </w:p>
          <w:p>
            <w:pPr>
              <w:spacing w:line="400" w:lineRule="exact"/>
              <w:ind w:left="40" w:leftChars="19" w:right="107" w:rightChars="51"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召开地点：</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1.10.2</w:t>
            </w:r>
          </w:p>
        </w:tc>
        <w:tc>
          <w:tcPr>
            <w:tcW w:w="21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p>
        </w:tc>
        <w:tc>
          <w:tcPr>
            <w:tcW w:w="21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1.10.3</w:t>
            </w:r>
          </w:p>
        </w:tc>
        <w:tc>
          <w:tcPr>
            <w:tcW w:w="2159"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0" w:leftChars="0" w:right="107" w:rightChars="51"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偏差</w:t>
            </w:r>
          </w:p>
        </w:tc>
        <w:tc>
          <w:tcPr>
            <w:tcW w:w="6648" w:type="dxa"/>
            <w:tcBorders>
              <w:top w:val="single" w:color="auto" w:sz="4" w:space="0"/>
              <w:left w:val="single" w:color="auto" w:sz="4" w:space="0"/>
              <w:bottom w:val="single" w:color="auto" w:sz="4" w:space="0"/>
              <w:right w:val="single" w:color="auto" w:sz="4" w:space="0"/>
            </w:tcBorders>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■不允许</w:t>
            </w:r>
          </w:p>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□允许，偏差范围：</w:t>
            </w:r>
            <w:r>
              <w:rPr>
                <w:rFonts w:hint="eastAsia" w:ascii="宋体" w:hAnsi="宋体" w:eastAsia="宋体" w:cs="宋体"/>
                <w:color w:val="auto"/>
                <w:sz w:val="24"/>
                <w:szCs w:val="24"/>
                <w:highlight w:val="none"/>
                <w:u w:val="single"/>
              </w:rPr>
              <w:t>/</w:t>
            </w:r>
          </w:p>
          <w:p>
            <w:pPr>
              <w:pStyle w:val="20"/>
              <w:topLinePunct/>
              <w:spacing w:after="0" w:line="400" w:lineRule="exact"/>
              <w:ind w:left="40" w:leftChars="19" w:right="107" w:rightChars="51" w:firstLine="1080" w:firstLineChars="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偏差幅度：</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203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时间：在提交投标文件截止时间18天前提出。</w:t>
            </w:r>
          </w:p>
          <w:p>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人应在递交投标文件截止时间15日前将招标文件澄清文件在广州交易集团有限公司（广州公共资源交易中心）网站“项目查询(日程安排、答疑纪要)”专区发布。不足15日的，招标人应当顺延投标文件的截止时间。</w:t>
            </w:r>
          </w:p>
        </w:tc>
      </w:tr>
      <w:tr>
        <w:tblPrEx>
          <w:tblCellMar>
            <w:top w:w="0" w:type="dxa"/>
            <w:left w:w="108" w:type="dxa"/>
            <w:bottom w:w="0" w:type="dxa"/>
            <w:right w:w="108" w:type="dxa"/>
          </w:tblCellMar>
        </w:tblPrEx>
        <w:trPr>
          <w:trHeight w:val="12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2.2.3</w:t>
            </w:r>
          </w:p>
        </w:tc>
        <w:tc>
          <w:tcPr>
            <w:tcW w:w="21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投标人确认收到招标文件澄清</w:t>
            </w:r>
          </w:p>
        </w:tc>
        <w:tc>
          <w:tcPr>
            <w:tcW w:w="6648"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13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207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b/>
                <w:color w:val="auto"/>
                <w:sz w:val="24"/>
                <w:szCs w:val="24"/>
                <w:highlight w:val="none"/>
                <w:u w:val="single"/>
              </w:rPr>
            </w:pPr>
            <w:r>
              <w:rPr>
                <w:rFonts w:hint="eastAsia" w:ascii="宋体" w:hAnsi="宋体" w:cs="宋体"/>
                <w:color w:val="auto"/>
                <w:sz w:val="24"/>
                <w:szCs w:val="24"/>
                <w:highlight w:val="none"/>
                <w:u w:val="single"/>
              </w:rPr>
              <w:t>投标人报价以元为单位，精确到小数位后2位。投标报价不得高于招标控制价，由投标人根据招标文件要求以及企业自身情况填写报价。最终结算以财政部门或有权审核部门审定结果为准。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□无</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■有</w:t>
            </w:r>
            <w:r>
              <w:rPr>
                <w:rFonts w:hint="eastAsia" w:ascii="宋体" w:hAnsi="宋体" w:cs="宋体"/>
                <w:b/>
                <w:color w:val="auto"/>
                <w:sz w:val="24"/>
                <w:szCs w:val="24"/>
                <w:highlight w:val="none"/>
                <w:u w:val="single"/>
              </w:rPr>
              <w:t>，</w:t>
            </w:r>
            <w:r>
              <w:rPr>
                <w:rFonts w:hint="eastAsia" w:ascii="宋体" w:hAnsi="宋体" w:cs="宋体"/>
                <w:color w:val="auto"/>
                <w:sz w:val="24"/>
                <w:szCs w:val="24"/>
                <w:highlight w:val="none"/>
                <w:u w:val="single"/>
              </w:rPr>
              <w:t>最高投标限价（总价）：人民币</w:t>
            </w:r>
            <w:r>
              <w:rPr>
                <w:rFonts w:hint="eastAsia" w:ascii="宋体" w:hAnsi="宋体" w:cs="宋体"/>
                <w:color w:val="auto"/>
                <w:sz w:val="24"/>
                <w:szCs w:val="24"/>
                <w:highlight w:val="none"/>
                <w:u w:val="single"/>
                <w:lang w:val="en-US" w:eastAsia="zh-CN"/>
              </w:rPr>
              <w:t>94.59</w:t>
            </w:r>
            <w:r>
              <w:rPr>
                <w:rFonts w:hint="eastAsia" w:ascii="宋体" w:hAnsi="宋体" w:cs="宋体"/>
                <w:b/>
                <w:color w:val="auto"/>
                <w:sz w:val="24"/>
                <w:szCs w:val="24"/>
                <w:highlight w:val="none"/>
                <w:u w:val="single"/>
              </w:rPr>
              <w:t>万元。</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注：凡投标总价超过招标人公布的最高投标限价，将被视为废标。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投标报价超过最高投标限价的投标文件将被否决其投标。</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w:t>
            </w:r>
            <w:r>
              <w:rPr>
                <w:rFonts w:hint="eastAsia" w:ascii="宋体" w:hAnsi="宋体" w:cs="宋体"/>
                <w:color w:val="auto"/>
                <w:sz w:val="24"/>
                <w:szCs w:val="24"/>
                <w:highlight w:val="none"/>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是否要求投标人递交投标保证金：</w:t>
            </w:r>
          </w:p>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□要求：</w:t>
            </w:r>
          </w:p>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3.4.4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■无</w:t>
            </w:r>
          </w:p>
          <w:p>
            <w:pPr>
              <w:pStyle w:val="20"/>
              <w:topLinePunct/>
              <w:spacing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4.1.1（B）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网上递交的电子投标文件须进行加密。具体操作详见</w:t>
            </w:r>
            <w:r>
              <w:rPr>
                <w:rFonts w:hint="eastAsia" w:ascii="宋体" w:hAnsi="宋体" w:eastAsia="宋体" w:cs="宋体"/>
                <w:bCs/>
                <w:color w:val="auto"/>
                <w:sz w:val="24"/>
                <w:szCs w:val="24"/>
                <w:highlight w:val="none"/>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如有提交投标文件光盘备用，封套上应注明如下信息：</w:t>
            </w:r>
          </w:p>
          <w:p>
            <w:pPr>
              <w:pStyle w:val="20"/>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pPr>
              <w:pStyle w:val="20"/>
              <w:topLinePunct/>
              <w:snapToGrid w:val="0"/>
              <w:ind w:right="174" w:rightChars="83"/>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招标人地址：</w:t>
            </w:r>
          </w:p>
          <w:p>
            <w:pPr>
              <w:pStyle w:val="20"/>
              <w:topLinePunct/>
              <w:snapToGrid w:val="0"/>
              <w:ind w:right="174" w:rightChars="83"/>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（项目名称）投</w:t>
            </w:r>
            <w:r>
              <w:rPr>
                <w:rFonts w:hint="eastAsia" w:ascii="宋体" w:hAnsi="宋体" w:eastAsia="宋体" w:cs="宋体"/>
                <w:color w:val="auto"/>
                <w:sz w:val="24"/>
                <w:szCs w:val="24"/>
                <w:highlight w:val="none"/>
              </w:rPr>
              <w:t>标文件</w:t>
            </w:r>
          </w:p>
          <w:p>
            <w:pPr>
              <w:pStyle w:val="20"/>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投标截止时间：</w:t>
            </w:r>
            <w:r>
              <w:rPr>
                <w:rFonts w:hint="eastAsia" w:ascii="宋体" w:hAnsi="宋体" w:cs="宋体"/>
                <w:color w:val="auto"/>
                <w:sz w:val="24"/>
                <w:szCs w:val="24"/>
                <w:highlight w:val="none"/>
                <w:u w:val="single"/>
              </w:rPr>
              <w:t xml:space="preserve"> 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招标人在本章第 4.2.1 项规定的投标截止时间（开标时间）,通过电子招标投标交易平台公开开标，</w:t>
            </w:r>
            <w:r>
              <w:rPr>
                <w:rFonts w:hint="eastAsia" w:ascii="宋体" w:hAnsi="宋体" w:cs="宋体"/>
                <w:color w:val="auto"/>
                <w:sz w:val="24"/>
                <w:szCs w:val="24"/>
                <w:highlight w:val="none"/>
                <w:u w:val="single"/>
              </w:rPr>
              <w:t>开标时，投标人代表有权出席现场开标会，也可以自主决定不参加开标会。</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5.2（B）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电子招投标项目开标按下列程序进行：</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主持人按下列程序进行开标：</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（2）公布在投标截止时间前递交投标文件的投标人名称；</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（3）宣布开标人、唱标人、记录人、监标人等有关人员姓名；</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（4）投标人通过电子招标投标交易平台对已递交的电子投标文件进行解密，公布招标项目名称、投标人名称、投标保证金的递交情况、投标报价、监理服务期限及其他内容，并记录在案；</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（5）投标人代表、招标人代表、监标人、记录人等有关人员在开标记录上签字确认；若有关人员不签字的，不影响开标程序；</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（6）开标结束。</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5.2.2投标截止时间前未完成投标文件传输的或因投标人之外的原因造成投标文件未解密的，视为投标人其撤回投标文件。因投标人原因造成投标文件未解密的或未在投标截止时间后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color w:val="auto"/>
                <w:sz w:val="24"/>
                <w:szCs w:val="24"/>
                <w:highlight w:val="none"/>
                <w:u w:val="single"/>
              </w:rPr>
              <w:t>半小时内</w:t>
            </w:r>
            <w:r>
              <w:rPr>
                <w:rFonts w:hint="eastAsia" w:ascii="宋体" w:hAnsi="宋体" w:cs="宋体"/>
                <w:color w:val="auto"/>
                <w:sz w:val="24"/>
                <w:szCs w:val="24"/>
                <w:highlight w:val="none"/>
              </w:rPr>
              <w:t>解密的，视为撤销其投标文件。</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5.2.3开标时，两个（含两个）以上的投标人加密打包投标文件电脑机器特征码一致的，不参与下一程序，并由评标委员会否决其投标。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3</w:t>
            </w:r>
          </w:p>
          <w:p>
            <w:pPr>
              <w:jc w:val="center"/>
              <w:rPr>
                <w:rFonts w:ascii="宋体" w:hAnsi="宋体" w:cs="宋体"/>
                <w:color w:val="auto"/>
                <w:sz w:val="24"/>
                <w:szCs w:val="24"/>
                <w:highlight w:val="none"/>
              </w:rPr>
            </w:pP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u w:val="single"/>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公示媒</w:t>
            </w:r>
            <w:r>
              <w:rPr>
                <w:rFonts w:hint="eastAsia" w:ascii="宋体" w:hAnsi="宋体" w:cs="宋体"/>
                <w:b w:val="0"/>
                <w:bCs w:val="0"/>
                <w:color w:val="auto"/>
                <w:sz w:val="24"/>
                <w:szCs w:val="24"/>
                <w:highlight w:val="none"/>
              </w:rPr>
              <w:t>介：</w:t>
            </w:r>
            <w:r>
              <w:rPr>
                <w:rFonts w:hint="eastAsia" w:ascii="宋体" w:hAnsi="宋体" w:cs="宋体"/>
                <w:b w:val="0"/>
                <w:bCs w:val="0"/>
                <w:color w:val="auto"/>
                <w:sz w:val="24"/>
                <w:szCs w:val="24"/>
                <w:highlight w:val="none"/>
                <w:u w:val="single"/>
              </w:rPr>
              <w:t>中国招标投标公共服务平台、广东省招标投标监管网、广州公共资源交易中心网。</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公示期限：</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日</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□是</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□要求，履约保证金的形式：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履约保证金的金额：</w:t>
            </w:r>
            <w:r>
              <w:rPr>
                <w:rFonts w:hint="eastAsia" w:ascii="宋体" w:hAnsi="宋体" w:eastAsia="宋体" w:cs="宋体"/>
                <w:color w:val="auto"/>
                <w:sz w:val="24"/>
                <w:szCs w:val="24"/>
                <w:highlight w:val="none"/>
                <w:u w:val="single"/>
              </w:rPr>
              <w:t>/。</w:t>
            </w:r>
          </w:p>
          <w:p>
            <w:pPr>
              <w:pStyle w:val="20"/>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CellMar>
            <w:top w:w="0" w:type="dxa"/>
            <w:left w:w="108" w:type="dxa"/>
            <w:bottom w:w="0" w:type="dxa"/>
            <w:right w:w="108" w:type="dxa"/>
          </w:tblCellMar>
        </w:tblPrEx>
        <w:trPr>
          <w:trHeight w:val="119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■是，具体要求：1、具体操作详见《房屋建筑和市政基础设施工程全流程电子化项目专章》。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2、提交投标文件光盘备用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（1）投标文件解密失败的补救方案：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（2）评标时突发情况的补救方案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若遇不可抗力发生（如：网络瘫痪、服务器损坏、交易系统故障短期无法恢复等因素），由评标委员会开启现场递交的全部投标文件光盘，并按光盘内容进行评审。</w:t>
            </w:r>
          </w:p>
          <w:p>
            <w:pPr>
              <w:spacing w:line="360" w:lineRule="auto"/>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（4）存在弄虚作假骗取中标、行贿情形的； </w:t>
            </w:r>
          </w:p>
          <w:p>
            <w:pPr>
              <w:widowControl/>
              <w:spacing w:line="360" w:lineRule="auto"/>
              <w:ind w:right="107" w:rightChars="51"/>
              <w:jc w:val="left"/>
              <w:rPr>
                <w:color w:val="auto"/>
                <w:highlight w:val="none"/>
              </w:rPr>
            </w:pPr>
            <w:r>
              <w:rPr>
                <w:rFonts w:hint="eastAsia" w:ascii="宋体" w:hAnsi="宋体" w:cs="宋体"/>
                <w:color w:val="auto"/>
                <w:sz w:val="24"/>
                <w:szCs w:val="24"/>
                <w:highlight w:val="none"/>
              </w:rPr>
              <w:t>（5）存在因过错行为被生效法律文书认定承担违约或侵权责任的。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本项目采用资格后审方式，满足资格审查合格条件或通过初步评审的投标申请人不足3名时为招标失败。招标人分析招标失败原因，修正招标方案，重新组织招标。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13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宋体" w:hAnsi="宋体" w:cs="宋体"/>
                <w:color w:val="auto"/>
                <w:sz w:val="24"/>
                <w:szCs w:val="24"/>
                <w:highlight w:val="none"/>
                <w:u w:val="single"/>
              </w:rPr>
            </w:pPr>
            <w:r>
              <w:rPr>
                <w:rFonts w:hint="eastAsia" w:ascii="宋体" w:hAnsi="宋体" w:cs="宋体"/>
                <w:color w:val="auto"/>
                <w:sz w:val="24"/>
                <w:szCs w:val="24"/>
                <w:highlight w:val="none"/>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color w:val="auto"/>
                <w:sz w:val="24"/>
                <w:szCs w:val="24"/>
                <w:highlight w:val="none"/>
              </w:rPr>
            </w:pPr>
            <w:r>
              <w:rPr>
                <w:rFonts w:hint="eastAsia" w:ascii="宋体" w:hAnsi="宋体" w:cs="宋体"/>
                <w:color w:val="auto"/>
                <w:sz w:val="24"/>
                <w:szCs w:val="24"/>
                <w:highlight w:val="none"/>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否决投标条款：</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1.在投标截止期后逾期或未在广州公共资源交易中心数字交易平台（http://www.gzggzy.cn）递交电子投标文件的，电子招标投标交易平台将拒绝接收其投标文件。</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2.投标文件应当对招标文件的实质性要求和条件作出满足性或更有利于招标人的响应，否则，投标人的投标将被否决。</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3.投标人有以下情形之一的，评标委员会应当否决其投标：</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（1）投标文件没有对招标文件的实质性要求和条件作出响应，或者对招标文件的偏差超出招标文件规定的偏差范围或最高项数；</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（2）有串通投标、弄虚作假、行贿等违法行为。</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（1）投标文件中的大写金额与小写金额不一致的，以大写金额为准；</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（2）总价金额与单价金额不一致的，以单价金额为准，但单价金额小数点有明显错误的除外。</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6.投标文件中投标报价高于最高投标限价的，其投标文件将被否决。</w:t>
            </w:r>
          </w:p>
          <w:p>
            <w:pPr>
              <w:spacing w:line="360" w:lineRule="auto"/>
              <w:ind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在中标</w:t>
            </w:r>
            <w:r>
              <w:rPr>
                <w:rFonts w:hint="eastAsia" w:ascii="宋体" w:hAnsi="宋体" w:cs="宋体"/>
                <w:color w:val="auto"/>
                <w:sz w:val="24"/>
                <w:szCs w:val="24"/>
                <w:highlight w:val="none"/>
                <w:u w:val="single"/>
                <w:lang w:val="en-US" w:eastAsia="zh-CN"/>
              </w:rPr>
              <w:t>结果公示</w:t>
            </w:r>
            <w:r>
              <w:rPr>
                <w:rFonts w:hint="eastAsia" w:ascii="宋体" w:hAnsi="宋体" w:cs="宋体"/>
                <w:color w:val="auto"/>
                <w:sz w:val="24"/>
                <w:szCs w:val="24"/>
                <w:highlight w:val="none"/>
                <w:u w:val="single"/>
              </w:rPr>
              <w:t>结束后</w:t>
            </w:r>
            <w:r>
              <w:rPr>
                <w:rFonts w:ascii="宋体" w:hAnsi="宋体" w:cs="宋体"/>
                <w:color w:val="auto"/>
                <w:sz w:val="24"/>
                <w:szCs w:val="24"/>
                <w:highlight w:val="none"/>
                <w:u w:val="single"/>
              </w:rPr>
              <w:t>5个工作日内，</w:t>
            </w:r>
            <w:r>
              <w:rPr>
                <w:rFonts w:hint="eastAsia" w:ascii="宋体" w:hAnsi="宋体" w:cs="宋体"/>
                <w:color w:val="auto"/>
                <w:sz w:val="24"/>
                <w:szCs w:val="24"/>
                <w:highlight w:val="none"/>
                <w:u w:val="single"/>
                <w:lang w:val="en-US" w:eastAsia="zh-CN"/>
              </w:rPr>
              <w:t>中标人</w:t>
            </w:r>
            <w:r>
              <w:rPr>
                <w:rFonts w:ascii="宋体" w:hAnsi="宋体" w:cs="宋体"/>
                <w:color w:val="auto"/>
                <w:sz w:val="24"/>
                <w:szCs w:val="24"/>
                <w:highlight w:val="none"/>
                <w:u w:val="single"/>
              </w:rPr>
              <w:t>向招标人提交与在广州公共资源交易中心系统上传投标文件内容相同的已盖章的纸质版投标文件一正</w:t>
            </w:r>
            <w:r>
              <w:rPr>
                <w:rFonts w:hint="eastAsia" w:ascii="宋体" w:hAnsi="宋体" w:cs="宋体"/>
                <w:color w:val="auto"/>
                <w:sz w:val="24"/>
                <w:szCs w:val="24"/>
                <w:highlight w:val="none"/>
                <w:u w:val="single"/>
              </w:rPr>
              <w:t>二</w:t>
            </w:r>
            <w:r>
              <w:rPr>
                <w:rFonts w:ascii="宋体" w:hAnsi="宋体" w:cs="宋体"/>
                <w:color w:val="auto"/>
                <w:sz w:val="24"/>
                <w:szCs w:val="24"/>
                <w:highlight w:val="none"/>
                <w:u w:val="single"/>
              </w:rPr>
              <w:t>副。</w:t>
            </w:r>
          </w:p>
        </w:tc>
      </w:tr>
    </w:tbl>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pStyle w:val="9"/>
        <w:jc w:val="center"/>
        <w:outlineLvl w:val="0"/>
        <w:rPr>
          <w:rFonts w:eastAsia="黑体" w:cs="Arial"/>
          <w:bCs w:val="0"/>
          <w:color w:val="auto"/>
          <w:szCs w:val="20"/>
          <w:highlight w:val="none"/>
        </w:rPr>
      </w:pPr>
      <w:r>
        <w:rPr>
          <w:color w:val="auto"/>
          <w:sz w:val="18"/>
          <w:highlight w:val="none"/>
        </w:rPr>
        <w:br w:type="page"/>
      </w:r>
      <w:bookmarkStart w:id="7" w:name="_Toc517280514"/>
      <w:bookmarkStart w:id="8" w:name="_Toc530728899"/>
      <w:bookmarkStart w:id="9" w:name="_Toc2968"/>
      <w:r>
        <w:rPr>
          <w:rFonts w:hint="eastAsia" w:eastAsia="黑体" w:cs="Arial"/>
          <w:bCs w:val="0"/>
          <w:color w:val="auto"/>
          <w:sz w:val="28"/>
          <w:szCs w:val="18"/>
          <w:highlight w:val="none"/>
        </w:rPr>
        <w:t>第二章  正文</w:t>
      </w:r>
      <w:r>
        <w:rPr>
          <w:rFonts w:eastAsia="黑体" w:cs="Arial"/>
          <w:bCs w:val="0"/>
          <w:color w:val="auto"/>
          <w:sz w:val="28"/>
          <w:szCs w:val="18"/>
          <w:highlight w:val="none"/>
        </w:rPr>
        <w:t>按</w:t>
      </w:r>
      <w:r>
        <w:rPr>
          <w:rFonts w:hint="eastAsia" w:eastAsia="黑体" w:cs="Arial"/>
          <w:bCs w:val="0"/>
          <w:color w:val="auto"/>
          <w:sz w:val="28"/>
          <w:szCs w:val="18"/>
          <w:highlight w:val="none"/>
        </w:rPr>
        <w:t>《中华人民共和国标准监理招标文件》</w:t>
      </w:r>
      <w:bookmarkEnd w:id="7"/>
      <w:bookmarkEnd w:id="8"/>
      <w:r>
        <w:rPr>
          <w:rFonts w:hint="eastAsia" w:eastAsia="黑体" w:cs="Arial"/>
          <w:bCs w:val="0"/>
          <w:color w:val="auto"/>
          <w:sz w:val="28"/>
          <w:szCs w:val="18"/>
          <w:highlight w:val="none"/>
        </w:rPr>
        <w:t>（2017年版）</w:t>
      </w:r>
      <w:bookmarkEnd w:id="9"/>
    </w:p>
    <w:p>
      <w:pPr>
        <w:pStyle w:val="9"/>
        <w:rPr>
          <w:color w:val="auto"/>
          <w:highlight w:val="none"/>
        </w:rPr>
      </w:pPr>
      <w:bookmarkStart w:id="10" w:name="_Toc515205193"/>
      <w:bookmarkStart w:id="11" w:name="_Toc529196520"/>
      <w:r>
        <w:rPr>
          <w:color w:val="auto"/>
          <w:highlight w:val="none"/>
        </w:rPr>
        <w:t>1. 总则</w:t>
      </w:r>
      <w:bookmarkEnd w:id="10"/>
      <w:bookmarkEnd w:id="11"/>
    </w:p>
    <w:p>
      <w:pPr>
        <w:pStyle w:val="9"/>
        <w:spacing w:before="120" w:after="120"/>
        <w:ind w:firstLine="137"/>
        <w:rPr>
          <w:color w:val="auto"/>
          <w:highlight w:val="none"/>
        </w:rPr>
      </w:pPr>
      <w:bookmarkStart w:id="12" w:name="_Toc529196521"/>
      <w:bookmarkStart w:id="13" w:name="_Toc515205194"/>
      <w:r>
        <w:rPr>
          <w:color w:val="auto"/>
          <w:highlight w:val="none"/>
        </w:rPr>
        <w:t>1.1 招标项目概况</w:t>
      </w:r>
      <w:bookmarkEnd w:id="12"/>
      <w:bookmarkEnd w:id="1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 招标人：见投标人须知前附表。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1.1.3 招标代理机构：见投标人须知前附表。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1.1.4 招标项目名称：见投标人须知前附表。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1.1.5 项目建设地点：见投标人须知前附表。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1.1.6 项目建设规模：见投标人须知前附表。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1.1.7 </w:t>
      </w:r>
      <w:r>
        <w:rPr>
          <w:rFonts w:hint="eastAsia" w:ascii="Times New Roman" w:hAnsi="Times New Roman"/>
          <w:color w:val="auto"/>
          <w:sz w:val="24"/>
          <w:highlight w:val="none"/>
        </w:rPr>
        <w:t>工程项目施工预计开工日期和建设周期：见投标人须知前附表。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1.1.8 </w:t>
      </w:r>
      <w:r>
        <w:rPr>
          <w:rFonts w:hint="eastAsia" w:ascii="Times New Roman" w:hAnsi="Times New Roman"/>
          <w:color w:val="auto"/>
          <w:sz w:val="24"/>
          <w:highlight w:val="none"/>
        </w:rPr>
        <w:t>建筑安装工程费</w:t>
      </w:r>
      <w:r>
        <w:rPr>
          <w:rFonts w:ascii="Times New Roman" w:hAnsi="Times New Roman"/>
          <w:color w:val="auto"/>
          <w:sz w:val="24"/>
          <w:highlight w:val="none"/>
        </w:rPr>
        <w:t>/</w:t>
      </w:r>
      <w:r>
        <w:rPr>
          <w:rFonts w:hint="eastAsia" w:ascii="Times New Roman" w:hAnsi="Times New Roman"/>
          <w:color w:val="auto"/>
          <w:sz w:val="24"/>
          <w:highlight w:val="none"/>
        </w:rPr>
        <w:t>工程概算：见投标人须知前附表。</w:t>
      </w:r>
    </w:p>
    <w:p>
      <w:pPr>
        <w:pStyle w:val="9"/>
        <w:ind w:firstLine="118"/>
        <w:rPr>
          <w:color w:val="auto"/>
          <w:sz w:val="24"/>
          <w:szCs w:val="24"/>
          <w:highlight w:val="none"/>
        </w:rPr>
      </w:pPr>
      <w:bookmarkStart w:id="14" w:name="_Toc515205195"/>
      <w:bookmarkStart w:id="15" w:name="_Toc529196522"/>
      <w:r>
        <w:rPr>
          <w:color w:val="auto"/>
          <w:sz w:val="24"/>
          <w:szCs w:val="24"/>
          <w:highlight w:val="none"/>
        </w:rPr>
        <w:t>1.2 招标项目的资金来源和落实情况</w:t>
      </w:r>
      <w:bookmarkEnd w:id="14"/>
      <w:bookmarkEnd w:id="1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1.2.1 资金来源及比例：见投标人须知前附表。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1.2.2 资金落实情况：见投标人须知前附表。</w:t>
      </w:r>
    </w:p>
    <w:p>
      <w:pPr>
        <w:pStyle w:val="9"/>
        <w:ind w:firstLine="118"/>
        <w:rPr>
          <w:color w:val="auto"/>
          <w:sz w:val="24"/>
          <w:szCs w:val="24"/>
          <w:highlight w:val="none"/>
        </w:rPr>
      </w:pPr>
      <w:bookmarkStart w:id="16" w:name="_Toc515205196"/>
      <w:bookmarkStart w:id="17" w:name="_Toc529196523"/>
      <w:r>
        <w:rPr>
          <w:color w:val="auto"/>
          <w:sz w:val="24"/>
          <w:szCs w:val="24"/>
          <w:highlight w:val="none"/>
        </w:rPr>
        <w:t>1.3招标范围、服务期限和质量标准</w:t>
      </w:r>
      <w:bookmarkEnd w:id="16"/>
      <w:bookmarkEnd w:id="1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1.3.1 招标范围：见投标人须知前附表。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1.3.2 服务期限：见投标人须知前附表。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1.3.3 质量标准：见投标人须知前附表。</w:t>
      </w:r>
    </w:p>
    <w:p>
      <w:pPr>
        <w:pStyle w:val="9"/>
        <w:ind w:firstLine="118"/>
        <w:rPr>
          <w:color w:val="auto"/>
          <w:sz w:val="24"/>
          <w:szCs w:val="24"/>
          <w:highlight w:val="none"/>
        </w:rPr>
      </w:pPr>
      <w:bookmarkStart w:id="18" w:name="_Toc515205197"/>
      <w:bookmarkStart w:id="19" w:name="_Toc529196524"/>
      <w:r>
        <w:rPr>
          <w:color w:val="auto"/>
          <w:sz w:val="24"/>
          <w:szCs w:val="24"/>
          <w:highlight w:val="none"/>
        </w:rPr>
        <w:t>1.4投标人资格要求</w:t>
      </w:r>
      <w:bookmarkEnd w:id="18"/>
      <w:bookmarkEnd w:id="1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1.4.1 投标人应具备承担本招标项目资质条件、能力和信誉：</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（1）资质要求：见投标人须知前附表；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（2）财务要求：见投标人须知前附表；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（3）业绩要求：见投标人须知前附表；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（4）信誉要求：见投标人须知前附表；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（5）总监理工程师的资格要求：应当具备工程注册监理工程师执业资格</w:t>
      </w:r>
      <w:r>
        <w:rPr>
          <w:rFonts w:hint="eastAsia" w:ascii="Times New Roman" w:hAnsi="Times New Roman"/>
          <w:color w:val="auto"/>
          <w:sz w:val="24"/>
          <w:highlight w:val="none"/>
        </w:rPr>
        <w:t>（如有）</w:t>
      </w:r>
      <w:r>
        <w:rPr>
          <w:rFonts w:ascii="Times New Roman" w:hAnsi="Times New Roman"/>
          <w:color w:val="auto"/>
          <w:sz w:val="24"/>
          <w:highlight w:val="none"/>
        </w:rPr>
        <w:t>，具体要求见投标人须知前附表；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（6）其他主要人员要求：见投标人须知前附表。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（7）试验检测仪器设备要求：见投标人须知前附表。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（8）其他要求：见投标人须知前附表。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需要提交的相关证明材料见本章第3.5款的规定。</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1.4.2投标人须知前附表规定接受联合体投标的，联合体除应符合本章第1.4.1项和投标人须知前附表的要求外，还应遵守以下规定：</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（2）由同一专业的单位组成的联合体，按照资质等级较低的单位确定资质等级；</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（3）联合体各方不得再以自己名义单独或参加其他联合体在本招标项目中投标，否则各相关投标均无效。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1.4.3 投标人不得存在下列情形之一：</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（1）为招标人不具有独立法人资格的附属机构（单位）；</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（2）与招标人存在利害关系且可能影响招标公正性；</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（3）与本招标项目的其他投标人为同一个单位负责人；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（4）与本招标项目的其他投标人存在控股、管理关系；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（5）为本招标项目的代建人；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（6）为本招标项目的招标代理机构；</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（7）与本招标项目的代建人或招标代理机构同为一个法定代表人；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（8）与本招标项目的代建人或招标代理机构存在控股或参股关系；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（9）</w:t>
      </w:r>
      <w:r>
        <w:rPr>
          <w:rFonts w:hint="eastAsia" w:ascii="Times New Roman" w:hAnsi="Times New Roman"/>
          <w:color w:val="auto"/>
          <w:sz w:val="24"/>
          <w:highlight w:val="none"/>
        </w:rPr>
        <w:t>与</w:t>
      </w:r>
      <w:r>
        <w:rPr>
          <w:rFonts w:ascii="Times New Roman" w:hAnsi="Times New Roman"/>
          <w:color w:val="auto"/>
          <w:sz w:val="24"/>
          <w:highlight w:val="none"/>
        </w:rPr>
        <w:t>本招标项目</w:t>
      </w:r>
      <w:r>
        <w:rPr>
          <w:rFonts w:hint="eastAsia" w:ascii="Times New Roman" w:hAnsi="Times New Roman"/>
          <w:color w:val="auto"/>
          <w:sz w:val="24"/>
          <w:highlight w:val="none"/>
        </w:rPr>
        <w:t>的施工承包人以</w:t>
      </w:r>
      <w:r>
        <w:rPr>
          <w:rFonts w:ascii="Times New Roman" w:hAnsi="Times New Roman"/>
          <w:color w:val="auto"/>
          <w:sz w:val="24"/>
          <w:highlight w:val="none"/>
        </w:rPr>
        <w:t>及建筑材料、建筑构配件和设备供应商有隶属关系或者其他利害关系；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（10）被依法暂停或者取消投标资格；</w:t>
      </w:r>
      <w:r>
        <w:rPr>
          <w:rFonts w:hint="eastAsia" w:ascii="Times New Roman" w:hAnsi="Times New Roman"/>
          <w:color w:val="auto"/>
          <w:sz w:val="24"/>
          <w:highlight w:val="none"/>
          <w:u w:val="single"/>
        </w:rPr>
        <w:t>（本项事实应当以根据《中华人民共和国行政处罚法》依法作出并已经生效的行政处罚决定为认定依据。行政处罚决定中已经明确的暂停或取消投标资格的区域范围不包含本</w:t>
      </w:r>
      <w:r>
        <w:rPr>
          <w:rFonts w:hint="eastAsia" w:ascii="Times New Roman" w:hAnsi="Times New Roman"/>
          <w:color w:val="auto"/>
          <w:sz w:val="24"/>
          <w:highlight w:val="none"/>
          <w:u w:val="single"/>
          <w:lang w:val="en-US" w:eastAsia="zh-CN"/>
        </w:rPr>
        <w:t>招标项目</w:t>
      </w:r>
      <w:r>
        <w:rPr>
          <w:rFonts w:hint="eastAsia" w:ascii="Times New Roman" w:hAnsi="Times New Roman"/>
          <w:color w:val="auto"/>
          <w:sz w:val="24"/>
          <w:highlight w:val="none"/>
          <w:u w:val="single"/>
        </w:rPr>
        <w:t>建设地点的，不受该项规定限制）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（11）被责令停产停业、暂扣或者吊销许可证、暂扣或者吊销执照；</w:t>
      </w:r>
      <w:r>
        <w:rPr>
          <w:rFonts w:hint="eastAsia" w:ascii="Times New Roman" w:hAnsi="Times New Roman"/>
          <w:color w:val="auto"/>
          <w:sz w:val="24"/>
          <w:highlight w:val="none"/>
          <w:u w:val="single"/>
          <w:lang w:val="en-US" w:eastAsia="zh-CN"/>
        </w:rPr>
        <w:t>（本项事实应当以根据《中华人民共和国行政处罚法》依法作出并已经生效的行政处罚决定为认定依据。）</w:t>
      </w:r>
      <w:r>
        <w:rPr>
          <w:rFonts w:hint="eastAsia" w:ascii="Times New Roman" w:hAnsi="Times New Roman"/>
          <w:color w:val="auto"/>
          <w:sz w:val="24"/>
          <w:highlight w:val="none"/>
          <w:u w:val="singl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（12）进入清算程序，或被宣告破产，或其他丧失履约能力的情形；</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（13）在最近三年内发生重大监理质量问题（以相关行业主管部门的行政处罚决定或司法机关出具的有关法律文书为准）</w:t>
      </w:r>
      <w:r>
        <w:rPr>
          <w:rFonts w:hint="eastAsia" w:ascii="Times New Roman" w:hAnsi="Times New Roman"/>
          <w:color w:val="auto"/>
          <w:sz w:val="24"/>
          <w:highlight w:val="none"/>
        </w:rPr>
        <w:t>“最近三年”是指从投标截止时间之日起逆推三年，以相关行业主管部门、司法机关、仲裁机构出具的生效文件的落款时间起计算）；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（14）法律法规或投标人须知前附表规定的其他情形。</w:t>
      </w:r>
    </w:p>
    <w:p>
      <w:pPr>
        <w:pStyle w:val="9"/>
        <w:ind w:firstLine="118"/>
        <w:rPr>
          <w:color w:val="auto"/>
          <w:sz w:val="24"/>
          <w:szCs w:val="24"/>
          <w:highlight w:val="none"/>
        </w:rPr>
      </w:pPr>
      <w:bookmarkStart w:id="20" w:name="_Toc529196525"/>
      <w:bookmarkStart w:id="21" w:name="_Toc515205198"/>
      <w:r>
        <w:rPr>
          <w:color w:val="auto"/>
          <w:sz w:val="24"/>
          <w:szCs w:val="24"/>
          <w:highlight w:val="none"/>
        </w:rPr>
        <w:t xml:space="preserve">1.5 </w:t>
      </w:r>
      <w:r>
        <w:rPr>
          <w:rFonts w:hint="eastAsia"/>
          <w:color w:val="auto"/>
          <w:sz w:val="24"/>
          <w:szCs w:val="24"/>
          <w:highlight w:val="none"/>
        </w:rPr>
        <w:t>费用承担</w:t>
      </w:r>
      <w:bookmarkEnd w:id="20"/>
      <w:bookmarkEnd w:id="2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投标人准备和参加投标活动发生的费用自理。</w:t>
      </w:r>
    </w:p>
    <w:p>
      <w:pPr>
        <w:pStyle w:val="9"/>
        <w:ind w:firstLine="118"/>
        <w:rPr>
          <w:color w:val="auto"/>
          <w:sz w:val="24"/>
          <w:szCs w:val="24"/>
          <w:highlight w:val="none"/>
        </w:rPr>
      </w:pPr>
      <w:bookmarkStart w:id="22" w:name="_Toc529196526"/>
      <w:bookmarkStart w:id="23" w:name="_Toc515205199"/>
      <w:r>
        <w:rPr>
          <w:color w:val="auto"/>
          <w:sz w:val="24"/>
          <w:szCs w:val="24"/>
          <w:highlight w:val="none"/>
        </w:rPr>
        <w:t>1.6</w:t>
      </w:r>
      <w:r>
        <w:rPr>
          <w:rFonts w:hint="eastAsia"/>
          <w:color w:val="auto"/>
          <w:sz w:val="24"/>
          <w:szCs w:val="24"/>
          <w:highlight w:val="none"/>
        </w:rPr>
        <w:t>保密</w:t>
      </w:r>
      <w:bookmarkEnd w:id="22"/>
      <w:bookmarkEnd w:id="2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参与招标投标活动的各方应对招标文件和投标文件中</w:t>
      </w:r>
      <w:bookmarkStart w:id="24" w:name="_Toc352691477"/>
      <w:bookmarkStart w:id="25" w:name="_Toc369531519"/>
      <w:bookmarkStart w:id="26" w:name="_Toc384308214"/>
      <w:bookmarkStart w:id="27" w:name="_Toc361508589"/>
      <w:bookmarkStart w:id="28" w:name="_Toc5326"/>
      <w:r>
        <w:rPr>
          <w:rFonts w:ascii="Times New Roman" w:hAnsi="Times New Roman"/>
          <w:color w:val="auto"/>
          <w:sz w:val="24"/>
          <w:highlight w:val="none"/>
        </w:rPr>
        <w:t>的商业和技术等秘密保密</w:t>
      </w:r>
      <w:bookmarkEnd w:id="24"/>
      <w:bookmarkEnd w:id="25"/>
      <w:bookmarkEnd w:id="26"/>
      <w:bookmarkEnd w:id="27"/>
      <w:bookmarkEnd w:id="28"/>
      <w:r>
        <w:rPr>
          <w:rFonts w:ascii="Times New Roman" w:hAnsi="Times New Roman"/>
          <w:color w:val="auto"/>
          <w:sz w:val="24"/>
          <w:highlight w:val="none"/>
        </w:rPr>
        <w:t>，否则应承担相应的法律责任。</w:t>
      </w:r>
    </w:p>
    <w:p>
      <w:pPr>
        <w:pStyle w:val="9"/>
        <w:ind w:firstLine="118"/>
        <w:rPr>
          <w:color w:val="auto"/>
          <w:sz w:val="24"/>
          <w:szCs w:val="24"/>
          <w:highlight w:val="none"/>
        </w:rPr>
      </w:pPr>
      <w:bookmarkStart w:id="29" w:name="_Toc515205200"/>
      <w:bookmarkStart w:id="30" w:name="_Toc529196527"/>
      <w:r>
        <w:rPr>
          <w:color w:val="auto"/>
          <w:sz w:val="24"/>
          <w:szCs w:val="24"/>
          <w:highlight w:val="none"/>
        </w:rPr>
        <w:t>1.7 语言文字</w:t>
      </w:r>
      <w:bookmarkEnd w:id="29"/>
      <w:bookmarkEnd w:id="3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招标投标文件使用的语言文字为中文。专用术语使用外文的，应附有中文注释。</w:t>
      </w:r>
    </w:p>
    <w:p>
      <w:pPr>
        <w:pStyle w:val="9"/>
        <w:ind w:firstLine="118"/>
        <w:rPr>
          <w:color w:val="auto"/>
          <w:sz w:val="24"/>
          <w:szCs w:val="24"/>
          <w:highlight w:val="none"/>
        </w:rPr>
      </w:pPr>
      <w:bookmarkStart w:id="31" w:name="_Toc529196528"/>
      <w:bookmarkStart w:id="32" w:name="_Toc515205201"/>
      <w:r>
        <w:rPr>
          <w:color w:val="auto"/>
          <w:sz w:val="24"/>
          <w:szCs w:val="24"/>
          <w:highlight w:val="none"/>
        </w:rPr>
        <w:t>1.8计量单位</w:t>
      </w:r>
      <w:bookmarkEnd w:id="31"/>
      <w:bookmarkEnd w:id="3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所有计量均采用中华人民共和国法定计量单位。</w:t>
      </w:r>
    </w:p>
    <w:p>
      <w:pPr>
        <w:pStyle w:val="9"/>
        <w:ind w:firstLine="118"/>
        <w:rPr>
          <w:color w:val="auto"/>
          <w:sz w:val="24"/>
          <w:szCs w:val="24"/>
          <w:highlight w:val="none"/>
        </w:rPr>
      </w:pPr>
      <w:bookmarkStart w:id="33" w:name="_Toc482188480"/>
      <w:bookmarkStart w:id="34" w:name="_Toc370676289"/>
      <w:bookmarkStart w:id="35" w:name="_Toc391393967"/>
      <w:bookmarkStart w:id="36" w:name="_Toc529196529"/>
      <w:bookmarkStart w:id="37" w:name="_Toc515205202"/>
      <w:bookmarkStart w:id="38" w:name="_Toc144974507"/>
      <w:bookmarkStart w:id="39" w:name="_Toc384308219"/>
      <w:bookmarkStart w:id="40" w:name="_Toc247527563"/>
      <w:bookmarkStart w:id="41" w:name="_Toc152042315"/>
      <w:bookmarkStart w:id="42" w:name="_Toc152045539"/>
      <w:bookmarkStart w:id="43" w:name="_Toc247513962"/>
      <w:bookmarkStart w:id="44" w:name="_Toc300834959"/>
      <w:bookmarkStart w:id="45" w:name="_Toc361508594"/>
      <w:r>
        <w:rPr>
          <w:color w:val="auto"/>
          <w:sz w:val="24"/>
          <w:szCs w:val="24"/>
          <w:highlight w:val="none"/>
        </w:rPr>
        <w:t xml:space="preserve">1.9 </w:t>
      </w:r>
      <w:r>
        <w:rPr>
          <w:rFonts w:hint="eastAsia"/>
          <w:color w:val="auto"/>
          <w:sz w:val="24"/>
          <w:szCs w:val="24"/>
          <w:highlight w:val="none"/>
        </w:rPr>
        <w:t>踏勘现场</w:t>
      </w:r>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1.9.2 投标人踏勘现场发生的费用自理。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1.9.3 除招标人的原因外，投标人自行负责在踏勘现场中所发生的人员伤亡和财产损失。</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1.9.4 招标人在踏勘现场中介绍的工程场地和相关的周边环境情况，供投标人在编制投标文件时参考，招标人不对投标人据此作出的判断和决策负责。</w:t>
      </w:r>
    </w:p>
    <w:p>
      <w:pPr>
        <w:pStyle w:val="9"/>
        <w:ind w:firstLine="118"/>
        <w:rPr>
          <w:color w:val="auto"/>
          <w:sz w:val="24"/>
          <w:szCs w:val="24"/>
          <w:highlight w:val="none"/>
        </w:rPr>
      </w:pPr>
      <w:bookmarkStart w:id="46" w:name="_Toc529196530"/>
      <w:bookmarkStart w:id="47" w:name="_Toc515205203"/>
      <w:r>
        <w:rPr>
          <w:color w:val="auto"/>
          <w:sz w:val="24"/>
          <w:szCs w:val="24"/>
          <w:highlight w:val="none"/>
        </w:rPr>
        <w:t>1.10投标预备会</w:t>
      </w:r>
      <w:bookmarkEnd w:id="46"/>
      <w:bookmarkEnd w:id="4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1.10.3 投标预备会后，招标人将对投标人所提问题的澄清，以投标人须知前附表规定的形式通知所有购买招标文件的投标人。该澄清内容为招标文件的组成部分。</w:t>
      </w:r>
    </w:p>
    <w:p>
      <w:pPr>
        <w:pStyle w:val="9"/>
        <w:ind w:firstLine="118"/>
        <w:rPr>
          <w:color w:val="auto"/>
          <w:sz w:val="24"/>
          <w:szCs w:val="24"/>
          <w:highlight w:val="none"/>
        </w:rPr>
      </w:pPr>
      <w:bookmarkStart w:id="48" w:name="_Toc529196531"/>
      <w:bookmarkStart w:id="49" w:name="_Toc515205204"/>
      <w:r>
        <w:rPr>
          <w:color w:val="auto"/>
          <w:sz w:val="24"/>
          <w:szCs w:val="24"/>
          <w:highlight w:val="none"/>
        </w:rPr>
        <w:t>1.11 分包</w:t>
      </w:r>
      <w:bookmarkEnd w:id="48"/>
      <w:bookmarkEnd w:id="4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本项目严禁分包。</w:t>
      </w:r>
    </w:p>
    <w:p>
      <w:pPr>
        <w:pStyle w:val="9"/>
        <w:ind w:firstLine="118"/>
        <w:rPr>
          <w:color w:val="auto"/>
          <w:sz w:val="24"/>
          <w:szCs w:val="24"/>
          <w:highlight w:val="none"/>
        </w:rPr>
      </w:pPr>
      <w:bookmarkStart w:id="50" w:name="_Toc529196532"/>
      <w:bookmarkStart w:id="51" w:name="_Toc515205205"/>
      <w:r>
        <w:rPr>
          <w:color w:val="auto"/>
          <w:sz w:val="24"/>
          <w:szCs w:val="24"/>
          <w:highlight w:val="none"/>
        </w:rPr>
        <w:t>1.12响应和偏差</w:t>
      </w:r>
      <w:bookmarkEnd w:id="50"/>
      <w:bookmarkEnd w:id="5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1.12.2 投标人应根据招标文件的要求提供投标监理大纲等内容以对招标文件作出响应。</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1.12.3投标人须知前附表允许投标文件偏离招标文件某些要求的，偏差应当符合招标文件规定的偏差范围和幅度。</w:t>
      </w:r>
    </w:p>
    <w:p>
      <w:pPr>
        <w:pStyle w:val="9"/>
        <w:rPr>
          <w:color w:val="auto"/>
          <w:highlight w:val="none"/>
        </w:rPr>
      </w:pPr>
      <w:bookmarkStart w:id="52" w:name="_Toc529196533"/>
      <w:bookmarkStart w:id="53" w:name="_Toc515205206"/>
      <w:r>
        <w:rPr>
          <w:color w:val="auto"/>
          <w:highlight w:val="none"/>
        </w:rPr>
        <w:t>2. 招标文件</w:t>
      </w:r>
      <w:bookmarkEnd w:id="52"/>
      <w:bookmarkEnd w:id="53"/>
    </w:p>
    <w:p>
      <w:pPr>
        <w:pStyle w:val="9"/>
        <w:spacing w:before="120" w:after="120"/>
        <w:ind w:firstLine="137"/>
        <w:rPr>
          <w:color w:val="auto"/>
          <w:highlight w:val="none"/>
        </w:rPr>
      </w:pPr>
      <w:bookmarkStart w:id="54" w:name="_Toc515205207"/>
      <w:bookmarkStart w:id="55" w:name="_Toc529196534"/>
      <w:r>
        <w:rPr>
          <w:color w:val="auto"/>
          <w:highlight w:val="none"/>
        </w:rPr>
        <w:t>2.1 招标文件的组成</w:t>
      </w:r>
      <w:bookmarkEnd w:id="54"/>
      <w:bookmarkEnd w:id="55"/>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本招标文件包括：</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（1）招标公告（或投标邀请书）；</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（2）投标人须知；</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（3）评标办法；</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（4）合同条款及格式；</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（5）委托人要求；</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（6）投标文件格式；</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（7）投标人须知前附表规定的其他资料。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根据本章第1.10款、第2.2款和第2.3款对招标文件所作的澄清、修改，构成招标文件的组成部分。</w:t>
      </w:r>
    </w:p>
    <w:p>
      <w:pPr>
        <w:pStyle w:val="9"/>
        <w:spacing w:before="120" w:after="120"/>
        <w:ind w:firstLine="137"/>
        <w:rPr>
          <w:color w:val="auto"/>
          <w:highlight w:val="none"/>
        </w:rPr>
      </w:pPr>
      <w:bookmarkStart w:id="56" w:name="_Toc515205208"/>
      <w:bookmarkStart w:id="57" w:name="_Toc529196535"/>
      <w:r>
        <w:rPr>
          <w:color w:val="auto"/>
          <w:highlight w:val="none"/>
        </w:rPr>
        <w:t>2.2 招标文件的澄清</w:t>
      </w:r>
      <w:bookmarkEnd w:id="56"/>
      <w:bookmarkEnd w:id="57"/>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2.2.3 投标人在收到澄清后，应按投标人须知前附表规定的时间和形式通知招标人，确认已收到该澄清。</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2.2.4 除非招标人认为确有必要答复，否则，招标人有权拒绝回复投标人在</w:t>
      </w:r>
      <w:r>
        <w:rPr>
          <w:rFonts w:hint="eastAsia" w:ascii="Times New Roman" w:hAnsi="Times New Roman"/>
          <w:color w:val="auto"/>
          <w:sz w:val="24"/>
          <w:highlight w:val="none"/>
        </w:rPr>
        <w:t>本章第2.2.1项</w:t>
      </w:r>
      <w:r>
        <w:rPr>
          <w:rFonts w:ascii="Times New Roman" w:hAnsi="Times New Roman"/>
          <w:color w:val="auto"/>
          <w:sz w:val="24"/>
          <w:highlight w:val="none"/>
        </w:rPr>
        <w:t>规定的时间后的任何澄清要求。</w:t>
      </w:r>
    </w:p>
    <w:p>
      <w:pPr>
        <w:pStyle w:val="9"/>
        <w:ind w:firstLine="137"/>
        <w:rPr>
          <w:color w:val="auto"/>
          <w:highlight w:val="none"/>
        </w:rPr>
      </w:pPr>
      <w:bookmarkStart w:id="58" w:name="_Toc515205209"/>
      <w:bookmarkStart w:id="59" w:name="_Toc529196536"/>
      <w:bookmarkStart w:id="60" w:name="_Toc352691479"/>
      <w:r>
        <w:rPr>
          <w:color w:val="auto"/>
          <w:highlight w:val="none"/>
        </w:rPr>
        <w:t>2.3 招标文件的修</w:t>
      </w:r>
      <w:bookmarkStart w:id="61" w:name="_Toc16514"/>
      <w:bookmarkStart w:id="62" w:name="_Toc369531521"/>
      <w:r>
        <w:rPr>
          <w:color w:val="auto"/>
          <w:highlight w:val="none"/>
        </w:rPr>
        <w:t>改</w:t>
      </w:r>
      <w:bookmarkEnd w:id="58"/>
      <w:bookmarkEnd w:id="59"/>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0"/>
    <w:bookmarkEnd w:id="61"/>
    <w:bookmarkEnd w:id="62"/>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2.3.2 投标人收到修改内容</w:t>
      </w:r>
      <w:bookmarkStart w:id="63" w:name="_Toc24632"/>
      <w:bookmarkStart w:id="64" w:name="_Toc152042314"/>
      <w:bookmarkStart w:id="65" w:name="_Toc361508593"/>
      <w:bookmarkStart w:id="66" w:name="_Toc247527562"/>
      <w:bookmarkStart w:id="67" w:name="_Toc144974506"/>
      <w:bookmarkStart w:id="68" w:name="_Toc352691482"/>
      <w:bookmarkStart w:id="69" w:name="_Toc247513961"/>
      <w:bookmarkStart w:id="70" w:name="_Toc152045538"/>
      <w:bookmarkStart w:id="71" w:name="_Toc384308218"/>
      <w:bookmarkStart w:id="72" w:name="_Toc300834958"/>
      <w:bookmarkStart w:id="73" w:name="_Toc369531524"/>
      <w:r>
        <w:rPr>
          <w:rFonts w:ascii="Times New Roman" w:hAnsi="Times New Roman"/>
          <w:color w:val="auto"/>
          <w:sz w:val="24"/>
          <w:highlight w:val="none"/>
        </w:rPr>
        <w:t>后，</w:t>
      </w:r>
      <w:bookmarkEnd w:id="63"/>
      <w:bookmarkEnd w:id="64"/>
      <w:bookmarkEnd w:id="65"/>
      <w:bookmarkEnd w:id="66"/>
      <w:bookmarkEnd w:id="67"/>
      <w:bookmarkEnd w:id="68"/>
      <w:bookmarkEnd w:id="69"/>
      <w:bookmarkEnd w:id="70"/>
      <w:bookmarkEnd w:id="71"/>
      <w:bookmarkEnd w:id="72"/>
      <w:bookmarkEnd w:id="73"/>
      <w:bookmarkStart w:id="74" w:name="_Toc352691484"/>
      <w:bookmarkStart w:id="75" w:name="_Toc247527564"/>
      <w:bookmarkStart w:id="76" w:name="_Toc247513963"/>
      <w:bookmarkStart w:id="77" w:name="_Toc361508595"/>
      <w:bookmarkStart w:id="78" w:name="_Toc152045540"/>
      <w:bookmarkStart w:id="79" w:name="_Toc300834960"/>
      <w:bookmarkStart w:id="80" w:name="_Toc152042316"/>
      <w:bookmarkStart w:id="81" w:name="_Toc369531526"/>
      <w:bookmarkStart w:id="82" w:name="_Toc384308220"/>
      <w:bookmarkStart w:id="83" w:name="_Toc16623"/>
      <w:bookmarkStart w:id="84" w:name="_Toc144974508"/>
      <w:r>
        <w:rPr>
          <w:rFonts w:ascii="Times New Roman" w:hAnsi="Times New Roman"/>
          <w:color w:val="auto"/>
          <w:sz w:val="24"/>
          <w:highlight w:val="none"/>
        </w:rPr>
        <w:t>应按投标人须知前附表规定的时间和形式通知招标人，确认已收到该修改。</w:t>
      </w:r>
    </w:p>
    <w:p>
      <w:pPr>
        <w:pStyle w:val="9"/>
        <w:spacing w:before="120" w:after="120"/>
        <w:ind w:firstLine="137"/>
        <w:rPr>
          <w:color w:val="auto"/>
          <w:highlight w:val="none"/>
        </w:rPr>
      </w:pPr>
      <w:bookmarkStart w:id="85" w:name="_Toc529196537"/>
      <w:bookmarkStart w:id="86" w:name="_Toc515205210"/>
      <w:r>
        <w:rPr>
          <w:color w:val="auto"/>
          <w:highlight w:val="none"/>
        </w:rPr>
        <w:t>2.</w:t>
      </w:r>
      <w:bookmarkEnd w:id="74"/>
      <w:bookmarkEnd w:id="75"/>
      <w:bookmarkEnd w:id="76"/>
      <w:bookmarkEnd w:id="77"/>
      <w:bookmarkEnd w:id="78"/>
      <w:bookmarkEnd w:id="79"/>
      <w:bookmarkEnd w:id="80"/>
      <w:bookmarkEnd w:id="81"/>
      <w:bookmarkEnd w:id="82"/>
      <w:bookmarkEnd w:id="83"/>
      <w:bookmarkEnd w:id="84"/>
      <w:r>
        <w:rPr>
          <w:color w:val="auto"/>
          <w:highlight w:val="none"/>
        </w:rPr>
        <w:t>4 招标文件的异议</w:t>
      </w:r>
      <w:bookmarkEnd w:id="85"/>
      <w:bookmarkEnd w:id="86"/>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9"/>
        <w:rPr>
          <w:color w:val="auto"/>
          <w:highlight w:val="none"/>
        </w:rPr>
      </w:pPr>
      <w:bookmarkStart w:id="87" w:name="_Toc515205211"/>
      <w:bookmarkStart w:id="88" w:name="_Toc529196538"/>
      <w:r>
        <w:rPr>
          <w:color w:val="auto"/>
          <w:highlight w:val="none"/>
        </w:rPr>
        <w:t>3. 投标文件</w:t>
      </w:r>
      <w:bookmarkEnd w:id="87"/>
      <w:bookmarkEnd w:id="88"/>
    </w:p>
    <w:p>
      <w:pPr>
        <w:pStyle w:val="9"/>
        <w:spacing w:before="120" w:after="120"/>
        <w:ind w:firstLine="137"/>
        <w:rPr>
          <w:color w:val="auto"/>
          <w:highlight w:val="none"/>
        </w:rPr>
      </w:pPr>
      <w:bookmarkStart w:id="89" w:name="_Toc515205212"/>
      <w:bookmarkStart w:id="90" w:name="_Toc529196539"/>
      <w:r>
        <w:rPr>
          <w:color w:val="auto"/>
          <w:highlight w:val="none"/>
        </w:rPr>
        <w:t>3.1 投标文件的组成</w:t>
      </w:r>
      <w:bookmarkEnd w:id="89"/>
      <w:bookmarkEnd w:id="90"/>
    </w:p>
    <w:p>
      <w:pPr>
        <w:spacing w:line="360" w:lineRule="auto"/>
        <w:rPr>
          <w:rFonts w:ascii="Times New Roman" w:hAnsi="Times New Roman"/>
          <w:color w:val="auto"/>
          <w:sz w:val="24"/>
          <w:highlight w:val="none"/>
        </w:rPr>
      </w:pPr>
      <w:r>
        <w:rPr>
          <w:rFonts w:ascii="Times New Roman" w:hAnsi="Times New Roman"/>
          <w:color w:val="auto"/>
          <w:sz w:val="24"/>
          <w:highlight w:val="none"/>
        </w:rPr>
        <w:t>　　3.1.1 投标文件应包括下列内容：</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（1）</w:t>
      </w:r>
      <w:r>
        <w:rPr>
          <w:rFonts w:ascii="Times New Roman" w:hAnsi="Times New Roman"/>
          <w:color w:val="auto"/>
          <w:spacing w:val="0"/>
          <w:highlight w:val="none"/>
        </w:rPr>
        <w:t>投标函及投标函附录</w:t>
      </w:r>
      <w:r>
        <w:rPr>
          <w:rFonts w:hint="eastAsia" w:ascii="Times New Roman" w:hAnsi="Times New Roman"/>
          <w:color w:val="auto"/>
          <w:spacing w:val="0"/>
          <w:highlight w:val="none"/>
        </w:rPr>
        <w:t>；</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（2）</w:t>
      </w:r>
      <w:r>
        <w:rPr>
          <w:rFonts w:ascii="Times New Roman" w:hAnsi="Times New Roman"/>
          <w:color w:val="auto"/>
          <w:spacing w:val="0"/>
          <w:highlight w:val="none"/>
        </w:rPr>
        <w:t>法定代表人身份证明或授权委托书</w:t>
      </w:r>
      <w:r>
        <w:rPr>
          <w:rFonts w:hint="eastAsia" w:ascii="Times New Roman" w:hAnsi="Times New Roman"/>
          <w:color w:val="auto"/>
          <w:spacing w:val="0"/>
          <w:highlight w:val="none"/>
        </w:rPr>
        <w:t>；</w:t>
      </w:r>
    </w:p>
    <w:p>
      <w:pPr>
        <w:pStyle w:val="128"/>
        <w:ind w:firstLine="480"/>
        <w:rPr>
          <w:rFonts w:ascii="Times New Roman" w:hAnsi="Times New Roman"/>
          <w:strike/>
          <w:dstrike w:val="0"/>
          <w:color w:val="auto"/>
          <w:spacing w:val="0"/>
          <w:highlight w:val="none"/>
        </w:rPr>
      </w:pPr>
      <w:r>
        <w:rPr>
          <w:rFonts w:hint="eastAsia" w:ascii="Times New Roman" w:hAnsi="Times New Roman"/>
          <w:strike/>
          <w:dstrike w:val="0"/>
          <w:color w:val="auto"/>
          <w:spacing w:val="0"/>
          <w:highlight w:val="none"/>
        </w:rPr>
        <w:t>（3）</w:t>
      </w:r>
      <w:r>
        <w:rPr>
          <w:rFonts w:ascii="Times New Roman" w:hAnsi="Times New Roman"/>
          <w:strike/>
          <w:dstrike w:val="0"/>
          <w:color w:val="auto"/>
          <w:spacing w:val="0"/>
          <w:highlight w:val="none"/>
        </w:rPr>
        <w:t>投标保证金</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（4）</w:t>
      </w:r>
      <w:r>
        <w:rPr>
          <w:rFonts w:ascii="Times New Roman" w:hAnsi="Times New Roman"/>
          <w:color w:val="auto"/>
          <w:spacing w:val="0"/>
          <w:highlight w:val="none"/>
        </w:rPr>
        <w:t>监理报酬清单</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（5）</w:t>
      </w:r>
      <w:r>
        <w:rPr>
          <w:rFonts w:ascii="Times New Roman" w:hAnsi="Times New Roman"/>
          <w:color w:val="auto"/>
          <w:spacing w:val="0"/>
          <w:highlight w:val="none"/>
        </w:rPr>
        <w:t>资格审查资料</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（6）</w:t>
      </w:r>
      <w:r>
        <w:rPr>
          <w:rFonts w:ascii="Times New Roman" w:hAnsi="Times New Roman"/>
          <w:color w:val="auto"/>
          <w:spacing w:val="0"/>
          <w:highlight w:val="none"/>
        </w:rPr>
        <w:t>监理大纲</w:t>
      </w:r>
      <w:r>
        <w:rPr>
          <w:rFonts w:hint="eastAsia" w:ascii="Times New Roman" w:hAnsi="Times New Roman"/>
          <w:color w:val="auto"/>
          <w:spacing w:val="0"/>
          <w:highlight w:val="none"/>
        </w:rPr>
        <w:t>；</w:t>
      </w:r>
    </w:p>
    <w:p>
      <w:pPr>
        <w:pStyle w:val="128"/>
        <w:ind w:firstLine="480"/>
        <w:rPr>
          <w:rFonts w:ascii="Times New Roman" w:hAnsi="Times New Roman"/>
          <w:color w:val="auto"/>
          <w:spacing w:val="0"/>
          <w:highlight w:val="none"/>
          <w:u w:val="single"/>
        </w:rPr>
      </w:pPr>
      <w:r>
        <w:rPr>
          <w:rFonts w:hint="eastAsia" w:ascii="Times New Roman" w:hAnsi="Times New Roman"/>
          <w:color w:val="auto"/>
          <w:spacing w:val="0"/>
          <w:highlight w:val="none"/>
          <w:u w:val="single"/>
        </w:rPr>
        <w:t>（7）</w:t>
      </w:r>
      <w:r>
        <w:rPr>
          <w:rFonts w:ascii="Times New Roman" w:hAnsi="Times New Roman"/>
          <w:color w:val="auto"/>
          <w:spacing w:val="0"/>
          <w:highlight w:val="none"/>
          <w:u w:val="single"/>
        </w:rPr>
        <w:t>其他资料</w:t>
      </w:r>
      <w:r>
        <w:rPr>
          <w:rFonts w:hint="eastAsia" w:ascii="Times New Roman" w:hAnsi="Times New Roman"/>
          <w:color w:val="auto"/>
          <w:spacing w:val="0"/>
          <w:highlight w:val="none"/>
          <w:u w:val="singl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投标人在评标过程中作出的符合法律法规和招标文件规定的澄清确认，构成投标文件的组成部分。</w:t>
      </w:r>
    </w:p>
    <w:p>
      <w:pPr>
        <w:spacing w:line="360" w:lineRule="auto"/>
        <w:ind w:firstLine="410" w:firstLineChars="171"/>
        <w:rPr>
          <w:rFonts w:ascii="Times New Roman" w:hAnsi="Times New Roman"/>
          <w:strike/>
          <w:dstrike w:val="0"/>
          <w:color w:val="auto"/>
          <w:sz w:val="24"/>
          <w:highlight w:val="none"/>
        </w:rPr>
      </w:pPr>
      <w:r>
        <w:rPr>
          <w:rFonts w:ascii="Times New Roman" w:hAnsi="Times New Roman"/>
          <w:strike/>
          <w:dstrike w:val="0"/>
          <w:color w:val="auto"/>
          <w:sz w:val="24"/>
          <w:highlight w:val="none"/>
        </w:rPr>
        <w:t>3.1.2 投标人须知前附表规定不接受联合体投标的，或投标人没有组成联合体的，投标文件不包括本章第3.1.1（3）目所指的联合体协议书。</w:t>
      </w:r>
    </w:p>
    <w:p>
      <w:pPr>
        <w:spacing w:line="360" w:lineRule="auto"/>
        <w:ind w:firstLine="410" w:firstLineChars="171"/>
        <w:rPr>
          <w:rFonts w:ascii="Times New Roman" w:hAnsi="Times New Roman"/>
          <w:strike/>
          <w:dstrike w:val="0"/>
          <w:color w:val="auto"/>
          <w:sz w:val="24"/>
          <w:highlight w:val="none"/>
        </w:rPr>
      </w:pPr>
      <w:r>
        <w:rPr>
          <w:rFonts w:ascii="Times New Roman" w:hAnsi="Times New Roman"/>
          <w:strike/>
          <w:dstrike w:val="0"/>
          <w:color w:val="auto"/>
          <w:sz w:val="24"/>
          <w:highlight w:val="none"/>
        </w:rPr>
        <w:t>3.1.3 投标人须知前附表未要求提交投标保证金的，投标文件不包括本章第3.1.1（4）目所指的投标保证金。</w:t>
      </w:r>
    </w:p>
    <w:p>
      <w:pPr>
        <w:pStyle w:val="9"/>
        <w:ind w:firstLine="118"/>
        <w:rPr>
          <w:color w:val="auto"/>
          <w:sz w:val="24"/>
          <w:szCs w:val="24"/>
          <w:highlight w:val="none"/>
        </w:rPr>
      </w:pPr>
      <w:bookmarkStart w:id="91" w:name="_Toc514876754"/>
      <w:bookmarkStart w:id="92" w:name="_Toc529196540"/>
      <w:bookmarkStart w:id="93" w:name="_Toc515205213"/>
      <w:r>
        <w:rPr>
          <w:color w:val="auto"/>
          <w:sz w:val="24"/>
          <w:szCs w:val="24"/>
          <w:highlight w:val="none"/>
        </w:rPr>
        <w:t>3.2 投标报价</w:t>
      </w:r>
      <w:bookmarkEnd w:id="91"/>
      <w:bookmarkEnd w:id="92"/>
      <w:bookmarkEnd w:id="93"/>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 xml:space="preserve">3.2.1 </w:t>
      </w:r>
      <w:r>
        <w:rPr>
          <w:rFonts w:ascii="Times New Roman" w:hAnsi="Times New Roman"/>
          <w:color w:val="auto"/>
          <w:spacing w:val="0"/>
          <w:highlight w:val="none"/>
        </w:rPr>
        <w:t>投标报价应包括国家规定的增值税税金，除投标人须知前附表另有规定外，增值税税金按一般计税方法计算。投标人应按第六章“投标文件格式”的要求在投标函中进行报价并填写监理报酬清单。</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 xml:space="preserve">3.2.2 </w:t>
      </w:r>
      <w:r>
        <w:rPr>
          <w:rFonts w:ascii="Times New Roman" w:hAnsi="Times New Roman"/>
          <w:color w:val="auto"/>
          <w:spacing w:val="0"/>
          <w:highlight w:val="none"/>
        </w:rPr>
        <w:t>投标人应充分了解该项目的总体情况以及影响投标报价的其他要素</w:t>
      </w:r>
      <w:r>
        <w:rPr>
          <w:rFonts w:hint="eastAsia" w:ascii="Times New Roman" w:hAnsi="Times New Roman"/>
          <w:color w:val="auto"/>
          <w:spacing w:val="0"/>
          <w:highlight w:val="none"/>
        </w:rPr>
        <w:t>。</w:t>
      </w:r>
    </w:p>
    <w:p>
      <w:pPr>
        <w:pStyle w:val="128"/>
        <w:ind w:firstLine="480"/>
        <w:rPr>
          <w:rFonts w:ascii="Times New Roman" w:hAnsi="Times New Roman"/>
          <w:color w:val="auto"/>
          <w:spacing w:val="0"/>
          <w:highlight w:val="none"/>
        </w:rPr>
      </w:pPr>
      <w:r>
        <w:rPr>
          <w:rFonts w:hint="eastAsia" w:ascii="Times New Roman" w:hAnsi="Times New Roman"/>
          <w:color w:val="auto"/>
          <w:spacing w:val="0"/>
          <w:highlight w:val="none"/>
        </w:rPr>
        <w:t>3.2.3</w:t>
      </w:r>
      <w:r>
        <w:rPr>
          <w:rFonts w:ascii="Times New Roman" w:hAnsi="Times New Roman"/>
          <w:color w:val="auto"/>
          <w:spacing w:val="0"/>
          <w:highlight w:val="none"/>
        </w:rPr>
        <w:t>本项目的报价方式见投标人须知前附表。投标人在投标截止时间前修改投标函中的投标报价总额，应同时修改投标文件“监理报酬清单”中的相应报价。此修改须符合本章第 4.3 款的有关要求</w:t>
      </w:r>
      <w:r>
        <w:rPr>
          <w:rFonts w:hint="eastAsia" w:ascii="Times New Roman" w:hAnsi="Times New Roman"/>
          <w:color w:val="auto"/>
          <w:spacing w:val="0"/>
          <w:highlight w:val="none"/>
        </w:rPr>
        <w:t>。</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3.2.4．</w:t>
      </w:r>
      <w:r>
        <w:rPr>
          <w:rFonts w:ascii="Times New Roman" w:hAnsi="Times New Roman"/>
          <w:color w:val="auto"/>
          <w:sz w:val="24"/>
          <w:highlight w:val="none"/>
        </w:rPr>
        <w:t>招标人设有最高投标限价的，投标人的投标报价不得超过最高投标限价，最高投标限价在投标人须知前附表中载明。</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3.2.5 投标报价的其他要求见投标人须知前附表。</w:t>
      </w:r>
    </w:p>
    <w:p>
      <w:pPr>
        <w:pStyle w:val="9"/>
        <w:ind w:firstLine="118"/>
        <w:rPr>
          <w:color w:val="auto"/>
          <w:sz w:val="24"/>
          <w:szCs w:val="24"/>
          <w:highlight w:val="none"/>
        </w:rPr>
      </w:pPr>
      <w:bookmarkStart w:id="94" w:name="_Toc515205214"/>
      <w:bookmarkStart w:id="95" w:name="_Toc529196541"/>
      <w:r>
        <w:rPr>
          <w:color w:val="auto"/>
          <w:sz w:val="24"/>
          <w:szCs w:val="24"/>
          <w:highlight w:val="none"/>
        </w:rPr>
        <w:t>3.3 投标有效期</w:t>
      </w:r>
      <w:bookmarkEnd w:id="94"/>
      <w:bookmarkEnd w:id="9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3.3.1 除投标人须知前附表另有规定外，投标有效期为90天。</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3.3.2 在投标有效期内，投标人撤销投标文件的，应承担招标文件和法律规定的责任。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9"/>
        <w:spacing w:before="120" w:after="120"/>
        <w:ind w:firstLine="137"/>
        <w:rPr>
          <w:color w:val="auto"/>
          <w:highlight w:val="none"/>
        </w:rPr>
      </w:pPr>
      <w:bookmarkStart w:id="96" w:name="_Toc515205215"/>
      <w:bookmarkStart w:id="97" w:name="_Toc529196542"/>
      <w:r>
        <w:rPr>
          <w:color w:val="auto"/>
          <w:highlight w:val="none"/>
        </w:rPr>
        <w:t>3.4 投标保证金</w:t>
      </w:r>
      <w:bookmarkEnd w:id="96"/>
      <w:bookmarkEnd w:id="97"/>
    </w:p>
    <w:p>
      <w:pPr>
        <w:pStyle w:val="9"/>
        <w:spacing w:before="120" w:after="120"/>
        <w:ind w:firstLine="137"/>
        <w:rPr>
          <w:color w:val="auto"/>
          <w:sz w:val="24"/>
          <w:highlight w:val="none"/>
          <w:u w:val="single"/>
        </w:rPr>
      </w:pPr>
      <w:bookmarkStart w:id="98" w:name="_Toc529196544"/>
      <w:bookmarkStart w:id="99" w:name="_Toc515205217"/>
      <w:r>
        <w:rPr>
          <w:rFonts w:hint="eastAsia"/>
          <w:color w:val="auto"/>
          <w:sz w:val="24"/>
          <w:highlight w:val="none"/>
          <w:u w:val="single"/>
        </w:rPr>
        <w:t>本项目不收取投标保证金</w:t>
      </w:r>
    </w:p>
    <w:p>
      <w:pPr>
        <w:pStyle w:val="9"/>
        <w:spacing w:before="120" w:after="120"/>
        <w:ind w:firstLine="137"/>
        <w:rPr>
          <w:color w:val="auto"/>
          <w:highlight w:val="none"/>
        </w:rPr>
      </w:pPr>
      <w:r>
        <w:rPr>
          <w:color w:val="auto"/>
          <w:highlight w:val="none"/>
        </w:rPr>
        <w:t>3.5 资格审查资料（适用于</w:t>
      </w:r>
      <w:r>
        <w:rPr>
          <w:rFonts w:hint="eastAsia"/>
          <w:color w:val="auto"/>
          <w:highlight w:val="none"/>
        </w:rPr>
        <w:t>未</w:t>
      </w:r>
      <w:r>
        <w:rPr>
          <w:color w:val="auto"/>
          <w:highlight w:val="none"/>
        </w:rPr>
        <w:t>进行资格预审的）</w:t>
      </w:r>
      <w:bookmarkEnd w:id="98"/>
      <w:bookmarkEnd w:id="9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ascii="宋体" w:hAnsi="宋体"/>
          <w:color w:val="auto"/>
          <w:sz w:val="24"/>
          <w:szCs w:val="24"/>
          <w:highlight w:val="none"/>
        </w:rPr>
        <w:t>（本项目不适用）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3.5.5 “近年发生的诉讼及仲裁情况”应说明投标人败诉的监理合同的相关情况，并附法院或仲裁机构作出的判决、裁决等有关法律文书复印件，具体时间要求见投标人须知前附表。</w:t>
      </w:r>
      <w:r>
        <w:rPr>
          <w:rFonts w:hint="eastAsia" w:ascii="宋体" w:hAnsi="宋体"/>
          <w:color w:val="auto"/>
          <w:sz w:val="24"/>
          <w:szCs w:val="24"/>
          <w:highlight w:val="none"/>
        </w:rPr>
        <w:t>（本项目不适用）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3.5.6 “拟委任的主要人员汇总表”应填报满足本章第 1.4.1 项规定的总监理工程师和其他主要人员的相关信息。“主要人员简历表”中总监理工程师应附身份证、学历证、职称证、注册监</w:t>
      </w:r>
      <w:bookmarkStart w:id="100" w:name="page28"/>
      <w:bookmarkEnd w:id="100"/>
      <w:r>
        <w:rPr>
          <w:rFonts w:ascii="Times New Roman" w:hAnsi="Times New Roman"/>
          <w:color w:val="auto"/>
          <w:sz w:val="24"/>
          <w:highlight w:val="none"/>
        </w:rPr>
        <w:t>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3.5.7 “拟投入本项目的主要试验检测仪器设备表”应填报满足本章第 1.4.1 项规定的试验检测仪器设备。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3.5.8</w:t>
      </w:r>
      <w:r>
        <w:rPr>
          <w:rFonts w:hint="eastAsia" w:ascii="宋体" w:hAnsi="宋体"/>
          <w:color w:val="auto"/>
          <w:sz w:val="24"/>
          <w:szCs w:val="24"/>
          <w:highlight w:val="none"/>
          <w:u w:val="single"/>
        </w:rPr>
        <w:t>“投标人声明”（格式见招标公告附件一）。</w:t>
      </w:r>
    </w:p>
    <w:p>
      <w:pPr>
        <w:pStyle w:val="8"/>
        <w:outlineLvl w:val="9"/>
        <w:rPr>
          <w:color w:val="auto"/>
          <w:highlight w:val="none"/>
        </w:rPr>
      </w:pPr>
    </w:p>
    <w:p>
      <w:pPr>
        <w:pStyle w:val="9"/>
        <w:spacing w:before="120" w:after="120"/>
        <w:ind w:firstLine="137"/>
        <w:rPr>
          <w:color w:val="auto"/>
          <w:highlight w:val="none"/>
        </w:rPr>
      </w:pPr>
      <w:bookmarkStart w:id="101" w:name="_Toc515205218"/>
      <w:bookmarkStart w:id="102" w:name="_Toc529196545"/>
      <w:r>
        <w:rPr>
          <w:color w:val="auto"/>
          <w:highlight w:val="none"/>
        </w:rPr>
        <w:t>3.6 备选投标方案</w:t>
      </w:r>
      <w:bookmarkEnd w:id="101"/>
      <w:bookmarkEnd w:id="10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3.6.1 除投标人须知前附表规定允许外，投标人不得递交备选投标方案，否则其投标将被否决。</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3.6.3 投标人提供两个或两个以上投标报价，或者在投标文件中提供一个报价，但同时提供两个或两个以上</w:t>
      </w:r>
      <w:bookmarkStart w:id="103" w:name="_Toc144974518"/>
      <w:bookmarkStart w:id="104" w:name="_Toc369531538"/>
      <w:bookmarkStart w:id="105" w:name="_Toc247527575"/>
      <w:bookmarkStart w:id="106" w:name="_Toc352691495"/>
      <w:bookmarkStart w:id="107" w:name="_Toc152042326"/>
      <w:bookmarkStart w:id="108" w:name="_Toc361508607"/>
      <w:bookmarkStart w:id="109" w:name="_Toc300834971"/>
      <w:bookmarkStart w:id="110" w:name="_Toc29902"/>
      <w:bookmarkStart w:id="111" w:name="_Toc152045550"/>
      <w:bookmarkStart w:id="112" w:name="_Toc247513974"/>
      <w:bookmarkStart w:id="113" w:name="_Toc384308232"/>
      <w:r>
        <w:rPr>
          <w:rFonts w:ascii="Times New Roman" w:hAnsi="Times New Roman"/>
          <w:color w:val="auto"/>
          <w:sz w:val="24"/>
          <w:highlight w:val="none"/>
        </w:rPr>
        <w:t>监理方案的</w:t>
      </w:r>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color w:val="auto"/>
          <w:sz w:val="24"/>
          <w:highlight w:val="none"/>
        </w:rPr>
        <w:t>，视为提供备选方案。</w:t>
      </w:r>
    </w:p>
    <w:p>
      <w:pPr>
        <w:pStyle w:val="9"/>
        <w:spacing w:before="120" w:after="120"/>
        <w:ind w:firstLine="137"/>
        <w:rPr>
          <w:color w:val="auto"/>
          <w:highlight w:val="none"/>
        </w:rPr>
      </w:pPr>
      <w:bookmarkStart w:id="114" w:name="_Toc529196546"/>
      <w:bookmarkStart w:id="115" w:name="_Toc515205219"/>
      <w:r>
        <w:rPr>
          <w:color w:val="auto"/>
          <w:highlight w:val="none"/>
        </w:rPr>
        <w:t>3.7 投标文件的编制</w:t>
      </w:r>
      <w:bookmarkEnd w:id="114"/>
      <w:bookmarkEnd w:id="11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color w:val="auto"/>
          <w:sz w:val="24"/>
          <w:highlight w:val="none"/>
        </w:rPr>
      </w:pPr>
      <w:bookmarkStart w:id="116" w:name="_Toc514946914"/>
      <w:r>
        <w:rPr>
          <w:rFonts w:ascii="Times New Roman" w:hAnsi="Times New Roman"/>
          <w:color w:val="auto"/>
          <w:sz w:val="24"/>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6"/>
    </w:p>
    <w:p>
      <w:pPr>
        <w:pStyle w:val="9"/>
        <w:rPr>
          <w:color w:val="auto"/>
          <w:highlight w:val="none"/>
        </w:rPr>
      </w:pPr>
      <w:bookmarkStart w:id="117" w:name="_Toc529196547"/>
      <w:bookmarkStart w:id="118" w:name="_Toc515205220"/>
      <w:r>
        <w:rPr>
          <w:color w:val="auto"/>
          <w:highlight w:val="none"/>
        </w:rPr>
        <w:t>4. 投标</w:t>
      </w:r>
      <w:bookmarkEnd w:id="117"/>
      <w:bookmarkEnd w:id="118"/>
    </w:p>
    <w:p>
      <w:pPr>
        <w:pStyle w:val="9"/>
        <w:spacing w:before="120" w:after="120"/>
        <w:ind w:firstLine="137"/>
        <w:rPr>
          <w:color w:val="auto"/>
          <w:highlight w:val="none"/>
        </w:rPr>
      </w:pPr>
      <w:bookmarkStart w:id="119" w:name="_Toc529196548"/>
      <w:bookmarkStart w:id="120" w:name="_Toc515205221"/>
      <w:r>
        <w:rPr>
          <w:color w:val="auto"/>
          <w:highlight w:val="none"/>
        </w:rPr>
        <w:t>4.1 投标文件的密封和标记</w:t>
      </w:r>
      <w:bookmarkEnd w:id="119"/>
      <w:bookmarkEnd w:id="12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4.1.2 投标文件封套上应写明的内容见投标人须知前附表。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4.1.3 未按本章第4.1.1项要求密封的投标文件，招标人将予以拒收。</w:t>
      </w:r>
    </w:p>
    <w:p>
      <w:pPr>
        <w:pStyle w:val="9"/>
        <w:ind w:firstLine="118"/>
        <w:rPr>
          <w:color w:val="auto"/>
          <w:sz w:val="24"/>
          <w:szCs w:val="24"/>
          <w:highlight w:val="none"/>
        </w:rPr>
      </w:pPr>
      <w:bookmarkStart w:id="121" w:name="_Toc515205222"/>
      <w:bookmarkStart w:id="122" w:name="_Toc529196549"/>
      <w:r>
        <w:rPr>
          <w:color w:val="auto"/>
          <w:sz w:val="24"/>
          <w:szCs w:val="24"/>
          <w:highlight w:val="none"/>
        </w:rPr>
        <w:t>4.2 投标文件的递交</w:t>
      </w:r>
      <w:bookmarkEnd w:id="121"/>
      <w:bookmarkEnd w:id="12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4.2.1 投标人应在投标人须知前附表规定的投标截止时间前递交投标文件。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4.2.2 （B）投标人通过下载招标文件的电子招标投标交易平台递交电子投标文件。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4.2.3 除投标人须知前附表另有规定外，投标人所递交的投标文件不予退还。</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4.2.5 （B）逾期送达的投标文件，电子招标投标交易平台将予以拒收。</w:t>
      </w:r>
    </w:p>
    <w:p>
      <w:pPr>
        <w:pStyle w:val="9"/>
        <w:ind w:firstLine="118"/>
        <w:rPr>
          <w:color w:val="auto"/>
          <w:sz w:val="24"/>
          <w:szCs w:val="24"/>
          <w:highlight w:val="none"/>
        </w:rPr>
      </w:pPr>
      <w:bookmarkStart w:id="123" w:name="_Toc515205223"/>
      <w:bookmarkStart w:id="124" w:name="_Toc529196550"/>
      <w:r>
        <w:rPr>
          <w:color w:val="auto"/>
          <w:sz w:val="24"/>
          <w:szCs w:val="24"/>
          <w:highlight w:val="none"/>
        </w:rPr>
        <w:t>4.3 投标文件的修改与撤回</w:t>
      </w:r>
      <w:bookmarkEnd w:id="123"/>
      <w:bookmarkEnd w:id="12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w:t>
      </w:r>
      <w:bookmarkStart w:id="125" w:name="_Toc300834974"/>
      <w:bookmarkStart w:id="126" w:name="_Toc19203"/>
      <w:bookmarkStart w:id="127" w:name="_Toc247527578"/>
      <w:bookmarkStart w:id="128" w:name="_Toc361508610"/>
      <w:bookmarkStart w:id="129" w:name="_Toc152045553"/>
      <w:bookmarkStart w:id="130" w:name="_Toc152042329"/>
      <w:bookmarkStart w:id="131" w:name="_Toc352691497"/>
      <w:bookmarkStart w:id="132" w:name="_Toc144974521"/>
      <w:bookmarkStart w:id="133" w:name="_Toc247513977"/>
      <w:bookmarkStart w:id="134" w:name="_Toc384308235"/>
      <w:bookmarkStart w:id="135" w:name="_Toc369531541"/>
      <w:r>
        <w:rPr>
          <w:rFonts w:ascii="Times New Roman" w:hAnsi="Times New Roman"/>
          <w:color w:val="auto"/>
          <w:sz w:val="24"/>
          <w:highlight w:val="none"/>
        </w:rPr>
        <w:t>4 修改的内容为投标</w:t>
      </w:r>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color w:val="auto"/>
          <w:sz w:val="24"/>
          <w:highlight w:val="none"/>
        </w:rPr>
        <w:t>文件的组成部分。修改的投标文件应按照本章第3条、第4条的规定进行编制、密封、标记和递交，并标明“修改”字样。</w:t>
      </w:r>
    </w:p>
    <w:p>
      <w:pPr>
        <w:pStyle w:val="9"/>
        <w:rPr>
          <w:color w:val="auto"/>
          <w:highlight w:val="none"/>
        </w:rPr>
      </w:pPr>
      <w:bookmarkStart w:id="136" w:name="_Toc529196551"/>
      <w:bookmarkStart w:id="137" w:name="_Toc515205224"/>
      <w:r>
        <w:rPr>
          <w:color w:val="auto"/>
          <w:highlight w:val="none"/>
        </w:rPr>
        <w:t>5. 开标</w:t>
      </w:r>
      <w:bookmarkEnd w:id="136"/>
      <w:bookmarkEnd w:id="137"/>
    </w:p>
    <w:p>
      <w:pPr>
        <w:pStyle w:val="9"/>
        <w:ind w:firstLine="137"/>
        <w:rPr>
          <w:color w:val="auto"/>
          <w:highlight w:val="none"/>
        </w:rPr>
      </w:pPr>
      <w:bookmarkStart w:id="138" w:name="_Toc515205226"/>
      <w:bookmarkStart w:id="139" w:name="_Toc529196553"/>
      <w:r>
        <w:rPr>
          <w:color w:val="auto"/>
          <w:highlight w:val="none"/>
        </w:rPr>
        <w:t>5.1 开标时间和地点（B）</w:t>
      </w:r>
      <w:bookmarkEnd w:id="138"/>
      <w:bookmarkEnd w:id="139"/>
    </w:p>
    <w:p>
      <w:pPr>
        <w:spacing w:line="360" w:lineRule="auto"/>
        <w:ind w:firstLine="480" w:firstLineChars="200"/>
        <w:rPr>
          <w:rFonts w:ascii="宋体" w:hAnsi="宋体"/>
          <w:color w:val="auto"/>
          <w:sz w:val="24"/>
          <w:szCs w:val="24"/>
          <w:highlight w:val="none"/>
        </w:rPr>
      </w:pPr>
      <w:r>
        <w:rPr>
          <w:rFonts w:ascii="Times New Roman" w:hAnsi="Times New Roman"/>
          <w:color w:val="auto"/>
          <w:sz w:val="24"/>
          <w:highlight w:val="none"/>
        </w:rPr>
        <w:t>招</w:t>
      </w:r>
      <w:r>
        <w:rPr>
          <w:rFonts w:hint="eastAsia" w:ascii="宋体" w:hAnsi="宋体"/>
          <w:color w:val="auto"/>
          <w:sz w:val="24"/>
          <w:szCs w:val="24"/>
          <w:highlight w:val="none"/>
        </w:rPr>
        <w:t>标人在本章第 4.2.1 项规定的投标截止时间（开标时间）,通过电子招标投标交易平台公开开标，</w:t>
      </w:r>
      <w:r>
        <w:rPr>
          <w:rFonts w:hint="eastAsia" w:ascii="宋体" w:hAnsi="宋体"/>
          <w:color w:val="auto"/>
          <w:sz w:val="24"/>
          <w:szCs w:val="24"/>
          <w:highlight w:val="none"/>
          <w:u w:val="single"/>
        </w:rPr>
        <w:t>开标时，投标人代表有权出席开标会，也可以自主决定不参加开标会，若投标人代表对开标过程提出异议，该投标人代表须同时出示本人身份证原件，</w:t>
      </w:r>
      <w:r>
        <w:rPr>
          <w:rFonts w:hint="eastAsia" w:ascii="宋体" w:hAnsi="宋体"/>
          <w:color w:val="auto"/>
          <w:sz w:val="24"/>
          <w:szCs w:val="24"/>
          <w:highlight w:val="none"/>
        </w:rPr>
        <w:t>不参加开标会视为对开标过程无异议。</w:t>
      </w:r>
    </w:p>
    <w:p>
      <w:pPr>
        <w:spacing w:line="360" w:lineRule="auto"/>
        <w:ind w:firstLine="480" w:firstLineChars="200"/>
        <w:rPr>
          <w:rFonts w:ascii="Times New Roman" w:hAnsi="Times New Roman"/>
          <w:color w:val="auto"/>
          <w:sz w:val="24"/>
          <w:highlight w:val="none"/>
        </w:rPr>
      </w:pPr>
    </w:p>
    <w:p>
      <w:pPr>
        <w:pStyle w:val="9"/>
        <w:spacing w:before="120" w:after="120"/>
        <w:ind w:firstLine="137"/>
        <w:rPr>
          <w:color w:val="auto"/>
          <w:highlight w:val="none"/>
        </w:rPr>
      </w:pPr>
      <w:bookmarkStart w:id="140" w:name="_Toc515205227"/>
      <w:bookmarkStart w:id="141" w:name="_Toc529196554"/>
      <w:r>
        <w:rPr>
          <w:color w:val="auto"/>
          <w:highlight w:val="none"/>
        </w:rPr>
        <w:t>5.2 开标程序</w:t>
      </w:r>
      <w:bookmarkEnd w:id="140"/>
      <w:bookmarkEnd w:id="14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主持人按下列程序进行开标：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（1）宣布开标纪律；</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（2）公布在投标截止时间前递交投标文件的投标人名称；</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（3）宣布</w:t>
      </w:r>
      <w:bookmarkStart w:id="142" w:name="_Toc152042330"/>
      <w:bookmarkStart w:id="143" w:name="_Toc22119"/>
      <w:bookmarkStart w:id="144" w:name="_Toc352691498"/>
      <w:bookmarkStart w:id="145" w:name="_Toc369531542"/>
      <w:bookmarkStart w:id="146" w:name="_Toc152045554"/>
      <w:bookmarkStart w:id="147" w:name="_Toc361508611"/>
      <w:bookmarkStart w:id="148" w:name="_Toc247527579"/>
      <w:bookmarkStart w:id="149" w:name="_Toc384308236"/>
      <w:bookmarkStart w:id="150" w:name="_Toc247513978"/>
      <w:bookmarkStart w:id="151" w:name="_Toc144974522"/>
      <w:bookmarkStart w:id="152" w:name="_Toc300834975"/>
      <w:r>
        <w:rPr>
          <w:rFonts w:ascii="Times New Roman" w:hAnsi="Times New Roman"/>
          <w:color w:val="auto"/>
          <w:sz w:val="24"/>
          <w:highlight w:val="none"/>
        </w:rPr>
        <w:t>开标人、唱标人、记录人</w:t>
      </w:r>
      <w:bookmarkEnd w:id="142"/>
      <w:bookmarkEnd w:id="143"/>
      <w:bookmarkEnd w:id="144"/>
      <w:bookmarkEnd w:id="145"/>
      <w:bookmarkEnd w:id="146"/>
      <w:bookmarkEnd w:id="147"/>
      <w:bookmarkEnd w:id="148"/>
      <w:bookmarkEnd w:id="149"/>
      <w:bookmarkEnd w:id="150"/>
      <w:bookmarkEnd w:id="151"/>
      <w:bookmarkEnd w:id="152"/>
      <w:r>
        <w:rPr>
          <w:rFonts w:ascii="Times New Roman" w:hAnsi="Times New Roman"/>
          <w:color w:val="auto"/>
          <w:sz w:val="24"/>
          <w:highlight w:val="none"/>
        </w:rPr>
        <w:t>、监标人等有关人员姓名；</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（5）（B）</w:t>
      </w:r>
      <w:r>
        <w:rPr>
          <w:rFonts w:hint="eastAsia" w:ascii="宋体" w:hAnsi="宋体" w:cs="宋体"/>
          <w:color w:val="auto"/>
          <w:sz w:val="24"/>
          <w:szCs w:val="24"/>
          <w:highlight w:val="none"/>
          <w:u w:val="single"/>
        </w:rPr>
        <w:t>投标人代表、招标人代表、监标人、记录人等有关人员在开标记录上签字确认；若有关人员不签字的，不影响开标程序；</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（6）开标结束。</w:t>
      </w:r>
    </w:p>
    <w:p>
      <w:pPr>
        <w:pStyle w:val="9"/>
        <w:spacing w:before="120" w:after="120"/>
        <w:ind w:firstLine="137"/>
        <w:rPr>
          <w:color w:val="auto"/>
          <w:highlight w:val="none"/>
        </w:rPr>
      </w:pPr>
      <w:bookmarkStart w:id="153" w:name="_Toc529196555"/>
      <w:bookmarkStart w:id="154" w:name="_Toc515205228"/>
      <w:r>
        <w:rPr>
          <w:color w:val="auto"/>
          <w:highlight w:val="none"/>
        </w:rPr>
        <w:t>5.3 开标异议</w:t>
      </w:r>
      <w:bookmarkEnd w:id="153"/>
      <w:bookmarkEnd w:id="154"/>
    </w:p>
    <w:p>
      <w:pPr>
        <w:spacing w:line="360" w:lineRule="auto"/>
        <w:ind w:firstLine="410" w:firstLineChars="171"/>
        <w:rPr>
          <w:rFonts w:ascii="Times New Roman" w:hAnsi="Times New Roman"/>
          <w:color w:val="auto"/>
          <w:sz w:val="24"/>
          <w:highlight w:val="none"/>
          <w:u w:val="single"/>
        </w:rPr>
      </w:pPr>
      <w:r>
        <w:rPr>
          <w:rFonts w:hint="default" w:ascii="Times New Roman" w:hAnsi="Times New Roman"/>
          <w:color w:val="auto"/>
          <w:sz w:val="24"/>
          <w:highlight w:val="none"/>
          <w:u w:val="single"/>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p>
      <w:pPr>
        <w:pStyle w:val="9"/>
        <w:rPr>
          <w:color w:val="auto"/>
          <w:highlight w:val="none"/>
        </w:rPr>
      </w:pPr>
      <w:bookmarkStart w:id="155" w:name="_Toc515205229"/>
      <w:bookmarkStart w:id="156" w:name="_Toc529196556"/>
      <w:r>
        <w:rPr>
          <w:color w:val="auto"/>
          <w:highlight w:val="none"/>
        </w:rPr>
        <w:t>6. 评标</w:t>
      </w:r>
      <w:bookmarkEnd w:id="155"/>
      <w:bookmarkEnd w:id="156"/>
    </w:p>
    <w:p>
      <w:pPr>
        <w:pStyle w:val="9"/>
        <w:ind w:firstLine="137"/>
        <w:rPr>
          <w:color w:val="auto"/>
          <w:highlight w:val="none"/>
        </w:rPr>
      </w:pPr>
      <w:bookmarkStart w:id="157" w:name="_Toc515205230"/>
      <w:bookmarkStart w:id="158" w:name="_Toc529196557"/>
      <w:r>
        <w:rPr>
          <w:color w:val="auto"/>
          <w:highlight w:val="none"/>
        </w:rPr>
        <w:t>6.1 评标委员会</w:t>
      </w:r>
      <w:bookmarkEnd w:id="157"/>
      <w:bookmarkEnd w:id="158"/>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6.1.2 评标委员会成员有下列情形之一的，应当回避：</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（1）投标人或投标人主要负责人的近亲属；</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（2）项目主管部门或者行政监督部门的人员；</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（3）与投标人有经济利益关系，可能影响对投标公正评审的；</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（4）曾因在招标、评</w:t>
      </w:r>
      <w:bookmarkStart w:id="159" w:name="_Toc6230"/>
      <w:bookmarkStart w:id="160" w:name="_Toc300834976"/>
      <w:bookmarkStart w:id="161" w:name="_Toc144974523"/>
      <w:bookmarkStart w:id="162" w:name="_Toc152045555"/>
      <w:bookmarkStart w:id="163" w:name="_Toc384308237"/>
      <w:bookmarkStart w:id="164" w:name="_Toc361508612"/>
      <w:bookmarkStart w:id="165" w:name="_Toc369531543"/>
      <w:bookmarkStart w:id="166" w:name="_Toc247527580"/>
      <w:bookmarkStart w:id="167" w:name="_Toc352691499"/>
      <w:bookmarkStart w:id="168" w:name="_Toc247513979"/>
      <w:bookmarkStart w:id="169" w:name="_Toc152042331"/>
      <w:r>
        <w:rPr>
          <w:rFonts w:ascii="Times New Roman" w:hAnsi="Times New Roman"/>
          <w:color w:val="auto"/>
          <w:sz w:val="24"/>
          <w:highlight w:val="none"/>
        </w:rPr>
        <w:t>标以及其他</w:t>
      </w:r>
      <w:bookmarkEnd w:id="159"/>
      <w:bookmarkEnd w:id="160"/>
      <w:bookmarkEnd w:id="161"/>
      <w:bookmarkEnd w:id="162"/>
      <w:bookmarkEnd w:id="163"/>
      <w:bookmarkEnd w:id="164"/>
      <w:bookmarkEnd w:id="165"/>
      <w:bookmarkEnd w:id="166"/>
      <w:bookmarkEnd w:id="167"/>
      <w:bookmarkEnd w:id="168"/>
      <w:bookmarkEnd w:id="169"/>
      <w:r>
        <w:rPr>
          <w:rFonts w:ascii="Times New Roman" w:hAnsi="Times New Roman"/>
          <w:color w:val="auto"/>
          <w:sz w:val="24"/>
          <w:highlight w:val="none"/>
        </w:rPr>
        <w:t>与</w:t>
      </w:r>
      <w:bookmarkStart w:id="170" w:name="_Toc352691500"/>
      <w:bookmarkStart w:id="171" w:name="_Toc361508613"/>
      <w:bookmarkStart w:id="172" w:name="_Toc152045556"/>
      <w:bookmarkStart w:id="173" w:name="_Toc17703"/>
      <w:bookmarkStart w:id="174" w:name="_Toc384308238"/>
      <w:bookmarkStart w:id="175" w:name="_Toc247527581"/>
      <w:bookmarkStart w:id="176" w:name="_Toc300834977"/>
      <w:bookmarkStart w:id="177" w:name="_Toc144974524"/>
      <w:bookmarkStart w:id="178" w:name="_Toc152042332"/>
      <w:bookmarkStart w:id="179" w:name="_Toc247513980"/>
      <w:bookmarkStart w:id="180" w:name="_Toc369531544"/>
      <w:r>
        <w:rPr>
          <w:rFonts w:ascii="Times New Roman" w:hAnsi="Times New Roman"/>
          <w:color w:val="auto"/>
          <w:sz w:val="24"/>
          <w:highlight w:val="none"/>
        </w:rPr>
        <w:t>招标投标有关活动中从事违法行</w:t>
      </w:r>
      <w:bookmarkEnd w:id="170"/>
      <w:bookmarkEnd w:id="171"/>
      <w:bookmarkEnd w:id="172"/>
      <w:bookmarkEnd w:id="173"/>
      <w:bookmarkEnd w:id="174"/>
      <w:bookmarkEnd w:id="175"/>
      <w:bookmarkEnd w:id="176"/>
      <w:bookmarkEnd w:id="177"/>
      <w:bookmarkEnd w:id="178"/>
      <w:bookmarkEnd w:id="179"/>
      <w:bookmarkEnd w:id="180"/>
      <w:r>
        <w:rPr>
          <w:rFonts w:ascii="Times New Roman" w:hAnsi="Times New Roman"/>
          <w:color w:val="auto"/>
          <w:sz w:val="24"/>
          <w:highlight w:val="none"/>
        </w:rPr>
        <w:t>为而受过行政处罚或刑事处罚的；</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（5）与投标人有其他利害关系。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9"/>
        <w:ind w:firstLine="137"/>
        <w:rPr>
          <w:color w:val="auto"/>
          <w:highlight w:val="none"/>
        </w:rPr>
      </w:pPr>
      <w:bookmarkStart w:id="181" w:name="_Toc515205231"/>
      <w:bookmarkStart w:id="182" w:name="_Toc529196558"/>
      <w:r>
        <w:rPr>
          <w:color w:val="auto"/>
          <w:highlight w:val="none"/>
        </w:rPr>
        <w:t>6.2 评标原则</w:t>
      </w:r>
      <w:bookmarkEnd w:id="181"/>
      <w:bookmarkEnd w:id="18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评标活动遵循公平、公正、科学和择优的原</w:t>
      </w:r>
      <w:bookmarkStart w:id="183" w:name="_Toc384308239"/>
      <w:bookmarkStart w:id="184" w:name="_Toc369531545"/>
      <w:bookmarkStart w:id="185" w:name="_Toc247513981"/>
      <w:bookmarkStart w:id="186" w:name="_Toc361508614"/>
      <w:bookmarkStart w:id="187" w:name="_Toc352691501"/>
      <w:bookmarkStart w:id="188" w:name="_Toc18949"/>
      <w:bookmarkStart w:id="189" w:name="_Toc144974525"/>
      <w:bookmarkStart w:id="190" w:name="_Toc300834978"/>
      <w:bookmarkStart w:id="191" w:name="_Toc152045557"/>
      <w:bookmarkStart w:id="192" w:name="_Toc152042333"/>
      <w:bookmarkStart w:id="193" w:name="_Toc247527582"/>
      <w:r>
        <w:rPr>
          <w:rFonts w:ascii="Times New Roman" w:hAnsi="Times New Roman"/>
          <w:color w:val="auto"/>
          <w:sz w:val="24"/>
          <w:highlight w:val="none"/>
        </w:rPr>
        <w:t>则。</w:t>
      </w:r>
    </w:p>
    <w:p>
      <w:pPr>
        <w:pStyle w:val="9"/>
        <w:ind w:firstLine="137"/>
        <w:rPr>
          <w:color w:val="auto"/>
          <w:highlight w:val="none"/>
        </w:rPr>
      </w:pPr>
      <w:bookmarkStart w:id="194" w:name="_Toc515205232"/>
      <w:bookmarkStart w:id="195" w:name="_Toc529196559"/>
      <w:r>
        <w:rPr>
          <w:color w:val="auto"/>
          <w:highlight w:val="none"/>
        </w:rPr>
        <w:t>6.3 评标</w:t>
      </w:r>
      <w:bookmarkEnd w:id="194"/>
      <w:bookmarkEnd w:id="19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w:t>
      </w:r>
      <w:bookmarkEnd w:id="183"/>
      <w:bookmarkEnd w:id="184"/>
      <w:bookmarkEnd w:id="185"/>
      <w:bookmarkEnd w:id="186"/>
      <w:bookmarkEnd w:id="187"/>
      <w:bookmarkEnd w:id="188"/>
      <w:bookmarkEnd w:id="189"/>
      <w:bookmarkEnd w:id="190"/>
      <w:bookmarkEnd w:id="191"/>
      <w:bookmarkEnd w:id="192"/>
      <w:bookmarkEnd w:id="193"/>
      <w:r>
        <w:rPr>
          <w:rFonts w:ascii="Times New Roman" w:hAnsi="Times New Roman"/>
          <w:color w:val="auto"/>
          <w:sz w:val="24"/>
          <w:highlight w:val="none"/>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6.3.2评标完成后，评标委员会应当向招标人提交书面评标报告和中标候选人名单。评标委员会推荐中标</w:t>
      </w:r>
      <w:bookmarkStart w:id="196" w:name="_Toc12259"/>
      <w:bookmarkStart w:id="197" w:name="_Toc384308240"/>
      <w:bookmarkStart w:id="198" w:name="_Toc247513982"/>
      <w:bookmarkStart w:id="199" w:name="_Toc152045558"/>
      <w:bookmarkStart w:id="200" w:name="_Toc300834979"/>
      <w:bookmarkStart w:id="201" w:name="_Toc352691502"/>
      <w:bookmarkStart w:id="202" w:name="_Toc361508615"/>
      <w:bookmarkStart w:id="203" w:name="_Toc247527583"/>
      <w:bookmarkStart w:id="204" w:name="_Toc152042334"/>
      <w:bookmarkStart w:id="205" w:name="_Toc144974526"/>
      <w:bookmarkStart w:id="206" w:name="_Toc369531546"/>
      <w:r>
        <w:rPr>
          <w:rFonts w:ascii="Times New Roman" w:hAnsi="Times New Roman"/>
          <w:color w:val="auto"/>
          <w:sz w:val="24"/>
          <w:highlight w:val="none"/>
        </w:rPr>
        <w:t>候选人的人数见投标人须知前附</w:t>
      </w:r>
      <w:bookmarkEnd w:id="196"/>
      <w:bookmarkEnd w:id="197"/>
      <w:bookmarkEnd w:id="198"/>
      <w:bookmarkEnd w:id="199"/>
      <w:bookmarkEnd w:id="200"/>
      <w:bookmarkEnd w:id="201"/>
      <w:bookmarkEnd w:id="202"/>
      <w:bookmarkEnd w:id="203"/>
      <w:bookmarkEnd w:id="204"/>
      <w:bookmarkEnd w:id="205"/>
      <w:bookmarkEnd w:id="206"/>
      <w:r>
        <w:rPr>
          <w:rFonts w:ascii="Times New Roman" w:hAnsi="Times New Roman"/>
          <w:color w:val="auto"/>
          <w:sz w:val="24"/>
          <w:highlight w:val="none"/>
        </w:rPr>
        <w:t>表。</w:t>
      </w:r>
    </w:p>
    <w:p>
      <w:pPr>
        <w:pStyle w:val="9"/>
        <w:rPr>
          <w:color w:val="auto"/>
          <w:highlight w:val="none"/>
        </w:rPr>
      </w:pPr>
      <w:bookmarkStart w:id="207" w:name="_Toc529196560"/>
      <w:bookmarkStart w:id="208" w:name="_Toc515205233"/>
      <w:r>
        <w:rPr>
          <w:color w:val="auto"/>
          <w:highlight w:val="none"/>
        </w:rPr>
        <w:t>7. 合同授予</w:t>
      </w:r>
      <w:bookmarkEnd w:id="207"/>
      <w:bookmarkEnd w:id="208"/>
    </w:p>
    <w:p>
      <w:pPr>
        <w:pStyle w:val="9"/>
        <w:ind w:firstLine="137"/>
        <w:rPr>
          <w:color w:val="auto"/>
          <w:highlight w:val="none"/>
        </w:rPr>
      </w:pPr>
      <w:bookmarkStart w:id="209" w:name="_Toc529196561"/>
      <w:bookmarkStart w:id="210" w:name="_Toc515205234"/>
      <w:r>
        <w:rPr>
          <w:color w:val="auto"/>
          <w:highlight w:val="none"/>
        </w:rPr>
        <w:t>7.1 中标候选人公示</w:t>
      </w:r>
      <w:bookmarkEnd w:id="209"/>
      <w:bookmarkEnd w:id="21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招标人在收到评标报告之日起3日内，按照投标人须知前附表规定的公示媒介和期限公示中标候选人，公示期不得少于3天。</w:t>
      </w:r>
    </w:p>
    <w:p>
      <w:pPr>
        <w:pStyle w:val="9"/>
        <w:ind w:firstLine="137"/>
        <w:rPr>
          <w:color w:val="auto"/>
          <w:highlight w:val="none"/>
        </w:rPr>
      </w:pPr>
      <w:bookmarkStart w:id="211" w:name="_Toc529196562"/>
      <w:bookmarkStart w:id="212" w:name="_Toc515205235"/>
      <w:r>
        <w:rPr>
          <w:color w:val="auto"/>
          <w:highlight w:val="none"/>
        </w:rPr>
        <w:t>7.2 评标结果异议</w:t>
      </w:r>
      <w:bookmarkEnd w:id="211"/>
      <w:bookmarkEnd w:id="21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投标人或者其他利</w:t>
      </w:r>
      <w:bookmarkStart w:id="213" w:name="_Toc384308243"/>
      <w:bookmarkStart w:id="214" w:name="_Toc152042337"/>
      <w:bookmarkStart w:id="215" w:name="_Toc152045561"/>
      <w:bookmarkStart w:id="216" w:name="_Toc352691505"/>
      <w:bookmarkStart w:id="217" w:name="_Toc300834982"/>
      <w:bookmarkStart w:id="218" w:name="_Toc361508618"/>
      <w:bookmarkStart w:id="219" w:name="_Toc247527586"/>
      <w:bookmarkStart w:id="220" w:name="_Toc144974529"/>
      <w:bookmarkStart w:id="221" w:name="_Toc30095"/>
      <w:bookmarkStart w:id="222" w:name="_Toc247513985"/>
      <w:bookmarkStart w:id="223" w:name="_Toc369531549"/>
      <w:r>
        <w:rPr>
          <w:rFonts w:ascii="Times New Roman" w:hAnsi="Times New Roman"/>
          <w:color w:val="auto"/>
          <w:sz w:val="24"/>
          <w:highlight w:val="none"/>
        </w:rPr>
        <w:t>害关系人对评标结</w:t>
      </w:r>
      <w:bookmarkEnd w:id="213"/>
      <w:bookmarkEnd w:id="214"/>
      <w:bookmarkEnd w:id="215"/>
      <w:bookmarkEnd w:id="216"/>
      <w:bookmarkEnd w:id="217"/>
      <w:bookmarkEnd w:id="218"/>
      <w:bookmarkEnd w:id="219"/>
      <w:bookmarkEnd w:id="220"/>
      <w:bookmarkEnd w:id="221"/>
      <w:bookmarkEnd w:id="222"/>
      <w:bookmarkEnd w:id="223"/>
      <w:r>
        <w:rPr>
          <w:rFonts w:ascii="Times New Roman" w:hAnsi="Times New Roman"/>
          <w:color w:val="auto"/>
          <w:sz w:val="24"/>
          <w:highlight w:val="none"/>
        </w:rPr>
        <w:t>果有异议的，应当在中标候选人公示期间提出。招标人将在收到异议之日起3日内作出答复；作出答复前，将暂停招标投标活动。</w:t>
      </w:r>
    </w:p>
    <w:p>
      <w:pPr>
        <w:pStyle w:val="9"/>
        <w:ind w:firstLine="137"/>
        <w:rPr>
          <w:color w:val="auto"/>
          <w:highlight w:val="none"/>
        </w:rPr>
      </w:pPr>
      <w:bookmarkStart w:id="224" w:name="_Toc515205236"/>
      <w:bookmarkStart w:id="225" w:name="_Toc529196563"/>
      <w:r>
        <w:rPr>
          <w:color w:val="auto"/>
          <w:highlight w:val="none"/>
        </w:rPr>
        <w:t>7.3 中标候选人履约能力审查</w:t>
      </w:r>
      <w:bookmarkEnd w:id="224"/>
      <w:bookmarkEnd w:id="22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9"/>
        <w:ind w:firstLine="137"/>
        <w:rPr>
          <w:color w:val="auto"/>
          <w:highlight w:val="none"/>
        </w:rPr>
      </w:pPr>
      <w:bookmarkStart w:id="226" w:name="_Toc529196564"/>
      <w:bookmarkStart w:id="227" w:name="_Toc515205237"/>
      <w:r>
        <w:rPr>
          <w:color w:val="auto"/>
          <w:highlight w:val="none"/>
        </w:rPr>
        <w:t>7.4 定标</w:t>
      </w:r>
      <w:bookmarkEnd w:id="226"/>
      <w:bookmarkEnd w:id="22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按照投标人须知前附表的规定，招标人或招标人授权的评标委员会依法确定中标人。</w:t>
      </w:r>
    </w:p>
    <w:p>
      <w:pPr>
        <w:pStyle w:val="9"/>
        <w:ind w:firstLine="137"/>
        <w:rPr>
          <w:color w:val="auto"/>
          <w:highlight w:val="none"/>
        </w:rPr>
      </w:pPr>
      <w:bookmarkStart w:id="228" w:name="_Toc515205238"/>
      <w:bookmarkStart w:id="229" w:name="_Toc529196565"/>
      <w:r>
        <w:rPr>
          <w:color w:val="auto"/>
          <w:highlight w:val="none"/>
        </w:rPr>
        <w:t>7.5 中标通知</w:t>
      </w:r>
      <w:bookmarkEnd w:id="228"/>
      <w:bookmarkEnd w:id="22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在本章第3.3款规定的投标有效期内，招标人以书面形式向中标人发出中标</w:t>
      </w:r>
      <w:bookmarkStart w:id="230" w:name="_Toc300834983"/>
      <w:bookmarkStart w:id="231" w:name="_Toc384308244"/>
      <w:bookmarkStart w:id="232" w:name="_Toc5668"/>
      <w:bookmarkStart w:id="233" w:name="_Toc361508619"/>
      <w:bookmarkStart w:id="234" w:name="_Toc352691506"/>
      <w:bookmarkStart w:id="235" w:name="_Toc369531550"/>
      <w:r>
        <w:rPr>
          <w:rFonts w:ascii="Times New Roman" w:hAnsi="Times New Roman"/>
          <w:color w:val="auto"/>
          <w:sz w:val="24"/>
          <w:highlight w:val="none"/>
        </w:rPr>
        <w:t>通知书，同时将中</w:t>
      </w:r>
      <w:bookmarkEnd w:id="230"/>
      <w:bookmarkEnd w:id="231"/>
      <w:bookmarkEnd w:id="232"/>
      <w:bookmarkEnd w:id="233"/>
      <w:bookmarkEnd w:id="234"/>
      <w:bookmarkEnd w:id="235"/>
      <w:r>
        <w:rPr>
          <w:rFonts w:ascii="Times New Roman" w:hAnsi="Times New Roman"/>
          <w:color w:val="auto"/>
          <w:sz w:val="24"/>
          <w:highlight w:val="none"/>
        </w:rPr>
        <w:t>标结果通知未中标的投标人。</w:t>
      </w:r>
    </w:p>
    <w:p>
      <w:pPr>
        <w:pStyle w:val="9"/>
        <w:ind w:firstLine="137"/>
        <w:rPr>
          <w:color w:val="auto"/>
          <w:highlight w:val="none"/>
        </w:rPr>
      </w:pPr>
      <w:bookmarkStart w:id="236" w:name="_Toc515205239"/>
      <w:bookmarkStart w:id="237" w:name="_Toc529196566"/>
      <w:r>
        <w:rPr>
          <w:color w:val="auto"/>
          <w:highlight w:val="none"/>
        </w:rPr>
        <w:t>7.6 履约保证金</w:t>
      </w:r>
      <w:bookmarkEnd w:id="236"/>
      <w:bookmarkEnd w:id="237"/>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本项目不需要提交履约保证金。</w:t>
      </w:r>
    </w:p>
    <w:p>
      <w:pPr>
        <w:pStyle w:val="9"/>
        <w:ind w:firstLine="137"/>
        <w:rPr>
          <w:color w:val="auto"/>
          <w:highlight w:val="none"/>
        </w:rPr>
      </w:pPr>
      <w:bookmarkStart w:id="238" w:name="_Toc515205240"/>
      <w:bookmarkStart w:id="239" w:name="_Toc529196567"/>
      <w:r>
        <w:rPr>
          <w:color w:val="auto"/>
          <w:highlight w:val="none"/>
        </w:rPr>
        <w:t>7.7 签订合同</w:t>
      </w:r>
      <w:bookmarkEnd w:id="238"/>
      <w:bookmarkEnd w:id="23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7.7.1 招标人和中标人应当在中标通知书发出之日起30日内，根据招标文件和中标人的投标文件订立书面合同。中标人无正当理由</w:t>
      </w:r>
      <w:r>
        <w:rPr>
          <w:rFonts w:hint="eastAsia" w:ascii="Times New Roman" w:hAnsi="Times New Roman"/>
          <w:color w:val="auto"/>
          <w:sz w:val="24"/>
          <w:highlight w:val="none"/>
        </w:rPr>
        <w:t>拒签</w:t>
      </w:r>
      <w:r>
        <w:rPr>
          <w:rFonts w:ascii="Times New Roman" w:hAnsi="Times New Roman"/>
          <w:color w:val="auto"/>
          <w:sz w:val="24"/>
          <w:highlight w:val="none"/>
        </w:rPr>
        <w:t>合同，在签订合同时向招标人提出附加条件，招标人有权取消其中标资格，其投标保证金不予退还；给招标人造成的损失超过投标保证金数额的，中标人还应当对超过部分予以赔偿。</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7.7.2 发出中标通知书后，招标人无正当理由拒签合同，或者在签订合同时</w:t>
      </w:r>
      <w:r>
        <w:rPr>
          <w:rFonts w:hint="eastAsia" w:ascii="Times New Roman" w:hAnsi="Times New Roman"/>
          <w:color w:val="auto"/>
          <w:sz w:val="24"/>
          <w:highlight w:val="none"/>
        </w:rPr>
        <w:t>向中标人</w:t>
      </w:r>
      <w:r>
        <w:rPr>
          <w:rFonts w:ascii="Times New Roman" w:hAnsi="Times New Roman"/>
          <w:color w:val="auto"/>
          <w:sz w:val="24"/>
          <w:highlight w:val="none"/>
        </w:rPr>
        <w:t>提出附加条件的，招标人向中标人退还投标保证金；给中标人造成损失的，还应当赔偿损失。</w:t>
      </w:r>
    </w:p>
    <w:p>
      <w:pPr>
        <w:pStyle w:val="9"/>
        <w:rPr>
          <w:color w:val="auto"/>
          <w:highlight w:val="none"/>
        </w:rPr>
      </w:pPr>
      <w:bookmarkStart w:id="240" w:name="_Toc24067"/>
      <w:bookmarkStart w:id="241" w:name="_Toc384308252"/>
      <w:bookmarkStart w:id="242" w:name="_Toc361508627"/>
      <w:bookmarkStart w:id="243" w:name="_Toc529196568"/>
      <w:bookmarkStart w:id="244" w:name="_Toc515205241"/>
      <w:bookmarkStart w:id="245" w:name="_Toc247513992"/>
      <w:bookmarkStart w:id="246" w:name="_Toc247527593"/>
      <w:bookmarkStart w:id="247" w:name="_Toc152045568"/>
      <w:bookmarkStart w:id="248" w:name="_Toc144974536"/>
      <w:bookmarkStart w:id="249" w:name="_Toc300834991"/>
      <w:bookmarkStart w:id="250" w:name="_Toc152042344"/>
      <w:r>
        <w:rPr>
          <w:color w:val="auto"/>
          <w:highlight w:val="none"/>
        </w:rPr>
        <w:t>8.</w:t>
      </w:r>
      <w:bookmarkEnd w:id="240"/>
      <w:bookmarkEnd w:id="241"/>
      <w:bookmarkEnd w:id="242"/>
      <w:r>
        <w:rPr>
          <w:color w:val="auto"/>
          <w:highlight w:val="none"/>
        </w:rPr>
        <w:t>纪律和监督</w:t>
      </w:r>
      <w:bookmarkEnd w:id="243"/>
      <w:bookmarkEnd w:id="244"/>
    </w:p>
    <w:p>
      <w:pPr>
        <w:pStyle w:val="9"/>
        <w:ind w:firstLine="137"/>
        <w:rPr>
          <w:color w:val="auto"/>
          <w:highlight w:val="none"/>
        </w:rPr>
      </w:pPr>
      <w:bookmarkStart w:id="251" w:name="_Toc529196569"/>
      <w:bookmarkStart w:id="252" w:name="_Toc515205242"/>
      <w:r>
        <w:rPr>
          <w:color w:val="auto"/>
          <w:highlight w:val="none"/>
        </w:rPr>
        <w:t>8.1 对招标人的纪律要求</w:t>
      </w:r>
      <w:bookmarkEnd w:id="251"/>
      <w:bookmarkEnd w:id="25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招标人不得泄露招标投标活动中应当保密的情况和资料，不得与投标人串通损害国家利益、社会公共利益或者他人合法权益。</w:t>
      </w:r>
    </w:p>
    <w:p>
      <w:pPr>
        <w:pStyle w:val="9"/>
        <w:ind w:firstLine="137"/>
        <w:rPr>
          <w:color w:val="auto"/>
          <w:highlight w:val="none"/>
        </w:rPr>
      </w:pPr>
      <w:bookmarkStart w:id="253" w:name="_Toc515205243"/>
      <w:bookmarkStart w:id="254" w:name="_Toc529196570"/>
      <w:r>
        <w:rPr>
          <w:color w:val="auto"/>
          <w:highlight w:val="none"/>
        </w:rPr>
        <w:t>8.2 对投标人的纪律要求</w:t>
      </w:r>
      <w:bookmarkEnd w:id="253"/>
      <w:bookmarkEnd w:id="25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9"/>
        <w:ind w:firstLine="137"/>
        <w:rPr>
          <w:color w:val="auto"/>
          <w:highlight w:val="none"/>
        </w:rPr>
      </w:pPr>
      <w:bookmarkStart w:id="255" w:name="_Toc529196571"/>
      <w:bookmarkStart w:id="256" w:name="_Toc515205244"/>
      <w:r>
        <w:rPr>
          <w:color w:val="auto"/>
          <w:highlight w:val="none"/>
        </w:rPr>
        <w:t>8.3 对评标委员会成员的纪律要求</w:t>
      </w:r>
      <w:bookmarkEnd w:id="255"/>
      <w:bookmarkEnd w:id="25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评标委员会成员不得收受他人的财物或者其他好处，不得向他人透露对投标文件的评审</w:t>
      </w:r>
      <w:bookmarkStart w:id="257" w:name="_Toc13644"/>
      <w:bookmarkStart w:id="258" w:name="_Toc361508628"/>
      <w:bookmarkStart w:id="259" w:name="_Toc384308253"/>
      <w:bookmarkStart w:id="260" w:name="_Toc369531559"/>
      <w:bookmarkStart w:id="261" w:name="_Toc352691515"/>
      <w:r>
        <w:rPr>
          <w:rFonts w:ascii="Times New Roman" w:hAnsi="Times New Roman"/>
          <w:color w:val="auto"/>
          <w:sz w:val="24"/>
          <w:highlight w:val="none"/>
        </w:rPr>
        <w:t>和比较、中标候选人</w:t>
      </w:r>
      <w:bookmarkEnd w:id="245"/>
      <w:bookmarkEnd w:id="246"/>
      <w:bookmarkEnd w:id="247"/>
      <w:bookmarkEnd w:id="248"/>
      <w:bookmarkEnd w:id="249"/>
      <w:bookmarkEnd w:id="250"/>
      <w:bookmarkEnd w:id="257"/>
      <w:bookmarkEnd w:id="258"/>
      <w:bookmarkEnd w:id="259"/>
      <w:bookmarkEnd w:id="260"/>
      <w:bookmarkEnd w:id="261"/>
      <w:r>
        <w:rPr>
          <w:rFonts w:ascii="Times New Roman" w:hAnsi="Times New Roman"/>
          <w:color w:val="auto"/>
          <w:sz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9"/>
        <w:ind w:firstLine="137"/>
        <w:rPr>
          <w:color w:val="auto"/>
          <w:highlight w:val="none"/>
        </w:rPr>
      </w:pPr>
      <w:bookmarkStart w:id="262" w:name="_Toc515205245"/>
      <w:bookmarkStart w:id="263" w:name="_Toc529196572"/>
      <w:r>
        <w:rPr>
          <w:color w:val="auto"/>
          <w:highlight w:val="none"/>
        </w:rPr>
        <w:t>8.4 对与评标活动有关的工作人员的纪律要求</w:t>
      </w:r>
      <w:bookmarkEnd w:id="262"/>
      <w:bookmarkEnd w:id="26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与评标活动有关的工作人员不得收受他人的财物或者其他好处，不得向他人透露对投标文件</w:t>
      </w:r>
      <w:bookmarkStart w:id="264" w:name="_Toc369531560"/>
      <w:bookmarkStart w:id="265" w:name="_Toc247513993"/>
      <w:bookmarkStart w:id="266" w:name="_Toc361508629"/>
      <w:bookmarkStart w:id="267" w:name="_Toc152045569"/>
      <w:bookmarkStart w:id="268" w:name="_Toc152042345"/>
      <w:bookmarkStart w:id="269" w:name="_Toc247527594"/>
      <w:bookmarkStart w:id="270" w:name="_Toc19429"/>
      <w:bookmarkStart w:id="271" w:name="_Toc384308254"/>
      <w:bookmarkStart w:id="272" w:name="_Toc300834992"/>
      <w:bookmarkStart w:id="273" w:name="_Toc144974537"/>
      <w:bookmarkStart w:id="274" w:name="_Toc352691516"/>
      <w:r>
        <w:rPr>
          <w:rFonts w:ascii="Times New Roman" w:hAnsi="Times New Roman"/>
          <w:color w:val="auto"/>
          <w:sz w:val="24"/>
          <w:highlight w:val="none"/>
        </w:rPr>
        <w:t>的评审和比较、中标</w:t>
      </w:r>
      <w:bookmarkEnd w:id="264"/>
      <w:bookmarkEnd w:id="265"/>
      <w:bookmarkEnd w:id="266"/>
      <w:bookmarkEnd w:id="267"/>
      <w:bookmarkEnd w:id="268"/>
      <w:bookmarkEnd w:id="269"/>
      <w:bookmarkEnd w:id="270"/>
      <w:bookmarkEnd w:id="271"/>
      <w:bookmarkEnd w:id="272"/>
      <w:bookmarkEnd w:id="273"/>
      <w:bookmarkEnd w:id="274"/>
      <w:r>
        <w:rPr>
          <w:rFonts w:ascii="Times New Roman" w:hAnsi="Times New Roman"/>
          <w:color w:val="auto"/>
          <w:sz w:val="24"/>
          <w:highlight w:val="none"/>
        </w:rPr>
        <w:t>候选人的推荐情况以及评标有关的其他情况。在评标活动中，与评标活动有关的工作人员不得擅离职守，影响评标程序正常进行。</w:t>
      </w:r>
    </w:p>
    <w:p>
      <w:pPr>
        <w:pStyle w:val="9"/>
        <w:ind w:firstLine="137"/>
        <w:rPr>
          <w:color w:val="auto"/>
          <w:highlight w:val="none"/>
        </w:rPr>
      </w:pPr>
      <w:bookmarkStart w:id="275" w:name="_Toc529196573"/>
      <w:bookmarkStart w:id="276" w:name="_Toc515205246"/>
      <w:r>
        <w:rPr>
          <w:color w:val="auto"/>
          <w:highlight w:val="none"/>
        </w:rPr>
        <w:t>8.5 投诉</w:t>
      </w:r>
      <w:bookmarkEnd w:id="275"/>
      <w:bookmarkEnd w:id="27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8.5.2 投标人或者其他利害关系人对招标文件、开标和评标结果提出投诉的，应当按照投标人须知第2.4款、第5.3款和第7.2款的规定先向招标人提出异议。异议答复期间</w:t>
      </w:r>
      <w:bookmarkStart w:id="277" w:name="_Toc152042346"/>
      <w:bookmarkStart w:id="278" w:name="_Toc247527595"/>
      <w:bookmarkStart w:id="279" w:name="_Toc152045570"/>
      <w:bookmarkStart w:id="280" w:name="_Toc384308255"/>
      <w:bookmarkStart w:id="281" w:name="_Toc144974538"/>
      <w:bookmarkStart w:id="282" w:name="_Toc12776"/>
      <w:bookmarkStart w:id="283" w:name="_Toc369531561"/>
      <w:bookmarkStart w:id="284" w:name="_Toc361508630"/>
      <w:bookmarkStart w:id="285" w:name="_Toc300834993"/>
      <w:bookmarkStart w:id="286" w:name="_Toc247513994"/>
      <w:bookmarkStart w:id="287" w:name="_Toc352691517"/>
      <w:r>
        <w:rPr>
          <w:rFonts w:ascii="Times New Roman" w:hAnsi="Times New Roman"/>
          <w:color w:val="auto"/>
          <w:sz w:val="24"/>
          <w:highlight w:val="none"/>
        </w:rPr>
        <w:t>不计算在第8.5.</w:t>
      </w:r>
      <w:bookmarkEnd w:id="277"/>
      <w:bookmarkEnd w:id="278"/>
      <w:bookmarkEnd w:id="279"/>
      <w:bookmarkEnd w:id="280"/>
      <w:bookmarkEnd w:id="281"/>
      <w:bookmarkEnd w:id="282"/>
      <w:bookmarkEnd w:id="283"/>
      <w:bookmarkEnd w:id="284"/>
      <w:bookmarkEnd w:id="285"/>
      <w:bookmarkEnd w:id="286"/>
      <w:bookmarkEnd w:id="287"/>
      <w:r>
        <w:rPr>
          <w:rFonts w:ascii="Times New Roman" w:hAnsi="Times New Roman"/>
          <w:color w:val="auto"/>
          <w:sz w:val="24"/>
          <w:highlight w:val="none"/>
        </w:rPr>
        <w:t>1项规定的期限内。</w:t>
      </w:r>
    </w:p>
    <w:p>
      <w:pPr>
        <w:pStyle w:val="9"/>
        <w:rPr>
          <w:color w:val="auto"/>
          <w:highlight w:val="none"/>
        </w:rPr>
      </w:pPr>
      <w:bookmarkStart w:id="288" w:name="_Toc529196574"/>
      <w:bookmarkStart w:id="289" w:name="_Toc477134992"/>
      <w:bookmarkStart w:id="290" w:name="_Toc515205247"/>
      <w:r>
        <w:rPr>
          <w:color w:val="auto"/>
          <w:highlight w:val="none"/>
        </w:rPr>
        <w:t>9. 是否采用电子招标投标</w:t>
      </w:r>
      <w:bookmarkEnd w:id="288"/>
      <w:bookmarkEnd w:id="289"/>
      <w:bookmarkEnd w:id="29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本招标项目是否采用电子招标投标方式，见投标人须知前附表。</w:t>
      </w:r>
    </w:p>
    <w:p>
      <w:pPr>
        <w:pStyle w:val="9"/>
        <w:rPr>
          <w:color w:val="auto"/>
          <w:highlight w:val="none"/>
        </w:rPr>
      </w:pPr>
      <w:bookmarkStart w:id="291" w:name="_Toc515205248"/>
      <w:bookmarkStart w:id="292" w:name="_Toc529196575"/>
      <w:r>
        <w:rPr>
          <w:color w:val="auto"/>
          <w:highlight w:val="none"/>
        </w:rPr>
        <w:t>10. 需要补充的其他内容</w:t>
      </w:r>
      <w:bookmarkEnd w:id="291"/>
      <w:bookmarkEnd w:id="292"/>
    </w:p>
    <w:p>
      <w:pPr>
        <w:pStyle w:val="9"/>
        <w:spacing w:line="412" w:lineRule="auto"/>
        <w:ind w:firstLine="118" w:firstLineChars="49"/>
        <w:outlineLvl w:val="0"/>
        <w:rPr>
          <w:b w:val="0"/>
          <w:bCs w:val="0"/>
          <w:color w:val="auto"/>
          <w:sz w:val="28"/>
          <w:szCs w:val="20"/>
          <w:highlight w:val="none"/>
        </w:rPr>
      </w:pPr>
      <w:bookmarkStart w:id="293" w:name="_Toc32123"/>
      <w:r>
        <w:rPr>
          <w:color w:val="auto"/>
          <w:sz w:val="24"/>
          <w:highlight w:val="none"/>
        </w:rPr>
        <w:t>见投标人须知前附表。</w:t>
      </w:r>
      <w:r>
        <w:rPr>
          <w:b w:val="0"/>
          <w:bCs w:val="0"/>
          <w:color w:val="auto"/>
          <w:sz w:val="28"/>
          <w:szCs w:val="20"/>
          <w:highlight w:val="none"/>
        </w:rPr>
        <w:br w:type="page"/>
      </w:r>
      <w:bookmarkStart w:id="294" w:name="_Toc530728900"/>
      <w:r>
        <w:rPr>
          <w:b w:val="0"/>
          <w:bCs w:val="0"/>
          <w:color w:val="auto"/>
          <w:sz w:val="28"/>
          <w:szCs w:val="20"/>
          <w:highlight w:val="none"/>
        </w:rPr>
        <w:t>附件一：开标记录表</w:t>
      </w:r>
      <w:bookmarkEnd w:id="293"/>
      <w:bookmarkEnd w:id="294"/>
    </w:p>
    <w:p>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pPr>
        <w:wordWrap w:val="0"/>
        <w:spacing w:before="120" w:beforeLines="50" w:after="120"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hint="eastAsia" w:ascii="Times New Roman" w:hAnsi="Times New Roman"/>
          <w:color w:val="auto"/>
          <w:highlight w:val="none"/>
        </w:rPr>
        <w:t xml:space="preserve">  </w:t>
      </w:r>
      <w:r>
        <w:rPr>
          <w:rFonts w:ascii="Times New Roman" w:hAnsi="Times New Roman"/>
          <w:color w:val="auto"/>
          <w:highlight w:val="none"/>
        </w:rPr>
        <w:t>年</w:t>
      </w:r>
      <w:r>
        <w:rPr>
          <w:rFonts w:hint="eastAsia" w:ascii="Times New Roman" w:hAnsi="Times New Roman"/>
          <w:color w:val="auto"/>
          <w:highlight w:val="none"/>
        </w:rPr>
        <w:t xml:space="preserve">  </w:t>
      </w:r>
      <w:r>
        <w:rPr>
          <w:rFonts w:ascii="Times New Roman" w:hAnsi="Times New Roman"/>
          <w:color w:val="auto"/>
          <w:highlight w:val="none"/>
        </w:rPr>
        <w:t>月</w:t>
      </w:r>
      <w:r>
        <w:rPr>
          <w:rFonts w:hint="eastAsia" w:ascii="Times New Roman" w:hAnsi="Times New Roman"/>
          <w:color w:val="auto"/>
          <w:highlight w:val="none"/>
        </w:rPr>
        <w:t xml:space="preserve">  </w:t>
      </w:r>
      <w:r>
        <w:rPr>
          <w:rFonts w:ascii="Times New Roman" w:hAnsi="Times New Roman"/>
          <w:color w:val="auto"/>
          <w:highlight w:val="none"/>
        </w:rPr>
        <w:t>日</w:t>
      </w:r>
      <w:r>
        <w:rPr>
          <w:rFonts w:hint="eastAsia" w:ascii="Times New Roman" w:hAnsi="Times New Roman"/>
          <w:color w:val="auto"/>
          <w:highlight w:val="none"/>
        </w:rPr>
        <w:t xml:space="preserve">  </w:t>
      </w:r>
      <w:r>
        <w:rPr>
          <w:rFonts w:ascii="Times New Roman" w:hAnsi="Times New Roman"/>
          <w:color w:val="auto"/>
          <w:highlight w:val="none"/>
        </w:rPr>
        <w:t>时</w:t>
      </w:r>
      <w:r>
        <w:rPr>
          <w:rFonts w:hint="eastAsia" w:ascii="Times New Roman" w:hAnsi="Times New Roman"/>
          <w:color w:val="auto"/>
          <w:highlight w:val="none"/>
        </w:rPr>
        <w:t xml:space="preserve">  </w:t>
      </w:r>
      <w:r>
        <w:rPr>
          <w:rFonts w:ascii="Times New Roman" w:hAnsi="Times New Roman"/>
          <w:color w:val="auto"/>
          <w:highlight w:val="none"/>
        </w:rPr>
        <w:t>分</w:t>
      </w:r>
    </w:p>
    <w:p>
      <w:pPr>
        <w:spacing w:before="120" w:beforeLines="50" w:after="120" w:afterLines="50" w:line="400" w:lineRule="exact"/>
        <w:ind w:right="420"/>
        <w:rPr>
          <w:rFonts w:ascii="Times New Roman" w:hAnsi="Times New Roman"/>
          <w:color w:val="auto"/>
          <w:highlight w:val="none"/>
        </w:rPr>
      </w:pPr>
      <w:r>
        <w:rPr>
          <w:rFonts w:hint="eastAsia" w:ascii="Times New Roman" w:hAnsi="Times New Roman"/>
          <w:color w:val="auto"/>
          <w:highlight w:val="none"/>
        </w:rPr>
        <w:t>项目</w:t>
      </w:r>
      <w:r>
        <w:rPr>
          <w:rFonts w:ascii="Times New Roman" w:hAnsi="Times New Roman"/>
          <w:color w:val="auto"/>
          <w:highlight w:val="none"/>
        </w:rPr>
        <w:t>名称：</w:t>
      </w:r>
    </w:p>
    <w:tbl>
      <w:tblPr>
        <w:tblStyle w:val="40"/>
        <w:tblW w:w="9243" w:type="dxa"/>
        <w:tblInd w:w="0" w:type="dxa"/>
        <w:tblLayout w:type="fixed"/>
        <w:tblCellMar>
          <w:top w:w="0" w:type="dxa"/>
          <w:left w:w="108" w:type="dxa"/>
          <w:bottom w:w="0" w:type="dxa"/>
          <w:right w:w="108" w:type="dxa"/>
        </w:tblCellMar>
      </w:tblPr>
      <w:tblGrid>
        <w:gridCol w:w="467"/>
        <w:gridCol w:w="602"/>
        <w:gridCol w:w="736"/>
        <w:gridCol w:w="860"/>
        <w:gridCol w:w="782"/>
        <w:gridCol w:w="1039"/>
        <w:gridCol w:w="847"/>
        <w:gridCol w:w="1080"/>
        <w:gridCol w:w="1246"/>
        <w:gridCol w:w="471"/>
        <w:gridCol w:w="1113"/>
      </w:tblGrid>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序号</w:t>
            </w:r>
          </w:p>
        </w:tc>
        <w:tc>
          <w:tcPr>
            <w:tcW w:w="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密封情况</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strike/>
                <w:color w:val="auto"/>
                <w:sz w:val="18"/>
                <w:highlight w:val="none"/>
              </w:rPr>
              <w:t>投标保证金</w:t>
            </w:r>
          </w:p>
        </w:tc>
        <w:tc>
          <w:tcPr>
            <w:tcW w:w="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投标报价</w:t>
            </w:r>
          </w:p>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（元）</w:t>
            </w:r>
          </w:p>
        </w:tc>
        <w:tc>
          <w:tcPr>
            <w:tcW w:w="10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
                <w:color w:val="auto"/>
                <w:sz w:val="18"/>
                <w:highlight w:val="none"/>
              </w:rPr>
            </w:pPr>
            <w:r>
              <w:rPr>
                <w:rFonts w:hint="eastAsia" w:ascii="Times New Roman" w:hAnsi="Times New Roman"/>
                <w:bCs/>
                <w:color w:val="auto"/>
                <w:sz w:val="18"/>
                <w:highlight w:val="none"/>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项目总监</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备注</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投标人代表签名</w:t>
            </w: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1805"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r>
              <w:rPr>
                <w:rFonts w:hint="eastAsia" w:ascii="Times New Roman" w:hAnsi="Times New Roman"/>
                <w:color w:val="auto"/>
                <w:highlight w:val="none"/>
              </w:rPr>
              <w:t>最高投标限价：</w:t>
            </w:r>
          </w:p>
        </w:tc>
        <w:tc>
          <w:tcPr>
            <w:tcW w:w="8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657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　</w:t>
      </w:r>
    </w:p>
    <w:p>
      <w:pPr>
        <w:spacing w:line="620" w:lineRule="exact"/>
        <w:rPr>
          <w:rFonts w:ascii="Times New Roman" w:hAnsi="Times New Roman"/>
          <w:color w:val="auto"/>
          <w:highlight w:val="none"/>
        </w:rPr>
      </w:pPr>
      <w:r>
        <w:rPr>
          <w:rFonts w:ascii="Times New Roman" w:hAnsi="Times New Roman"/>
          <w:color w:val="auto"/>
          <w:highlight w:val="none"/>
        </w:rPr>
        <w:t>招标人代表：</w:t>
      </w:r>
      <w:r>
        <w:rPr>
          <w:rFonts w:hint="eastAsia" w:ascii="Times New Roman" w:hAnsi="Times New Roman"/>
          <w:color w:val="auto"/>
          <w:highlight w:val="none"/>
        </w:rPr>
        <w:t xml:space="preserve">       </w:t>
      </w:r>
      <w:r>
        <w:rPr>
          <w:rFonts w:ascii="Times New Roman" w:hAnsi="Times New Roman"/>
          <w:color w:val="auto"/>
          <w:highlight w:val="none"/>
        </w:rPr>
        <w:t>记录人：</w:t>
      </w:r>
      <w:r>
        <w:rPr>
          <w:rFonts w:hint="eastAsia" w:ascii="Times New Roman" w:hAnsi="Times New Roman"/>
          <w:color w:val="auto"/>
          <w:highlight w:val="none"/>
        </w:rPr>
        <w:t xml:space="preserve">              </w:t>
      </w:r>
      <w:r>
        <w:rPr>
          <w:rFonts w:ascii="Times New Roman" w:hAnsi="Times New Roman"/>
          <w:color w:val="auto"/>
          <w:highlight w:val="none"/>
        </w:rPr>
        <w:t>监标人：</w:t>
      </w:r>
    </w:p>
    <w:p>
      <w:pPr>
        <w:wordWrap w:val="0"/>
        <w:spacing w:line="620" w:lineRule="exact"/>
        <w:jc w:val="right"/>
        <w:rPr>
          <w:rFonts w:ascii="Times New Roman" w:hAnsi="Times New Roman"/>
          <w:color w:val="auto"/>
          <w:highlight w:val="none"/>
        </w:rPr>
      </w:pPr>
      <w:r>
        <w:rPr>
          <w:rFonts w:ascii="Times New Roman" w:hAnsi="Times New Roman"/>
          <w:color w:val="auto"/>
          <w:highlight w:val="none"/>
        </w:rPr>
        <w:t xml:space="preserve">   年</w:t>
      </w:r>
      <w:r>
        <w:rPr>
          <w:rFonts w:hint="eastAsia" w:ascii="Times New Roman" w:hAnsi="Times New Roman"/>
          <w:color w:val="auto"/>
          <w:highlight w:val="none"/>
        </w:rPr>
        <w:t xml:space="preserve">    </w:t>
      </w:r>
      <w:r>
        <w:rPr>
          <w:rFonts w:ascii="Times New Roman" w:hAnsi="Times New Roman"/>
          <w:color w:val="auto"/>
          <w:highlight w:val="none"/>
        </w:rPr>
        <w:t>月</w:t>
      </w:r>
      <w:r>
        <w:rPr>
          <w:rFonts w:hint="eastAsia" w:ascii="Times New Roman" w:hAnsi="Times New Roman"/>
          <w:color w:val="auto"/>
          <w:highlight w:val="none"/>
        </w:rPr>
        <w:t xml:space="preserve">    </w:t>
      </w:r>
      <w:r>
        <w:rPr>
          <w:rFonts w:ascii="Times New Roman" w:hAnsi="Times New Roman"/>
          <w:color w:val="auto"/>
          <w:highlight w:val="none"/>
        </w:rPr>
        <w:t>日</w:t>
      </w:r>
      <w:bookmarkStart w:id="295" w:name="_Toc530728901"/>
    </w:p>
    <w:p>
      <w:pPr>
        <w:spacing w:line="360" w:lineRule="auto"/>
        <w:jc w:val="left"/>
        <w:rPr>
          <w:b/>
          <w:bCs/>
          <w:color w:val="auto"/>
          <w:sz w:val="28"/>
          <w:szCs w:val="28"/>
          <w:highlight w:val="none"/>
        </w:rPr>
      </w:pPr>
    </w:p>
    <w:p>
      <w:pPr>
        <w:spacing w:line="360" w:lineRule="auto"/>
        <w:jc w:val="left"/>
        <w:rPr>
          <w:b/>
          <w:bCs/>
          <w:color w:val="auto"/>
          <w:sz w:val="28"/>
          <w:szCs w:val="28"/>
          <w:highlight w:val="none"/>
        </w:rPr>
      </w:pPr>
    </w:p>
    <w:p>
      <w:pPr>
        <w:spacing w:line="360" w:lineRule="auto"/>
        <w:jc w:val="left"/>
        <w:rPr>
          <w:b/>
          <w:bCs/>
          <w:color w:val="auto"/>
          <w:sz w:val="28"/>
          <w:szCs w:val="28"/>
          <w:highlight w:val="none"/>
        </w:rPr>
      </w:pPr>
      <w:r>
        <w:rPr>
          <w:b/>
          <w:bCs/>
          <w:color w:val="auto"/>
          <w:sz w:val="28"/>
          <w:szCs w:val="28"/>
          <w:highlight w:val="none"/>
        </w:rPr>
        <w:t>附件二：问题澄清通知</w:t>
      </w:r>
      <w:r>
        <w:rPr>
          <w:rFonts w:hint="eastAsia"/>
          <w:b/>
          <w:bCs/>
          <w:color w:val="auto"/>
          <w:sz w:val="28"/>
          <w:szCs w:val="28"/>
          <w:highlight w:val="none"/>
        </w:rPr>
        <w:t>（按广州公共资源交易中心版式为准）</w:t>
      </w:r>
      <w:bookmarkEnd w:id="295"/>
    </w:p>
    <w:p>
      <w:pPr>
        <w:pStyle w:val="9"/>
        <w:spacing w:before="0" w:after="0" w:line="360" w:lineRule="auto"/>
        <w:rPr>
          <w:rFonts w:eastAsia="黑体"/>
          <w:color w:val="auto"/>
          <w:sz w:val="28"/>
          <w:szCs w:val="28"/>
          <w:highlight w:val="none"/>
        </w:rPr>
      </w:pPr>
      <w:bookmarkStart w:id="296" w:name="_Toc530728902"/>
      <w:r>
        <w:rPr>
          <w:rFonts w:hint="eastAsia"/>
          <w:color w:val="auto"/>
          <w:sz w:val="28"/>
          <w:szCs w:val="28"/>
          <w:highlight w:val="none"/>
        </w:rPr>
        <w:t>附</w:t>
      </w:r>
      <w:r>
        <w:rPr>
          <w:color w:val="auto"/>
          <w:sz w:val="28"/>
          <w:szCs w:val="28"/>
          <w:highlight w:val="none"/>
        </w:rPr>
        <w:t>件三：问题的澄清</w:t>
      </w:r>
      <w:r>
        <w:rPr>
          <w:rFonts w:hint="eastAsia"/>
          <w:color w:val="auto"/>
          <w:sz w:val="28"/>
          <w:szCs w:val="28"/>
          <w:highlight w:val="none"/>
        </w:rPr>
        <w:t>（按广州公共资源交易中心版式为准）</w:t>
      </w:r>
      <w:bookmarkEnd w:id="296"/>
    </w:p>
    <w:p>
      <w:pPr>
        <w:pStyle w:val="9"/>
        <w:spacing w:before="0" w:after="0" w:line="360" w:lineRule="auto"/>
        <w:rPr>
          <w:color w:val="auto"/>
          <w:sz w:val="28"/>
          <w:szCs w:val="28"/>
          <w:highlight w:val="none"/>
        </w:rPr>
      </w:pPr>
      <w:bookmarkStart w:id="297" w:name="_Toc530728903"/>
      <w:r>
        <w:rPr>
          <w:rFonts w:hint="eastAsia"/>
          <w:color w:val="auto"/>
          <w:sz w:val="28"/>
          <w:szCs w:val="28"/>
          <w:highlight w:val="none"/>
        </w:rPr>
        <w:t>附件四：中标通知书（按广州公共资源交易中心中标通知书格式）</w:t>
      </w:r>
      <w:bookmarkEnd w:id="297"/>
    </w:p>
    <w:p>
      <w:pPr>
        <w:spacing w:line="440" w:lineRule="exact"/>
        <w:rPr>
          <w:rFonts w:ascii="Times New Roman" w:hAnsi="Times New Roman" w:eastAsia="黑体"/>
          <w:b/>
          <w:bCs/>
          <w:color w:val="auto"/>
          <w:sz w:val="28"/>
          <w:szCs w:val="28"/>
          <w:highlight w:val="none"/>
        </w:rPr>
      </w:pPr>
    </w:p>
    <w:p>
      <w:pPr>
        <w:spacing w:line="440" w:lineRule="exact"/>
        <w:rPr>
          <w:rFonts w:ascii="Times New Roman" w:hAnsi="Times New Roman" w:eastAsia="黑体"/>
          <w:b/>
          <w:bCs/>
          <w:color w:val="auto"/>
          <w:sz w:val="28"/>
          <w:szCs w:val="28"/>
          <w:highlight w:val="none"/>
        </w:rPr>
      </w:pPr>
    </w:p>
    <w:p>
      <w:pPr>
        <w:spacing w:line="502" w:lineRule="exact"/>
        <w:jc w:val="center"/>
        <w:outlineLvl w:val="0"/>
        <w:rPr>
          <w:rFonts w:ascii="Times New Roman" w:hAnsi="Times New Roman"/>
          <w:b/>
          <w:color w:val="auto"/>
          <w:sz w:val="44"/>
          <w:highlight w:val="none"/>
        </w:rPr>
      </w:pPr>
      <w:r>
        <w:rPr>
          <w:rFonts w:ascii="Times New Roman" w:hAnsi="Times New Roman" w:eastAsia="黑体"/>
          <w:b/>
          <w:color w:val="auto"/>
          <w:sz w:val="32"/>
          <w:highlight w:val="none"/>
        </w:rPr>
        <w:br w:type="page"/>
      </w:r>
      <w:bookmarkStart w:id="298" w:name="_Toc5106"/>
      <w:bookmarkStart w:id="299" w:name="_Toc530728906"/>
      <w:r>
        <w:rPr>
          <w:rFonts w:ascii="Times New Roman" w:hAnsi="Times New Roman"/>
          <w:b/>
          <w:color w:val="auto"/>
          <w:sz w:val="44"/>
          <w:highlight w:val="none"/>
        </w:rPr>
        <w:t>第三章</w:t>
      </w:r>
      <w:r>
        <w:rPr>
          <w:rFonts w:hint="eastAsia" w:ascii="Times New Roman" w:hAnsi="Times New Roman"/>
          <w:b/>
          <w:color w:val="auto"/>
          <w:sz w:val="44"/>
          <w:highlight w:val="none"/>
        </w:rPr>
        <w:t xml:space="preserve"> </w:t>
      </w:r>
      <w:r>
        <w:rPr>
          <w:rFonts w:ascii="Times New Roman" w:hAnsi="Times New Roman"/>
          <w:b/>
          <w:color w:val="auto"/>
          <w:sz w:val="44"/>
          <w:highlight w:val="none"/>
        </w:rPr>
        <w:t>评标办法（综合评估法）</w:t>
      </w:r>
      <w:bookmarkEnd w:id="298"/>
      <w:bookmarkEnd w:id="299"/>
    </w:p>
    <w:p>
      <w:pPr>
        <w:spacing w:before="120" w:beforeLines="50" w:after="120" w:afterLines="50" w:line="366" w:lineRule="exact"/>
        <w:ind w:left="357"/>
        <w:jc w:val="center"/>
        <w:rPr>
          <w:rFonts w:ascii="Times New Roman" w:hAnsi="Times New Roman" w:eastAsia="黑体"/>
          <w:b/>
          <w:color w:val="auto"/>
          <w:sz w:val="32"/>
          <w:highlight w:val="none"/>
        </w:rPr>
      </w:pPr>
      <w:r>
        <w:rPr>
          <w:rFonts w:ascii="Times New Roman" w:hAnsi="Times New Roman" w:eastAsia="黑体"/>
          <w:b/>
          <w:color w:val="auto"/>
          <w:sz w:val="32"/>
          <w:highlight w:val="none"/>
        </w:rPr>
        <w:t>评标办法前附表</w:t>
      </w:r>
    </w:p>
    <w:tbl>
      <w:tblPr>
        <w:tblStyle w:val="40"/>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6"/>
        <w:gridCol w:w="2006"/>
        <w:gridCol w:w="1635"/>
        <w:gridCol w:w="4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3009"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rPr>
                <w:b/>
              </w:rPr>
            </w:pPr>
            <w:r>
              <w:rPr>
                <w:rFonts w:hint="eastAsia"/>
                <w:b/>
              </w:rPr>
              <w:t>条款号</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rPr>
                <w:b/>
              </w:rPr>
            </w:pPr>
            <w:r>
              <w:rPr>
                <w:rFonts w:hint="eastAsia"/>
                <w:b/>
              </w:rPr>
              <w:t>评审因素</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1</w:t>
            </w:r>
          </w:p>
        </w:tc>
        <w:tc>
          <w:tcPr>
            <w:tcW w:w="2006"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评标方法</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中标候选人排序方法</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rPr>
                <w:rFonts w:ascii="宋体" w:hAnsi="宋体"/>
              </w:rPr>
            </w:pPr>
            <w:r>
              <w:rPr>
                <w:rFonts w:hint="eastAsia" w:ascii="等线" w:hAnsi="等线" w:cs="宋体"/>
                <w:u w:val="single"/>
              </w:rPr>
              <w:t>本次评标采用综合评估法。评标委员会对满足招标文件实质性要求的投标文件，按照本章规定的评分标准进行打分，并按得分由高到低顺序推荐前三名作为中标候选人，综合评分相等的，以投标人资信业绩得分高的优先；如果投标人资信业绩得分也相等，以报价得分高的优先；如果报价得分也相等，由评标委员会采用记名投票方式，以得票多的确定相等得分的中标候选人的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2.1.1</w:t>
            </w:r>
          </w:p>
        </w:tc>
        <w:tc>
          <w:tcPr>
            <w:tcW w:w="2006" w:type="dxa"/>
            <w:vMerge w:val="restart"/>
            <w:tcBorders>
              <w:top w:val="single" w:color="auto" w:sz="4" w:space="0"/>
              <w:left w:val="nil"/>
              <w:bottom w:val="nil"/>
              <w:right w:val="single" w:color="auto" w:sz="4" w:space="0"/>
            </w:tcBorders>
            <w:noWrap/>
            <w:tcMar>
              <w:top w:w="57" w:type="dxa"/>
              <w:left w:w="57" w:type="dxa"/>
              <w:bottom w:w="57" w:type="dxa"/>
              <w:right w:w="57" w:type="dxa"/>
            </w:tcMar>
            <w:vAlign w:val="center"/>
          </w:tcPr>
          <w:p>
            <w:pPr>
              <w:jc w:val="center"/>
            </w:pPr>
            <w:r>
              <w:rPr>
                <w:rFonts w:hint="eastAsia"/>
              </w:rPr>
              <w:t>形式评审标准</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投标人名称</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pPr>
            <w:r>
              <w:rPr>
                <w:rFonts w:hint="eastAsia"/>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投标函及投标函附录签字盖章</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pPr>
            <w:r>
              <w:rPr>
                <w:rFonts w:hint="eastAsia"/>
              </w:rPr>
              <w:t>有法定代表人或被授权人签字（或盖章）并加盖单位章。由法定代表人签字（或盖章）的，应附法定代表人身份证明，由被授权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投标文件格式</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rPr>
                <w:rFonts w:ascii="宋体" w:hAnsi="宋体" w:cs="宋体"/>
                <w:sz w:val="24"/>
              </w:rPr>
            </w:pPr>
            <w:r>
              <w:rPr>
                <w:rFonts w:hint="eastAsia" w:ascii="宋体" w:hAnsi="宋体" w:cs="楷体"/>
                <w:kern w:val="0"/>
                <w:szCs w:val="21"/>
              </w:rPr>
              <w:t>符合第六章“投标文件格式”格式一的规定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spacing w:val="-7"/>
              </w:rPr>
              <w:t>备选投标方案</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kern w:val="0"/>
                <w:szCs w:val="21"/>
              </w:rPr>
              <w:t>不接受备选投标方案。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kern w:val="0"/>
                <w:szCs w:val="21"/>
              </w:rPr>
              <w:t>联合体投标人</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pPr>
              <w:jc w:val="center"/>
            </w:pPr>
            <w:r>
              <w:rPr>
                <w:rFonts w:hint="eastAsia"/>
              </w:rPr>
              <w:t>投标人机器码</w:t>
            </w:r>
          </w:p>
        </w:tc>
        <w:tc>
          <w:tcPr>
            <w:tcW w:w="4678" w:type="dxa"/>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r>
              <w:rPr>
                <w:rFonts w:hint="eastAsia"/>
              </w:rPr>
              <w:t>不同投标人机器码相同，视为不合格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2.1.2</w:t>
            </w:r>
          </w:p>
        </w:tc>
        <w:tc>
          <w:tcPr>
            <w:tcW w:w="2006" w:type="dxa"/>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ascii="宋体" w:hAnsi="宋体" w:cs="楷体"/>
                <w:kern w:val="0"/>
                <w:szCs w:val="21"/>
              </w:rPr>
              <w:t>资格评审标准</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rPr>
            </w:pPr>
            <w:r>
              <w:rPr>
                <w:rFonts w:hint="eastAsia" w:ascii="宋体" w:hAnsi="宋体" w:cs="楷体"/>
              </w:rPr>
              <w:t>营业执照</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rPr>
                <w:rFonts w:ascii="宋体" w:hAnsi="宋体" w:cs="楷体"/>
              </w:rPr>
            </w:pPr>
            <w:r>
              <w:rPr>
                <w:rFonts w:hint="eastAsia" w:ascii="宋体" w:hAnsi="宋体" w:cs="楷体"/>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资质要求</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rPr>
            </w:pPr>
            <w:r>
              <w:rPr>
                <w:rFonts w:hint="eastAsia" w:ascii="宋体" w:hAnsi="宋体" w:cs="楷体"/>
              </w:rPr>
              <w:t>财务要求</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业绩要求</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rPr>
            </w:pPr>
            <w:r>
              <w:rPr>
                <w:rFonts w:hint="eastAsia" w:ascii="宋体" w:hAnsi="宋体" w:cs="楷体"/>
              </w:rPr>
              <w:t>信誉要求</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总监理工程师</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其他主要人员</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试验检测仪器设备</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其他要求</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kern w:val="0"/>
                <w:szCs w:val="21"/>
              </w:rPr>
            </w:pPr>
            <w:r>
              <w:rPr>
                <w:rFonts w:hint="eastAsia" w:ascii="宋体" w:hAnsi="宋体" w:cs="楷体"/>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rPr>
            </w:pPr>
            <w:r>
              <w:rPr>
                <w:rFonts w:hint="eastAsia" w:ascii="宋体" w:hAnsi="宋体" w:cs="楷体"/>
              </w:rPr>
              <w:t>联合体投标人</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left"/>
              <w:rPr>
                <w:rFonts w:ascii="宋体" w:hAnsi="宋体" w:cs="楷体"/>
              </w:rPr>
            </w:pPr>
            <w:r>
              <w:rPr>
                <w:rFonts w:hint="eastAsia" w:ascii="宋体" w:hAnsi="宋体" w:cs="楷体"/>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jc w:val="center"/>
              <w:rPr>
                <w:rFonts w:ascii="宋体" w:hAnsi="宋体" w:cs="楷体"/>
                <w:kern w:val="0"/>
                <w:szCs w:val="21"/>
              </w:rPr>
            </w:pPr>
            <w:r>
              <w:rPr>
                <w:rFonts w:hint="eastAsia" w:ascii="宋体" w:hAnsi="宋体" w:cs="楷体"/>
              </w:rPr>
              <w:t>不存在禁止投标的情形</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pacing w:before="100" w:beforeAutospacing="1" w:after="100" w:afterAutospacing="1" w:line="320" w:lineRule="exact"/>
              <w:jc w:val="left"/>
              <w:rPr>
                <w:rFonts w:ascii="宋体" w:hAnsi="宋体" w:cs="楷体"/>
                <w:kern w:val="0"/>
                <w:szCs w:val="21"/>
              </w:rPr>
            </w:pPr>
            <w:r>
              <w:rPr>
                <w:rFonts w:hint="eastAsia" w:ascii="宋体" w:hAnsi="宋体" w:cs="楷体"/>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2.1.3</w:t>
            </w:r>
          </w:p>
        </w:tc>
        <w:tc>
          <w:tcPr>
            <w:tcW w:w="2006" w:type="dxa"/>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响应性评审标准</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投标文件</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pPr>
            <w:r>
              <w:rPr>
                <w:rFonts w:hint="eastAsia"/>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投标报价</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pPr>
            <w:r>
              <w:rPr>
                <w:rFonts w:hint="eastAsia"/>
              </w:rPr>
              <w:t>符合第二章</w:t>
            </w:r>
            <w:r>
              <w:t>“</w:t>
            </w:r>
            <w:r>
              <w:rPr>
                <w:rFonts w:hint="eastAsia"/>
              </w:rPr>
              <w:t>投标人须知</w:t>
            </w:r>
            <w:r>
              <w:t>”</w:t>
            </w:r>
            <w:r>
              <w:rPr>
                <w:rFonts w:hint="eastAsia"/>
              </w:rPr>
              <w:t>第</w:t>
            </w:r>
            <w:r>
              <w:t>3.2</w:t>
            </w:r>
            <w:r>
              <w:rPr>
                <w:rFonts w:hint="eastAsia"/>
              </w:rPr>
              <w:t>款规定，</w:t>
            </w:r>
            <w:r>
              <w:rPr>
                <w:rFonts w:hint="eastAsia" w:ascii="宋体" w:hAnsi="Courier New"/>
                <w:szCs w:val="21"/>
                <w:u w:val="non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投标内容</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pPr>
            <w:r>
              <w:rPr>
                <w:rFonts w:hint="eastAsia"/>
              </w:rPr>
              <w:t>符合第二章</w:t>
            </w:r>
            <w:r>
              <w:t>“</w:t>
            </w:r>
            <w:r>
              <w:rPr>
                <w:rFonts w:hint="eastAsia"/>
              </w:rPr>
              <w:t>投标人须知</w:t>
            </w:r>
            <w:r>
              <w:t>”</w:t>
            </w:r>
            <w:r>
              <w:rPr>
                <w:rFonts w:hint="eastAsia"/>
              </w:rPr>
              <w:t>第</w:t>
            </w:r>
            <w:r>
              <w:t>1.3.1</w:t>
            </w:r>
            <w:r>
              <w:rPr>
                <w:rFonts w:hint="eastAsi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监理服务期限</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r>
              <w:rPr>
                <w:rFonts w:hint="eastAsia"/>
              </w:rPr>
              <w:t>符合第二章</w:t>
            </w:r>
            <w:r>
              <w:t>“</w:t>
            </w:r>
            <w:r>
              <w:rPr>
                <w:rFonts w:hint="eastAsia"/>
              </w:rPr>
              <w:t>投标人须知</w:t>
            </w:r>
            <w:r>
              <w:t>”</w:t>
            </w:r>
            <w:r>
              <w:rPr>
                <w:rFonts w:hint="eastAsia"/>
              </w:rPr>
              <w:t>第</w:t>
            </w:r>
            <w:r>
              <w:t>1.3.2</w:t>
            </w:r>
            <w:r>
              <w:rPr>
                <w:rFonts w:hint="eastAsi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质量标准</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r>
              <w:rPr>
                <w:rFonts w:hint="eastAsia"/>
              </w:rPr>
              <w:t>符合第二章</w:t>
            </w:r>
            <w:r>
              <w:t>“</w:t>
            </w:r>
            <w:r>
              <w:rPr>
                <w:rFonts w:hint="eastAsia"/>
              </w:rPr>
              <w:t>投标人须知</w:t>
            </w:r>
            <w:r>
              <w:t>”</w:t>
            </w:r>
            <w:r>
              <w:rPr>
                <w:rFonts w:hint="eastAsia"/>
              </w:rPr>
              <w:t>第</w:t>
            </w:r>
            <w:r>
              <w:t>1.3.3</w:t>
            </w:r>
            <w:r>
              <w:rPr>
                <w:rFonts w:hint="eastAsi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top"/>
          </w:tcPr>
          <w:p>
            <w:pPr>
              <w:jc w:val="center"/>
            </w:pPr>
            <w:r>
              <w:rPr>
                <w:rFonts w:hint="eastAsia"/>
              </w:rPr>
              <w:t>投标有效期</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top"/>
          </w:tcPr>
          <w:p>
            <w:r>
              <w:rPr>
                <w:rFonts w:hint="eastAsia"/>
              </w:rPr>
              <w:t>符合第二章</w:t>
            </w:r>
            <w:r>
              <w:t>“</w:t>
            </w:r>
            <w:r>
              <w:rPr>
                <w:rFonts w:hint="eastAsia"/>
              </w:rPr>
              <w:t>投标人须知</w:t>
            </w:r>
            <w:r>
              <w:t>”</w:t>
            </w:r>
            <w:r>
              <w:rPr>
                <w:rFonts w:hint="eastAsia"/>
              </w:rPr>
              <w:t>第</w:t>
            </w:r>
            <w:r>
              <w:t>3.3.1</w:t>
            </w:r>
            <w:r>
              <w:rPr>
                <w:rFonts w:hint="eastAsi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2006"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jc w:val="left"/>
            </w:pPr>
          </w:p>
        </w:tc>
        <w:tc>
          <w:tcPr>
            <w:tcW w:w="1635" w:type="dxa"/>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pPr>
              <w:jc w:val="center"/>
            </w:pPr>
            <w:r>
              <w:rPr>
                <w:rFonts w:hint="eastAsia"/>
              </w:rPr>
              <w:t>串通投标情形</w:t>
            </w:r>
          </w:p>
        </w:tc>
        <w:tc>
          <w:tcPr>
            <w:tcW w:w="4678" w:type="dxa"/>
            <w:tcBorders>
              <w:top w:val="single" w:color="auto" w:sz="4" w:space="0"/>
              <w:left w:val="single" w:color="auto" w:sz="4" w:space="0"/>
              <w:bottom w:val="nil"/>
              <w:right w:val="single" w:color="auto" w:sz="4" w:space="0"/>
            </w:tcBorders>
            <w:noWrap/>
            <w:tcMar>
              <w:top w:w="57" w:type="dxa"/>
              <w:left w:w="57" w:type="dxa"/>
              <w:bottom w:w="57" w:type="dxa"/>
              <w:right w:w="57" w:type="dxa"/>
            </w:tcMar>
            <w:vAlign w:val="top"/>
          </w:tcPr>
          <w:p>
            <w:pPr>
              <w:spacing w:line="320" w:lineRule="exact"/>
            </w:pPr>
            <w:r>
              <w:rPr>
                <w:rFonts w:hint="eastAsia"/>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09"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rPr>
                <w:b/>
              </w:rPr>
            </w:pPr>
            <w:r>
              <w:rPr>
                <w:rFonts w:hint="eastAsia"/>
                <w:b/>
              </w:rPr>
              <w:t>条款号</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rPr>
                <w:b/>
              </w:rPr>
            </w:pPr>
            <w:r>
              <w:rPr>
                <w:rFonts w:hint="eastAsia"/>
                <w:b/>
              </w:rPr>
              <w:t>条款内容</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20" w:lineRule="exact"/>
              <w:jc w:val="center"/>
              <w:rPr>
                <w:b/>
              </w:rPr>
            </w:pPr>
            <w:r>
              <w:rPr>
                <w:rFonts w:hint="eastAsia"/>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09" w:type="dxa"/>
            <w:gridSpan w:val="3"/>
            <w:tcBorders>
              <w:top w:val="nil"/>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2.2.1</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rPr>
                <w:rFonts w:hint="eastAsia"/>
              </w:rPr>
              <w:t>分值构成</w:t>
            </w:r>
          </w:p>
          <w:p>
            <w:pPr>
              <w:jc w:val="center"/>
            </w:pPr>
            <w:r>
              <w:t>(</w:t>
            </w:r>
            <w:r>
              <w:rPr>
                <w:rFonts w:hint="eastAsia"/>
              </w:rPr>
              <w:t>总分</w:t>
            </w:r>
            <w:r>
              <w:t>100</w:t>
            </w:r>
            <w:r>
              <w:rPr>
                <w:rFonts w:hint="eastAsia"/>
              </w:rPr>
              <w:t>分</w:t>
            </w:r>
            <w:r>
              <w:t>)</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400" w:lineRule="exact"/>
            </w:pPr>
            <w:r>
              <w:rPr>
                <w:rFonts w:hint="eastAsia"/>
              </w:rPr>
              <w:t>资信业绩部分：</w:t>
            </w:r>
            <w:r>
              <w:rPr>
                <w:rFonts w:hint="eastAsia"/>
                <w:u w:val="single"/>
              </w:rPr>
              <w:t>5</w:t>
            </w:r>
            <w:r>
              <w:rPr>
                <w:rFonts w:hint="eastAsia"/>
                <w:u w:val="single"/>
                <w:lang w:val="en-US" w:eastAsia="zh-CN"/>
              </w:rPr>
              <w:t>4</w:t>
            </w:r>
            <w:r>
              <w:rPr>
                <w:rFonts w:hint="eastAsia"/>
              </w:rPr>
              <w:t>分</w:t>
            </w:r>
          </w:p>
          <w:p>
            <w:pPr>
              <w:spacing w:line="400" w:lineRule="exact"/>
            </w:pPr>
            <w:r>
              <w:rPr>
                <w:rFonts w:hint="eastAsia"/>
              </w:rPr>
              <w:t>监理大纲部分：</w:t>
            </w:r>
            <w:r>
              <w:rPr>
                <w:rFonts w:hint="eastAsia"/>
                <w:u w:val="single"/>
              </w:rPr>
              <w:t>3</w:t>
            </w:r>
            <w:r>
              <w:rPr>
                <w:rFonts w:hint="eastAsia"/>
                <w:u w:val="single"/>
                <w:lang w:val="en-US" w:eastAsia="zh-CN"/>
              </w:rPr>
              <w:t>1</w:t>
            </w:r>
            <w:r>
              <w:rPr>
                <w:rFonts w:hint="eastAsia"/>
              </w:rPr>
              <w:t>分</w:t>
            </w:r>
          </w:p>
          <w:p>
            <w:pPr>
              <w:spacing w:line="400" w:lineRule="exact"/>
            </w:pPr>
            <w:r>
              <w:rPr>
                <w:rFonts w:hint="eastAsia"/>
              </w:rPr>
              <w:t>投标报价：</w:t>
            </w:r>
            <w:r>
              <w:rPr>
                <w:rFonts w:hint="eastAsia"/>
                <w:u w:val="single"/>
              </w:rPr>
              <w:t>15</w:t>
            </w:r>
            <w:r>
              <w:rPr>
                <w:rFonts w:hint="eastAsia"/>
              </w:rPr>
              <w:t>分</w:t>
            </w:r>
          </w:p>
          <w:p>
            <w:pPr>
              <w:spacing w:line="440" w:lineRule="exact"/>
              <w:rPr>
                <w:rFonts w:hint="eastAsia" w:ascii="宋体" w:hAnsi="宋体"/>
                <w:u w:val="single"/>
              </w:rPr>
            </w:pPr>
            <w:r>
              <w:rPr>
                <w:rFonts w:hint="eastAsia" w:ascii="宋体" w:hAnsi="宋体"/>
              </w:rPr>
              <w:t>其他评分因素：</w:t>
            </w:r>
            <w:r>
              <w:rPr>
                <w:rFonts w:hint="eastAsia" w:ascii="宋体" w:hAnsi="宋体"/>
                <w:u w:val="single"/>
              </w:rPr>
              <w:t>无</w:t>
            </w:r>
          </w:p>
          <w:p>
            <w:pPr>
              <w:spacing w:line="400" w:lineRule="exact"/>
            </w:pPr>
            <w:r>
              <w:rPr>
                <w:rFonts w:hint="eastAsia" w:ascii="宋体" w:hAnsi="宋体"/>
              </w:rPr>
              <w:t>计算公式：总分=资信业绩部分（5</w:t>
            </w:r>
            <w:r>
              <w:rPr>
                <w:rFonts w:hint="eastAsia" w:ascii="宋体" w:hAnsi="宋体"/>
                <w:lang w:val="en-US" w:eastAsia="zh-CN"/>
              </w:rPr>
              <w:t>4</w:t>
            </w:r>
            <w:r>
              <w:rPr>
                <w:rFonts w:hint="eastAsia" w:ascii="宋体" w:hAnsi="宋体"/>
              </w:rPr>
              <w:t>分）+监理大纲部分（3</w:t>
            </w:r>
            <w:r>
              <w:rPr>
                <w:rFonts w:hint="eastAsia" w:ascii="宋体" w:hAnsi="宋体"/>
                <w:lang w:val="en-US" w:eastAsia="zh-CN"/>
              </w:rPr>
              <w:t>1</w:t>
            </w:r>
            <w:r>
              <w:rPr>
                <w:rFonts w:hint="eastAsia" w:ascii="宋体" w:hAnsi="宋体"/>
              </w:rPr>
              <w:t>分）+投标报价（15分）。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009"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2.2.2</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60" w:lineRule="auto"/>
              <w:jc w:val="center"/>
            </w:pPr>
            <w:r>
              <w:rPr>
                <w:rFonts w:hint="eastAsia"/>
              </w:rPr>
              <w:t>评标基准价计算方法</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00" w:lineRule="exact"/>
              <w:ind w:firstLine="420" w:firstLineChars="200"/>
              <w:rPr>
                <w:rFonts w:hint="eastAsia"/>
                <w:szCs w:val="21"/>
              </w:rPr>
            </w:pPr>
            <w:r>
              <w:rPr>
                <w:rFonts w:hint="eastAsia"/>
                <w:szCs w:val="21"/>
              </w:rPr>
              <w:t>当通过形式、资格、响应性评审的有效投标人大于或等于5名时，去掉一个最高价和一个最低价，取余下有效投标价（投标价是指算术复核后的报价）的算术平均值作为评标基准价；当通过形式、资格、响应性评审的有效投标人小于5名时，取所有入围的有效投标价的算术平均值作为评标基准价。</w:t>
            </w:r>
          </w:p>
          <w:p>
            <w:pPr>
              <w:pStyle w:val="17"/>
              <w:spacing w:line="300" w:lineRule="exact"/>
              <w:ind w:firstLine="422"/>
              <w:rPr>
                <w:sz w:val="21"/>
                <w:szCs w:val="21"/>
                <w:u w:val="single"/>
              </w:rPr>
            </w:pPr>
            <w:r>
              <w:rPr>
                <w:rFonts w:ascii="宋体" w:hAnsi="宋体"/>
                <w:b/>
                <w:sz w:val="21"/>
                <w:szCs w:val="21"/>
                <w:u w:val="single"/>
              </w:rPr>
              <w:t>如投标人的投标总报价</w:t>
            </w:r>
            <w:r>
              <w:rPr>
                <w:rFonts w:hint="eastAsia" w:ascii="宋体" w:hAnsi="宋体"/>
                <w:b/>
                <w:sz w:val="21"/>
                <w:szCs w:val="21"/>
                <w:u w:val="single"/>
              </w:rPr>
              <w:t>下浮率</w:t>
            </w:r>
            <w:r>
              <w:rPr>
                <w:rFonts w:hint="eastAsia" w:ascii="宋体" w:hAnsi="宋体"/>
                <w:b/>
                <w:sz w:val="21"/>
                <w:szCs w:val="21"/>
                <w:u w:val="single"/>
                <w:lang w:val="en-US" w:eastAsia="zh-CN"/>
              </w:rPr>
              <w:t>大</w:t>
            </w:r>
            <w:r>
              <w:rPr>
                <w:rFonts w:hint="eastAsia" w:ascii="宋体" w:hAnsi="宋体"/>
                <w:b/>
                <w:sz w:val="21"/>
                <w:szCs w:val="21"/>
                <w:u w:val="single"/>
              </w:rPr>
              <w:t>于20%（不含20%）时，其投标总报价不参与评标基准价的计算。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3009"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jc w:val="center"/>
            </w:pPr>
            <w:r>
              <w:t>2.2.3</w:t>
            </w:r>
          </w:p>
        </w:tc>
        <w:tc>
          <w:tcPr>
            <w:tcW w:w="16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60" w:lineRule="auto"/>
              <w:jc w:val="center"/>
            </w:pPr>
            <w:r>
              <w:rPr>
                <w:rFonts w:hint="eastAsia"/>
              </w:rPr>
              <w:t>投标报价的偏差率</w:t>
            </w:r>
          </w:p>
          <w:p>
            <w:pPr>
              <w:spacing w:line="360" w:lineRule="auto"/>
              <w:jc w:val="center"/>
            </w:pPr>
            <w:r>
              <w:rPr>
                <w:rFonts w:hint="eastAsia"/>
              </w:rPr>
              <w:t>计算公式</w:t>
            </w:r>
          </w:p>
        </w:tc>
        <w:tc>
          <w:tcPr>
            <w:tcW w:w="4678"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pacing w:line="300" w:lineRule="exact"/>
              <w:rPr>
                <w:b/>
                <w:szCs w:val="21"/>
                <w:u w:val="single"/>
              </w:rPr>
            </w:pPr>
            <w:r>
              <w:rPr>
                <w:rFonts w:hint="eastAsia" w:ascii="宋体" w:hAnsi="宋体" w:cs="宋体"/>
                <w:szCs w:val="21"/>
              </w:rPr>
              <w:t>偏差率</w:t>
            </w:r>
            <w:r>
              <w:rPr>
                <w:rFonts w:eastAsia="Times New Roman"/>
                <w:szCs w:val="21"/>
              </w:rPr>
              <w:t>=100% ×|</w:t>
            </w:r>
            <w:r>
              <w:rPr>
                <w:rFonts w:hint="eastAsia" w:ascii="宋体" w:hAnsi="宋体" w:cs="宋体"/>
                <w:szCs w:val="21"/>
              </w:rPr>
              <w:t>（投标有效报价</w:t>
            </w:r>
            <w:r>
              <w:rPr>
                <w:rFonts w:ascii="宋体" w:cs="宋体"/>
                <w:szCs w:val="21"/>
              </w:rPr>
              <w:t>-</w:t>
            </w:r>
            <w:r>
              <w:rPr>
                <w:rFonts w:hint="eastAsia" w:ascii="宋体" w:hAnsi="宋体" w:cs="宋体"/>
                <w:szCs w:val="21"/>
              </w:rPr>
              <w:t>评标基准价）</w:t>
            </w:r>
            <w:r>
              <w:rPr>
                <w:rFonts w:ascii="宋体" w:hAnsi="宋体" w:cs="宋体"/>
                <w:szCs w:val="21"/>
              </w:rPr>
              <w:t>|</w:t>
            </w:r>
            <w:r>
              <w:rPr>
                <w:rFonts w:eastAsia="Times New Roman"/>
                <w:szCs w:val="21"/>
              </w:rPr>
              <w:t>/</w:t>
            </w:r>
            <w:r>
              <w:rPr>
                <w:rFonts w:hint="eastAsia" w:ascii="宋体" w:hAnsi="宋体" w:cs="宋体"/>
                <w:szCs w:val="21"/>
              </w:rPr>
              <w:t>评标基准价（偏差率四舍五入</w:t>
            </w:r>
            <w:r>
              <w:rPr>
                <w:rFonts w:ascii="宋体" w:hAnsi="宋体" w:cs="宋体"/>
                <w:szCs w:val="21"/>
              </w:rPr>
              <w:t>保留</w:t>
            </w:r>
            <w:r>
              <w:rPr>
                <w:rFonts w:hint="eastAsia" w:ascii="宋体" w:hAnsi="宋体" w:cs="宋体"/>
                <w:szCs w:val="21"/>
              </w:rPr>
              <w:t>2</w:t>
            </w:r>
            <w:r>
              <w:rPr>
                <w:rFonts w:ascii="宋体" w:hAnsi="宋体" w:cs="宋体"/>
                <w:szCs w:val="21"/>
              </w:rPr>
              <w:t>位</w:t>
            </w:r>
            <w:r>
              <w:rPr>
                <w:rFonts w:hint="eastAsia" w:ascii="宋体" w:hAnsi="宋体" w:cs="宋体"/>
                <w:szCs w:val="21"/>
              </w:rPr>
              <w:t>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817" w:type="dxa"/>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kern w:val="0"/>
                <w:szCs w:val="21"/>
              </w:rPr>
            </w:pPr>
            <w:r>
              <w:rPr>
                <w:rFonts w:hint="eastAsia" w:ascii="宋体" w:hAnsi="宋体" w:cs="宋体"/>
              </w:rPr>
              <w:t>2.2.4（1）</w:t>
            </w:r>
          </w:p>
        </w:tc>
        <w:tc>
          <w:tcPr>
            <w:tcW w:w="2192"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p>
          <w:p>
            <w:pPr>
              <w:spacing w:line="440" w:lineRule="exact"/>
              <w:jc w:val="center"/>
              <w:rPr>
                <w:rFonts w:hint="eastAsia" w:ascii="宋体" w:hAnsi="宋体" w:cs="宋体"/>
              </w:rPr>
            </w:pPr>
            <w:r>
              <w:rPr>
                <w:rFonts w:hint="eastAsia" w:ascii="宋体" w:hAnsi="宋体" w:cs="宋体"/>
              </w:rPr>
              <w:t>资信业绩评分标准</w:t>
            </w:r>
          </w:p>
          <w:p>
            <w:pPr>
              <w:spacing w:line="440" w:lineRule="exact"/>
              <w:jc w:val="center"/>
              <w:rPr>
                <w:rFonts w:hint="eastAsia" w:ascii="宋体" w:hAnsi="宋体" w:cs="宋体"/>
              </w:rPr>
            </w:pPr>
            <w:r>
              <w:rPr>
                <w:rFonts w:hint="eastAsia" w:ascii="宋体" w:hAnsi="宋体" w:cs="宋体"/>
                <w:szCs w:val="21"/>
              </w:rPr>
              <w:t>（5</w:t>
            </w:r>
            <w:r>
              <w:rPr>
                <w:rFonts w:hint="eastAsia" w:ascii="宋体" w:hAnsi="宋体" w:cs="宋体"/>
                <w:szCs w:val="21"/>
                <w:lang w:val="en-US" w:eastAsia="zh-CN"/>
              </w:rPr>
              <w:t>4</w:t>
            </w:r>
            <w:r>
              <w:rPr>
                <w:rFonts w:hint="eastAsia" w:ascii="宋体" w:hAnsi="宋体" w:cs="宋体"/>
                <w:szCs w:val="21"/>
              </w:rPr>
              <w:t>分）</w:t>
            </w: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187"/>
              <w:spacing w:line="360" w:lineRule="auto"/>
              <w:jc w:val="center"/>
              <w:rPr>
                <w:rFonts w:hint="eastAsia" w:ascii="宋体" w:hAnsi="宋体" w:cs="宋体"/>
                <w:szCs w:val="21"/>
              </w:rPr>
            </w:pPr>
            <w:r>
              <w:rPr>
                <w:rFonts w:hint="eastAsia" w:ascii="宋体" w:hAnsi="宋体" w:cs="宋体"/>
                <w:szCs w:val="21"/>
              </w:rPr>
              <w:t>类似项目业绩（</w:t>
            </w:r>
            <w:r>
              <w:rPr>
                <w:rFonts w:hint="eastAsia" w:ascii="宋体" w:hAnsi="宋体" w:cs="宋体"/>
                <w:szCs w:val="21"/>
                <w:lang w:val="en-US" w:eastAsia="zh-CN"/>
              </w:rPr>
              <w:t>5</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napToGrid w:val="0"/>
              <w:spacing w:line="300" w:lineRule="exact"/>
              <w:jc w:val="center"/>
              <w:rPr>
                <w:rFonts w:hint="eastAsia" w:ascii="宋体" w:hAnsi="宋体" w:cs="宋体"/>
                <w:szCs w:val="21"/>
              </w:rPr>
            </w:pPr>
            <w:r>
              <w:rPr>
                <w:rFonts w:hint="eastAsia" w:ascii="宋体" w:hAnsi="宋体" w:cs="宋体"/>
                <w:kern w:val="0"/>
                <w:szCs w:val="21"/>
                <w:lang w:val="zh-CN" w:bidi="zh-CN"/>
              </w:rPr>
              <w:t>201</w:t>
            </w:r>
            <w:r>
              <w:rPr>
                <w:rFonts w:hint="eastAsia" w:ascii="宋体" w:hAnsi="宋体" w:cs="宋体"/>
                <w:kern w:val="0"/>
                <w:szCs w:val="21"/>
                <w:lang w:bidi="zh-CN"/>
              </w:rPr>
              <w:t>9</w:t>
            </w:r>
            <w:r>
              <w:rPr>
                <w:rFonts w:hint="eastAsia" w:ascii="宋体" w:hAnsi="宋体" w:cs="宋体"/>
                <w:kern w:val="0"/>
                <w:szCs w:val="21"/>
                <w:lang w:val="zh-CN" w:bidi="zh-CN"/>
              </w:rPr>
              <w:t>年1月1日起至今完成过质量合格的房屋建筑工程</w:t>
            </w:r>
            <w:r>
              <w:rPr>
                <w:rFonts w:hint="eastAsia" w:ascii="宋体" w:hAnsi="宋体" w:cs="宋体"/>
                <w:szCs w:val="21"/>
              </w:rPr>
              <w:t>监理业绩，</w:t>
            </w:r>
            <w:r>
              <w:rPr>
                <w:rFonts w:hint="eastAsia" w:ascii="宋体" w:hAnsi="宋体" w:cs="宋体"/>
                <w:kern w:val="0"/>
                <w:szCs w:val="21"/>
                <w:lang w:bidi="zh-CN"/>
              </w:rPr>
              <w:t>每个</w:t>
            </w:r>
            <w:r>
              <w:rPr>
                <w:rFonts w:hint="eastAsia" w:ascii="宋体" w:hAnsi="宋体" w:cs="宋体"/>
                <w:kern w:val="0"/>
                <w:szCs w:val="21"/>
                <w:lang w:val="zh-CN" w:bidi="zh-CN"/>
              </w:rPr>
              <w:t>得</w:t>
            </w:r>
            <w:r>
              <w:rPr>
                <w:rFonts w:hint="eastAsia" w:ascii="宋体" w:hAnsi="宋体" w:cs="宋体"/>
                <w:kern w:val="0"/>
                <w:szCs w:val="21"/>
                <w:lang w:val="en-US" w:bidi="zh-CN"/>
              </w:rPr>
              <w:t>1</w:t>
            </w:r>
            <w:r>
              <w:rPr>
                <w:rFonts w:hint="eastAsia" w:ascii="宋体" w:hAnsi="宋体" w:cs="宋体"/>
                <w:kern w:val="0"/>
                <w:szCs w:val="21"/>
                <w:lang w:val="zh-CN" w:bidi="zh-CN"/>
              </w:rPr>
              <w:t>分，最多得</w:t>
            </w:r>
            <w:r>
              <w:rPr>
                <w:rFonts w:hint="eastAsia" w:ascii="宋体" w:hAnsi="宋体" w:cs="宋体"/>
                <w:kern w:val="0"/>
                <w:szCs w:val="21"/>
                <w:lang w:val="en-US" w:bidi="zh-CN"/>
              </w:rPr>
              <w:t>5</w:t>
            </w:r>
            <w:r>
              <w:rPr>
                <w:rFonts w:hint="eastAsia" w:ascii="宋体" w:hAnsi="宋体" w:cs="宋体"/>
                <w:kern w:val="0"/>
                <w:szCs w:val="21"/>
                <w:lang w:val="zh-CN" w:bidi="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817"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pacing w:line="440" w:lineRule="exact"/>
              <w:jc w:val="center"/>
              <w:rPr>
                <w:rFonts w:hint="eastAsia" w:ascii="宋体" w:hAnsi="宋体" w:cs="宋体"/>
              </w:rPr>
            </w:pPr>
          </w:p>
        </w:tc>
        <w:tc>
          <w:tcPr>
            <w:tcW w:w="2192" w:type="dxa"/>
            <w:gridSpan w:val="2"/>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pacing w:line="440" w:lineRule="exact"/>
              <w:jc w:val="center"/>
              <w:rPr>
                <w:rFonts w:hint="eastAsia" w:ascii="宋体" w:hAnsi="宋体" w:cs="宋体"/>
                <w:szCs w:val="21"/>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187"/>
              <w:spacing w:line="360" w:lineRule="auto"/>
              <w:jc w:val="center"/>
              <w:rPr>
                <w:rFonts w:hint="eastAsia" w:ascii="宋体" w:hAnsi="宋体" w:cs="宋体"/>
                <w:szCs w:val="21"/>
              </w:rPr>
            </w:pPr>
            <w:r>
              <w:rPr>
                <w:rFonts w:hint="eastAsia" w:ascii="宋体" w:hAnsi="宋体" w:cs="宋体"/>
                <w:szCs w:val="21"/>
              </w:rPr>
              <w:t>获奖业绩</w:t>
            </w:r>
            <w:r>
              <w:rPr>
                <w:rFonts w:hint="eastAsia" w:ascii="宋体" w:hAnsi="宋体" w:eastAsia="宋体" w:cs="宋体"/>
                <w:szCs w:val="21"/>
              </w:rPr>
              <w:t>（1</w:t>
            </w:r>
            <w:r>
              <w:rPr>
                <w:rFonts w:hint="eastAsia" w:ascii="宋体" w:hAnsi="宋体" w:cs="宋体"/>
                <w:szCs w:val="21"/>
                <w:lang w:val="en-US" w:eastAsia="zh-CN"/>
              </w:rPr>
              <w:t>7</w:t>
            </w:r>
            <w:r>
              <w:rPr>
                <w:rFonts w:hint="eastAsia" w:ascii="宋体" w:hAnsi="宋体" w:eastAsia="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napToGrid w:val="0"/>
              <w:spacing w:line="300" w:lineRule="exact"/>
              <w:jc w:val="left"/>
              <w:rPr>
                <w:rFonts w:hint="eastAsia" w:ascii="宋体" w:hAnsi="宋体" w:cs="宋体"/>
                <w:szCs w:val="21"/>
              </w:rPr>
            </w:pPr>
            <w:r>
              <w:rPr>
                <w:rFonts w:hint="eastAsia" w:ascii="宋体" w:hAnsi="宋体" w:cs="宋体"/>
                <w:kern w:val="0"/>
                <w:szCs w:val="21"/>
                <w:lang w:val="zh-CN" w:bidi="zh-CN"/>
              </w:rPr>
              <w:t>201</w:t>
            </w:r>
            <w:r>
              <w:rPr>
                <w:rFonts w:hint="eastAsia" w:ascii="宋体" w:hAnsi="宋体" w:cs="宋体"/>
                <w:kern w:val="0"/>
                <w:szCs w:val="21"/>
                <w:lang w:bidi="zh-CN"/>
              </w:rPr>
              <w:t>9</w:t>
            </w:r>
            <w:r>
              <w:rPr>
                <w:rFonts w:hint="eastAsia" w:ascii="宋体" w:hAnsi="宋体" w:cs="宋体"/>
                <w:kern w:val="0"/>
                <w:szCs w:val="21"/>
                <w:lang w:val="zh-CN" w:bidi="zh-CN"/>
              </w:rPr>
              <w:t>年1月1日起至今完成</w:t>
            </w:r>
            <w:r>
              <w:rPr>
                <w:rFonts w:hint="eastAsia" w:ascii="宋体" w:hAnsi="宋体" w:cs="宋体"/>
                <w:kern w:val="0"/>
                <w:szCs w:val="21"/>
                <w:lang w:val="en-US" w:bidi="zh-CN"/>
              </w:rPr>
              <w:t>监理过</w:t>
            </w:r>
            <w:r>
              <w:rPr>
                <w:rFonts w:hint="eastAsia" w:ascii="宋体" w:hAnsi="宋体" w:cs="宋体"/>
                <w:kern w:val="0"/>
                <w:szCs w:val="21"/>
                <w:lang w:val="zh-CN" w:bidi="zh-CN"/>
              </w:rPr>
              <w:t>的房屋建筑工程获得国家级奖项的，每个得</w:t>
            </w:r>
            <w:r>
              <w:rPr>
                <w:rFonts w:hint="eastAsia" w:ascii="宋体" w:hAnsi="宋体" w:cs="宋体"/>
                <w:kern w:val="0"/>
                <w:szCs w:val="21"/>
                <w:lang w:val="en-US" w:bidi="zh-CN"/>
              </w:rPr>
              <w:t>3</w:t>
            </w:r>
            <w:r>
              <w:rPr>
                <w:rFonts w:hint="eastAsia" w:ascii="宋体" w:hAnsi="宋体" w:cs="宋体"/>
                <w:kern w:val="0"/>
                <w:szCs w:val="21"/>
                <w:lang w:val="zh-CN" w:bidi="zh-CN"/>
              </w:rPr>
              <w:t>分；获得省级奖项的，每个得</w:t>
            </w:r>
            <w:r>
              <w:rPr>
                <w:rFonts w:hint="eastAsia" w:ascii="宋体" w:hAnsi="宋体" w:cs="宋体"/>
                <w:kern w:val="0"/>
                <w:szCs w:val="21"/>
                <w:lang w:val="en-US" w:bidi="zh-CN"/>
              </w:rPr>
              <w:t>2</w:t>
            </w:r>
            <w:r>
              <w:rPr>
                <w:rFonts w:hint="eastAsia" w:ascii="宋体" w:hAnsi="宋体" w:cs="宋体"/>
                <w:kern w:val="0"/>
                <w:szCs w:val="21"/>
                <w:lang w:val="zh-CN" w:bidi="zh-CN"/>
              </w:rPr>
              <w:t>分；获得市级奖项的，每个得</w:t>
            </w:r>
            <w:r>
              <w:rPr>
                <w:rFonts w:hint="eastAsia" w:ascii="宋体" w:hAnsi="宋体" w:cs="宋体"/>
                <w:kern w:val="0"/>
                <w:szCs w:val="21"/>
                <w:lang w:val="en-US" w:bidi="zh-CN"/>
              </w:rPr>
              <w:t>1</w:t>
            </w:r>
            <w:r>
              <w:rPr>
                <w:rFonts w:hint="eastAsia" w:ascii="宋体" w:hAnsi="宋体" w:cs="宋体"/>
                <w:kern w:val="0"/>
                <w:szCs w:val="21"/>
                <w:lang w:val="zh-CN" w:bidi="zh-CN"/>
              </w:rPr>
              <w:t>分，本项最多得</w:t>
            </w:r>
            <w:r>
              <w:rPr>
                <w:rFonts w:hint="eastAsia" w:ascii="宋体" w:hAnsi="宋体" w:cs="宋体"/>
                <w:kern w:val="0"/>
                <w:szCs w:val="21"/>
                <w:lang w:bidi="zh-CN"/>
              </w:rPr>
              <w:t>1</w:t>
            </w:r>
            <w:r>
              <w:rPr>
                <w:rFonts w:hint="eastAsia" w:ascii="宋体" w:hAnsi="宋体" w:cs="宋体"/>
                <w:kern w:val="0"/>
                <w:szCs w:val="21"/>
                <w:lang w:val="en-US" w:bidi="zh-CN"/>
              </w:rPr>
              <w:t>7</w:t>
            </w:r>
            <w:r>
              <w:rPr>
                <w:rFonts w:hint="eastAsia" w:ascii="宋体" w:hAnsi="宋体" w:cs="宋体"/>
                <w:kern w:val="0"/>
                <w:szCs w:val="21"/>
                <w:lang w:val="zh-CN" w:bidi="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187"/>
              <w:spacing w:line="360" w:lineRule="auto"/>
              <w:jc w:val="center"/>
              <w:rPr>
                <w:rFonts w:hint="eastAsia" w:ascii="宋体" w:hAnsi="宋体" w:cs="宋体"/>
                <w:szCs w:val="21"/>
              </w:rPr>
            </w:pPr>
            <w:r>
              <w:rPr>
                <w:rFonts w:hint="eastAsia" w:ascii="宋体" w:hAnsi="宋体" w:cs="宋体"/>
                <w:szCs w:val="21"/>
              </w:rPr>
              <w:t>项目总监理工程师素质</w:t>
            </w:r>
          </w:p>
          <w:p>
            <w:pPr>
              <w:pStyle w:val="187"/>
              <w:spacing w:line="360" w:lineRule="auto"/>
              <w:jc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numPr>
                <w:ilvl w:val="0"/>
                <w:numId w:val="1"/>
              </w:numPr>
              <w:snapToGrid w:val="0"/>
              <w:spacing w:line="300" w:lineRule="exact"/>
              <w:jc w:val="left"/>
              <w:rPr>
                <w:rFonts w:hint="eastAsia" w:ascii="宋体" w:hAnsi="宋体" w:cs="宋体"/>
                <w:color w:val="auto"/>
                <w:szCs w:val="21"/>
                <w:lang w:val="zh-CN"/>
              </w:rPr>
            </w:pPr>
            <w:r>
              <w:rPr>
                <w:rFonts w:hint="eastAsia" w:ascii="宋体" w:hAnsi="宋体" w:cs="宋体"/>
                <w:color w:val="auto"/>
                <w:szCs w:val="21"/>
              </w:rPr>
              <w:t>总监理工程师具备</w:t>
            </w:r>
            <w:r>
              <w:rPr>
                <w:rFonts w:hint="eastAsia" w:ascii="宋体" w:hAnsi="宋体" w:cs="宋体"/>
                <w:color w:val="auto"/>
                <w:szCs w:val="21"/>
                <w:lang w:val="en-US" w:eastAsia="zh-CN"/>
              </w:rPr>
              <w:t>工程类</w:t>
            </w:r>
            <w:r>
              <w:rPr>
                <w:rFonts w:hint="eastAsia" w:ascii="宋体" w:hAnsi="宋体" w:cs="宋体"/>
                <w:color w:val="auto"/>
                <w:szCs w:val="21"/>
              </w:rPr>
              <w:t>高级工程师或以上职称的</w:t>
            </w:r>
            <w:r>
              <w:rPr>
                <w:rFonts w:hint="eastAsia" w:ascii="宋体" w:hAnsi="宋体" w:cs="宋体"/>
                <w:color w:val="auto"/>
                <w:szCs w:val="21"/>
                <w:lang w:val="zh-CN"/>
              </w:rPr>
              <w:t>，得</w:t>
            </w:r>
            <w:r>
              <w:rPr>
                <w:rFonts w:hint="eastAsia" w:ascii="宋体" w:hAnsi="宋体" w:cs="宋体"/>
                <w:color w:val="auto"/>
                <w:szCs w:val="21"/>
                <w:lang w:val="en-US" w:eastAsia="zh-CN"/>
              </w:rPr>
              <w:t>2</w:t>
            </w:r>
            <w:r>
              <w:rPr>
                <w:rFonts w:hint="eastAsia" w:ascii="宋体" w:hAnsi="宋体" w:cs="宋体"/>
                <w:color w:val="auto"/>
                <w:szCs w:val="21"/>
                <w:lang w:val="zh-CN"/>
              </w:rPr>
              <w:t>分</w:t>
            </w:r>
            <w:r>
              <w:rPr>
                <w:rFonts w:hint="eastAsia" w:ascii="宋体" w:hAnsi="宋体" w:cs="宋体"/>
                <w:color w:val="auto"/>
                <w:szCs w:val="21"/>
                <w:lang w:val="en-US" w:eastAsia="zh-CN"/>
              </w:rPr>
              <w:t>,工程类中级工程师职称的得1分</w:t>
            </w:r>
            <w:r>
              <w:rPr>
                <w:rFonts w:hint="eastAsia" w:ascii="宋体" w:hAnsi="宋体" w:cs="宋体"/>
                <w:color w:val="auto"/>
                <w:szCs w:val="21"/>
                <w:lang w:val="zh-CN"/>
              </w:rPr>
              <w:t>。</w:t>
            </w:r>
          </w:p>
          <w:p>
            <w:pPr>
              <w:numPr>
                <w:ilvl w:val="0"/>
                <w:numId w:val="1"/>
              </w:numPr>
              <w:snapToGrid w:val="0"/>
              <w:spacing w:line="3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总监理工程师取得监理工程师资格15年或以上得3分，10年</w:t>
            </w:r>
            <w:r>
              <w:rPr>
                <w:rFonts w:hint="eastAsia" w:ascii="宋体" w:hAnsi="宋体" w:cs="宋体"/>
                <w:color w:val="auto"/>
                <w:szCs w:val="21"/>
                <w:lang w:val="en-US" w:eastAsia="zh-CN"/>
              </w:rPr>
              <w:t>至14年</w:t>
            </w:r>
            <w:r>
              <w:rPr>
                <w:rFonts w:hint="eastAsia" w:ascii="宋体" w:hAnsi="宋体" w:cs="宋体"/>
                <w:color w:val="auto"/>
                <w:szCs w:val="21"/>
                <w:lang w:val="en-US" w:eastAsia="zh-CN"/>
              </w:rPr>
              <w:t>得2分，5年</w:t>
            </w:r>
            <w:r>
              <w:rPr>
                <w:rFonts w:hint="eastAsia" w:ascii="宋体" w:hAnsi="宋体" w:cs="宋体"/>
                <w:color w:val="auto"/>
                <w:szCs w:val="21"/>
                <w:lang w:val="en-US" w:eastAsia="zh-CN"/>
              </w:rPr>
              <w:t>至9年</w:t>
            </w:r>
            <w:bookmarkStart w:id="417" w:name="_GoBack"/>
            <w:bookmarkEnd w:id="417"/>
            <w:r>
              <w:rPr>
                <w:rFonts w:hint="eastAsia" w:ascii="宋体" w:hAnsi="宋体" w:cs="宋体"/>
                <w:color w:val="auto"/>
                <w:szCs w:val="21"/>
                <w:lang w:val="en-US" w:eastAsia="zh-CN"/>
              </w:rPr>
              <w:t>得1分，5年以下得0.5分。</w:t>
            </w:r>
          </w:p>
          <w:p>
            <w:pPr>
              <w:numPr>
                <w:ilvl w:val="0"/>
                <w:numId w:val="1"/>
              </w:numPr>
              <w:snapToGrid w:val="0"/>
              <w:spacing w:line="300" w:lineRule="exact"/>
              <w:jc w:val="left"/>
              <w:rPr>
                <w:rFonts w:hint="eastAsia" w:ascii="宋体" w:hAnsi="宋体" w:cs="宋体"/>
                <w:szCs w:val="21"/>
              </w:rPr>
            </w:pPr>
            <w:r>
              <w:rPr>
                <w:rFonts w:hint="eastAsia" w:ascii="宋体" w:hAnsi="宋体" w:cs="宋体"/>
                <w:color w:val="auto"/>
                <w:szCs w:val="21"/>
              </w:rPr>
              <w:t>总监理工程师自2019年1月1</w:t>
            </w:r>
            <w:r>
              <w:rPr>
                <w:rFonts w:hint="eastAsia" w:ascii="宋体" w:hAnsi="宋体" w:cs="宋体"/>
                <w:szCs w:val="21"/>
              </w:rPr>
              <w:t>日至今</w:t>
            </w:r>
            <w:r>
              <w:rPr>
                <w:rFonts w:hint="eastAsia" w:ascii="宋体" w:hAnsi="宋体" w:cs="宋体"/>
                <w:szCs w:val="21"/>
                <w:lang w:eastAsia="zh-CN"/>
              </w:rPr>
              <w:t>担任项目总监理工程师完成过质量合格的房屋建筑工程获得过</w:t>
            </w:r>
            <w:r>
              <w:rPr>
                <w:rFonts w:hint="eastAsia" w:ascii="宋体" w:hAnsi="宋体" w:cs="宋体"/>
                <w:szCs w:val="21"/>
              </w:rPr>
              <w:t>省级或以上奖项的，每</w:t>
            </w:r>
            <w:r>
              <w:rPr>
                <w:rFonts w:hint="eastAsia" w:ascii="宋体" w:hAnsi="宋体" w:cs="宋体"/>
                <w:szCs w:val="21"/>
                <w:lang w:eastAsia="zh-CN"/>
              </w:rPr>
              <w:t>项</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获得市级奖项的，每项得1.5分</w:t>
            </w:r>
            <w:r>
              <w:rPr>
                <w:rFonts w:hint="eastAsia" w:ascii="宋体" w:hAnsi="宋体" w:cs="宋体"/>
                <w:szCs w:val="21"/>
              </w:rPr>
              <w:t>；最多得</w:t>
            </w:r>
            <w:r>
              <w:rPr>
                <w:rFonts w:hint="eastAsia" w:ascii="宋体" w:hAnsi="宋体" w:cs="宋体"/>
                <w:szCs w:val="21"/>
                <w:lang w:val="en-US" w:eastAsia="zh-CN"/>
              </w:rPr>
              <w:t>6</w:t>
            </w:r>
            <w:r>
              <w:rPr>
                <w:rFonts w:hint="eastAsia" w:ascii="宋体" w:hAnsi="宋体" w:cs="宋体"/>
                <w:szCs w:val="21"/>
              </w:rPr>
              <w:t>分。</w:t>
            </w:r>
          </w:p>
          <w:p>
            <w:pPr>
              <w:numPr>
                <w:ilvl w:val="0"/>
                <w:numId w:val="0"/>
              </w:numPr>
              <w:snapToGrid w:val="0"/>
              <w:spacing w:line="300" w:lineRule="exact"/>
              <w:jc w:val="left"/>
              <w:rPr>
                <w:rFonts w:hint="eastAsia" w:ascii="宋体" w:hAnsi="宋体" w:cs="宋体"/>
                <w:lang w:val="en-US" w:eastAsia="zh-CN"/>
              </w:rPr>
            </w:pPr>
            <w:r>
              <w:rPr>
                <w:rFonts w:hint="eastAsia" w:ascii="宋体" w:hAnsi="宋体" w:cs="宋体"/>
                <w:szCs w:val="21"/>
                <w:lang w:val="en-US" w:eastAsia="zh-CN"/>
              </w:rPr>
              <w:t>本项最多得11分。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3" w:hRule="atLeast"/>
          <w:jc w:val="center"/>
        </w:trPr>
        <w:tc>
          <w:tcPr>
            <w:tcW w:w="817"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pacing w:before="100" w:beforeAutospacing="1" w:after="100" w:afterAutospacing="1" w:line="360" w:lineRule="auto"/>
              <w:jc w:val="center"/>
              <w:rPr>
                <w:rFonts w:hint="eastAsia" w:ascii="宋体" w:hAnsi="宋体" w:cs="宋体"/>
                <w:szCs w:val="21"/>
              </w:rPr>
            </w:pPr>
            <w:r>
              <w:rPr>
                <w:rFonts w:hint="eastAsia" w:ascii="宋体" w:hAnsi="宋体" w:cs="宋体"/>
                <w:kern w:val="0"/>
                <w:szCs w:val="21"/>
              </w:rPr>
              <w:t>专业监理人员</w:t>
            </w:r>
            <w:r>
              <w:rPr>
                <w:rFonts w:hint="eastAsia" w:ascii="宋体" w:hAnsi="宋体" w:cs="宋体"/>
                <w:szCs w:val="21"/>
              </w:rPr>
              <w:t>配置</w:t>
            </w:r>
          </w:p>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投标人按投入本项目相关专业人员中（除项目总监）：</w:t>
            </w:r>
          </w:p>
          <w:p>
            <w:pPr>
              <w:spacing w:line="300" w:lineRule="exact"/>
              <w:rPr>
                <w:rFonts w:hint="default" w:ascii="宋体" w:hAnsi="宋体" w:cs="宋体"/>
                <w:szCs w:val="21"/>
                <w:lang w:val="en-US"/>
              </w:rPr>
            </w:pPr>
            <w:r>
              <w:rPr>
                <w:rFonts w:hint="eastAsia" w:ascii="宋体" w:hAnsi="宋体" w:cs="宋体"/>
                <w:szCs w:val="21"/>
              </w:rPr>
              <w:t>1、</w:t>
            </w:r>
            <w:r>
              <w:rPr>
                <w:rFonts w:hint="eastAsia" w:ascii="宋体" w:hAnsi="宋体" w:cs="宋体"/>
                <w:szCs w:val="21"/>
                <w:lang w:eastAsia="zh-CN"/>
              </w:rPr>
              <w:t>土建专业监理工程师</w:t>
            </w:r>
            <w:r>
              <w:rPr>
                <w:rFonts w:hint="eastAsia" w:ascii="宋体" w:hAnsi="宋体" w:cs="宋体"/>
                <w:szCs w:val="21"/>
                <w:lang w:val="en-US" w:eastAsia="zh-CN"/>
              </w:rPr>
              <w:t>1名：具备建筑工程管理或工民建类高级工程师或以上职称的，得2分，具备建筑工程管理或工民建类工程师职称的，得1分，最多得2分。</w:t>
            </w:r>
          </w:p>
          <w:p>
            <w:pPr>
              <w:spacing w:line="300" w:lineRule="exac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暖通专业监理工程师</w:t>
            </w:r>
            <w:r>
              <w:rPr>
                <w:rFonts w:hint="eastAsia" w:ascii="宋体" w:hAnsi="宋体" w:cs="宋体"/>
                <w:szCs w:val="21"/>
                <w:lang w:val="en-US" w:eastAsia="zh-CN"/>
              </w:rPr>
              <w:t>1名：具备暖通类高级工程师或以上职称的，得2分，具备暖通类工程师职称的，得1分，最多得2分。</w:t>
            </w:r>
          </w:p>
          <w:p>
            <w:pPr>
              <w:spacing w:line="300" w:lineRule="exact"/>
              <w:rPr>
                <w:rFonts w:hint="default" w:ascii="宋体" w:hAnsi="宋体" w:eastAsia="宋体" w:cs="宋体"/>
                <w:szCs w:val="21"/>
                <w:lang w:val="en-US" w:eastAsia="zh-CN"/>
              </w:rPr>
            </w:pPr>
            <w:r>
              <w:rPr>
                <w:rFonts w:hint="eastAsia" w:ascii="宋体" w:hAnsi="宋体" w:cs="宋体"/>
                <w:szCs w:val="21"/>
                <w:lang w:val="en-US" w:eastAsia="zh-CN"/>
              </w:rPr>
              <w:t>3、造价工程师1名：</w:t>
            </w:r>
            <w:r>
              <w:rPr>
                <w:rFonts w:hint="eastAsia" w:ascii="宋体" w:hAnsi="宋体" w:cs="宋体"/>
                <w:szCs w:val="21"/>
              </w:rPr>
              <w:t>具备建筑工程造价类</w:t>
            </w:r>
            <w:r>
              <w:rPr>
                <w:rFonts w:hint="eastAsia" w:ascii="宋体" w:hAnsi="宋体" w:cs="宋体"/>
              </w:rPr>
              <w:t>高级工程师或以上职称的</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分，具备建筑工程造价类工程师职称的，得1分；</w:t>
            </w:r>
            <w:r>
              <w:rPr>
                <w:rFonts w:hint="eastAsia" w:ascii="宋体" w:hAnsi="宋体" w:cs="宋体"/>
                <w:szCs w:val="21"/>
                <w:lang w:eastAsia="zh-CN"/>
              </w:rPr>
              <w:t>最多得</w:t>
            </w:r>
            <w:r>
              <w:rPr>
                <w:rFonts w:hint="eastAsia" w:ascii="宋体" w:hAnsi="宋体" w:cs="宋体"/>
                <w:szCs w:val="21"/>
                <w:lang w:val="en-US" w:eastAsia="zh-CN"/>
              </w:rPr>
              <w:t>2分；</w:t>
            </w:r>
          </w:p>
          <w:p>
            <w:pPr>
              <w:spacing w:line="300" w:lineRule="exact"/>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rPr>
              <w:t>、安全专业监理工程师</w:t>
            </w:r>
            <w:r>
              <w:rPr>
                <w:rFonts w:hint="eastAsia" w:ascii="宋体" w:hAnsi="宋体" w:cs="宋体"/>
                <w:szCs w:val="21"/>
                <w:lang w:val="en-US" w:eastAsia="zh-CN"/>
              </w:rPr>
              <w:t>1名：</w:t>
            </w:r>
            <w:r>
              <w:rPr>
                <w:rFonts w:hint="eastAsia" w:ascii="宋体" w:hAnsi="宋体" w:cs="宋体"/>
                <w:szCs w:val="21"/>
              </w:rPr>
              <w:t>具备注册安全工程师（建筑施工安全专业）注册证且在本单位注册的，</w:t>
            </w:r>
            <w:r>
              <w:rPr>
                <w:rFonts w:hint="eastAsia" w:ascii="宋体" w:hAnsi="宋体" w:cs="宋体"/>
                <w:szCs w:val="21"/>
                <w:lang w:eastAsia="zh-CN"/>
              </w:rPr>
              <w:t>每名</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最多得</w:t>
            </w:r>
            <w:r>
              <w:rPr>
                <w:rFonts w:hint="eastAsia" w:ascii="宋体" w:hAnsi="宋体" w:cs="宋体"/>
                <w:szCs w:val="21"/>
                <w:lang w:val="en-US" w:eastAsia="zh-CN"/>
              </w:rPr>
              <w:t>2分；</w:t>
            </w:r>
          </w:p>
          <w:p>
            <w:pPr>
              <w:spacing w:line="300" w:lineRule="exact"/>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资料</w:t>
            </w:r>
            <w:r>
              <w:rPr>
                <w:rFonts w:hint="eastAsia" w:ascii="宋体" w:hAnsi="宋体" w:cs="宋体"/>
                <w:szCs w:val="21"/>
              </w:rPr>
              <w:t>员</w:t>
            </w:r>
            <w:r>
              <w:rPr>
                <w:rFonts w:hint="eastAsia" w:ascii="宋体" w:hAnsi="宋体" w:cs="宋体"/>
                <w:szCs w:val="21"/>
                <w:lang w:val="en-US" w:eastAsia="zh-CN"/>
              </w:rPr>
              <w:t>1名：</w:t>
            </w:r>
            <w:r>
              <w:rPr>
                <w:rFonts w:hint="eastAsia" w:ascii="宋体" w:hAnsi="宋体" w:cs="宋体"/>
                <w:szCs w:val="21"/>
              </w:rPr>
              <w:t>具备资料员培训证或上岗证的，得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w:t>
            </w:r>
          </w:p>
          <w:p>
            <w:pPr>
              <w:pStyle w:val="2"/>
              <w:spacing w:line="300" w:lineRule="exact"/>
              <w:ind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本项最多得10分。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9" w:hRule="atLeast"/>
          <w:jc w:val="center"/>
        </w:trPr>
        <w:tc>
          <w:tcPr>
            <w:tcW w:w="817"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pacing w:line="360" w:lineRule="auto"/>
              <w:jc w:val="center"/>
              <w:textAlignment w:val="center"/>
              <w:rPr>
                <w:rFonts w:hint="eastAsia" w:ascii="宋体" w:hAnsi="宋体" w:cs="宋体"/>
              </w:rPr>
            </w:pPr>
            <w:r>
              <w:rPr>
                <w:rFonts w:hint="eastAsia" w:ascii="宋体" w:hAnsi="宋体" w:cs="宋体"/>
              </w:rPr>
              <w:t>管理体系认证</w:t>
            </w:r>
          </w:p>
          <w:p>
            <w:pPr>
              <w:widowControl/>
              <w:spacing w:line="360" w:lineRule="auto"/>
              <w:jc w:val="center"/>
              <w:rPr>
                <w:rFonts w:hint="eastAsia" w:ascii="宋体" w:hAnsi="宋体" w:cs="宋体"/>
                <w:szCs w:val="21"/>
              </w:rPr>
            </w:pPr>
            <w:r>
              <w:rPr>
                <w:rFonts w:hint="eastAsia" w:ascii="宋体" w:hAnsi="宋体" w:cs="宋体"/>
              </w:rPr>
              <w:t>（</w:t>
            </w:r>
            <w:r>
              <w:rPr>
                <w:rFonts w:hint="eastAsia" w:ascii="宋体" w:hAnsi="宋体" w:cs="宋体"/>
                <w:lang w:val="en-US" w:eastAsia="zh-CN"/>
              </w:rPr>
              <w:t>8</w:t>
            </w:r>
            <w:r>
              <w:rPr>
                <w:rFonts w:hint="eastAsia" w:ascii="宋体" w:hAnsi="宋体" w:cs="宋体"/>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ind w:leftChars="-10" w:hanging="21" w:hangingChars="10"/>
              <w:jc w:val="left"/>
              <w:rPr>
                <w:rFonts w:ascii="宋体" w:hAnsi="宋体" w:cs="宋体"/>
                <w:szCs w:val="21"/>
              </w:rPr>
            </w:pPr>
            <w:r>
              <w:rPr>
                <w:rFonts w:hint="eastAsia" w:ascii="宋体" w:hAnsi="宋体" w:cs="宋体"/>
                <w:szCs w:val="21"/>
              </w:rPr>
              <w:t>投标人具有以下认证证书（证书须在有效期内）的：</w:t>
            </w:r>
          </w:p>
          <w:p>
            <w:pPr>
              <w:ind w:leftChars="-10" w:hanging="21" w:hangingChars="10"/>
              <w:jc w:val="left"/>
              <w:rPr>
                <w:rFonts w:ascii="宋体" w:hAnsi="宋体" w:cs="宋体"/>
                <w:szCs w:val="21"/>
              </w:rPr>
            </w:pPr>
            <w:r>
              <w:rPr>
                <w:rFonts w:hint="eastAsia" w:ascii="宋体" w:hAnsi="宋体" w:cs="宋体"/>
                <w:szCs w:val="21"/>
              </w:rPr>
              <w:t>1、质量管理体系认证证书；</w:t>
            </w:r>
          </w:p>
          <w:p>
            <w:pPr>
              <w:ind w:leftChars="-10" w:hanging="21" w:hangingChars="10"/>
              <w:jc w:val="left"/>
              <w:rPr>
                <w:rFonts w:ascii="宋体" w:hAnsi="宋体" w:cs="宋体"/>
                <w:szCs w:val="21"/>
              </w:rPr>
            </w:pPr>
            <w:r>
              <w:rPr>
                <w:rFonts w:hint="eastAsia" w:ascii="宋体" w:hAnsi="宋体" w:cs="宋体"/>
                <w:szCs w:val="21"/>
              </w:rPr>
              <w:t>2、职业健康安全管理体系认证证书；</w:t>
            </w:r>
          </w:p>
          <w:p>
            <w:pPr>
              <w:ind w:leftChars="-10" w:hanging="21" w:hangingChars="10"/>
              <w:jc w:val="left"/>
              <w:rPr>
                <w:rFonts w:ascii="宋体" w:hAnsi="宋体" w:cs="宋体"/>
                <w:szCs w:val="21"/>
              </w:rPr>
            </w:pPr>
            <w:r>
              <w:rPr>
                <w:rFonts w:hint="eastAsia" w:ascii="宋体" w:hAnsi="宋体" w:cs="宋体"/>
                <w:szCs w:val="21"/>
              </w:rPr>
              <w:t>3、环境管理体系认证证书；</w:t>
            </w:r>
          </w:p>
          <w:p>
            <w:pPr>
              <w:ind w:leftChars="-10" w:hanging="21" w:hangingChars="10"/>
              <w:jc w:val="left"/>
              <w:rPr>
                <w:rFonts w:ascii="宋体" w:hAnsi="宋体" w:cs="宋体"/>
                <w:szCs w:val="21"/>
              </w:rPr>
            </w:pPr>
            <w:r>
              <w:rPr>
                <w:rFonts w:hint="eastAsia" w:ascii="宋体" w:hAnsi="宋体" w:cs="宋体"/>
                <w:szCs w:val="21"/>
              </w:rPr>
              <w:t>4、信息</w:t>
            </w:r>
            <w:r>
              <w:rPr>
                <w:rFonts w:hint="eastAsia" w:ascii="宋体" w:hAnsi="宋体" w:cs="宋体"/>
                <w:szCs w:val="21"/>
                <w:lang w:eastAsia="zh-CN"/>
              </w:rPr>
              <w:t>技术管理</w:t>
            </w:r>
            <w:r>
              <w:rPr>
                <w:rFonts w:hint="eastAsia" w:ascii="宋体" w:hAnsi="宋体" w:cs="宋体"/>
                <w:szCs w:val="21"/>
              </w:rPr>
              <w:t>体系认证证书。</w:t>
            </w:r>
          </w:p>
          <w:p>
            <w:pPr>
              <w:ind w:leftChars="-10" w:hanging="21" w:hangingChars="10"/>
              <w:jc w:val="left"/>
              <w:rPr>
                <w:rFonts w:hint="eastAsia" w:ascii="宋体" w:hAnsi="宋体" w:cs="宋体"/>
                <w:szCs w:val="21"/>
              </w:rPr>
            </w:pPr>
            <w:r>
              <w:rPr>
                <w:rFonts w:hint="eastAsia" w:ascii="宋体" w:hAnsi="宋体" w:cs="宋体"/>
                <w:szCs w:val="21"/>
              </w:rPr>
              <w:t>每个得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817"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纳税信用等级（</w:t>
            </w:r>
            <w:r>
              <w:rPr>
                <w:rFonts w:hint="eastAsia" w:ascii="宋体" w:hAnsi="宋体" w:cs="宋体"/>
                <w:szCs w:val="21"/>
                <w:lang w:val="en-US" w:eastAsia="zh-CN"/>
              </w:rPr>
              <w:t>3</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2019年1月1日至今（评价年度须含2021年度）投标人获得纳税信用等级A级每次得</w:t>
            </w:r>
            <w:r>
              <w:rPr>
                <w:rFonts w:hint="eastAsia" w:ascii="宋体" w:hAnsi="宋体" w:cs="宋体"/>
                <w:szCs w:val="21"/>
                <w:lang w:val="en-US" w:eastAsia="zh-CN"/>
              </w:rPr>
              <w:t>1</w:t>
            </w:r>
            <w:r>
              <w:rPr>
                <w:rFonts w:hint="eastAsia" w:ascii="宋体" w:hAnsi="宋体" w:cs="宋体"/>
                <w:szCs w:val="21"/>
              </w:rPr>
              <w:t>分，最多得</w:t>
            </w:r>
            <w:r>
              <w:rPr>
                <w:rFonts w:hint="eastAsia" w:ascii="宋体" w:hAnsi="宋体" w:cs="宋体"/>
                <w:szCs w:val="21"/>
                <w:lang w:val="en-US" w:eastAsia="zh-CN"/>
              </w:rPr>
              <w:t>3</w:t>
            </w:r>
            <w:r>
              <w:rPr>
                <w:rFonts w:hint="eastAsia" w:ascii="宋体" w:hAnsi="宋体" w:cs="宋体"/>
                <w:szCs w:val="21"/>
              </w:rPr>
              <w:t>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restar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pPr>
              <w:spacing w:line="440" w:lineRule="exact"/>
              <w:jc w:val="center"/>
              <w:rPr>
                <w:rFonts w:hint="eastAsia" w:ascii="宋体" w:hAnsi="宋体" w:cs="宋体"/>
                <w:kern w:val="0"/>
                <w:szCs w:val="21"/>
              </w:rPr>
            </w:pPr>
            <w:r>
              <w:rPr>
                <w:rFonts w:hint="eastAsia" w:ascii="宋体" w:hAnsi="宋体" w:cs="宋体"/>
              </w:rPr>
              <w:t>2.2.4（2）</w:t>
            </w:r>
          </w:p>
        </w:tc>
        <w:tc>
          <w:tcPr>
            <w:tcW w:w="2192" w:type="dxa"/>
            <w:gridSpan w:val="2"/>
            <w:vMerge w:val="restar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pPr>
              <w:spacing w:line="440" w:lineRule="exact"/>
              <w:jc w:val="center"/>
              <w:rPr>
                <w:rFonts w:hint="eastAsia" w:ascii="宋体" w:hAnsi="宋体" w:cs="宋体"/>
              </w:rPr>
            </w:pPr>
            <w:r>
              <w:rPr>
                <w:rFonts w:hint="eastAsia" w:ascii="宋体" w:hAnsi="宋体" w:cs="宋体"/>
              </w:rPr>
              <w:t>监理大纲评分标准</w:t>
            </w:r>
          </w:p>
          <w:p>
            <w:pPr>
              <w:spacing w:line="440" w:lineRule="exact"/>
              <w:jc w:val="center"/>
              <w:rPr>
                <w:rFonts w:hint="eastAsia" w:ascii="宋体" w:hAnsi="宋体" w:cs="宋体"/>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分）</w:t>
            </w: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rPr>
            </w:pPr>
            <w:r>
              <w:rPr>
                <w:rFonts w:hint="eastAsia" w:ascii="宋体" w:hAnsi="宋体" w:cs="宋体"/>
                <w:szCs w:val="21"/>
              </w:rPr>
              <w:t>监理工作程序、方法和制度（</w:t>
            </w:r>
            <w:r>
              <w:rPr>
                <w:rFonts w:hint="eastAsia" w:ascii="宋体" w:hAnsi="宋体" w:cs="宋体"/>
                <w:szCs w:val="21"/>
                <w:lang w:val="en-US" w:eastAsia="zh-CN"/>
              </w:rPr>
              <w:t>2</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有清晰的工作流程图、工作准则。方案为优得</w:t>
            </w:r>
            <w:r>
              <w:rPr>
                <w:rFonts w:hint="eastAsia" w:ascii="宋体" w:hAnsi="宋体" w:cs="宋体"/>
                <w:szCs w:val="21"/>
                <w:lang w:val="en-US" w:eastAsia="zh-CN"/>
              </w:rPr>
              <w:t>2</w:t>
            </w:r>
            <w:r>
              <w:rPr>
                <w:rFonts w:hint="eastAsia" w:ascii="宋体" w:hAnsi="宋体" w:cs="宋体"/>
                <w:szCs w:val="21"/>
              </w:rPr>
              <w:t>分；良得</w:t>
            </w:r>
            <w:r>
              <w:rPr>
                <w:rFonts w:hint="eastAsia" w:ascii="宋体" w:hAnsi="宋体" w:cs="宋体"/>
                <w:szCs w:val="21"/>
                <w:lang w:val="en-US" w:eastAsia="zh-CN"/>
              </w:rPr>
              <w:t>1</w:t>
            </w:r>
            <w:r>
              <w:rPr>
                <w:rFonts w:hint="eastAsia" w:ascii="宋体" w:hAnsi="宋体" w:cs="宋体"/>
                <w:szCs w:val="21"/>
              </w:rPr>
              <w:t>分；中得</w:t>
            </w:r>
            <w:r>
              <w:rPr>
                <w:rFonts w:hint="eastAsia" w:ascii="宋体" w:hAnsi="宋体" w:cs="宋体"/>
                <w:szCs w:val="21"/>
                <w:lang w:val="en-US" w:eastAsia="zh-CN"/>
              </w:rPr>
              <w:t>0.5</w:t>
            </w:r>
            <w:r>
              <w:rPr>
                <w:rFonts w:hint="eastAsia" w:ascii="宋体" w:hAnsi="宋体" w:cs="宋体"/>
                <w:szCs w:val="21"/>
              </w:rPr>
              <w:t>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spacing w:line="440" w:lineRule="exact"/>
              <w:jc w:val="cente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spacing w:line="440" w:lineRule="exact"/>
              <w:jc w:val="cente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质量控制措施（</w:t>
            </w:r>
            <w:r>
              <w:rPr>
                <w:rFonts w:hint="eastAsia" w:ascii="宋体" w:hAnsi="宋体" w:cs="宋体"/>
                <w:szCs w:val="21"/>
                <w:lang w:val="en-US" w:eastAsia="zh-CN"/>
              </w:rPr>
              <w:t>4</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要求目标明确、方法合理可行、措施具体、针对性强。方案为优得</w:t>
            </w:r>
            <w:r>
              <w:rPr>
                <w:rFonts w:hint="eastAsia" w:ascii="宋体" w:hAnsi="宋体" w:cs="宋体"/>
                <w:szCs w:val="21"/>
                <w:lang w:val="en-US" w:eastAsia="zh-CN"/>
              </w:rPr>
              <w:t>4</w:t>
            </w:r>
            <w:r>
              <w:rPr>
                <w:rFonts w:hint="eastAsia" w:ascii="宋体" w:hAnsi="宋体" w:cs="宋体"/>
                <w:szCs w:val="21"/>
              </w:rPr>
              <w:t>分；良得</w:t>
            </w:r>
            <w:r>
              <w:rPr>
                <w:rFonts w:hint="eastAsia" w:ascii="宋体" w:hAnsi="宋体" w:cs="宋体"/>
                <w:szCs w:val="21"/>
                <w:lang w:val="en-US" w:eastAsia="zh-CN"/>
              </w:rPr>
              <w:t>3</w:t>
            </w:r>
            <w:r>
              <w:rPr>
                <w:rFonts w:hint="eastAsia" w:ascii="宋体" w:hAnsi="宋体" w:cs="宋体"/>
                <w:szCs w:val="21"/>
              </w:rPr>
              <w:t xml:space="preserve"> 分；一般得</w:t>
            </w:r>
            <w:r>
              <w:rPr>
                <w:rFonts w:hint="eastAsia" w:ascii="宋体" w:hAnsi="宋体" w:cs="宋体"/>
                <w:szCs w:val="21"/>
                <w:lang w:val="en-US" w:eastAsia="zh-CN"/>
              </w:rPr>
              <w:t>2</w:t>
            </w:r>
            <w:r>
              <w:rPr>
                <w:rFonts w:hint="eastAsia" w:ascii="宋体" w:hAnsi="宋体" w:cs="宋体"/>
                <w:szCs w:val="21"/>
              </w:rPr>
              <w:t>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进度控制措施（</w:t>
            </w:r>
            <w:r>
              <w:rPr>
                <w:rFonts w:hint="eastAsia" w:ascii="宋体" w:hAnsi="宋体" w:cs="宋体"/>
                <w:szCs w:val="21"/>
                <w:lang w:val="en-US" w:eastAsia="zh-CN"/>
              </w:rPr>
              <w:t>4</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要求目标明确、方法合理可行、措施具体、针对性强。方案为优得</w:t>
            </w:r>
            <w:r>
              <w:rPr>
                <w:rFonts w:hint="eastAsia" w:ascii="宋体" w:hAnsi="宋体" w:cs="宋体"/>
                <w:szCs w:val="21"/>
                <w:lang w:val="en-US" w:eastAsia="zh-CN"/>
              </w:rPr>
              <w:t>4</w:t>
            </w:r>
            <w:r>
              <w:rPr>
                <w:rFonts w:hint="eastAsia" w:ascii="宋体" w:hAnsi="宋体" w:cs="宋体"/>
                <w:szCs w:val="21"/>
              </w:rPr>
              <w:t>分；良得</w:t>
            </w:r>
            <w:r>
              <w:rPr>
                <w:rFonts w:hint="eastAsia" w:ascii="宋体" w:hAnsi="宋体" w:cs="宋体"/>
                <w:szCs w:val="21"/>
                <w:lang w:val="en-US" w:eastAsia="zh-CN"/>
              </w:rPr>
              <w:t>3</w:t>
            </w:r>
            <w:r>
              <w:rPr>
                <w:rFonts w:hint="eastAsia" w:ascii="宋体" w:hAnsi="宋体" w:cs="宋体"/>
                <w:szCs w:val="21"/>
              </w:rPr>
              <w:t xml:space="preserve"> 分；一般得</w:t>
            </w:r>
            <w:r>
              <w:rPr>
                <w:rFonts w:hint="eastAsia" w:ascii="宋体" w:hAnsi="宋体" w:cs="宋体"/>
                <w:szCs w:val="21"/>
                <w:lang w:val="en-US" w:eastAsia="zh-CN"/>
              </w:rPr>
              <w:t>2</w:t>
            </w:r>
            <w:r>
              <w:rPr>
                <w:rFonts w:hint="eastAsia" w:ascii="宋体" w:hAnsi="宋体" w:cs="宋体"/>
                <w:szCs w:val="21"/>
              </w:rPr>
              <w:t>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投资控制措施（</w:t>
            </w:r>
            <w:r>
              <w:rPr>
                <w:rFonts w:hint="eastAsia" w:ascii="宋体" w:hAnsi="宋体" w:cs="宋体"/>
                <w:szCs w:val="21"/>
                <w:lang w:val="en-US" w:eastAsia="zh-CN"/>
              </w:rPr>
              <w:t>4</w:t>
            </w:r>
            <w:r>
              <w:rPr>
                <w:rFonts w:hint="eastAsia" w:ascii="宋体" w:hAnsi="宋体" w:cs="宋体"/>
                <w:szCs w:val="21"/>
              </w:rPr>
              <w:t>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要求目标明确、方法合理可行、措施具体、针对性强。方案为优得</w:t>
            </w:r>
            <w:r>
              <w:rPr>
                <w:rFonts w:hint="eastAsia" w:ascii="宋体" w:hAnsi="宋体" w:cs="宋体"/>
                <w:szCs w:val="21"/>
                <w:lang w:val="en-US" w:eastAsia="zh-CN"/>
              </w:rPr>
              <w:t>4</w:t>
            </w:r>
            <w:r>
              <w:rPr>
                <w:rFonts w:hint="eastAsia" w:ascii="宋体" w:hAnsi="宋体" w:cs="宋体"/>
                <w:szCs w:val="21"/>
              </w:rPr>
              <w:t>分；良得</w:t>
            </w:r>
            <w:r>
              <w:rPr>
                <w:rFonts w:hint="eastAsia" w:ascii="宋体" w:hAnsi="宋体" w:cs="宋体"/>
                <w:szCs w:val="21"/>
                <w:lang w:val="en-US" w:eastAsia="zh-CN"/>
              </w:rPr>
              <w:t>3</w:t>
            </w:r>
            <w:r>
              <w:rPr>
                <w:rFonts w:hint="eastAsia" w:ascii="宋体" w:hAnsi="宋体" w:cs="宋体"/>
                <w:szCs w:val="21"/>
              </w:rPr>
              <w:t xml:space="preserve"> 分；一般得</w:t>
            </w:r>
            <w:r>
              <w:rPr>
                <w:rFonts w:hint="eastAsia" w:ascii="宋体" w:hAnsi="宋体" w:cs="宋体"/>
                <w:szCs w:val="21"/>
                <w:lang w:val="en-US" w:eastAsia="zh-CN"/>
              </w:rPr>
              <w:t>2</w:t>
            </w:r>
            <w:r>
              <w:rPr>
                <w:rFonts w:hint="eastAsia" w:ascii="宋体" w:hAnsi="宋体" w:cs="宋体"/>
                <w:szCs w:val="21"/>
              </w:rPr>
              <w:t>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安全、文明施工管理（3分）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安全、文明施工管理优得3分；良得2分；一般得1分；无措施不得分。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合同、信息管理方案（3分）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合同管理、信息管理方法合理可行、措施具体、针对性强。方案为优得3 分；良得2分；一般得1分；差不得分。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会议制度（3分）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300" w:lineRule="exact"/>
              <w:rPr>
                <w:rFonts w:hint="eastAsia" w:ascii="宋体" w:hAnsi="宋体" w:cs="宋体"/>
                <w:szCs w:val="21"/>
              </w:rPr>
            </w:pPr>
            <w:r>
              <w:rPr>
                <w:rFonts w:hint="eastAsia" w:ascii="宋体" w:hAnsi="宋体" w:cs="宋体"/>
                <w:szCs w:val="21"/>
              </w:rPr>
              <w:t>建立完善的工地会议制度。满足要求得3分；基本满足要求得 2分；不满足要求不得分。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rPr>
                <w:rFonts w:hint="eastAsia" w:ascii="宋体" w:hAnsi="宋体" w:cs="宋体"/>
              </w:rPr>
            </w:pPr>
            <w:r>
              <w:rPr>
                <w:rFonts w:hint="eastAsia" w:ascii="宋体" w:hAnsi="宋体" w:cs="宋体"/>
                <w:szCs w:val="21"/>
              </w:rPr>
              <w:t>监理组织协调内容及措施（3分）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top"/>
          </w:tcPr>
          <w:p>
            <w:pPr>
              <w:spacing w:line="300" w:lineRule="exact"/>
              <w:rPr>
                <w:rFonts w:hint="eastAsia" w:ascii="宋体" w:hAnsi="宋体" w:cs="宋体"/>
                <w:szCs w:val="21"/>
              </w:rPr>
            </w:pPr>
            <w:r>
              <w:rPr>
                <w:rFonts w:hint="eastAsia" w:ascii="宋体" w:hAnsi="宋体" w:cs="宋体"/>
                <w:szCs w:val="21"/>
              </w:rPr>
              <w:t>协调方法清晰合理，有具体措施。方案为优得3分；良得 2分；一般得1分；差不得分；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rPr>
                <w:rFonts w:hint="eastAsia" w:ascii="宋体" w:hAnsi="宋体" w:cs="宋体"/>
                <w:kern w:val="0"/>
              </w:rPr>
            </w:pPr>
            <w:r>
              <w:rPr>
                <w:rFonts w:hint="eastAsia" w:ascii="宋体" w:hAnsi="宋体" w:cs="宋体"/>
                <w:szCs w:val="21"/>
              </w:rPr>
              <w:t>监理工作重点、难点分析（3分）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top"/>
          </w:tcPr>
          <w:p>
            <w:pPr>
              <w:spacing w:line="300" w:lineRule="exact"/>
              <w:rPr>
                <w:rFonts w:hint="eastAsia" w:ascii="宋体" w:hAnsi="宋体" w:cs="宋体"/>
                <w:szCs w:val="21"/>
              </w:rPr>
            </w:pPr>
            <w:r>
              <w:rPr>
                <w:rFonts w:hint="eastAsia" w:ascii="宋体" w:hAnsi="宋体" w:cs="宋体"/>
                <w:szCs w:val="21"/>
              </w:rPr>
              <w:t>要求针对性强、措施具体、可操作。优得3分；良得2分；一般得1分；无措施得0分。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vMerge w:val="continue"/>
            <w:tcBorders>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kern w:val="0"/>
                <w:szCs w:val="21"/>
              </w:rPr>
            </w:pPr>
          </w:p>
        </w:tc>
        <w:tc>
          <w:tcPr>
            <w:tcW w:w="2192" w:type="dxa"/>
            <w:gridSpan w:val="2"/>
            <w:vMerge w:val="continue"/>
            <w:tcBorders>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top"/>
          </w:tcPr>
          <w:p>
            <w:pP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rPr>
                <w:rFonts w:hint="eastAsia" w:ascii="宋体" w:hAnsi="宋体" w:cs="宋体"/>
                <w:szCs w:val="21"/>
              </w:rPr>
            </w:pPr>
            <w:r>
              <w:rPr>
                <w:rFonts w:hint="eastAsia" w:ascii="宋体" w:hAnsi="宋体" w:cs="宋体"/>
                <w:szCs w:val="21"/>
              </w:rPr>
              <w:t>合理化建议（2分）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top"/>
          </w:tcPr>
          <w:p>
            <w:pPr>
              <w:spacing w:line="300" w:lineRule="exact"/>
              <w:rPr>
                <w:rFonts w:hint="eastAsia" w:ascii="宋体" w:hAnsi="宋体" w:cs="宋体"/>
                <w:szCs w:val="21"/>
              </w:rPr>
            </w:pPr>
            <w:r>
              <w:rPr>
                <w:rFonts w:hint="eastAsia" w:ascii="宋体" w:hAnsi="宋体" w:cs="宋体"/>
                <w:szCs w:val="21"/>
              </w:rPr>
              <w:t>具有科学、合理、可行及具体措施的优得2分；良得1分；中得0.5分；差不得分。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pacing w:line="440" w:lineRule="exact"/>
              <w:jc w:val="center"/>
              <w:rPr>
                <w:rFonts w:hint="eastAsia" w:ascii="宋体" w:hAnsi="宋体" w:cs="宋体"/>
                <w:kern w:val="0"/>
                <w:szCs w:val="21"/>
              </w:rPr>
            </w:pPr>
            <w:r>
              <w:rPr>
                <w:rFonts w:hint="eastAsia" w:ascii="宋体" w:hAnsi="宋体" w:cs="宋体"/>
              </w:rPr>
              <w:t>2.2.4（3）</w:t>
            </w:r>
          </w:p>
        </w:tc>
        <w:tc>
          <w:tcPr>
            <w:tcW w:w="2192" w:type="dxa"/>
            <w:gridSpan w:val="2"/>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napToGrid w:val="0"/>
              <w:jc w:val="center"/>
              <w:rPr>
                <w:rFonts w:hint="eastAsia" w:ascii="宋体" w:hAnsi="宋体" w:cs="宋体"/>
              </w:rPr>
            </w:pPr>
            <w:r>
              <w:rPr>
                <w:rFonts w:hint="eastAsia" w:ascii="宋体" w:hAnsi="宋体" w:cs="宋体"/>
              </w:rPr>
              <w:t>投标报价评分标准</w:t>
            </w:r>
          </w:p>
          <w:p>
            <w:pPr>
              <w:snapToGrid w:val="0"/>
              <w:jc w:val="center"/>
              <w:rPr>
                <w:rFonts w:hint="eastAsia" w:ascii="宋体" w:hAnsi="宋体" w:cs="宋体"/>
              </w:rPr>
            </w:pPr>
            <w:r>
              <w:rPr>
                <w:rFonts w:hint="eastAsia" w:ascii="宋体" w:hAnsi="宋体" w:cs="宋体"/>
              </w:rPr>
              <w:t>(15分)</w:t>
            </w:r>
          </w:p>
        </w:tc>
        <w:tc>
          <w:tcPr>
            <w:tcW w:w="1635"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pacing w:line="420" w:lineRule="atLeast"/>
              <w:jc w:val="center"/>
              <w:rPr>
                <w:rFonts w:hint="eastAsia" w:ascii="宋体" w:hAnsi="宋体" w:cs="宋体"/>
              </w:rPr>
            </w:pPr>
            <w:r>
              <w:rPr>
                <w:rFonts w:hint="eastAsia" w:ascii="宋体" w:hAnsi="宋体" w:cs="宋体"/>
              </w:rPr>
              <w:t>报价得分</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top"/>
          </w:tcPr>
          <w:p>
            <w:pPr>
              <w:spacing w:line="300" w:lineRule="exact"/>
              <w:jc w:val="left"/>
              <w:rPr>
                <w:rFonts w:hint="eastAsia" w:ascii="宋体" w:hAnsi="宋体" w:cs="宋体"/>
                <w:kern w:val="0"/>
                <w:szCs w:val="21"/>
              </w:rPr>
            </w:pPr>
            <w:r>
              <w:rPr>
                <w:rFonts w:hint="eastAsia" w:ascii="宋体" w:hAnsi="宋体" w:cs="宋体"/>
                <w:kern w:val="0"/>
                <w:szCs w:val="21"/>
              </w:rPr>
              <w:t>监理报价得分以评标基准价作为计算各有效投标报价得分的基础，当有效投标报价等于评标基准价时得1</w:t>
            </w:r>
            <w:r>
              <w:rPr>
                <w:rFonts w:hint="eastAsia" w:ascii="宋体" w:hAnsi="宋体" w:cs="宋体"/>
                <w:kern w:val="0"/>
                <w:szCs w:val="21"/>
                <w:lang w:val="en-US" w:eastAsia="zh-CN"/>
              </w:rPr>
              <w:t>5</w:t>
            </w:r>
            <w:r>
              <w:rPr>
                <w:rFonts w:hint="eastAsia" w:ascii="宋体" w:hAnsi="宋体" w:cs="宋体"/>
                <w:kern w:val="0"/>
                <w:szCs w:val="21"/>
              </w:rPr>
              <w:t>分；投标有效投价与评标基准价相比，每上偏1%扣0.4分，每下偏1%扣0.2分。最多扣1</w:t>
            </w:r>
            <w:r>
              <w:rPr>
                <w:rFonts w:hint="eastAsia" w:ascii="宋体" w:hAnsi="宋体" w:cs="宋体"/>
                <w:kern w:val="0"/>
                <w:szCs w:val="21"/>
                <w:lang w:val="en-US" w:eastAsia="zh-CN"/>
              </w:rPr>
              <w:t>5</w:t>
            </w:r>
            <w:r>
              <w:rPr>
                <w:rFonts w:hint="eastAsia" w:ascii="宋体" w:hAnsi="宋体" w:cs="宋体"/>
                <w:kern w:val="0"/>
                <w:szCs w:val="21"/>
              </w:rPr>
              <w:t>分。精确到小数点后两位。</w:t>
            </w:r>
          </w:p>
          <w:p>
            <w:pPr>
              <w:spacing w:line="300" w:lineRule="exact"/>
              <w:jc w:val="left"/>
              <w:rPr>
                <w:rFonts w:hint="eastAsia" w:ascii="宋体" w:hAnsi="宋体" w:cs="宋体"/>
                <w:szCs w:val="21"/>
              </w:rPr>
            </w:pPr>
            <w:r>
              <w:rPr>
                <w:rFonts w:hint="eastAsia" w:ascii="宋体" w:hAnsi="宋体" w:cs="宋体"/>
                <w:b/>
                <w:szCs w:val="21"/>
                <w:u w:val="single"/>
              </w:rPr>
              <w:t>如投标人的投标总报价下浮率</w:t>
            </w:r>
            <w:r>
              <w:rPr>
                <w:rFonts w:hint="eastAsia" w:ascii="宋体" w:hAnsi="宋体" w:cs="宋体"/>
                <w:b/>
                <w:szCs w:val="21"/>
                <w:u w:val="single"/>
                <w:lang w:val="en-US" w:eastAsia="zh-CN"/>
              </w:rPr>
              <w:t>大</w:t>
            </w:r>
            <w:r>
              <w:rPr>
                <w:rFonts w:hint="eastAsia" w:ascii="宋体" w:hAnsi="宋体" w:cs="宋体"/>
                <w:b/>
                <w:szCs w:val="21"/>
                <w:u w:val="single"/>
              </w:rPr>
              <w:t>于20%（不含20%）时，其投标总报价不参与评标基准价的计算。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pacing w:line="440" w:lineRule="exact"/>
              <w:jc w:val="center"/>
              <w:rPr>
                <w:rFonts w:hint="eastAsia" w:ascii="宋体" w:hAnsi="宋体" w:cs="宋体"/>
                <w:kern w:val="0"/>
                <w:szCs w:val="21"/>
              </w:rPr>
            </w:pPr>
            <w:r>
              <w:rPr>
                <w:rFonts w:hint="eastAsia" w:ascii="宋体" w:hAnsi="宋体" w:cs="宋体"/>
              </w:rPr>
              <w:t>2.2.4（4）</w:t>
            </w:r>
          </w:p>
        </w:tc>
        <w:tc>
          <w:tcPr>
            <w:tcW w:w="2192" w:type="dxa"/>
            <w:gridSpan w:val="2"/>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napToGrid w:val="0"/>
              <w:jc w:val="center"/>
              <w:rPr>
                <w:rFonts w:hint="eastAsia" w:ascii="宋体" w:hAnsi="宋体" w:cs="宋体"/>
              </w:rPr>
            </w:pPr>
            <w:r>
              <w:rPr>
                <w:rFonts w:hint="eastAsia" w:ascii="宋体" w:hAnsi="宋体" w:cs="宋体"/>
              </w:rPr>
              <w:t>其他因素评分标准</w:t>
            </w:r>
          </w:p>
          <w:p>
            <w:pPr>
              <w:snapToGrid w:val="0"/>
              <w:jc w:val="center"/>
              <w:rPr>
                <w:rFonts w:hint="eastAsia" w:ascii="宋体" w:hAnsi="宋体" w:cs="宋体"/>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pacing w:line="440" w:lineRule="exact"/>
              <w:jc w:val="center"/>
              <w:rPr>
                <w:rFonts w:hint="eastAsia" w:ascii="宋体" w:hAnsi="宋体" w:cs="宋体"/>
              </w:rPr>
            </w:pPr>
            <w:r>
              <w:rPr>
                <w:rFonts w:hint="eastAsia" w:ascii="宋体" w:hAnsi="宋体" w:cs="宋体"/>
              </w:rPr>
              <w:t>无</w:t>
            </w:r>
          </w:p>
        </w:tc>
        <w:tc>
          <w:tcPr>
            <w:tcW w:w="4678"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napToGrid w:val="0"/>
              <w:jc w:val="center"/>
              <w:rPr>
                <w:rFonts w:hint="eastAsia" w:ascii="宋体" w:hAnsi="宋体" w:cs="宋体"/>
              </w:rPr>
            </w:pPr>
            <w:r>
              <w:rPr>
                <w:rFonts w:hint="eastAsia" w:ascii="宋体" w:hAnsi="宋体" w:cs="宋体"/>
              </w:rPr>
              <w:t>/</w:t>
            </w:r>
          </w:p>
        </w:tc>
      </w:tr>
    </w:tbl>
    <w:p>
      <w:pPr>
        <w:spacing w:line="300" w:lineRule="atLeast"/>
        <w:ind w:left="141" w:leftChars="67" w:right="113" w:rightChars="54"/>
        <w:rPr>
          <w:rFonts w:hint="eastAsia" w:ascii="宋体" w:hAnsi="宋体" w:cs="宋体"/>
        </w:rPr>
      </w:pPr>
    </w:p>
    <w:p>
      <w:pPr>
        <w:spacing w:line="300" w:lineRule="atLeast"/>
        <w:ind w:left="141" w:leftChars="67" w:right="113" w:rightChars="54"/>
        <w:rPr>
          <w:rFonts w:hint="eastAsia" w:ascii="宋体" w:hAnsi="宋体" w:cs="宋体"/>
        </w:rPr>
      </w:pPr>
    </w:p>
    <w:p>
      <w:pPr>
        <w:spacing w:line="300" w:lineRule="atLeast"/>
        <w:ind w:left="141" w:leftChars="67" w:right="113" w:rightChars="54"/>
        <w:rPr>
          <w:rFonts w:hint="eastAsia" w:ascii="宋体" w:hAnsi="宋体" w:cs="宋体"/>
        </w:rPr>
      </w:pPr>
      <w:r>
        <w:rPr>
          <w:rFonts w:hint="eastAsia" w:ascii="宋体" w:hAnsi="宋体" w:cs="宋体"/>
        </w:rPr>
        <w:t>说明：</w:t>
      </w:r>
    </w:p>
    <w:p>
      <w:pPr>
        <w:numPr>
          <w:ilvl w:val="0"/>
          <w:numId w:val="2"/>
        </w:numPr>
        <w:spacing w:line="300" w:lineRule="atLeast"/>
        <w:ind w:left="141" w:leftChars="67" w:right="113" w:rightChars="54"/>
      </w:pPr>
      <w:r>
        <w:rPr>
          <w:rFonts w:hint="eastAsia" w:ascii="宋体" w:hAnsi="宋体" w:cs="宋体"/>
        </w:rPr>
        <w:t>类似项目业绩：</w:t>
      </w:r>
      <w:r>
        <w:rPr>
          <w:rFonts w:hint="eastAsia" w:ascii="宋体" w:hAnsi="宋体" w:cs="宋体"/>
          <w:bCs/>
          <w:szCs w:val="21"/>
        </w:rPr>
        <w:t>指招标公告第3条所述监理资质方能承接的工程项目</w:t>
      </w:r>
      <w:r>
        <w:rPr>
          <w:rFonts w:hint="eastAsia" w:ascii="宋体" w:hAnsi="宋体" w:cs="宋体"/>
        </w:rPr>
        <w:t>，需同时提供中标通知书或免招标的相关证明、监理合同、竣工验收报告或竣工验收证明</w:t>
      </w:r>
      <w:r>
        <w:rPr>
          <w:rFonts w:hint="eastAsia" w:ascii="宋体" w:hAnsi="宋体"/>
          <w:highlight w:val="none"/>
        </w:rPr>
        <w:t>（至少具有建设单位、设计、施工和监理单位盖章）</w:t>
      </w:r>
      <w:r>
        <w:rPr>
          <w:rFonts w:hint="eastAsia" w:ascii="宋体" w:hAnsi="宋体" w:cs="宋体"/>
        </w:rPr>
        <w:t>清晰扫描件等证明材料，业绩时间以竣工验收报告或竣工验收证明出具时间为准。</w:t>
      </w:r>
    </w:p>
    <w:p>
      <w:pPr>
        <w:numPr>
          <w:ilvl w:val="0"/>
          <w:numId w:val="2"/>
        </w:numPr>
        <w:spacing w:line="300" w:lineRule="atLeast"/>
        <w:ind w:left="141" w:leftChars="67" w:right="113" w:rightChars="54"/>
      </w:pPr>
      <w:r>
        <w:rPr>
          <w:rFonts w:hint="eastAsia" w:ascii="宋体" w:hAnsi="宋体" w:cs="宋体"/>
          <w:bCs/>
          <w:szCs w:val="21"/>
        </w:rPr>
        <w:t>获奖业绩：①获奖时间以获奖证书颁发日期为准。②国家级奖指全国地区的鲁班奖、詹天佑奖、国家优质工程金质奖（金奖）、国家优质工程奖。③省级或市级奖项是指由建设行政主管部门或行业协会颁发（行业协会须在民政部门备案）的工程</w:t>
      </w:r>
      <w:r>
        <w:rPr>
          <w:rFonts w:hint="eastAsia" w:ascii="宋体" w:hAnsi="宋体" w:cs="宋体"/>
          <w:bCs/>
          <w:szCs w:val="21"/>
          <w:lang w:val="en-US" w:eastAsia="zh-CN"/>
        </w:rPr>
        <w:t>质量</w:t>
      </w:r>
      <w:r>
        <w:rPr>
          <w:rFonts w:hint="eastAsia" w:ascii="宋体" w:hAnsi="宋体" w:cs="宋体"/>
          <w:bCs/>
          <w:szCs w:val="21"/>
        </w:rPr>
        <w:t>奖项。④同一工程获得多个奖项的，按最高奖项计取，不重复计算。</w:t>
      </w:r>
    </w:p>
    <w:p>
      <w:pPr>
        <w:numPr>
          <w:ilvl w:val="0"/>
          <w:numId w:val="2"/>
        </w:numPr>
        <w:spacing w:line="300" w:lineRule="atLeast"/>
        <w:ind w:left="141" w:leftChars="67" w:right="113" w:rightChars="54"/>
        <w:rPr>
          <w:rFonts w:hint="eastAsia" w:ascii="宋体" w:hAnsi="宋体" w:cs="宋体"/>
        </w:rPr>
      </w:pPr>
      <w:r>
        <w:rPr>
          <w:rFonts w:hint="eastAsia" w:ascii="宋体" w:hAnsi="宋体" w:cs="宋体"/>
          <w:szCs w:val="21"/>
        </w:rPr>
        <w:t>总监理工程师</w:t>
      </w:r>
      <w:r>
        <w:rPr>
          <w:rFonts w:hint="eastAsia" w:ascii="宋体" w:hAnsi="宋体" w:cs="楷体"/>
          <w:kern w:val="0"/>
          <w:szCs w:val="21"/>
        </w:rPr>
        <w:t>业绩证明材料：需同时提供中标通知书或免招标的相关证明、监理合同、竣工验收报告或竣工验收证明</w:t>
      </w:r>
      <w:r>
        <w:rPr>
          <w:rFonts w:hint="eastAsia" w:ascii="宋体" w:hAnsi="宋体"/>
          <w:highlight w:val="none"/>
        </w:rPr>
        <w:t>（至少具有建设单位、设计、施工和监理单位盖章）</w:t>
      </w:r>
      <w:r>
        <w:rPr>
          <w:rFonts w:hint="eastAsia" w:ascii="宋体" w:hAnsi="宋体" w:cs="楷体"/>
          <w:kern w:val="0"/>
          <w:szCs w:val="21"/>
        </w:rPr>
        <w:t>清晰扫描件等证明材料，完成时间以竣工验收报告或竣工验收证明为准。如果上述资料未能清晰反映有关特征及必要信息的，还需提供由业主出具的加盖业主单位公章的证明材料扫描件。</w:t>
      </w:r>
    </w:p>
    <w:p>
      <w:pPr>
        <w:spacing w:line="300" w:lineRule="atLeast"/>
        <w:ind w:left="141" w:leftChars="67" w:right="113" w:rightChars="54"/>
        <w:rPr>
          <w:rFonts w:hint="eastAsia" w:ascii="宋体" w:hAnsi="宋体" w:cs="宋体"/>
          <w:szCs w:val="21"/>
        </w:rPr>
      </w:pPr>
      <w:r>
        <w:rPr>
          <w:rFonts w:hint="eastAsia" w:ascii="宋体" w:hAnsi="宋体" w:cs="宋体"/>
          <w:szCs w:val="21"/>
        </w:rPr>
        <w:t>4.总监理工程师奖项证明材料：①需提供获奖证书扫描件，获奖时间以获奖证书颁发日期为准。②国家级奖项指中国建设工程鲁班奖、国家优质工程金质奖、国家优质工程奖、中国土木工程詹天佑奖、国家AAA级安全文明标准化工地（或全国建设工程项目施工安全生产标准化工地）③</w:t>
      </w:r>
      <w:r>
        <w:rPr>
          <w:rFonts w:hint="eastAsia" w:ascii="宋体" w:hAnsi="宋体" w:cs="宋体"/>
          <w:bCs/>
          <w:szCs w:val="21"/>
        </w:rPr>
        <w:t>省级或市级奖项是指由建设行政主管部门或行业协会颁发（行业协会须在民政部门备案）的工程</w:t>
      </w:r>
      <w:r>
        <w:rPr>
          <w:rFonts w:hint="eastAsia" w:ascii="宋体" w:hAnsi="宋体" w:cs="宋体"/>
          <w:bCs/>
          <w:szCs w:val="21"/>
          <w:lang w:val="en-US" w:eastAsia="zh-CN"/>
        </w:rPr>
        <w:t>质量</w:t>
      </w:r>
      <w:r>
        <w:rPr>
          <w:rFonts w:hint="eastAsia" w:ascii="宋体" w:hAnsi="宋体" w:cs="宋体"/>
          <w:bCs/>
          <w:szCs w:val="21"/>
        </w:rPr>
        <w:t>奖项</w:t>
      </w:r>
      <w:r>
        <w:rPr>
          <w:rFonts w:hint="eastAsia" w:ascii="宋体" w:hAnsi="宋体" w:cs="宋体"/>
          <w:szCs w:val="21"/>
        </w:rPr>
        <w:t>④同一工程获得多个奖项的，按最高奖项计取，不重复计算。如上述证明资料不能证明</w:t>
      </w:r>
      <w:r>
        <w:rPr>
          <w:rFonts w:hint="eastAsia" w:ascii="宋体" w:hAnsi="宋体" w:cs="宋体"/>
          <w:szCs w:val="21"/>
          <w:lang w:eastAsia="zh-CN"/>
        </w:rPr>
        <w:t>作为总监职务</w:t>
      </w:r>
      <w:r>
        <w:rPr>
          <w:rFonts w:hint="eastAsia" w:ascii="宋体" w:hAnsi="宋体" w:cs="宋体"/>
          <w:szCs w:val="21"/>
        </w:rPr>
        <w:t>参与过房屋建筑工程项目监理的，还应提供其他相关证明材料。</w:t>
      </w:r>
    </w:p>
    <w:p>
      <w:pPr>
        <w:spacing w:line="300" w:lineRule="atLeast"/>
        <w:ind w:left="141" w:leftChars="67" w:right="113" w:rightChars="54"/>
        <w:rPr>
          <w:rFonts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bCs/>
          <w:szCs w:val="21"/>
        </w:rPr>
        <w:t>拟投入本项目总监理工程师和其他监理人员之间不得兼任，且须为投标单位在职职工（以社保证明为准），所有人员需提供相应证书扫描件以及</w:t>
      </w:r>
      <w:r>
        <w:rPr>
          <w:rFonts w:hint="eastAsia" w:ascii="宋体" w:hAnsi="宋体" w:cs="宋体"/>
          <w:szCs w:val="21"/>
        </w:rPr>
        <w:t>2023年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bCs/>
          <w:szCs w:val="21"/>
        </w:rPr>
        <w:t>的有效社保证明（社保证明需能反映参保人在该投标单位缴纳社保），否则不得分。</w:t>
      </w:r>
    </w:p>
    <w:p>
      <w:pPr>
        <w:spacing w:line="300" w:lineRule="atLeast"/>
        <w:ind w:left="141" w:leftChars="67" w:right="113" w:rightChars="54"/>
        <w:rPr>
          <w:rFonts w:hint="eastAsia" w:ascii="宋体" w:hAnsi="宋体" w:cs="宋体"/>
        </w:rPr>
      </w:pPr>
      <w:r>
        <w:rPr>
          <w:rFonts w:hint="eastAsia" w:ascii="宋体" w:hAnsi="宋体" w:cs="宋体"/>
          <w:lang w:val="en-US" w:eastAsia="zh-CN"/>
        </w:rPr>
        <w:t>6</w:t>
      </w:r>
      <w:r>
        <w:rPr>
          <w:rFonts w:hint="eastAsia" w:ascii="宋体" w:hAnsi="宋体" w:cs="宋体"/>
        </w:rPr>
        <w:t>.管理体系认证证明须同时提供认证证书扫描件以及国家认证认可监督管理委员会信息中心认证认可业务信息统一查询平台（http://cx.cnca.cn/）查询结果网页截图。证书均须在有效期内，否则不得分。</w:t>
      </w:r>
    </w:p>
    <w:p>
      <w:pPr>
        <w:spacing w:line="300" w:lineRule="atLeast"/>
        <w:ind w:left="141" w:leftChars="67" w:right="113" w:rightChars="54"/>
        <w:rPr>
          <w:rFonts w:hint="eastAsia" w:ascii="宋体" w:hAnsi="宋体" w:cs="宋体"/>
        </w:rPr>
      </w:pPr>
      <w:r>
        <w:rPr>
          <w:rFonts w:hint="eastAsia" w:ascii="宋体" w:hAnsi="宋体" w:cs="宋体"/>
          <w:lang w:val="en-US" w:eastAsia="zh-CN"/>
        </w:rPr>
        <w:t>7</w:t>
      </w:r>
      <w:r>
        <w:rPr>
          <w:rFonts w:hint="eastAsia" w:ascii="宋体" w:hAnsi="宋体" w:cs="宋体"/>
        </w:rPr>
        <w:t>.若投入的监理人员为退休人员，须提供退休证及有效的返聘合同扫描件，且注册证必须在有限期内。</w:t>
      </w:r>
    </w:p>
    <w:p>
      <w:pPr>
        <w:adjustRightInd/>
        <w:snapToGrid/>
        <w:spacing w:after="0" w:afterLines="-2147483648" w:line="300" w:lineRule="atLeast"/>
        <w:ind w:left="141" w:leftChars="67" w:right="113" w:rightChars="54"/>
        <w:jc w:val="left"/>
        <w:rPr>
          <w:rFonts w:hint="default" w:ascii="宋体" w:hAnsi="宋体" w:cs="宋体"/>
          <w:kern w:val="2"/>
          <w:szCs w:val="22"/>
        </w:rPr>
      </w:pPr>
      <w:r>
        <w:rPr>
          <w:rFonts w:hint="default" w:ascii="宋体" w:hAnsi="宋体" w:cs="宋体"/>
          <w:lang w:val="en-US" w:eastAsia="zh-CN"/>
        </w:rPr>
        <w:t>8</w:t>
      </w:r>
      <w:r>
        <w:rPr>
          <w:rFonts w:hint="default" w:ascii="宋体" w:hAnsi="宋体" w:cs="宋体"/>
        </w:rPr>
        <w:t>.纳税信用等级：</w:t>
      </w:r>
      <w:r>
        <w:rPr>
          <w:rFonts w:hint="default" w:ascii="宋体" w:hAnsi="宋体" w:cs="宋体"/>
          <w:kern w:val="2"/>
          <w:szCs w:val="22"/>
        </w:rPr>
        <w:t>A级纳税人称号情况以省级或以上税务局官网查询的相关截图为准，纳税人等级只计算投标人自身（不计算投标人的分公司和子公司）。投标人须提供在上述官网的查询结果网页扫描件（不符合条件或无提交上述扫描件的不计分）。</w:t>
      </w:r>
    </w:p>
    <w:p>
      <w:pPr>
        <w:adjustRightInd/>
        <w:snapToGrid/>
        <w:spacing w:after="0" w:afterLines="-2147483648" w:line="240" w:lineRule="auto"/>
        <w:ind w:left="0" w:leftChars="0" w:right="0" w:rightChars="0"/>
        <w:jc w:val="left"/>
        <w:rPr>
          <w:rFonts w:hint="eastAsia" w:ascii="宋体" w:hAnsi="宋体" w:cs="楷体"/>
          <w:kern w:val="0"/>
          <w:szCs w:val="21"/>
        </w:rPr>
      </w:pPr>
      <w:r>
        <w:rPr>
          <w:rFonts w:hint="eastAsia" w:ascii="宋体" w:hAnsi="宋体" w:cs="楷体"/>
          <w:kern w:val="0"/>
          <w:szCs w:val="21"/>
        </w:rPr>
        <w:br w:type="page"/>
      </w:r>
    </w:p>
    <w:p>
      <w:pPr>
        <w:pStyle w:val="9"/>
        <w:rPr>
          <w:color w:val="auto"/>
          <w:highlight w:val="none"/>
        </w:rPr>
      </w:pPr>
      <w:bookmarkStart w:id="300" w:name="_Toc529196583"/>
      <w:bookmarkStart w:id="301" w:name="_Toc515205256"/>
      <w:r>
        <w:rPr>
          <w:color w:val="auto"/>
          <w:highlight w:val="none"/>
        </w:rPr>
        <w:t>1. 评标方法</w:t>
      </w:r>
      <w:bookmarkEnd w:id="300"/>
      <w:bookmarkEnd w:id="301"/>
    </w:p>
    <w:p>
      <w:pPr>
        <w:spacing w:line="360" w:lineRule="auto"/>
        <w:ind w:firstLine="480" w:firstLineChars="200"/>
        <w:rPr>
          <w:rFonts w:hint="eastAsia" w:ascii="等线" w:hAnsi="等线" w:cs="宋体"/>
          <w:sz w:val="24"/>
          <w:szCs w:val="24"/>
          <w:u w:val="single"/>
        </w:rPr>
      </w:pPr>
      <w:r>
        <w:rPr>
          <w:rFonts w:hint="eastAsia" w:ascii="等线" w:hAnsi="等线" w:cs="宋体"/>
          <w:sz w:val="24"/>
          <w:szCs w:val="24"/>
          <w:u w:val="single"/>
        </w:rPr>
        <w:t>本次评标采用综合评估法。评标委员会对满足招标文件实质性要求的投标文件，按照本章规定的评分标准进行打分，并按得分由高到低顺序推荐前三名作为中标候选人，综合评分相等的，以投标人资信业绩得分高的优先；如果投标人资信业绩得分也相等，以报价得分高的优先；如果报价得分也相等，由评标委员会采用记名投票方式，以得票多的确定相等得分的中标候选人的排序。</w:t>
      </w:r>
    </w:p>
    <w:p>
      <w:pPr>
        <w:pStyle w:val="9"/>
        <w:rPr>
          <w:color w:val="auto"/>
          <w:highlight w:val="none"/>
        </w:rPr>
      </w:pPr>
      <w:bookmarkStart w:id="302" w:name="_Toc529196584"/>
      <w:bookmarkStart w:id="303" w:name="_Toc515205257"/>
      <w:r>
        <w:rPr>
          <w:color w:val="auto"/>
          <w:highlight w:val="none"/>
        </w:rPr>
        <w:t>2. 评审标准</w:t>
      </w:r>
      <w:bookmarkEnd w:id="302"/>
      <w:bookmarkEnd w:id="303"/>
    </w:p>
    <w:p>
      <w:pPr>
        <w:pStyle w:val="9"/>
        <w:ind w:firstLine="137"/>
        <w:rPr>
          <w:color w:val="auto"/>
          <w:highlight w:val="none"/>
        </w:rPr>
      </w:pPr>
      <w:bookmarkStart w:id="304" w:name="_Toc529196585"/>
      <w:bookmarkStart w:id="305" w:name="_Toc515205258"/>
      <w:r>
        <w:rPr>
          <w:color w:val="auto"/>
          <w:highlight w:val="none"/>
        </w:rPr>
        <w:t>2.1 初步评审标准</w:t>
      </w:r>
      <w:bookmarkEnd w:id="304"/>
      <w:bookmarkEnd w:id="30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2.1.1 形式评审标准：见评标办法前附表。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2.1.2 资格评审标准：见评标办法前附表。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2.1.3 响应性评审标准：见评标办法前附表。</w:t>
      </w:r>
    </w:p>
    <w:p>
      <w:pPr>
        <w:pStyle w:val="9"/>
        <w:ind w:firstLine="137"/>
        <w:rPr>
          <w:color w:val="auto"/>
          <w:highlight w:val="none"/>
        </w:rPr>
      </w:pPr>
      <w:bookmarkStart w:id="306" w:name="_Toc529196586"/>
      <w:bookmarkStart w:id="307" w:name="_Toc515205259"/>
      <w:r>
        <w:rPr>
          <w:color w:val="auto"/>
          <w:highlight w:val="none"/>
        </w:rPr>
        <w:t>2.2 分值构成与评分标准</w:t>
      </w:r>
      <w:bookmarkEnd w:id="306"/>
      <w:bookmarkEnd w:id="30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2.2.1 分值构成</w:t>
      </w:r>
      <w:r>
        <w:rPr>
          <w:rFonts w:hint="eastAsia" w:ascii="Times New Roman" w:hAnsi="Times New Roman"/>
          <w:color w:val="auto"/>
          <w:sz w:val="24"/>
          <w:highlight w:val="non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（1）资信业绩部分：见评标办法前附表；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（2）监理大纲部分：见评标办法前附表；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（3）投标报价：见评标办法前附表；</w:t>
      </w:r>
    </w:p>
    <w:p>
      <w:pPr>
        <w:spacing w:line="360" w:lineRule="auto"/>
        <w:ind w:firstLine="480" w:firstLineChars="200"/>
        <w:rPr>
          <w:rFonts w:ascii="Times New Roman" w:hAnsi="Times New Roman"/>
          <w:strike/>
          <w:dstrike w:val="0"/>
          <w:color w:val="auto"/>
          <w:sz w:val="24"/>
          <w:highlight w:val="none"/>
        </w:rPr>
      </w:pPr>
      <w:r>
        <w:rPr>
          <w:rFonts w:ascii="Times New Roman" w:hAnsi="Times New Roman"/>
          <w:strike/>
          <w:dstrike w:val="0"/>
          <w:color w:val="auto"/>
          <w:sz w:val="24"/>
          <w:highlight w:val="none"/>
        </w:rPr>
        <w:t>（4）其他评分因素：见评标办法前附表。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2.2.2 评标基准价计算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评标基准价计算方法：见评标办法前附表。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2.2.3 投标报价的偏差率计算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投标报价的偏差率计算公式：见评标办法前附表。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2.2.4 评分标准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（1）资信业绩评分标准：见评标办法前附表；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（2）监理大纲评分标准：见评标办法前附表；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（3）投标报价评分标准：见评标办法前附表；</w:t>
      </w:r>
    </w:p>
    <w:p>
      <w:pPr>
        <w:spacing w:line="360" w:lineRule="auto"/>
        <w:ind w:firstLine="480" w:firstLineChars="200"/>
        <w:rPr>
          <w:rFonts w:ascii="Times New Roman" w:hAnsi="Times New Roman"/>
          <w:strike/>
          <w:dstrike w:val="0"/>
          <w:color w:val="auto"/>
          <w:sz w:val="24"/>
          <w:highlight w:val="none"/>
        </w:rPr>
      </w:pPr>
      <w:r>
        <w:rPr>
          <w:rFonts w:ascii="Times New Roman" w:hAnsi="Times New Roman"/>
          <w:strike/>
          <w:dstrike w:val="0"/>
          <w:color w:val="auto"/>
          <w:sz w:val="24"/>
          <w:highlight w:val="none"/>
        </w:rPr>
        <w:t>（4）其他因素评分标准：见评标办法前附表。</w:t>
      </w:r>
    </w:p>
    <w:p>
      <w:pPr>
        <w:pStyle w:val="9"/>
        <w:rPr>
          <w:color w:val="auto"/>
          <w:highlight w:val="none"/>
        </w:rPr>
      </w:pPr>
      <w:bookmarkStart w:id="308" w:name="_Toc515205260"/>
      <w:bookmarkStart w:id="309" w:name="_Toc529196587"/>
      <w:r>
        <w:rPr>
          <w:color w:val="auto"/>
          <w:highlight w:val="none"/>
        </w:rPr>
        <w:t>3. 评标程序</w:t>
      </w:r>
      <w:bookmarkEnd w:id="308"/>
      <w:bookmarkEnd w:id="309"/>
    </w:p>
    <w:p>
      <w:pPr>
        <w:pStyle w:val="9"/>
        <w:ind w:firstLine="137"/>
        <w:rPr>
          <w:color w:val="auto"/>
          <w:highlight w:val="none"/>
        </w:rPr>
      </w:pPr>
      <w:bookmarkStart w:id="310" w:name="_Toc529196588"/>
      <w:bookmarkStart w:id="311" w:name="_Toc515205261"/>
      <w:r>
        <w:rPr>
          <w:color w:val="auto"/>
          <w:highlight w:val="none"/>
        </w:rPr>
        <w:t>3.1 初步评审</w:t>
      </w:r>
      <w:bookmarkEnd w:id="310"/>
      <w:bookmarkEnd w:id="31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3.1.2 投标人有以下情形之一的，评标委员会应当否决其投标：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（2）有串通投标、弄虚作假、行贿等违法行为。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3.1.3 投标报价有算术错误及其他错误的，评标委员会按以下原则要求投标人对投标报价进</w:t>
      </w:r>
      <w:bookmarkStart w:id="312" w:name="_Toc144974570"/>
      <w:bookmarkStart w:id="313" w:name="_Toc384308277"/>
      <w:bookmarkStart w:id="314" w:name="_Toc247527628"/>
      <w:bookmarkStart w:id="315" w:name="_Toc352691538"/>
      <w:bookmarkStart w:id="316" w:name="_Toc369531582"/>
      <w:bookmarkStart w:id="317" w:name="_Toc300835013"/>
      <w:bookmarkStart w:id="318" w:name="_Toc2907"/>
      <w:bookmarkStart w:id="319" w:name="_Toc152042380"/>
      <w:bookmarkStart w:id="320" w:name="_Toc247514027"/>
      <w:bookmarkStart w:id="321" w:name="_Toc361508651"/>
      <w:bookmarkStart w:id="322" w:name="_Toc152045603"/>
      <w:r>
        <w:rPr>
          <w:rFonts w:ascii="Times New Roman" w:hAnsi="Times New Roman"/>
          <w:color w:val="auto"/>
          <w:sz w:val="24"/>
          <w:highlight w:val="none"/>
        </w:rPr>
        <w:t>行修正，并要求投标人书面澄清确认。</w:t>
      </w:r>
      <w:bookmarkEnd w:id="312"/>
      <w:bookmarkEnd w:id="313"/>
      <w:bookmarkEnd w:id="314"/>
      <w:bookmarkEnd w:id="315"/>
      <w:bookmarkEnd w:id="316"/>
      <w:bookmarkEnd w:id="317"/>
      <w:bookmarkEnd w:id="318"/>
      <w:bookmarkEnd w:id="319"/>
      <w:bookmarkEnd w:id="320"/>
      <w:bookmarkEnd w:id="321"/>
      <w:bookmarkEnd w:id="322"/>
      <w:r>
        <w:rPr>
          <w:rFonts w:ascii="Times New Roman" w:hAnsi="Times New Roman"/>
          <w:color w:val="auto"/>
          <w:sz w:val="24"/>
          <w:highlight w:val="none"/>
        </w:rPr>
        <w:t>投标人拒不澄清确认的，评标委员会应当否决其投标：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（1）投标文件中的大写金额与小写金额不一致的，以大写金额为准；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（2）总价金额与单价金额不一致的，以单价金额为准，但单价金额小数点有明显错误的除外</w:t>
      </w:r>
      <w:r>
        <w:rPr>
          <w:rFonts w:hint="eastAsia" w:ascii="Times New Roman" w:hAnsi="Times New Roman"/>
          <w:color w:val="auto"/>
          <w:sz w:val="24"/>
          <w:highlight w:val="none"/>
        </w:rPr>
        <w:t>。</w:t>
      </w:r>
    </w:p>
    <w:p>
      <w:pPr>
        <w:spacing w:line="360" w:lineRule="auto"/>
        <w:ind w:firstLine="480" w:firstLineChars="200"/>
        <w:rPr>
          <w:color w:val="auto"/>
          <w:highlight w:val="none"/>
        </w:rPr>
      </w:pPr>
      <w:r>
        <w:rPr>
          <w:rFonts w:hint="eastAsia" w:ascii="宋体" w:hAnsi="宋体" w:cs="宋体"/>
          <w:color w:val="auto"/>
          <w:sz w:val="24"/>
          <w:szCs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pStyle w:val="9"/>
        <w:ind w:firstLine="137"/>
        <w:rPr>
          <w:color w:val="auto"/>
          <w:highlight w:val="none"/>
        </w:rPr>
      </w:pPr>
      <w:bookmarkStart w:id="323" w:name="_Toc515205262"/>
      <w:bookmarkStart w:id="324" w:name="_Toc529196589"/>
      <w:r>
        <w:rPr>
          <w:color w:val="auto"/>
          <w:highlight w:val="none"/>
        </w:rPr>
        <w:t>3.2 详细评审</w:t>
      </w:r>
      <w:bookmarkEnd w:id="323"/>
      <w:bookmarkEnd w:id="32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3.2.1 评标委员会按本章第2.2款规定的量化因素和分值进行打分，并计算出综合评估得分。</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（1）按本章第 2.2.4（1）目规定的评审因素和分值对资信业绩部分计算出得分 A；</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（2）按本章第 2.2.4（2）目规定的评审因素和分值对监理大纲部分计算出得分 B；</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（3）按本章第 2.2.4（3）目规定的评审因素和分值对投标报价计算出得分 C；</w:t>
      </w:r>
    </w:p>
    <w:p>
      <w:pPr>
        <w:spacing w:line="360" w:lineRule="auto"/>
        <w:ind w:firstLine="480" w:firstLineChars="200"/>
        <w:rPr>
          <w:rFonts w:ascii="Times New Roman" w:hAnsi="Times New Roman"/>
          <w:strike/>
          <w:dstrike w:val="0"/>
          <w:color w:val="auto"/>
          <w:sz w:val="24"/>
          <w:highlight w:val="none"/>
        </w:rPr>
      </w:pPr>
      <w:r>
        <w:rPr>
          <w:rFonts w:hint="eastAsia" w:ascii="Times New Roman" w:hAnsi="Times New Roman"/>
          <w:strike/>
          <w:dstrike w:val="0"/>
          <w:color w:val="auto"/>
          <w:sz w:val="24"/>
          <w:highlight w:val="none"/>
        </w:rPr>
        <w:t>（4）按本章第 2.2.4（4）目规定的评审因素和分值对其他部分计算出得分 D。</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3.2.2 评分分值计算保留小数点后两位，小数点后第三位“四舍五入”。</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3.2.3 </w:t>
      </w:r>
      <w:r>
        <w:rPr>
          <w:rFonts w:ascii="Times New Roman" w:hAnsi="Times New Roman"/>
          <w:color w:val="auto"/>
          <w:sz w:val="24"/>
          <w:highlight w:val="none"/>
          <w:u w:val="single"/>
        </w:rPr>
        <w:t>投标人得分=A+B+C</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9"/>
        <w:ind w:firstLine="137"/>
        <w:rPr>
          <w:color w:val="auto"/>
          <w:highlight w:val="none"/>
        </w:rPr>
      </w:pPr>
      <w:bookmarkStart w:id="325" w:name="_Toc529196590"/>
      <w:bookmarkStart w:id="326" w:name="_Toc515205263"/>
      <w:r>
        <w:rPr>
          <w:color w:val="auto"/>
          <w:highlight w:val="none"/>
        </w:rPr>
        <w:t>3.3 投标文件的澄清</w:t>
      </w:r>
      <w:bookmarkEnd w:id="325"/>
      <w:bookmarkEnd w:id="32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3.3.2 澄清、说明或补正不得超出投标文件的范围且不得改变投标文件的实质性内容，并构成投标文件的组成部分。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3.3.3 评标委员会对投标人提交的澄清、说明或补正有疑问的，可以要求投标人进一步澄清、说明或补正，直至满足评标委员会的要求。</w:t>
      </w:r>
    </w:p>
    <w:p>
      <w:pPr>
        <w:pStyle w:val="9"/>
        <w:ind w:firstLine="137"/>
        <w:rPr>
          <w:color w:val="auto"/>
          <w:highlight w:val="none"/>
        </w:rPr>
      </w:pPr>
      <w:bookmarkStart w:id="327" w:name="_Toc515205264"/>
      <w:bookmarkStart w:id="328" w:name="_Toc529196591"/>
      <w:r>
        <w:rPr>
          <w:color w:val="auto"/>
          <w:highlight w:val="none"/>
        </w:rPr>
        <w:t>3.4 评标结果</w:t>
      </w:r>
      <w:bookmarkEnd w:id="327"/>
      <w:bookmarkEnd w:id="328"/>
    </w:p>
    <w:p>
      <w:pPr>
        <w:spacing w:line="360" w:lineRule="auto"/>
        <w:ind w:firstLine="480" w:firstLineChars="200"/>
        <w:rPr>
          <w:rFonts w:ascii="Times New Roman" w:hAnsi="Times New Roman"/>
          <w:b/>
          <w:color w:val="auto"/>
          <w:sz w:val="24"/>
          <w:highlight w:val="none"/>
        </w:rPr>
      </w:pPr>
      <w:r>
        <w:rPr>
          <w:rFonts w:ascii="Times New Roman" w:hAnsi="Times New Roman"/>
          <w:color w:val="auto"/>
          <w:sz w:val="24"/>
          <w:highlight w:val="none"/>
        </w:rPr>
        <w:t>3.</w:t>
      </w:r>
      <w:r>
        <w:rPr>
          <w:rFonts w:ascii="Times New Roman" w:hAnsi="Times New Roman" w:eastAsia="黑体"/>
          <w:color w:val="auto"/>
          <w:sz w:val="24"/>
          <w:highlight w:val="none"/>
        </w:rPr>
        <w:t xml:space="preserve">4.1 </w:t>
      </w:r>
      <w:r>
        <w:rPr>
          <w:rFonts w:ascii="Times New Roman" w:hAnsi="Times New Roman"/>
          <w:color w:val="auto"/>
          <w:sz w:val="24"/>
          <w:highlight w:val="none"/>
        </w:rPr>
        <w:t>除第二章“投标人须知”前附表授权直接确定中标人外，评标委员会按照得分由高到低的顺序推荐中标候选人，并标明排序。</w:t>
      </w:r>
    </w:p>
    <w:p>
      <w:pPr>
        <w:spacing w:line="360" w:lineRule="auto"/>
        <w:ind w:firstLine="482"/>
        <w:rPr>
          <w:rFonts w:ascii="Times New Roman" w:hAnsi="Times New Roman"/>
          <w:color w:val="auto"/>
          <w:sz w:val="24"/>
          <w:highlight w:val="none"/>
        </w:rPr>
      </w:pPr>
      <w:r>
        <w:rPr>
          <w:rFonts w:ascii="Times New Roman" w:hAnsi="Times New Roman"/>
          <w:color w:val="auto"/>
          <w:sz w:val="24"/>
          <w:highlight w:val="none"/>
        </w:rPr>
        <w:t>3.4.2 评标委员会完成评标后，应当向招标人提交书面评标报告和中标候选人名单。</w:t>
      </w:r>
    </w:p>
    <w:p>
      <w:pPr>
        <w:rPr>
          <w:rFonts w:ascii="Times New Roman" w:hAnsi="Times New Roman"/>
          <w:color w:val="auto"/>
          <w:highlight w:val="none"/>
        </w:rPr>
      </w:pPr>
      <w:r>
        <w:rPr>
          <w:rFonts w:hint="eastAsia" w:ascii="Times New Roman" w:hAnsi="Times New Roman"/>
          <w:color w:val="auto"/>
          <w:highlight w:val="none"/>
        </w:rPr>
        <w:br w:type="page"/>
      </w:r>
    </w:p>
    <w:p>
      <w:pPr>
        <w:rPr>
          <w:rFonts w:ascii="Times New Roman" w:hAnsi="Times New Roman"/>
          <w:color w:val="auto"/>
          <w:highlight w:val="none"/>
        </w:rPr>
      </w:pPr>
    </w:p>
    <w:p>
      <w:pPr>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502" w:lineRule="exact"/>
        <w:jc w:val="center"/>
        <w:outlineLvl w:val="0"/>
        <w:rPr>
          <w:rFonts w:ascii="Times New Roman" w:hAnsi="Times New Roman"/>
          <w:b/>
          <w:color w:val="auto"/>
          <w:sz w:val="44"/>
          <w:highlight w:val="none"/>
        </w:rPr>
      </w:pPr>
      <w:bookmarkStart w:id="329" w:name="_Toc530728908"/>
      <w:bookmarkStart w:id="330" w:name="_Toc15836"/>
      <w:r>
        <w:rPr>
          <w:rFonts w:ascii="Times New Roman" w:hAnsi="Times New Roman"/>
          <w:b/>
          <w:color w:val="auto"/>
          <w:sz w:val="44"/>
          <w:highlight w:val="none"/>
        </w:rPr>
        <w:t>第四章</w:t>
      </w:r>
      <w:r>
        <w:rPr>
          <w:rFonts w:hint="eastAsia" w:ascii="Times New Roman" w:hAnsi="Times New Roman"/>
          <w:b/>
          <w:color w:val="auto"/>
          <w:sz w:val="44"/>
          <w:highlight w:val="none"/>
        </w:rPr>
        <w:t xml:space="preserve"> </w:t>
      </w:r>
      <w:r>
        <w:rPr>
          <w:rFonts w:ascii="Times New Roman" w:hAnsi="Times New Roman"/>
          <w:b/>
          <w:color w:val="auto"/>
          <w:sz w:val="44"/>
          <w:highlight w:val="none"/>
        </w:rPr>
        <w:t>合同条款及格式</w:t>
      </w:r>
      <w:bookmarkEnd w:id="329"/>
      <w:bookmarkEnd w:id="330"/>
    </w:p>
    <w:p>
      <w:pPr>
        <w:spacing w:line="324" w:lineRule="exact"/>
        <w:rPr>
          <w:rFonts w:ascii="Times New Roman" w:hAnsi="Times New Roman" w:eastAsia="Times New Roman"/>
          <w:color w:val="auto"/>
          <w:highlight w:val="none"/>
        </w:rPr>
      </w:pPr>
    </w:p>
    <w:p>
      <w:pPr>
        <w:spacing w:before="120" w:after="120" w:line="360" w:lineRule="auto"/>
        <w:jc w:val="center"/>
        <w:rPr>
          <w:rFonts w:ascii="Times New Roman" w:hAnsi="Times New Roman"/>
          <w:color w:val="auto"/>
          <w:highlight w:val="none"/>
        </w:rPr>
        <w:sectPr>
          <w:pgSz w:w="11907" w:h="16839"/>
          <w:pgMar w:top="1440" w:right="1440" w:bottom="1418" w:left="1440" w:header="993" w:footer="749" w:gutter="0"/>
          <w:pgNumType w:fmt="decimal"/>
          <w:cols w:space="720" w:num="1"/>
          <w:titlePg/>
          <w:docGrid w:linePitch="360" w:charSpace="0"/>
        </w:sectPr>
      </w:pPr>
      <w:r>
        <w:rPr>
          <w:rFonts w:hint="eastAsia" w:ascii="Times New Roman" w:hAnsi="Times New Roman"/>
          <w:b/>
          <w:bCs/>
          <w:color w:val="auto"/>
          <w:sz w:val="32"/>
          <w:szCs w:val="32"/>
          <w:highlight w:val="none"/>
        </w:rPr>
        <w:t>（另册</w:t>
      </w:r>
      <w:r>
        <w:rPr>
          <w:rFonts w:ascii="Times New Roman" w:hAnsi="Times New Roman"/>
          <w:b/>
          <w:bCs/>
          <w:color w:val="auto"/>
          <w:sz w:val="32"/>
          <w:szCs w:val="32"/>
          <w:highlight w:val="none"/>
        </w:rPr>
        <w:t>）</w:t>
      </w:r>
    </w:p>
    <w:p>
      <w:pPr>
        <w:numPr>
          <w:ilvl w:val="0"/>
          <w:numId w:val="3"/>
        </w:numPr>
        <w:spacing w:line="324" w:lineRule="auto"/>
        <w:jc w:val="center"/>
        <w:outlineLvl w:val="0"/>
        <w:rPr>
          <w:rFonts w:ascii="Times New Roman" w:hAnsi="Times New Roman"/>
          <w:b/>
          <w:color w:val="auto"/>
          <w:sz w:val="43"/>
          <w:highlight w:val="none"/>
        </w:rPr>
      </w:pPr>
      <w:bookmarkStart w:id="331" w:name="_Toc8995"/>
      <w:bookmarkStart w:id="332" w:name="_Toc530728910"/>
      <w:r>
        <w:rPr>
          <w:rFonts w:ascii="Times New Roman" w:hAnsi="Times New Roman"/>
          <w:b/>
          <w:color w:val="auto"/>
          <w:sz w:val="43"/>
          <w:highlight w:val="none"/>
        </w:rPr>
        <w:t>委托人要求</w:t>
      </w:r>
      <w:bookmarkEnd w:id="331"/>
      <w:bookmarkEnd w:id="332"/>
      <w:bookmarkStart w:id="333" w:name="_Toc530728913"/>
    </w:p>
    <w:p>
      <w:pPr>
        <w:spacing w:line="324" w:lineRule="auto"/>
        <w:rPr>
          <w:rFonts w:ascii="宋体" w:cs="宋体"/>
          <w:b/>
          <w:bCs/>
          <w:color w:val="auto"/>
          <w:sz w:val="24"/>
          <w:szCs w:val="24"/>
          <w:highlight w:val="none"/>
        </w:rPr>
      </w:pPr>
    </w:p>
    <w:p>
      <w:pPr>
        <w:spacing w:line="360" w:lineRule="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一、</w:t>
      </w:r>
      <w:r>
        <w:rPr>
          <w:rFonts w:hint="eastAsia" w:ascii="宋体" w:hAnsi="宋体" w:cs="宋体"/>
          <w:b/>
          <w:bCs/>
          <w:color w:val="auto"/>
          <w:sz w:val="28"/>
          <w:szCs w:val="28"/>
          <w:highlight w:val="none"/>
          <w:lang w:val="en-US" w:eastAsia="zh-CN"/>
        </w:rPr>
        <w:t>项目概况</w:t>
      </w:r>
    </w:p>
    <w:p>
      <w:pPr>
        <w:tabs>
          <w:tab w:val="left" w:pos="7513"/>
        </w:tabs>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项目名称：</w:t>
      </w:r>
      <w:r>
        <w:rPr>
          <w:rFonts w:hint="eastAsia" w:ascii="宋体" w:hAnsi="宋体"/>
          <w:color w:val="auto"/>
          <w:sz w:val="24"/>
          <w:szCs w:val="24"/>
          <w:highlight w:val="none"/>
          <w:u w:val="single"/>
          <w:lang w:eastAsia="zh-CN"/>
        </w:rPr>
        <w:t>越秀区城市更新改造补短板项目（二期）——中心城区品质化提升项目（梅花村街老旧小区改造）</w:t>
      </w:r>
      <w:r>
        <w:rPr>
          <w:rFonts w:hint="eastAsia" w:ascii="宋体" w:hAnsi="宋体" w:cs="宋体"/>
          <w:color w:val="auto"/>
          <w:sz w:val="24"/>
          <w:szCs w:val="24"/>
          <w:highlight w:val="none"/>
          <w:u w:val="single"/>
          <w:lang w:eastAsia="zh-CN"/>
        </w:rPr>
        <w:t>监理</w:t>
      </w:r>
    </w:p>
    <w:p>
      <w:pPr>
        <w:tabs>
          <w:tab w:val="left" w:pos="7513"/>
        </w:tabs>
        <w:spacing w:line="360" w:lineRule="auto"/>
        <w:ind w:left="0" w:leftChars="0" w:firstLine="420" w:firstLineChars="175"/>
        <w:rPr>
          <w:rFonts w:hint="eastAsia" w:ascii="宋体" w:hAnsi="宋体"/>
          <w:color w:val="auto"/>
          <w:sz w:val="24"/>
          <w:szCs w:val="24"/>
          <w:highlight w:val="none"/>
          <w:u w:val="single"/>
          <w:lang w:val="en-US" w:eastAsia="zh-CN"/>
        </w:rPr>
      </w:pPr>
      <w:bookmarkStart w:id="334" w:name="_Hlk81225705"/>
      <w:r>
        <w:rPr>
          <w:rFonts w:ascii="宋体" w:hAnsi="宋体"/>
          <w:color w:val="auto"/>
          <w:sz w:val="24"/>
          <w:szCs w:val="24"/>
          <w:highlight w:val="none"/>
        </w:rPr>
        <w:t>工程建设规模：</w:t>
      </w:r>
      <w:r>
        <w:rPr>
          <w:rFonts w:hint="eastAsia" w:ascii="宋体" w:hAnsi="宋体"/>
          <w:color w:val="auto"/>
          <w:sz w:val="24"/>
          <w:szCs w:val="24"/>
          <w:highlight w:val="none"/>
          <w:u w:val="single"/>
          <w:lang w:val="en-US" w:eastAsia="zh-CN"/>
        </w:rPr>
        <w:t>项目提升范围面积约22.48公顷，</w:t>
      </w:r>
      <w:r>
        <w:rPr>
          <w:rFonts w:hint="eastAsia" w:ascii="宋体" w:hAnsi="宋体" w:eastAsia="宋体" w:cs="宋体"/>
          <w:sz w:val="24"/>
          <w:szCs w:val="24"/>
          <w:u w:val="single"/>
          <w:lang w:val="en-US" w:eastAsia="zh-CN"/>
        </w:rPr>
        <w:t>本</w:t>
      </w:r>
      <w:r>
        <w:rPr>
          <w:rFonts w:hint="eastAsia" w:ascii="宋体" w:hAnsi="宋体"/>
          <w:color w:val="auto"/>
          <w:sz w:val="24"/>
          <w:szCs w:val="24"/>
          <w:highlight w:val="none"/>
          <w:u w:val="single"/>
          <w:lang w:val="en-US" w:eastAsia="zh-CN"/>
        </w:rPr>
        <w:t>项目改造面积共136394㎡。</w:t>
      </w:r>
      <w:r>
        <w:rPr>
          <w:rFonts w:hint="eastAsia" w:ascii="宋体" w:hAnsi="宋体"/>
          <w:color w:val="auto"/>
          <w:sz w:val="24"/>
          <w:szCs w:val="24"/>
          <w:highlight w:val="none"/>
          <w:u w:val="single"/>
        </w:rPr>
        <w:t>本项目规模属于一般公共建筑复杂程度中型：一般标准的建筑环境设计和室外工程</w:t>
      </w:r>
      <w:r>
        <w:rPr>
          <w:rFonts w:hint="eastAsia" w:ascii="宋体" w:hAnsi="宋体"/>
          <w:color w:val="auto"/>
          <w:sz w:val="24"/>
          <w:szCs w:val="24"/>
          <w:highlight w:val="none"/>
          <w:u w:val="single"/>
          <w:lang w:val="en-US" w:eastAsia="zh-CN"/>
        </w:rPr>
        <w:t>。建设内容主要为房屋建筑本体改造：包括维修安装楼栋门（针对此前未更换或维修楼栋）、楼栋外立面修缮与整饰（主要针对首层界面，含户外构造构件、防盗网、遮阳棚、外立面整饰），楼栋化粪池改造，楼道照明设施改造（针对此前未更换或未安装楼栋）、消防设施改造（增设或完善楼道消防栓箱配置）、楼梯和公共空间更新改造（针对此前未改造楼栋、含墙面翻新、增加楼道踢脚线）、楼道无障碍及适老化设施（增加）；</w:t>
      </w:r>
    </w:p>
    <w:p>
      <w:pPr>
        <w:tabs>
          <w:tab w:val="left" w:pos="7513"/>
        </w:tabs>
        <w:spacing w:line="360" w:lineRule="auto"/>
        <w:ind w:left="0" w:leftChars="0" w:firstLine="420" w:firstLineChars="175"/>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社区公共部分改造：小区出入口整治（巷口空间，含入口标识、地面高差处理、首层界面改造、老旧雨棚更换），小区围墙修缮及整饰，小区通透围墙更换，“三线”规整（增设格栅遮蔽），小区道路（小区内部路面铺装，含地灯&amp;彩化图案设计、排水设计、高差处理），弱电下地；巷门改造；公共运动健身区域改造（安全体育设施，含人行安全设施、无障碍适幼设施、康体设施、休憩设施）；公共休憩交往空间改造（含树池改造，增加休憩座椅、公共照明、景墙、商业灯箱设施等）；非机动车停放区改造（结合智慧充电桩等）；社区街巷空间改造，提升片区公共空间品质及艺术氛围（含海绵城市建设：透水铺装、排水设计，围墙改造，公共照明、首层界面改造）等内容。</w:t>
      </w:r>
    </w:p>
    <w:p>
      <w:pPr>
        <w:pStyle w:val="2"/>
        <w:rPr>
          <w:rFonts w:ascii="宋体" w:hAnsi="宋体"/>
          <w:color w:val="auto"/>
          <w:sz w:val="24"/>
          <w:highlight w:val="none"/>
          <w:u w:val="single"/>
        </w:rPr>
      </w:pPr>
      <w:r>
        <w:rPr>
          <w:rFonts w:ascii="宋体" w:hAnsi="宋体"/>
          <w:color w:val="auto"/>
          <w:sz w:val="24"/>
          <w:highlight w:val="none"/>
        </w:rPr>
        <w:t>工程建设地点：</w:t>
      </w:r>
      <w:r>
        <w:rPr>
          <w:rFonts w:hint="eastAsia" w:ascii="宋体" w:hAnsi="宋体"/>
          <w:color w:val="auto"/>
          <w:sz w:val="24"/>
          <w:highlight w:val="none"/>
          <w:u w:val="single"/>
        </w:rPr>
        <w:t>广州市越秀区梅花村街道辖内</w:t>
      </w:r>
      <w:r>
        <w:rPr>
          <w:rFonts w:hint="eastAsia" w:ascii="宋体" w:hAnsi="宋体"/>
          <w:color w:val="auto"/>
          <w:sz w:val="24"/>
          <w:highlight w:val="none"/>
          <w:u w:val="single"/>
          <w:lang w:eastAsia="zh-CN"/>
        </w:rPr>
        <w:t>。</w:t>
      </w:r>
    </w:p>
    <w:bookmarkEnd w:id="334"/>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olor w:val="auto"/>
          <w:sz w:val="24"/>
          <w:szCs w:val="24"/>
          <w:highlight w:val="none"/>
          <w:lang w:val="en-US" w:eastAsia="zh-CN"/>
        </w:rPr>
        <w:t>监理</w:t>
      </w:r>
      <w:r>
        <w:rPr>
          <w:rFonts w:ascii="宋体" w:hAnsi="宋体"/>
          <w:color w:val="auto"/>
          <w:sz w:val="24"/>
          <w:szCs w:val="24"/>
          <w:highlight w:val="none"/>
        </w:rPr>
        <w:t>范围：</w:t>
      </w:r>
      <w:r>
        <w:rPr>
          <w:rFonts w:hint="eastAsia" w:ascii="宋体" w:hAnsi="宋体"/>
          <w:color w:val="auto"/>
          <w:sz w:val="24"/>
          <w:szCs w:val="24"/>
          <w:highlight w:val="none"/>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监理</w:t>
      </w:r>
      <w:r>
        <w:rPr>
          <w:rFonts w:ascii="宋体" w:hAnsi="宋体"/>
          <w:color w:val="auto"/>
          <w:sz w:val="24"/>
          <w:szCs w:val="24"/>
          <w:highlight w:val="none"/>
        </w:rPr>
        <w:t>服务</w:t>
      </w:r>
      <w:r>
        <w:rPr>
          <w:rFonts w:hint="eastAsia" w:ascii="宋体" w:hAnsi="宋体"/>
          <w:color w:val="auto"/>
          <w:sz w:val="24"/>
          <w:szCs w:val="24"/>
          <w:highlight w:val="none"/>
        </w:rPr>
        <w:t>期限</w:t>
      </w:r>
      <w:r>
        <w:rPr>
          <w:rFonts w:ascii="宋体" w:hAnsi="宋体"/>
          <w:color w:val="auto"/>
          <w:sz w:val="24"/>
          <w:szCs w:val="24"/>
          <w:highlight w:val="none"/>
        </w:rPr>
        <w:t>：</w:t>
      </w:r>
      <w:r>
        <w:rPr>
          <w:rFonts w:hint="eastAsia" w:ascii="宋体" w:hAnsi="宋体"/>
          <w:color w:val="auto"/>
          <w:sz w:val="24"/>
          <w:szCs w:val="24"/>
          <w:highlight w:val="none"/>
          <w:u w:val="single"/>
        </w:rPr>
        <w:t>自监理人收到中标通知书或参加由招标人组织的第一次进场动员会之日起算，至所有工程保修期结束且办妥竣工结算（此处指终审部门的竣工结算）止。</w:t>
      </w:r>
    </w:p>
    <w:p>
      <w:pPr>
        <w:pStyle w:val="8"/>
      </w:pPr>
    </w:p>
    <w:p>
      <w:pPr>
        <w:pStyle w:val="2"/>
      </w:pP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二、工期要求</w:t>
      </w:r>
    </w:p>
    <w:p>
      <w:pPr>
        <w:pStyle w:val="2"/>
        <w:ind w:firstLine="513" w:firstLineChars="214"/>
        <w:rPr>
          <w:rFonts w:ascii="宋体" w:hAnsi="宋体" w:cs="宋体"/>
          <w:b/>
          <w:bCs/>
          <w:color w:val="auto"/>
          <w:sz w:val="28"/>
          <w:szCs w:val="28"/>
          <w:highlight w:val="none"/>
        </w:rPr>
      </w:pPr>
      <w:r>
        <w:rPr>
          <w:rFonts w:hint="eastAsia" w:ascii="宋体" w:hAnsi="宋体" w:cs="宋体"/>
          <w:color w:val="auto"/>
          <w:sz w:val="24"/>
          <w:highlight w:val="none"/>
        </w:rPr>
        <w:t>预计开工日期：开工时间暂定（具体开工时间以甲方通知为准）；</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三、质量目标</w:t>
      </w:r>
    </w:p>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一次验收合格。</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四、职业健康安全管理目标</w:t>
      </w:r>
    </w:p>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五、环境管理目标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color w:val="auto"/>
          <w:sz w:val="28"/>
          <w:szCs w:val="28"/>
          <w:highlight w:val="none"/>
        </w:rPr>
      </w:pPr>
      <w:bookmarkStart w:id="335" w:name="_Toc32412_WPSOffice_Level2"/>
      <w:bookmarkStart w:id="336" w:name="_Toc31879_WPSOffice_Level2"/>
      <w:bookmarkStart w:id="337" w:name="_Toc31510"/>
      <w:bookmarkStart w:id="338" w:name="_Toc5884"/>
      <w:bookmarkStart w:id="339" w:name="_Toc2359"/>
      <w:r>
        <w:rPr>
          <w:rFonts w:hint="eastAsia" w:ascii="宋体" w:hAnsi="宋体" w:cs="宋体"/>
          <w:b/>
          <w:bCs/>
          <w:color w:val="auto"/>
          <w:sz w:val="28"/>
          <w:szCs w:val="28"/>
          <w:highlight w:val="none"/>
        </w:rPr>
        <w:t>六、委托人的其他要求</w:t>
      </w:r>
      <w:bookmarkEnd w:id="335"/>
      <w:bookmarkEnd w:id="336"/>
      <w:bookmarkEnd w:id="337"/>
      <w:bookmarkEnd w:id="338"/>
      <w:bookmarkEnd w:id="339"/>
    </w:p>
    <w:p>
      <w:pPr>
        <w:rPr>
          <w:rFonts w:hint="eastAsia" w:ascii="宋体" w:hAnsi="宋体" w:cs="宋体"/>
          <w:color w:val="auto"/>
          <w:sz w:val="24"/>
          <w:szCs w:val="24"/>
          <w:highlight w:val="none"/>
        </w:rPr>
      </w:pPr>
      <w:r>
        <w:rPr>
          <w:rFonts w:hint="eastAsia" w:ascii="宋体" w:hAnsi="宋体" w:cs="宋体"/>
          <w:color w:val="auto"/>
          <w:sz w:val="24"/>
          <w:szCs w:val="24"/>
          <w:highlight w:val="none"/>
        </w:rPr>
        <w:t>委托人的其他要求：其他要求详见</w:t>
      </w:r>
      <w:r>
        <w:rPr>
          <w:rFonts w:hint="eastAsia" w:ascii="宋体" w:hAnsi="宋体" w:cs="宋体"/>
          <w:color w:val="auto"/>
          <w:sz w:val="24"/>
          <w:szCs w:val="24"/>
          <w:highlight w:val="none"/>
          <w:lang w:val="en-US" w:eastAsia="zh-CN"/>
        </w:rPr>
        <w:t>附件一及</w:t>
      </w:r>
      <w:r>
        <w:rPr>
          <w:rFonts w:hint="eastAsia" w:ascii="宋体" w:hAnsi="宋体" w:cs="宋体"/>
          <w:color w:val="auto"/>
          <w:sz w:val="24"/>
          <w:szCs w:val="24"/>
          <w:highlight w:val="none"/>
        </w:rPr>
        <w:t>监理合同。</w:t>
      </w:r>
    </w:p>
    <w:p>
      <w:pPr>
        <w:pStyle w:val="27"/>
        <w:rPr>
          <w:rFonts w:hint="eastAsia" w:ascii="宋体" w:hAnsi="宋体" w:cs="宋体"/>
          <w:color w:val="auto"/>
          <w:sz w:val="24"/>
          <w:szCs w:val="24"/>
          <w:highlight w:val="none"/>
        </w:rPr>
      </w:pPr>
    </w:p>
    <w:p>
      <w:pPr>
        <w:pStyle w:val="27"/>
        <w:rPr>
          <w:rFonts w:hint="eastAsia" w:ascii="宋体" w:hAnsi="宋体" w:cs="宋体"/>
          <w:color w:val="auto"/>
          <w:sz w:val="24"/>
          <w:szCs w:val="24"/>
          <w:highlight w:val="none"/>
          <w:lang w:val="en-US" w:eastAsia="zh-CN"/>
        </w:rPr>
      </w:pPr>
    </w:p>
    <w:p>
      <w:pPr>
        <w:pStyle w:val="27"/>
        <w:rPr>
          <w:rFonts w:hint="eastAsia" w:ascii="宋体" w:hAnsi="宋体" w:cs="宋体"/>
          <w:color w:val="auto"/>
          <w:sz w:val="24"/>
          <w:szCs w:val="24"/>
          <w:highlight w:val="none"/>
          <w:lang w:val="en-US" w:eastAsia="zh-CN"/>
        </w:rPr>
      </w:pPr>
    </w:p>
    <w:p>
      <w:pPr>
        <w:pStyle w:val="27"/>
        <w:rPr>
          <w:rFonts w:hint="eastAsia" w:ascii="宋体" w:hAnsi="宋体" w:cs="宋体"/>
          <w:color w:val="auto"/>
          <w:sz w:val="24"/>
          <w:szCs w:val="24"/>
          <w:highlight w:val="none"/>
          <w:lang w:val="en-US" w:eastAsia="zh-CN"/>
        </w:rPr>
      </w:pPr>
    </w:p>
    <w:p>
      <w:pPr>
        <w:pStyle w:val="27"/>
        <w:rPr>
          <w:rFonts w:hint="eastAsia" w:ascii="宋体" w:hAnsi="宋体" w:cs="宋体"/>
          <w:color w:val="auto"/>
          <w:sz w:val="24"/>
          <w:szCs w:val="24"/>
          <w:highlight w:val="none"/>
          <w:lang w:val="en-US" w:eastAsia="zh-CN"/>
        </w:rPr>
      </w:pPr>
    </w:p>
    <w:p>
      <w:pPr>
        <w:pStyle w:val="27"/>
        <w:rPr>
          <w:rFonts w:hint="eastAsia" w:ascii="宋体" w:hAnsi="宋体" w:cs="宋体"/>
          <w:color w:val="auto"/>
          <w:sz w:val="24"/>
          <w:szCs w:val="24"/>
          <w:highlight w:val="none"/>
          <w:lang w:val="en-US" w:eastAsia="zh-CN"/>
        </w:rPr>
      </w:pPr>
    </w:p>
    <w:p>
      <w:pPr>
        <w:pStyle w:val="27"/>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p>
      <w:pPr>
        <w:topLinePunct/>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监理人员组成应满足或优于下表的最低基本要求。</w:t>
      </w:r>
    </w:p>
    <w:p>
      <w:pPr>
        <w:tabs>
          <w:tab w:val="left" w:pos="720"/>
        </w:tabs>
        <w:snapToGrid w:val="0"/>
        <w:spacing w:line="360" w:lineRule="auto"/>
        <w:jc w:val="center"/>
        <w:outlineLvl w:val="0"/>
        <w:rPr>
          <w:rFonts w:ascii="宋体" w:hAnsi="宋体" w:cs="仿宋"/>
          <w:bCs/>
          <w:szCs w:val="21"/>
        </w:rPr>
      </w:pPr>
      <w:r>
        <w:rPr>
          <w:rFonts w:hint="eastAsia" w:ascii="宋体" w:hAnsi="宋体" w:cs="仿宋"/>
          <w:bCs/>
          <w:szCs w:val="21"/>
        </w:rPr>
        <w:t>项目监理人员组成配备要求表</w:t>
      </w:r>
    </w:p>
    <w:tbl>
      <w:tblPr>
        <w:tblStyle w:val="40"/>
        <w:tblW w:w="4993" w:type="pct"/>
        <w:jc w:val="center"/>
        <w:tblLayout w:type="fixed"/>
        <w:tblCellMar>
          <w:top w:w="0" w:type="dxa"/>
          <w:left w:w="108" w:type="dxa"/>
          <w:bottom w:w="0" w:type="dxa"/>
          <w:right w:w="108" w:type="dxa"/>
        </w:tblCellMar>
      </w:tblPr>
      <w:tblGrid>
        <w:gridCol w:w="3247"/>
        <w:gridCol w:w="1148"/>
        <w:gridCol w:w="4835"/>
      </w:tblGrid>
      <w:tr>
        <w:tblPrEx>
          <w:tblCellMar>
            <w:top w:w="0" w:type="dxa"/>
            <w:left w:w="108" w:type="dxa"/>
            <w:bottom w:w="0" w:type="dxa"/>
            <w:right w:w="108" w:type="dxa"/>
          </w:tblCellMar>
        </w:tblPrEx>
        <w:trPr>
          <w:trHeight w:val="529" w:hRule="atLeast"/>
          <w:jc w:val="center"/>
        </w:trPr>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岗位</w:t>
            </w:r>
          </w:p>
        </w:tc>
        <w:tc>
          <w:tcPr>
            <w:tcW w:w="1058"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数量</w:t>
            </w:r>
          </w:p>
        </w:tc>
        <w:tc>
          <w:tcPr>
            <w:tcW w:w="4458"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要求</w:t>
            </w:r>
          </w:p>
        </w:tc>
      </w:tr>
      <w:tr>
        <w:tblPrEx>
          <w:tblCellMar>
            <w:top w:w="0" w:type="dxa"/>
            <w:left w:w="108" w:type="dxa"/>
            <w:bottom w:w="0" w:type="dxa"/>
            <w:right w:w="108" w:type="dxa"/>
          </w:tblCellMar>
        </w:tblPrEx>
        <w:trPr>
          <w:trHeight w:val="705" w:hRule="atLeast"/>
          <w:jc w:val="center"/>
        </w:trPr>
        <w:tc>
          <w:tcPr>
            <w:tcW w:w="299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总监理工程师</w:t>
            </w:r>
          </w:p>
        </w:tc>
        <w:tc>
          <w:tcPr>
            <w:tcW w:w="1058" w:type="dxa"/>
            <w:tcBorders>
              <w:top w:val="nil"/>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nil"/>
              <w:left w:val="nil"/>
              <w:bottom w:val="single" w:color="auto" w:sz="4" w:space="0"/>
              <w:right w:val="single" w:color="auto" w:sz="4" w:space="0"/>
            </w:tcBorders>
            <w:noWrap w:val="0"/>
            <w:vAlign w:val="center"/>
          </w:tcPr>
          <w:p>
            <w:pPr>
              <w:spacing w:line="440" w:lineRule="exact"/>
              <w:rPr>
                <w:rFonts w:ascii="宋体" w:hAnsi="宋体" w:cs="宋体"/>
                <w:szCs w:val="21"/>
              </w:rPr>
            </w:pPr>
            <w:r>
              <w:rPr>
                <w:rFonts w:hint="eastAsia" w:ascii="宋体" w:hAnsi="宋体" w:cs="宋体"/>
                <w:szCs w:val="21"/>
              </w:rPr>
              <w:t>要求为注册监理工程师、注册专业为房屋建筑工程，证书中的所属单位必须与参加本工程监理投标的单位一致，并具备本科或以上学历。</w:t>
            </w:r>
          </w:p>
        </w:tc>
      </w:tr>
      <w:tr>
        <w:tblPrEx>
          <w:tblCellMar>
            <w:top w:w="0" w:type="dxa"/>
            <w:left w:w="108" w:type="dxa"/>
            <w:bottom w:w="0" w:type="dxa"/>
            <w:right w:w="108" w:type="dxa"/>
          </w:tblCellMar>
        </w:tblPrEx>
        <w:trPr>
          <w:trHeight w:val="470" w:hRule="atLeast"/>
          <w:jc w:val="center"/>
        </w:trPr>
        <w:tc>
          <w:tcPr>
            <w:tcW w:w="299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土建专业监理工程师</w:t>
            </w:r>
          </w:p>
        </w:tc>
        <w:tc>
          <w:tcPr>
            <w:tcW w:w="1058" w:type="dxa"/>
            <w:tcBorders>
              <w:top w:val="nil"/>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nil"/>
              <w:left w:val="nil"/>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专业为建筑工程类相关专业，具有中级或以上技术职称。</w:t>
            </w:r>
          </w:p>
        </w:tc>
      </w:tr>
      <w:tr>
        <w:tblPrEx>
          <w:tblCellMar>
            <w:top w:w="0" w:type="dxa"/>
            <w:left w:w="108" w:type="dxa"/>
            <w:bottom w:w="0" w:type="dxa"/>
            <w:right w:w="108" w:type="dxa"/>
          </w:tblCellMar>
        </w:tblPrEx>
        <w:trPr>
          <w:trHeight w:val="470" w:hRule="atLeast"/>
          <w:jc w:val="center"/>
        </w:trPr>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lang w:eastAsia="zh-CN"/>
              </w:rPr>
              <w:t>暖通</w:t>
            </w:r>
            <w:r>
              <w:rPr>
                <w:rFonts w:hint="eastAsia" w:ascii="宋体" w:hAnsi="宋体" w:cs="宋体"/>
                <w:szCs w:val="21"/>
              </w:rPr>
              <w:t>专业监理工程师</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szCs w:val="21"/>
              </w:rPr>
            </w:pPr>
            <w:r>
              <w:rPr>
                <w:rFonts w:hint="eastAsia" w:ascii="宋体" w:hAnsi="宋体" w:cs="宋体"/>
                <w:szCs w:val="21"/>
              </w:rPr>
              <w:t>专业为建筑安装专业（如：给排水相关专业或机电安装工程类相关专业或通风空调</w:t>
            </w:r>
            <w:r>
              <w:rPr>
                <w:rFonts w:hint="eastAsia" w:ascii="宋体" w:hAnsi="宋体" w:cs="宋体"/>
                <w:szCs w:val="21"/>
                <w:lang w:eastAsia="zh-CN"/>
              </w:rPr>
              <w:t>或供热与通风</w:t>
            </w:r>
            <w:r>
              <w:rPr>
                <w:rFonts w:hint="eastAsia" w:ascii="宋体" w:hAnsi="宋体" w:cs="宋体"/>
                <w:szCs w:val="21"/>
              </w:rPr>
              <w:t>及采暖通风专业等），具有中级或以上技术职称。</w:t>
            </w:r>
          </w:p>
        </w:tc>
      </w:tr>
      <w:tr>
        <w:tblPrEx>
          <w:tblCellMar>
            <w:top w:w="0" w:type="dxa"/>
            <w:left w:w="108" w:type="dxa"/>
            <w:bottom w:w="0" w:type="dxa"/>
            <w:right w:w="108" w:type="dxa"/>
          </w:tblCellMar>
        </w:tblPrEx>
        <w:trPr>
          <w:trHeight w:val="470" w:hRule="atLeast"/>
          <w:jc w:val="center"/>
        </w:trPr>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安全专业监理工程师</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专业为建筑工程类相关专业，具有中级或以上技术职称。</w:t>
            </w:r>
          </w:p>
        </w:tc>
      </w:tr>
      <w:tr>
        <w:tblPrEx>
          <w:tblCellMar>
            <w:top w:w="0" w:type="dxa"/>
            <w:left w:w="108" w:type="dxa"/>
            <w:bottom w:w="0" w:type="dxa"/>
            <w:right w:w="108" w:type="dxa"/>
          </w:tblCellMar>
        </w:tblPrEx>
        <w:trPr>
          <w:trHeight w:val="264" w:hRule="atLeast"/>
          <w:jc w:val="center"/>
        </w:trPr>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造价工程师</w:t>
            </w:r>
          </w:p>
        </w:tc>
        <w:tc>
          <w:tcPr>
            <w:tcW w:w="1058"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具备国家注册二级造价工程师或以上资格。</w:t>
            </w:r>
          </w:p>
        </w:tc>
      </w:tr>
      <w:tr>
        <w:tblPrEx>
          <w:tblCellMar>
            <w:top w:w="0" w:type="dxa"/>
            <w:left w:w="108" w:type="dxa"/>
            <w:bottom w:w="0" w:type="dxa"/>
            <w:right w:w="108" w:type="dxa"/>
          </w:tblCellMar>
        </w:tblPrEx>
        <w:trPr>
          <w:trHeight w:val="264" w:hRule="atLeast"/>
          <w:jc w:val="center"/>
        </w:trPr>
        <w:tc>
          <w:tcPr>
            <w:tcW w:w="299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现场监理员</w:t>
            </w:r>
          </w:p>
        </w:tc>
        <w:tc>
          <w:tcPr>
            <w:tcW w:w="1058" w:type="dxa"/>
            <w:tcBorders>
              <w:top w:val="nil"/>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nil"/>
              <w:left w:val="nil"/>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要求持上岗证。</w:t>
            </w:r>
          </w:p>
        </w:tc>
      </w:tr>
      <w:tr>
        <w:tblPrEx>
          <w:tblCellMar>
            <w:top w:w="0" w:type="dxa"/>
            <w:left w:w="108" w:type="dxa"/>
            <w:bottom w:w="0" w:type="dxa"/>
            <w:right w:w="108" w:type="dxa"/>
          </w:tblCellMar>
        </w:tblPrEx>
        <w:trPr>
          <w:trHeight w:val="264" w:hRule="atLeast"/>
          <w:jc w:val="center"/>
        </w:trPr>
        <w:tc>
          <w:tcPr>
            <w:tcW w:w="299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kern w:val="0"/>
                <w:szCs w:val="21"/>
                <w:lang w:val="en-US" w:eastAsia="zh-CN"/>
              </w:rPr>
              <w:t>资料员</w:t>
            </w:r>
          </w:p>
        </w:tc>
        <w:tc>
          <w:tcPr>
            <w:tcW w:w="1058" w:type="dxa"/>
            <w:tcBorders>
              <w:top w:val="nil"/>
              <w:left w:val="nil"/>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1名</w:t>
            </w:r>
          </w:p>
        </w:tc>
        <w:tc>
          <w:tcPr>
            <w:tcW w:w="4458" w:type="dxa"/>
            <w:tcBorders>
              <w:top w:val="nil"/>
              <w:left w:val="nil"/>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学历为大专或以上。</w:t>
            </w:r>
          </w:p>
        </w:tc>
      </w:tr>
      <w:tr>
        <w:tblPrEx>
          <w:tblCellMar>
            <w:top w:w="0" w:type="dxa"/>
            <w:left w:w="108" w:type="dxa"/>
            <w:bottom w:w="0" w:type="dxa"/>
            <w:right w:w="108" w:type="dxa"/>
          </w:tblCellMar>
        </w:tblPrEx>
        <w:trPr>
          <w:trHeight w:val="264" w:hRule="atLeast"/>
          <w:jc w:val="center"/>
        </w:trPr>
        <w:tc>
          <w:tcPr>
            <w:tcW w:w="299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szCs w:val="21"/>
              </w:rPr>
            </w:pPr>
            <w:r>
              <w:rPr>
                <w:rFonts w:hint="eastAsia" w:ascii="宋体" w:hAnsi="宋体" w:cs="宋体"/>
                <w:szCs w:val="21"/>
              </w:rPr>
              <w:t>总计</w:t>
            </w:r>
          </w:p>
        </w:tc>
        <w:tc>
          <w:tcPr>
            <w:tcW w:w="5516" w:type="dxa"/>
            <w:gridSpan w:val="2"/>
            <w:tcBorders>
              <w:top w:val="single" w:color="auto" w:sz="4" w:space="0"/>
              <w:left w:val="nil"/>
              <w:bottom w:val="single" w:color="auto" w:sz="4" w:space="0"/>
              <w:right w:val="single" w:color="auto" w:sz="4" w:space="0"/>
            </w:tcBorders>
            <w:noWrap w:val="0"/>
            <w:vAlign w:val="center"/>
          </w:tcPr>
          <w:p>
            <w:pPr>
              <w:spacing w:line="440" w:lineRule="exact"/>
              <w:rPr>
                <w:rFonts w:ascii="宋体" w:hAnsi="宋体" w:cs="宋体"/>
                <w:b/>
                <w:bCs/>
                <w:szCs w:val="21"/>
              </w:rPr>
            </w:pPr>
            <w:r>
              <w:rPr>
                <w:rFonts w:hint="eastAsia" w:ascii="宋体" w:hAnsi="宋体" w:cs="宋体"/>
                <w:b/>
                <w:bCs/>
                <w:szCs w:val="21"/>
              </w:rPr>
              <w:t>7名</w:t>
            </w:r>
          </w:p>
        </w:tc>
      </w:tr>
      <w:tr>
        <w:tblPrEx>
          <w:tblCellMar>
            <w:top w:w="0" w:type="dxa"/>
            <w:left w:w="108" w:type="dxa"/>
            <w:bottom w:w="0" w:type="dxa"/>
            <w:right w:w="108" w:type="dxa"/>
          </w:tblCellMar>
        </w:tblPrEx>
        <w:trPr>
          <w:trHeight w:val="545" w:hRule="atLeast"/>
          <w:jc w:val="center"/>
        </w:trPr>
        <w:tc>
          <w:tcPr>
            <w:tcW w:w="8510"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szCs w:val="21"/>
              </w:rPr>
            </w:pPr>
            <w:r>
              <w:rPr>
                <w:rFonts w:hint="eastAsia" w:ascii="宋体" w:hAnsi="宋体" w:cs="宋体"/>
                <w:szCs w:val="21"/>
              </w:rPr>
              <w:t>注：各专业人员可根据工程进度及建设单位要求派驻现场，应满足施工时监理人员旁站监理的要求。以上项目监理部组成人员需提供相关证明资料，包括：1、相关</w:t>
            </w:r>
            <w:r>
              <w:rPr>
                <w:rFonts w:hint="eastAsia" w:ascii="宋体" w:hAnsi="宋体" w:cs="宋体"/>
              </w:rPr>
              <w:t>职称证书或资格证书等</w:t>
            </w:r>
            <w:r>
              <w:rPr>
                <w:rFonts w:hint="eastAsia" w:ascii="宋体" w:hAnsi="宋体" w:cs="宋体"/>
                <w:szCs w:val="21"/>
              </w:rPr>
              <w:t>扫描件、学历证扫描件；2、</w:t>
            </w:r>
            <w:r>
              <w:rPr>
                <w:rFonts w:hint="eastAsia" w:ascii="宋体" w:hAnsi="宋体" w:cs="宋体"/>
                <w:szCs w:val="21"/>
                <w:lang w:eastAsia="zh-CN"/>
              </w:rPr>
              <w:t>专业以学历证或职称证或上岗证为准；</w:t>
            </w:r>
            <w:r>
              <w:rPr>
                <w:rFonts w:hint="eastAsia" w:ascii="宋体" w:hAnsi="宋体" w:cs="宋体"/>
                <w:szCs w:val="21"/>
                <w:lang w:val="en-US" w:eastAsia="zh-CN"/>
              </w:rPr>
              <w:t>3、</w:t>
            </w:r>
            <w:r>
              <w:rPr>
                <w:rFonts w:hint="eastAsia" w:ascii="宋体" w:hAnsi="宋体" w:cs="宋体"/>
                <w:szCs w:val="21"/>
              </w:rPr>
              <w:t>以上拟派人员须提供在本单位缴纳社保作为证明材料（2023年</w:t>
            </w:r>
            <w:r>
              <w:rPr>
                <w:rFonts w:hint="eastAsia" w:ascii="宋体" w:hAnsi="宋体" w:cs="宋体"/>
                <w:szCs w:val="21"/>
                <w:lang w:val="en-US" w:eastAsia="zh-CN"/>
              </w:rPr>
              <w:t>5</w:t>
            </w:r>
            <w:r>
              <w:rPr>
                <w:rFonts w:hint="eastAsia" w:ascii="宋体" w:hAnsi="宋体" w:cs="宋体"/>
                <w:szCs w:val="21"/>
              </w:rPr>
              <w:t>月的社会保险证明）。</w:t>
            </w:r>
          </w:p>
        </w:tc>
      </w:tr>
    </w:tbl>
    <w:p>
      <w:pPr>
        <w:pStyle w:val="27"/>
        <w:rPr>
          <w:rFonts w:hint="default" w:ascii="宋体" w:hAnsi="宋体" w:cs="宋体"/>
          <w:color w:val="auto"/>
          <w:sz w:val="24"/>
          <w:szCs w:val="24"/>
          <w:highlight w:val="none"/>
          <w:lang w:val="en-US" w:eastAsia="zh-CN"/>
        </w:rPr>
      </w:pPr>
    </w:p>
    <w:bookmarkEnd w:id="333"/>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491" w:lineRule="exact"/>
        <w:jc w:val="center"/>
        <w:outlineLvl w:val="0"/>
        <w:rPr>
          <w:rFonts w:ascii="Times New Roman" w:hAnsi="Times New Roman"/>
          <w:b/>
          <w:color w:val="auto"/>
          <w:sz w:val="43"/>
          <w:highlight w:val="none"/>
        </w:rPr>
      </w:pPr>
      <w:bookmarkStart w:id="340" w:name="_Toc2410"/>
      <w:bookmarkStart w:id="341" w:name="_Toc530728914"/>
      <w:r>
        <w:rPr>
          <w:rFonts w:ascii="Times New Roman" w:hAnsi="Times New Roman"/>
          <w:b/>
          <w:color w:val="auto"/>
          <w:sz w:val="43"/>
          <w:highlight w:val="none"/>
        </w:rPr>
        <w:t>第六章</w:t>
      </w:r>
      <w:r>
        <w:rPr>
          <w:rFonts w:hint="eastAsia" w:ascii="Times New Roman" w:hAnsi="Times New Roman"/>
          <w:b/>
          <w:color w:val="auto"/>
          <w:sz w:val="43"/>
          <w:highlight w:val="none"/>
        </w:rPr>
        <w:t xml:space="preserve"> </w:t>
      </w:r>
      <w:r>
        <w:rPr>
          <w:rFonts w:ascii="Times New Roman" w:hAnsi="Times New Roman"/>
          <w:b/>
          <w:color w:val="auto"/>
          <w:sz w:val="43"/>
          <w:highlight w:val="none"/>
        </w:rPr>
        <w:t>投标文件格式</w:t>
      </w:r>
      <w:bookmarkEnd w:id="340"/>
      <w:bookmarkEnd w:id="341"/>
    </w:p>
    <w:p>
      <w:pPr>
        <w:spacing w:line="491" w:lineRule="exact"/>
        <w:jc w:val="center"/>
        <w:rPr>
          <w:rFonts w:ascii="Times New Roman" w:hAnsi="Times New Roman"/>
          <w:b/>
          <w:color w:val="auto"/>
          <w:sz w:val="43"/>
          <w:highlight w:val="none"/>
        </w:rPr>
        <w:sectPr>
          <w:pgSz w:w="11907" w:h="16839"/>
          <w:pgMar w:top="1440" w:right="1440" w:bottom="1418" w:left="1440" w:header="0" w:footer="736" w:gutter="0"/>
          <w:pgNumType w:fmt="decimal"/>
          <w:cols w:space="720" w:num="1"/>
          <w:docGrid w:linePitch="360" w:charSpace="0"/>
        </w:sectPr>
      </w:pPr>
    </w:p>
    <w:p>
      <w:pPr>
        <w:spacing w:line="200" w:lineRule="exact"/>
        <w:rPr>
          <w:rFonts w:ascii="Times New Roman" w:hAnsi="Times New Roman" w:eastAsia="Times New Roman"/>
          <w:color w:val="auto"/>
          <w:highlight w:val="none"/>
        </w:rPr>
      </w:pPr>
    </w:p>
    <w:p>
      <w:pPr>
        <w:spacing w:line="0" w:lineRule="atLeast"/>
        <w:jc w:val="center"/>
        <w:rPr>
          <w:rFonts w:ascii="Times New Roman" w:hAnsi="Times New Roman"/>
          <w:color w:val="auto"/>
          <w:sz w:val="18"/>
          <w:highlight w:val="none"/>
        </w:rPr>
        <w:sectPr>
          <w:type w:val="continuous"/>
          <w:pgSz w:w="11907" w:h="16839"/>
          <w:pgMar w:top="1440" w:right="1440" w:bottom="1418" w:left="1440" w:header="0" w:footer="736" w:gutter="0"/>
          <w:pgNumType w:fmt="decimal"/>
          <w:cols w:space="720" w:num="1"/>
          <w:docGrid w:linePitch="360" w:charSpace="0"/>
        </w:sect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spacing w:line="32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（项目名称）</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26" o:spid="_x0000_s1026" o:spt="20" style="position:absolute;left:0pt;margin-left:122.05pt;margin-top:0pt;height:0pt;width:163.7pt;z-index:-251657216;mso-width-relative:page;mso-height-relative:page;"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path arrowok="t"/>
            <v:fill focussize="0,0"/>
            <v:stroke weight="0.72pt"/>
            <v:imagedata o:title=""/>
            <o:lock v:ext="edit"/>
          </v:line>
        </w:pict>
      </w:r>
    </w:p>
    <w:p>
      <w:pPr>
        <w:spacing w:line="200" w:lineRule="exact"/>
        <w:rPr>
          <w:rFonts w:ascii="Times New Roman" w:hAnsi="Times New Roman" w:eastAsia="Times New Roman"/>
          <w:color w:val="auto"/>
          <w:highlight w:val="none"/>
        </w:rPr>
      </w:pPr>
    </w:p>
    <w:p>
      <w:pPr>
        <w:spacing w:line="284" w:lineRule="exact"/>
        <w:rPr>
          <w:rFonts w:ascii="Times New Roman" w:hAnsi="Times New Roman" w:eastAsia="Times New Roman"/>
          <w:color w:val="auto"/>
          <w:highlight w:val="none"/>
        </w:rPr>
      </w:pPr>
    </w:p>
    <w:p>
      <w:pPr>
        <w:spacing w:line="502" w:lineRule="exact"/>
        <w:jc w:val="center"/>
        <w:rPr>
          <w:rFonts w:ascii="Times New Roman" w:hAnsi="Times New Roman" w:eastAsia="黑体"/>
          <w:color w:val="auto"/>
          <w:sz w:val="44"/>
          <w:highlight w:val="none"/>
        </w:rPr>
      </w:pPr>
    </w:p>
    <w:p>
      <w:pPr>
        <w:spacing w:line="502" w:lineRule="exact"/>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308" w:lineRule="exact"/>
        <w:rPr>
          <w:rFonts w:ascii="Times New Roman" w:hAnsi="Times New Roman" w:eastAsia="Times New Roman"/>
          <w:color w:val="auto"/>
          <w:highlight w:val="none"/>
        </w:rPr>
      </w:pPr>
    </w:p>
    <w:p>
      <w:pPr>
        <w:tabs>
          <w:tab w:val="left" w:pos="7200"/>
        </w:tabs>
        <w:spacing w:line="308" w:lineRule="exact"/>
        <w:ind w:left="1480"/>
        <w:rPr>
          <w:rFonts w:ascii="Times New Roman" w:hAnsi="Times New Roman" w:eastAsia="黑体"/>
          <w:color w:val="auto"/>
          <w:sz w:val="27"/>
          <w:highlight w:val="none"/>
        </w:rPr>
      </w:pPr>
      <w:r>
        <w:rPr>
          <w:rFonts w:ascii="Times New Roman" w:hAnsi="Times New Roman" w:eastAsia="黑体"/>
          <w:color w:val="auto"/>
          <w:sz w:val="27"/>
          <w:highlight w:val="none"/>
        </w:rPr>
        <w:t>投标人：</w:t>
      </w:r>
      <w:r>
        <w:rPr>
          <w:rFonts w:hint="eastAsia" w:ascii="Times New Roman" w:hAnsi="Times New Roman"/>
          <w:color w:val="auto"/>
          <w:highlight w:val="none"/>
        </w:rPr>
        <w:t xml:space="preserve">                                </w:t>
      </w:r>
      <w:r>
        <w:rPr>
          <w:rFonts w:ascii="Times New Roman" w:hAnsi="Times New Roman" w:eastAsia="黑体"/>
          <w:color w:val="auto"/>
          <w:sz w:val="27"/>
          <w:highlight w:val="none"/>
        </w:rPr>
        <w:t>（盖单位章）</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31" o:spid="_x0000_s1031" o:spt="20" style="position:absolute;left:0pt;margin-left:130.2pt;margin-top:-0.45pt;height:0pt;width:230.9pt;z-index:-251656192;mso-width-relative:page;mso-height-relative:page;"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path arrowok="t"/>
            <v:fill focussize="0,0"/>
            <v:stroke weight="0.47992125984252pt"/>
            <v:imagedata o:title=""/>
            <o:lock v:ext="edit"/>
          </v:line>
        </w:pict>
      </w:r>
    </w:p>
    <w:p>
      <w:pPr>
        <w:spacing w:line="205" w:lineRule="exact"/>
        <w:rPr>
          <w:rFonts w:ascii="Times New Roman" w:hAnsi="Times New Roman" w:eastAsia="Times New Roman"/>
          <w:color w:val="auto"/>
          <w:highlight w:val="none"/>
        </w:rPr>
      </w:pPr>
    </w:p>
    <w:p>
      <w:pPr>
        <w:tabs>
          <w:tab w:val="left" w:pos="5840"/>
        </w:tabs>
        <w:spacing w:line="320" w:lineRule="exact"/>
        <w:ind w:left="1480"/>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法定代表人或其被授权人：</w:t>
      </w:r>
      <w:r>
        <w:rPr>
          <w:rFonts w:ascii="Times New Roman" w:hAnsi="Times New Roman" w:eastAsia="Times New Roman"/>
          <w:color w:val="auto"/>
          <w:highlight w:val="none"/>
        </w:rPr>
        <w:tab/>
      </w:r>
      <w:r>
        <w:rPr>
          <w:rFonts w:ascii="Times New Roman" w:hAnsi="Times New Roman" w:eastAsia="黑体"/>
          <w:color w:val="auto"/>
          <w:sz w:val="28"/>
          <w:highlight w:val="none"/>
        </w:rPr>
        <w:t>（签字</w:t>
      </w:r>
      <w:r>
        <w:rPr>
          <w:rFonts w:hint="eastAsia" w:ascii="Times New Roman" w:hAnsi="Times New Roman" w:eastAsia="黑体"/>
          <w:color w:val="auto"/>
          <w:sz w:val="28"/>
          <w:highlight w:val="none"/>
        </w:rPr>
        <w:t>或盖章</w:t>
      </w:r>
      <w:r>
        <w:rPr>
          <w:rFonts w:ascii="Times New Roman" w:hAnsi="Times New Roman" w:eastAsia="黑体"/>
          <w:color w:val="auto"/>
          <w:sz w:val="28"/>
          <w:highlight w:val="none"/>
        </w:rPr>
        <w:t>）</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30" o:spid="_x0000_s1030" o:spt="20" style="position:absolute;left:0pt;margin-left:256.1pt;margin-top:-0.45pt;height:0pt;width:36.75pt;z-index:-251655168;mso-width-relative:page;mso-height-relative:page;"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path arrowok="t"/>
            <v:fill focussize="0,0"/>
            <v:stroke weight="0.48pt"/>
            <v:imagedata o:title=""/>
            <o:lock v:ext="edit"/>
          </v:line>
        </w:pict>
      </w:r>
    </w:p>
    <w:p>
      <w:pPr>
        <w:spacing w:line="200" w:lineRule="exact"/>
        <w:rPr>
          <w:rFonts w:ascii="Times New Roman" w:hAnsi="Times New Roman" w:eastAsia="Times New Roman"/>
          <w:color w:val="auto"/>
          <w:highlight w:val="none"/>
        </w:rPr>
      </w:pPr>
    </w:p>
    <w:p>
      <w:pPr>
        <w:spacing w:line="368" w:lineRule="exact"/>
        <w:rPr>
          <w:rFonts w:ascii="Times New Roman" w:hAnsi="Times New Roman" w:eastAsia="Times New Roman"/>
          <w:color w:val="auto"/>
          <w:highlight w:val="none"/>
        </w:rPr>
      </w:pPr>
    </w:p>
    <w:p>
      <w:pPr>
        <w:tabs>
          <w:tab w:val="left" w:pos="4880"/>
          <w:tab w:val="left" w:pos="5900"/>
        </w:tabs>
        <w:spacing w:line="320" w:lineRule="exact"/>
        <w:ind w:left="3900"/>
        <w:rPr>
          <w:rFonts w:ascii="Times New Roman" w:hAnsi="Times New Roman" w:eastAsia="黑体"/>
          <w:color w:val="auto"/>
          <w:sz w:val="28"/>
          <w:highlight w:val="none"/>
        </w:rPr>
      </w:pPr>
      <w:r>
        <w:rPr>
          <w:rFonts w:ascii="Times New Roman" w:hAnsi="Times New Roman" w:eastAsia="黑体"/>
          <w:color w:val="auto"/>
          <w:sz w:val="28"/>
          <w:highlight w:val="none"/>
        </w:rPr>
        <w:t>年</w:t>
      </w:r>
      <w:r>
        <w:rPr>
          <w:rFonts w:ascii="Times New Roman" w:hAnsi="Times New Roman" w:eastAsia="Times New Roman"/>
          <w:color w:val="auto"/>
          <w:highlight w:val="none"/>
        </w:rPr>
        <w:tab/>
      </w:r>
      <w:r>
        <w:rPr>
          <w:rFonts w:ascii="Times New Roman" w:hAnsi="Times New Roman" w:eastAsia="黑体"/>
          <w:color w:val="auto"/>
          <w:sz w:val="28"/>
          <w:highlight w:val="none"/>
        </w:rPr>
        <w:t>月</w:t>
      </w:r>
      <w:r>
        <w:rPr>
          <w:rFonts w:ascii="Times New Roman" w:hAnsi="Times New Roman" w:eastAsia="Times New Roman"/>
          <w:color w:val="auto"/>
          <w:highlight w:val="none"/>
        </w:rPr>
        <w:tab/>
      </w:r>
      <w:r>
        <w:rPr>
          <w:rFonts w:ascii="Times New Roman" w:hAnsi="Times New Roman" w:eastAsia="黑体"/>
          <w:color w:val="auto"/>
          <w:sz w:val="28"/>
          <w:highlight w:val="none"/>
        </w:rPr>
        <w:t>日</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29" o:spid="_x0000_s1029" o:spt="20" style="position:absolute;left:0pt;margin-left:157.85pt;margin-top:-0.45pt;height:0pt;width:36.7pt;z-index:-251654144;mso-width-relative:page;mso-height-relative:page;"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path arrowok="t"/>
            <v:fill focussize="0,0"/>
            <v:stroke weight="0.47992125984252pt"/>
            <v:imagedata o:title=""/>
            <o:lock v:ext="edit"/>
          </v:line>
        </w:pict>
      </w:r>
      <w:r>
        <w:rPr>
          <w:rFonts w:ascii="Times New Roman" w:hAnsi="Times New Roman"/>
          <w:color w:val="auto"/>
          <w:highlight w:val="none"/>
        </w:rPr>
        <w:pict>
          <v:line id="_x0000_s1028" o:spid="_x0000_s1028" o:spt="20" style="position:absolute;left:0pt;margin-left:208.7pt;margin-top:-0.45pt;height:0pt;width:36.6pt;z-index:-251653120;mso-width-relative:page;mso-height-relative:page;"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path arrowok="t"/>
            <v:fill focussize="0,0"/>
            <v:stroke weight="0.47992125984252pt"/>
            <v:imagedata o:title=""/>
            <o:lock v:ext="edit"/>
          </v:line>
        </w:pict>
      </w:r>
      <w:r>
        <w:rPr>
          <w:rFonts w:ascii="Times New Roman" w:hAnsi="Times New Roman"/>
          <w:color w:val="auto"/>
          <w:highlight w:val="none"/>
        </w:rPr>
        <w:pict>
          <v:line id="_x0000_s1027" o:spid="_x0000_s1027" o:spt="20" style="position:absolute;left:0pt;margin-left:259.45pt;margin-top:-0.45pt;height:0pt;width:36.65pt;z-index:-251652096;mso-width-relative:page;mso-height-relative:page;"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path arrowok="t"/>
            <v:fill focussize="0,0"/>
            <v:stroke weight="0.47992125984252pt"/>
            <v:imagedata o:title=""/>
            <o:lock v:ext="edit"/>
          </v:line>
        </w:pict>
      </w:r>
    </w:p>
    <w:p>
      <w:pPr>
        <w:spacing w:line="225" w:lineRule="exact"/>
        <w:rPr>
          <w:rFonts w:ascii="Times New Roman" w:hAnsi="Times New Roman" w:eastAsia="Times New Roman"/>
          <w:color w:val="auto"/>
          <w:highlight w:val="none"/>
        </w:rPr>
      </w:pPr>
    </w:p>
    <w:p>
      <w:pPr>
        <w:spacing w:line="0" w:lineRule="atLeast"/>
        <w:jc w:val="center"/>
        <w:rPr>
          <w:rFonts w:ascii="Times New Roman" w:hAnsi="Times New Roman"/>
          <w:color w:val="auto"/>
          <w:sz w:val="18"/>
          <w:highlight w:val="none"/>
        </w:rPr>
        <w:sectPr>
          <w:pgSz w:w="11907" w:h="16839"/>
          <w:pgMar w:top="1440" w:right="1440" w:bottom="1418" w:left="1440" w:header="0" w:footer="736" w:gutter="0"/>
          <w:pgNumType w:fmt="decimal"/>
          <w:cols w:space="720" w:num="1"/>
          <w:docGrid w:linePitch="360" w:charSpace="0"/>
        </w:sectPr>
      </w:pPr>
    </w:p>
    <w:p>
      <w:pPr>
        <w:spacing w:line="1" w:lineRule="exact"/>
        <w:rPr>
          <w:rFonts w:ascii="Times New Roman" w:hAnsi="Times New Roman" w:eastAsia="Times New Roman"/>
          <w:color w:val="auto"/>
          <w:highlight w:val="none"/>
        </w:rPr>
      </w:pPr>
    </w:p>
    <w:p>
      <w:pPr>
        <w:spacing w:line="366" w:lineRule="exact"/>
        <w:jc w:val="center"/>
        <w:rPr>
          <w:rFonts w:ascii="Times New Roman" w:hAnsi="Times New Roman" w:eastAsia="黑体"/>
          <w:b/>
          <w:color w:val="auto"/>
          <w:sz w:val="32"/>
          <w:highlight w:val="none"/>
        </w:rPr>
      </w:pPr>
      <w:r>
        <w:rPr>
          <w:rFonts w:ascii="Times New Roman" w:hAnsi="Times New Roman" w:eastAsia="黑体"/>
          <w:b/>
          <w:color w:val="auto"/>
          <w:sz w:val="32"/>
          <w:highlight w:val="none"/>
        </w:rPr>
        <w:t>目录</w:t>
      </w:r>
    </w:p>
    <w:p>
      <w:pPr>
        <w:spacing w:line="360" w:lineRule="auto"/>
        <w:ind w:left="630" w:leftChars="300"/>
        <w:rPr>
          <w:rFonts w:ascii="Times New Roman" w:hAnsi="Times New Roman"/>
          <w:color w:val="auto"/>
          <w:sz w:val="24"/>
          <w:highlight w:val="none"/>
        </w:rPr>
      </w:pPr>
      <w:bookmarkStart w:id="342" w:name="_Toc369531691"/>
      <w:bookmarkStart w:id="343" w:name="_Toc7039"/>
      <w:bookmarkStart w:id="344" w:name="_Toc352691655"/>
    </w:p>
    <w:p>
      <w:pPr>
        <w:spacing w:line="360" w:lineRule="auto"/>
        <w:ind w:firstLine="424" w:firstLineChars="177"/>
        <w:rPr>
          <w:rFonts w:ascii="Times New Roman" w:hAnsi="Times New Roman"/>
          <w:color w:val="auto"/>
          <w:sz w:val="24"/>
          <w:highlight w:val="none"/>
        </w:rPr>
      </w:pPr>
      <w:r>
        <w:rPr>
          <w:rFonts w:ascii="Times New Roman" w:hAnsi="Times New Roman"/>
          <w:color w:val="auto"/>
          <w:sz w:val="24"/>
          <w:highlight w:val="none"/>
        </w:rPr>
        <w:t>一、投标函及投标函附录</w:t>
      </w:r>
    </w:p>
    <w:p>
      <w:pPr>
        <w:spacing w:line="360" w:lineRule="auto"/>
        <w:ind w:firstLine="424" w:firstLineChars="177"/>
        <w:rPr>
          <w:rFonts w:ascii="Times New Roman" w:hAnsi="Times New Roman"/>
          <w:color w:val="auto"/>
          <w:sz w:val="24"/>
          <w:highlight w:val="none"/>
        </w:rPr>
      </w:pPr>
      <w:r>
        <w:rPr>
          <w:rFonts w:ascii="Times New Roman" w:hAnsi="Times New Roman"/>
          <w:color w:val="auto"/>
          <w:sz w:val="24"/>
          <w:highlight w:val="none"/>
        </w:rPr>
        <w:t>二、法定代表人身份证明</w:t>
      </w:r>
      <w:r>
        <w:rPr>
          <w:rFonts w:hint="eastAsia" w:ascii="Times New Roman" w:hAnsi="Times New Roman"/>
          <w:color w:val="auto"/>
          <w:sz w:val="24"/>
          <w:highlight w:val="none"/>
        </w:rPr>
        <w:t>、授权委托书（如有）</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三</w:t>
      </w:r>
      <w:r>
        <w:rPr>
          <w:rFonts w:ascii="Times New Roman" w:hAnsi="Times New Roman"/>
          <w:color w:val="auto"/>
          <w:sz w:val="24"/>
          <w:highlight w:val="none"/>
        </w:rPr>
        <w:t>、监理报酬清单</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四</w:t>
      </w:r>
      <w:r>
        <w:rPr>
          <w:rFonts w:ascii="Times New Roman" w:hAnsi="Times New Roman"/>
          <w:color w:val="auto"/>
          <w:sz w:val="24"/>
          <w:highlight w:val="none"/>
        </w:rPr>
        <w:t>、</w:t>
      </w:r>
      <w:r>
        <w:rPr>
          <w:rFonts w:hint="eastAsia" w:ascii="Times New Roman" w:hAnsi="Times New Roman"/>
          <w:color w:val="auto"/>
          <w:sz w:val="24"/>
          <w:highlight w:val="none"/>
        </w:rPr>
        <w:t>资格</w:t>
      </w:r>
      <w:r>
        <w:rPr>
          <w:rFonts w:ascii="Times New Roman" w:hAnsi="Times New Roman"/>
          <w:color w:val="auto"/>
          <w:sz w:val="24"/>
          <w:highlight w:val="none"/>
        </w:rPr>
        <w:t>审查资料</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五</w:t>
      </w:r>
      <w:r>
        <w:rPr>
          <w:rFonts w:ascii="Times New Roman" w:hAnsi="Times New Roman"/>
          <w:color w:val="auto"/>
          <w:sz w:val="24"/>
          <w:highlight w:val="none"/>
        </w:rPr>
        <w:t>、投标人声明</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六、</w:t>
      </w:r>
      <w:r>
        <w:rPr>
          <w:rFonts w:ascii="Times New Roman" w:hAnsi="Times New Roman"/>
          <w:color w:val="auto"/>
          <w:sz w:val="24"/>
          <w:highlight w:val="none"/>
        </w:rPr>
        <w:t>监理大纲</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七</w:t>
      </w:r>
      <w:r>
        <w:rPr>
          <w:rFonts w:ascii="Times New Roman" w:hAnsi="Times New Roman"/>
          <w:color w:val="auto"/>
          <w:sz w:val="24"/>
          <w:highlight w:val="none"/>
        </w:rPr>
        <w:t>、其他资料</w:t>
      </w:r>
    </w:p>
    <w:p>
      <w:pPr>
        <w:spacing w:line="360" w:lineRule="auto"/>
        <w:ind w:firstLine="664" w:firstLineChars="277"/>
        <w:rPr>
          <w:rFonts w:ascii="Times New Roman" w:hAnsi="Times New Roman"/>
          <w:color w:val="auto"/>
          <w:sz w:val="24"/>
          <w:highlight w:val="none"/>
        </w:rPr>
      </w:pPr>
    </w:p>
    <w:p>
      <w:pPr>
        <w:spacing w:line="540" w:lineRule="exact"/>
        <w:rPr>
          <w:rFonts w:ascii="Times New Roman" w:hAnsi="Times New Roman"/>
          <w:color w:val="auto"/>
          <w:sz w:val="20"/>
          <w:highlight w:val="none"/>
        </w:rPr>
      </w:pPr>
    </w:p>
    <w:p>
      <w:pPr>
        <w:spacing w:line="540" w:lineRule="exact"/>
        <w:rPr>
          <w:rFonts w:ascii="Times New Roman" w:hAnsi="Times New Roman"/>
          <w:color w:val="auto"/>
          <w:sz w:val="20"/>
          <w:highlight w:val="none"/>
        </w:rPr>
      </w:pPr>
    </w:p>
    <w:p>
      <w:pPr>
        <w:widowControl/>
        <w:jc w:val="left"/>
        <w:rPr>
          <w:rFonts w:ascii="Times New Roman" w:hAnsi="Times New Roman"/>
          <w:color w:val="auto"/>
          <w:sz w:val="20"/>
          <w:highlight w:val="none"/>
        </w:rPr>
      </w:pPr>
      <w:r>
        <w:rPr>
          <w:rFonts w:ascii="Times New Roman" w:hAnsi="Times New Roman"/>
          <w:color w:val="auto"/>
          <w:sz w:val="20"/>
          <w:highlight w:val="none"/>
        </w:rPr>
        <w:br w:type="page"/>
      </w:r>
    </w:p>
    <w:bookmarkEnd w:id="342"/>
    <w:bookmarkEnd w:id="343"/>
    <w:bookmarkEnd w:id="344"/>
    <w:p>
      <w:pPr>
        <w:pStyle w:val="8"/>
        <w:spacing w:line="600" w:lineRule="auto"/>
        <w:rPr>
          <w:rFonts w:ascii="Times New Roman" w:hAnsi="Times New Roman"/>
          <w:color w:val="auto"/>
          <w:sz w:val="30"/>
          <w:szCs w:val="30"/>
          <w:highlight w:val="none"/>
        </w:rPr>
      </w:pPr>
      <w:bookmarkStart w:id="345" w:name="_Toc530470642"/>
      <w:bookmarkStart w:id="346" w:name="_Toc529196600"/>
      <w:bookmarkStart w:id="347" w:name="_Toc535938751"/>
      <w:r>
        <w:rPr>
          <w:rFonts w:ascii="Times New Roman" w:hAnsi="Times New Roman"/>
          <w:color w:val="auto"/>
          <w:sz w:val="30"/>
          <w:szCs w:val="30"/>
          <w:highlight w:val="none"/>
        </w:rPr>
        <w:t>一、投标</w:t>
      </w:r>
      <w:bookmarkStart w:id="348" w:name="_Toc6931"/>
      <w:bookmarkStart w:id="349" w:name="_Toc369531692"/>
      <w:bookmarkStart w:id="350" w:name="_Toc352691656"/>
      <w:r>
        <w:rPr>
          <w:rFonts w:ascii="Times New Roman" w:hAnsi="Times New Roman"/>
          <w:color w:val="auto"/>
          <w:sz w:val="30"/>
          <w:szCs w:val="30"/>
          <w:highlight w:val="none"/>
        </w:rPr>
        <w:t>函及投标函附录</w:t>
      </w:r>
      <w:bookmarkEnd w:id="345"/>
      <w:bookmarkEnd w:id="346"/>
      <w:bookmarkEnd w:id="347"/>
    </w:p>
    <w:bookmarkEnd w:id="348"/>
    <w:bookmarkEnd w:id="349"/>
    <w:bookmarkEnd w:id="350"/>
    <w:p>
      <w:pPr>
        <w:pStyle w:val="9"/>
        <w:spacing w:line="240" w:lineRule="auto"/>
        <w:rPr>
          <w:color w:val="auto"/>
          <w:highlight w:val="none"/>
        </w:rPr>
      </w:pPr>
      <w:bookmarkStart w:id="351" w:name="_Toc482188651"/>
      <w:bookmarkStart w:id="352" w:name="_Toc529196601"/>
      <w:bookmarkStart w:id="353" w:name="_Toc391394111"/>
      <w:bookmarkStart w:id="354" w:name="_Toc530470643"/>
      <w:bookmarkStart w:id="355" w:name="_Toc535938752"/>
      <w:bookmarkStart w:id="356" w:name="_Toc385943065"/>
      <w:bookmarkStart w:id="357" w:name="_Toc370676426"/>
      <w:bookmarkStart w:id="358" w:name="_Toc359594235"/>
      <w:r>
        <w:rPr>
          <w:color w:val="auto"/>
          <w:highlight w:val="none"/>
        </w:rPr>
        <w:t>（一）投标函</w:t>
      </w:r>
      <w:bookmarkEnd w:id="351"/>
      <w:bookmarkEnd w:id="352"/>
      <w:bookmarkEnd w:id="353"/>
      <w:bookmarkEnd w:id="354"/>
      <w:bookmarkEnd w:id="355"/>
      <w:bookmarkEnd w:id="356"/>
      <w:bookmarkEnd w:id="357"/>
      <w:bookmarkEnd w:id="358"/>
    </w:p>
    <w:p>
      <w:pPr>
        <w:spacing w:line="360" w:lineRule="auto"/>
        <w:rPr>
          <w:rFonts w:ascii="Times New Roman" w:hAnsi="Times New Roman"/>
          <w:color w:val="auto"/>
          <w:sz w:val="24"/>
          <w:highlight w:val="none"/>
        </w:rPr>
      </w:pPr>
      <w:r>
        <w:rPr>
          <w:rFonts w:ascii="Times New Roman" w:hAnsi="Times New Roman"/>
          <w:color w:val="auto"/>
          <w:sz w:val="24"/>
          <w:highlight w:val="none"/>
        </w:rPr>
        <w:t>（招标人名称）：</w:t>
      </w:r>
      <w:r>
        <w:rPr>
          <w:rFonts w:ascii="Times New Roman" w:hAnsi="Times New Roman"/>
          <w:color w:val="auto"/>
          <w:sz w:val="24"/>
          <w:highlight w:val="none"/>
          <w:u w:val="single"/>
        </w:rPr>
        <w:t xml:space="preserve">                </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1．我方已仔细研究了</w:t>
      </w:r>
      <w:r>
        <w:rPr>
          <w:rFonts w:ascii="Times New Roman" w:hAnsi="Times New Roman"/>
          <w:color w:val="auto"/>
          <w:sz w:val="24"/>
          <w:highlight w:val="none"/>
          <w:u w:val="single"/>
        </w:rPr>
        <w:t xml:space="preserve">                </w:t>
      </w:r>
      <w:r>
        <w:rPr>
          <w:rFonts w:ascii="Times New Roman" w:hAnsi="Times New Roman"/>
          <w:color w:val="auto"/>
          <w:sz w:val="24"/>
          <w:highlight w:val="none"/>
        </w:rPr>
        <w:t>（项目名称）监理招标项目招标文件的全部内容，愿意以</w:t>
      </w:r>
      <w:r>
        <w:rPr>
          <w:rFonts w:hint="eastAsia" w:ascii="Times New Roman" w:hAnsi="Times New Roman"/>
          <w:color w:val="auto"/>
          <w:sz w:val="24"/>
          <w:highlight w:val="none"/>
        </w:rPr>
        <w:t>投标函附录中的报价和监理服务期</w:t>
      </w:r>
      <w:r>
        <w:rPr>
          <w:rFonts w:ascii="Times New Roman" w:hAnsi="Times New Roman"/>
          <w:color w:val="auto"/>
          <w:sz w:val="24"/>
          <w:highlight w:val="none"/>
        </w:rPr>
        <w:t>，按合同约定完成监理工作。</w:t>
      </w:r>
    </w:p>
    <w:p>
      <w:pPr>
        <w:spacing w:line="360" w:lineRule="auto"/>
        <w:ind w:firstLine="480" w:firstLineChars="200"/>
        <w:rPr>
          <w:rFonts w:ascii="Times New Roman" w:hAnsi="Times New Roman"/>
          <w:color w:val="auto"/>
          <w:sz w:val="24"/>
          <w:highlight w:val="none"/>
        </w:rPr>
      </w:pPr>
      <w:bookmarkStart w:id="359" w:name="_Toc530470644"/>
      <w:r>
        <w:rPr>
          <w:rFonts w:ascii="Times New Roman" w:hAnsi="Times New Roman"/>
          <w:color w:val="auto"/>
          <w:sz w:val="24"/>
          <w:highlight w:val="none"/>
        </w:rPr>
        <w:t>2. 我方的投标文件包括下列内容：</w:t>
      </w:r>
      <w:bookmarkEnd w:id="359"/>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（1）投标函及投标函附录；</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（2）法定代表人身份证明</w:t>
      </w:r>
      <w:r>
        <w:rPr>
          <w:rFonts w:hint="eastAsia" w:ascii="Times New Roman" w:hAnsi="Times New Roman"/>
          <w:color w:val="auto"/>
          <w:sz w:val="24"/>
          <w:highlight w:val="none"/>
        </w:rPr>
        <w:t>、</w:t>
      </w:r>
      <w:r>
        <w:rPr>
          <w:rFonts w:ascii="Times New Roman" w:hAnsi="Times New Roman"/>
          <w:color w:val="auto"/>
          <w:sz w:val="24"/>
          <w:highlight w:val="none"/>
        </w:rPr>
        <w:t>授权委托书（如有）；</w:t>
      </w:r>
    </w:p>
    <w:p>
      <w:pPr>
        <w:spacing w:line="360" w:lineRule="auto"/>
        <w:ind w:firstLine="405"/>
        <w:rPr>
          <w:rFonts w:ascii="Times New Roman" w:hAnsi="Times New Roman"/>
          <w:strike/>
          <w:dstrike w:val="0"/>
          <w:color w:val="auto"/>
          <w:sz w:val="24"/>
          <w:highlight w:val="none"/>
        </w:rPr>
      </w:pPr>
      <w:r>
        <w:rPr>
          <w:rFonts w:ascii="Times New Roman" w:hAnsi="Times New Roman"/>
          <w:strike/>
          <w:dstrike w:val="0"/>
          <w:color w:val="auto"/>
          <w:sz w:val="24"/>
          <w:highlight w:val="none"/>
        </w:rPr>
        <w:t>（3）投标保证金；</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 xml:space="preserve">（4）监理报酬清单； </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（5）资格审查资料</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（6）监理大纲；</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（7）其他资料。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投标文件的上述组成部分如存在内容不一致的，以投标函为准。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3．我方承诺在招标文件规定的投标有效期</w:t>
      </w:r>
      <w:r>
        <w:rPr>
          <w:rFonts w:ascii="Times New Roman" w:hAnsi="Times New Roman"/>
          <w:color w:val="auto"/>
          <w:sz w:val="24"/>
          <w:highlight w:val="none"/>
          <w:u w:val="single"/>
        </w:rPr>
        <w:t>90</w:t>
      </w:r>
      <w:r>
        <w:rPr>
          <w:rFonts w:ascii="Times New Roman" w:hAnsi="Times New Roman"/>
          <w:color w:val="auto"/>
          <w:sz w:val="24"/>
          <w:highlight w:val="none"/>
        </w:rPr>
        <w:t>日历天内不撤销投标文件。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4．如我方中标，我方承诺：</w:t>
      </w:r>
    </w:p>
    <w:p>
      <w:pPr>
        <w:spacing w:line="360" w:lineRule="auto"/>
        <w:ind w:left="960" w:leftChars="400" w:hanging="120" w:hangingChars="50"/>
        <w:rPr>
          <w:rFonts w:ascii="Times New Roman" w:hAnsi="Times New Roman"/>
          <w:color w:val="auto"/>
          <w:sz w:val="24"/>
          <w:highlight w:val="none"/>
        </w:rPr>
      </w:pPr>
      <w:r>
        <w:rPr>
          <w:rFonts w:ascii="Times New Roman" w:hAnsi="Times New Roman"/>
          <w:color w:val="auto"/>
          <w:sz w:val="24"/>
          <w:highlight w:val="none"/>
        </w:rPr>
        <w:t>（1）在收到中标通知书后，在中标通知书规定的期限内与你方签订合同；</w:t>
      </w:r>
    </w:p>
    <w:p>
      <w:pPr>
        <w:spacing w:line="360" w:lineRule="auto"/>
        <w:ind w:left="960" w:leftChars="400" w:hanging="120" w:hangingChars="50"/>
        <w:rPr>
          <w:rFonts w:ascii="Times New Roman" w:hAnsi="Times New Roman"/>
          <w:color w:val="auto"/>
          <w:sz w:val="24"/>
          <w:highlight w:val="none"/>
        </w:rPr>
      </w:pPr>
      <w:r>
        <w:rPr>
          <w:rFonts w:ascii="Times New Roman" w:hAnsi="Times New Roman"/>
          <w:color w:val="auto"/>
          <w:sz w:val="24"/>
          <w:highlight w:val="none"/>
        </w:rPr>
        <w:t>（2）在签订合同时不向你方提出附加条件；</w:t>
      </w:r>
    </w:p>
    <w:p>
      <w:pPr>
        <w:spacing w:line="360" w:lineRule="auto"/>
        <w:ind w:left="960" w:leftChars="400" w:hanging="120" w:hangingChars="50"/>
        <w:rPr>
          <w:rFonts w:ascii="Times New Roman" w:hAnsi="Times New Roman"/>
          <w:color w:val="auto"/>
          <w:sz w:val="24"/>
          <w:highlight w:val="none"/>
        </w:rPr>
      </w:pPr>
      <w:bookmarkStart w:id="360" w:name="_Toc1187"/>
      <w:bookmarkStart w:id="361" w:name="_Toc369531694"/>
      <w:bookmarkStart w:id="362" w:name="_Toc352691658"/>
      <w:r>
        <w:rPr>
          <w:rFonts w:ascii="Times New Roman" w:hAnsi="Times New Roman"/>
          <w:color w:val="auto"/>
          <w:sz w:val="24"/>
          <w:highlight w:val="none"/>
        </w:rPr>
        <w:t>（</w:t>
      </w:r>
      <w:r>
        <w:rPr>
          <w:rFonts w:hint="eastAsia" w:ascii="Times New Roman" w:hAnsi="Times New Roman"/>
          <w:color w:val="auto"/>
          <w:sz w:val="24"/>
          <w:highlight w:val="none"/>
        </w:rPr>
        <w:t>3</w:t>
      </w:r>
      <w:r>
        <w:rPr>
          <w:rFonts w:ascii="Times New Roman" w:hAnsi="Times New Roman"/>
          <w:color w:val="auto"/>
          <w:sz w:val="24"/>
          <w:highlight w:val="none"/>
        </w:rPr>
        <w:t>）在合</w:t>
      </w:r>
      <w:bookmarkEnd w:id="360"/>
      <w:bookmarkEnd w:id="361"/>
      <w:bookmarkEnd w:id="362"/>
      <w:r>
        <w:rPr>
          <w:rFonts w:ascii="Times New Roman" w:hAnsi="Times New Roman"/>
          <w:color w:val="auto"/>
          <w:sz w:val="24"/>
          <w:highlight w:val="none"/>
        </w:rPr>
        <w:t>同约定的期限内完成合同规定的全部义务；</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6. 如我方中标，我方承诺，满足“委托人要求”中的所有内容。</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．如我方中标，我方承诺：我司提交的所有投标资料真实可靠，并</w:t>
      </w:r>
      <w:r>
        <w:rPr>
          <w:rFonts w:hint="eastAsia" w:ascii="Times New Roman" w:hAnsi="Times New Roman"/>
          <w:color w:val="auto"/>
          <w:sz w:val="24"/>
          <w:highlight w:val="none"/>
        </w:rPr>
        <w:t>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Times New Roman" w:hAnsi="Times New Roman"/>
          <w:color w:val="auto"/>
          <w:szCs w:val="21"/>
          <w:highlight w:val="none"/>
        </w:rPr>
      </w:pPr>
      <w:bookmarkStart w:id="363" w:name="_Toc370676427"/>
      <w:bookmarkStart w:id="364" w:name="_Toc385943066"/>
      <w:bookmarkStart w:id="365" w:name="_Toc482188652"/>
      <w:bookmarkStart w:id="366" w:name="_Toc391394112"/>
      <w:bookmarkStart w:id="367" w:name="_Toc359594236"/>
      <w:bookmarkStart w:id="368" w:name="_Toc152045787"/>
      <w:bookmarkStart w:id="369" w:name="_Toc361508752"/>
      <w:bookmarkStart w:id="370" w:name="_Toc300835209"/>
      <w:bookmarkStart w:id="371" w:name="_Toc369531697"/>
      <w:bookmarkStart w:id="372" w:name="_Toc384308375"/>
      <w:bookmarkStart w:id="373" w:name="_Toc247527827"/>
      <w:bookmarkStart w:id="374" w:name="_Toc144974856"/>
      <w:bookmarkStart w:id="375" w:name="_Toc247514246"/>
      <w:bookmarkStart w:id="376" w:name="_Toc17960"/>
      <w:bookmarkStart w:id="377" w:name="_Toc352691661"/>
      <w:bookmarkStart w:id="378" w:name="_Toc152042576"/>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法定代表人</w:t>
      </w:r>
      <w:r>
        <w:rPr>
          <w:rFonts w:ascii="Times New Roman" w:hAnsi="Times New Roman"/>
          <w:color w:val="auto"/>
          <w:szCs w:val="21"/>
          <w:highlight w:val="none"/>
        </w:rPr>
        <w:t>(</w:t>
      </w:r>
      <w:r>
        <w:rPr>
          <w:rFonts w:hint="eastAsia" w:ascii="Times New Roman" w:hAnsi="Times New Roman"/>
          <w:color w:val="auto"/>
          <w:szCs w:val="21"/>
          <w:highlight w:val="none"/>
        </w:rPr>
        <w:t>或被授权人</w:t>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right="85"/>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4725" w:firstLineChars="225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pPr>
        <w:spacing w:line="360" w:lineRule="auto"/>
        <w:ind w:firstLine="4725" w:firstLineChars="2250"/>
        <w:rPr>
          <w:rFonts w:ascii="Times New Roman" w:hAnsi="Times New Roman"/>
          <w:color w:val="auto"/>
          <w:szCs w:val="21"/>
          <w:highlight w:val="none"/>
        </w:rPr>
      </w:pPr>
      <w:r>
        <w:rPr>
          <w:rFonts w:ascii="Times New Roman" w:hAnsi="Times New Roman"/>
          <w:color w:val="auto"/>
          <w:szCs w:val="21"/>
          <w:highlight w:val="none"/>
        </w:rPr>
        <w:br w:type="page"/>
      </w:r>
    </w:p>
    <w:bookmarkEnd w:id="363"/>
    <w:bookmarkEnd w:id="364"/>
    <w:bookmarkEnd w:id="365"/>
    <w:bookmarkEnd w:id="366"/>
    <w:bookmarkEnd w:id="367"/>
    <w:p>
      <w:pPr>
        <w:pStyle w:val="9"/>
        <w:spacing w:line="480" w:lineRule="auto"/>
        <w:rPr>
          <w:color w:val="auto"/>
          <w:highlight w:val="none"/>
        </w:rPr>
      </w:pPr>
      <w:bookmarkStart w:id="379" w:name="_Toc530470646"/>
      <w:bookmarkStart w:id="380" w:name="_Toc529196603"/>
      <w:r>
        <w:rPr>
          <w:color w:val="auto"/>
          <w:highlight w:val="none"/>
        </w:rPr>
        <w:t>（二）投标函附录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42"/>
        <w:gridCol w:w="455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约定内容</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p>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p>
            <w:pPr>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注册证号：</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820" w:firstLineChars="342"/>
              <w:contextualSpacing/>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none"/>
              </w:rPr>
              <w:t>按招标文件要求</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合同价款确定方式</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highlight w:val="none"/>
                <w:u w:val="single"/>
              </w:rPr>
              <w:t>按合同约定</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按招标文件要求</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90日历天</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400" w:lineRule="exact"/>
              <w:contextualSpacing/>
              <w:rPr>
                <w:rFonts w:hint="eastAsia" w:ascii="宋体" w:hAnsi="宋体" w:cs="宋体"/>
                <w:color w:val="auto"/>
                <w:highlight w:val="none"/>
              </w:rPr>
            </w:pPr>
            <w:r>
              <w:rPr>
                <w:rFonts w:hint="eastAsia" w:ascii="宋体" w:hAnsi="宋体" w:cs="宋体"/>
                <w:color w:val="auto"/>
                <w:highlight w:val="none"/>
              </w:rPr>
              <w:t>投标总报价（元）：</w:t>
            </w:r>
          </w:p>
          <w:p>
            <w:pPr>
              <w:pStyle w:val="8"/>
              <w:rPr>
                <w:rFonts w:hint="eastAsia" w:ascii="宋体" w:hAnsi="宋体" w:eastAsia="宋体" w:cs="宋体"/>
                <w:color w:val="auto"/>
                <w:highlight w:val="none"/>
              </w:rPr>
            </w:pPr>
            <w:r>
              <w:rPr>
                <w:rFonts w:hint="eastAsia" w:ascii="宋体" w:hAnsi="宋体" w:eastAsia="宋体" w:cs="宋体"/>
                <w:color w:val="auto"/>
                <w:sz w:val="24"/>
                <w:szCs w:val="24"/>
                <w:highlight w:val="none"/>
              </w:rPr>
              <w:t>下浮率：     %</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b/>
                <w:color w:val="auto"/>
                <w:szCs w:val="21"/>
                <w:highlight w:val="none"/>
              </w:rPr>
            </w:pPr>
          </w:p>
        </w:tc>
      </w:tr>
    </w:tbl>
    <w:p>
      <w:pPr>
        <w:spacing w:line="440" w:lineRule="exact"/>
        <w:ind w:firstLine="420" w:firstLineChars="200"/>
        <w:jc w:val="left"/>
        <w:rPr>
          <w:rFonts w:hint="eastAsia" w:ascii="宋体" w:hAnsi="宋体" w:cs="宋体"/>
          <w:color w:val="auto"/>
          <w:sz w:val="24"/>
          <w:szCs w:val="24"/>
          <w:highlight w:val="none"/>
        </w:rPr>
      </w:pPr>
      <w:r>
        <w:rPr>
          <w:rFonts w:hint="eastAsia" w:ascii="宋体" w:hAnsi="宋体" w:cs="宋体"/>
          <w:color w:val="auto"/>
          <w:szCs w:val="21"/>
          <w:highlight w:val="none"/>
        </w:rPr>
        <w:t>注：</w:t>
      </w:r>
      <w:r>
        <w:rPr>
          <w:rFonts w:hint="eastAsia" w:ascii="宋体" w:hAnsi="宋体" w:cs="宋体"/>
          <w:color w:val="auto"/>
          <w:highlight w:val="none"/>
        </w:rPr>
        <w:t>投标人根据企业自身情况进行报价，</w:t>
      </w:r>
      <w:r>
        <w:rPr>
          <w:rFonts w:hint="eastAsia" w:ascii="宋体" w:hAnsi="宋体" w:cs="宋体"/>
          <w:bCs/>
          <w:color w:val="auto"/>
          <w:highlight w:val="none"/>
        </w:rPr>
        <w:t>投标报价不得超过最高投标限价。</w:t>
      </w:r>
      <w:r>
        <w:rPr>
          <w:rFonts w:hint="eastAsia" w:ascii="宋体" w:hAnsi="宋体" w:cs="宋体"/>
          <w:color w:val="auto"/>
          <w:szCs w:val="21"/>
          <w:highlight w:val="none"/>
        </w:rPr>
        <w:t>小数点后保留两位小数，第三位小数四舍五入。</w:t>
      </w:r>
    </w:p>
    <w:p>
      <w:pPr>
        <w:spacing w:line="360" w:lineRule="auto"/>
        <w:ind w:firstLine="2880" w:firstLineChars="1200"/>
        <w:jc w:val="left"/>
        <w:rPr>
          <w:rFonts w:hint="eastAsia" w:ascii="Times New Roman" w:hAnsi="Times New Roman"/>
          <w:color w:val="auto"/>
          <w:sz w:val="24"/>
          <w:highlight w:val="none"/>
        </w:rPr>
      </w:pPr>
    </w:p>
    <w:p>
      <w:pPr>
        <w:spacing w:line="360" w:lineRule="auto"/>
        <w:ind w:firstLine="2880" w:firstLineChars="1200"/>
        <w:jc w:val="left"/>
        <w:rPr>
          <w:rFonts w:hint="eastAsia" w:ascii="Times New Roman" w:hAnsi="Times New Roman"/>
          <w:color w:val="auto"/>
          <w:sz w:val="24"/>
          <w:highlight w:val="none"/>
        </w:rPr>
      </w:pPr>
    </w:p>
    <w:p>
      <w:pPr>
        <w:spacing w:line="360" w:lineRule="auto"/>
        <w:ind w:firstLine="2880" w:firstLineChars="1200"/>
        <w:jc w:val="left"/>
        <w:rPr>
          <w:rFonts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投标人：</w:t>
      </w:r>
      <w:r>
        <w:rPr>
          <w:rFonts w:ascii="Times New Roman" w:hAnsi="Times New Roman"/>
          <w:color w:val="auto"/>
          <w:sz w:val="24"/>
          <w:highlight w:val="none"/>
          <w:u w:val="single"/>
        </w:rPr>
        <w:tab/>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（盖单位章）</w:t>
      </w:r>
    </w:p>
    <w:p>
      <w:pPr>
        <w:spacing w:line="360" w:lineRule="auto"/>
        <w:ind w:firstLine="3120" w:firstLineChars="1300"/>
        <w:jc w:val="left"/>
        <w:rPr>
          <w:rFonts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（签字</w:t>
      </w:r>
      <w:r>
        <w:rPr>
          <w:rFonts w:hint="eastAsia" w:ascii="Times New Roman" w:hAnsi="Times New Roman"/>
          <w:color w:val="auto"/>
          <w:sz w:val="24"/>
          <w:highlight w:val="none"/>
        </w:rPr>
        <w:t>或盖章</w:t>
      </w:r>
      <w:r>
        <w:rPr>
          <w:rFonts w:ascii="Times New Roman" w:hAnsi="Times New Roman"/>
          <w:color w:val="auto"/>
          <w:sz w:val="24"/>
          <w:highlight w:val="none"/>
        </w:rPr>
        <w:t>）</w:t>
      </w:r>
    </w:p>
    <w:p>
      <w:pPr>
        <w:wordWrap w:val="0"/>
        <w:spacing w:line="360" w:lineRule="auto"/>
        <w:ind w:firstLine="5400" w:firstLineChars="2250"/>
        <w:jc w:val="right"/>
        <w:rPr>
          <w:rFonts w:ascii="Times New Roman" w:hAnsi="Times New Roman"/>
          <w:color w:val="auto"/>
          <w:sz w:val="24"/>
          <w:highlight w:val="none"/>
        </w:rPr>
      </w:pPr>
      <w:r>
        <w:rPr>
          <w:rFonts w:ascii="Times New Roman" w:hAnsi="Times New Roman"/>
          <w:color w:val="auto"/>
          <w:sz w:val="24"/>
          <w:highlight w:val="none"/>
        </w:rPr>
        <w:t xml:space="preserve">   年</w:t>
      </w:r>
      <w:r>
        <w:rPr>
          <w:rFonts w:hint="eastAsia" w:ascii="Times New Roman" w:hAnsi="Times New Roman"/>
          <w:color w:val="auto"/>
          <w:sz w:val="24"/>
          <w:highlight w:val="none"/>
        </w:rPr>
        <w:t xml:space="preserve">    </w:t>
      </w:r>
      <w:r>
        <w:rPr>
          <w:rFonts w:ascii="Times New Roman" w:hAnsi="Times New Roman"/>
          <w:color w:val="auto"/>
          <w:sz w:val="24"/>
          <w:highlight w:val="none"/>
        </w:rPr>
        <w:t>月</w:t>
      </w:r>
      <w:r>
        <w:rPr>
          <w:rFonts w:hint="eastAsia" w:ascii="Times New Roman" w:hAnsi="Times New Roman"/>
          <w:color w:val="auto"/>
          <w:sz w:val="24"/>
          <w:highlight w:val="none"/>
        </w:rPr>
        <w:t xml:space="preserve">    </w:t>
      </w:r>
      <w:r>
        <w:rPr>
          <w:rFonts w:ascii="Times New Roman" w:hAnsi="Times New Roman"/>
          <w:color w:val="auto"/>
          <w:sz w:val="24"/>
          <w:highlight w:val="none"/>
        </w:rPr>
        <w:t>日</w:t>
      </w:r>
    </w:p>
    <w:p>
      <w:pPr>
        <w:pStyle w:val="8"/>
        <w:spacing w:line="600" w:lineRule="auto"/>
        <w:rPr>
          <w:rFonts w:ascii="Times New Roman" w:hAnsi="Times New Roman"/>
          <w:color w:val="auto"/>
          <w:sz w:val="30"/>
          <w:szCs w:val="30"/>
          <w:highlight w:val="none"/>
        </w:rPr>
      </w:pPr>
      <w:r>
        <w:rPr>
          <w:rFonts w:ascii="Times New Roman" w:hAnsi="Times New Roman"/>
          <w:color w:val="auto"/>
          <w:highlight w:val="none"/>
        </w:rPr>
        <w:br w:type="page"/>
      </w:r>
      <w:bookmarkStart w:id="381" w:name="_Toc535938754"/>
      <w:r>
        <w:rPr>
          <w:rFonts w:ascii="Times New Roman" w:hAnsi="Times New Roman"/>
          <w:color w:val="auto"/>
          <w:sz w:val="30"/>
          <w:szCs w:val="30"/>
          <w:highlight w:val="none"/>
        </w:rPr>
        <w:t>二</w:t>
      </w:r>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olor w:val="auto"/>
          <w:sz w:val="30"/>
          <w:szCs w:val="30"/>
          <w:highlight w:val="none"/>
        </w:rPr>
        <w:t>、法定代表人身份证明</w:t>
      </w:r>
      <w:r>
        <w:rPr>
          <w:rFonts w:hint="eastAsia" w:ascii="Times New Roman" w:hAnsi="Times New Roman"/>
          <w:color w:val="auto"/>
          <w:sz w:val="30"/>
          <w:szCs w:val="30"/>
          <w:highlight w:val="none"/>
        </w:rPr>
        <w:t>、授权委托书（如有）（格式可自定）</w:t>
      </w:r>
      <w:bookmarkEnd w:id="379"/>
      <w:bookmarkEnd w:id="380"/>
      <w:bookmarkEnd w:id="381"/>
    </w:p>
    <w:p>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法定代表人身份证明</w:t>
      </w:r>
    </w:p>
    <w:p>
      <w:pPr>
        <w:spacing w:line="440" w:lineRule="exact"/>
        <w:rPr>
          <w:rFonts w:ascii="Times New Roman" w:hAnsi="Times New Roman"/>
          <w:color w:val="auto"/>
          <w:sz w:val="24"/>
          <w:highlight w:val="none"/>
        </w:rPr>
      </w:pPr>
      <w:r>
        <w:rPr>
          <w:rFonts w:ascii="Times New Roman" w:hAnsi="Times New Roman"/>
          <w:color w:val="auto"/>
          <w:sz w:val="24"/>
          <w:highlight w:val="none"/>
        </w:rPr>
        <w:t>投标人名称：</w:t>
      </w:r>
      <w:r>
        <w:rPr>
          <w:rFonts w:ascii="Times New Roman" w:hAnsi="Times New Roman"/>
          <w:color w:val="auto"/>
          <w:sz w:val="24"/>
          <w:highlight w:val="none"/>
          <w:u w:val="single"/>
        </w:rPr>
        <w:t xml:space="preserve">                        </w:t>
      </w:r>
    </w:p>
    <w:p>
      <w:pPr>
        <w:spacing w:line="440" w:lineRule="exact"/>
        <w:rPr>
          <w:rFonts w:ascii="Times New Roman" w:hAnsi="Times New Roman"/>
          <w:color w:val="auto"/>
          <w:sz w:val="24"/>
          <w:highlight w:val="none"/>
        </w:rPr>
      </w:pPr>
      <w:r>
        <w:rPr>
          <w:rFonts w:ascii="Times New Roman" w:hAnsi="Times New Roman"/>
          <w:color w:val="auto"/>
          <w:sz w:val="24"/>
          <w:highlight w:val="none"/>
        </w:rPr>
        <w:t>姓名：</w:t>
      </w:r>
      <w:r>
        <w:rPr>
          <w:rFonts w:ascii="Times New Roman" w:hAnsi="Times New Roman"/>
          <w:color w:val="auto"/>
          <w:sz w:val="24"/>
          <w:highlight w:val="none"/>
          <w:u w:val="single"/>
        </w:rPr>
        <w:t xml:space="preserve">                </w:t>
      </w:r>
      <w:r>
        <w:rPr>
          <w:rFonts w:ascii="Times New Roman" w:hAnsi="Times New Roman"/>
          <w:color w:val="auto"/>
          <w:sz w:val="24"/>
          <w:highlight w:val="none"/>
        </w:rPr>
        <w:t>性别：</w:t>
      </w:r>
      <w:bookmarkStart w:id="382" w:name="_Toc352691662"/>
      <w:bookmarkStart w:id="383" w:name="_Toc369531698"/>
      <w:bookmarkStart w:id="384" w:name="_Toc27897"/>
      <w:r>
        <w:rPr>
          <w:rFonts w:ascii="Times New Roman" w:hAnsi="Times New Roman"/>
          <w:color w:val="auto"/>
          <w:sz w:val="24"/>
          <w:highlight w:val="none"/>
          <w:u w:val="single"/>
        </w:rPr>
        <w:t xml:space="preserve">        </w:t>
      </w:r>
      <w:r>
        <w:rPr>
          <w:rFonts w:ascii="Times New Roman" w:hAnsi="Times New Roman"/>
          <w:color w:val="auto"/>
          <w:sz w:val="24"/>
          <w:highlight w:val="none"/>
        </w:rPr>
        <w:t>年</w:t>
      </w:r>
      <w:bookmarkEnd w:id="382"/>
      <w:bookmarkEnd w:id="383"/>
      <w:bookmarkEnd w:id="384"/>
      <w:r>
        <w:rPr>
          <w:rFonts w:ascii="Times New Roman" w:hAnsi="Times New Roman"/>
          <w:color w:val="auto"/>
          <w:sz w:val="24"/>
          <w:highlight w:val="none"/>
        </w:rPr>
        <w:t>龄</w:t>
      </w:r>
      <w:bookmarkStart w:id="385" w:name="_Toc152042578"/>
      <w:bookmarkStart w:id="386" w:name="_Toc352691663"/>
      <w:bookmarkStart w:id="387" w:name="_Toc369531699"/>
      <w:bookmarkStart w:id="388" w:name="_Toc15573"/>
      <w:bookmarkStart w:id="389" w:name="_Toc247527829"/>
      <w:bookmarkStart w:id="390" w:name="_Toc247514248"/>
      <w:bookmarkStart w:id="391" w:name="_Toc152045789"/>
      <w:bookmarkStart w:id="392" w:name="_Toc361508754"/>
      <w:bookmarkStart w:id="393" w:name="_Toc144974858"/>
      <w:bookmarkStart w:id="394" w:name="_Toc300835211"/>
      <w:bookmarkStart w:id="395" w:name="_Toc384308377"/>
      <w:r>
        <w:rPr>
          <w:rFonts w:ascii="Times New Roman" w:hAnsi="Times New Roman"/>
          <w:color w:val="auto"/>
          <w:sz w:val="24"/>
          <w:highlight w:val="none"/>
        </w:rPr>
        <w:t>：</w:t>
      </w:r>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olor w:val="auto"/>
          <w:sz w:val="24"/>
          <w:highlight w:val="none"/>
          <w:u w:val="single"/>
        </w:rPr>
        <w:t xml:space="preserve">        </w:t>
      </w:r>
      <w:r>
        <w:rPr>
          <w:rFonts w:ascii="Times New Roman" w:hAnsi="Times New Roman"/>
          <w:color w:val="auto"/>
          <w:sz w:val="24"/>
          <w:highlight w:val="none"/>
        </w:rPr>
        <w:t>职务：</w:t>
      </w:r>
      <w:r>
        <w:rPr>
          <w:rFonts w:ascii="Times New Roman" w:hAnsi="Times New Roman"/>
          <w:color w:val="auto"/>
          <w:sz w:val="24"/>
          <w:highlight w:val="none"/>
          <w:u w:val="single"/>
        </w:rPr>
        <w:t xml:space="preserve">        </w:t>
      </w:r>
    </w:p>
    <w:p>
      <w:pPr>
        <w:spacing w:line="440" w:lineRule="exact"/>
        <w:rPr>
          <w:rFonts w:ascii="Times New Roman" w:hAnsi="Times New Roman"/>
          <w:color w:val="auto"/>
          <w:sz w:val="24"/>
          <w:highlight w:val="none"/>
        </w:rPr>
      </w:pPr>
      <w:r>
        <w:rPr>
          <w:rFonts w:ascii="Times New Roman" w:hAnsi="Times New Roman"/>
          <w:color w:val="auto"/>
          <w:sz w:val="24"/>
          <w:highlight w:val="none"/>
        </w:rPr>
        <w:t>系</w:t>
      </w:r>
      <w:r>
        <w:rPr>
          <w:rFonts w:ascii="Times New Roman" w:hAnsi="Times New Roman"/>
          <w:color w:val="auto"/>
          <w:sz w:val="24"/>
          <w:highlight w:val="none"/>
          <w:u w:val="single"/>
        </w:rPr>
        <w:t xml:space="preserve">                        </w:t>
      </w:r>
      <w:r>
        <w:rPr>
          <w:rFonts w:ascii="Times New Roman" w:hAnsi="Times New Roman"/>
          <w:color w:val="auto"/>
          <w:sz w:val="24"/>
          <w:highlight w:val="none"/>
        </w:rPr>
        <w:t>（投标人名称）的法定代表人。</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特此证明。</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附：法定代表人身份证</w:t>
      </w:r>
      <w:r>
        <w:rPr>
          <w:rFonts w:hint="eastAsia" w:ascii="Times New Roman" w:hAnsi="Times New Roman"/>
          <w:color w:val="auto"/>
          <w:sz w:val="24"/>
          <w:highlight w:val="none"/>
        </w:rPr>
        <w:t>扫描件</w:t>
      </w:r>
      <w:r>
        <w:rPr>
          <w:rFonts w:ascii="Times New Roman" w:hAnsi="Times New Roman"/>
          <w:color w:val="auto"/>
          <w:sz w:val="24"/>
          <w:highlight w:val="none"/>
        </w:rPr>
        <w:t>。</w:t>
      </w:r>
    </w:p>
    <w:p>
      <w:pPr>
        <w:spacing w:line="440" w:lineRule="exact"/>
        <w:ind w:firstLine="480" w:firstLineChars="200"/>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注：本身份证明需由投标人加盖单位公章。</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p>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 xml:space="preserve">                              投标人：</w:t>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ascii="Times New Roman" w:hAnsi="Times New Roman"/>
          <w:color w:val="auto"/>
          <w:sz w:val="24"/>
          <w:highlight w:val="none"/>
        </w:rPr>
        <w:t>（</w:t>
      </w:r>
      <w:r>
        <w:rPr>
          <w:rFonts w:hint="eastAsia" w:ascii="Times New Roman" w:hAnsi="Times New Roman"/>
          <w:color w:val="auto"/>
          <w:sz w:val="24"/>
          <w:highlight w:val="none"/>
        </w:rPr>
        <w:t>盖</w:t>
      </w:r>
      <w:r>
        <w:rPr>
          <w:rFonts w:ascii="Times New Roman" w:hAnsi="Times New Roman"/>
          <w:color w:val="auto"/>
          <w:sz w:val="24"/>
          <w:highlight w:val="none"/>
        </w:rPr>
        <w:t>单位</w:t>
      </w:r>
      <w:r>
        <w:rPr>
          <w:rFonts w:hint="eastAsia" w:ascii="Times New Roman" w:hAnsi="Times New Roman"/>
          <w:color w:val="auto"/>
          <w:sz w:val="24"/>
          <w:highlight w:val="none"/>
        </w:rPr>
        <w:t>章</w:t>
      </w:r>
      <w:r>
        <w:rPr>
          <w:rFonts w:ascii="Times New Roman" w:hAnsi="Times New Roman"/>
          <w:color w:val="auto"/>
          <w:sz w:val="24"/>
          <w:highlight w:val="none"/>
        </w:rPr>
        <w:t>）</w:t>
      </w:r>
    </w:p>
    <w:p>
      <w:pPr>
        <w:spacing w:line="440" w:lineRule="exact"/>
        <w:rPr>
          <w:rFonts w:ascii="Times New Roman" w:hAnsi="Times New Roman"/>
          <w:color w:val="auto"/>
          <w:sz w:val="24"/>
          <w:highlight w:val="none"/>
        </w:rPr>
      </w:pPr>
    </w:p>
    <w:p>
      <w:pPr>
        <w:spacing w:line="440" w:lineRule="exact"/>
        <w:ind w:firstLine="5280" w:firstLineChars="2200"/>
        <w:rPr>
          <w:rFonts w:ascii="Times New Roman" w:hAnsi="Times New Roman"/>
          <w:color w:val="auto"/>
          <w:sz w:val="24"/>
          <w:highlight w:val="none"/>
        </w:rPr>
      </w:pP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p>
    <w:p>
      <w:pPr>
        <w:spacing w:line="440" w:lineRule="exact"/>
        <w:rPr>
          <w:rFonts w:ascii="Times New Roman" w:hAnsi="Times New Roman"/>
          <w:color w:val="auto"/>
          <w:sz w:val="24"/>
          <w:highlight w:val="none"/>
        </w:rPr>
      </w:pPr>
    </w:p>
    <w:p>
      <w:pPr>
        <w:spacing w:line="360" w:lineRule="auto"/>
        <w:jc w:val="center"/>
        <w:rPr>
          <w:rFonts w:ascii="Times New Roman" w:hAnsi="Times New Roman"/>
          <w:b/>
          <w:color w:val="auto"/>
          <w:sz w:val="28"/>
          <w:szCs w:val="28"/>
          <w:highlight w:val="none"/>
        </w:rPr>
      </w:pPr>
      <w:bookmarkStart w:id="396" w:name="_Toc530470647"/>
      <w:bookmarkStart w:id="397" w:name="_Toc529196604"/>
      <w:r>
        <w:rPr>
          <w:rFonts w:ascii="Times New Roman" w:hAnsi="Times New Roman"/>
          <w:b/>
          <w:bCs/>
          <w:color w:val="auto"/>
          <w:sz w:val="20"/>
          <w:highlight w:val="none"/>
        </w:rPr>
        <w:br w:type="page"/>
      </w:r>
      <w:bookmarkStart w:id="398" w:name="_Toc535938755"/>
      <w:r>
        <w:rPr>
          <w:rFonts w:ascii="Times New Roman" w:hAnsi="Times New Roman"/>
          <w:color w:val="auto"/>
          <w:sz w:val="28"/>
          <w:szCs w:val="28"/>
          <w:highlight w:val="none"/>
        </w:rPr>
        <w:t xml:space="preserve"> </w:t>
      </w:r>
      <w:bookmarkEnd w:id="396"/>
      <w:bookmarkEnd w:id="397"/>
      <w:bookmarkEnd w:id="398"/>
      <w:r>
        <w:rPr>
          <w:rFonts w:hint="eastAsia" w:ascii="Times New Roman" w:hAnsi="Times New Roman"/>
          <w:b/>
          <w:color w:val="auto"/>
          <w:sz w:val="28"/>
          <w:szCs w:val="28"/>
          <w:highlight w:val="none"/>
        </w:rPr>
        <w:t>授权委托书</w:t>
      </w:r>
    </w:p>
    <w:p>
      <w:pPr>
        <w:topLinePunct/>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本人</w:t>
      </w:r>
      <w:r>
        <w:rPr>
          <w:rFonts w:ascii="Times New Roman" w:hAnsi="Times New Roman"/>
          <w:color w:val="auto"/>
          <w:sz w:val="24"/>
          <w:highlight w:val="none"/>
          <w:u w:val="single"/>
        </w:rPr>
        <w:t xml:space="preserve">              </w:t>
      </w:r>
      <w:r>
        <w:rPr>
          <w:rFonts w:ascii="Times New Roman" w:hAnsi="Times New Roman"/>
          <w:color w:val="auto"/>
          <w:sz w:val="24"/>
          <w:highlight w:val="none"/>
        </w:rPr>
        <w:t>（姓名）系</w:t>
      </w:r>
      <w:r>
        <w:rPr>
          <w:rFonts w:ascii="Times New Roman" w:hAnsi="Times New Roman"/>
          <w:color w:val="auto"/>
          <w:sz w:val="24"/>
          <w:highlight w:val="none"/>
          <w:u w:val="single"/>
        </w:rPr>
        <w:t xml:space="preserve">                    </w:t>
      </w:r>
      <w:r>
        <w:rPr>
          <w:rFonts w:ascii="Times New Roman" w:hAnsi="Times New Roman"/>
          <w:color w:val="auto"/>
          <w:sz w:val="24"/>
          <w:highlight w:val="none"/>
        </w:rPr>
        <w:t>（投标人名称）的法定代表人，现委托</w:t>
      </w:r>
      <w:r>
        <w:rPr>
          <w:rFonts w:ascii="Times New Roman" w:hAnsi="Times New Roman"/>
          <w:color w:val="auto"/>
          <w:sz w:val="24"/>
          <w:highlight w:val="none"/>
          <w:u w:val="single"/>
        </w:rPr>
        <w:t xml:space="preserve">            </w:t>
      </w:r>
      <w:r>
        <w:rPr>
          <w:rFonts w:ascii="Times New Roman" w:hAnsi="Times New Roman"/>
          <w:color w:val="auto"/>
          <w:sz w:val="24"/>
          <w:highlight w:val="none"/>
        </w:rPr>
        <w:t>（姓名）为我方代理人。代理人根据授权，以我方名义签署、澄清确认、递交、撤回、修改</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招标项目投标文件、签订合同和处理有关事宜，其法律后果由我方承担。</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委托期限：</w:t>
      </w:r>
      <w:r>
        <w:rPr>
          <w:rFonts w:ascii="Times New Roman" w:hAnsi="Times New Roman"/>
          <w:color w:val="auto"/>
          <w:sz w:val="24"/>
          <w:highlight w:val="none"/>
          <w:u w:val="single"/>
        </w:rPr>
        <w:t xml:space="preserve">                       </w:t>
      </w:r>
      <w:r>
        <w:rPr>
          <w:rFonts w:ascii="Times New Roman" w:hAnsi="Times New Roman"/>
          <w:color w:val="auto"/>
          <w:sz w:val="24"/>
          <w:highlight w:val="none"/>
        </w:rPr>
        <w:t>。</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代理人无转委托权。</w:t>
      </w:r>
    </w:p>
    <w:p>
      <w:pPr>
        <w:spacing w:line="440" w:lineRule="exact"/>
        <w:ind w:firstLine="480" w:firstLineChars="200"/>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附：法定代表人身份证</w:t>
      </w:r>
      <w:r>
        <w:rPr>
          <w:rFonts w:hint="eastAsia" w:ascii="Times New Roman" w:hAnsi="Times New Roman"/>
          <w:color w:val="auto"/>
          <w:sz w:val="24"/>
          <w:highlight w:val="none"/>
        </w:rPr>
        <w:t>扫描件</w:t>
      </w:r>
      <w:r>
        <w:rPr>
          <w:rFonts w:ascii="Times New Roman" w:hAnsi="Times New Roman"/>
          <w:color w:val="auto"/>
          <w:sz w:val="24"/>
          <w:highlight w:val="none"/>
        </w:rPr>
        <w:t>及委托代理人身份证</w:t>
      </w:r>
      <w:r>
        <w:rPr>
          <w:rFonts w:hint="eastAsia" w:ascii="Times New Roman" w:hAnsi="Times New Roman"/>
          <w:color w:val="auto"/>
          <w:sz w:val="24"/>
          <w:highlight w:val="none"/>
        </w:rPr>
        <w:t>扫描件</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注：本授权委托书需由投标人加盖单位公章并由其法定代表人和委托代理人签字。</w:t>
      </w:r>
    </w:p>
    <w:p>
      <w:pPr>
        <w:spacing w:line="440" w:lineRule="exact"/>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投  标  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ascii="Times New Roman" w:hAnsi="Times New Roman"/>
          <w:color w:val="auto"/>
          <w:sz w:val="24"/>
          <w:highlight w:val="none"/>
        </w:rPr>
        <w:t>（</w:t>
      </w:r>
      <w:r>
        <w:rPr>
          <w:rFonts w:hint="eastAsia" w:ascii="Times New Roman" w:hAnsi="Times New Roman"/>
          <w:color w:val="auto"/>
          <w:sz w:val="24"/>
          <w:highlight w:val="none"/>
        </w:rPr>
        <w:t>盖</w:t>
      </w:r>
      <w:r>
        <w:rPr>
          <w:rFonts w:ascii="Times New Roman" w:hAnsi="Times New Roman"/>
          <w:color w:val="auto"/>
          <w:sz w:val="24"/>
          <w:highlight w:val="none"/>
        </w:rPr>
        <w:t>单位</w:t>
      </w:r>
      <w:r>
        <w:rPr>
          <w:rFonts w:hint="eastAsia" w:ascii="Times New Roman" w:hAnsi="Times New Roman"/>
          <w:color w:val="auto"/>
          <w:sz w:val="24"/>
          <w:highlight w:val="none"/>
        </w:rPr>
        <w:t>章</w:t>
      </w:r>
      <w:r>
        <w:rPr>
          <w:rFonts w:ascii="Times New Roman" w:hAnsi="Times New Roman"/>
          <w:color w:val="auto"/>
          <w:sz w:val="24"/>
          <w:highlight w:val="none"/>
        </w:rPr>
        <w:t>）</w:t>
      </w:r>
    </w:p>
    <w:p>
      <w:pPr>
        <w:spacing w:line="440" w:lineRule="exact"/>
        <w:ind w:firstLine="3076" w:firstLineChars="1282"/>
        <w:rPr>
          <w:rFonts w:ascii="Times New Roman" w:hAnsi="Times New Roman"/>
          <w:color w:val="auto"/>
          <w:sz w:val="24"/>
          <w:highlight w:val="none"/>
        </w:rPr>
      </w:pPr>
    </w:p>
    <w:p>
      <w:pPr>
        <w:spacing w:line="440" w:lineRule="exact"/>
        <w:ind w:firstLine="3074" w:firstLineChars="1281"/>
        <w:rPr>
          <w:rFonts w:ascii="Times New Roman" w:hAnsi="Times New Roman"/>
          <w:color w:val="auto"/>
          <w:sz w:val="24"/>
          <w:highlight w:val="none"/>
        </w:rPr>
      </w:pPr>
      <w:r>
        <w:rPr>
          <w:rFonts w:ascii="Times New Roman" w:hAnsi="Times New Roman"/>
          <w:color w:val="auto"/>
          <w:sz w:val="24"/>
          <w:highlight w:val="none"/>
        </w:rPr>
        <w:t>法定代表人：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hint="eastAsia" w:ascii="宋体" w:hAnsi="宋体" w:cs="宋体"/>
          <w:color w:val="auto"/>
          <w:sz w:val="24"/>
          <w:szCs w:val="24"/>
          <w:highlight w:val="none"/>
        </w:rPr>
        <w:t>（签字或盖章）</w:t>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身份证号码：</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委托代理人：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hint="eastAsia" w:ascii="宋体" w:hAnsi="宋体" w:cs="宋体"/>
          <w:color w:val="auto"/>
          <w:sz w:val="24"/>
          <w:szCs w:val="24"/>
          <w:highlight w:val="none"/>
        </w:rPr>
        <w:t>（签字或盖章）</w:t>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highlight w:val="none"/>
        </w:rPr>
      </w:pPr>
      <w:r>
        <w:rPr>
          <w:rFonts w:ascii="Times New Roman" w:hAnsi="Times New Roman"/>
          <w:color w:val="auto"/>
          <w:sz w:val="24"/>
          <w:highlight w:val="none"/>
        </w:rPr>
        <w:t>身份证号码：</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p>
    <w:p>
      <w:pPr>
        <w:spacing w:line="440" w:lineRule="exact"/>
        <w:ind w:firstLine="2692" w:firstLineChars="1282"/>
        <w:rPr>
          <w:rFonts w:ascii="Times New Roman" w:hAnsi="Times New Roman"/>
          <w:color w:val="auto"/>
          <w:highlight w:val="none"/>
        </w:rPr>
      </w:pPr>
    </w:p>
    <w:p>
      <w:pPr>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40" w:lineRule="exact"/>
        <w:ind w:firstLine="4057" w:firstLineChars="1932"/>
        <w:jc w:val="right"/>
        <w:rPr>
          <w:rFonts w:ascii="Times New Roman" w:hAnsi="Times New Roman"/>
          <w:color w:val="auto"/>
          <w:highlight w:val="none"/>
        </w:rPr>
      </w:pPr>
    </w:p>
    <w:p>
      <w:pPr>
        <w:spacing w:line="440" w:lineRule="exact"/>
        <w:ind w:firstLine="4057" w:firstLineChars="1932"/>
        <w:jc w:val="right"/>
        <w:rPr>
          <w:rFonts w:ascii="Times New Roman" w:hAnsi="Times New Roman"/>
          <w:color w:val="auto"/>
          <w:highlight w:val="none"/>
        </w:rPr>
        <w:sectPr>
          <w:footerReference r:id="rId9" w:type="default"/>
          <w:pgSz w:w="12240" w:h="15840"/>
          <w:pgMar w:top="1440" w:right="1425" w:bottom="1440" w:left="1800" w:header="720" w:footer="720" w:gutter="0"/>
          <w:pgNumType w:fmt="decimal"/>
          <w:cols w:space="720" w:num="1"/>
          <w:docGrid w:linePitch="285" w:charSpace="0"/>
        </w:sectPr>
      </w:pPr>
      <w:r>
        <w:rPr>
          <w:rFonts w:ascii="Times New Roman" w:hAnsi="Times New Roman"/>
          <w:color w:val="auto"/>
          <w:highlight w:val="none"/>
        </w:rPr>
        <w:br w:type="page"/>
      </w:r>
    </w:p>
    <w:p>
      <w:pPr>
        <w:pStyle w:val="8"/>
        <w:spacing w:line="600" w:lineRule="auto"/>
        <w:jc w:val="center"/>
        <w:rPr>
          <w:rFonts w:ascii="Times New Roman" w:hAnsi="Times New Roman"/>
          <w:color w:val="auto"/>
          <w:sz w:val="30"/>
          <w:szCs w:val="30"/>
          <w:highlight w:val="none"/>
        </w:rPr>
      </w:pPr>
      <w:bookmarkStart w:id="399" w:name="_Toc529196606"/>
      <w:bookmarkStart w:id="400" w:name="_Toc530470649"/>
      <w:bookmarkStart w:id="401" w:name="_Toc535938757"/>
      <w:r>
        <w:rPr>
          <w:rFonts w:hint="eastAsia" w:ascii="Times New Roman" w:hAnsi="Times New Roman"/>
          <w:color w:val="auto"/>
          <w:sz w:val="30"/>
          <w:szCs w:val="30"/>
          <w:highlight w:val="none"/>
        </w:rPr>
        <w:t>三</w:t>
      </w:r>
      <w:r>
        <w:rPr>
          <w:rFonts w:ascii="Times New Roman" w:hAnsi="Times New Roman"/>
          <w:color w:val="auto"/>
          <w:sz w:val="30"/>
          <w:szCs w:val="30"/>
          <w:highlight w:val="none"/>
        </w:rPr>
        <w:t>、监理报酬清单</w:t>
      </w:r>
      <w:bookmarkEnd w:id="399"/>
      <w:bookmarkEnd w:id="400"/>
      <w:bookmarkEnd w:id="401"/>
    </w:p>
    <w:p>
      <w:pPr>
        <w:spacing w:line="440" w:lineRule="exact"/>
        <w:ind w:firstLine="480" w:firstLineChars="200"/>
        <w:jc w:val="right"/>
        <w:rPr>
          <w:rFonts w:ascii="宋体" w:hAnsi="宋体" w:cs="宋体"/>
          <w:color w:val="auto"/>
          <w:sz w:val="24"/>
          <w:szCs w:val="24"/>
          <w:highlight w:val="none"/>
        </w:rPr>
      </w:pPr>
      <w:bookmarkStart w:id="402" w:name="_Toc530470650"/>
      <w:bookmarkStart w:id="403" w:name="_Toc529196608"/>
      <w:bookmarkStart w:id="404" w:name="_Toc525827486"/>
      <w:bookmarkStart w:id="405" w:name="_Toc525828220"/>
      <w:bookmarkStart w:id="406" w:name="_Toc361508760"/>
      <w:r>
        <w:rPr>
          <w:rFonts w:hint="eastAsia" w:ascii="宋体" w:hAnsi="宋体" w:cs="宋体"/>
          <w:color w:val="auto"/>
          <w:sz w:val="24"/>
          <w:szCs w:val="24"/>
          <w:highlight w:val="none"/>
        </w:rPr>
        <w:t>单位：人民币元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410"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监理报酬分项名称</w:t>
            </w:r>
          </w:p>
        </w:tc>
        <w:tc>
          <w:tcPr>
            <w:tcW w:w="2268"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计算依据、过程和公式</w:t>
            </w:r>
          </w:p>
        </w:tc>
        <w:tc>
          <w:tcPr>
            <w:tcW w:w="1322"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金额（元）</w:t>
            </w:r>
          </w:p>
        </w:tc>
        <w:tc>
          <w:tcPr>
            <w:tcW w:w="2232"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410" w:type="dxa"/>
            <w:noWrap/>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合计报价</w:t>
            </w: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bl>
    <w:p>
      <w:pPr>
        <w:spacing w:line="400" w:lineRule="exact"/>
        <w:rPr>
          <w:rFonts w:ascii="宋体" w:hAnsi="宋体" w:cs="宋体"/>
          <w:color w:val="auto"/>
          <w:sz w:val="24"/>
          <w:szCs w:val="24"/>
          <w:highlight w:val="none"/>
        </w:rPr>
      </w:pPr>
    </w:p>
    <w:p>
      <w:pPr>
        <w:pStyle w:val="128"/>
        <w:ind w:firstLine="496"/>
        <w:rPr>
          <w:rFonts w:ascii="Times New Roman" w:hAnsi="Times New Roman"/>
          <w:color w:val="auto"/>
          <w:highlight w:val="none"/>
        </w:rPr>
      </w:pPr>
      <w:r>
        <w:rPr>
          <w:rFonts w:hint="eastAsia" w:ascii="宋体" w:hAnsi="宋体" w:cs="宋体"/>
          <w:snapToGrid w:val="0"/>
          <w:color w:val="auto"/>
          <w:highlight w:val="none"/>
        </w:rPr>
        <w:t>注：监理报酬报价总金额不能超过最高限价</w:t>
      </w:r>
    </w:p>
    <w:p>
      <w:pPr>
        <w:pStyle w:val="128"/>
        <w:ind w:firstLine="496"/>
        <w:rPr>
          <w:rFonts w:ascii="Times New Roman" w:hAnsi="Times New Roman"/>
          <w:color w:val="auto"/>
          <w:highlight w:val="none"/>
        </w:rPr>
      </w:pPr>
    </w:p>
    <w:p>
      <w:pPr>
        <w:pStyle w:val="128"/>
        <w:ind w:firstLine="496"/>
        <w:rPr>
          <w:rFonts w:ascii="Times New Roman" w:hAnsi="Times New Roman"/>
          <w:color w:val="auto"/>
          <w:highlight w:val="none"/>
          <w:u w:val="single"/>
        </w:rPr>
      </w:pPr>
      <w:r>
        <w:rPr>
          <w:rFonts w:hint="eastAsia" w:ascii="Times New Roman" w:hAnsi="Times New Roman"/>
          <w:color w:val="auto"/>
          <w:highlight w:val="none"/>
        </w:rPr>
        <w:t>投 标 人：(盖公章)</w:t>
      </w:r>
      <w:r>
        <w:rPr>
          <w:rFonts w:hint="eastAsia" w:ascii="Times New Roman" w:hAnsi="Times New Roman"/>
          <w:color w:val="auto"/>
          <w:highlight w:val="none"/>
          <w:u w:val="single"/>
        </w:rPr>
        <w:t xml:space="preserve">                                   </w:t>
      </w:r>
    </w:p>
    <w:p>
      <w:pPr>
        <w:pStyle w:val="128"/>
        <w:ind w:firstLine="552"/>
        <w:rPr>
          <w:rFonts w:ascii="Times New Roman" w:hAnsi="Times New Roman"/>
          <w:color w:val="auto"/>
          <w:highlight w:val="none"/>
        </w:rPr>
      </w:pPr>
      <w:r>
        <w:rPr>
          <w:rFonts w:hint="eastAsia" w:ascii="Times New Roman" w:hAnsi="Times New Roman"/>
          <w:color w:val="auto"/>
          <w:spacing w:val="18"/>
          <w:highlight w:val="none"/>
        </w:rPr>
        <w:t>法定代表人</w:t>
      </w:r>
      <w:r>
        <w:rPr>
          <w:rFonts w:ascii="Times New Roman" w:hAnsi="Times New Roman"/>
          <w:color w:val="auto"/>
          <w:spacing w:val="18"/>
          <w:highlight w:val="none"/>
        </w:rPr>
        <w:t>(</w:t>
      </w:r>
      <w:r>
        <w:rPr>
          <w:rFonts w:hint="eastAsia" w:ascii="Times New Roman" w:hAnsi="Times New Roman"/>
          <w:color w:val="auto"/>
          <w:spacing w:val="18"/>
          <w:highlight w:val="none"/>
        </w:rPr>
        <w:t>或被授权人</w:t>
      </w:r>
      <w:r>
        <w:rPr>
          <w:rFonts w:ascii="Times New Roman" w:hAnsi="Times New Roman"/>
          <w:color w:val="auto"/>
          <w:spacing w:val="18"/>
          <w:highlight w:val="none"/>
        </w:rPr>
        <w:t>)</w:t>
      </w:r>
      <w:r>
        <w:rPr>
          <w:rFonts w:hint="eastAsia" w:ascii="Times New Roman" w:hAnsi="Times New Roman"/>
          <w:color w:val="auto"/>
          <w:spacing w:val="18"/>
          <w:highlight w:val="none"/>
        </w:rPr>
        <w:t>（签名或盖章）：</w:t>
      </w:r>
      <w:r>
        <w:rPr>
          <w:rFonts w:hint="eastAsia" w:ascii="Times New Roman" w:hAnsi="Times New Roman"/>
          <w:color w:val="auto"/>
          <w:highlight w:val="none"/>
          <w:u w:val="single"/>
        </w:rPr>
        <w:t xml:space="preserve">               </w:t>
      </w:r>
    </w:p>
    <w:p>
      <w:pPr>
        <w:pStyle w:val="128"/>
        <w:ind w:firstLine="496"/>
        <w:rPr>
          <w:rFonts w:ascii="Times New Roman" w:hAnsi="Times New Roman"/>
          <w:color w:val="auto"/>
          <w:highlight w:val="none"/>
        </w:rPr>
      </w:pPr>
      <w:r>
        <w:rPr>
          <w:rFonts w:hint="eastAsia" w:ascii="Times New Roman" w:hAnsi="Times New Roman"/>
          <w:color w:val="auto"/>
          <w:highlight w:val="none"/>
        </w:rPr>
        <w:t>日    期：</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pPr>
        <w:pStyle w:val="128"/>
        <w:ind w:firstLine="496"/>
        <w:rPr>
          <w:rFonts w:ascii="Times New Roman" w:hAnsi="Times New Roman"/>
          <w:color w:val="auto"/>
          <w:highlight w:val="none"/>
          <w:u w:val="single"/>
        </w:rPr>
      </w:pPr>
      <w:r>
        <w:rPr>
          <w:rFonts w:hint="eastAsia" w:ascii="Times New Roman" w:hAnsi="Times New Roman"/>
          <w:color w:val="auto"/>
          <w:highlight w:val="none"/>
        </w:rPr>
        <w:t>电    话：</w:t>
      </w:r>
      <w:r>
        <w:rPr>
          <w:rFonts w:hint="eastAsia" w:ascii="Times New Roman" w:hAnsi="Times New Roman"/>
          <w:color w:val="auto"/>
          <w:highlight w:val="none"/>
          <w:u w:val="single"/>
        </w:rPr>
        <w:t xml:space="preserve">                     </w:t>
      </w:r>
    </w:p>
    <w:p>
      <w:pPr>
        <w:pStyle w:val="128"/>
        <w:ind w:firstLine="496"/>
        <w:rPr>
          <w:rFonts w:ascii="Times New Roman" w:hAnsi="Times New Roman"/>
          <w:color w:val="auto"/>
          <w:highlight w:val="none"/>
        </w:rPr>
      </w:pPr>
      <w:r>
        <w:rPr>
          <w:rFonts w:hint="eastAsia" w:ascii="Times New Roman" w:hAnsi="Times New Roman"/>
          <w:color w:val="auto"/>
          <w:highlight w:val="none"/>
        </w:rPr>
        <w:t>传    真：</w:t>
      </w:r>
    </w:p>
    <w:p>
      <w:pPr>
        <w:spacing w:line="360" w:lineRule="auto"/>
        <w:jc w:val="center"/>
        <w:rPr>
          <w:rFonts w:ascii="Times New Roman" w:hAnsi="Times New Roman"/>
          <w:b/>
          <w:color w:val="auto"/>
          <w:sz w:val="28"/>
          <w:szCs w:val="28"/>
          <w:highlight w:val="none"/>
        </w:rPr>
      </w:pPr>
      <w:r>
        <w:rPr>
          <w:rFonts w:ascii="Times New Roman" w:hAnsi="Times New Roman"/>
          <w:b/>
          <w:color w:val="auto"/>
          <w:sz w:val="32"/>
          <w:szCs w:val="32"/>
          <w:highlight w:val="none"/>
        </w:rPr>
        <w:br w:type="page"/>
      </w:r>
    </w:p>
    <w:bookmarkEnd w:id="402"/>
    <w:bookmarkEnd w:id="403"/>
    <w:bookmarkEnd w:id="404"/>
    <w:bookmarkEnd w:id="405"/>
    <w:p>
      <w:pPr>
        <w:spacing w:line="360" w:lineRule="auto"/>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四</w:t>
      </w:r>
      <w:r>
        <w:rPr>
          <w:rFonts w:ascii="Times New Roman" w:hAnsi="Times New Roman"/>
          <w:b/>
          <w:bCs/>
          <w:color w:val="auto"/>
          <w:sz w:val="30"/>
          <w:szCs w:val="30"/>
          <w:highlight w:val="none"/>
        </w:rPr>
        <w:t>、</w:t>
      </w:r>
      <w:r>
        <w:rPr>
          <w:rFonts w:hint="eastAsia" w:ascii="Times New Roman" w:hAnsi="Times New Roman"/>
          <w:b/>
          <w:bCs/>
          <w:color w:val="auto"/>
          <w:sz w:val="30"/>
          <w:szCs w:val="30"/>
          <w:highlight w:val="none"/>
        </w:rPr>
        <w:t>资格审查资料</w:t>
      </w: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（一）基本情况表（格式可自定）</w:t>
      </w:r>
    </w:p>
    <w:tbl>
      <w:tblPr>
        <w:tblStyle w:val="4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投标人名称</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注册地址</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邮政编码</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联系方式</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联系人</w:t>
            </w:r>
          </w:p>
        </w:tc>
        <w:tc>
          <w:tcPr>
            <w:tcW w:w="2217" w:type="dxa"/>
            <w:gridSpan w:val="2"/>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 话</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color w:val="auto"/>
                <w:sz w:val="24"/>
                <w:highlight w:val="none"/>
              </w:rPr>
            </w:pP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传  真</w:t>
            </w:r>
          </w:p>
        </w:tc>
        <w:tc>
          <w:tcPr>
            <w:tcW w:w="2217" w:type="dxa"/>
            <w:gridSpan w:val="2"/>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网 址</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法定代表人</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pPr>
              <w:topLinePunct/>
              <w:spacing w:line="440" w:lineRule="exact"/>
              <w:jc w:val="center"/>
              <w:rPr>
                <w:rFonts w:ascii="Times New Roman" w:hAnsi="Times New Roman"/>
                <w:color w:val="auto"/>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pPr>
              <w:topLinePunct/>
              <w:spacing w:line="440" w:lineRule="exact"/>
              <w:jc w:val="center"/>
              <w:rPr>
                <w:rFonts w:ascii="Times New Roman" w:hAnsi="Times New Roman"/>
                <w:color w:val="auto"/>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技术负责人</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pPr>
              <w:topLinePunct/>
              <w:spacing w:line="440" w:lineRule="exact"/>
              <w:jc w:val="center"/>
              <w:rPr>
                <w:rFonts w:ascii="Times New Roman" w:hAnsi="Times New Roman"/>
                <w:color w:val="auto"/>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pPr>
              <w:topLinePunct/>
              <w:spacing w:line="440" w:lineRule="exact"/>
              <w:jc w:val="center"/>
              <w:rPr>
                <w:rFonts w:ascii="Times New Roman" w:hAnsi="Times New Roman"/>
                <w:color w:val="auto"/>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营业执照号</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3786" w:type="dxa"/>
            <w:gridSpan w:val="5"/>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注册资本</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高级职称人员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成立日期</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中级职称人员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基本账户开户银行</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技术人员数量</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基本账户银行账号</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各类注册人员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color w:val="auto"/>
                <w:sz w:val="24"/>
                <w:highlight w:val="none"/>
              </w:rPr>
            </w:pPr>
            <w:r>
              <w:rPr>
                <w:rFonts w:ascii="Times New Roman" w:hAnsi="Times New Roman"/>
                <w:color w:val="auto"/>
                <w:sz w:val="24"/>
                <w:highlight w:val="none"/>
              </w:rPr>
              <w:t>经营范围</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bl>
    <w:p>
      <w:pPr>
        <w:spacing w:line="400" w:lineRule="exact"/>
        <w:rPr>
          <w:rFonts w:ascii="Times New Roman" w:hAnsi="Times New Roman"/>
          <w:color w:val="auto"/>
          <w:sz w:val="24"/>
          <w:highlight w:val="none"/>
        </w:rPr>
      </w:pPr>
      <w:r>
        <w:rPr>
          <w:rFonts w:ascii="Times New Roman" w:hAnsi="Times New Roman"/>
          <w:color w:val="auto"/>
          <w:sz w:val="24"/>
          <w:highlight w:val="none"/>
        </w:rPr>
        <w:t>注：投标人应</w:t>
      </w:r>
      <w:bookmarkStart w:id="407" w:name="_Toc520184751"/>
      <w:r>
        <w:rPr>
          <w:rFonts w:ascii="Times New Roman" w:hAnsi="Times New Roman"/>
          <w:color w:val="auto"/>
          <w:sz w:val="24"/>
          <w:highlight w:val="none"/>
        </w:rPr>
        <w:t>根据投标人须知第3.5</w:t>
      </w:r>
      <w:bookmarkEnd w:id="407"/>
      <w:r>
        <w:rPr>
          <w:rFonts w:ascii="Times New Roman" w:hAnsi="Times New Roman"/>
          <w:color w:val="auto"/>
          <w:sz w:val="24"/>
          <w:highlight w:val="none"/>
        </w:rPr>
        <w:t>.1项的要求在本表后附相关证</w:t>
      </w:r>
      <w:bookmarkStart w:id="408" w:name="_Toc520184752"/>
      <w:r>
        <w:rPr>
          <w:rFonts w:ascii="Times New Roman" w:hAnsi="Times New Roman"/>
          <w:color w:val="auto"/>
          <w:sz w:val="24"/>
          <w:highlight w:val="none"/>
        </w:rPr>
        <w:t>明材料。</w:t>
      </w:r>
      <w:bookmarkEnd w:id="408"/>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32"/>
          <w:szCs w:val="32"/>
          <w:highlight w:val="none"/>
        </w:rPr>
        <w:br w:type="page"/>
      </w: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二</w:t>
      </w:r>
      <w:r>
        <w:rPr>
          <w:rFonts w:ascii="Times New Roman" w:hAnsi="Times New Roman"/>
          <w:b/>
          <w:bCs/>
          <w:color w:val="auto"/>
          <w:sz w:val="28"/>
          <w:szCs w:val="28"/>
          <w:highlight w:val="none"/>
        </w:rPr>
        <w:t>）近年完成的类似项目情况表（格式可自定）</w:t>
      </w:r>
    </w:p>
    <w:tbl>
      <w:tblPr>
        <w:tblStyle w:val="40"/>
        <w:tblW w:w="8522" w:type="dxa"/>
        <w:jc w:val="center"/>
        <w:tblLayout w:type="fixed"/>
        <w:tblCellMar>
          <w:top w:w="0" w:type="dxa"/>
          <w:left w:w="108" w:type="dxa"/>
          <w:bottom w:w="0" w:type="dxa"/>
          <w:right w:w="108" w:type="dxa"/>
        </w:tblCellMar>
      </w:tblPr>
      <w:tblGrid>
        <w:gridCol w:w="2269"/>
        <w:gridCol w:w="6253"/>
      </w:tblGrid>
      <w:tr>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bl>
    <w:p>
      <w:pPr>
        <w:spacing w:line="440" w:lineRule="exact"/>
        <w:rPr>
          <w:rFonts w:ascii="Times New Roman" w:hAnsi="Times New Roman"/>
          <w:color w:val="auto"/>
          <w:sz w:val="24"/>
          <w:highlight w:val="none"/>
        </w:rPr>
      </w:pPr>
      <w:r>
        <w:rPr>
          <w:rFonts w:ascii="Times New Roman" w:hAnsi="Times New Roman"/>
          <w:color w:val="auto"/>
          <w:sz w:val="24"/>
          <w:highlight w:val="none"/>
        </w:rPr>
        <w:t>注：</w:t>
      </w:r>
      <w:r>
        <w:rPr>
          <w:rFonts w:hint="eastAsia" w:ascii="Times New Roman" w:hAnsi="Times New Roman"/>
          <w:color w:val="auto"/>
          <w:sz w:val="24"/>
          <w:highlight w:val="none"/>
        </w:rPr>
        <w:t>投标人应根据第三章评标办法前附表评分标准及说明的要求在本表后附相关证明材料。</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p>
    <w:p>
      <w:pPr>
        <w:spacing w:line="440" w:lineRule="exact"/>
        <w:rPr>
          <w:rFonts w:ascii="Times New Roman" w:hAnsi="Times New Roman"/>
          <w:color w:val="auto"/>
          <w:sz w:val="24"/>
          <w:highlight w:val="none"/>
        </w:rPr>
      </w:pPr>
      <w:r>
        <w:rPr>
          <w:rFonts w:ascii="Times New Roman" w:hAnsi="Times New Roman"/>
          <w:b/>
          <w:bCs/>
          <w:color w:val="auto"/>
          <w:sz w:val="32"/>
          <w:szCs w:val="32"/>
          <w:highlight w:val="none"/>
        </w:rPr>
        <w:br w:type="page"/>
      </w: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三</w:t>
      </w:r>
      <w:r>
        <w:rPr>
          <w:rFonts w:ascii="Times New Roman" w:hAnsi="Times New Roman"/>
          <w:b/>
          <w:bCs/>
          <w:color w:val="auto"/>
          <w:sz w:val="28"/>
          <w:szCs w:val="28"/>
          <w:highlight w:val="none"/>
        </w:rPr>
        <w:t>）拟委任的主要人员汇总表（格式可自定）</w:t>
      </w:r>
    </w:p>
    <w:tbl>
      <w:tblPr>
        <w:tblStyle w:val="4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pStyle w:val="33"/>
        <w:ind w:left="420"/>
        <w:rPr>
          <w:color w:val="auto"/>
          <w:highlight w:val="none"/>
        </w:rPr>
      </w:pPr>
    </w:p>
    <w:p>
      <w:pPr>
        <w:rPr>
          <w:rFonts w:ascii="Times New Roman" w:hAnsi="Times New Roman"/>
          <w:color w:val="auto"/>
          <w:highlight w:val="none"/>
        </w:rPr>
      </w:pPr>
    </w:p>
    <w:p>
      <w:pPr>
        <w:pStyle w:val="33"/>
        <w:ind w:left="420"/>
        <w:rPr>
          <w:color w:val="auto"/>
          <w:highlight w:val="none"/>
        </w:rPr>
      </w:pP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四</w:t>
      </w:r>
      <w:r>
        <w:rPr>
          <w:rFonts w:ascii="Times New Roman" w:hAnsi="Times New Roman"/>
          <w:b/>
          <w:bCs/>
          <w:color w:val="auto"/>
          <w:sz w:val="28"/>
          <w:szCs w:val="28"/>
          <w:highlight w:val="none"/>
        </w:rPr>
        <w:t>）主要人员简历表（格式可自定）</w:t>
      </w:r>
    </w:p>
    <w:p>
      <w:pPr>
        <w:topLinePunct/>
        <w:spacing w:line="440" w:lineRule="exact"/>
        <w:jc w:val="center"/>
        <w:rPr>
          <w:rFonts w:ascii="Times New Roman" w:hAnsi="Times New Roman"/>
          <w:color w:val="auto"/>
          <w:sz w:val="23"/>
          <w:szCs w:val="23"/>
          <w:highlight w:val="none"/>
        </w:rPr>
      </w:pPr>
      <w:r>
        <w:rPr>
          <w:rFonts w:ascii="Times New Roman" w:hAnsi="Times New Roman"/>
          <w:color w:val="auto"/>
          <w:sz w:val="23"/>
          <w:szCs w:val="23"/>
          <w:highlight w:val="none"/>
        </w:rPr>
        <w:t xml:space="preserve"> </w:t>
      </w:r>
    </w:p>
    <w:tbl>
      <w:tblPr>
        <w:tblStyle w:val="4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color w:val="auto"/>
                <w:sz w:val="24"/>
                <w:highlight w:val="none"/>
              </w:rPr>
            </w:pPr>
            <w:r>
              <w:rPr>
                <w:rFonts w:ascii="Times New Roman" w:hAnsi="Times New Roman"/>
                <w:color w:val="auto"/>
                <w:sz w:val="24"/>
                <w:highlight w:val="none"/>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color w:val="auto"/>
                <w:sz w:val="24"/>
                <w:highlight w:val="none"/>
              </w:rPr>
            </w:pPr>
            <w:r>
              <w:rPr>
                <w:rFonts w:ascii="Times New Roman" w:hAnsi="Times New Roman"/>
                <w:color w:val="auto"/>
                <w:sz w:val="24"/>
                <w:highlight w:val="none"/>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w:t>
      </w:r>
      <w:r>
        <w:rPr>
          <w:rFonts w:hint="eastAsia"/>
          <w:color w:val="auto"/>
          <w:sz w:val="24"/>
          <w:szCs w:val="24"/>
          <w:highlight w:val="none"/>
        </w:rPr>
        <w:t>第三章评标办法前附表评分标准及说明</w:t>
      </w:r>
      <w:r>
        <w:rPr>
          <w:rFonts w:hint="eastAsia" w:ascii="宋体" w:hAnsi="宋体" w:cs="宋体"/>
          <w:color w:val="auto"/>
          <w:sz w:val="24"/>
          <w:szCs w:val="24"/>
          <w:highlight w:val="none"/>
        </w:rPr>
        <w:t>的要求在本表后附相关证明材料。</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pStyle w:val="33"/>
        <w:ind w:left="420"/>
        <w:rPr>
          <w:b/>
          <w:bCs/>
          <w:color w:val="auto"/>
          <w:highlight w:val="none"/>
        </w:rPr>
      </w:pPr>
    </w:p>
    <w:p>
      <w:pPr>
        <w:rPr>
          <w:rFonts w:ascii="Times New Roman" w:hAnsi="Times New Roman"/>
          <w:b/>
          <w:bCs/>
          <w:color w:val="auto"/>
          <w:highlight w:val="none"/>
        </w:rPr>
      </w:pPr>
    </w:p>
    <w:p>
      <w:pPr>
        <w:pStyle w:val="33"/>
        <w:ind w:left="420"/>
        <w:rPr>
          <w:color w:val="auto"/>
          <w:highlight w:val="none"/>
        </w:rPr>
      </w:pPr>
    </w:p>
    <w:p>
      <w:pPr>
        <w:spacing w:before="20" w:line="415" w:lineRule="auto"/>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）拟投入本项目的主要试验检测仪器设备表（格式可自定）</w:t>
      </w:r>
    </w:p>
    <w:p>
      <w:pPr>
        <w:ind w:firstLine="482" w:firstLineChars="200"/>
        <w:jc w:val="center"/>
        <w:rPr>
          <w:rFonts w:ascii="宋体" w:hAnsi="宋体" w:cs="楷体"/>
          <w:b/>
          <w:color w:val="auto"/>
          <w:kern w:val="0"/>
          <w:sz w:val="24"/>
          <w:highlight w:val="none"/>
        </w:rPr>
      </w:pPr>
      <w:r>
        <w:rPr>
          <w:rFonts w:ascii="宋体" w:hAnsi="宋体" w:cs="楷体"/>
          <w:b/>
          <w:color w:val="auto"/>
          <w:kern w:val="0"/>
          <w:sz w:val="24"/>
          <w:highlight w:val="none"/>
        </w:rPr>
        <w:t>工程项目监理</w:t>
      </w:r>
      <w:r>
        <w:rPr>
          <w:rFonts w:hint="eastAsia" w:ascii="宋体" w:hAnsi="宋体" w:cs="楷体"/>
          <w:b/>
          <w:color w:val="auto"/>
          <w:kern w:val="0"/>
          <w:sz w:val="24"/>
          <w:highlight w:val="none"/>
        </w:rPr>
        <w:t>试验检测仪器设备</w:t>
      </w:r>
      <w:r>
        <w:rPr>
          <w:rFonts w:ascii="宋体" w:hAnsi="宋体" w:cs="楷体"/>
          <w:b/>
          <w:color w:val="auto"/>
          <w:kern w:val="0"/>
          <w:sz w:val="24"/>
          <w:highlight w:val="none"/>
        </w:rPr>
        <w:t>配置表</w:t>
      </w:r>
    </w:p>
    <w:tbl>
      <w:tblPr>
        <w:tblStyle w:val="40"/>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bl>
    <w:p>
      <w:pPr>
        <w:spacing w:line="360" w:lineRule="auto"/>
        <w:ind w:firstLine="420" w:firstLineChars="200"/>
        <w:rPr>
          <w:rFonts w:ascii="宋体" w:hAnsi="宋体"/>
          <w:color w:val="auto"/>
          <w:highlight w:val="none"/>
          <w:lang w:bidi="mn-Mong-CN"/>
        </w:rPr>
      </w:pPr>
      <w:r>
        <w:rPr>
          <w:rFonts w:hint="eastAsia" w:ascii="宋体" w:hAnsi="宋体"/>
          <w:color w:val="auto"/>
          <w:highlight w:val="none"/>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color w:val="auto"/>
          <w:spacing w:val="4"/>
          <w:sz w:val="24"/>
          <w:highlight w:val="none"/>
        </w:rPr>
      </w:pPr>
    </w:p>
    <w:p>
      <w:pPr>
        <w:topLinePunct/>
        <w:spacing w:line="360" w:lineRule="auto"/>
        <w:rPr>
          <w:rFonts w:ascii="Times New Roman" w:hAnsi="Times New Roman"/>
          <w:color w:val="auto"/>
          <w:spacing w:val="4"/>
          <w:sz w:val="24"/>
          <w:highlight w:val="none"/>
        </w:rPr>
      </w:pPr>
      <w:r>
        <w:rPr>
          <w:rFonts w:ascii="Times New Roman" w:hAnsi="Times New Roman"/>
          <w:color w:val="auto"/>
          <w:spacing w:val="4"/>
          <w:sz w:val="24"/>
          <w:highlight w:val="none"/>
        </w:rPr>
        <w:t>投  标  单  位（盖章）：</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4"/>
          <w:sz w:val="24"/>
          <w:highlight w:val="none"/>
        </w:rPr>
        <w:t>法定代表人或授权委托人（签名或盖章）</w:t>
      </w:r>
      <w:r>
        <w:rPr>
          <w:rFonts w:ascii="Times New Roman" w:hAnsi="Times New Roman"/>
          <w:color w:val="auto"/>
          <w:spacing w:val="18"/>
          <w:sz w:val="24"/>
          <w:highlight w:val="none"/>
        </w:rPr>
        <w:t xml:space="preserve">：            </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18"/>
          <w:sz w:val="24"/>
          <w:highlight w:val="none"/>
        </w:rPr>
        <w:t xml:space="preserve">日期：   年  月  日 </w:t>
      </w:r>
    </w:p>
    <w:p>
      <w:pPr>
        <w:topLinePunct/>
        <w:spacing w:line="360" w:lineRule="auto"/>
        <w:rPr>
          <w:rFonts w:ascii="Times New Roman" w:hAnsi="Times New Roman"/>
          <w:b/>
          <w:bCs/>
          <w:color w:val="auto"/>
          <w:sz w:val="28"/>
          <w:szCs w:val="28"/>
          <w:highlight w:val="none"/>
        </w:rPr>
      </w:pPr>
      <w:r>
        <w:rPr>
          <w:rFonts w:ascii="Times New Roman" w:hAnsi="Times New Roman"/>
          <w:color w:val="auto"/>
          <w:spacing w:val="18"/>
          <w:sz w:val="36"/>
          <w:szCs w:val="36"/>
          <w:highlight w:val="none"/>
        </w:rPr>
        <w:t xml:space="preserve"> </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投标人声明格式</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18"/>
          <w:sz w:val="24"/>
          <w:highlight w:val="none"/>
        </w:rPr>
        <w:t xml:space="preserve"> </w:t>
      </w:r>
      <w:r>
        <w:rPr>
          <w:rFonts w:hint="eastAsia" w:ascii="Times New Roman" w:hAnsi="Times New Roman"/>
          <w:snapToGrid w:val="0"/>
          <w:color w:val="auto"/>
          <w:spacing w:val="4"/>
          <w:kern w:val="0"/>
          <w:sz w:val="24"/>
          <w:highlight w:val="none"/>
        </w:rPr>
        <w:t>（格式详见招标公告附件一）</w:t>
      </w:r>
    </w:p>
    <w:p>
      <w:pPr>
        <w:pStyle w:val="8"/>
        <w:spacing w:line="600" w:lineRule="auto"/>
        <w:jc w:val="center"/>
        <w:rPr>
          <w:rFonts w:ascii="Times New Roman" w:hAnsi="Times New Roman"/>
          <w:color w:val="auto"/>
          <w:sz w:val="30"/>
          <w:szCs w:val="30"/>
          <w:highlight w:val="none"/>
        </w:rPr>
      </w:pPr>
      <w:r>
        <w:rPr>
          <w:rFonts w:ascii="Times New Roman" w:hAnsi="Times New Roman"/>
          <w:b w:val="0"/>
          <w:bCs w:val="0"/>
          <w:color w:val="auto"/>
          <w:sz w:val="24"/>
          <w:szCs w:val="24"/>
          <w:highlight w:val="none"/>
        </w:rPr>
        <w:br w:type="page"/>
      </w:r>
      <w:bookmarkEnd w:id="406"/>
      <w:bookmarkStart w:id="409" w:name="_Toc535938758"/>
      <w:bookmarkStart w:id="410" w:name="_Toc530470651"/>
      <w:bookmarkStart w:id="411" w:name="_Toc529196610"/>
      <w:r>
        <w:rPr>
          <w:rFonts w:hint="eastAsia" w:ascii="Times New Roman" w:hAnsi="Times New Roman"/>
          <w:color w:val="auto"/>
          <w:sz w:val="30"/>
          <w:szCs w:val="30"/>
          <w:highlight w:val="none"/>
        </w:rPr>
        <w:t>六</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监理服务</w:t>
      </w:r>
      <w:r>
        <w:rPr>
          <w:rFonts w:ascii="Times New Roman" w:hAnsi="Times New Roman"/>
          <w:color w:val="auto"/>
          <w:sz w:val="30"/>
          <w:szCs w:val="30"/>
          <w:highlight w:val="none"/>
        </w:rPr>
        <w:t>大纲</w:t>
      </w:r>
      <w:bookmarkEnd w:id="409"/>
      <w:bookmarkEnd w:id="410"/>
      <w:bookmarkEnd w:id="411"/>
    </w:p>
    <w:p>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监理服务大纲</w:t>
      </w:r>
    </w:p>
    <w:p>
      <w:pPr>
        <w:spacing w:line="360" w:lineRule="auto"/>
        <w:ind w:firstLine="542" w:firstLineChars="226"/>
        <w:rPr>
          <w:rFonts w:ascii="Times New Roman" w:hAnsi="Times New Roman"/>
          <w:color w:val="auto"/>
          <w:sz w:val="24"/>
          <w:highlight w:val="none"/>
        </w:rPr>
      </w:pPr>
      <w:r>
        <w:rPr>
          <w:rFonts w:hint="eastAsia" w:ascii="Times New Roman" w:hAnsi="Times New Roman"/>
          <w:color w:val="auto"/>
          <w:sz w:val="24"/>
          <w:highlight w:val="none"/>
        </w:rPr>
        <w:t>监理服务</w:t>
      </w:r>
      <w:r>
        <w:rPr>
          <w:rFonts w:ascii="Times New Roman" w:hAnsi="Times New Roman"/>
          <w:color w:val="auto"/>
          <w:sz w:val="24"/>
          <w:highlight w:val="none"/>
        </w:rPr>
        <w:t>大纲应包括（但不限于）下列内容：</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一、监理工程概况；</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二、</w:t>
      </w:r>
      <w:r>
        <w:rPr>
          <w:rFonts w:hint="eastAsia" w:ascii="Times New Roman" w:hAnsi="Times New Roman"/>
          <w:color w:val="auto"/>
          <w:sz w:val="24"/>
          <w:highlight w:val="none"/>
        </w:rPr>
        <w:t>服务</w:t>
      </w:r>
      <w:r>
        <w:rPr>
          <w:rFonts w:ascii="Times New Roman" w:hAnsi="Times New Roman"/>
          <w:color w:val="auto"/>
          <w:sz w:val="24"/>
          <w:highlight w:val="none"/>
        </w:rPr>
        <w:t>范围、</w:t>
      </w:r>
      <w:r>
        <w:rPr>
          <w:rFonts w:hint="eastAsia" w:ascii="Times New Roman" w:hAnsi="Times New Roman"/>
          <w:color w:val="auto"/>
          <w:sz w:val="24"/>
          <w:highlight w:val="none"/>
        </w:rPr>
        <w:t>服务</w:t>
      </w:r>
      <w:r>
        <w:rPr>
          <w:rFonts w:ascii="Times New Roman" w:hAnsi="Times New Roman"/>
          <w:color w:val="auto"/>
          <w:sz w:val="24"/>
          <w:highlight w:val="none"/>
        </w:rPr>
        <w:t>内容；</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三、监理依据、监理工作目标；</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四、监理机构设置（</w:t>
      </w:r>
      <w:r>
        <w:rPr>
          <w:rFonts w:hint="eastAsia" w:ascii="Times New Roman" w:hAnsi="Times New Roman"/>
          <w:color w:val="auto"/>
          <w:sz w:val="24"/>
          <w:highlight w:val="none"/>
        </w:rPr>
        <w:t>监理组织架构框图</w:t>
      </w:r>
      <w:r>
        <w:rPr>
          <w:rFonts w:ascii="Times New Roman" w:hAnsi="Times New Roman"/>
          <w:color w:val="auto"/>
          <w:sz w:val="24"/>
          <w:highlight w:val="none"/>
        </w:rPr>
        <w:t>）、岗位职责；</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五、监理工作程序、方法和制度；</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六、拟投入的监理人员、试验检测仪器设备；</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七、质量、进度、造价、安全、环保监理措施；</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八、合同、信息管理方案；</w:t>
      </w:r>
    </w:p>
    <w:p>
      <w:pPr>
        <w:spacing w:line="360" w:lineRule="auto"/>
        <w:ind w:firstLine="542" w:firstLineChars="226"/>
        <w:rPr>
          <w:rFonts w:ascii="Times New Roman" w:hAnsi="Times New Roman"/>
          <w:color w:val="auto"/>
          <w:sz w:val="24"/>
          <w:highlight w:val="none"/>
        </w:rPr>
      </w:pPr>
      <w:r>
        <w:rPr>
          <w:rFonts w:hint="eastAsia" w:ascii="Times New Roman" w:hAnsi="Times New Roman"/>
          <w:color w:val="auto"/>
          <w:sz w:val="24"/>
          <w:highlight w:val="none"/>
        </w:rPr>
        <w:t>九</w:t>
      </w:r>
      <w:r>
        <w:rPr>
          <w:rFonts w:ascii="Times New Roman" w:hAnsi="Times New Roman"/>
          <w:color w:val="auto"/>
          <w:sz w:val="24"/>
          <w:highlight w:val="none"/>
        </w:rPr>
        <w:t>、组织协调内容及措施；</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十、监理工作重点、难点分析；</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十</w:t>
      </w:r>
      <w:r>
        <w:rPr>
          <w:rFonts w:hint="eastAsia" w:ascii="Times New Roman" w:hAnsi="Times New Roman"/>
          <w:color w:val="auto"/>
          <w:sz w:val="24"/>
          <w:highlight w:val="none"/>
        </w:rPr>
        <w:t>一</w:t>
      </w:r>
      <w:r>
        <w:rPr>
          <w:rFonts w:ascii="Times New Roman" w:hAnsi="Times New Roman"/>
          <w:color w:val="auto"/>
          <w:sz w:val="24"/>
          <w:highlight w:val="none"/>
        </w:rPr>
        <w:t>、对本工程监理的合理化建议。</w:t>
      </w: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pStyle w:val="8"/>
        <w:spacing w:line="480" w:lineRule="auto"/>
        <w:rPr>
          <w:rFonts w:ascii="Times New Roman" w:hAnsi="Times New Roman"/>
          <w:color w:val="auto"/>
          <w:sz w:val="30"/>
          <w:szCs w:val="30"/>
          <w:highlight w:val="none"/>
        </w:rPr>
      </w:pPr>
      <w:bookmarkStart w:id="412" w:name="_Toc529196611"/>
      <w:bookmarkStart w:id="413" w:name="_Toc530470652"/>
      <w:r>
        <w:rPr>
          <w:rFonts w:ascii="Times New Roman" w:hAnsi="Times New Roman"/>
          <w:color w:val="auto"/>
          <w:highlight w:val="none"/>
        </w:rPr>
        <w:br w:type="page"/>
      </w:r>
      <w:bookmarkStart w:id="414" w:name="_Toc535938759"/>
      <w:r>
        <w:rPr>
          <w:rFonts w:hint="eastAsia" w:ascii="Times New Roman" w:hAnsi="Times New Roman"/>
          <w:color w:val="auto"/>
          <w:sz w:val="30"/>
          <w:szCs w:val="30"/>
          <w:highlight w:val="none"/>
        </w:rPr>
        <w:t>七、其他资料</w:t>
      </w:r>
      <w:bookmarkEnd w:id="412"/>
      <w:bookmarkEnd w:id="413"/>
      <w:bookmarkEnd w:id="414"/>
    </w:p>
    <w:p>
      <w:pPr>
        <w:spacing w:line="360" w:lineRule="auto"/>
        <w:rPr>
          <w:rFonts w:ascii="Times New Roman" w:hAnsi="Times New Roman"/>
          <w:color w:val="auto"/>
          <w:highlight w:val="none"/>
        </w:rPr>
      </w:pPr>
      <w:bookmarkStart w:id="415" w:name="_Toc535938767"/>
      <w:bookmarkStart w:id="416" w:name="_Toc530470660"/>
      <w:r>
        <w:rPr>
          <w:rFonts w:hint="eastAsia" w:ascii="Times New Roman" w:hAnsi="Times New Roman"/>
          <w:b/>
          <w:color w:val="auto"/>
          <w:sz w:val="28"/>
          <w:szCs w:val="28"/>
          <w:highlight w:val="none"/>
        </w:rPr>
        <w:t>投标人认为需要提供的资料（如有）。</w:t>
      </w:r>
      <w:bookmarkEnd w:id="415"/>
      <w:bookmarkEnd w:id="416"/>
    </w:p>
    <w:sectPr>
      <w:headerReference r:id="rId10" w:type="first"/>
      <w:footerReference r:id="rId13" w:type="first"/>
      <w:footerReference r:id="rId11" w:type="default"/>
      <w:footerReference r:id="rId12" w:type="even"/>
      <w:pgSz w:w="11906" w:h="16838"/>
      <w:pgMar w:top="1134" w:right="1274" w:bottom="1440" w:left="1797" w:header="709" w:footer="709" w:gutter="0"/>
      <w:pgNumType w:fmt="decimal"/>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rPr>
        <w:lang w:val="zh-CN"/>
      </w:rP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29</w:t>
                </w:r>
                <w:r>
                  <w:rPr>
                    <w:lang w:val="zh-CN"/>
                  </w:rPr>
                  <w:fldChar w:fldCharType="end"/>
                </w:r>
              </w:p>
            </w:txbxContent>
          </v:textbox>
        </v:shape>
      </w:pict>
    </w:r>
  </w:p>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3</w:t>
                </w:r>
                <w:r>
                  <w:rPr>
                    <w:lang w:val="zh-CN"/>
                  </w:rPr>
                  <w:fldChar w:fldCharType="end"/>
                </w:r>
              </w:p>
            </w:txbxContent>
          </v:textbox>
        </v:shape>
      </w:pict>
    </w:r>
  </w:p>
  <w:p>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47</w:t>
                </w:r>
                <w:r>
                  <w:rPr>
                    <w:lang w:val="zh-CN"/>
                  </w:rPr>
                  <w:fldChar w:fldCharType="end"/>
                </w:r>
              </w:p>
            </w:txbxContent>
          </v:textbox>
        </v:shape>
      </w:pic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43"/>
      </w:rPr>
    </w:pPr>
    <w:r>
      <w:rPr>
        <w:sz w:val="18"/>
      </w:rP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56</w:t>
                </w:r>
                <w:r>
                  <w:rPr>
                    <w:lang w:val="zh-CN"/>
                  </w:rPr>
                  <w:fldChar w:fldCharType="end"/>
                </w:r>
              </w:p>
              <w:p>
                <w:pPr>
                  <w:pStyle w:val="27"/>
                  <w:rPr>
                    <w:rStyle w:val="43"/>
                  </w:rPr>
                </w:pP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2"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48</w:t>
                </w:r>
                <w:r>
                  <w:fldChar w:fldCharType="end"/>
                </w:r>
              </w:p>
            </w:txbxContent>
          </v:textbox>
        </v:shape>
      </w:pic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420"/>
      <w:jc w:val="right"/>
      <w:rPr>
        <w:b/>
        <w:bCs/>
        <w:sz w:val="24"/>
        <w:szCs w:val="24"/>
      </w:rPr>
    </w:pPr>
  </w:p>
  <w:p>
    <w:pPr>
      <w:pStyle w:val="32"/>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6704C"/>
    <w:multiLevelType w:val="singleLevel"/>
    <w:tmpl w:val="A4A6704C"/>
    <w:lvl w:ilvl="0" w:tentative="0">
      <w:start w:val="1"/>
      <w:numFmt w:val="decimal"/>
      <w:lvlText w:val="%1."/>
      <w:lvlJc w:val="left"/>
      <w:pPr>
        <w:tabs>
          <w:tab w:val="left" w:pos="312"/>
        </w:tabs>
      </w:pPr>
    </w:lvl>
  </w:abstractNum>
  <w:abstractNum w:abstractNumId="1">
    <w:nsid w:val="BBA0BA18"/>
    <w:multiLevelType w:val="singleLevel"/>
    <w:tmpl w:val="BBA0BA18"/>
    <w:lvl w:ilvl="0" w:tentative="0">
      <w:start w:val="5"/>
      <w:numFmt w:val="chineseCounting"/>
      <w:suff w:val="space"/>
      <w:lvlText w:val="第%1章"/>
      <w:lvlJc w:val="left"/>
      <w:rPr>
        <w:rFonts w:hint="eastAsia"/>
      </w:rPr>
    </w:lvl>
  </w:abstractNum>
  <w:abstractNum w:abstractNumId="2">
    <w:nsid w:val="43FC3E02"/>
    <w:multiLevelType w:val="singleLevel"/>
    <w:tmpl w:val="43FC3E0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2OGVhNGU4ZTIwNTg1YWJlNDhlOWM0YWUyNmRmN2YifQ=="/>
  </w:docVars>
  <w:rsids>
    <w:rsidRoot w:val="001500C3"/>
    <w:rsid w:val="000135E2"/>
    <w:rsid w:val="000837D3"/>
    <w:rsid w:val="001500C3"/>
    <w:rsid w:val="00183D7F"/>
    <w:rsid w:val="0033393D"/>
    <w:rsid w:val="003903F7"/>
    <w:rsid w:val="003C0F3C"/>
    <w:rsid w:val="00543DBF"/>
    <w:rsid w:val="005E5F40"/>
    <w:rsid w:val="006C2CAF"/>
    <w:rsid w:val="007923B4"/>
    <w:rsid w:val="00794686"/>
    <w:rsid w:val="008317B9"/>
    <w:rsid w:val="009A60DB"/>
    <w:rsid w:val="009F50F4"/>
    <w:rsid w:val="00A34D5E"/>
    <w:rsid w:val="00A37248"/>
    <w:rsid w:val="00A7202A"/>
    <w:rsid w:val="00B06A53"/>
    <w:rsid w:val="00B95A4E"/>
    <w:rsid w:val="00BD4D18"/>
    <w:rsid w:val="00C05261"/>
    <w:rsid w:val="00D34D8C"/>
    <w:rsid w:val="00D35950"/>
    <w:rsid w:val="00DC7F85"/>
    <w:rsid w:val="00DD5324"/>
    <w:rsid w:val="00E52480"/>
    <w:rsid w:val="00F02641"/>
    <w:rsid w:val="00F30D94"/>
    <w:rsid w:val="00F95A1E"/>
    <w:rsid w:val="015E4AD6"/>
    <w:rsid w:val="02C013B3"/>
    <w:rsid w:val="03C350C4"/>
    <w:rsid w:val="050771EA"/>
    <w:rsid w:val="051060E7"/>
    <w:rsid w:val="06AB431A"/>
    <w:rsid w:val="071C5217"/>
    <w:rsid w:val="07675D4A"/>
    <w:rsid w:val="07C37441"/>
    <w:rsid w:val="07CD6A0B"/>
    <w:rsid w:val="08AD41A2"/>
    <w:rsid w:val="092B346A"/>
    <w:rsid w:val="09EF09C1"/>
    <w:rsid w:val="0A635694"/>
    <w:rsid w:val="0AD22DAF"/>
    <w:rsid w:val="0B4F4A9B"/>
    <w:rsid w:val="0E261688"/>
    <w:rsid w:val="0F1F63AA"/>
    <w:rsid w:val="0FF91D99"/>
    <w:rsid w:val="1017657C"/>
    <w:rsid w:val="113157AE"/>
    <w:rsid w:val="13174AE5"/>
    <w:rsid w:val="143C0CA7"/>
    <w:rsid w:val="147526D2"/>
    <w:rsid w:val="148B12E6"/>
    <w:rsid w:val="16386068"/>
    <w:rsid w:val="16393732"/>
    <w:rsid w:val="16CE195E"/>
    <w:rsid w:val="1D1B1CCF"/>
    <w:rsid w:val="1E0A3BC4"/>
    <w:rsid w:val="1E5B1A4E"/>
    <w:rsid w:val="1ECE074D"/>
    <w:rsid w:val="1EFB5E80"/>
    <w:rsid w:val="1F8F38F5"/>
    <w:rsid w:val="20520EC3"/>
    <w:rsid w:val="21856DFF"/>
    <w:rsid w:val="22184E02"/>
    <w:rsid w:val="224743AB"/>
    <w:rsid w:val="2290765B"/>
    <w:rsid w:val="23227620"/>
    <w:rsid w:val="25281DE7"/>
    <w:rsid w:val="253C7CB4"/>
    <w:rsid w:val="25685F0A"/>
    <w:rsid w:val="2570287A"/>
    <w:rsid w:val="26D07EC7"/>
    <w:rsid w:val="27AB1F74"/>
    <w:rsid w:val="27AB56EE"/>
    <w:rsid w:val="280A48BD"/>
    <w:rsid w:val="28545EC4"/>
    <w:rsid w:val="285D35A8"/>
    <w:rsid w:val="286134B4"/>
    <w:rsid w:val="29FF61CA"/>
    <w:rsid w:val="2A807F7F"/>
    <w:rsid w:val="2ADD7AC7"/>
    <w:rsid w:val="2B2059C6"/>
    <w:rsid w:val="2C4604BD"/>
    <w:rsid w:val="2C6141EE"/>
    <w:rsid w:val="2CBD1D91"/>
    <w:rsid w:val="2F1236F9"/>
    <w:rsid w:val="2FE67922"/>
    <w:rsid w:val="30731CAA"/>
    <w:rsid w:val="30A74E11"/>
    <w:rsid w:val="30AE6631"/>
    <w:rsid w:val="31132938"/>
    <w:rsid w:val="32075FF9"/>
    <w:rsid w:val="323668DE"/>
    <w:rsid w:val="336A36BB"/>
    <w:rsid w:val="350F03C7"/>
    <w:rsid w:val="35512913"/>
    <w:rsid w:val="366A2AA8"/>
    <w:rsid w:val="36C97D20"/>
    <w:rsid w:val="370074BA"/>
    <w:rsid w:val="373553B6"/>
    <w:rsid w:val="37BE35FD"/>
    <w:rsid w:val="37CC40DE"/>
    <w:rsid w:val="39017E86"/>
    <w:rsid w:val="3A1A0893"/>
    <w:rsid w:val="3A5E0771"/>
    <w:rsid w:val="40880C4C"/>
    <w:rsid w:val="417B255F"/>
    <w:rsid w:val="41BF4080"/>
    <w:rsid w:val="43054EF5"/>
    <w:rsid w:val="44015CB5"/>
    <w:rsid w:val="44E623E5"/>
    <w:rsid w:val="460E6884"/>
    <w:rsid w:val="464534A6"/>
    <w:rsid w:val="46D63D94"/>
    <w:rsid w:val="48D86A0E"/>
    <w:rsid w:val="49CF3448"/>
    <w:rsid w:val="4B533C05"/>
    <w:rsid w:val="4CBB7CB4"/>
    <w:rsid w:val="4D4236EC"/>
    <w:rsid w:val="4DAE326A"/>
    <w:rsid w:val="4DB90697"/>
    <w:rsid w:val="4DF23BA9"/>
    <w:rsid w:val="4F820F5D"/>
    <w:rsid w:val="4F931B3D"/>
    <w:rsid w:val="4F997969"/>
    <w:rsid w:val="50C4008E"/>
    <w:rsid w:val="51054215"/>
    <w:rsid w:val="513C3B0D"/>
    <w:rsid w:val="517D764D"/>
    <w:rsid w:val="527A779B"/>
    <w:rsid w:val="54B347FF"/>
    <w:rsid w:val="54F75F49"/>
    <w:rsid w:val="56AC5A42"/>
    <w:rsid w:val="57084683"/>
    <w:rsid w:val="572F6F5D"/>
    <w:rsid w:val="5A333454"/>
    <w:rsid w:val="5B7A33DE"/>
    <w:rsid w:val="5BD03CA1"/>
    <w:rsid w:val="5C225659"/>
    <w:rsid w:val="5CD8040E"/>
    <w:rsid w:val="5DA14CA4"/>
    <w:rsid w:val="5DC62E69"/>
    <w:rsid w:val="5E145476"/>
    <w:rsid w:val="5F732607"/>
    <w:rsid w:val="61B8029B"/>
    <w:rsid w:val="62571DD5"/>
    <w:rsid w:val="62D5564A"/>
    <w:rsid w:val="6345471A"/>
    <w:rsid w:val="64E0186E"/>
    <w:rsid w:val="655D3985"/>
    <w:rsid w:val="65D46BBB"/>
    <w:rsid w:val="66047881"/>
    <w:rsid w:val="672506F4"/>
    <w:rsid w:val="68AD587A"/>
    <w:rsid w:val="69A42E56"/>
    <w:rsid w:val="6B3A1FC1"/>
    <w:rsid w:val="6D364F2B"/>
    <w:rsid w:val="6D763A57"/>
    <w:rsid w:val="6DFF775C"/>
    <w:rsid w:val="70903082"/>
    <w:rsid w:val="7283754E"/>
    <w:rsid w:val="72850298"/>
    <w:rsid w:val="728C5620"/>
    <w:rsid w:val="76C84BF7"/>
    <w:rsid w:val="77572009"/>
    <w:rsid w:val="776E144F"/>
    <w:rsid w:val="77A07E4F"/>
    <w:rsid w:val="77C8203A"/>
    <w:rsid w:val="786D7FB9"/>
    <w:rsid w:val="79872B48"/>
    <w:rsid w:val="7A7E1C0D"/>
    <w:rsid w:val="7A8544C3"/>
    <w:rsid w:val="7AB9643A"/>
    <w:rsid w:val="7C3779E3"/>
    <w:rsid w:val="7EB9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113"/>
    <w:qFormat/>
    <w:uiPriority w:val="0"/>
    <w:pPr>
      <w:keepNext/>
      <w:keepLines/>
      <w:spacing w:before="340" w:after="330" w:line="578" w:lineRule="auto"/>
      <w:outlineLvl w:val="0"/>
    </w:pPr>
    <w:rPr>
      <w:rFonts w:ascii="Times New Roman" w:hAnsi="Times New Roman"/>
      <w:b/>
      <w:bCs/>
      <w:kern w:val="44"/>
      <w:sz w:val="44"/>
      <w:szCs w:val="44"/>
    </w:rPr>
  </w:style>
  <w:style w:type="paragraph" w:styleId="8">
    <w:name w:val="heading 2"/>
    <w:basedOn w:val="1"/>
    <w:next w:val="1"/>
    <w:link w:val="85"/>
    <w:qFormat/>
    <w:uiPriority w:val="0"/>
    <w:pPr>
      <w:jc w:val="left"/>
      <w:textAlignment w:val="center"/>
      <w:outlineLvl w:val="1"/>
    </w:pPr>
    <w:rPr>
      <w:rFonts w:ascii="Arial" w:hAnsi="Arial" w:eastAsia="黑体"/>
      <w:b/>
      <w:bCs/>
      <w:color w:val="000000"/>
      <w:kern w:val="0"/>
      <w:sz w:val="36"/>
      <w:szCs w:val="32"/>
    </w:rPr>
  </w:style>
  <w:style w:type="paragraph" w:styleId="9">
    <w:name w:val="heading 3"/>
    <w:basedOn w:val="1"/>
    <w:next w:val="1"/>
    <w:link w:val="66"/>
    <w:qFormat/>
    <w:uiPriority w:val="0"/>
    <w:pPr>
      <w:keepNext/>
      <w:keepLines/>
      <w:spacing w:before="260" w:after="260" w:line="416" w:lineRule="auto"/>
      <w:outlineLvl w:val="2"/>
    </w:pPr>
    <w:rPr>
      <w:rFonts w:ascii="Times New Roman" w:hAnsi="Times New Roman"/>
      <w:b/>
      <w:bCs/>
      <w:sz w:val="32"/>
      <w:szCs w:val="32"/>
    </w:rPr>
  </w:style>
  <w:style w:type="paragraph" w:styleId="10">
    <w:name w:val="heading 4"/>
    <w:basedOn w:val="1"/>
    <w:next w:val="1"/>
    <w:link w:val="62"/>
    <w:qFormat/>
    <w:uiPriority w:val="0"/>
    <w:pPr>
      <w:outlineLvl w:val="3"/>
    </w:pPr>
    <w:rPr>
      <w:rFonts w:ascii="Arial" w:hAnsi="Arial" w:eastAsia="黑体"/>
      <w:b/>
      <w:bCs/>
      <w:color w:val="0000FF"/>
      <w:kern w:val="0"/>
      <w:sz w:val="24"/>
      <w:szCs w:val="24"/>
    </w:rPr>
  </w:style>
  <w:style w:type="paragraph" w:styleId="11">
    <w:name w:val="heading 5"/>
    <w:basedOn w:val="1"/>
    <w:next w:val="1"/>
    <w:link w:val="115"/>
    <w:qFormat/>
    <w:uiPriority w:val="0"/>
    <w:pPr>
      <w:outlineLvl w:val="4"/>
    </w:pPr>
    <w:rPr>
      <w:rFonts w:ascii="Times New Roman" w:hAnsi="Times New Roman" w:eastAsia="华文中宋"/>
      <w:b/>
      <w:bCs/>
      <w:color w:val="800000"/>
      <w:kern w:val="0"/>
      <w:sz w:val="24"/>
      <w:szCs w:val="24"/>
    </w:rPr>
  </w:style>
  <w:style w:type="paragraph" w:styleId="12">
    <w:name w:val="heading 6"/>
    <w:basedOn w:val="1"/>
    <w:next w:val="1"/>
    <w:link w:val="117"/>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3">
    <w:name w:val="heading 7"/>
    <w:basedOn w:val="1"/>
    <w:next w:val="14"/>
    <w:link w:val="119"/>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14">
    <w:name w:val="heading 8"/>
    <w:basedOn w:val="1"/>
    <w:next w:val="1"/>
    <w:link w:val="88"/>
    <w:qFormat/>
    <w:uiPriority w:val="0"/>
    <w:pPr>
      <w:ind w:left="369" w:hanging="369"/>
      <w:outlineLvl w:val="7"/>
    </w:pPr>
    <w:rPr>
      <w:rFonts w:ascii="Times New Roman" w:hAnsi="Times New Roman" w:eastAsia="华文中宋"/>
      <w:kern w:val="0"/>
      <w:sz w:val="24"/>
      <w:szCs w:val="24"/>
    </w:rPr>
  </w:style>
  <w:style w:type="paragraph" w:styleId="15">
    <w:name w:val="heading 9"/>
    <w:basedOn w:val="1"/>
    <w:next w:val="1"/>
    <w:link w:val="12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57"/>
    <w:qFormat/>
    <w:uiPriority w:val="0"/>
    <w:pPr>
      <w:spacing w:line="312" w:lineRule="auto"/>
      <w:ind w:firstLine="420"/>
    </w:pPr>
    <w:rPr>
      <w:rFonts w:ascii="Calibri" w:hAnsi="Calibri"/>
      <w:kern w:val="0"/>
      <w:sz w:val="20"/>
      <w:szCs w:val="24"/>
    </w:rPr>
  </w:style>
  <w:style w:type="paragraph" w:styleId="3">
    <w:name w:val="Body Text"/>
    <w:basedOn w:val="1"/>
    <w:next w:val="1"/>
    <w:link w:val="124"/>
    <w:unhideWhenUsed/>
    <w:qFormat/>
    <w:uiPriority w:val="0"/>
    <w:pPr>
      <w:spacing w:after="120"/>
    </w:pPr>
    <w:rPr>
      <w:rFonts w:ascii="Times New Roman" w:hAnsi="Times New Roman"/>
    </w:rPr>
  </w:style>
  <w:style w:type="paragraph" w:styleId="4">
    <w:name w:val="Body Text First Indent 2"/>
    <w:basedOn w:val="5"/>
    <w:qFormat/>
    <w:uiPriority w:val="0"/>
    <w:pPr>
      <w:spacing w:line="420" w:lineRule="exact"/>
      <w:ind w:firstLine="420"/>
      <w:jc w:val="left"/>
    </w:pPr>
    <w:rPr>
      <w:rFonts w:ascii="宋体" w:hAnsi="宋体"/>
      <w:color w:val="000000"/>
      <w:sz w:val="24"/>
      <w:szCs w:val="18"/>
    </w:rPr>
  </w:style>
  <w:style w:type="paragraph" w:styleId="5">
    <w:name w:val="Body Text Indent"/>
    <w:basedOn w:val="1"/>
    <w:next w:val="6"/>
    <w:link w:val="61"/>
    <w:qFormat/>
    <w:uiPriority w:val="0"/>
    <w:pPr>
      <w:spacing w:after="120"/>
      <w:ind w:left="420" w:leftChars="200"/>
    </w:pPr>
    <w:rPr>
      <w:kern w:val="0"/>
      <w:sz w:val="20"/>
      <w:szCs w:val="20"/>
    </w:rPr>
  </w:style>
  <w:style w:type="paragraph" w:styleId="6">
    <w:name w:val="envelope return"/>
    <w:basedOn w:val="1"/>
    <w:qFormat/>
    <w:uiPriority w:val="99"/>
    <w:pPr>
      <w:snapToGrid w:val="0"/>
    </w:pPr>
    <w:rPr>
      <w:rFonts w:ascii="Arial" w:hAnsi="Arial" w:cs="Arial"/>
    </w:rPr>
  </w:style>
  <w:style w:type="paragraph" w:styleId="16">
    <w:name w:val="toc 7"/>
    <w:basedOn w:val="1"/>
    <w:next w:val="1"/>
    <w:qFormat/>
    <w:uiPriority w:val="39"/>
    <w:pPr>
      <w:ind w:left="1200" w:leftChars="1200"/>
    </w:pPr>
    <w:rPr>
      <w:rFonts w:ascii="Times New Roman" w:hAnsi="Times New Roman"/>
    </w:rPr>
  </w:style>
  <w:style w:type="paragraph" w:styleId="17">
    <w:name w:val="Normal Indent"/>
    <w:basedOn w:val="1"/>
    <w:next w:val="1"/>
    <w:qFormat/>
    <w:uiPriority w:val="0"/>
    <w:pPr>
      <w:ind w:firstLine="420"/>
    </w:pPr>
    <w:rPr>
      <w:rFonts w:ascii="Times New Roman" w:hAnsi="Times New Roman"/>
    </w:rPr>
  </w:style>
  <w:style w:type="paragraph" w:styleId="18">
    <w:name w:val="Document Map"/>
    <w:basedOn w:val="1"/>
    <w:link w:val="122"/>
    <w:unhideWhenUsed/>
    <w:qFormat/>
    <w:uiPriority w:val="0"/>
    <w:pPr>
      <w:widowControl/>
      <w:jc w:val="left"/>
    </w:pPr>
    <w:rPr>
      <w:rFonts w:ascii="宋体"/>
      <w:kern w:val="0"/>
      <w:sz w:val="18"/>
      <w:szCs w:val="18"/>
    </w:rPr>
  </w:style>
  <w:style w:type="paragraph" w:styleId="19">
    <w:name w:val="annotation text"/>
    <w:basedOn w:val="1"/>
    <w:link w:val="69"/>
    <w:unhideWhenUsed/>
    <w:qFormat/>
    <w:uiPriority w:val="99"/>
    <w:pPr>
      <w:jc w:val="left"/>
    </w:pPr>
  </w:style>
  <w:style w:type="paragraph" w:styleId="20">
    <w:name w:val="Body Text 3"/>
    <w:basedOn w:val="1"/>
    <w:link w:val="55"/>
    <w:qFormat/>
    <w:uiPriority w:val="0"/>
    <w:pPr>
      <w:spacing w:after="120"/>
    </w:pPr>
    <w:rPr>
      <w:rFonts w:eastAsia="楷体_GB2312"/>
      <w:kern w:val="0"/>
      <w:sz w:val="16"/>
      <w:szCs w:val="16"/>
    </w:rPr>
  </w:style>
  <w:style w:type="paragraph" w:styleId="21">
    <w:name w:val="toc 5"/>
    <w:basedOn w:val="1"/>
    <w:next w:val="1"/>
    <w:qFormat/>
    <w:uiPriority w:val="39"/>
    <w:pPr>
      <w:ind w:left="800" w:leftChars="800"/>
    </w:pPr>
    <w:rPr>
      <w:rFonts w:ascii="Times New Roman" w:hAnsi="Times New Roman"/>
    </w:rPr>
  </w:style>
  <w:style w:type="paragraph" w:styleId="22">
    <w:name w:val="toc 3"/>
    <w:basedOn w:val="1"/>
    <w:next w:val="1"/>
    <w:qFormat/>
    <w:uiPriority w:val="39"/>
    <w:pPr>
      <w:ind w:left="400" w:leftChars="400"/>
    </w:pPr>
    <w:rPr>
      <w:rFonts w:ascii="Times New Roman" w:hAnsi="Times New Roman"/>
    </w:rPr>
  </w:style>
  <w:style w:type="paragraph" w:styleId="23">
    <w:name w:val="Plain Text"/>
    <w:basedOn w:val="1"/>
    <w:next w:val="1"/>
    <w:link w:val="67"/>
    <w:qFormat/>
    <w:uiPriority w:val="0"/>
    <w:rPr>
      <w:rFonts w:ascii="宋体"/>
      <w:kern w:val="0"/>
      <w:sz w:val="20"/>
      <w:szCs w:val="20"/>
    </w:rPr>
  </w:style>
  <w:style w:type="paragraph" w:styleId="24">
    <w:name w:val="toc 8"/>
    <w:basedOn w:val="1"/>
    <w:next w:val="1"/>
    <w:qFormat/>
    <w:uiPriority w:val="39"/>
    <w:pPr>
      <w:ind w:left="1400" w:leftChars="1400"/>
    </w:pPr>
    <w:rPr>
      <w:rFonts w:ascii="Times New Roman" w:hAnsi="Times New Roman"/>
    </w:rPr>
  </w:style>
  <w:style w:type="paragraph" w:styleId="25">
    <w:name w:val="Date"/>
    <w:basedOn w:val="1"/>
    <w:next w:val="1"/>
    <w:link w:val="54"/>
    <w:qFormat/>
    <w:uiPriority w:val="0"/>
    <w:pPr>
      <w:ind w:left="2500" w:leftChars="2500"/>
    </w:pPr>
    <w:rPr>
      <w:kern w:val="0"/>
      <w:sz w:val="20"/>
      <w:szCs w:val="20"/>
    </w:rPr>
  </w:style>
  <w:style w:type="paragraph" w:styleId="26">
    <w:name w:val="Balloon Text"/>
    <w:basedOn w:val="1"/>
    <w:link w:val="78"/>
    <w:unhideWhenUsed/>
    <w:qFormat/>
    <w:uiPriority w:val="0"/>
    <w:rPr>
      <w:rFonts w:ascii="Times New Roman" w:hAnsi="Times New Roman"/>
      <w:sz w:val="18"/>
      <w:szCs w:val="18"/>
    </w:rPr>
  </w:style>
  <w:style w:type="paragraph" w:styleId="27">
    <w:name w:val="footer"/>
    <w:basedOn w:val="1"/>
    <w:link w:val="126"/>
    <w:unhideWhenUsed/>
    <w:qFormat/>
    <w:uiPriority w:val="99"/>
    <w:pPr>
      <w:tabs>
        <w:tab w:val="center" w:pos="4153"/>
        <w:tab w:val="right" w:pos="8306"/>
      </w:tabs>
      <w:snapToGrid w:val="0"/>
      <w:jc w:val="left"/>
    </w:pPr>
    <w:rPr>
      <w:kern w:val="0"/>
      <w:sz w:val="18"/>
      <w:szCs w:val="18"/>
    </w:rPr>
  </w:style>
  <w:style w:type="paragraph" w:styleId="28">
    <w:name w:val="header"/>
    <w:basedOn w:val="1"/>
    <w:link w:val="12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rPr>
      <w:rFonts w:ascii="Times New Roman" w:hAnsi="Times New Roman"/>
    </w:rPr>
  </w:style>
  <w:style w:type="paragraph" w:styleId="30">
    <w:name w:val="toc 4"/>
    <w:basedOn w:val="1"/>
    <w:next w:val="1"/>
    <w:qFormat/>
    <w:uiPriority w:val="39"/>
    <w:pPr>
      <w:ind w:left="600" w:leftChars="600"/>
    </w:pPr>
    <w:rPr>
      <w:rFonts w:ascii="Times New Roman" w:hAnsi="Times New Roman"/>
    </w:rPr>
  </w:style>
  <w:style w:type="paragraph" w:styleId="31">
    <w:name w:val="toc 6"/>
    <w:basedOn w:val="1"/>
    <w:next w:val="1"/>
    <w:qFormat/>
    <w:uiPriority w:val="39"/>
    <w:pPr>
      <w:ind w:left="1000" w:leftChars="1000"/>
    </w:pPr>
    <w:rPr>
      <w:rFonts w:ascii="Times New Roman" w:hAnsi="Times New Roman"/>
    </w:rPr>
  </w:style>
  <w:style w:type="paragraph" w:styleId="32">
    <w:name w:val="Body Text Indent 3"/>
    <w:basedOn w:val="1"/>
    <w:link w:val="90"/>
    <w:qFormat/>
    <w:uiPriority w:val="0"/>
    <w:pPr>
      <w:spacing w:after="120"/>
      <w:ind w:left="200" w:leftChars="200"/>
    </w:pPr>
    <w:rPr>
      <w:kern w:val="0"/>
      <w:sz w:val="16"/>
      <w:szCs w:val="16"/>
    </w:rPr>
  </w:style>
  <w:style w:type="paragraph" w:styleId="33">
    <w:name w:val="toc 2"/>
    <w:basedOn w:val="1"/>
    <w:next w:val="1"/>
    <w:qFormat/>
    <w:uiPriority w:val="39"/>
    <w:pPr>
      <w:ind w:left="200" w:leftChars="200"/>
    </w:pPr>
    <w:rPr>
      <w:rFonts w:ascii="Times New Roman" w:hAnsi="Times New Roman"/>
    </w:rPr>
  </w:style>
  <w:style w:type="paragraph" w:styleId="34">
    <w:name w:val="toc 9"/>
    <w:basedOn w:val="1"/>
    <w:next w:val="1"/>
    <w:qFormat/>
    <w:uiPriority w:val="39"/>
    <w:pPr>
      <w:ind w:left="1600" w:leftChars="1600"/>
    </w:pPr>
    <w:rPr>
      <w:rFonts w:ascii="Times New Roman" w:hAnsi="Times New Roman"/>
    </w:rPr>
  </w:style>
  <w:style w:type="paragraph" w:styleId="35">
    <w:name w:val="Body Text 2"/>
    <w:basedOn w:val="1"/>
    <w:link w:val="131"/>
    <w:qFormat/>
    <w:uiPriority w:val="0"/>
    <w:rPr>
      <w:rFonts w:ascii="宋体" w:hAnsi="宋体"/>
      <w:kern w:val="0"/>
      <w:sz w:val="20"/>
      <w:szCs w:val="24"/>
      <w:u w:val="single"/>
    </w:rPr>
  </w:style>
  <w:style w:type="paragraph" w:styleId="36">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9"/>
    <w:next w:val="19"/>
    <w:link w:val="133"/>
    <w:unhideWhenUsed/>
    <w:qFormat/>
    <w:uiPriority w:val="0"/>
    <w:pPr>
      <w:widowControl/>
    </w:pPr>
    <w:rPr>
      <w:b/>
      <w:bCs/>
      <w:kern w:val="0"/>
      <w:sz w:val="20"/>
      <w:szCs w:val="20"/>
    </w:rPr>
  </w:style>
  <w:style w:type="character" w:styleId="42">
    <w:name w:val="Strong"/>
    <w:qFormat/>
    <w:uiPriority w:val="0"/>
    <w:rPr>
      <w:b/>
      <w:bCs/>
    </w:r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character" w:styleId="46">
    <w:name w:val="footnote reference"/>
    <w:qFormat/>
    <w:uiPriority w:val="0"/>
    <w:rPr>
      <w:vertAlign w:val="superscript"/>
    </w:rPr>
  </w:style>
  <w:style w:type="paragraph" w:customStyle="1" w:styleId="47">
    <w:name w:val="正文首行缩进 21"/>
    <w:basedOn w:val="5"/>
    <w:qFormat/>
    <w:uiPriority w:val="99"/>
    <w:pPr>
      <w:ind w:firstLine="420" w:firstLineChars="200"/>
    </w:pPr>
    <w:rPr>
      <w:szCs w:val="24"/>
    </w:rPr>
  </w:style>
  <w:style w:type="paragraph" w:customStyle="1" w:styleId="48">
    <w:name w:val="样式1"/>
    <w:basedOn w:val="1"/>
    <w:next w:val="10"/>
    <w:qFormat/>
    <w:uiPriority w:val="0"/>
    <w:pPr>
      <w:spacing w:line="360" w:lineRule="auto"/>
      <w:ind w:firstLine="420" w:firstLineChars="200"/>
    </w:pPr>
    <w:rPr>
      <w:rFonts w:ascii="宋体" w:hAnsi="宋体"/>
      <w:szCs w:val="21"/>
    </w:rPr>
  </w:style>
  <w:style w:type="character" w:customStyle="1" w:styleId="49">
    <w:name w:val="Char Char4"/>
    <w:qFormat/>
    <w:uiPriority w:val="0"/>
    <w:rPr>
      <w:rFonts w:ascii="Times New Roman" w:hAnsi="Times New Roman" w:eastAsia="楷体_GB2312" w:cs="Times New Roman"/>
      <w:sz w:val="18"/>
      <w:szCs w:val="18"/>
    </w:rPr>
  </w:style>
  <w:style w:type="character" w:customStyle="1" w:styleId="50">
    <w:name w:val="正文文本 3 Char3"/>
    <w:semiHidden/>
    <w:qFormat/>
    <w:uiPriority w:val="99"/>
    <w:rPr>
      <w:kern w:val="2"/>
      <w:sz w:val="16"/>
      <w:szCs w:val="16"/>
    </w:rPr>
  </w:style>
  <w:style w:type="character" w:customStyle="1" w:styleId="51">
    <w:name w:val="文档结构图 Char1"/>
    <w:semiHidden/>
    <w:qFormat/>
    <w:uiPriority w:val="99"/>
    <w:rPr>
      <w:rFonts w:ascii="宋体" w:hAnsi="Calibri"/>
      <w:sz w:val="18"/>
      <w:szCs w:val="18"/>
    </w:rPr>
  </w:style>
  <w:style w:type="character" w:customStyle="1" w:styleId="52">
    <w:name w:val="样式73 Char"/>
    <w:link w:val="53"/>
    <w:qFormat/>
    <w:uiPriority w:val="0"/>
    <w:rPr>
      <w:rFonts w:ascii="华文中宋" w:hAnsi="华文中宋" w:eastAsia="华文中宋"/>
      <w:sz w:val="28"/>
      <w:szCs w:val="28"/>
    </w:rPr>
  </w:style>
  <w:style w:type="paragraph" w:customStyle="1" w:styleId="53">
    <w:name w:val="样式73"/>
    <w:basedOn w:val="1"/>
    <w:link w:val="52"/>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4">
    <w:name w:val="日期 Char"/>
    <w:link w:val="25"/>
    <w:qFormat/>
    <w:uiPriority w:val="0"/>
  </w:style>
  <w:style w:type="character" w:customStyle="1" w:styleId="55">
    <w:name w:val="正文文本 3 Char"/>
    <w:link w:val="20"/>
    <w:qFormat/>
    <w:uiPriority w:val="0"/>
    <w:rPr>
      <w:rFonts w:eastAsia="楷体_GB2312"/>
      <w:sz w:val="16"/>
      <w:szCs w:val="16"/>
    </w:rPr>
  </w:style>
  <w:style w:type="character" w:customStyle="1" w:styleId="56">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7">
    <w:name w:val="正文首行缩进 Char"/>
    <w:link w:val="2"/>
    <w:qFormat/>
    <w:uiPriority w:val="0"/>
    <w:rPr>
      <w:szCs w:val="24"/>
    </w:rPr>
  </w:style>
  <w:style w:type="character" w:customStyle="1" w:styleId="58">
    <w:name w:val="页脚 字符"/>
    <w:qFormat/>
    <w:uiPriority w:val="0"/>
    <w:rPr>
      <w:rFonts w:ascii="Times New Roman" w:hAnsi="Times New Roman" w:eastAsia="楷体_GB2312" w:cs="Times New Roman"/>
      <w:kern w:val="2"/>
      <w:sz w:val="18"/>
      <w:szCs w:val="18"/>
    </w:rPr>
  </w:style>
  <w:style w:type="character" w:customStyle="1" w:styleId="59">
    <w:name w:val="Char Char51"/>
    <w:qFormat/>
    <w:uiPriority w:val="0"/>
    <w:rPr>
      <w:rFonts w:ascii="Times New Roman" w:hAnsi="Times New Roman" w:eastAsia="长城仿宋" w:cs="Times New Roman"/>
      <w:sz w:val="18"/>
      <w:lang w:val="en-US" w:eastAsia="zh-CN" w:bidi="ar-SA"/>
    </w:rPr>
  </w:style>
  <w:style w:type="character" w:customStyle="1" w:styleId="60">
    <w:name w:val="标题 Char5"/>
    <w:qFormat/>
    <w:uiPriority w:val="10"/>
    <w:rPr>
      <w:rFonts w:ascii="Cambria" w:hAnsi="Cambria" w:cs="Times New Roman"/>
      <w:b/>
      <w:bCs/>
      <w:kern w:val="2"/>
      <w:sz w:val="32"/>
      <w:szCs w:val="32"/>
    </w:rPr>
  </w:style>
  <w:style w:type="character" w:customStyle="1" w:styleId="61">
    <w:name w:val="正文文本缩进 Char"/>
    <w:link w:val="5"/>
    <w:qFormat/>
    <w:uiPriority w:val="0"/>
  </w:style>
  <w:style w:type="character" w:customStyle="1" w:styleId="62">
    <w:name w:val="标题 4 Char"/>
    <w:link w:val="10"/>
    <w:qFormat/>
    <w:uiPriority w:val="0"/>
    <w:rPr>
      <w:rFonts w:ascii="Arial" w:hAnsi="Arial" w:eastAsia="黑体"/>
      <w:b/>
      <w:bCs/>
      <w:color w:val="0000FF"/>
      <w:sz w:val="24"/>
      <w:szCs w:val="24"/>
    </w:rPr>
  </w:style>
  <w:style w:type="character" w:customStyle="1" w:styleId="63">
    <w:name w:val="标题 Char2"/>
    <w:qFormat/>
    <w:uiPriority w:val="10"/>
    <w:rPr>
      <w:rFonts w:ascii="Cambria" w:hAnsi="Cambria" w:eastAsia="宋体" w:cs="Times New Roman"/>
      <w:b/>
      <w:bCs/>
      <w:kern w:val="2"/>
      <w:sz w:val="32"/>
      <w:szCs w:val="32"/>
    </w:rPr>
  </w:style>
  <w:style w:type="character" w:customStyle="1" w:styleId="64">
    <w:name w:val="纯文本 Char1"/>
    <w:qFormat/>
    <w:uiPriority w:val="0"/>
    <w:rPr>
      <w:rFonts w:ascii="宋体" w:hAnsi="Courier New" w:cs="Courier New"/>
      <w:sz w:val="21"/>
      <w:szCs w:val="21"/>
    </w:rPr>
  </w:style>
  <w:style w:type="character" w:customStyle="1" w:styleId="65">
    <w:name w:val="批注框文本 Char2"/>
    <w:semiHidden/>
    <w:qFormat/>
    <w:uiPriority w:val="99"/>
    <w:rPr>
      <w:kern w:val="2"/>
      <w:sz w:val="18"/>
      <w:szCs w:val="18"/>
    </w:rPr>
  </w:style>
  <w:style w:type="character" w:customStyle="1" w:styleId="66">
    <w:name w:val="标题 3 Char"/>
    <w:link w:val="9"/>
    <w:qFormat/>
    <w:uiPriority w:val="0"/>
    <w:rPr>
      <w:rFonts w:ascii="Times New Roman" w:hAnsi="Times New Roman"/>
      <w:b/>
      <w:bCs/>
      <w:kern w:val="2"/>
      <w:sz w:val="32"/>
      <w:szCs w:val="32"/>
    </w:rPr>
  </w:style>
  <w:style w:type="character" w:customStyle="1" w:styleId="67">
    <w:name w:val="纯文本 Char"/>
    <w:link w:val="23"/>
    <w:qFormat/>
    <w:uiPriority w:val="0"/>
    <w:rPr>
      <w:rFonts w:ascii="宋体"/>
    </w:rPr>
  </w:style>
  <w:style w:type="character" w:customStyle="1" w:styleId="68">
    <w:name w:val="Char Char52"/>
    <w:qFormat/>
    <w:uiPriority w:val="0"/>
    <w:rPr>
      <w:rFonts w:ascii="Times New Roman" w:hAnsi="Times New Roman" w:eastAsia="长城仿宋" w:cs="Times New Roman"/>
      <w:sz w:val="18"/>
      <w:lang w:val="en-US" w:eastAsia="zh-CN" w:bidi="ar-SA"/>
    </w:rPr>
  </w:style>
  <w:style w:type="character" w:customStyle="1" w:styleId="69">
    <w:name w:val="批注文字 Char6"/>
    <w:link w:val="19"/>
    <w:semiHidden/>
    <w:qFormat/>
    <w:uiPriority w:val="99"/>
    <w:rPr>
      <w:kern w:val="2"/>
      <w:sz w:val="21"/>
      <w:szCs w:val="22"/>
    </w:rPr>
  </w:style>
  <w:style w:type="character" w:customStyle="1" w:styleId="70">
    <w:name w:val="正文文本 Char3"/>
    <w:semiHidden/>
    <w:qFormat/>
    <w:uiPriority w:val="99"/>
    <w:rPr>
      <w:rFonts w:ascii="Calibri" w:hAnsi="Calibri"/>
      <w:kern w:val="2"/>
      <w:sz w:val="21"/>
      <w:szCs w:val="22"/>
    </w:rPr>
  </w:style>
  <w:style w:type="character" w:customStyle="1" w:styleId="71">
    <w:name w:val="fontstyle01"/>
    <w:qFormat/>
    <w:uiPriority w:val="0"/>
    <w:rPr>
      <w:rFonts w:hint="eastAsia" w:ascii="宋体" w:hAnsi="宋体" w:eastAsia="宋体"/>
      <w:color w:val="000000"/>
      <w:sz w:val="22"/>
      <w:szCs w:val="22"/>
    </w:rPr>
  </w:style>
  <w:style w:type="character" w:customStyle="1" w:styleId="72">
    <w:name w:val="纯文本 Char3"/>
    <w:semiHidden/>
    <w:qFormat/>
    <w:uiPriority w:val="99"/>
    <w:rPr>
      <w:rFonts w:ascii="宋体" w:hAnsi="Courier New" w:cs="Courier New"/>
      <w:kern w:val="2"/>
      <w:sz w:val="21"/>
      <w:szCs w:val="21"/>
    </w:rPr>
  </w:style>
  <w:style w:type="character" w:customStyle="1" w:styleId="73">
    <w:name w:val="Comment Text Char"/>
    <w:qFormat/>
    <w:uiPriority w:val="0"/>
  </w:style>
  <w:style w:type="character" w:customStyle="1" w:styleId="74">
    <w:name w:val="日期 Char4"/>
    <w:semiHidden/>
    <w:qFormat/>
    <w:uiPriority w:val="99"/>
    <w:rPr>
      <w:kern w:val="2"/>
      <w:sz w:val="21"/>
      <w:szCs w:val="22"/>
    </w:rPr>
  </w:style>
  <w:style w:type="character" w:customStyle="1" w:styleId="75">
    <w:name w:val="文档结构图 Char3"/>
    <w:semiHidden/>
    <w:qFormat/>
    <w:uiPriority w:val="99"/>
    <w:rPr>
      <w:rFonts w:ascii="宋体"/>
      <w:kern w:val="2"/>
      <w:sz w:val="18"/>
      <w:szCs w:val="18"/>
    </w:rPr>
  </w:style>
  <w:style w:type="character" w:customStyle="1" w:styleId="76">
    <w:name w:val="批注主题 Char1"/>
    <w:semiHidden/>
    <w:qFormat/>
    <w:uiPriority w:val="99"/>
    <w:rPr>
      <w:rFonts w:ascii="Calibri" w:hAnsi="Calibri"/>
      <w:b/>
      <w:bCs/>
      <w:sz w:val="21"/>
      <w:szCs w:val="22"/>
    </w:rPr>
  </w:style>
  <w:style w:type="character" w:customStyle="1" w:styleId="77">
    <w:name w:val="正文文本缩进 Char4"/>
    <w:semiHidden/>
    <w:qFormat/>
    <w:uiPriority w:val="99"/>
    <w:rPr>
      <w:kern w:val="2"/>
      <w:sz w:val="21"/>
      <w:szCs w:val="22"/>
    </w:rPr>
  </w:style>
  <w:style w:type="character" w:customStyle="1" w:styleId="78">
    <w:name w:val="批注框文本 Char"/>
    <w:link w:val="26"/>
    <w:qFormat/>
    <w:uiPriority w:val="0"/>
    <w:rPr>
      <w:rFonts w:ascii="Times New Roman" w:hAnsi="Times New Roman"/>
      <w:kern w:val="2"/>
      <w:sz w:val="18"/>
      <w:szCs w:val="18"/>
    </w:rPr>
  </w:style>
  <w:style w:type="character" w:customStyle="1" w:styleId="79">
    <w:name w:val="正文文本 Char2"/>
    <w:semiHidden/>
    <w:qFormat/>
    <w:uiPriority w:val="99"/>
    <w:rPr>
      <w:rFonts w:ascii="Calibri" w:hAnsi="Calibri"/>
      <w:sz w:val="21"/>
      <w:szCs w:val="22"/>
    </w:rPr>
  </w:style>
  <w:style w:type="character" w:customStyle="1" w:styleId="80">
    <w:name w:val="正文文本缩进 3 Char1"/>
    <w:semiHidden/>
    <w:qFormat/>
    <w:uiPriority w:val="99"/>
    <w:rPr>
      <w:rFonts w:ascii="Calibri" w:hAnsi="Calibri"/>
      <w:sz w:val="16"/>
      <w:szCs w:val="16"/>
    </w:rPr>
  </w:style>
  <w:style w:type="character" w:customStyle="1" w:styleId="81">
    <w:name w:val="标题 Char"/>
    <w:link w:val="38"/>
    <w:qFormat/>
    <w:uiPriority w:val="0"/>
    <w:rPr>
      <w:rFonts w:ascii="Arial" w:hAnsi="Arial"/>
      <w:b/>
      <w:sz w:val="32"/>
    </w:rPr>
  </w:style>
  <w:style w:type="character" w:customStyle="1" w:styleId="82">
    <w:name w:val="16"/>
    <w:qFormat/>
    <w:uiPriority w:val="0"/>
    <w:rPr>
      <w:rFonts w:hint="default" w:ascii="Times New Roman" w:hAnsi="Times New Roman" w:eastAsia="楷体_GB2312" w:cs="Times New Roman"/>
      <w:color w:val="0000FF"/>
      <w:u w:val="single"/>
    </w:rPr>
  </w:style>
  <w:style w:type="character" w:customStyle="1" w:styleId="83">
    <w:name w:val="正文首行缩进 Char1"/>
    <w:qFormat/>
    <w:uiPriority w:val="99"/>
    <w:rPr>
      <w:rFonts w:eastAsia="宋体"/>
      <w:kern w:val="2"/>
      <w:sz w:val="21"/>
    </w:rPr>
  </w:style>
  <w:style w:type="character" w:customStyle="1" w:styleId="84">
    <w:name w:val="页眉 Char1"/>
    <w:semiHidden/>
    <w:qFormat/>
    <w:uiPriority w:val="99"/>
    <w:rPr>
      <w:rFonts w:ascii="Calibri" w:hAnsi="Calibri"/>
      <w:sz w:val="18"/>
      <w:szCs w:val="18"/>
    </w:rPr>
  </w:style>
  <w:style w:type="character" w:customStyle="1" w:styleId="85">
    <w:name w:val="标题 2 Char"/>
    <w:link w:val="8"/>
    <w:qFormat/>
    <w:uiPriority w:val="0"/>
    <w:rPr>
      <w:rFonts w:ascii="Arial" w:hAnsi="Arial" w:eastAsia="黑体"/>
      <w:b/>
      <w:bCs/>
      <w:color w:val="000000"/>
      <w:sz w:val="36"/>
      <w:szCs w:val="32"/>
    </w:rPr>
  </w:style>
  <w:style w:type="character" w:customStyle="1" w:styleId="86">
    <w:name w:val="title1"/>
    <w:qFormat/>
    <w:uiPriority w:val="0"/>
    <w:rPr>
      <w:rFonts w:ascii="Times New Roman" w:hAnsi="Times New Roman" w:eastAsia="楷体_GB2312" w:cs="Times New Roman"/>
      <w:sz w:val="24"/>
      <w:szCs w:val="24"/>
    </w:rPr>
  </w:style>
  <w:style w:type="character" w:customStyle="1" w:styleId="87">
    <w:name w:val="正文文本 2 Char4"/>
    <w:semiHidden/>
    <w:qFormat/>
    <w:uiPriority w:val="99"/>
    <w:rPr>
      <w:kern w:val="2"/>
      <w:sz w:val="21"/>
      <w:szCs w:val="22"/>
    </w:rPr>
  </w:style>
  <w:style w:type="character" w:customStyle="1" w:styleId="88">
    <w:name w:val="标题 8 Char"/>
    <w:link w:val="14"/>
    <w:qFormat/>
    <w:uiPriority w:val="0"/>
    <w:rPr>
      <w:rFonts w:ascii="Times New Roman" w:hAnsi="Times New Roman" w:eastAsia="华文中宋"/>
      <w:sz w:val="24"/>
      <w:szCs w:val="24"/>
    </w:rPr>
  </w:style>
  <w:style w:type="character" w:customStyle="1" w:styleId="89">
    <w:name w:val="纯文本 Char5"/>
    <w:semiHidden/>
    <w:qFormat/>
    <w:uiPriority w:val="99"/>
    <w:rPr>
      <w:rFonts w:ascii="宋体" w:hAnsi="Courier New" w:cs="Courier New"/>
      <w:kern w:val="2"/>
      <w:sz w:val="21"/>
      <w:szCs w:val="21"/>
    </w:rPr>
  </w:style>
  <w:style w:type="character" w:customStyle="1" w:styleId="90">
    <w:name w:val="正文文本缩进 3 Char"/>
    <w:link w:val="32"/>
    <w:qFormat/>
    <w:uiPriority w:val="0"/>
    <w:rPr>
      <w:sz w:val="16"/>
      <w:szCs w:val="16"/>
    </w:rPr>
  </w:style>
  <w:style w:type="character" w:customStyle="1" w:styleId="91">
    <w:name w:val="标题 Char3"/>
    <w:qFormat/>
    <w:uiPriority w:val="10"/>
    <w:rPr>
      <w:rFonts w:ascii="Cambria" w:hAnsi="Cambria" w:cs="Times New Roman"/>
      <w:b/>
      <w:bCs/>
      <w:kern w:val="2"/>
      <w:sz w:val="32"/>
      <w:szCs w:val="32"/>
    </w:rPr>
  </w:style>
  <w:style w:type="character" w:customStyle="1" w:styleId="92">
    <w:name w:val="font161"/>
    <w:qFormat/>
    <w:uiPriority w:val="0"/>
    <w:rPr>
      <w:b/>
      <w:bCs/>
      <w:sz w:val="32"/>
      <w:szCs w:val="32"/>
    </w:rPr>
  </w:style>
  <w:style w:type="character" w:customStyle="1" w:styleId="93">
    <w:name w:val="Char Char5"/>
    <w:qFormat/>
    <w:uiPriority w:val="0"/>
    <w:rPr>
      <w:rFonts w:ascii="Times New Roman" w:hAnsi="Times New Roman" w:eastAsia="长城仿宋" w:cs="Times New Roman"/>
      <w:sz w:val="18"/>
      <w:lang w:val="en-US" w:eastAsia="zh-CN" w:bidi="ar-SA"/>
    </w:rPr>
  </w:style>
  <w:style w:type="character" w:customStyle="1" w:styleId="94">
    <w:name w:val="正文首行缩进 Char2"/>
    <w:semiHidden/>
    <w:qFormat/>
    <w:uiPriority w:val="99"/>
    <w:rPr>
      <w:rFonts w:ascii="Calibri" w:hAnsi="Calibri"/>
      <w:sz w:val="21"/>
      <w:szCs w:val="22"/>
    </w:rPr>
  </w:style>
  <w:style w:type="character" w:customStyle="1" w:styleId="95">
    <w:name w:val="批注主题 Char4"/>
    <w:semiHidden/>
    <w:qFormat/>
    <w:uiPriority w:val="99"/>
    <w:rPr>
      <w:b/>
      <w:bCs/>
      <w:kern w:val="2"/>
      <w:sz w:val="21"/>
      <w:szCs w:val="22"/>
    </w:rPr>
  </w:style>
  <w:style w:type="character" w:customStyle="1" w:styleId="96">
    <w:name w:val="页眉 字符"/>
    <w:qFormat/>
    <w:uiPriority w:val="0"/>
    <w:rPr>
      <w:rFonts w:ascii="Times New Roman" w:hAnsi="Times New Roman" w:eastAsia="楷体_GB2312" w:cs="Times New Roman"/>
      <w:kern w:val="2"/>
      <w:sz w:val="18"/>
      <w:szCs w:val="18"/>
    </w:rPr>
  </w:style>
  <w:style w:type="character" w:customStyle="1" w:styleId="97">
    <w:name w:val="批注框文本 Char1"/>
    <w:semiHidden/>
    <w:qFormat/>
    <w:uiPriority w:val="99"/>
    <w:rPr>
      <w:rFonts w:ascii="Calibri" w:hAnsi="Calibri"/>
      <w:sz w:val="18"/>
      <w:szCs w:val="18"/>
    </w:rPr>
  </w:style>
  <w:style w:type="character" w:customStyle="1" w:styleId="98">
    <w:name w:val="文档结构图 Char2"/>
    <w:semiHidden/>
    <w:qFormat/>
    <w:uiPriority w:val="99"/>
    <w:rPr>
      <w:rFonts w:ascii="宋体"/>
      <w:kern w:val="2"/>
      <w:sz w:val="18"/>
      <w:szCs w:val="18"/>
    </w:rPr>
  </w:style>
  <w:style w:type="character" w:customStyle="1" w:styleId="99">
    <w:name w:val="正文文本 Char1"/>
    <w:qFormat/>
    <w:uiPriority w:val="99"/>
    <w:rPr>
      <w:sz w:val="21"/>
    </w:rPr>
  </w:style>
  <w:style w:type="character" w:customStyle="1" w:styleId="100">
    <w:name w:val="正文文本 3 Char4"/>
    <w:semiHidden/>
    <w:qFormat/>
    <w:uiPriority w:val="99"/>
    <w:rPr>
      <w:kern w:val="2"/>
      <w:sz w:val="16"/>
      <w:szCs w:val="16"/>
    </w:rPr>
  </w:style>
  <w:style w:type="character" w:customStyle="1" w:styleId="101">
    <w:name w:val="纯文本 Char4"/>
    <w:semiHidden/>
    <w:qFormat/>
    <w:uiPriority w:val="99"/>
    <w:rPr>
      <w:rFonts w:ascii="宋体" w:hAnsi="Courier New" w:cs="Courier New"/>
      <w:kern w:val="2"/>
      <w:sz w:val="21"/>
      <w:szCs w:val="21"/>
    </w:rPr>
  </w:style>
  <w:style w:type="character" w:customStyle="1" w:styleId="102">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3">
    <w:name w:val="标题 Char4"/>
    <w:qFormat/>
    <w:uiPriority w:val="10"/>
    <w:rPr>
      <w:rFonts w:ascii="Cambria" w:hAnsi="Cambria" w:cs="Times New Roman"/>
      <w:b/>
      <w:bCs/>
      <w:kern w:val="2"/>
      <w:sz w:val="32"/>
      <w:szCs w:val="32"/>
    </w:rPr>
  </w:style>
  <w:style w:type="character" w:customStyle="1" w:styleId="104">
    <w:name w:val="正文文本 3 Char1"/>
    <w:semiHidden/>
    <w:qFormat/>
    <w:uiPriority w:val="99"/>
    <w:rPr>
      <w:rFonts w:ascii="Calibri" w:hAnsi="Calibri"/>
      <w:sz w:val="16"/>
      <w:szCs w:val="16"/>
    </w:rPr>
  </w:style>
  <w:style w:type="character" w:customStyle="1" w:styleId="105">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6">
    <w:name w:val="正文首行缩进 Char5"/>
    <w:semiHidden/>
    <w:qFormat/>
    <w:uiPriority w:val="99"/>
  </w:style>
  <w:style w:type="character" w:customStyle="1" w:styleId="107">
    <w:name w:val="页脚 Char1"/>
    <w:semiHidden/>
    <w:qFormat/>
    <w:uiPriority w:val="99"/>
    <w:rPr>
      <w:rFonts w:ascii="Calibri" w:hAnsi="Calibri"/>
      <w:sz w:val="18"/>
      <w:szCs w:val="18"/>
    </w:rPr>
  </w:style>
  <w:style w:type="character" w:customStyle="1" w:styleId="108">
    <w:name w:val="批注主题 Char2"/>
    <w:semiHidden/>
    <w:qFormat/>
    <w:uiPriority w:val="99"/>
    <w:rPr>
      <w:b/>
      <w:bCs/>
      <w:kern w:val="2"/>
      <w:sz w:val="21"/>
      <w:szCs w:val="22"/>
    </w:rPr>
  </w:style>
  <w:style w:type="character" w:customStyle="1" w:styleId="109">
    <w:name w:val="正文文本缩进 Char1"/>
    <w:semiHidden/>
    <w:qFormat/>
    <w:uiPriority w:val="99"/>
    <w:rPr>
      <w:rFonts w:ascii="Calibri" w:hAnsi="Calibri"/>
      <w:sz w:val="21"/>
      <w:szCs w:val="22"/>
    </w:rPr>
  </w:style>
  <w:style w:type="character" w:customStyle="1" w:styleId="110">
    <w:name w:val="批注文字 Char3"/>
    <w:qFormat/>
    <w:uiPriority w:val="99"/>
    <w:rPr>
      <w:rFonts w:ascii="Calibri" w:hAnsi="Calibri"/>
      <w:sz w:val="21"/>
      <w:szCs w:val="22"/>
    </w:rPr>
  </w:style>
  <w:style w:type="character" w:customStyle="1" w:styleId="111">
    <w:name w:val="批注文字 Char2"/>
    <w:semiHidden/>
    <w:qFormat/>
    <w:locked/>
    <w:uiPriority w:val="99"/>
    <w:rPr>
      <w:rFonts w:ascii="Times New Roman" w:hAnsi="Times New Roman"/>
      <w:kern w:val="2"/>
      <w:sz w:val="21"/>
      <w:szCs w:val="24"/>
    </w:rPr>
  </w:style>
  <w:style w:type="character" w:customStyle="1" w:styleId="112">
    <w:name w:val="正文文本缩进 3 Char2"/>
    <w:semiHidden/>
    <w:qFormat/>
    <w:uiPriority w:val="99"/>
    <w:rPr>
      <w:kern w:val="2"/>
      <w:sz w:val="16"/>
      <w:szCs w:val="16"/>
    </w:rPr>
  </w:style>
  <w:style w:type="character" w:customStyle="1" w:styleId="113">
    <w:name w:val="标题 1 Char"/>
    <w:link w:val="7"/>
    <w:qFormat/>
    <w:uiPriority w:val="0"/>
    <w:rPr>
      <w:rFonts w:ascii="Times New Roman" w:hAnsi="Times New Roman"/>
      <w:b/>
      <w:bCs/>
      <w:kern w:val="44"/>
      <w:sz w:val="44"/>
      <w:szCs w:val="44"/>
    </w:rPr>
  </w:style>
  <w:style w:type="character" w:customStyle="1" w:styleId="114">
    <w:name w:val="文档结构图 Char4"/>
    <w:semiHidden/>
    <w:qFormat/>
    <w:uiPriority w:val="99"/>
    <w:rPr>
      <w:rFonts w:ascii="宋体"/>
      <w:kern w:val="2"/>
      <w:sz w:val="18"/>
      <w:szCs w:val="18"/>
    </w:rPr>
  </w:style>
  <w:style w:type="character" w:customStyle="1" w:styleId="115">
    <w:name w:val="标题 5 Char"/>
    <w:link w:val="11"/>
    <w:qFormat/>
    <w:uiPriority w:val="0"/>
    <w:rPr>
      <w:rFonts w:ascii="Times New Roman" w:hAnsi="Times New Roman" w:eastAsia="华文中宋"/>
      <w:b/>
      <w:bCs/>
      <w:color w:val="800000"/>
      <w:sz w:val="24"/>
      <w:szCs w:val="24"/>
    </w:rPr>
  </w:style>
  <w:style w:type="character" w:customStyle="1" w:styleId="116">
    <w:name w:val="Char Char3"/>
    <w:qFormat/>
    <w:uiPriority w:val="0"/>
    <w:rPr>
      <w:rFonts w:ascii="Times New Roman" w:hAnsi="Times New Roman" w:eastAsia="宋体" w:cs="Times New Roman"/>
      <w:kern w:val="2"/>
      <w:sz w:val="18"/>
      <w:lang w:val="en-US" w:eastAsia="zh-CN" w:bidi="ar-SA"/>
    </w:rPr>
  </w:style>
  <w:style w:type="character" w:customStyle="1" w:styleId="117">
    <w:name w:val="标题 6 Char"/>
    <w:link w:val="12"/>
    <w:qFormat/>
    <w:uiPriority w:val="9"/>
    <w:rPr>
      <w:rFonts w:ascii="Arial" w:hAnsi="Arial" w:eastAsia="黑体"/>
      <w:b/>
      <w:bCs/>
      <w:sz w:val="24"/>
    </w:rPr>
  </w:style>
  <w:style w:type="character" w:customStyle="1" w:styleId="118">
    <w:name w:val="日期 Char2"/>
    <w:semiHidden/>
    <w:qFormat/>
    <w:uiPriority w:val="99"/>
    <w:rPr>
      <w:kern w:val="2"/>
      <w:sz w:val="21"/>
      <w:szCs w:val="22"/>
    </w:rPr>
  </w:style>
  <w:style w:type="character" w:customStyle="1" w:styleId="119">
    <w:name w:val="标题 7 Char"/>
    <w:link w:val="13"/>
    <w:qFormat/>
    <w:uiPriority w:val="0"/>
    <w:rPr>
      <w:rFonts w:ascii="Times New Roman" w:hAnsi="Times New Roman" w:eastAsia="华文中宋"/>
      <w:bCs/>
      <w:sz w:val="24"/>
      <w:szCs w:val="24"/>
    </w:rPr>
  </w:style>
  <w:style w:type="character" w:customStyle="1" w:styleId="120">
    <w:name w:val="正文文本 Char"/>
    <w:qFormat/>
    <w:uiPriority w:val="0"/>
    <w:rPr>
      <w:rFonts w:ascii="Calibri" w:hAnsi="Calibri" w:eastAsia="宋体"/>
      <w:lang w:bidi="ar-SA"/>
    </w:rPr>
  </w:style>
  <w:style w:type="character" w:customStyle="1" w:styleId="121">
    <w:name w:val="标题 9 Char"/>
    <w:link w:val="15"/>
    <w:qFormat/>
    <w:uiPriority w:val="0"/>
    <w:rPr>
      <w:rFonts w:ascii="Arial" w:hAnsi="Arial" w:eastAsia="黑体"/>
      <w:sz w:val="21"/>
      <w:szCs w:val="21"/>
    </w:rPr>
  </w:style>
  <w:style w:type="character" w:customStyle="1" w:styleId="122">
    <w:name w:val="文档结构图 Char"/>
    <w:link w:val="18"/>
    <w:qFormat/>
    <w:uiPriority w:val="0"/>
    <w:rPr>
      <w:rFonts w:ascii="宋体"/>
      <w:sz w:val="18"/>
      <w:szCs w:val="18"/>
    </w:rPr>
  </w:style>
  <w:style w:type="character" w:customStyle="1" w:styleId="123">
    <w:name w:val="纯文本 Char2"/>
    <w:semiHidden/>
    <w:qFormat/>
    <w:uiPriority w:val="99"/>
    <w:rPr>
      <w:rFonts w:ascii="宋体" w:hAnsi="Courier New" w:eastAsia="宋体" w:cs="Courier New"/>
      <w:kern w:val="2"/>
      <w:sz w:val="21"/>
      <w:szCs w:val="21"/>
    </w:rPr>
  </w:style>
  <w:style w:type="character" w:customStyle="1" w:styleId="124">
    <w:name w:val="正文文本 Char5"/>
    <w:link w:val="3"/>
    <w:qFormat/>
    <w:uiPriority w:val="99"/>
    <w:rPr>
      <w:rFonts w:ascii="Times New Roman" w:hAnsi="Times New Roman"/>
      <w:kern w:val="2"/>
      <w:sz w:val="21"/>
      <w:szCs w:val="22"/>
    </w:rPr>
  </w:style>
  <w:style w:type="character" w:customStyle="1" w:styleId="125">
    <w:name w:val="正文文本缩进 3 Char3"/>
    <w:semiHidden/>
    <w:qFormat/>
    <w:uiPriority w:val="99"/>
    <w:rPr>
      <w:kern w:val="2"/>
      <w:sz w:val="16"/>
      <w:szCs w:val="16"/>
    </w:rPr>
  </w:style>
  <w:style w:type="character" w:customStyle="1" w:styleId="126">
    <w:name w:val="页脚 Char"/>
    <w:link w:val="27"/>
    <w:qFormat/>
    <w:uiPriority w:val="99"/>
    <w:rPr>
      <w:sz w:val="18"/>
      <w:szCs w:val="18"/>
    </w:rPr>
  </w:style>
  <w:style w:type="character" w:customStyle="1" w:styleId="127">
    <w:name w:val="文一 Char"/>
    <w:link w:val="128"/>
    <w:qFormat/>
    <w:uiPriority w:val="0"/>
    <w:rPr>
      <w:spacing w:val="4"/>
      <w:sz w:val="24"/>
      <w:szCs w:val="24"/>
    </w:rPr>
  </w:style>
  <w:style w:type="paragraph" w:customStyle="1" w:styleId="128">
    <w:name w:val="文一"/>
    <w:basedOn w:val="1"/>
    <w:link w:val="127"/>
    <w:qFormat/>
    <w:uiPriority w:val="0"/>
    <w:pPr>
      <w:topLinePunct/>
      <w:adjustRightInd w:val="0"/>
      <w:snapToGrid w:val="0"/>
      <w:spacing w:line="360" w:lineRule="auto"/>
      <w:ind w:firstLine="200" w:firstLineChars="200"/>
    </w:pPr>
    <w:rPr>
      <w:spacing w:val="4"/>
      <w:kern w:val="0"/>
      <w:sz w:val="24"/>
      <w:szCs w:val="24"/>
    </w:rPr>
  </w:style>
  <w:style w:type="character" w:customStyle="1" w:styleId="129">
    <w:name w:val="页眉 Char"/>
    <w:link w:val="28"/>
    <w:qFormat/>
    <w:uiPriority w:val="0"/>
    <w:rPr>
      <w:sz w:val="18"/>
      <w:szCs w:val="18"/>
    </w:rPr>
  </w:style>
  <w:style w:type="character" w:customStyle="1" w:styleId="130">
    <w:name w:val="正文首行缩进 Char4"/>
    <w:semiHidden/>
    <w:qFormat/>
    <w:uiPriority w:val="99"/>
  </w:style>
  <w:style w:type="character" w:customStyle="1" w:styleId="131">
    <w:name w:val="正文文本 2 Char"/>
    <w:link w:val="35"/>
    <w:qFormat/>
    <w:uiPriority w:val="0"/>
    <w:rPr>
      <w:rFonts w:ascii="宋体" w:hAnsi="宋体"/>
      <w:szCs w:val="24"/>
      <w:u w:val="single"/>
    </w:rPr>
  </w:style>
  <w:style w:type="character" w:customStyle="1" w:styleId="132">
    <w:name w:val="批注主题 字符"/>
    <w:qFormat/>
    <w:uiPriority w:val="0"/>
    <w:rPr>
      <w:rFonts w:ascii="Times New Roman" w:hAnsi="Times New Roman" w:eastAsia="楷体_GB2312" w:cs="Times New Roman"/>
      <w:b/>
      <w:bCs/>
      <w:kern w:val="2"/>
      <w:sz w:val="21"/>
      <w:szCs w:val="24"/>
    </w:rPr>
  </w:style>
  <w:style w:type="character" w:customStyle="1" w:styleId="133">
    <w:name w:val="批注主题 Char"/>
    <w:link w:val="39"/>
    <w:qFormat/>
    <w:uiPriority w:val="0"/>
    <w:rPr>
      <w:b/>
      <w:bCs/>
    </w:rPr>
  </w:style>
  <w:style w:type="character" w:customStyle="1" w:styleId="134">
    <w:name w:val="批注文字 Char5"/>
    <w:semiHidden/>
    <w:qFormat/>
    <w:uiPriority w:val="99"/>
    <w:rPr>
      <w:kern w:val="2"/>
      <w:sz w:val="21"/>
      <w:szCs w:val="22"/>
    </w:rPr>
  </w:style>
  <w:style w:type="character" w:customStyle="1" w:styleId="135">
    <w:name w:val="style_kwd"/>
    <w:qFormat/>
    <w:uiPriority w:val="0"/>
  </w:style>
  <w:style w:type="character" w:customStyle="1" w:styleId="136">
    <w:name w:val="批注文字 Char"/>
    <w:qFormat/>
    <w:uiPriority w:val="99"/>
  </w:style>
  <w:style w:type="character" w:customStyle="1" w:styleId="137">
    <w:name w:val="批注文字 Char4"/>
    <w:semiHidden/>
    <w:qFormat/>
    <w:uiPriority w:val="99"/>
    <w:rPr>
      <w:rFonts w:ascii="Calibri" w:hAnsi="Calibri"/>
      <w:kern w:val="2"/>
      <w:sz w:val="21"/>
      <w:szCs w:val="22"/>
    </w:rPr>
  </w:style>
  <w:style w:type="character" w:customStyle="1" w:styleId="138">
    <w:name w:val="Char Char31"/>
    <w:qFormat/>
    <w:uiPriority w:val="0"/>
    <w:rPr>
      <w:rFonts w:ascii="Times New Roman" w:hAnsi="Times New Roman" w:eastAsia="宋体" w:cs="Times New Roman"/>
      <w:kern w:val="2"/>
      <w:sz w:val="18"/>
      <w:lang w:val="en-US" w:eastAsia="zh-CN" w:bidi="ar-SA"/>
    </w:rPr>
  </w:style>
  <w:style w:type="character" w:customStyle="1" w:styleId="139">
    <w:name w:val="正文文本 2 Char2"/>
    <w:semiHidden/>
    <w:qFormat/>
    <w:uiPriority w:val="99"/>
    <w:rPr>
      <w:kern w:val="2"/>
      <w:sz w:val="21"/>
      <w:szCs w:val="22"/>
    </w:rPr>
  </w:style>
  <w:style w:type="character" w:customStyle="1" w:styleId="140">
    <w:name w:val="正文文本 Char6"/>
    <w:semiHidden/>
    <w:qFormat/>
    <w:uiPriority w:val="99"/>
    <w:rPr>
      <w:kern w:val="2"/>
      <w:sz w:val="21"/>
      <w:szCs w:val="22"/>
    </w:rPr>
  </w:style>
  <w:style w:type="character" w:customStyle="1" w:styleId="141">
    <w:name w:val="批注文字 字符"/>
    <w:qFormat/>
    <w:uiPriority w:val="0"/>
    <w:rPr>
      <w:rFonts w:ascii="Times New Roman" w:hAnsi="Times New Roman" w:eastAsia="楷体_GB2312" w:cs="Times New Roman"/>
      <w:kern w:val="2"/>
      <w:sz w:val="21"/>
      <w:szCs w:val="24"/>
    </w:rPr>
  </w:style>
  <w:style w:type="character" w:customStyle="1" w:styleId="142">
    <w:name w:val="批注框文本 Char3"/>
    <w:semiHidden/>
    <w:qFormat/>
    <w:uiPriority w:val="99"/>
    <w:rPr>
      <w:kern w:val="2"/>
      <w:sz w:val="18"/>
      <w:szCs w:val="18"/>
    </w:rPr>
  </w:style>
  <w:style w:type="character" w:customStyle="1" w:styleId="143">
    <w:name w:val="Char Char6"/>
    <w:qFormat/>
    <w:uiPriority w:val="0"/>
    <w:rPr>
      <w:rFonts w:ascii="Times New Roman" w:hAnsi="Times New Roman" w:eastAsia="楷体_GB2312" w:cs="Times New Roman"/>
      <w:b/>
      <w:bCs/>
      <w:kern w:val="2"/>
      <w:sz w:val="24"/>
      <w:szCs w:val="24"/>
    </w:rPr>
  </w:style>
  <w:style w:type="character" w:customStyle="1" w:styleId="144">
    <w:name w:val="日期 Char1"/>
    <w:semiHidden/>
    <w:qFormat/>
    <w:uiPriority w:val="99"/>
    <w:rPr>
      <w:rFonts w:ascii="Calibri" w:hAnsi="Calibri"/>
      <w:sz w:val="21"/>
      <w:szCs w:val="22"/>
    </w:rPr>
  </w:style>
  <w:style w:type="character" w:customStyle="1" w:styleId="145">
    <w:name w:val="标题 Char1"/>
    <w:qFormat/>
    <w:uiPriority w:val="10"/>
    <w:rPr>
      <w:rFonts w:ascii="Cambria" w:hAnsi="Cambria" w:cs="Times New Roman"/>
      <w:b/>
      <w:bCs/>
      <w:sz w:val="32"/>
      <w:szCs w:val="32"/>
    </w:rPr>
  </w:style>
  <w:style w:type="character" w:customStyle="1" w:styleId="146">
    <w:name w:val="正文文本缩进 3 Char4"/>
    <w:semiHidden/>
    <w:qFormat/>
    <w:uiPriority w:val="99"/>
    <w:rPr>
      <w:kern w:val="2"/>
      <w:sz w:val="16"/>
      <w:szCs w:val="16"/>
    </w:rPr>
  </w:style>
  <w:style w:type="character" w:customStyle="1" w:styleId="147">
    <w:name w:val="Char Char61"/>
    <w:qFormat/>
    <w:uiPriority w:val="0"/>
    <w:rPr>
      <w:rFonts w:ascii="Times New Roman" w:hAnsi="Times New Roman" w:eastAsia="楷体_GB2312" w:cs="Times New Roman"/>
      <w:b/>
      <w:bCs/>
      <w:kern w:val="2"/>
      <w:sz w:val="24"/>
      <w:szCs w:val="24"/>
    </w:rPr>
  </w:style>
  <w:style w:type="character" w:customStyle="1" w:styleId="148">
    <w:name w:val="正文文本缩进 Char3"/>
    <w:semiHidden/>
    <w:qFormat/>
    <w:uiPriority w:val="99"/>
    <w:rPr>
      <w:kern w:val="2"/>
      <w:sz w:val="21"/>
      <w:szCs w:val="22"/>
    </w:rPr>
  </w:style>
  <w:style w:type="character" w:customStyle="1" w:styleId="149">
    <w:name w:val="正文文本 2 Char1"/>
    <w:semiHidden/>
    <w:qFormat/>
    <w:uiPriority w:val="99"/>
    <w:rPr>
      <w:rFonts w:ascii="Times New Roman" w:hAnsi="Times New Roman" w:eastAsia="宋体" w:cs="Calibri"/>
      <w:kern w:val="2"/>
      <w:sz w:val="21"/>
      <w:szCs w:val="24"/>
    </w:rPr>
  </w:style>
  <w:style w:type="character" w:customStyle="1" w:styleId="150">
    <w:name w:val="正文首行缩进 Char3"/>
    <w:semiHidden/>
    <w:qFormat/>
    <w:uiPriority w:val="99"/>
  </w:style>
  <w:style w:type="character" w:customStyle="1" w:styleId="151">
    <w:name w:val="批注主题 Char3"/>
    <w:semiHidden/>
    <w:qFormat/>
    <w:uiPriority w:val="99"/>
    <w:rPr>
      <w:b/>
      <w:bCs/>
      <w:kern w:val="2"/>
      <w:sz w:val="21"/>
      <w:szCs w:val="22"/>
    </w:rPr>
  </w:style>
  <w:style w:type="character" w:customStyle="1" w:styleId="152">
    <w:name w:val="批注文字 Char1"/>
    <w:qFormat/>
    <w:uiPriority w:val="0"/>
    <w:rPr>
      <w:kern w:val="2"/>
      <w:sz w:val="21"/>
      <w:szCs w:val="22"/>
    </w:rPr>
  </w:style>
  <w:style w:type="character" w:customStyle="1" w:styleId="153">
    <w:name w:val="Char Char7"/>
    <w:qFormat/>
    <w:uiPriority w:val="0"/>
    <w:rPr>
      <w:rFonts w:ascii="Times New Roman" w:hAnsi="Times New Roman" w:eastAsia="宋体" w:cs="Times New Roman"/>
      <w:kern w:val="2"/>
      <w:sz w:val="21"/>
      <w:lang w:val="en-US" w:eastAsia="zh-CN" w:bidi="ar-SA"/>
    </w:rPr>
  </w:style>
  <w:style w:type="character" w:customStyle="1" w:styleId="154">
    <w:name w:val="正文文本 2 Char3"/>
    <w:semiHidden/>
    <w:qFormat/>
    <w:uiPriority w:val="99"/>
    <w:rPr>
      <w:kern w:val="2"/>
      <w:sz w:val="21"/>
      <w:szCs w:val="22"/>
    </w:rPr>
  </w:style>
  <w:style w:type="character" w:customStyle="1" w:styleId="155">
    <w:name w:val="正文文本缩进 Char2"/>
    <w:semiHidden/>
    <w:qFormat/>
    <w:uiPriority w:val="99"/>
    <w:rPr>
      <w:kern w:val="2"/>
      <w:sz w:val="21"/>
      <w:szCs w:val="22"/>
    </w:rPr>
  </w:style>
  <w:style w:type="character" w:customStyle="1" w:styleId="156">
    <w:name w:val="Char Char62"/>
    <w:qFormat/>
    <w:uiPriority w:val="0"/>
    <w:rPr>
      <w:rFonts w:ascii="Times New Roman" w:hAnsi="Times New Roman" w:eastAsia="楷体_GB2312" w:cs="Times New Roman"/>
      <w:b/>
      <w:bCs/>
      <w:kern w:val="2"/>
      <w:sz w:val="24"/>
      <w:szCs w:val="24"/>
    </w:rPr>
  </w:style>
  <w:style w:type="character" w:customStyle="1" w:styleId="157">
    <w:name w:val="正文文本 Char4"/>
    <w:semiHidden/>
    <w:qFormat/>
    <w:uiPriority w:val="99"/>
    <w:rPr>
      <w:kern w:val="2"/>
      <w:sz w:val="21"/>
      <w:szCs w:val="22"/>
    </w:rPr>
  </w:style>
  <w:style w:type="character" w:customStyle="1" w:styleId="158">
    <w:name w:val="正文文本 3 Char2"/>
    <w:semiHidden/>
    <w:qFormat/>
    <w:uiPriority w:val="99"/>
    <w:rPr>
      <w:kern w:val="2"/>
      <w:sz w:val="16"/>
      <w:szCs w:val="16"/>
    </w:rPr>
  </w:style>
  <w:style w:type="character" w:customStyle="1" w:styleId="159">
    <w:name w:val="Char Char71"/>
    <w:qFormat/>
    <w:uiPriority w:val="0"/>
    <w:rPr>
      <w:rFonts w:ascii="Times New Roman" w:hAnsi="Times New Roman" w:eastAsia="宋体" w:cs="Times New Roman"/>
      <w:kern w:val="2"/>
      <w:sz w:val="21"/>
      <w:lang w:val="en-US" w:eastAsia="zh-CN" w:bidi="ar-SA"/>
    </w:rPr>
  </w:style>
  <w:style w:type="character" w:customStyle="1" w:styleId="160">
    <w:name w:val="日期 Char3"/>
    <w:semiHidden/>
    <w:qFormat/>
    <w:uiPriority w:val="99"/>
    <w:rPr>
      <w:kern w:val="2"/>
      <w:sz w:val="21"/>
      <w:szCs w:val="22"/>
    </w:rPr>
  </w:style>
  <w:style w:type="paragraph" w:customStyle="1" w:styleId="1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2">
    <w:name w:val="章节三"/>
    <w:basedOn w:val="128"/>
    <w:next w:val="12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3">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4">
    <w:name w:val="样式 标题 2 + Times New Roman 四号 非加粗 段前: 5 磅 段后: 0 磅 行距: 固定值 20..."/>
    <w:basedOn w:val="8"/>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6">
    <w:name w:val="_Style 47"/>
    <w:semiHidden/>
    <w:qFormat/>
    <w:uiPriority w:val="0"/>
    <w:rPr>
      <w:rFonts w:ascii="Times New Roman" w:hAnsi="Times New Roman" w:eastAsia="宋体" w:cs="Calibri"/>
      <w:kern w:val="2"/>
      <w:sz w:val="21"/>
      <w:szCs w:val="24"/>
      <w:lang w:val="en-US" w:eastAsia="zh-CN" w:bidi="ar-SA"/>
    </w:rPr>
  </w:style>
  <w:style w:type="paragraph" w:customStyle="1" w:styleId="167">
    <w:name w:val="样式 标题 1 + 黑体 三号 非加粗 居中 段前: 6 磅 段后: 6 磅 行距: 固定值 20 磅"/>
    <w:basedOn w:val="7"/>
    <w:qFormat/>
    <w:uiPriority w:val="0"/>
    <w:pPr>
      <w:spacing w:before="120" w:after="120" w:line="400" w:lineRule="exact"/>
      <w:jc w:val="center"/>
    </w:pPr>
    <w:rPr>
      <w:rFonts w:ascii="黑体" w:hAnsi="黑体" w:eastAsia="黑体" w:cs="宋体"/>
      <w:b w:val="0"/>
      <w:bCs w:val="0"/>
      <w:sz w:val="32"/>
      <w:szCs w:val="20"/>
    </w:rPr>
  </w:style>
  <w:style w:type="paragraph" w:customStyle="1" w:styleId="168">
    <w:name w:val="表格"/>
    <w:basedOn w:val="1"/>
    <w:qFormat/>
    <w:uiPriority w:val="0"/>
    <w:pPr>
      <w:jc w:val="center"/>
      <w:textAlignment w:val="center"/>
    </w:pPr>
    <w:rPr>
      <w:rFonts w:ascii="华文细黑" w:hAnsi="华文细黑"/>
      <w:kern w:val="0"/>
      <w:szCs w:val="20"/>
    </w:rPr>
  </w:style>
  <w:style w:type="paragraph" w:customStyle="1" w:styleId="169">
    <w:name w:val="修订2"/>
    <w:qFormat/>
    <w:uiPriority w:val="0"/>
    <w:rPr>
      <w:rFonts w:ascii="Times New Roman" w:hAnsi="Times New Roman" w:eastAsia="宋体" w:cs="Times New Roman"/>
      <w:kern w:val="2"/>
      <w:sz w:val="21"/>
      <w:szCs w:val="24"/>
      <w:lang w:val="en-US" w:eastAsia="zh-CN" w:bidi="ar-SA"/>
    </w:rPr>
  </w:style>
  <w:style w:type="paragraph" w:customStyle="1" w:styleId="170">
    <w:name w:val="我的正文"/>
    <w:basedOn w:val="1"/>
    <w:qFormat/>
    <w:uiPriority w:val="0"/>
    <w:rPr>
      <w:rFonts w:ascii="宋体" w:hAnsi="宋体"/>
      <w:sz w:val="24"/>
      <w:szCs w:val="24"/>
    </w:rPr>
  </w:style>
  <w:style w:type="paragraph" w:customStyle="1" w:styleId="171">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2">
    <w:name w:val="WPSOffice手动目录 1"/>
    <w:qFormat/>
    <w:uiPriority w:val="0"/>
    <w:rPr>
      <w:rFonts w:ascii="Calibri" w:hAnsi="Calibri" w:eastAsia="宋体" w:cs="Times New Roman"/>
      <w:lang w:val="en-US" w:eastAsia="zh-CN" w:bidi="ar-SA"/>
    </w:rPr>
  </w:style>
  <w:style w:type="paragraph" w:customStyle="1" w:styleId="173">
    <w:name w:val="样式2"/>
    <w:basedOn w:val="9"/>
    <w:qFormat/>
    <w:uiPriority w:val="0"/>
    <w:pPr>
      <w:spacing w:line="415" w:lineRule="auto"/>
      <w:ind w:firstLine="137" w:firstLineChars="49"/>
    </w:pPr>
    <w:rPr>
      <w:rFonts w:ascii="黑体" w:hAnsi="Calibri" w:eastAsia="黑体"/>
      <w:b w:val="0"/>
      <w:i/>
      <w:kern w:val="0"/>
      <w:sz w:val="28"/>
      <w:szCs w:val="28"/>
    </w:rPr>
  </w:style>
  <w:style w:type="paragraph" w:customStyle="1" w:styleId="174">
    <w:name w:val="默认段落字体 Para Char"/>
    <w:basedOn w:val="1"/>
    <w:qFormat/>
    <w:uiPriority w:val="0"/>
    <w:rPr>
      <w:rFonts w:ascii="Times New Roman" w:hAnsi="Times New Roman"/>
      <w:sz w:val="30"/>
      <w:szCs w:val="24"/>
    </w:rPr>
  </w:style>
  <w:style w:type="paragraph" w:customStyle="1" w:styleId="175">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6">
    <w:name w:val="文二"/>
    <w:basedOn w:val="1"/>
    <w:qFormat/>
    <w:uiPriority w:val="0"/>
    <w:pPr>
      <w:jc w:val="left"/>
    </w:pPr>
    <w:rPr>
      <w:rFonts w:ascii="宋体" w:hAnsi="宋体" w:cs="Calibri"/>
      <w:szCs w:val="21"/>
    </w:rPr>
  </w:style>
  <w:style w:type="paragraph" w:customStyle="1" w:styleId="177">
    <w:name w:val="1"/>
    <w:basedOn w:val="1"/>
    <w:qFormat/>
    <w:uiPriority w:val="0"/>
    <w:rPr>
      <w:rFonts w:ascii="Times New Roman" w:hAnsi="Times New Roman"/>
      <w:szCs w:val="20"/>
    </w:rPr>
  </w:style>
  <w:style w:type="paragraph" w:customStyle="1" w:styleId="178">
    <w:name w:val="样式 标题 3 + (中文) 黑体 小四 非加粗 段前: 7.8 磅 段后: 0 磅 行距: 固定值 20 磅"/>
    <w:basedOn w:val="9"/>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9">
    <w:name w:val="Char1"/>
    <w:basedOn w:val="1"/>
    <w:qFormat/>
    <w:uiPriority w:val="0"/>
    <w:pPr>
      <w:tabs>
        <w:tab w:val="left" w:pos="360"/>
      </w:tabs>
    </w:pPr>
    <w:rPr>
      <w:rFonts w:ascii="Times New Roman" w:hAnsi="Times New Roman"/>
      <w:sz w:val="24"/>
      <w:szCs w:val="20"/>
    </w:rPr>
  </w:style>
  <w:style w:type="paragraph" w:customStyle="1" w:styleId="180">
    <w:name w:val="_Style 23"/>
    <w:basedOn w:val="1"/>
    <w:qFormat/>
    <w:uiPriority w:val="0"/>
    <w:pPr>
      <w:widowControl/>
      <w:spacing w:after="160" w:line="240" w:lineRule="exact"/>
      <w:jc w:val="left"/>
    </w:pPr>
    <w:rPr>
      <w:rFonts w:ascii="Times New Roman" w:hAnsi="Times New Roman"/>
    </w:rPr>
  </w:style>
  <w:style w:type="paragraph" w:customStyle="1" w:styleId="18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_Style 178"/>
    <w:basedOn w:val="7"/>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3">
    <w:name w:val="_Style 179"/>
    <w:qFormat/>
    <w:uiPriority w:val="99"/>
    <w:rPr>
      <w:rFonts w:ascii="Times New Roman" w:hAnsi="Times New Roman" w:eastAsia="宋体" w:cs="Arial"/>
      <w:lang w:val="en-US" w:eastAsia="zh-CN" w:bidi="ar-SA"/>
    </w:rPr>
  </w:style>
  <w:style w:type="paragraph" w:customStyle="1" w:styleId="184">
    <w:name w:val="列出段落1"/>
    <w:basedOn w:val="1"/>
    <w:qFormat/>
    <w:uiPriority w:val="0"/>
    <w:pPr>
      <w:ind w:firstLine="420" w:firstLineChars="200"/>
    </w:pPr>
    <w:rPr>
      <w:rFonts w:ascii="Times New Roman" w:hAnsi="Times New Roman"/>
    </w:rPr>
  </w:style>
  <w:style w:type="paragraph" w:customStyle="1" w:styleId="185">
    <w:name w:val="修订1"/>
    <w:qFormat/>
    <w:uiPriority w:val="0"/>
    <w:rPr>
      <w:rFonts w:ascii="Times New Roman" w:hAnsi="Times New Roman" w:eastAsia="宋体" w:cs="Times New Roman"/>
      <w:kern w:val="2"/>
      <w:sz w:val="21"/>
      <w:lang w:val="en-US" w:eastAsia="zh-CN" w:bidi="ar-SA"/>
    </w:rPr>
  </w:style>
  <w:style w:type="paragraph" w:customStyle="1" w:styleId="186">
    <w:name w:val="发文落款"/>
    <w:basedOn w:val="161"/>
    <w:qFormat/>
    <w:uiPriority w:val="0"/>
    <w:pPr>
      <w:ind w:left="4094" w:right="607" w:firstLine="0"/>
      <w:jc w:val="center"/>
    </w:pPr>
  </w:style>
  <w:style w:type="paragraph" w:customStyle="1" w:styleId="187">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8">
    <w:name w:val="正题"/>
    <w:basedOn w:val="128"/>
    <w:next w:val="128"/>
    <w:qFormat/>
    <w:uiPriority w:val="0"/>
    <w:pPr>
      <w:ind w:firstLine="0" w:firstLineChars="0"/>
      <w:jc w:val="center"/>
    </w:pPr>
    <w:rPr>
      <w:rFonts w:eastAsia="黑体"/>
      <w:b/>
      <w:sz w:val="36"/>
      <w:szCs w:val="36"/>
    </w:rPr>
  </w:style>
  <w:style w:type="paragraph" w:customStyle="1" w:styleId="189">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90">
    <w:name w:val="TOC 标题1"/>
    <w:basedOn w:val="7"/>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1">
    <w:name w:val="修订11"/>
    <w:qFormat/>
    <w:uiPriority w:val="0"/>
    <w:rPr>
      <w:rFonts w:ascii="Times New Roman" w:hAnsi="Times New Roman" w:eastAsia="宋体" w:cs="Times New Roman"/>
      <w:kern w:val="2"/>
      <w:sz w:val="21"/>
      <w:szCs w:val="24"/>
      <w:lang w:val="en-US" w:eastAsia="zh-CN" w:bidi="ar-SA"/>
    </w:rPr>
  </w:style>
  <w:style w:type="paragraph" w:customStyle="1" w:styleId="192">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3">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4">
    <w:name w:val="NormalCharacter"/>
    <w:semiHidden/>
    <w:qFormat/>
    <w:uiPriority w:val="0"/>
  </w:style>
  <w:style w:type="character" w:customStyle="1" w:styleId="195">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textRotate="1"/>
    <customShpInfo spid="_x0000_s2052" textRotate="1"/>
    <customShpInfo spid="_x0000_s2050"/>
    <customShpInfo spid="_x0000_s2053" textRotate="1"/>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23021</Words>
  <Characters>24227</Characters>
  <Lines>195</Lines>
  <Paragraphs>55</Paragraphs>
  <TotalTime>57</TotalTime>
  <ScaleCrop>false</ScaleCrop>
  <LinksUpToDate>false</LinksUpToDate>
  <CharactersWithSpaces>25585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2023-03-29T10:18:00Z</dcterms:created>
  <dc:creator>未定义</dc:creator>
  <cp:lastModifiedBy>WPS_1634366469</cp:lastModifiedBy>
  <cp:lastPrinted>2023-05-19T07:39:00Z</cp:lastPrinted>
  <dcterms:modified xsi:type="dcterms:W3CDTF">2023-06-01T06:26:14Z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0824E0A6DDC34118BDAD09D8CB81FA54</vt:lpwstr>
  </property>
</Properties>
</file>