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黑体" w:eastAsia="黑体"/>
          <w:color w:val="auto"/>
          <w:sz w:val="32"/>
          <w:szCs w:val="32"/>
          <w:highlight w:val="none"/>
        </w:rPr>
      </w:pPr>
    </w:p>
    <w:p>
      <w:pPr>
        <w:spacing w:line="360" w:lineRule="auto"/>
        <w:ind w:left="0" w:leftChars="0" w:right="250" w:rightChars="119" w:firstLine="163" w:firstLineChars="45"/>
        <w:jc w:val="center"/>
        <w:rPr>
          <w:rFonts w:hint="eastAsia" w:ascii="宋体" w:eastAsia="宋体" w:cs="黑体"/>
          <w:color w:val="auto"/>
          <w:sz w:val="36"/>
          <w:szCs w:val="36"/>
          <w:highlight w:val="none"/>
          <w:lang w:eastAsia="zh-CN"/>
        </w:rPr>
      </w:pPr>
      <w:r>
        <w:rPr>
          <w:rFonts w:hint="eastAsia" w:ascii="宋体" w:cs="黑体"/>
          <w:b/>
          <w:bCs/>
          <w:color w:val="auto"/>
          <w:sz w:val="36"/>
          <w:szCs w:val="36"/>
          <w:highlight w:val="none"/>
          <w:lang w:eastAsia="zh-CN"/>
        </w:rPr>
        <w:t>越秀区城市更新改造补短板项目（二期）——中心城区品质化提升项目（梅花村街老旧小区改造）监理</w:t>
      </w:r>
    </w:p>
    <w:p>
      <w:pPr>
        <w:spacing w:line="360" w:lineRule="auto"/>
        <w:rPr>
          <w:rFonts w:ascii="宋体" w:cs="黑体"/>
          <w:color w:val="auto"/>
          <w:sz w:val="36"/>
          <w:szCs w:val="36"/>
          <w:highlight w:val="none"/>
        </w:rPr>
      </w:pPr>
    </w:p>
    <w:p>
      <w:pPr>
        <w:pStyle w:val="4"/>
        <w:spacing w:line="360" w:lineRule="auto"/>
        <w:rPr>
          <w:rFonts w:ascii="宋体" w:eastAsia="宋体"/>
          <w:color w:val="auto"/>
          <w:highlight w:val="none"/>
        </w:rPr>
      </w:pPr>
      <w:bookmarkStart w:id="0" w:name="_资格预审文件"/>
      <w:bookmarkEnd w:id="0"/>
      <w:bookmarkStart w:id="1" w:name="_Toc5875285"/>
      <w:bookmarkStart w:id="2" w:name="_Toc536411629"/>
    </w:p>
    <w:p>
      <w:pPr>
        <w:spacing w:line="360" w:lineRule="auto"/>
        <w:jc w:val="center"/>
        <w:rPr>
          <w:rFonts w:ascii="宋体" w:cs="黑体"/>
          <w:color w:val="auto"/>
          <w:highlight w:val="none"/>
        </w:rPr>
      </w:pPr>
      <w:r>
        <w:rPr>
          <w:rStyle w:val="20"/>
          <w:rFonts w:hint="eastAsia" w:ascii="宋体" w:cs="黑体"/>
          <w:b/>
          <w:i w:val="0"/>
          <w:color w:val="auto"/>
          <w:sz w:val="84"/>
          <w:highlight w:val="none"/>
        </w:rPr>
        <w:t>招标公告</w:t>
      </w:r>
      <w:bookmarkEnd w:id="1"/>
      <w:bookmarkEnd w:id="2"/>
      <w:bookmarkStart w:id="36" w:name="_GoBack"/>
      <w:bookmarkEnd w:id="36"/>
    </w:p>
    <w:p>
      <w:pPr>
        <w:spacing w:line="360" w:lineRule="auto"/>
        <w:rPr>
          <w:rFonts w:ascii="宋体" w:cs="黑体"/>
          <w:b/>
          <w:color w:val="auto"/>
          <w:sz w:val="32"/>
          <w:highlight w:val="none"/>
        </w:rPr>
      </w:pPr>
    </w:p>
    <w:p>
      <w:pPr>
        <w:spacing w:line="360" w:lineRule="auto"/>
        <w:rPr>
          <w:rFonts w:ascii="宋体" w:cs="黑体"/>
          <w:b/>
          <w:color w:val="auto"/>
          <w:sz w:val="32"/>
          <w:highlight w:val="none"/>
        </w:rPr>
      </w:pPr>
    </w:p>
    <w:p>
      <w:pPr>
        <w:spacing w:line="360" w:lineRule="auto"/>
        <w:ind w:firstLine="3213" w:firstLineChars="1000"/>
        <w:rPr>
          <w:rFonts w:ascii="宋体" w:cs="黑体"/>
          <w:b/>
          <w:color w:val="auto"/>
          <w:sz w:val="32"/>
          <w:highlight w:val="none"/>
        </w:rPr>
      </w:pPr>
    </w:p>
    <w:p>
      <w:pPr>
        <w:spacing w:line="360" w:lineRule="auto"/>
        <w:rPr>
          <w:rFonts w:ascii="宋体" w:cs="黑体"/>
          <w:b/>
          <w:color w:val="auto"/>
          <w:sz w:val="32"/>
          <w:highlight w:val="none"/>
        </w:rPr>
      </w:pPr>
    </w:p>
    <w:p>
      <w:pPr>
        <w:pStyle w:val="8"/>
        <w:rPr>
          <w:rFonts w:ascii="宋体" w:cs="黑体"/>
          <w:b/>
          <w:color w:val="auto"/>
          <w:sz w:val="32"/>
          <w:highlight w:val="none"/>
        </w:rPr>
      </w:pPr>
    </w:p>
    <w:p>
      <w:pPr>
        <w:pStyle w:val="8"/>
      </w:pPr>
    </w:p>
    <w:p>
      <w:pPr>
        <w:spacing w:line="360" w:lineRule="auto"/>
        <w:rPr>
          <w:rFonts w:ascii="宋体" w:cs="黑体"/>
          <w:b/>
          <w:color w:val="auto"/>
          <w:sz w:val="32"/>
          <w:highlight w:val="none"/>
        </w:rPr>
      </w:pPr>
    </w:p>
    <w:p>
      <w:pPr>
        <w:snapToGrid w:val="0"/>
        <w:spacing w:line="360" w:lineRule="auto"/>
        <w:ind w:firstLine="1661" w:firstLineChars="591"/>
        <w:rPr>
          <w:rFonts w:ascii="宋体" w:cs="黑体"/>
          <w:b/>
          <w:color w:val="auto"/>
          <w:sz w:val="28"/>
          <w:highlight w:val="none"/>
        </w:rPr>
      </w:pPr>
    </w:p>
    <w:p>
      <w:pPr>
        <w:snapToGrid w:val="0"/>
        <w:spacing w:line="360" w:lineRule="auto"/>
        <w:ind w:firstLine="1661" w:firstLineChars="591"/>
        <w:rPr>
          <w:rFonts w:ascii="宋体" w:cs="黑体"/>
          <w:b/>
          <w:color w:val="auto"/>
          <w:sz w:val="28"/>
          <w:highlight w:val="none"/>
        </w:rPr>
      </w:pPr>
    </w:p>
    <w:p>
      <w:pPr>
        <w:snapToGrid w:val="0"/>
        <w:spacing w:line="360" w:lineRule="auto"/>
        <w:ind w:firstLine="1506" w:firstLineChars="500"/>
        <w:rPr>
          <w:rFonts w:hint="eastAsia" w:ascii="宋体" w:eastAsia="宋体" w:cs="黑体"/>
          <w:b/>
          <w:color w:val="auto"/>
          <w:sz w:val="30"/>
          <w:szCs w:val="30"/>
          <w:highlight w:val="none"/>
          <w:lang w:eastAsia="zh-CN"/>
        </w:rPr>
      </w:pPr>
      <w:r>
        <w:rPr>
          <w:rFonts w:hint="eastAsia" w:ascii="宋体" w:cs="黑体"/>
          <w:b/>
          <w:color w:val="auto"/>
          <w:sz w:val="30"/>
          <w:szCs w:val="30"/>
          <w:highlight w:val="none"/>
        </w:rPr>
        <w:t>招 标 人：</w:t>
      </w:r>
      <w:r>
        <w:rPr>
          <w:rFonts w:hint="eastAsia" w:ascii="宋体" w:cs="黑体"/>
          <w:b/>
          <w:color w:val="auto"/>
          <w:sz w:val="30"/>
          <w:szCs w:val="30"/>
          <w:highlight w:val="none"/>
          <w:lang w:val="en-US" w:eastAsia="zh-CN"/>
        </w:rPr>
        <w:t>广州市越秀区人民政府梅花村街道办事处</w:t>
      </w:r>
    </w:p>
    <w:p>
      <w:pPr>
        <w:snapToGrid w:val="0"/>
        <w:spacing w:line="360" w:lineRule="auto"/>
        <w:ind w:firstLine="1506" w:firstLineChars="500"/>
        <w:rPr>
          <w:rFonts w:hint="eastAsia" w:ascii="宋体" w:eastAsia="宋体" w:cs="黑体"/>
          <w:b/>
          <w:color w:val="auto"/>
          <w:sz w:val="30"/>
          <w:szCs w:val="30"/>
          <w:highlight w:val="none"/>
          <w:lang w:eastAsia="zh-CN"/>
        </w:rPr>
      </w:pPr>
      <w:r>
        <w:rPr>
          <w:rFonts w:hint="eastAsia" w:ascii="宋体" w:cs="黑体"/>
          <w:b/>
          <w:color w:val="auto"/>
          <w:sz w:val="30"/>
          <w:szCs w:val="30"/>
          <w:highlight w:val="none"/>
        </w:rPr>
        <w:t>招标代理机构：</w:t>
      </w:r>
      <w:r>
        <w:rPr>
          <w:rFonts w:hint="eastAsia" w:ascii="宋体" w:cs="黑体"/>
          <w:b/>
          <w:color w:val="auto"/>
          <w:sz w:val="30"/>
          <w:szCs w:val="30"/>
          <w:highlight w:val="none"/>
          <w:lang w:val="en-US" w:eastAsia="zh-CN"/>
        </w:rPr>
        <w:t>广东省建筑工程监理有限公司</w:t>
      </w:r>
    </w:p>
    <w:p>
      <w:pPr>
        <w:snapToGrid w:val="0"/>
        <w:spacing w:line="360" w:lineRule="auto"/>
        <w:ind w:firstLine="1506" w:firstLineChars="500"/>
        <w:rPr>
          <w:rFonts w:hint="eastAsia" w:ascii="宋体" w:cs="黑体"/>
          <w:b/>
          <w:color w:val="auto"/>
          <w:sz w:val="30"/>
          <w:szCs w:val="30"/>
          <w:highlight w:val="none"/>
        </w:rPr>
      </w:pPr>
      <w:r>
        <w:rPr>
          <w:rFonts w:hint="eastAsia" w:ascii="宋体" w:cs="黑体"/>
          <w:b/>
          <w:color w:val="auto"/>
          <w:sz w:val="30"/>
          <w:szCs w:val="30"/>
          <w:highlight w:val="none"/>
        </w:rPr>
        <w:t>编制日期：202</w:t>
      </w:r>
      <w:r>
        <w:rPr>
          <w:rFonts w:hint="eastAsia" w:ascii="宋体" w:cs="黑体"/>
          <w:b/>
          <w:color w:val="auto"/>
          <w:sz w:val="30"/>
          <w:szCs w:val="30"/>
          <w:highlight w:val="none"/>
          <w:lang w:val="en-US" w:eastAsia="zh-CN"/>
        </w:rPr>
        <w:t>3</w:t>
      </w:r>
      <w:r>
        <w:rPr>
          <w:rFonts w:hint="eastAsia" w:ascii="宋体" w:cs="黑体"/>
          <w:b/>
          <w:color w:val="auto"/>
          <w:sz w:val="30"/>
          <w:szCs w:val="30"/>
          <w:highlight w:val="none"/>
        </w:rPr>
        <w:t>年</w:t>
      </w:r>
      <w:r>
        <w:rPr>
          <w:rFonts w:hint="eastAsia" w:ascii="宋体" w:cs="黑体"/>
          <w:b/>
          <w:color w:val="auto"/>
          <w:sz w:val="30"/>
          <w:szCs w:val="30"/>
          <w:highlight w:val="none"/>
          <w:lang w:val="en-US" w:eastAsia="zh-CN"/>
        </w:rPr>
        <w:t xml:space="preserve"> 6 </w:t>
      </w:r>
      <w:r>
        <w:rPr>
          <w:rFonts w:hint="eastAsia" w:ascii="宋体" w:cs="黑体"/>
          <w:b/>
          <w:color w:val="auto"/>
          <w:sz w:val="30"/>
          <w:szCs w:val="30"/>
          <w:highlight w:val="none"/>
        </w:rPr>
        <w:t>月</w:t>
      </w:r>
    </w:p>
    <w:p>
      <w:pPr>
        <w:pStyle w:val="3"/>
        <w:spacing w:before="0" w:after="0" w:line="360" w:lineRule="auto"/>
        <w:jc w:val="center"/>
        <w:rPr>
          <w:rFonts w:hint="eastAsia" w:ascii="宋体" w:hAnsi="宋体" w:cs="宋体"/>
          <w:bCs/>
          <w:color w:val="auto"/>
          <w:kern w:val="2"/>
          <w:sz w:val="32"/>
          <w:szCs w:val="32"/>
          <w:highlight w:val="none"/>
          <w:u w:val="single"/>
          <w:lang w:eastAsia="zh-CN"/>
        </w:rPr>
        <w:sectPr>
          <w:footerReference r:id="rId3" w:type="default"/>
          <w:pgSz w:w="11906" w:h="16838"/>
          <w:pgMar w:top="1440" w:right="1418" w:bottom="1440" w:left="1418" w:header="851" w:footer="992" w:gutter="0"/>
          <w:cols w:space="720" w:num="1"/>
          <w:docGrid w:type="lines" w:linePitch="312" w:charSpace="0"/>
        </w:sectPr>
      </w:pPr>
      <w:bookmarkStart w:id="3" w:name="_Toc4659642"/>
      <w:bookmarkStart w:id="4" w:name="_Toc511557025"/>
      <w:bookmarkStart w:id="5" w:name="_Toc535938695"/>
      <w:bookmarkStart w:id="6" w:name="_Toc529196504"/>
    </w:p>
    <w:p>
      <w:pPr>
        <w:pStyle w:val="3"/>
        <w:spacing w:before="0" w:after="0" w:line="360" w:lineRule="auto"/>
        <w:jc w:val="center"/>
        <w:rPr>
          <w:rFonts w:ascii="宋体" w:hAnsi="宋体" w:cs="宋体"/>
          <w:bCs/>
          <w:color w:val="auto"/>
          <w:kern w:val="2"/>
          <w:sz w:val="32"/>
          <w:szCs w:val="32"/>
          <w:highlight w:val="none"/>
          <w:u w:val="none"/>
        </w:rPr>
      </w:pPr>
      <w:r>
        <w:rPr>
          <w:rFonts w:hint="eastAsia" w:ascii="宋体" w:hAnsi="宋体" w:cs="宋体"/>
          <w:bCs/>
          <w:color w:val="auto"/>
          <w:kern w:val="2"/>
          <w:sz w:val="32"/>
          <w:szCs w:val="32"/>
          <w:highlight w:val="none"/>
          <w:u w:val="none"/>
          <w:lang w:eastAsia="zh-CN"/>
        </w:rPr>
        <w:t>越秀区城市更新改造补短板项目（二期）——中心城区品质化提升项目（梅花村街老旧小区改造）监理</w:t>
      </w:r>
      <w:r>
        <w:rPr>
          <w:rFonts w:hint="eastAsia" w:ascii="宋体" w:hAnsi="宋体" w:cs="宋体"/>
          <w:bCs/>
          <w:color w:val="auto"/>
          <w:kern w:val="2"/>
          <w:sz w:val="32"/>
          <w:szCs w:val="32"/>
          <w:highlight w:val="none"/>
          <w:u w:val="none"/>
        </w:rPr>
        <w:t>招标公告</w:t>
      </w:r>
      <w:bookmarkEnd w:id="3"/>
    </w:p>
    <w:p>
      <w:pPr>
        <w:spacing w:beforeLines="50"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1. </w:t>
      </w:r>
      <w:r>
        <w:rPr>
          <w:rFonts w:hint="eastAsia" w:ascii="宋体" w:hAnsi="宋体"/>
          <w:b/>
          <w:bCs/>
          <w:color w:val="auto"/>
          <w:kern w:val="0"/>
          <w:sz w:val="36"/>
          <w:szCs w:val="32"/>
          <w:highlight w:val="none"/>
        </w:rPr>
        <w:t>招标条件</w:t>
      </w:r>
      <w:bookmarkEnd w:id="4"/>
      <w:bookmarkEnd w:id="5"/>
      <w:bookmarkEnd w:id="6"/>
    </w:p>
    <w:p>
      <w:pPr>
        <w:spacing w:line="360" w:lineRule="auto"/>
        <w:ind w:firstLine="480" w:firstLineChars="200"/>
        <w:rPr>
          <w:rFonts w:ascii="宋体" w:hAnsi="宋体" w:cs="宋体"/>
          <w:color w:val="auto"/>
          <w:sz w:val="24"/>
          <w:szCs w:val="24"/>
          <w:highlight w:val="none"/>
        </w:rPr>
      </w:pPr>
      <w:bookmarkStart w:id="7" w:name="_Toc529196505"/>
      <w:bookmarkStart w:id="8" w:name="_Toc535938696"/>
      <w:bookmarkStart w:id="9" w:name="_Toc511557026"/>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越秀区城市更新改造补短板项目（二期）——中心城区品质化提升项目（梅花村街老旧小区改造）</w:t>
      </w:r>
      <w:r>
        <w:rPr>
          <w:rFonts w:hint="eastAsia" w:ascii="宋体" w:hAnsi="宋体" w:cs="宋体"/>
          <w:color w:val="auto"/>
          <w:sz w:val="24"/>
          <w:szCs w:val="24"/>
          <w:highlight w:val="none"/>
        </w:rPr>
        <w:t>已由</w:t>
      </w:r>
      <w:r>
        <w:rPr>
          <w:rFonts w:hint="eastAsia" w:ascii="宋体" w:hAnsi="宋体" w:cs="宋体"/>
          <w:color w:val="auto"/>
          <w:sz w:val="24"/>
          <w:highlight w:val="none"/>
          <w:u w:val="single"/>
        </w:rPr>
        <w:t>广州市越秀区发展和改革局</w:t>
      </w:r>
      <w:r>
        <w:rPr>
          <w:rFonts w:hint="eastAsia" w:ascii="宋体" w:hAnsi="宋体"/>
          <w:color w:val="auto"/>
          <w:sz w:val="24"/>
          <w:highlight w:val="none"/>
        </w:rPr>
        <w:t>以</w:t>
      </w:r>
      <w:r>
        <w:rPr>
          <w:rFonts w:hint="eastAsia" w:ascii="宋体" w:hAnsi="宋体"/>
          <w:color w:val="auto"/>
          <w:sz w:val="24"/>
          <w:highlight w:val="none"/>
          <w:u w:val="single"/>
        </w:rPr>
        <w:t>《广州市越秀区发展和改革局关于越秀区城市更新改造补短板项目（二期）可行性研究报告的复函》（穗越发改投批〔2022〕20号）</w:t>
      </w:r>
      <w:r>
        <w:rPr>
          <w:rFonts w:hint="eastAsia" w:ascii="宋体" w:hAnsi="宋体" w:cs="宋体"/>
          <w:color w:val="auto"/>
          <w:sz w:val="24"/>
          <w:szCs w:val="24"/>
          <w:highlight w:val="none"/>
        </w:rPr>
        <w:t>批准建设，项目组织实施单位为</w:t>
      </w:r>
      <w:r>
        <w:rPr>
          <w:rFonts w:hint="eastAsia" w:ascii="宋体" w:hAnsi="宋体" w:cs="宋体"/>
          <w:color w:val="auto"/>
          <w:sz w:val="24"/>
          <w:szCs w:val="24"/>
          <w:highlight w:val="none"/>
          <w:u w:val="single"/>
        </w:rPr>
        <w:t>广州市越秀区房屋管理局</w:t>
      </w:r>
      <w:r>
        <w:rPr>
          <w:rFonts w:hint="eastAsia" w:ascii="宋体" w:hAnsi="宋体" w:cs="宋体"/>
          <w:color w:val="auto"/>
          <w:sz w:val="24"/>
          <w:szCs w:val="24"/>
          <w:highlight w:val="none"/>
        </w:rPr>
        <w:t>，项目资金为</w:t>
      </w:r>
      <w:r>
        <w:rPr>
          <w:rFonts w:hint="eastAsia" w:ascii="宋体" w:hAnsi="宋体" w:cs="宋体"/>
          <w:color w:val="auto"/>
          <w:sz w:val="24"/>
          <w:szCs w:val="24"/>
          <w:highlight w:val="none"/>
          <w:u w:val="single"/>
        </w:rPr>
        <w:t>区财政资金100%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val="en-US" w:eastAsia="zh-CN"/>
        </w:rPr>
        <w:t>广州市越秀区人民政府梅花村街道办事处</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lang w:val="en-US" w:eastAsia="zh-CN"/>
        </w:rPr>
        <w:t>监理</w:t>
      </w:r>
      <w:r>
        <w:rPr>
          <w:rFonts w:hint="eastAsia" w:ascii="宋体" w:hAnsi="宋体" w:cs="宋体"/>
          <w:color w:val="auto"/>
          <w:sz w:val="24"/>
          <w:szCs w:val="24"/>
          <w:highlight w:val="none"/>
        </w:rPr>
        <w:t>进行公开招标。</w:t>
      </w:r>
    </w:p>
    <w:p>
      <w:pPr>
        <w:spacing w:beforeLines="50"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2. </w:t>
      </w:r>
      <w:r>
        <w:rPr>
          <w:rFonts w:hint="eastAsia" w:ascii="宋体" w:hAnsi="宋体"/>
          <w:b/>
          <w:bCs/>
          <w:color w:val="auto"/>
          <w:kern w:val="0"/>
          <w:sz w:val="36"/>
          <w:szCs w:val="32"/>
          <w:highlight w:val="none"/>
        </w:rPr>
        <w:t>项目概况与招标范围</w:t>
      </w:r>
      <w:bookmarkEnd w:id="7"/>
      <w:bookmarkEnd w:id="8"/>
      <w:bookmarkEnd w:id="9"/>
    </w:p>
    <w:p>
      <w:pPr>
        <w:tabs>
          <w:tab w:val="left" w:pos="7513"/>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2.1招标项目概况</w:t>
      </w:r>
    </w:p>
    <w:p>
      <w:pPr>
        <w:tabs>
          <w:tab w:val="left" w:pos="7513"/>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招标</w:t>
      </w:r>
      <w:r>
        <w:rPr>
          <w:rFonts w:ascii="宋体" w:hAnsi="宋体"/>
          <w:color w:val="auto"/>
          <w:sz w:val="24"/>
          <w:szCs w:val="24"/>
          <w:highlight w:val="none"/>
        </w:rPr>
        <w:t>项目名称：</w:t>
      </w:r>
      <w:r>
        <w:rPr>
          <w:rFonts w:hint="eastAsia" w:ascii="宋体" w:hAnsi="宋体"/>
          <w:color w:val="auto"/>
          <w:sz w:val="24"/>
          <w:szCs w:val="24"/>
          <w:highlight w:val="none"/>
          <w:u w:val="single"/>
          <w:lang w:eastAsia="zh-CN"/>
        </w:rPr>
        <w:t>越秀区城市更新改造补短板项目（二期）——中心城区品质化提升项目（梅花村街老旧小区改造）</w:t>
      </w:r>
      <w:r>
        <w:rPr>
          <w:rFonts w:hint="eastAsia" w:ascii="宋体" w:hAnsi="宋体" w:cs="宋体"/>
          <w:color w:val="auto"/>
          <w:sz w:val="24"/>
          <w:szCs w:val="24"/>
          <w:highlight w:val="none"/>
          <w:u w:val="single"/>
          <w:lang w:eastAsia="zh-CN"/>
        </w:rPr>
        <w:t>监理</w:t>
      </w:r>
    </w:p>
    <w:p>
      <w:pPr>
        <w:tabs>
          <w:tab w:val="left" w:pos="7513"/>
        </w:tabs>
        <w:spacing w:line="360" w:lineRule="auto"/>
        <w:ind w:left="0" w:leftChars="0" w:firstLine="420" w:firstLineChars="175"/>
        <w:rPr>
          <w:rFonts w:hint="eastAsia" w:ascii="宋体" w:hAnsi="宋体"/>
          <w:color w:val="auto"/>
          <w:sz w:val="24"/>
          <w:szCs w:val="24"/>
          <w:highlight w:val="none"/>
          <w:u w:val="single"/>
          <w:lang w:val="en-US" w:eastAsia="zh-CN"/>
        </w:rPr>
      </w:pPr>
      <w:bookmarkStart w:id="10" w:name="_Hlk81225705"/>
      <w:r>
        <w:rPr>
          <w:rFonts w:ascii="宋体" w:hAnsi="宋体"/>
          <w:color w:val="auto"/>
          <w:sz w:val="24"/>
          <w:szCs w:val="24"/>
          <w:highlight w:val="none"/>
        </w:rPr>
        <w:t>2.1.2工程建设规模</w:t>
      </w:r>
      <w:r>
        <w:rPr>
          <w:rFonts w:hint="eastAsia" w:ascii="宋体" w:hAnsi="宋体"/>
          <w:color w:val="auto"/>
          <w:sz w:val="24"/>
          <w:szCs w:val="24"/>
          <w:highlight w:val="none"/>
        </w:rPr>
        <w:t>包括但不限于</w:t>
      </w:r>
      <w:r>
        <w:rPr>
          <w:rFonts w:ascii="宋体" w:hAnsi="宋体"/>
          <w:color w:val="auto"/>
          <w:sz w:val="24"/>
          <w:szCs w:val="24"/>
          <w:highlight w:val="none"/>
        </w:rPr>
        <w:t>：</w:t>
      </w:r>
      <w:r>
        <w:rPr>
          <w:rFonts w:hint="eastAsia" w:ascii="宋体" w:hAnsi="宋体" w:eastAsia="宋体" w:cs="宋体"/>
          <w:sz w:val="24"/>
          <w:szCs w:val="24"/>
          <w:u w:val="single"/>
          <w:lang w:val="en-US" w:eastAsia="zh-CN"/>
        </w:rPr>
        <w:t>项目提升范围面积约22.48公顷</w:t>
      </w:r>
      <w:r>
        <w:rPr>
          <w:rFonts w:hint="eastAsia" w:ascii="宋体" w:hAnsi="宋体" w:cs="宋体"/>
          <w:sz w:val="24"/>
          <w:szCs w:val="24"/>
          <w:u w:val="single"/>
          <w:lang w:val="en-US" w:eastAsia="zh-CN"/>
        </w:rPr>
        <w:t>，</w:t>
      </w:r>
      <w:r>
        <w:rPr>
          <w:rFonts w:hint="eastAsia" w:ascii="宋体" w:hAnsi="宋体" w:eastAsia="宋体" w:cs="宋体"/>
          <w:sz w:val="24"/>
          <w:szCs w:val="24"/>
          <w:u w:val="single"/>
          <w:lang w:val="en-US" w:eastAsia="zh-CN"/>
        </w:rPr>
        <w:t>本</w:t>
      </w:r>
      <w:r>
        <w:rPr>
          <w:rFonts w:hint="eastAsia" w:ascii="宋体" w:hAnsi="宋体"/>
          <w:color w:val="auto"/>
          <w:sz w:val="24"/>
          <w:szCs w:val="24"/>
          <w:highlight w:val="none"/>
          <w:u w:val="single"/>
          <w:lang w:val="en-US" w:eastAsia="zh-CN"/>
        </w:rPr>
        <w:t>项目改造面积共136394㎡。</w:t>
      </w:r>
      <w:r>
        <w:rPr>
          <w:rFonts w:hint="eastAsia" w:ascii="宋体" w:hAnsi="宋体"/>
          <w:color w:val="auto"/>
          <w:sz w:val="24"/>
          <w:szCs w:val="24"/>
          <w:highlight w:val="none"/>
          <w:u w:val="single"/>
        </w:rPr>
        <w:t>本项目规模属于一般公共建筑复杂程度中型：一般标准的建筑环境设计和室外工程</w:t>
      </w:r>
      <w:r>
        <w:rPr>
          <w:rFonts w:hint="eastAsia" w:ascii="宋体" w:hAnsi="宋体"/>
          <w:color w:val="auto"/>
          <w:sz w:val="24"/>
          <w:szCs w:val="24"/>
          <w:highlight w:val="none"/>
          <w:u w:val="single"/>
          <w:lang w:val="en-US" w:eastAsia="zh-CN"/>
        </w:rPr>
        <w:t>。建设内容主要为房屋建筑本体改造：包括维修安装楼栋门（针对此前未更换或维修楼栋）、楼栋外立面修缮与整饰（主要针对首层界面，含户外构造构件、防盗网、遮阳棚、外立面整饰），楼栋化粪池改造，楼道照明设施改造（针对此前未更换或未安装楼栋）、消防设施改造（增设或完善楼道消防栓箱配置）、楼梯和公共空间更新改造（针对此前未改造楼栋、含墙面翻新、增加楼道踢脚线）、楼道无障碍及适老化设施（增加）；</w:t>
      </w:r>
    </w:p>
    <w:p>
      <w:pPr>
        <w:tabs>
          <w:tab w:val="left" w:pos="7513"/>
        </w:tabs>
        <w:spacing w:line="360" w:lineRule="auto"/>
        <w:ind w:left="0" w:leftChars="0" w:firstLine="420" w:firstLineChars="175"/>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社区公共部分改造：小区出入口整治（巷口空间，含入口标识、地面高差处理、首层界面改造、老旧雨棚更换），小区围墙修缮及整饰，小区通透围墙更换，“三线”规整（增设格栅遮蔽），小区道路（小区内部路面铺装，含地灯&amp;彩化图案设计、排水设计、高差处理），弱电下地；巷门改造；公共运动健身区域改造（安全体育设施，含人行安全设施、无障碍适幼设施、康体设施、休憩设施）；公共休憩交往空间改造（含树池改造，增加休憩座椅、公共照明、景墙、商业灯箱设施等）；非机动车停放区改造（结合智慧充电桩等）；社区街巷空间改造，提升片区公共空间品质及艺术氛围（含海绵城市建设：透水铺装、排水设计，围墙改造，公共照明、首层界面改造）等内容。</w:t>
      </w:r>
    </w:p>
    <w:p>
      <w:pPr>
        <w:pStyle w:val="14"/>
        <w:rPr>
          <w:rFonts w:ascii="宋体" w:hAnsi="宋体"/>
          <w:color w:val="auto"/>
          <w:sz w:val="24"/>
          <w:highlight w:val="none"/>
          <w:u w:val="single"/>
        </w:rPr>
      </w:pPr>
      <w:r>
        <w:rPr>
          <w:rFonts w:ascii="宋体" w:hAnsi="宋体"/>
          <w:color w:val="auto"/>
          <w:sz w:val="24"/>
          <w:highlight w:val="none"/>
        </w:rPr>
        <w:t>2.1.3工程建设地点：</w:t>
      </w:r>
      <w:r>
        <w:rPr>
          <w:rFonts w:hint="eastAsia" w:ascii="宋体" w:hAnsi="宋体"/>
          <w:color w:val="auto"/>
          <w:sz w:val="24"/>
          <w:highlight w:val="none"/>
          <w:u w:val="single"/>
        </w:rPr>
        <w:t>广州市越秀区梅花村街道辖内</w:t>
      </w:r>
      <w:r>
        <w:rPr>
          <w:rFonts w:hint="eastAsia" w:ascii="宋体" w:hAnsi="宋体"/>
          <w:color w:val="auto"/>
          <w:sz w:val="24"/>
          <w:highlight w:val="none"/>
          <w:u w:val="single"/>
          <w:lang w:eastAsia="zh-CN"/>
        </w:rPr>
        <w:t>。</w:t>
      </w:r>
    </w:p>
    <w:p>
      <w:pPr>
        <w:tabs>
          <w:tab w:val="left" w:pos="7513"/>
        </w:tabs>
        <w:spacing w:line="360" w:lineRule="auto"/>
        <w:ind w:firstLine="480" w:firstLineChars="200"/>
        <w:rPr>
          <w:rFonts w:ascii="宋体" w:hAnsi="宋体" w:cs="宋体"/>
          <w:color w:val="auto"/>
          <w:sz w:val="24"/>
          <w:highlight w:val="none"/>
          <w:u w:val="single"/>
        </w:rPr>
      </w:pPr>
      <w:r>
        <w:rPr>
          <w:rFonts w:ascii="宋体" w:hAnsi="宋体"/>
          <w:color w:val="auto"/>
          <w:sz w:val="24"/>
          <w:szCs w:val="24"/>
          <w:highlight w:val="none"/>
        </w:rPr>
        <w:t>2.1.4建筑安装工程费：</w:t>
      </w:r>
      <w:r>
        <w:rPr>
          <w:rFonts w:hint="eastAsia" w:ascii="宋体" w:hAnsi="宋体" w:cs="宋体"/>
          <w:color w:val="auto"/>
          <w:sz w:val="24"/>
          <w:szCs w:val="24"/>
          <w:highlight w:val="none"/>
          <w:u w:val="single"/>
        </w:rPr>
        <w:t>暂定约人民币</w:t>
      </w:r>
      <w:r>
        <w:rPr>
          <w:rFonts w:hint="eastAsia" w:ascii="宋体" w:hAnsi="宋体" w:cs="宋体"/>
          <w:color w:val="auto"/>
          <w:sz w:val="24"/>
          <w:szCs w:val="24"/>
          <w:highlight w:val="none"/>
          <w:u w:val="single"/>
          <w:lang w:val="en-US" w:eastAsia="zh-CN"/>
        </w:rPr>
        <w:t>3194.5</w:t>
      </w:r>
      <w:r>
        <w:rPr>
          <w:rFonts w:hint="eastAsia" w:ascii="宋体" w:hAnsi="宋体" w:cs="宋体"/>
          <w:color w:val="auto"/>
          <w:sz w:val="24"/>
          <w:u w:val="single"/>
        </w:rPr>
        <w:t>万元</w:t>
      </w:r>
      <w:r>
        <w:rPr>
          <w:rFonts w:hint="eastAsia" w:ascii="宋体" w:hAnsi="宋体" w:cs="宋体"/>
          <w:color w:val="auto"/>
          <w:sz w:val="24"/>
          <w:szCs w:val="24"/>
          <w:highlight w:val="none"/>
          <w:u w:val="single"/>
        </w:rPr>
        <w:t>。</w:t>
      </w:r>
    </w:p>
    <w:bookmarkEnd w:id="10"/>
    <w:p>
      <w:pPr>
        <w:tabs>
          <w:tab w:val="left" w:pos="7513"/>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2.2招标范围</w:t>
      </w:r>
    </w:p>
    <w:p>
      <w:pPr>
        <w:tabs>
          <w:tab w:val="left" w:pos="7513"/>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2.2.1</w:t>
      </w:r>
      <w:r>
        <w:rPr>
          <w:rFonts w:hint="eastAsia" w:ascii="宋体" w:hAnsi="宋体"/>
          <w:bCs/>
          <w:color w:val="auto"/>
          <w:sz w:val="24"/>
          <w:highlight w:val="none"/>
        </w:rPr>
        <w:t>标段划分：</w:t>
      </w:r>
      <w:r>
        <w:rPr>
          <w:rFonts w:hint="eastAsia" w:ascii="宋体" w:hAnsi="宋体"/>
          <w:color w:val="auto"/>
          <w:sz w:val="24"/>
          <w:highlight w:val="none"/>
          <w:u w:val="single"/>
        </w:rPr>
        <w:t>本项目设1个标段。</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olor w:val="auto"/>
          <w:sz w:val="24"/>
          <w:szCs w:val="24"/>
          <w:highlight w:val="none"/>
          <w:lang w:val="en-US" w:eastAsia="zh-CN"/>
        </w:rPr>
        <w:t>2.2.2</w:t>
      </w:r>
      <w:r>
        <w:rPr>
          <w:rFonts w:ascii="宋体" w:hAnsi="宋体"/>
          <w:color w:val="auto"/>
          <w:sz w:val="24"/>
          <w:szCs w:val="24"/>
          <w:highlight w:val="none"/>
        </w:rPr>
        <w:t>招标范围：</w:t>
      </w:r>
      <w:r>
        <w:rPr>
          <w:rFonts w:hint="eastAsia" w:ascii="宋体" w:hAnsi="宋体"/>
          <w:color w:val="auto"/>
          <w:sz w:val="24"/>
          <w:szCs w:val="24"/>
          <w:highlight w:val="none"/>
          <w:u w:val="single"/>
        </w:rPr>
        <w:t>本项目范围内所有工程内容的监理工作，具体招标内容包括：本项目的勘察阶段、设计阶段、施工准备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协调建设单位和工程建设有关各方的工作关系等。</w:t>
      </w:r>
    </w:p>
    <w:p>
      <w:pPr>
        <w:keepNext w:val="0"/>
        <w:keepLines w:val="0"/>
        <w:pageBreakBefore w:val="0"/>
        <w:widowControl w:val="0"/>
        <w:tabs>
          <w:tab w:val="left" w:pos="7513"/>
        </w:tabs>
        <w:kinsoku/>
        <w:wordWrap/>
        <w:overflowPunct/>
        <w:topLinePunct w:val="0"/>
        <w:autoSpaceDE/>
        <w:autoSpaceDN/>
        <w:bidi w:val="0"/>
        <w:adjustRightInd w:val="0"/>
        <w:snapToGrid w:val="0"/>
        <w:spacing w:line="360" w:lineRule="auto"/>
        <w:ind w:left="0" w:leftChars="0" w:firstLine="420" w:firstLineChars="175"/>
        <w:textAlignment w:val="auto"/>
        <w:rPr>
          <w:rFonts w:ascii="宋体" w:hAnsi="宋体"/>
          <w:b w:val="0"/>
          <w:bCs w:val="0"/>
          <w:color w:val="auto"/>
          <w:sz w:val="24"/>
          <w:szCs w:val="24"/>
          <w:highlight w:val="none"/>
          <w:u w:val="single"/>
        </w:rPr>
      </w:pPr>
      <w:r>
        <w:rPr>
          <w:rFonts w:ascii="宋体" w:hAnsi="宋体"/>
          <w:color w:val="auto"/>
          <w:sz w:val="24"/>
          <w:szCs w:val="24"/>
          <w:highlight w:val="none"/>
        </w:rPr>
        <w:t>2.2.3</w:t>
      </w:r>
      <w:r>
        <w:rPr>
          <w:rFonts w:hint="eastAsia" w:ascii="宋体" w:hAnsi="宋体"/>
          <w:color w:val="auto"/>
          <w:sz w:val="24"/>
          <w:szCs w:val="24"/>
          <w:highlight w:val="none"/>
        </w:rPr>
        <w:t>监理</w:t>
      </w:r>
      <w:r>
        <w:rPr>
          <w:rFonts w:ascii="宋体" w:hAnsi="宋体"/>
          <w:color w:val="auto"/>
          <w:sz w:val="24"/>
          <w:szCs w:val="24"/>
          <w:highlight w:val="none"/>
        </w:rPr>
        <w:t>服务</w:t>
      </w:r>
      <w:r>
        <w:rPr>
          <w:rFonts w:hint="eastAsia" w:ascii="宋体" w:hAnsi="宋体"/>
          <w:color w:val="auto"/>
          <w:sz w:val="24"/>
          <w:szCs w:val="24"/>
          <w:highlight w:val="none"/>
        </w:rPr>
        <w:t>期限</w:t>
      </w:r>
      <w:r>
        <w:rPr>
          <w:rFonts w:ascii="宋体" w:hAnsi="宋体"/>
          <w:color w:val="auto"/>
          <w:sz w:val="24"/>
          <w:szCs w:val="24"/>
          <w:highlight w:val="none"/>
        </w:rPr>
        <w:t>：</w:t>
      </w:r>
      <w:r>
        <w:rPr>
          <w:rFonts w:hint="eastAsia" w:ascii="宋体" w:hAnsi="宋体"/>
          <w:color w:val="auto"/>
          <w:sz w:val="24"/>
          <w:szCs w:val="24"/>
          <w:highlight w:val="none"/>
          <w:u w:val="single"/>
        </w:rPr>
        <w:t>自监理人收到中标通知书或参加由招标人组织的第一次进场动员会之日起算，至所有工程保修期结束且办妥竣工结算（此处指终审部门的竣工结算）止。</w:t>
      </w:r>
    </w:p>
    <w:p>
      <w:pPr>
        <w:keepNext w:val="0"/>
        <w:keepLines w:val="0"/>
        <w:pageBreakBefore w:val="0"/>
        <w:widowControl w:val="0"/>
        <w:tabs>
          <w:tab w:val="left" w:pos="7513"/>
        </w:tabs>
        <w:kinsoku/>
        <w:wordWrap/>
        <w:overflowPunct/>
        <w:topLinePunct w:val="0"/>
        <w:autoSpaceDE/>
        <w:autoSpaceDN/>
        <w:bidi w:val="0"/>
        <w:adjustRightInd w:val="0"/>
        <w:snapToGrid w:val="0"/>
        <w:spacing w:line="360" w:lineRule="auto"/>
        <w:ind w:left="0" w:leftChars="0" w:firstLine="422" w:firstLineChars="175"/>
        <w:textAlignment w:val="auto"/>
        <w:rPr>
          <w:rFonts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lang w:val="en-US" w:eastAsia="zh-CN"/>
        </w:rPr>
        <w:t>3</w:t>
      </w:r>
      <w:r>
        <w:rPr>
          <w:rFonts w:ascii="宋体" w:hAnsi="宋体"/>
          <w:b/>
          <w:bCs/>
          <w:color w:val="auto"/>
          <w:sz w:val="24"/>
          <w:szCs w:val="24"/>
          <w:highlight w:val="none"/>
        </w:rPr>
        <w:t>最高投标限价：</w:t>
      </w:r>
      <w:r>
        <w:rPr>
          <w:rFonts w:hint="eastAsia" w:ascii="宋体" w:hAnsi="宋体"/>
          <w:b/>
          <w:bCs/>
          <w:color w:val="auto"/>
          <w:sz w:val="24"/>
          <w:szCs w:val="24"/>
          <w:highlight w:val="none"/>
          <w:u w:val="single"/>
          <w:lang w:val="en-US" w:eastAsia="zh-CN"/>
        </w:rPr>
        <w:t>94.59</w:t>
      </w:r>
      <w:r>
        <w:rPr>
          <w:rFonts w:hint="eastAsia" w:ascii="宋体" w:hAnsi="宋体"/>
          <w:b/>
          <w:bCs/>
          <w:color w:val="auto"/>
          <w:sz w:val="24"/>
          <w:szCs w:val="24"/>
          <w:highlight w:val="none"/>
          <w:u w:val="single"/>
        </w:rPr>
        <w:t>万元。</w:t>
      </w:r>
    </w:p>
    <w:p>
      <w:pPr>
        <w:jc w:val="left"/>
        <w:textAlignment w:val="center"/>
        <w:outlineLvl w:val="1"/>
        <w:rPr>
          <w:rFonts w:ascii="宋体" w:hAnsi="宋体"/>
          <w:b/>
          <w:bCs/>
          <w:color w:val="auto"/>
          <w:kern w:val="0"/>
          <w:sz w:val="36"/>
          <w:szCs w:val="32"/>
          <w:highlight w:val="none"/>
        </w:rPr>
      </w:pPr>
      <w:bookmarkStart w:id="11" w:name="_Toc535938697"/>
      <w:bookmarkStart w:id="12" w:name="_Toc529196506"/>
      <w:bookmarkStart w:id="13" w:name="_Toc511557027"/>
      <w:r>
        <w:rPr>
          <w:rFonts w:ascii="宋体" w:hAnsi="宋体"/>
          <w:b/>
          <w:bCs/>
          <w:color w:val="auto"/>
          <w:kern w:val="0"/>
          <w:sz w:val="36"/>
          <w:szCs w:val="32"/>
          <w:highlight w:val="none"/>
        </w:rPr>
        <w:t xml:space="preserve">3. </w:t>
      </w:r>
      <w:r>
        <w:rPr>
          <w:rFonts w:hint="eastAsia" w:ascii="宋体" w:hAnsi="宋体"/>
          <w:b/>
          <w:bCs/>
          <w:color w:val="auto"/>
          <w:kern w:val="0"/>
          <w:sz w:val="36"/>
          <w:szCs w:val="32"/>
          <w:highlight w:val="none"/>
        </w:rPr>
        <w:t>投标人资格要求</w:t>
      </w:r>
      <w:bookmarkEnd w:id="11"/>
      <w:bookmarkEnd w:id="12"/>
      <w:bookmarkEnd w:id="13"/>
    </w:p>
    <w:p>
      <w:pPr>
        <w:spacing w:line="360" w:lineRule="auto"/>
        <w:ind w:firstLine="424" w:firstLineChars="177"/>
        <w:rPr>
          <w:rFonts w:ascii="宋体" w:hAnsi="宋体" w:cs="宋体"/>
          <w:color w:val="auto"/>
          <w:sz w:val="24"/>
          <w:highlight w:val="none"/>
          <w:u w:val="single"/>
        </w:rPr>
      </w:pPr>
      <w:r>
        <w:rPr>
          <w:rFonts w:ascii="宋体" w:hAnsi="宋体" w:cs="楷体"/>
          <w:color w:val="auto"/>
          <w:sz w:val="24"/>
          <w:szCs w:val="24"/>
          <w:highlight w:val="none"/>
        </w:rPr>
        <w:t>3.1</w:t>
      </w:r>
      <w:r>
        <w:rPr>
          <w:rFonts w:hint="eastAsia" w:ascii="宋体" w:hAnsi="宋体" w:cs="楷体"/>
          <w:color w:val="auto"/>
          <w:sz w:val="24"/>
          <w:szCs w:val="24"/>
          <w:highlight w:val="none"/>
          <w:u w:val="single"/>
        </w:rPr>
        <w:t>投标人须具备建设行政主管部门颁发的工程监理综合资质或房屋建筑工程监理专业</w:t>
      </w:r>
      <w:r>
        <w:rPr>
          <w:rFonts w:hint="eastAsia" w:ascii="宋体" w:hAnsi="宋体" w:cs="楷体"/>
          <w:color w:val="auto"/>
          <w:sz w:val="24"/>
          <w:szCs w:val="24"/>
          <w:highlight w:val="none"/>
          <w:u w:val="single"/>
          <w:lang w:val="en-US" w:eastAsia="zh-CN"/>
        </w:rPr>
        <w:t>丙</w:t>
      </w:r>
      <w:r>
        <w:rPr>
          <w:rFonts w:hint="eastAsia" w:ascii="宋体" w:hAnsi="宋体" w:cs="楷体"/>
          <w:color w:val="auto"/>
          <w:sz w:val="24"/>
          <w:szCs w:val="24"/>
          <w:highlight w:val="none"/>
          <w:u w:val="single"/>
        </w:rPr>
        <w:t>级或以上资质；香港企业参加投标的，须在广东省住房和城乡建设主管部门备案且备案的业务范围满足本项目资质要求。</w:t>
      </w:r>
    </w:p>
    <w:p>
      <w:pPr>
        <w:spacing w:line="360" w:lineRule="auto"/>
        <w:ind w:firstLine="480" w:firstLineChars="200"/>
        <w:rPr>
          <w:rFonts w:ascii="宋体" w:hAnsi="宋体" w:cs="楷体"/>
          <w:color w:val="auto"/>
          <w:sz w:val="24"/>
          <w:szCs w:val="24"/>
          <w:highlight w:val="none"/>
        </w:rPr>
      </w:pPr>
      <w:r>
        <w:rPr>
          <w:rFonts w:ascii="宋体" w:hAnsi="宋体" w:cs="楷体"/>
          <w:color w:val="auto"/>
          <w:sz w:val="24"/>
          <w:szCs w:val="24"/>
          <w:highlight w:val="none"/>
        </w:rPr>
        <w:t>3.2</w:t>
      </w:r>
      <w:r>
        <w:rPr>
          <w:rFonts w:hint="eastAsia" w:ascii="宋体" w:hAnsi="宋体" w:cs="宋体"/>
          <w:color w:val="auto"/>
          <w:sz w:val="24"/>
          <w:highlight w:val="none"/>
          <w:u w:val="single"/>
        </w:rPr>
        <w:t>关于联合体投标：本项目不接受联合体投标。</w:t>
      </w:r>
    </w:p>
    <w:p>
      <w:pPr>
        <w:spacing w:line="360" w:lineRule="auto"/>
        <w:ind w:firstLine="480" w:firstLineChars="200"/>
        <w:rPr>
          <w:rFonts w:ascii="宋体" w:hAnsi="宋体" w:cs="宋体"/>
          <w:color w:val="auto"/>
          <w:sz w:val="24"/>
          <w:highlight w:val="none"/>
          <w:u w:val="single"/>
        </w:rPr>
      </w:pPr>
      <w:r>
        <w:rPr>
          <w:rFonts w:ascii="宋体" w:hAnsi="宋体" w:cs="楷体"/>
          <w:color w:val="auto"/>
          <w:sz w:val="24"/>
          <w:szCs w:val="24"/>
          <w:highlight w:val="none"/>
        </w:rPr>
        <w:t>3.3</w:t>
      </w:r>
      <w:r>
        <w:rPr>
          <w:rFonts w:hint="eastAsia" w:ascii="宋体" w:hAnsi="宋体" w:cs="楷体"/>
          <w:color w:val="auto"/>
          <w:sz w:val="24"/>
          <w:szCs w:val="24"/>
          <w:highlight w:val="none"/>
          <w:u w:val="single"/>
        </w:rPr>
        <w:t>拟派项目总监理工程师须具有建设部</w:t>
      </w:r>
      <w:r>
        <w:rPr>
          <w:rFonts w:ascii="宋体" w:hAnsi="宋体" w:cs="楷体"/>
          <w:color w:val="auto"/>
          <w:sz w:val="24"/>
          <w:szCs w:val="24"/>
          <w:highlight w:val="none"/>
          <w:u w:val="single"/>
        </w:rPr>
        <w:t>2006年4月1日后颁发的中华人民共和国注册监理工程师注册执业证书，且其注册证书专业为房屋建筑工程</w:t>
      </w:r>
      <w:r>
        <w:rPr>
          <w:rFonts w:hint="eastAsia" w:ascii="宋体" w:hAnsi="宋体" w:cs="楷体"/>
          <w:color w:val="auto"/>
          <w:sz w:val="24"/>
          <w:szCs w:val="24"/>
          <w:highlight w:val="none"/>
          <w:u w:val="single"/>
        </w:rPr>
        <w:t>，注册执业单位为本公司，并具备本科或以上学历。</w:t>
      </w:r>
      <w:r>
        <w:rPr>
          <w:rFonts w:hint="eastAsia" w:ascii="宋体" w:hAnsi="宋体" w:cs="宋体"/>
          <w:color w:val="auto"/>
          <w:sz w:val="24"/>
          <w:highlight w:val="none"/>
          <w:u w:val="single"/>
        </w:rPr>
        <w:t>或已在广东省住房和城乡建设主管部门备案且备案的资格满足本项目总监理工程师的资格要求的香港专业人士</w:t>
      </w:r>
      <w:r>
        <w:rPr>
          <w:rFonts w:ascii="宋体" w:hAnsi="宋体" w:cs="宋体"/>
          <w:color w:val="auto"/>
          <w:sz w:val="24"/>
          <w:highlight w:val="none"/>
          <w:u w:val="single"/>
        </w:rPr>
        <w:t>。</w:t>
      </w:r>
    </w:p>
    <w:p>
      <w:pPr>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注：①《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non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pacing w:line="360" w:lineRule="auto"/>
        <w:ind w:firstLine="480" w:firstLineChars="200"/>
        <w:rPr>
          <w:rFonts w:ascii="宋体" w:hAnsi="宋体" w:cs="楷体"/>
          <w:color w:val="auto"/>
          <w:sz w:val="24"/>
          <w:szCs w:val="24"/>
          <w:highlight w:val="none"/>
        </w:rPr>
      </w:pPr>
      <w:r>
        <w:rPr>
          <w:rFonts w:ascii="宋体" w:hAnsi="宋体" w:cs="楷体"/>
          <w:color w:val="auto"/>
          <w:sz w:val="24"/>
          <w:szCs w:val="24"/>
          <w:highlight w:val="none"/>
        </w:rPr>
        <w:t>3.</w:t>
      </w:r>
      <w:r>
        <w:rPr>
          <w:rFonts w:hint="eastAsia" w:ascii="宋体" w:hAnsi="宋体" w:cs="楷体"/>
          <w:color w:val="auto"/>
          <w:sz w:val="24"/>
          <w:szCs w:val="24"/>
          <w:highlight w:val="none"/>
          <w:lang w:val="en-US" w:eastAsia="zh-CN"/>
        </w:rPr>
        <w:t>4</w:t>
      </w:r>
      <w:r>
        <w:rPr>
          <w:rFonts w:ascii="宋体" w:hAnsi="宋体" w:cs="楷体"/>
          <w:color w:val="auto"/>
          <w:sz w:val="24"/>
          <w:szCs w:val="24"/>
          <w:highlight w:val="none"/>
        </w:rPr>
        <w:t>其他要求：</w:t>
      </w:r>
    </w:p>
    <w:p>
      <w:pPr>
        <w:spacing w:line="360" w:lineRule="auto"/>
        <w:ind w:firstLine="480" w:firstLineChars="200"/>
        <w:rPr>
          <w:rFonts w:ascii="宋体" w:hAnsi="宋体" w:cs="楷体"/>
          <w:color w:val="auto"/>
          <w:sz w:val="24"/>
          <w:szCs w:val="24"/>
          <w:highlight w:val="none"/>
          <w:u w:val="single"/>
        </w:rPr>
      </w:pPr>
      <w:bookmarkStart w:id="14" w:name="_Toc529196507"/>
      <w:bookmarkStart w:id="15" w:name="_Toc511557028"/>
      <w:r>
        <w:rPr>
          <w:rFonts w:hint="eastAsia" w:ascii="宋体" w:hAnsi="宋体" w:cs="楷体"/>
          <w:color w:val="auto"/>
          <w:sz w:val="24"/>
          <w:szCs w:val="24"/>
          <w:highlight w:val="none"/>
          <w:u w:val="single"/>
        </w:rPr>
        <w:t>①投标人参加投标的意思表达清楚，投标人代表被授权有效。</w:t>
      </w:r>
    </w:p>
    <w:p>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②投标人均具有独立法人资格，持有工商行政（或市场监管）管理部门核发的法人营业执照，按国家法律经营。</w:t>
      </w:r>
    </w:p>
    <w:p>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t>③投标人已按规定格式签名盖章《投标人声明》（详见附件</w:t>
      </w:r>
      <w:r>
        <w:rPr>
          <w:rFonts w:hint="eastAsia" w:ascii="宋体" w:hAnsi="宋体" w:cs="楷体"/>
          <w:color w:val="auto"/>
          <w:sz w:val="24"/>
          <w:szCs w:val="24"/>
          <w:highlight w:val="none"/>
          <w:u w:val="single"/>
          <w:lang w:val="en-US" w:eastAsia="zh-CN"/>
        </w:rPr>
        <w:t>一</w:t>
      </w:r>
      <w:r>
        <w:rPr>
          <w:rFonts w:hint="eastAsia" w:ascii="宋体" w:hAnsi="宋体" w:cs="楷体"/>
          <w:color w:val="auto"/>
          <w:sz w:val="24"/>
          <w:szCs w:val="24"/>
          <w:highlight w:val="none"/>
          <w:u w:val="single"/>
        </w:rPr>
        <w:t>）。</w:t>
      </w:r>
    </w:p>
    <w:p>
      <w:pPr>
        <w:spacing w:line="360" w:lineRule="auto"/>
        <w:ind w:firstLine="480" w:firstLineChars="200"/>
        <w:rPr>
          <w:rFonts w:hint="eastAsia" w:ascii="宋体" w:hAnsi="宋体" w:eastAsia="宋体" w:cs="楷体"/>
          <w:color w:val="auto"/>
          <w:sz w:val="24"/>
          <w:szCs w:val="24"/>
          <w:highlight w:val="none"/>
          <w:u w:val="single"/>
          <w:lang w:eastAsia="zh-CN"/>
        </w:rPr>
      </w:pPr>
      <w:r>
        <w:rPr>
          <w:rFonts w:hint="eastAsia" w:ascii="宋体" w:hAnsi="宋体" w:cs="楷体"/>
          <w:color w:val="auto"/>
          <w:sz w:val="24"/>
          <w:szCs w:val="24"/>
          <w:highlight w:val="none"/>
          <w:u w:val="single"/>
        </w:rPr>
        <w:t>④投标人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http://zfcj.gz.gov.cn/zwgk/zsdwxxgkzl/gzsjzyglfwzx/bszy/content/post_8073953.html）</w:t>
      </w:r>
      <w:r>
        <w:rPr>
          <w:rFonts w:hint="eastAsia" w:ascii="宋体" w:hAnsi="宋体" w:cs="楷体"/>
          <w:color w:val="auto"/>
          <w:sz w:val="24"/>
          <w:szCs w:val="24"/>
          <w:highlight w:val="none"/>
          <w:u w:val="single"/>
          <w:lang w:eastAsia="zh-CN"/>
        </w:rPr>
        <w:t>。</w:t>
      </w:r>
    </w:p>
    <w:p>
      <w:pPr>
        <w:spacing w:line="360" w:lineRule="auto"/>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80" w:firstLineChars="200"/>
        <w:rPr>
          <w:rFonts w:hint="eastAsia" w:ascii="宋体" w:hAnsi="宋体" w:eastAsia="宋体" w:cs="楷体"/>
          <w:color w:val="auto"/>
          <w:sz w:val="24"/>
          <w:szCs w:val="24"/>
          <w:highlight w:val="none"/>
          <w:u w:val="single"/>
          <w:lang w:eastAsia="zh-CN"/>
        </w:rPr>
      </w:pPr>
      <w:r>
        <w:rPr>
          <w:rFonts w:hint="eastAsia" w:ascii="宋体" w:hAnsi="宋体" w:cs="楷体"/>
          <w:color w:val="auto"/>
          <w:sz w:val="24"/>
          <w:szCs w:val="24"/>
          <w:highlight w:val="none"/>
          <w:u w:val="single"/>
        </w:rPr>
        <w:t>⑥投标人未被纳入失信联合惩戒名单且被限制参加财政投资工程或政府投资工程或建设工程投标的（具体名单以递交投标文件截止时间在“信用广州”https://credit1.gz.gov.cn/sgs/sgsXkNew公布的“失信联合惩戒黑名单——国家下发”为准）。</w:t>
      </w:r>
    </w:p>
    <w:p>
      <w:pPr>
        <w:spacing w:line="360" w:lineRule="auto"/>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（注：因联合惩戒措施表述存在细微差别，惩戒措施与上文不完全一致但措施内容相同的，也应属于被限制参与相关项目的投标。）</w:t>
      </w:r>
    </w:p>
    <w:p>
      <w:pPr>
        <w:spacing w:line="360" w:lineRule="auto"/>
        <w:rPr>
          <w:rFonts w:ascii="宋体" w:hAnsi="宋体" w:cs="楷体"/>
          <w:color w:val="auto"/>
          <w:sz w:val="24"/>
          <w:szCs w:val="24"/>
          <w:highlight w:val="none"/>
          <w:u w:val="single"/>
        </w:rPr>
      </w:pPr>
    </w:p>
    <w:p>
      <w:pPr>
        <w:spacing w:afterLines="50"/>
        <w:jc w:val="left"/>
        <w:textAlignment w:val="center"/>
        <w:outlineLvl w:val="1"/>
        <w:rPr>
          <w:rFonts w:ascii="宋体" w:hAnsi="宋体"/>
          <w:b/>
          <w:bCs/>
          <w:color w:val="auto"/>
          <w:kern w:val="0"/>
          <w:sz w:val="36"/>
          <w:szCs w:val="32"/>
          <w:highlight w:val="none"/>
        </w:rPr>
      </w:pPr>
      <w:bookmarkStart w:id="16" w:name="_Toc535938698"/>
      <w:r>
        <w:rPr>
          <w:rFonts w:ascii="宋体" w:hAnsi="宋体"/>
          <w:b/>
          <w:bCs/>
          <w:color w:val="auto"/>
          <w:kern w:val="0"/>
          <w:sz w:val="36"/>
          <w:szCs w:val="32"/>
          <w:highlight w:val="none"/>
        </w:rPr>
        <w:t xml:space="preserve">4. </w:t>
      </w:r>
      <w:bookmarkEnd w:id="16"/>
      <w:r>
        <w:rPr>
          <w:rFonts w:hint="eastAsia" w:ascii="宋体" w:hAnsi="宋体"/>
          <w:b/>
          <w:bCs/>
          <w:color w:val="auto"/>
          <w:kern w:val="0"/>
          <w:sz w:val="36"/>
          <w:szCs w:val="32"/>
          <w:highlight w:val="none"/>
        </w:rPr>
        <w:t>招标文件的获取</w:t>
      </w:r>
    </w:p>
    <w:p>
      <w:pPr>
        <w:snapToGrid w:val="0"/>
        <w:spacing w:line="360" w:lineRule="auto"/>
        <w:ind w:left="239" w:leftChars="114" w:firstLine="324" w:firstLineChars="135"/>
        <w:rPr>
          <w:rFonts w:ascii="宋体" w:hAnsi="宋体"/>
          <w:color w:val="auto"/>
          <w:sz w:val="24"/>
          <w:szCs w:val="24"/>
          <w:highlight w:val="none"/>
        </w:rPr>
      </w:pPr>
      <w:bookmarkStart w:id="17" w:name="_Toc535938699"/>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月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日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分至202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rPr>
        <w:t xml:space="preserve"> 月 </w:t>
      </w:r>
      <w:r>
        <w:rPr>
          <w:rFonts w:ascii="宋体" w:hAnsi="宋体"/>
          <w:color w:val="auto"/>
          <w:sz w:val="24"/>
          <w:szCs w:val="24"/>
          <w:highlight w:val="none"/>
          <w:u w:val="single"/>
        </w:rPr>
        <w:t xml:space="preserve"> 日</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w:t>
      </w:r>
      <w:r>
        <w:rPr>
          <w:rFonts w:ascii="宋体" w:hAnsi="宋体"/>
          <w:color w:val="auto"/>
          <w:sz w:val="24"/>
          <w:szCs w:val="24"/>
          <w:highlight w:val="none"/>
        </w:rPr>
        <w:t>(北京时间，下同)，登录广州公共资源交易中心网站（http://www.gzggzy.cn）（电子招标投标交易平台）下载电子招标文件。</w:t>
      </w:r>
    </w:p>
    <w:p>
      <w:pPr>
        <w:wordWrap w:val="0"/>
        <w:spacing w:line="360" w:lineRule="auto"/>
        <w:ind w:firstLine="480" w:firstLineChars="200"/>
        <w:rPr>
          <w:rFonts w:ascii="宋体" w:cs="宋体"/>
          <w:color w:val="auto"/>
          <w:sz w:val="24"/>
          <w:szCs w:val="24"/>
          <w:highlight w:val="none"/>
        </w:rPr>
      </w:pPr>
      <w:r>
        <w:rPr>
          <w:rFonts w:ascii="宋体" w:cs="宋体"/>
          <w:color w:val="auto"/>
          <w:sz w:val="24"/>
          <w:szCs w:val="24"/>
          <w:highlight w:val="none"/>
        </w:rPr>
        <w:t xml:space="preserve">4.2 </w:t>
      </w:r>
      <w:r>
        <w:rPr>
          <w:rFonts w:hint="eastAsia" w:ascii="宋体" w:cs="宋体"/>
          <w:color w:val="auto"/>
          <w:sz w:val="24"/>
          <w:szCs w:val="24"/>
          <w:highlight w:val="none"/>
        </w:rPr>
        <w:t>发布招标公告时间（含本日）：</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月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日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分至202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rPr>
        <w:t xml:space="preserve"> 月 </w:t>
      </w:r>
      <w:r>
        <w:rPr>
          <w:rFonts w:ascii="宋体" w:hAnsi="宋体"/>
          <w:color w:val="auto"/>
          <w:sz w:val="24"/>
          <w:szCs w:val="24"/>
          <w:highlight w:val="none"/>
          <w:u w:val="single"/>
        </w:rPr>
        <w:t xml:space="preserve"> 日</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w:t>
      </w:r>
      <w:r>
        <w:rPr>
          <w:rFonts w:hint="eastAsia" w:ascii="宋体" w:cs="宋体"/>
          <w:color w:val="auto"/>
          <w:sz w:val="24"/>
          <w:szCs w:val="24"/>
          <w:highlight w:val="none"/>
          <w:u w:val="single"/>
        </w:rPr>
        <w:t>。</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rPr>
        <w:t>注：</w:t>
      </w:r>
      <w:r>
        <w:rPr>
          <w:rFonts w:hint="eastAsia" w:ascii="宋体" w:hAnsi="宋体"/>
          <w:color w:val="auto"/>
          <w:sz w:val="24"/>
          <w:szCs w:val="24"/>
          <w:highlight w:val="none"/>
          <w:u w:val="single"/>
        </w:rPr>
        <w:t>本公告发布之日起开始发布招标文件，发布招标公告的时间为招标公告发出之日起至递交投标文件截止时间止</w:t>
      </w:r>
      <w:r>
        <w:rPr>
          <w:rFonts w:ascii="宋体" w:hAnsi="宋体"/>
          <w:color w:val="auto"/>
          <w:sz w:val="24"/>
          <w:szCs w:val="24"/>
          <w:highlight w:val="none"/>
          <w:u w:val="single"/>
        </w:rPr>
        <w:t>,并从招标公告发布之日起开始</w:t>
      </w:r>
      <w:r>
        <w:rPr>
          <w:rFonts w:hint="eastAsia" w:ascii="宋体" w:hAnsi="宋体"/>
          <w:color w:val="auto"/>
          <w:sz w:val="24"/>
          <w:szCs w:val="24"/>
          <w:highlight w:val="none"/>
          <w:u w:val="single"/>
        </w:rPr>
        <w:t>计算备标时间。</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lang w:bidi="ar"/>
        </w:rPr>
        <w:t xml:space="preserve">4.2.1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 </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lang w:bidi="ar"/>
        </w:rPr>
        <w:t>注：在投标登记时，投标人应按本项目招标文件第五章委托人要求在交易系统中填写《监理项目管理团队人员信息表》（详见招标公告附件二），表中的项目管理团队人员信息作为投标文件的一部分，将由交易系统提取后供各相关单位在中标人履约时进行比对、查核。</w:t>
      </w:r>
    </w:p>
    <w:p>
      <w:pPr>
        <w:wordWrap w:val="0"/>
        <w:spacing w:line="360" w:lineRule="auto"/>
        <w:ind w:firstLine="480" w:firstLineChars="200"/>
        <w:rPr>
          <w:rFonts w:ascii="宋体" w:cs="宋体"/>
          <w:color w:val="auto"/>
          <w:sz w:val="24"/>
          <w:szCs w:val="24"/>
          <w:highlight w:val="none"/>
        </w:rPr>
      </w:pPr>
      <w:r>
        <w:rPr>
          <w:rFonts w:hint="eastAsia" w:ascii="宋体" w:cs="宋体"/>
          <w:color w:val="auto"/>
          <w:sz w:val="24"/>
          <w:szCs w:val="24"/>
          <w:highlight w:val="none"/>
          <w:lang w:bidi="ar"/>
        </w:rPr>
        <w:t>4.2.2开标时间：</w:t>
      </w:r>
      <w:r>
        <w:rPr>
          <w:rFonts w:hint="eastAsia" w:ascii="宋体" w:cs="宋体"/>
          <w:color w:val="auto"/>
          <w:sz w:val="24"/>
          <w:szCs w:val="24"/>
          <w:highlight w:val="none"/>
          <w:u w:val="single"/>
          <w:lang w:bidi="ar"/>
        </w:rPr>
        <w:t>202</w:t>
      </w:r>
      <w:r>
        <w:rPr>
          <w:rFonts w:hint="eastAsia" w:ascii="宋体" w:cs="宋体"/>
          <w:color w:val="auto"/>
          <w:sz w:val="24"/>
          <w:szCs w:val="24"/>
          <w:highlight w:val="none"/>
          <w:u w:val="single"/>
          <w:lang w:val="en-US" w:eastAsia="zh-CN" w:bidi="ar"/>
        </w:rPr>
        <w:t>3</w:t>
      </w:r>
      <w:r>
        <w:rPr>
          <w:rFonts w:hint="eastAsia" w:ascii="宋体" w:cs="宋体"/>
          <w:color w:val="auto"/>
          <w:sz w:val="24"/>
          <w:szCs w:val="24"/>
          <w:highlight w:val="none"/>
          <w:lang w:bidi="ar"/>
        </w:rPr>
        <w:t>年</w:t>
      </w:r>
      <w:r>
        <w:rPr>
          <w:rFonts w:hint="eastAsia" w:ascii="宋体" w:cs="宋体"/>
          <w:color w:val="auto"/>
          <w:sz w:val="24"/>
          <w:szCs w:val="24"/>
          <w:highlight w:val="none"/>
          <w:u w:val="single"/>
          <w:lang w:bidi="ar"/>
        </w:rPr>
        <w:t xml:space="preserve">  </w:t>
      </w:r>
      <w:r>
        <w:rPr>
          <w:rFonts w:hint="eastAsia" w:ascii="宋体" w:cs="宋体"/>
          <w:color w:val="auto"/>
          <w:sz w:val="24"/>
          <w:szCs w:val="24"/>
          <w:highlight w:val="none"/>
          <w:lang w:bidi="ar"/>
        </w:rPr>
        <w:t>月</w:t>
      </w:r>
      <w:r>
        <w:rPr>
          <w:rFonts w:hint="eastAsia" w:ascii="宋体" w:cs="宋体"/>
          <w:color w:val="auto"/>
          <w:sz w:val="24"/>
          <w:szCs w:val="24"/>
          <w:highlight w:val="none"/>
          <w:u w:val="single"/>
          <w:lang w:bidi="ar"/>
        </w:rPr>
        <w:t xml:space="preserve">  </w:t>
      </w:r>
      <w:r>
        <w:rPr>
          <w:rFonts w:hint="eastAsia" w:ascii="宋体" w:cs="宋体"/>
          <w:color w:val="auto"/>
          <w:sz w:val="24"/>
          <w:szCs w:val="24"/>
          <w:highlight w:val="none"/>
          <w:lang w:bidi="ar"/>
        </w:rPr>
        <w:t>日</w:t>
      </w:r>
      <w:r>
        <w:rPr>
          <w:rFonts w:hint="eastAsia" w:ascii="宋体" w:cs="宋体"/>
          <w:color w:val="auto"/>
          <w:sz w:val="24"/>
          <w:szCs w:val="24"/>
          <w:highlight w:val="none"/>
          <w:u w:val="single"/>
          <w:lang w:bidi="ar"/>
        </w:rPr>
        <w:t xml:space="preserve">  </w:t>
      </w:r>
      <w:r>
        <w:rPr>
          <w:rFonts w:hint="eastAsia" w:ascii="宋体" w:cs="宋体"/>
          <w:color w:val="auto"/>
          <w:sz w:val="24"/>
          <w:szCs w:val="24"/>
          <w:highlight w:val="none"/>
          <w:lang w:bidi="ar"/>
        </w:rPr>
        <w:t>时</w:t>
      </w:r>
      <w:r>
        <w:rPr>
          <w:rFonts w:hint="eastAsia" w:ascii="宋体" w:cs="宋体"/>
          <w:color w:val="auto"/>
          <w:sz w:val="24"/>
          <w:szCs w:val="24"/>
          <w:highlight w:val="none"/>
          <w:u w:val="single"/>
          <w:lang w:bidi="ar"/>
        </w:rPr>
        <w:t xml:space="preserve">   </w:t>
      </w:r>
      <w:r>
        <w:rPr>
          <w:rFonts w:hint="eastAsia" w:ascii="宋体" w:cs="宋体"/>
          <w:color w:val="auto"/>
          <w:sz w:val="24"/>
          <w:szCs w:val="24"/>
          <w:highlight w:val="none"/>
          <w:lang w:bidi="ar"/>
        </w:rPr>
        <w:t>分。</w:t>
      </w:r>
    </w:p>
    <w:p>
      <w:pPr>
        <w:snapToGrid w:val="0"/>
        <w:spacing w:line="360" w:lineRule="auto"/>
        <w:ind w:firstLine="480" w:firstLineChars="200"/>
        <w:rPr>
          <w:rFonts w:ascii="宋体" w:hAnsi="宋体"/>
          <w:color w:val="auto"/>
          <w:sz w:val="24"/>
          <w:szCs w:val="24"/>
          <w:highlight w:val="none"/>
          <w:u w:val="none"/>
        </w:rPr>
      </w:pPr>
      <w:r>
        <w:rPr>
          <w:rFonts w:ascii="宋体" w:hAnsi="宋体"/>
          <w:color w:val="auto"/>
          <w:sz w:val="24"/>
          <w:szCs w:val="24"/>
          <w:highlight w:val="none"/>
          <w:u w:val="none"/>
        </w:rPr>
        <w:t>4.3本项目采用资格后审方式。</w:t>
      </w:r>
    </w:p>
    <w:p>
      <w:pPr>
        <w:snapToGrid w:val="0"/>
        <w:spacing w:line="360" w:lineRule="auto"/>
        <w:ind w:firstLine="566" w:firstLineChars="236"/>
        <w:rPr>
          <w:rFonts w:ascii="宋体" w:hAnsi="宋体"/>
          <w:color w:val="auto"/>
          <w:sz w:val="24"/>
          <w:szCs w:val="24"/>
          <w:highlight w:val="none"/>
          <w:u w:val="none"/>
        </w:rPr>
      </w:pPr>
      <w:r>
        <w:rPr>
          <w:rFonts w:hint="eastAsia" w:ascii="宋体" w:hAnsi="宋体"/>
          <w:color w:val="auto"/>
          <w:sz w:val="24"/>
          <w:szCs w:val="24"/>
          <w:highlight w:val="none"/>
          <w:u w:val="none"/>
        </w:rPr>
        <w:t>注：（</w:t>
      </w:r>
      <w:r>
        <w:rPr>
          <w:rFonts w:ascii="宋体" w:hAnsi="宋体"/>
          <w:color w:val="auto"/>
          <w:sz w:val="24"/>
          <w:szCs w:val="24"/>
          <w:highlight w:val="none"/>
          <w:u w:val="none"/>
        </w:rPr>
        <w:t>1）电子招投标操作流程详见广州公共资源交易中心网站发布的最新版操作指引。</w:t>
      </w:r>
    </w:p>
    <w:p>
      <w:pPr>
        <w:numPr>
          <w:ilvl w:val="0"/>
          <w:numId w:val="1"/>
        </w:numPr>
        <w:snapToGrid w:val="0"/>
        <w:spacing w:line="360" w:lineRule="auto"/>
        <w:ind w:firstLine="566" w:firstLineChars="236"/>
        <w:rPr>
          <w:rFonts w:hint="eastAsia" w:ascii="宋体" w:hAnsi="宋体"/>
          <w:color w:val="auto"/>
          <w:sz w:val="24"/>
          <w:szCs w:val="24"/>
          <w:highlight w:val="none"/>
          <w:u w:val="none"/>
        </w:rPr>
      </w:pPr>
      <w:r>
        <w:rPr>
          <w:rFonts w:hint="eastAsia" w:ascii="宋体" w:hAnsi="宋体"/>
          <w:color w:val="auto"/>
          <w:sz w:val="24"/>
          <w:szCs w:val="24"/>
          <w:highlight w:val="none"/>
          <w:u w:val="none"/>
        </w:rPr>
        <w:t>投标人应在递交投标文件截止时间前，登录广州公共资源交易中心交易平台网站办理网上投标登记手续。</w:t>
      </w:r>
      <w:r>
        <w:rPr>
          <w:rFonts w:hint="eastAsia" w:ascii="宋体" w:cs="宋体"/>
          <w:color w:val="auto"/>
          <w:sz w:val="24"/>
          <w:szCs w:val="24"/>
          <w:highlight w:val="none"/>
        </w:rPr>
        <w:t>本公告发布之日起开始计算备标时间</w:t>
      </w:r>
      <w:r>
        <w:rPr>
          <w:rFonts w:hint="eastAsia" w:ascii="宋体" w:cs="宋体"/>
          <w:color w:val="auto"/>
          <w:sz w:val="24"/>
          <w:szCs w:val="24"/>
          <w:highlight w:val="none"/>
          <w:lang w:eastAsia="zh-CN"/>
        </w:rPr>
        <w:t>。</w:t>
      </w:r>
    </w:p>
    <w:p>
      <w:pPr>
        <w:wordWrap w:val="0"/>
        <w:spacing w:line="360" w:lineRule="auto"/>
        <w:ind w:firstLine="480" w:firstLineChars="200"/>
        <w:rPr>
          <w:rFonts w:hint="eastAsia" w:ascii="宋体" w:cs="宋体"/>
          <w:color w:val="auto"/>
          <w:sz w:val="24"/>
          <w:szCs w:val="24"/>
          <w:highlight w:val="none"/>
          <w:lang w:bidi="ar"/>
        </w:rPr>
      </w:pPr>
      <w:r>
        <w:rPr>
          <w:rFonts w:hint="eastAsia" w:ascii="宋体" w:cs="宋体"/>
          <w:color w:val="auto"/>
          <w:sz w:val="24"/>
          <w:szCs w:val="24"/>
          <w:highlight w:val="none"/>
          <w:lang w:bidi="ar"/>
        </w:rPr>
        <w:t>4.4 潜在投标人或利害关系人对本招标公告及招标文件有异议的，应当在投标截止时间10日前向招标人书面提出。</w:t>
      </w:r>
    </w:p>
    <w:p>
      <w:pPr>
        <w:keepNext w:val="0"/>
        <w:keepLines w:val="0"/>
        <w:pageBreakBefore w:val="0"/>
        <w:widowControl w:val="0"/>
        <w:kinsoku/>
        <w:wordWrap/>
        <w:overflowPunct/>
        <w:topLinePunct w:val="0"/>
        <w:autoSpaceDE/>
        <w:autoSpaceDN/>
        <w:bidi w:val="0"/>
        <w:adjustRightInd/>
        <w:snapToGrid/>
        <w:spacing w:afterLines="50" w:line="360" w:lineRule="auto"/>
        <w:ind w:firstLine="480" w:firstLineChars="200"/>
        <w:jc w:val="left"/>
        <w:textAlignment w:val="center"/>
        <w:outlineLvl w:val="1"/>
        <w:rPr>
          <w:rFonts w:hint="eastAsia" w:ascii="宋体" w:cs="宋体"/>
          <w:color w:val="auto"/>
          <w:sz w:val="24"/>
          <w:szCs w:val="24"/>
          <w:highlight w:val="none"/>
          <w:lang w:bidi="ar"/>
        </w:rPr>
      </w:pPr>
      <w:r>
        <w:rPr>
          <w:rFonts w:hint="eastAsia" w:ascii="宋体" w:cs="宋体"/>
          <w:color w:val="auto"/>
          <w:sz w:val="24"/>
          <w:szCs w:val="24"/>
          <w:highlight w:val="none"/>
          <w:lang w:val="en-US" w:eastAsia="zh-CN"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5. </w:t>
      </w:r>
      <w:r>
        <w:rPr>
          <w:rFonts w:hint="eastAsia" w:ascii="宋体" w:hAnsi="宋体"/>
          <w:b/>
          <w:bCs/>
          <w:color w:val="auto"/>
          <w:kern w:val="0"/>
          <w:sz w:val="36"/>
          <w:szCs w:val="32"/>
          <w:highlight w:val="none"/>
        </w:rPr>
        <w:t>投标文件的递交</w:t>
      </w:r>
      <w:bookmarkEnd w:id="17"/>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投标文件递交的截止时间（投标截止时间，下同）为</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月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时</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分</w:t>
      </w:r>
      <w:r>
        <w:rPr>
          <w:rFonts w:hint="eastAsia" w:ascii="宋体" w:hAnsi="宋体"/>
          <w:color w:val="auto"/>
          <w:sz w:val="24"/>
          <w:szCs w:val="24"/>
          <w:highlight w:val="none"/>
        </w:rPr>
        <w:t>，投标人应在截止时间前通过广州公共资源交易中心数字交易平台（</w:t>
      </w:r>
      <w:r>
        <w:rPr>
          <w:rFonts w:ascii="宋体" w:hAnsi="宋体"/>
          <w:color w:val="auto"/>
          <w:sz w:val="24"/>
          <w:szCs w:val="24"/>
          <w:highlight w:val="none"/>
        </w:rPr>
        <w:t>http://www.gzggzy.cn）递交电子投标文件。</w:t>
      </w:r>
    </w:p>
    <w:p>
      <w:pPr>
        <w:snapToGrid w:val="0"/>
        <w:spacing w:line="360" w:lineRule="auto"/>
        <w:ind w:left="210" w:leftChars="100" w:firstLine="240" w:firstLineChars="100"/>
        <w:rPr>
          <w:rFonts w:ascii="宋体" w:hAnsi="宋体"/>
          <w:color w:val="auto"/>
          <w:sz w:val="24"/>
          <w:szCs w:val="24"/>
          <w:highlight w:val="none"/>
        </w:rPr>
      </w:pPr>
      <w:r>
        <w:rPr>
          <w:rFonts w:hint="eastAsia" w:ascii="宋体" w:hAnsi="宋体"/>
          <w:color w:val="auto"/>
          <w:sz w:val="24"/>
          <w:szCs w:val="24"/>
          <w:highlight w:val="none"/>
        </w:rPr>
        <w:t>递交备用投标文件电子光盘的规定：时间为：</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月</w:t>
      </w:r>
      <w:r>
        <w:rPr>
          <w:rFonts w:hint="eastAsia" w:ascii="宋体" w:hAnsi="宋体"/>
          <w:color w:val="auto"/>
          <w:sz w:val="24"/>
          <w:szCs w:val="24"/>
          <w:highlight w:val="none"/>
          <w:u w:val="single"/>
        </w:rPr>
        <w:t xml:space="preserve"> 日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时  </w:t>
      </w:r>
      <w:r>
        <w:rPr>
          <w:rFonts w:ascii="宋体" w:hAnsi="宋体"/>
          <w:color w:val="auto"/>
          <w:sz w:val="24"/>
          <w:szCs w:val="24"/>
          <w:highlight w:val="none"/>
          <w:u w:val="single"/>
        </w:rPr>
        <w:t>分至202</w:t>
      </w:r>
      <w:r>
        <w:rPr>
          <w:rFonts w:hint="eastAsia" w:ascii="宋体" w:hAnsi="宋体"/>
          <w:color w:val="auto"/>
          <w:sz w:val="24"/>
          <w:szCs w:val="24"/>
          <w:highlight w:val="none"/>
          <w:u w:val="single"/>
          <w:lang w:val="en-US" w:eastAsia="zh-CN"/>
        </w:rPr>
        <w:t>3</w:t>
      </w:r>
      <w:r>
        <w:rPr>
          <w:rFonts w:ascii="宋体" w:hAnsi="宋体"/>
          <w:color w:val="auto"/>
          <w:sz w:val="24"/>
          <w:szCs w:val="24"/>
          <w:highlight w:val="none"/>
          <w:u w:val="single"/>
        </w:rPr>
        <w:t xml:space="preserve">年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月</w:t>
      </w:r>
      <w:r>
        <w:rPr>
          <w:rFonts w:hint="eastAsia" w:ascii="宋体" w:hAnsi="宋体"/>
          <w:color w:val="auto"/>
          <w:sz w:val="24"/>
          <w:szCs w:val="24"/>
          <w:highlight w:val="none"/>
          <w:u w:val="single"/>
        </w:rPr>
        <w:t xml:space="preserve"> 日  时  </w:t>
      </w:r>
      <w:r>
        <w:rPr>
          <w:rFonts w:ascii="宋体" w:hAnsi="宋体"/>
          <w:color w:val="auto"/>
          <w:sz w:val="24"/>
          <w:szCs w:val="24"/>
          <w:highlight w:val="none"/>
          <w:u w:val="single"/>
        </w:rPr>
        <w:t>分</w:t>
      </w:r>
      <w:r>
        <w:rPr>
          <w:rFonts w:hint="eastAsia" w:ascii="宋体" w:hAnsi="宋体"/>
          <w:color w:val="auto"/>
          <w:sz w:val="24"/>
          <w:szCs w:val="24"/>
          <w:highlight w:val="none"/>
        </w:rPr>
        <w:t>；地点：</w:t>
      </w:r>
      <w:r>
        <w:rPr>
          <w:rFonts w:hint="eastAsia" w:ascii="宋体" w:hAnsi="宋体"/>
          <w:b/>
          <w:color w:val="auto"/>
          <w:sz w:val="24"/>
          <w:szCs w:val="24"/>
          <w:highlight w:val="none"/>
        </w:rPr>
        <w:t>广州公共资源交易中心</w:t>
      </w:r>
      <w:r>
        <w:rPr>
          <w:rFonts w:hint="eastAsia" w:ascii="宋体" w:hAnsi="宋体"/>
          <w:b/>
          <w:color w:val="auto"/>
          <w:sz w:val="24"/>
          <w:szCs w:val="24"/>
          <w:highlight w:val="none"/>
          <w:u w:val="single"/>
        </w:rPr>
        <w:t>第</w:t>
      </w:r>
      <w:r>
        <w:rPr>
          <w:rFonts w:ascii="宋体" w:hAnsi="宋体"/>
          <w:b/>
          <w:color w:val="auto"/>
          <w:sz w:val="24"/>
          <w:szCs w:val="24"/>
          <w:highlight w:val="none"/>
          <w:u w:val="single"/>
        </w:rPr>
        <w:t xml:space="preserve">  </w:t>
      </w:r>
      <w:r>
        <w:rPr>
          <w:rFonts w:hint="eastAsia" w:ascii="宋体" w:hAnsi="宋体"/>
          <w:b/>
          <w:color w:val="auto"/>
          <w:sz w:val="24"/>
          <w:szCs w:val="24"/>
          <w:highlight w:val="none"/>
          <w:u w:val="single"/>
        </w:rPr>
        <w:t>开标室</w:t>
      </w:r>
      <w:r>
        <w:rPr>
          <w:rFonts w:hint="eastAsia" w:ascii="宋体" w:hAnsi="宋体"/>
          <w:color w:val="auto"/>
          <w:sz w:val="24"/>
          <w:szCs w:val="24"/>
          <w:highlight w:val="none"/>
        </w:rPr>
        <w:t>。（电子光盘需按规定封装，投标人将数据刻录到光盘之后，投标前自行检查文件是否可以读取。）</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逾期送达的投标文件，电子招标投标交易平台将予以拒收。</w:t>
      </w:r>
    </w:p>
    <w:p>
      <w:pPr>
        <w:snapToGrid w:val="0"/>
        <w:spacing w:line="360" w:lineRule="auto"/>
        <w:rPr>
          <w:rFonts w:ascii="宋体" w:hAnsi="宋体"/>
          <w:b/>
          <w:bCs/>
          <w:color w:val="auto"/>
          <w:kern w:val="0"/>
          <w:sz w:val="36"/>
          <w:szCs w:val="32"/>
          <w:highlight w:val="none"/>
        </w:rPr>
      </w:pPr>
      <w:bookmarkStart w:id="18" w:name="_Toc535938700"/>
      <w:r>
        <w:rPr>
          <w:rFonts w:ascii="宋体" w:hAnsi="宋体"/>
          <w:b/>
          <w:bCs/>
          <w:color w:val="auto"/>
          <w:kern w:val="0"/>
          <w:sz w:val="36"/>
          <w:szCs w:val="32"/>
          <w:highlight w:val="none"/>
        </w:rPr>
        <w:t>6.</w:t>
      </w:r>
      <w:bookmarkEnd w:id="18"/>
      <w:bookmarkStart w:id="19" w:name="_Toc535938701"/>
      <w:r>
        <w:rPr>
          <w:rFonts w:hint="eastAsia" w:ascii="宋体" w:hAnsi="宋体"/>
          <w:b/>
          <w:bCs/>
          <w:color w:val="auto"/>
          <w:kern w:val="0"/>
          <w:sz w:val="36"/>
          <w:szCs w:val="32"/>
          <w:highlight w:val="none"/>
        </w:rPr>
        <w:t>发布公告的媒介</w:t>
      </w:r>
      <w:bookmarkEnd w:id="19"/>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本次招标公告同时在</w:t>
      </w:r>
      <w:r>
        <w:rPr>
          <w:rFonts w:ascii="宋体" w:hAnsi="宋体"/>
          <w:color w:val="auto"/>
          <w:sz w:val="24"/>
          <w:szCs w:val="24"/>
          <w:highlight w:val="none"/>
          <w:u w:val="single"/>
        </w:rPr>
        <w:t>广州公共资源交易中心网（</w:t>
      </w:r>
      <w:r>
        <w:rPr>
          <w:rFonts w:hint="eastAsia" w:ascii="宋体" w:hAnsi="宋体"/>
          <w:color w:val="auto"/>
          <w:sz w:val="24"/>
          <w:szCs w:val="24"/>
          <w:highlight w:val="none"/>
          <w:u w:val="single"/>
        </w:rPr>
        <w:t>网址：</w:t>
      </w:r>
      <w:r>
        <w:rPr>
          <w:rFonts w:ascii="宋体" w:hAnsi="宋体"/>
          <w:color w:val="auto"/>
          <w:sz w:val="24"/>
          <w:szCs w:val="24"/>
          <w:highlight w:val="none"/>
          <w:u w:val="single"/>
        </w:rPr>
        <w:t>http://www.gzggzy.cn）、广东省招标投标监管网（</w:t>
      </w:r>
      <w:r>
        <w:rPr>
          <w:rFonts w:hint="eastAsia" w:ascii="宋体" w:hAnsi="宋体"/>
          <w:color w:val="auto"/>
          <w:sz w:val="24"/>
          <w:szCs w:val="24"/>
          <w:highlight w:val="none"/>
          <w:u w:val="single"/>
        </w:rPr>
        <w:t>网址：</w:t>
      </w:r>
      <w:r>
        <w:rPr>
          <w:rFonts w:ascii="宋体" w:hAnsi="宋体"/>
          <w:color w:val="auto"/>
          <w:sz w:val="24"/>
          <w:szCs w:val="24"/>
          <w:highlight w:val="none"/>
          <w:u w:val="single"/>
        </w:rPr>
        <w:t>http://zbtb.gd.gov.cn/）和中国招标投标公共服务平台（</w:t>
      </w:r>
      <w:r>
        <w:rPr>
          <w:rFonts w:hint="eastAsia" w:ascii="宋体" w:hAnsi="宋体"/>
          <w:color w:val="auto"/>
          <w:sz w:val="24"/>
          <w:szCs w:val="24"/>
          <w:highlight w:val="none"/>
          <w:u w:val="single"/>
        </w:rPr>
        <w:t>网址：http://www.cebpubservice.com/</w:t>
      </w:r>
      <w:r>
        <w:rPr>
          <w:rFonts w:ascii="宋体" w:hAnsi="宋体"/>
          <w:color w:val="auto"/>
          <w:sz w:val="24"/>
          <w:szCs w:val="24"/>
          <w:highlight w:val="none"/>
          <w:u w:val="single"/>
        </w:rPr>
        <w:t>）等媒体上发布，本公告的修改、补充，在广州公共资源交易中心网站</w:t>
      </w:r>
      <w:r>
        <w:rPr>
          <w:rFonts w:ascii="宋体" w:hAnsi="宋体"/>
          <w:color w:val="auto"/>
          <w:sz w:val="24"/>
          <w:szCs w:val="24"/>
          <w:highlight w:val="none"/>
        </w:rPr>
        <w:t>上发布。</w:t>
      </w:r>
    </w:p>
    <w:p>
      <w:pPr>
        <w:pStyle w:val="11"/>
        <w:ind w:left="420"/>
        <w:rPr>
          <w:color w:val="auto"/>
          <w:highlight w:val="none"/>
        </w:rPr>
      </w:pPr>
    </w:p>
    <w:bookmarkEnd w:id="14"/>
    <w:bookmarkEnd w:id="15"/>
    <w:p>
      <w:pPr>
        <w:spacing w:afterLines="50"/>
        <w:jc w:val="left"/>
        <w:textAlignment w:val="center"/>
        <w:outlineLvl w:val="1"/>
        <w:rPr>
          <w:rFonts w:ascii="宋体" w:hAnsi="宋体"/>
          <w:b/>
          <w:bCs/>
          <w:color w:val="auto"/>
          <w:kern w:val="0"/>
          <w:sz w:val="36"/>
          <w:szCs w:val="32"/>
          <w:highlight w:val="none"/>
        </w:rPr>
      </w:pPr>
      <w:bookmarkStart w:id="20" w:name="_Toc529196510"/>
      <w:bookmarkStart w:id="21" w:name="_Toc511557031"/>
      <w:bookmarkStart w:id="22" w:name="_Toc535938702"/>
      <w:bookmarkStart w:id="23" w:name="_Toc516170523"/>
      <w:bookmarkStart w:id="24" w:name="_Toc361508564"/>
      <w:bookmarkStart w:id="25" w:name="_Toc247513936"/>
      <w:bookmarkStart w:id="26" w:name="_Toc152042290"/>
      <w:bookmarkStart w:id="27" w:name="_Toc2312"/>
      <w:bookmarkStart w:id="28" w:name="_Toc144974482"/>
      <w:bookmarkStart w:id="29" w:name="_Toc369531499"/>
      <w:bookmarkStart w:id="30" w:name="_Toc384308189"/>
      <w:bookmarkStart w:id="31" w:name="_Toc152045514"/>
      <w:bookmarkStart w:id="32" w:name="_Toc300834931"/>
      <w:bookmarkStart w:id="33" w:name="_Toc247527537"/>
      <w:bookmarkStart w:id="34" w:name="_Toc352691457"/>
      <w:r>
        <w:rPr>
          <w:rFonts w:ascii="宋体" w:hAnsi="宋体"/>
          <w:b/>
          <w:bCs/>
          <w:color w:val="auto"/>
          <w:kern w:val="0"/>
          <w:sz w:val="36"/>
          <w:szCs w:val="32"/>
          <w:highlight w:val="none"/>
        </w:rPr>
        <w:t>7.</w:t>
      </w:r>
      <w:r>
        <w:rPr>
          <w:rFonts w:hint="eastAsia" w:ascii="宋体" w:hAnsi="宋体"/>
          <w:b/>
          <w:bCs/>
          <w:color w:val="auto"/>
          <w:kern w:val="0"/>
          <w:sz w:val="36"/>
          <w:szCs w:val="32"/>
          <w:highlight w:val="none"/>
        </w:rPr>
        <w:t>联系方式</w:t>
      </w:r>
      <w:bookmarkEnd w:id="20"/>
      <w:bookmarkEnd w:id="21"/>
      <w:bookmarkEnd w:id="22"/>
      <w:bookmarkEnd w:id="23"/>
    </w:p>
    <w:bookmarkEnd w:id="24"/>
    <w:bookmarkEnd w:id="25"/>
    <w:bookmarkEnd w:id="26"/>
    <w:bookmarkEnd w:id="27"/>
    <w:bookmarkEnd w:id="28"/>
    <w:bookmarkEnd w:id="29"/>
    <w:bookmarkEnd w:id="30"/>
    <w:bookmarkEnd w:id="31"/>
    <w:bookmarkEnd w:id="32"/>
    <w:bookmarkEnd w:id="33"/>
    <w:bookmarkEnd w:id="34"/>
    <w:p>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   标   人：</w:t>
      </w:r>
      <w:r>
        <w:rPr>
          <w:rFonts w:hint="eastAsia" w:ascii="宋体" w:hAnsi="宋体" w:cs="宋体"/>
          <w:color w:val="auto"/>
          <w:sz w:val="24"/>
          <w:highlight w:val="none"/>
          <w:u w:val="single"/>
          <w:lang w:eastAsia="zh-CN"/>
        </w:rPr>
        <w:t>广州市越秀区人民政府梅花村街道办事处</w:t>
      </w:r>
    </w:p>
    <w:p>
      <w:pPr>
        <w:snapToGrid w:val="0"/>
        <w:spacing w:line="360" w:lineRule="auto"/>
        <w:ind w:firstLine="480" w:firstLineChars="200"/>
        <w:rPr>
          <w:rFonts w:hint="eastAsia" w:ascii="宋体" w:hAnsi="宋体" w:cs="宋体"/>
          <w:sz w:val="24"/>
          <w:szCs w:val="24"/>
          <w:u w:val="single"/>
        </w:rPr>
      </w:pPr>
      <w:r>
        <w:rPr>
          <w:rFonts w:hint="eastAsia" w:ascii="宋体" w:hAnsi="宋体" w:cs="宋体"/>
          <w:color w:val="auto"/>
          <w:sz w:val="24"/>
          <w:szCs w:val="24"/>
          <w:highlight w:val="none"/>
        </w:rPr>
        <w:t>地        址：</w:t>
      </w:r>
      <w:r>
        <w:rPr>
          <w:rFonts w:hint="eastAsia" w:ascii="宋体" w:hAnsi="宋体" w:cs="宋体"/>
          <w:sz w:val="24"/>
          <w:szCs w:val="24"/>
          <w:u w:val="none"/>
        </w:rPr>
        <w:t>广州市越秀区</w:t>
      </w:r>
      <w:r>
        <w:rPr>
          <w:rFonts w:hint="eastAsia" w:ascii="宋体" w:hAnsi="宋体" w:cs="宋体"/>
          <w:sz w:val="24"/>
          <w:szCs w:val="24"/>
          <w:u w:val="none"/>
          <w:lang w:val="en-US" w:eastAsia="zh-CN"/>
        </w:rPr>
        <w:t>梅花</w:t>
      </w:r>
      <w:r>
        <w:rPr>
          <w:rFonts w:hint="eastAsia" w:ascii="宋体" w:hAnsi="宋体" w:cs="宋体"/>
          <w:sz w:val="24"/>
          <w:szCs w:val="24"/>
          <w:u w:val="none"/>
        </w:rPr>
        <w:t>路</w:t>
      </w:r>
      <w:r>
        <w:rPr>
          <w:rFonts w:hint="eastAsia" w:ascii="宋体" w:hAnsi="宋体" w:cs="宋体"/>
          <w:sz w:val="24"/>
          <w:szCs w:val="24"/>
          <w:u w:val="none"/>
          <w:lang w:val="en-US" w:eastAsia="zh-CN"/>
        </w:rPr>
        <w:t>6</w:t>
      </w:r>
      <w:r>
        <w:rPr>
          <w:rFonts w:hint="eastAsia" w:ascii="宋体" w:hAnsi="宋体" w:cs="宋体"/>
          <w:sz w:val="24"/>
          <w:szCs w:val="24"/>
          <w:u w:val="none"/>
        </w:rPr>
        <w:t>号</w:t>
      </w:r>
    </w:p>
    <w:p>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吴</w:t>
      </w:r>
      <w:r>
        <w:rPr>
          <w:rFonts w:hint="eastAsia" w:ascii="宋体" w:hAnsi="宋体" w:cs="楷体"/>
          <w:color w:val="auto"/>
          <w:sz w:val="24"/>
          <w:szCs w:val="24"/>
          <w:highlight w:val="none"/>
          <w:u w:val="single"/>
        </w:rPr>
        <w:t>工</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38627740</w:t>
      </w:r>
    </w:p>
    <w:p>
      <w:pPr>
        <w:pStyle w:val="11"/>
        <w:rPr>
          <w:color w:val="auto"/>
          <w:highlight w:val="none"/>
        </w:rPr>
      </w:pPr>
    </w:p>
    <w:p>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广东省建筑工程监理有限公司</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广州市流花路85号</w:t>
      </w:r>
    </w:p>
    <w:p>
      <w:pPr>
        <w:snapToGrid w:val="0"/>
        <w:spacing w:line="360" w:lineRule="auto"/>
        <w:ind w:firstLine="480" w:firstLineChars="200"/>
        <w:rPr>
          <w:rFonts w:hint="eastAsia" w:ascii="宋体" w:hAnsi="宋体"/>
          <w:color w:val="auto"/>
          <w:sz w:val="24"/>
          <w:highlight w:val="none"/>
          <w:u w:val="single"/>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赖工、李工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020-</w:t>
      </w:r>
      <w:r>
        <w:rPr>
          <w:rFonts w:hint="eastAsia" w:ascii="宋体" w:hAnsi="宋体" w:cs="宋体"/>
          <w:color w:val="auto"/>
          <w:sz w:val="24"/>
          <w:highlight w:val="none"/>
          <w:u w:val="single"/>
          <w:lang w:val="en-US" w:eastAsia="zh-CN"/>
        </w:rPr>
        <w:t>86673560</w:t>
      </w:r>
    </w:p>
    <w:p>
      <w:pPr>
        <w:pStyle w:val="11"/>
        <w:rPr>
          <w:color w:val="auto"/>
          <w:highlight w:val="none"/>
        </w:rPr>
      </w:pPr>
    </w:p>
    <w:p>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广州市越秀区人民政府梅花村街道办事处</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广州市越秀区</w:t>
      </w:r>
      <w:r>
        <w:rPr>
          <w:rFonts w:hint="eastAsia" w:ascii="宋体" w:hAnsi="宋体" w:cs="宋体"/>
          <w:color w:val="auto"/>
          <w:sz w:val="24"/>
          <w:szCs w:val="24"/>
          <w:highlight w:val="none"/>
          <w:u w:val="single"/>
          <w:lang w:val="en-US" w:eastAsia="zh-CN"/>
        </w:rPr>
        <w:t>梅花</w:t>
      </w:r>
      <w:r>
        <w:rPr>
          <w:rFonts w:hint="eastAsia" w:ascii="宋体" w:hAnsi="宋体" w:cs="宋体"/>
          <w:color w:val="auto"/>
          <w:sz w:val="24"/>
          <w:szCs w:val="24"/>
          <w:highlight w:val="none"/>
          <w:u w:val="single"/>
        </w:rPr>
        <w:t>路</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号</w:t>
      </w:r>
    </w:p>
    <w:p>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吴</w:t>
      </w:r>
      <w:r>
        <w:rPr>
          <w:rFonts w:hint="eastAsia" w:ascii="宋体" w:hAnsi="宋体" w:cs="宋体"/>
          <w:color w:val="auto"/>
          <w:sz w:val="24"/>
          <w:szCs w:val="24"/>
          <w:highlight w:val="none"/>
          <w:u w:val="single"/>
        </w:rPr>
        <w:t xml:space="preserve">工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38627740</w:t>
      </w:r>
    </w:p>
    <w:p>
      <w:pPr>
        <w:rPr>
          <w:color w:val="auto"/>
          <w:highlight w:val="none"/>
        </w:rPr>
      </w:pP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招标监督机构：广州市越秀区建设工程招投标管理中心</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  督 电 话：</w:t>
      </w:r>
      <w:r>
        <w:rPr>
          <w:rFonts w:ascii="宋体" w:hAnsi="宋体" w:cs="宋体"/>
          <w:bCs/>
          <w:color w:val="auto"/>
          <w:sz w:val="24"/>
          <w:szCs w:val="24"/>
          <w:highlight w:val="none"/>
          <w:u w:val="single"/>
        </w:rPr>
        <w:t>0</w:t>
      </w:r>
      <w:r>
        <w:rPr>
          <w:rFonts w:hint="eastAsia" w:ascii="宋体" w:hAnsi="宋体" w:cs="宋体"/>
          <w:bCs/>
          <w:color w:val="auto"/>
          <w:sz w:val="24"/>
          <w:szCs w:val="24"/>
          <w:highlight w:val="none"/>
          <w:u w:val="single"/>
        </w:rPr>
        <w:t>20-37668900</w:t>
      </w:r>
    </w:p>
    <w:p>
      <w:pPr>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地        址：</w:t>
      </w:r>
      <w:r>
        <w:rPr>
          <w:rFonts w:hint="eastAsia" w:ascii="宋体" w:hAnsi="宋体" w:cs="宋体"/>
          <w:bCs/>
          <w:color w:val="auto"/>
          <w:sz w:val="24"/>
          <w:szCs w:val="24"/>
          <w:highlight w:val="none"/>
          <w:u w:val="single"/>
        </w:rPr>
        <w:t>广州市越秀区东华东路 353号锦桦荟336室</w:t>
      </w:r>
    </w:p>
    <w:p>
      <w:pPr>
        <w:topLinePunct/>
        <w:spacing w:line="360" w:lineRule="auto"/>
        <w:jc w:val="right"/>
        <w:rPr>
          <w:rFonts w:ascii="宋体" w:hAnsi="宋体"/>
          <w:color w:val="auto"/>
          <w:sz w:val="24"/>
          <w:highlight w:val="none"/>
        </w:rPr>
      </w:pPr>
    </w:p>
    <w:p>
      <w:pPr>
        <w:pageBreakBefore/>
        <w:widowControl/>
        <w:adjustRightInd w:val="0"/>
        <w:snapToGrid w:val="0"/>
        <w:spacing w:line="360" w:lineRule="auto"/>
        <w:outlineLvl w:val="1"/>
        <w:rPr>
          <w:rFonts w:ascii="宋体" w:hAnsi="宋体" w:cs="宋体"/>
          <w:bCs/>
          <w:color w:val="auto"/>
          <w:kern w:val="0"/>
          <w:sz w:val="28"/>
          <w:szCs w:val="28"/>
          <w:highlight w:val="none"/>
        </w:rPr>
      </w:pPr>
      <w:bookmarkStart w:id="35" w:name="_Toc535938704"/>
      <w:r>
        <w:rPr>
          <w:rFonts w:hint="eastAsia" w:ascii="宋体" w:hAnsi="宋体" w:cs="宋体"/>
          <w:bCs/>
          <w:color w:val="auto"/>
          <w:kern w:val="0"/>
          <w:sz w:val="28"/>
          <w:szCs w:val="28"/>
          <w:highlight w:val="none"/>
        </w:rPr>
        <w:t>附件一</w:t>
      </w:r>
      <w:r>
        <w:rPr>
          <w:rFonts w:ascii="宋体" w:hAnsi="宋体" w:cs="宋体"/>
          <w:bCs/>
          <w:color w:val="auto"/>
          <w:kern w:val="0"/>
          <w:sz w:val="28"/>
          <w:szCs w:val="28"/>
          <w:highlight w:val="none"/>
        </w:rPr>
        <w:t>：</w:t>
      </w:r>
      <w:r>
        <w:rPr>
          <w:rFonts w:hint="eastAsia" w:ascii="宋体" w:hAnsi="宋体" w:cs="宋体"/>
          <w:bCs/>
          <w:color w:val="auto"/>
          <w:kern w:val="0"/>
          <w:sz w:val="28"/>
          <w:szCs w:val="28"/>
          <w:highlight w:val="none"/>
        </w:rPr>
        <w:t>投标人声明</w:t>
      </w:r>
    </w:p>
    <w:bookmarkEnd w:id="35"/>
    <w:p>
      <w:pPr>
        <w:widowControl/>
        <w:snapToGrid w:val="0"/>
        <w:spacing w:before="260" w:after="260"/>
        <w:ind w:right="386"/>
        <w:jc w:val="center"/>
        <w:rPr>
          <w:rFonts w:ascii="方正小标宋_GBK" w:hAnsi="宋体" w:eastAsia="方正小标宋_GBK" w:cs="宋体"/>
          <w:color w:val="auto"/>
          <w:kern w:val="0"/>
          <w:sz w:val="32"/>
          <w:szCs w:val="32"/>
          <w:highlight w:val="none"/>
        </w:rPr>
      </w:pPr>
      <w:r>
        <w:rPr>
          <w:rFonts w:hint="eastAsia" w:ascii="方正小标宋_GBK" w:hAnsi="宋体" w:eastAsia="方正小标宋_GBK" w:cs="宋体"/>
          <w:color w:val="auto"/>
          <w:kern w:val="0"/>
          <w:sz w:val="32"/>
          <w:szCs w:val="32"/>
          <w:highlight w:val="none"/>
        </w:rPr>
        <w:t>投标人声明</w:t>
      </w:r>
    </w:p>
    <w:p>
      <w:pPr>
        <w:pStyle w:val="41"/>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广州市越秀区建设工程招投标管理中心、广州市越秀区建设和水务局、</w:t>
      </w:r>
      <w:r>
        <w:rPr>
          <w:rFonts w:hint="eastAsia" w:ascii="宋体" w:hAnsi="宋体" w:eastAsia="宋体" w:cs="宋体"/>
          <w:color w:val="auto"/>
          <w:sz w:val="24"/>
          <w:szCs w:val="24"/>
          <w:highlight w:val="none"/>
          <w:lang w:eastAsia="zh-CN"/>
        </w:rPr>
        <w:t>广州市越秀区人民政府梅花村街道办事处</w:t>
      </w:r>
      <w:r>
        <w:rPr>
          <w:rFonts w:hint="eastAsia" w:ascii="宋体" w:hAnsi="宋体" w:eastAsia="宋体" w:cs="宋体"/>
          <w:color w:val="auto"/>
          <w:sz w:val="24"/>
          <w:szCs w:val="24"/>
          <w:highlight w:val="none"/>
        </w:rPr>
        <w:t>：</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本公司就参加</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项目投标工作，作出郑重声明：</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三、本公司不存在招标文件第二章投标人须知第1.4.3项所规定的任何一种情形。</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五、本公司承诺，中标后严格执行安全生产相关管理规定。</w:t>
      </w:r>
    </w:p>
    <w:p>
      <w:pPr>
        <w:snapToGrid w:val="0"/>
        <w:spacing w:line="360" w:lineRule="auto"/>
        <w:ind w:firstLine="480" w:firstLineChars="200"/>
        <w:jc w:val="left"/>
        <w:rPr>
          <w:color w:val="auto"/>
          <w:sz w:val="24"/>
          <w:szCs w:val="24"/>
        </w:rPr>
      </w:pPr>
      <w:r>
        <w:rPr>
          <w:rFonts w:hint="eastAsia" w:ascii="宋体" w:hAnsi="宋体" w:cs="宋体"/>
          <w:color w:val="auto"/>
          <w:kern w:val="0"/>
          <w:sz w:val="24"/>
          <w:szCs w:val="24"/>
        </w:rPr>
        <w:t>六、与本公司单位负责人为同一人或者与本公司存在控股、管理关系的其他单位包括：</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。（注：本条由投标人如实填写，如有，应列出全部满足招标公告资质要求的相关单位的名称；如无，则填写“无”。）</w:t>
      </w:r>
    </w:p>
    <w:p>
      <w:pPr>
        <w:widowControl/>
        <w:shd w:val="clear" w:color="auto" w:fill="FFFFFF"/>
        <w:spacing w:line="360" w:lineRule="auto"/>
        <w:ind w:firstLine="482" w:firstLineChars="200"/>
        <w:jc w:val="left"/>
        <w:rPr>
          <w:rFonts w:hint="eastAsia" w:ascii="宋体" w:hAnsi="宋体" w:cs="宋体"/>
          <w:b/>
          <w:bCs/>
          <w:color w:val="auto"/>
          <w:kern w:val="0"/>
          <w:sz w:val="24"/>
          <w:szCs w:val="24"/>
          <w:u w:val="single"/>
        </w:rPr>
      </w:pPr>
      <w:r>
        <w:rPr>
          <w:rFonts w:hint="eastAsia" w:ascii="宋体" w:hAnsi="宋体" w:cs="宋体"/>
          <w:b/>
          <w:bCs/>
          <w:color w:val="auto"/>
          <w:kern w:val="0"/>
          <w:sz w:val="24"/>
          <w:szCs w:val="24"/>
          <w:u w:val="single"/>
          <w:lang w:bidi="ar"/>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b/>
          <w:bCs/>
          <w:color w:val="auto"/>
          <w:kern w:val="0"/>
          <w:sz w:val="24"/>
          <w:szCs w:val="24"/>
          <w:u w:val="single"/>
        </w:rPr>
        <w:t>本公司对失信行为产生的一切后果已知悉。承担由此带来的法律后果。</w:t>
      </w:r>
    </w:p>
    <w:p>
      <w:pPr>
        <w:widowControl/>
        <w:shd w:val="clear" w:color="auto" w:fill="FFFFFF"/>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特此声明。</w:t>
      </w:r>
    </w:p>
    <w:p>
      <w:pPr>
        <w:pStyle w:val="11"/>
        <w:ind w:left="630"/>
        <w:rPr>
          <w:color w:val="auto"/>
          <w:sz w:val="24"/>
          <w:szCs w:val="24"/>
        </w:rPr>
      </w:pPr>
    </w:p>
    <w:p>
      <w:pPr>
        <w:snapToGrid w:val="0"/>
        <w:spacing w:line="360" w:lineRule="auto"/>
        <w:ind w:firstLine="4320" w:firstLineChars="1800"/>
        <w:jc w:val="left"/>
        <w:rPr>
          <w:rFonts w:ascii="宋体" w:hAnsi="宋体" w:cs="宋体"/>
          <w:color w:val="auto"/>
          <w:kern w:val="0"/>
          <w:sz w:val="24"/>
          <w:szCs w:val="24"/>
        </w:rPr>
      </w:pPr>
      <w:r>
        <w:rPr>
          <w:rFonts w:hint="eastAsia" w:ascii="宋体" w:hAnsi="宋体" w:cs="宋体"/>
          <w:color w:val="auto"/>
          <w:kern w:val="0"/>
          <w:sz w:val="24"/>
          <w:szCs w:val="24"/>
        </w:rPr>
        <w:t>声明企业：            (企业公章)</w:t>
      </w:r>
    </w:p>
    <w:p>
      <w:pPr>
        <w:snapToGrid w:val="0"/>
        <w:spacing w:line="360" w:lineRule="auto"/>
        <w:ind w:firstLine="4320" w:firstLineChars="1800"/>
        <w:jc w:val="left"/>
        <w:rPr>
          <w:rFonts w:ascii="宋体" w:hAnsi="宋体" w:cs="宋体"/>
          <w:color w:val="auto"/>
          <w:kern w:val="0"/>
          <w:sz w:val="24"/>
          <w:szCs w:val="24"/>
        </w:rPr>
      </w:pPr>
      <w:r>
        <w:rPr>
          <w:rFonts w:hint="eastAsia" w:ascii="宋体" w:hAnsi="宋体" w:cs="宋体"/>
          <w:color w:val="auto"/>
          <w:kern w:val="0"/>
          <w:sz w:val="24"/>
          <w:szCs w:val="24"/>
        </w:rPr>
        <w:t xml:space="preserve">总监理工程师（签字）：         </w:t>
      </w:r>
    </w:p>
    <w:p>
      <w:pPr>
        <w:snapToGrid w:val="0"/>
        <w:spacing w:line="360" w:lineRule="auto"/>
        <w:ind w:firstLine="4252" w:firstLineChars="1772"/>
        <w:rPr>
          <w:rFonts w:ascii="宋体" w:hAnsi="宋体" w:cs="宋体"/>
          <w:color w:val="auto"/>
          <w:kern w:val="0"/>
          <w:sz w:val="24"/>
          <w:szCs w:val="24"/>
        </w:rPr>
      </w:pPr>
      <w:r>
        <w:rPr>
          <w:rFonts w:hint="eastAsia" w:ascii="宋体" w:hAnsi="宋体" w:cs="宋体"/>
          <w:color w:val="auto"/>
          <w:kern w:val="0"/>
          <w:sz w:val="24"/>
          <w:szCs w:val="24"/>
        </w:rPr>
        <w:t>法定代表人签字或盖章：</w:t>
      </w:r>
    </w:p>
    <w:p>
      <w:pPr>
        <w:snapToGrid w:val="0"/>
        <w:spacing w:line="360" w:lineRule="auto"/>
        <w:ind w:firstLine="5092" w:firstLineChars="2122"/>
        <w:rPr>
          <w:rFonts w:hint="eastAsia" w:ascii="宋体" w:hAnsi="宋体" w:cs="宋体"/>
          <w:color w:val="auto"/>
          <w:kern w:val="0"/>
          <w:sz w:val="24"/>
          <w:highlight w:val="none"/>
        </w:rPr>
      </w:pPr>
      <w:r>
        <w:rPr>
          <w:rFonts w:hint="eastAsia" w:ascii="宋体" w:hAnsi="宋体" w:cs="宋体"/>
          <w:color w:val="auto"/>
          <w:kern w:val="0"/>
          <w:sz w:val="24"/>
          <w:szCs w:val="24"/>
          <w:highlight w:val="none"/>
        </w:rPr>
        <w:t>年   月   日</w:t>
      </w:r>
      <w:r>
        <w:rPr>
          <w:rFonts w:hint="eastAsia" w:ascii="宋体" w:hAnsi="宋体" w:cs="宋体"/>
          <w:color w:val="auto"/>
          <w:kern w:val="0"/>
          <w:sz w:val="24"/>
          <w:highlight w:val="none"/>
        </w:rPr>
        <w:br w:type="page"/>
      </w:r>
    </w:p>
    <w:p>
      <w:pP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附件二</w:t>
      </w:r>
    </w:p>
    <w:p>
      <w:pPr>
        <w:snapToGrid w:val="0"/>
        <w:spacing w:line="360" w:lineRule="auto"/>
        <w:jc w:val="center"/>
        <w:rPr>
          <w:rFonts w:ascii="方正大标宋简体" w:hAnsi="方正大标宋简体" w:eastAsia="方正大标宋简体" w:cs="方正大标宋简体"/>
          <w:b/>
          <w:color w:val="auto"/>
          <w:sz w:val="32"/>
          <w:szCs w:val="32"/>
          <w:highlight w:val="none"/>
          <w:shd w:val="clear" w:color="auto" w:fill="FFFFFF"/>
        </w:rPr>
      </w:pPr>
      <w:r>
        <w:rPr>
          <w:rFonts w:ascii="方正大标宋简体" w:hAnsi="方正大标宋简体" w:eastAsia="方正大标宋简体" w:cs="方正大标宋简体"/>
          <w:b/>
          <w:color w:val="auto"/>
          <w:sz w:val="32"/>
          <w:szCs w:val="32"/>
          <w:highlight w:val="none"/>
          <w:shd w:val="clear" w:color="auto" w:fill="FFFFFF"/>
        </w:rPr>
        <w:t>监理项目管理团队人员信息表</w:t>
      </w:r>
    </w:p>
    <w:tbl>
      <w:tblPr>
        <w:tblStyle w:val="15"/>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074"/>
        <w:gridCol w:w="2904"/>
        <w:gridCol w:w="1208"/>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21" w:type="pct"/>
            <w:tcBorders>
              <w:bottom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序号</w:t>
            </w:r>
          </w:p>
        </w:tc>
        <w:tc>
          <w:tcPr>
            <w:tcW w:w="553" w:type="pct"/>
            <w:tcBorders>
              <w:bottom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姓名</w:t>
            </w:r>
          </w:p>
        </w:tc>
        <w:tc>
          <w:tcPr>
            <w:tcW w:w="1497" w:type="pct"/>
            <w:tcBorders>
              <w:bottom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岗位</w:t>
            </w:r>
          </w:p>
        </w:tc>
        <w:tc>
          <w:tcPr>
            <w:tcW w:w="623" w:type="pct"/>
            <w:tcBorders>
              <w:bottom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职称</w:t>
            </w:r>
          </w:p>
        </w:tc>
        <w:tc>
          <w:tcPr>
            <w:tcW w:w="1703" w:type="pct"/>
            <w:tcBorders>
              <w:bottom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r>
              <w:rPr>
                <w:rFonts w:ascii="宋体" w:hAnsi="宋体" w:cs="宋体"/>
                <w:b/>
                <w:color w:val="auto"/>
                <w:szCs w:val="21"/>
                <w:highlight w:val="none"/>
                <w:shd w:val="clear" w:color="auto" w:fill="FFFFFF"/>
              </w:rPr>
              <w:t>1</w:t>
            </w:r>
          </w:p>
        </w:tc>
        <w:tc>
          <w:tcPr>
            <w:tcW w:w="55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4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b/>
                <w:color w:val="auto"/>
                <w:szCs w:val="21"/>
                <w:highlight w:val="none"/>
                <w:shd w:val="clear" w:color="auto" w:fill="FFFFFF"/>
              </w:rPr>
            </w:pPr>
            <w:r>
              <w:rPr>
                <w:rFonts w:hint="eastAsia" w:ascii="宋体" w:hAnsi="宋体" w:cs="宋体"/>
                <w:b w:val="0"/>
                <w:bCs w:val="0"/>
                <w:sz w:val="24"/>
                <w:szCs w:val="24"/>
              </w:rPr>
              <w:t>土建专业监理工程师</w:t>
            </w:r>
          </w:p>
        </w:tc>
        <w:tc>
          <w:tcPr>
            <w:tcW w:w="62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70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宋体" w:hAnsi="宋体" w:eastAsia="宋体" w:cs="宋体"/>
                <w:b/>
                <w:color w:val="auto"/>
                <w:szCs w:val="21"/>
                <w:highlight w:val="none"/>
                <w:shd w:val="clear" w:color="auto" w:fill="FFFFFF"/>
                <w:lang w:eastAsia="zh-CN"/>
              </w:rPr>
            </w:pPr>
            <w:r>
              <w:rPr>
                <w:rFonts w:hint="eastAsia" w:ascii="宋体" w:hAnsi="宋体" w:cs="宋体"/>
                <w:b/>
                <w:color w:val="auto"/>
                <w:szCs w:val="21"/>
                <w:highlight w:val="none"/>
                <w:shd w:val="clear" w:color="auto" w:fill="FFFFFF"/>
                <w:lang w:val="en-US" w:eastAsia="zh-CN"/>
              </w:rPr>
              <w:t>2</w:t>
            </w:r>
          </w:p>
        </w:tc>
        <w:tc>
          <w:tcPr>
            <w:tcW w:w="55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49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left"/>
              <w:rPr>
                <w:rFonts w:ascii="宋体" w:hAnsi="宋体" w:eastAsia="宋体" w:cs="宋体"/>
                <w:bCs/>
                <w:color w:val="auto"/>
                <w:kern w:val="2"/>
                <w:sz w:val="21"/>
                <w:szCs w:val="21"/>
                <w:highlight w:val="yellow"/>
                <w:lang w:val="en-US" w:eastAsia="zh-CN" w:bidi="ar-SA"/>
              </w:rPr>
            </w:pPr>
            <w:r>
              <w:rPr>
                <w:rFonts w:hint="eastAsia" w:ascii="宋体" w:hAnsi="宋体" w:cs="宋体"/>
                <w:b w:val="0"/>
                <w:bCs w:val="0"/>
                <w:sz w:val="24"/>
                <w:szCs w:val="24"/>
                <w:lang w:eastAsia="zh-CN"/>
              </w:rPr>
              <w:t>暖通</w:t>
            </w:r>
            <w:r>
              <w:rPr>
                <w:rFonts w:hint="eastAsia" w:ascii="宋体" w:hAnsi="宋体" w:cs="宋体"/>
                <w:b w:val="0"/>
                <w:bCs w:val="0"/>
                <w:sz w:val="24"/>
                <w:szCs w:val="24"/>
              </w:rPr>
              <w:t>专业监理工程师</w:t>
            </w:r>
          </w:p>
        </w:tc>
        <w:tc>
          <w:tcPr>
            <w:tcW w:w="62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70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b/>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21" w:type="pct"/>
            <w:noWrap/>
            <w:vAlign w:val="center"/>
          </w:tcPr>
          <w:p>
            <w:pPr>
              <w:snapToGrid w:val="0"/>
              <w:spacing w:line="360" w:lineRule="auto"/>
              <w:jc w:val="center"/>
              <w:rPr>
                <w:rFonts w:hint="eastAsia" w:ascii="宋体" w:hAnsi="宋体" w:eastAsia="宋体" w:cs="宋体"/>
                <w:b/>
                <w:color w:val="auto"/>
                <w:szCs w:val="21"/>
                <w:highlight w:val="none"/>
                <w:shd w:val="clear" w:color="auto" w:fill="FFFFFF"/>
                <w:lang w:eastAsia="zh-CN"/>
              </w:rPr>
            </w:pPr>
            <w:r>
              <w:rPr>
                <w:rFonts w:hint="eastAsia" w:ascii="宋体" w:hAnsi="宋体" w:cs="宋体"/>
                <w:b/>
                <w:color w:val="auto"/>
                <w:szCs w:val="21"/>
                <w:highlight w:val="none"/>
                <w:shd w:val="clear" w:color="auto" w:fill="FFFFFF"/>
                <w:lang w:val="en-US" w:eastAsia="zh-CN"/>
              </w:rPr>
              <w:t>3</w:t>
            </w:r>
          </w:p>
        </w:tc>
        <w:tc>
          <w:tcPr>
            <w:tcW w:w="55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497" w:type="pct"/>
            <w:noWrap/>
            <w:vAlign w:val="center"/>
          </w:tcPr>
          <w:p>
            <w:pPr>
              <w:adjustRightInd w:val="0"/>
              <w:snapToGrid w:val="0"/>
              <w:spacing w:line="300" w:lineRule="exact"/>
              <w:jc w:val="left"/>
              <w:rPr>
                <w:rFonts w:ascii="宋体" w:hAnsi="宋体" w:eastAsia="宋体" w:cs="宋体"/>
                <w:bCs/>
                <w:color w:val="auto"/>
                <w:kern w:val="2"/>
                <w:sz w:val="21"/>
                <w:szCs w:val="21"/>
                <w:highlight w:val="none"/>
                <w:lang w:val="en-US" w:eastAsia="zh-CN" w:bidi="ar-SA"/>
              </w:rPr>
            </w:pPr>
            <w:r>
              <w:rPr>
                <w:rFonts w:hint="eastAsia" w:ascii="宋体" w:hAnsi="宋体" w:cs="宋体"/>
                <w:b w:val="0"/>
                <w:bCs w:val="0"/>
                <w:sz w:val="24"/>
                <w:szCs w:val="24"/>
              </w:rPr>
              <w:t>安全专业</w:t>
            </w:r>
            <w:r>
              <w:rPr>
                <w:rFonts w:hint="eastAsia" w:ascii="宋体" w:hAnsi="宋体" w:cs="宋体"/>
                <w:b w:val="0"/>
                <w:bCs w:val="0"/>
                <w:sz w:val="24"/>
                <w:szCs w:val="24"/>
                <w:lang w:eastAsia="zh-CN"/>
              </w:rPr>
              <w:t>监理工程师</w:t>
            </w:r>
          </w:p>
        </w:tc>
        <w:tc>
          <w:tcPr>
            <w:tcW w:w="62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703" w:type="pct"/>
            <w:noWrap/>
            <w:vAlign w:val="center"/>
          </w:tcPr>
          <w:p>
            <w:pPr>
              <w:snapToGrid w:val="0"/>
              <w:spacing w:line="360" w:lineRule="auto"/>
              <w:jc w:val="center"/>
              <w:rPr>
                <w:rFonts w:ascii="宋体" w:hAnsi="宋体" w:cs="宋体"/>
                <w:b/>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21" w:type="pct"/>
            <w:noWrap/>
            <w:vAlign w:val="center"/>
          </w:tcPr>
          <w:p>
            <w:pPr>
              <w:snapToGrid w:val="0"/>
              <w:spacing w:line="360" w:lineRule="auto"/>
              <w:jc w:val="center"/>
              <w:rPr>
                <w:rFonts w:hint="eastAsia" w:ascii="宋体" w:hAnsi="宋体" w:eastAsia="宋体" w:cs="宋体"/>
                <w:b/>
                <w:color w:val="auto"/>
                <w:szCs w:val="21"/>
                <w:highlight w:val="none"/>
                <w:shd w:val="clear" w:color="auto" w:fill="FFFFFF"/>
                <w:lang w:eastAsia="zh-CN"/>
              </w:rPr>
            </w:pPr>
            <w:r>
              <w:rPr>
                <w:rFonts w:hint="eastAsia" w:ascii="宋体" w:hAnsi="宋体" w:cs="宋体"/>
                <w:b/>
                <w:color w:val="auto"/>
                <w:szCs w:val="21"/>
                <w:highlight w:val="none"/>
                <w:shd w:val="clear" w:color="auto" w:fill="FFFFFF"/>
                <w:lang w:val="en-US" w:eastAsia="zh-CN"/>
              </w:rPr>
              <w:t>4</w:t>
            </w:r>
          </w:p>
        </w:tc>
        <w:tc>
          <w:tcPr>
            <w:tcW w:w="55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497" w:type="pct"/>
            <w:noWrap/>
            <w:vAlign w:val="center"/>
          </w:tcPr>
          <w:p>
            <w:pPr>
              <w:adjustRightInd w:val="0"/>
              <w:snapToGrid w:val="0"/>
              <w:spacing w:line="300" w:lineRule="exact"/>
              <w:jc w:val="left"/>
              <w:rPr>
                <w:rFonts w:ascii="宋体" w:hAnsi="宋体" w:eastAsia="宋体" w:cs="宋体"/>
                <w:bCs/>
                <w:color w:val="auto"/>
                <w:kern w:val="2"/>
                <w:sz w:val="21"/>
                <w:szCs w:val="21"/>
                <w:highlight w:val="none"/>
                <w:lang w:val="en-US" w:eastAsia="zh-CN" w:bidi="ar-SA"/>
              </w:rPr>
            </w:pPr>
            <w:r>
              <w:rPr>
                <w:rFonts w:hint="eastAsia" w:ascii="宋体" w:hAnsi="宋体" w:cs="宋体"/>
                <w:b w:val="0"/>
                <w:bCs w:val="0"/>
                <w:sz w:val="24"/>
                <w:szCs w:val="24"/>
              </w:rPr>
              <w:t>造价</w:t>
            </w:r>
            <w:r>
              <w:rPr>
                <w:rFonts w:hint="eastAsia" w:ascii="宋体" w:hAnsi="宋体" w:cs="宋体"/>
                <w:b w:val="0"/>
                <w:bCs w:val="0"/>
                <w:sz w:val="24"/>
                <w:szCs w:val="24"/>
                <w:lang w:eastAsia="zh-CN"/>
              </w:rPr>
              <w:t>工程师</w:t>
            </w:r>
          </w:p>
        </w:tc>
        <w:tc>
          <w:tcPr>
            <w:tcW w:w="62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703" w:type="pct"/>
            <w:noWrap/>
            <w:vAlign w:val="center"/>
          </w:tcPr>
          <w:p>
            <w:pPr>
              <w:snapToGrid w:val="0"/>
              <w:spacing w:line="360" w:lineRule="auto"/>
              <w:jc w:val="center"/>
              <w:rPr>
                <w:rFonts w:ascii="宋体" w:hAnsi="宋体" w:cs="宋体"/>
                <w:b/>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21" w:type="pct"/>
            <w:noWrap/>
            <w:vAlign w:val="center"/>
          </w:tcPr>
          <w:p>
            <w:pPr>
              <w:snapToGrid w:val="0"/>
              <w:spacing w:line="360" w:lineRule="auto"/>
              <w:jc w:val="center"/>
              <w:rPr>
                <w:rFonts w:hint="eastAsia" w:ascii="宋体" w:hAnsi="宋体" w:eastAsia="宋体" w:cs="宋体"/>
                <w:b/>
                <w:color w:val="auto"/>
                <w:szCs w:val="21"/>
                <w:highlight w:val="none"/>
                <w:shd w:val="clear" w:color="auto" w:fill="FFFFFF"/>
                <w:lang w:eastAsia="zh-CN"/>
              </w:rPr>
            </w:pPr>
            <w:r>
              <w:rPr>
                <w:rFonts w:hint="eastAsia" w:ascii="宋体" w:hAnsi="宋体" w:cs="宋体"/>
                <w:b/>
                <w:color w:val="auto"/>
                <w:szCs w:val="21"/>
                <w:highlight w:val="none"/>
                <w:shd w:val="clear" w:color="auto" w:fill="FFFFFF"/>
                <w:lang w:val="en-US" w:eastAsia="zh-CN"/>
              </w:rPr>
              <w:t>5</w:t>
            </w:r>
          </w:p>
        </w:tc>
        <w:tc>
          <w:tcPr>
            <w:tcW w:w="55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497" w:type="pct"/>
            <w:noWrap/>
            <w:vAlign w:val="center"/>
          </w:tcPr>
          <w:p>
            <w:pPr>
              <w:adjustRightInd w:val="0"/>
              <w:snapToGrid w:val="0"/>
              <w:spacing w:line="300" w:lineRule="exact"/>
              <w:jc w:val="left"/>
              <w:rPr>
                <w:rFonts w:ascii="宋体" w:hAnsi="宋体" w:eastAsia="宋体" w:cs="宋体"/>
                <w:bCs/>
                <w:color w:val="auto"/>
                <w:kern w:val="2"/>
                <w:sz w:val="21"/>
                <w:szCs w:val="21"/>
                <w:highlight w:val="none"/>
                <w:lang w:val="en-US" w:eastAsia="zh-CN" w:bidi="ar-SA"/>
              </w:rPr>
            </w:pPr>
            <w:r>
              <w:rPr>
                <w:rFonts w:hint="eastAsia" w:ascii="宋体" w:hAnsi="宋体" w:cs="宋体"/>
                <w:b w:val="0"/>
                <w:bCs w:val="0"/>
                <w:sz w:val="24"/>
                <w:szCs w:val="24"/>
              </w:rPr>
              <w:t>现场监理员</w:t>
            </w:r>
          </w:p>
        </w:tc>
        <w:tc>
          <w:tcPr>
            <w:tcW w:w="62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703" w:type="pct"/>
            <w:noWrap/>
            <w:vAlign w:val="center"/>
          </w:tcPr>
          <w:p>
            <w:pPr>
              <w:snapToGrid w:val="0"/>
              <w:spacing w:line="360" w:lineRule="auto"/>
              <w:jc w:val="center"/>
              <w:rPr>
                <w:rFonts w:ascii="宋体" w:hAnsi="宋体" w:cs="宋体"/>
                <w:b/>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21" w:type="pct"/>
            <w:noWrap/>
            <w:vAlign w:val="center"/>
          </w:tcPr>
          <w:p>
            <w:pPr>
              <w:snapToGrid w:val="0"/>
              <w:spacing w:line="360" w:lineRule="auto"/>
              <w:jc w:val="center"/>
              <w:rPr>
                <w:rFonts w:hint="default" w:ascii="宋体" w:hAnsi="宋体" w:eastAsia="宋体" w:cs="宋体"/>
                <w:b/>
                <w:color w:val="auto"/>
                <w:szCs w:val="21"/>
                <w:highlight w:val="none"/>
                <w:shd w:val="clear" w:color="auto" w:fill="FFFFFF"/>
                <w:lang w:val="en-US" w:eastAsia="zh-CN"/>
              </w:rPr>
            </w:pPr>
            <w:r>
              <w:rPr>
                <w:rFonts w:hint="eastAsia" w:ascii="宋体" w:hAnsi="宋体" w:cs="宋体"/>
                <w:b/>
                <w:color w:val="auto"/>
                <w:szCs w:val="21"/>
                <w:highlight w:val="none"/>
                <w:shd w:val="clear" w:color="auto" w:fill="FFFFFF"/>
                <w:lang w:val="en-US" w:eastAsia="zh-CN"/>
              </w:rPr>
              <w:t>6</w:t>
            </w:r>
          </w:p>
        </w:tc>
        <w:tc>
          <w:tcPr>
            <w:tcW w:w="55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497" w:type="pct"/>
            <w:noWrap/>
            <w:vAlign w:val="center"/>
          </w:tcPr>
          <w:p>
            <w:pPr>
              <w:snapToGrid w:val="0"/>
              <w:spacing w:line="0" w:lineRule="atLeast"/>
              <w:jc w:val="both"/>
              <w:rPr>
                <w:rFonts w:ascii="宋体" w:hAnsi="宋体" w:eastAsia="宋体" w:cs="宋体"/>
                <w:color w:val="auto"/>
                <w:highlight w:val="none"/>
              </w:rPr>
            </w:pPr>
            <w:r>
              <w:rPr>
                <w:rFonts w:hint="eastAsia" w:ascii="宋体" w:hAnsi="宋体" w:eastAsia="宋体" w:cs="宋体"/>
                <w:sz w:val="24"/>
                <w:szCs w:val="24"/>
                <w:lang w:val="en-US" w:eastAsia="zh-CN"/>
              </w:rPr>
              <w:t>资料员</w:t>
            </w:r>
          </w:p>
        </w:tc>
        <w:tc>
          <w:tcPr>
            <w:tcW w:w="62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703" w:type="pct"/>
            <w:noWrap/>
            <w:vAlign w:val="center"/>
          </w:tcPr>
          <w:p>
            <w:pPr>
              <w:snapToGrid w:val="0"/>
              <w:spacing w:line="360" w:lineRule="auto"/>
              <w:jc w:val="center"/>
              <w:rPr>
                <w:rFonts w:ascii="宋体" w:hAnsi="宋体" w:cs="宋体"/>
                <w:b/>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1"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55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497"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623" w:type="pct"/>
            <w:noWrap/>
            <w:vAlign w:val="center"/>
          </w:tcPr>
          <w:p>
            <w:pPr>
              <w:snapToGrid w:val="0"/>
              <w:spacing w:line="360" w:lineRule="auto"/>
              <w:jc w:val="center"/>
              <w:rPr>
                <w:rFonts w:ascii="宋体" w:hAnsi="宋体" w:cs="宋体"/>
                <w:b/>
                <w:color w:val="auto"/>
                <w:szCs w:val="21"/>
                <w:highlight w:val="none"/>
                <w:shd w:val="clear" w:color="auto" w:fill="FFFFFF"/>
              </w:rPr>
            </w:pPr>
          </w:p>
        </w:tc>
        <w:tc>
          <w:tcPr>
            <w:tcW w:w="1703" w:type="pct"/>
            <w:noWrap/>
            <w:vAlign w:val="center"/>
          </w:tcPr>
          <w:p>
            <w:pPr>
              <w:snapToGrid w:val="0"/>
              <w:spacing w:line="360" w:lineRule="auto"/>
              <w:jc w:val="center"/>
              <w:rPr>
                <w:rFonts w:ascii="宋体" w:hAnsi="宋体" w:cs="宋体"/>
                <w:b/>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5000" w:type="pct"/>
            <w:gridSpan w:val="5"/>
            <w:noWrap/>
            <w:vAlign w:val="center"/>
          </w:tcPr>
          <w:p>
            <w:pPr>
              <w:snapToGrid w:val="0"/>
              <w:spacing w:line="360" w:lineRule="auto"/>
              <w:rPr>
                <w:rFonts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备注：</w:t>
            </w:r>
          </w:p>
          <w:p>
            <w:pPr>
              <w:snapToGrid w:val="0"/>
              <w:spacing w:line="360" w:lineRule="auto"/>
              <w:rPr>
                <w:rFonts w:ascii="宋体" w:hAnsi="宋体" w:cs="宋体"/>
                <w:bCs/>
                <w:color w:val="auto"/>
                <w:szCs w:val="21"/>
                <w:highlight w:val="none"/>
                <w:shd w:val="clear" w:color="auto" w:fill="FFFFFF"/>
              </w:rPr>
            </w:pPr>
            <w:r>
              <w:rPr>
                <w:rFonts w:ascii="宋体" w:hAnsi="宋体" w:cs="宋体"/>
                <w:bCs/>
                <w:color w:val="auto"/>
                <w:szCs w:val="21"/>
                <w:highlight w:val="none"/>
                <w:shd w:val="clear" w:color="auto" w:fill="FFFFFF"/>
              </w:rPr>
              <w:t>1、“岗位”要求（总监理工程师除外）由招标人根据项目管理需要在本表备注中明确提出，如：拟派驻施工现场的专业监理工程师、监理员等。以上项目管理团队人员信息将由交易系统提取后供各相关单位在履约时比对、查核。</w:t>
            </w:r>
          </w:p>
          <w:p>
            <w:pPr>
              <w:snapToGrid w:val="0"/>
              <w:spacing w:line="360" w:lineRule="auto"/>
              <w:rPr>
                <w:rFonts w:ascii="宋体" w:hAnsi="宋体" w:cs="宋体"/>
                <w:bCs/>
                <w:color w:val="auto"/>
                <w:szCs w:val="21"/>
                <w:highlight w:val="none"/>
                <w:shd w:val="clear" w:color="auto" w:fill="FFFFFF"/>
              </w:rPr>
            </w:pPr>
            <w:r>
              <w:rPr>
                <w:rFonts w:ascii="宋体" w:hAnsi="宋体" w:cs="宋体"/>
                <w:bCs/>
                <w:color w:val="auto"/>
                <w:szCs w:val="21"/>
                <w:highlight w:val="none"/>
                <w:shd w:val="clear" w:color="auto" w:fill="FFFFFF"/>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snapToGrid w:val="0"/>
              <w:spacing w:line="360" w:lineRule="auto"/>
              <w:rPr>
                <w:rFonts w:ascii="宋体" w:hAnsi="宋体" w:cs="宋体"/>
                <w:b/>
                <w:color w:val="auto"/>
                <w:szCs w:val="21"/>
                <w:highlight w:val="none"/>
                <w:shd w:val="clear" w:color="auto" w:fill="FFFFFF"/>
              </w:rPr>
            </w:pPr>
            <w:r>
              <w:rPr>
                <w:rFonts w:ascii="宋体" w:hAnsi="宋体" w:cs="宋体"/>
                <w:bCs/>
                <w:color w:val="auto"/>
                <w:szCs w:val="21"/>
                <w:highlight w:val="none"/>
                <w:shd w:val="clear" w:color="auto" w:fill="FFFFFF"/>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360" w:lineRule="auto"/>
        <w:ind w:firstLine="4305" w:firstLineChars="2050"/>
        <w:rPr>
          <w:color w:val="auto"/>
          <w:szCs w:val="24"/>
          <w:highlight w:val="none"/>
        </w:rPr>
      </w:pPr>
    </w:p>
    <w:sectPr>
      <w:footerReference r:id="rId4"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E90AD"/>
    <w:multiLevelType w:val="singleLevel"/>
    <w:tmpl w:val="973E90A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g2OGVhNGU4ZTIwNTg1YWJlNDhlOWM0YWUyNmRmN2YifQ=="/>
  </w:docVars>
  <w:rsids>
    <w:rsidRoot w:val="00880AD3"/>
    <w:rsid w:val="00004CE5"/>
    <w:rsid w:val="000215F5"/>
    <w:rsid w:val="000237F7"/>
    <w:rsid w:val="00026001"/>
    <w:rsid w:val="0003000B"/>
    <w:rsid w:val="00042552"/>
    <w:rsid w:val="00054B59"/>
    <w:rsid w:val="000555EC"/>
    <w:rsid w:val="00067594"/>
    <w:rsid w:val="00071288"/>
    <w:rsid w:val="00077748"/>
    <w:rsid w:val="00096009"/>
    <w:rsid w:val="000A0D56"/>
    <w:rsid w:val="000B7C56"/>
    <w:rsid w:val="000B7F73"/>
    <w:rsid w:val="000D4631"/>
    <w:rsid w:val="000E5815"/>
    <w:rsid w:val="000E7FA2"/>
    <w:rsid w:val="000F0204"/>
    <w:rsid w:val="000F0DA5"/>
    <w:rsid w:val="000F307F"/>
    <w:rsid w:val="000F6E76"/>
    <w:rsid w:val="001100E6"/>
    <w:rsid w:val="001102BB"/>
    <w:rsid w:val="00110C3C"/>
    <w:rsid w:val="001146B9"/>
    <w:rsid w:val="00117033"/>
    <w:rsid w:val="001266DA"/>
    <w:rsid w:val="00127469"/>
    <w:rsid w:val="00131F14"/>
    <w:rsid w:val="00135F53"/>
    <w:rsid w:val="001442DB"/>
    <w:rsid w:val="001506E8"/>
    <w:rsid w:val="00163110"/>
    <w:rsid w:val="00170DD3"/>
    <w:rsid w:val="00175B83"/>
    <w:rsid w:val="00177D4C"/>
    <w:rsid w:val="00180B98"/>
    <w:rsid w:val="00184201"/>
    <w:rsid w:val="0018446B"/>
    <w:rsid w:val="001A60E3"/>
    <w:rsid w:val="001A64B9"/>
    <w:rsid w:val="001B6C22"/>
    <w:rsid w:val="001B7974"/>
    <w:rsid w:val="001D10F7"/>
    <w:rsid w:val="001D6A27"/>
    <w:rsid w:val="001E62ED"/>
    <w:rsid w:val="001F1C35"/>
    <w:rsid w:val="001F689B"/>
    <w:rsid w:val="002004DC"/>
    <w:rsid w:val="002073E5"/>
    <w:rsid w:val="00212652"/>
    <w:rsid w:val="00217FA7"/>
    <w:rsid w:val="00220976"/>
    <w:rsid w:val="0022414A"/>
    <w:rsid w:val="00227C0C"/>
    <w:rsid w:val="00232F6C"/>
    <w:rsid w:val="00233174"/>
    <w:rsid w:val="002359C8"/>
    <w:rsid w:val="00236DF1"/>
    <w:rsid w:val="00240BC5"/>
    <w:rsid w:val="00242D06"/>
    <w:rsid w:val="0024582E"/>
    <w:rsid w:val="00250226"/>
    <w:rsid w:val="002507A8"/>
    <w:rsid w:val="00250DE9"/>
    <w:rsid w:val="00252830"/>
    <w:rsid w:val="00254399"/>
    <w:rsid w:val="0026409C"/>
    <w:rsid w:val="00273900"/>
    <w:rsid w:val="00280481"/>
    <w:rsid w:val="0029720B"/>
    <w:rsid w:val="002A09B1"/>
    <w:rsid w:val="002A3432"/>
    <w:rsid w:val="002B2F28"/>
    <w:rsid w:val="002B5508"/>
    <w:rsid w:val="002C567F"/>
    <w:rsid w:val="002C63EA"/>
    <w:rsid w:val="002D0096"/>
    <w:rsid w:val="002E3DC2"/>
    <w:rsid w:val="002F38F1"/>
    <w:rsid w:val="002F41C9"/>
    <w:rsid w:val="003113D4"/>
    <w:rsid w:val="0033543C"/>
    <w:rsid w:val="00340B91"/>
    <w:rsid w:val="00346601"/>
    <w:rsid w:val="00373686"/>
    <w:rsid w:val="00381444"/>
    <w:rsid w:val="00383C6D"/>
    <w:rsid w:val="0039134F"/>
    <w:rsid w:val="003A63EB"/>
    <w:rsid w:val="003C5D28"/>
    <w:rsid w:val="00401892"/>
    <w:rsid w:val="00425DC5"/>
    <w:rsid w:val="004348CE"/>
    <w:rsid w:val="004409A3"/>
    <w:rsid w:val="00465888"/>
    <w:rsid w:val="00486C51"/>
    <w:rsid w:val="00494773"/>
    <w:rsid w:val="004963C8"/>
    <w:rsid w:val="00497C24"/>
    <w:rsid w:val="004B2E6F"/>
    <w:rsid w:val="004E7351"/>
    <w:rsid w:val="00503AD5"/>
    <w:rsid w:val="00506411"/>
    <w:rsid w:val="00515387"/>
    <w:rsid w:val="00530A7D"/>
    <w:rsid w:val="00537283"/>
    <w:rsid w:val="0054690C"/>
    <w:rsid w:val="00551168"/>
    <w:rsid w:val="0055757C"/>
    <w:rsid w:val="00571D26"/>
    <w:rsid w:val="00584953"/>
    <w:rsid w:val="005864C3"/>
    <w:rsid w:val="00586F7A"/>
    <w:rsid w:val="005956AF"/>
    <w:rsid w:val="005A3423"/>
    <w:rsid w:val="005A644C"/>
    <w:rsid w:val="005B493F"/>
    <w:rsid w:val="005E106C"/>
    <w:rsid w:val="005F60F5"/>
    <w:rsid w:val="006103C2"/>
    <w:rsid w:val="00610F4B"/>
    <w:rsid w:val="00624491"/>
    <w:rsid w:val="006277A7"/>
    <w:rsid w:val="006360CA"/>
    <w:rsid w:val="006379B7"/>
    <w:rsid w:val="00637CB0"/>
    <w:rsid w:val="00646F08"/>
    <w:rsid w:val="006528F4"/>
    <w:rsid w:val="0066342D"/>
    <w:rsid w:val="00670F1D"/>
    <w:rsid w:val="0067589F"/>
    <w:rsid w:val="006858E2"/>
    <w:rsid w:val="0069444B"/>
    <w:rsid w:val="006A606A"/>
    <w:rsid w:val="006B6C75"/>
    <w:rsid w:val="006C6A84"/>
    <w:rsid w:val="006E0F1D"/>
    <w:rsid w:val="006E66C5"/>
    <w:rsid w:val="006F227F"/>
    <w:rsid w:val="006F2B52"/>
    <w:rsid w:val="006F5E13"/>
    <w:rsid w:val="007259C0"/>
    <w:rsid w:val="00736330"/>
    <w:rsid w:val="0074545E"/>
    <w:rsid w:val="00745B4C"/>
    <w:rsid w:val="00747566"/>
    <w:rsid w:val="00747DDA"/>
    <w:rsid w:val="007552FE"/>
    <w:rsid w:val="00757935"/>
    <w:rsid w:val="00764028"/>
    <w:rsid w:val="007658FB"/>
    <w:rsid w:val="00766C00"/>
    <w:rsid w:val="007811D1"/>
    <w:rsid w:val="00793D00"/>
    <w:rsid w:val="007946F1"/>
    <w:rsid w:val="00795BD7"/>
    <w:rsid w:val="007B39C3"/>
    <w:rsid w:val="007C4623"/>
    <w:rsid w:val="007C65E5"/>
    <w:rsid w:val="007D2502"/>
    <w:rsid w:val="007D5658"/>
    <w:rsid w:val="007D5DD8"/>
    <w:rsid w:val="007F2B81"/>
    <w:rsid w:val="00803105"/>
    <w:rsid w:val="00810F31"/>
    <w:rsid w:val="00814BAF"/>
    <w:rsid w:val="008166E0"/>
    <w:rsid w:val="008226BC"/>
    <w:rsid w:val="00822E89"/>
    <w:rsid w:val="008366B6"/>
    <w:rsid w:val="00836DDB"/>
    <w:rsid w:val="00840C4E"/>
    <w:rsid w:val="00847185"/>
    <w:rsid w:val="00847A46"/>
    <w:rsid w:val="00852EA1"/>
    <w:rsid w:val="008552A6"/>
    <w:rsid w:val="00861E34"/>
    <w:rsid w:val="008620E8"/>
    <w:rsid w:val="00862C6E"/>
    <w:rsid w:val="0086738D"/>
    <w:rsid w:val="008736A2"/>
    <w:rsid w:val="00873E3B"/>
    <w:rsid w:val="00875410"/>
    <w:rsid w:val="00880AD3"/>
    <w:rsid w:val="008A5423"/>
    <w:rsid w:val="008C685C"/>
    <w:rsid w:val="008D20C9"/>
    <w:rsid w:val="008D2F67"/>
    <w:rsid w:val="008E4828"/>
    <w:rsid w:val="008F007C"/>
    <w:rsid w:val="008F1471"/>
    <w:rsid w:val="008F2BAD"/>
    <w:rsid w:val="00901353"/>
    <w:rsid w:val="00901AA4"/>
    <w:rsid w:val="009038A4"/>
    <w:rsid w:val="0090635F"/>
    <w:rsid w:val="00914D8A"/>
    <w:rsid w:val="00915AF9"/>
    <w:rsid w:val="00925F95"/>
    <w:rsid w:val="00926676"/>
    <w:rsid w:val="00933B76"/>
    <w:rsid w:val="00933E76"/>
    <w:rsid w:val="00940887"/>
    <w:rsid w:val="00941BDC"/>
    <w:rsid w:val="00943354"/>
    <w:rsid w:val="0094453B"/>
    <w:rsid w:val="00956477"/>
    <w:rsid w:val="00976128"/>
    <w:rsid w:val="00996DF4"/>
    <w:rsid w:val="009A3F49"/>
    <w:rsid w:val="009A7D34"/>
    <w:rsid w:val="009B5EBB"/>
    <w:rsid w:val="009B7CBC"/>
    <w:rsid w:val="009C2CEF"/>
    <w:rsid w:val="009D2C24"/>
    <w:rsid w:val="009E684D"/>
    <w:rsid w:val="009F0921"/>
    <w:rsid w:val="009F56F6"/>
    <w:rsid w:val="00A00814"/>
    <w:rsid w:val="00A24353"/>
    <w:rsid w:val="00A34741"/>
    <w:rsid w:val="00A428A1"/>
    <w:rsid w:val="00A6372C"/>
    <w:rsid w:val="00A7136F"/>
    <w:rsid w:val="00A86621"/>
    <w:rsid w:val="00A87119"/>
    <w:rsid w:val="00A873D0"/>
    <w:rsid w:val="00A91980"/>
    <w:rsid w:val="00A94F7A"/>
    <w:rsid w:val="00AA0B8E"/>
    <w:rsid w:val="00AB0304"/>
    <w:rsid w:val="00AB227B"/>
    <w:rsid w:val="00AB3249"/>
    <w:rsid w:val="00AB774C"/>
    <w:rsid w:val="00AC3376"/>
    <w:rsid w:val="00AC54DC"/>
    <w:rsid w:val="00AC7B32"/>
    <w:rsid w:val="00AD1E73"/>
    <w:rsid w:val="00AD1FEA"/>
    <w:rsid w:val="00AE2901"/>
    <w:rsid w:val="00AE326A"/>
    <w:rsid w:val="00B02588"/>
    <w:rsid w:val="00B102FD"/>
    <w:rsid w:val="00B31D3D"/>
    <w:rsid w:val="00B46328"/>
    <w:rsid w:val="00B47086"/>
    <w:rsid w:val="00B511B6"/>
    <w:rsid w:val="00B51819"/>
    <w:rsid w:val="00B7153B"/>
    <w:rsid w:val="00B85217"/>
    <w:rsid w:val="00B9077F"/>
    <w:rsid w:val="00B93811"/>
    <w:rsid w:val="00BA3C64"/>
    <w:rsid w:val="00BB3E12"/>
    <w:rsid w:val="00BB568A"/>
    <w:rsid w:val="00BC3B20"/>
    <w:rsid w:val="00BD138A"/>
    <w:rsid w:val="00BD45A8"/>
    <w:rsid w:val="00BD4C2D"/>
    <w:rsid w:val="00BE5564"/>
    <w:rsid w:val="00BE6061"/>
    <w:rsid w:val="00BF2831"/>
    <w:rsid w:val="00C067D3"/>
    <w:rsid w:val="00C1357C"/>
    <w:rsid w:val="00C17710"/>
    <w:rsid w:val="00C249F3"/>
    <w:rsid w:val="00C30C6C"/>
    <w:rsid w:val="00C47AC8"/>
    <w:rsid w:val="00C87B88"/>
    <w:rsid w:val="00CA3AD3"/>
    <w:rsid w:val="00CB2630"/>
    <w:rsid w:val="00D00458"/>
    <w:rsid w:val="00D02DCB"/>
    <w:rsid w:val="00D10F86"/>
    <w:rsid w:val="00D12CA5"/>
    <w:rsid w:val="00D20DC3"/>
    <w:rsid w:val="00D303BD"/>
    <w:rsid w:val="00D44769"/>
    <w:rsid w:val="00D45992"/>
    <w:rsid w:val="00D71DA4"/>
    <w:rsid w:val="00D7516E"/>
    <w:rsid w:val="00D8398D"/>
    <w:rsid w:val="00D85D71"/>
    <w:rsid w:val="00DA2D88"/>
    <w:rsid w:val="00DA3885"/>
    <w:rsid w:val="00DA41E9"/>
    <w:rsid w:val="00DC67A1"/>
    <w:rsid w:val="00DC7360"/>
    <w:rsid w:val="00DE1C76"/>
    <w:rsid w:val="00DE3150"/>
    <w:rsid w:val="00E05D02"/>
    <w:rsid w:val="00E17DC3"/>
    <w:rsid w:val="00E32628"/>
    <w:rsid w:val="00E368E7"/>
    <w:rsid w:val="00E47B37"/>
    <w:rsid w:val="00E60ABB"/>
    <w:rsid w:val="00E6479F"/>
    <w:rsid w:val="00E70E80"/>
    <w:rsid w:val="00E71D14"/>
    <w:rsid w:val="00E7432A"/>
    <w:rsid w:val="00E77C91"/>
    <w:rsid w:val="00E93BDA"/>
    <w:rsid w:val="00E96594"/>
    <w:rsid w:val="00EB186E"/>
    <w:rsid w:val="00EB52B6"/>
    <w:rsid w:val="00EC59D2"/>
    <w:rsid w:val="00ED3353"/>
    <w:rsid w:val="00ED55BC"/>
    <w:rsid w:val="00ED7543"/>
    <w:rsid w:val="00EF32A5"/>
    <w:rsid w:val="00EF7EE5"/>
    <w:rsid w:val="00F01023"/>
    <w:rsid w:val="00F13319"/>
    <w:rsid w:val="00F30F00"/>
    <w:rsid w:val="00F37C37"/>
    <w:rsid w:val="00F41AE8"/>
    <w:rsid w:val="00F47739"/>
    <w:rsid w:val="00F503BD"/>
    <w:rsid w:val="00F509A5"/>
    <w:rsid w:val="00F57DDE"/>
    <w:rsid w:val="00F6659B"/>
    <w:rsid w:val="00F80B0B"/>
    <w:rsid w:val="00F90BCB"/>
    <w:rsid w:val="00F91A65"/>
    <w:rsid w:val="00FA7D28"/>
    <w:rsid w:val="00FB05EE"/>
    <w:rsid w:val="00FC0BA2"/>
    <w:rsid w:val="00FC32F8"/>
    <w:rsid w:val="00FC4BD4"/>
    <w:rsid w:val="00FD1AC7"/>
    <w:rsid w:val="00FE75E1"/>
    <w:rsid w:val="00FF0EF2"/>
    <w:rsid w:val="013C061E"/>
    <w:rsid w:val="01993D60"/>
    <w:rsid w:val="01A56261"/>
    <w:rsid w:val="01DD3C4D"/>
    <w:rsid w:val="01F80A87"/>
    <w:rsid w:val="0211121D"/>
    <w:rsid w:val="03425F73"/>
    <w:rsid w:val="039C47F6"/>
    <w:rsid w:val="04F15693"/>
    <w:rsid w:val="053242B0"/>
    <w:rsid w:val="05F61781"/>
    <w:rsid w:val="06862B05"/>
    <w:rsid w:val="06A25465"/>
    <w:rsid w:val="06A44D39"/>
    <w:rsid w:val="06DA7D3A"/>
    <w:rsid w:val="070954E4"/>
    <w:rsid w:val="08000695"/>
    <w:rsid w:val="08DC5FE2"/>
    <w:rsid w:val="09242161"/>
    <w:rsid w:val="0B0E131B"/>
    <w:rsid w:val="0D6945E7"/>
    <w:rsid w:val="0DB93D54"/>
    <w:rsid w:val="0E511E55"/>
    <w:rsid w:val="104A6951"/>
    <w:rsid w:val="11867E5D"/>
    <w:rsid w:val="13A740BB"/>
    <w:rsid w:val="1457180F"/>
    <w:rsid w:val="148368D6"/>
    <w:rsid w:val="14A979BF"/>
    <w:rsid w:val="15942169"/>
    <w:rsid w:val="15A563D8"/>
    <w:rsid w:val="15AC2C46"/>
    <w:rsid w:val="15F1786F"/>
    <w:rsid w:val="163A1216"/>
    <w:rsid w:val="16CF42FD"/>
    <w:rsid w:val="178B7E49"/>
    <w:rsid w:val="17F90C5D"/>
    <w:rsid w:val="18026517"/>
    <w:rsid w:val="19011B0B"/>
    <w:rsid w:val="1904051B"/>
    <w:rsid w:val="19E64CFB"/>
    <w:rsid w:val="19EF32A6"/>
    <w:rsid w:val="1AC47587"/>
    <w:rsid w:val="1B1A3483"/>
    <w:rsid w:val="1C9C4620"/>
    <w:rsid w:val="1E376F15"/>
    <w:rsid w:val="1E854A34"/>
    <w:rsid w:val="1EFF2FFD"/>
    <w:rsid w:val="1F51647D"/>
    <w:rsid w:val="20692E24"/>
    <w:rsid w:val="21447C5E"/>
    <w:rsid w:val="215A4D55"/>
    <w:rsid w:val="2277259E"/>
    <w:rsid w:val="228B3DA1"/>
    <w:rsid w:val="23B67B73"/>
    <w:rsid w:val="23CB7951"/>
    <w:rsid w:val="240A49D7"/>
    <w:rsid w:val="24FC0475"/>
    <w:rsid w:val="259F2E44"/>
    <w:rsid w:val="25C12DBA"/>
    <w:rsid w:val="263704F8"/>
    <w:rsid w:val="282E6701"/>
    <w:rsid w:val="284F0A5D"/>
    <w:rsid w:val="28DB23E5"/>
    <w:rsid w:val="296248B4"/>
    <w:rsid w:val="297B4C80"/>
    <w:rsid w:val="29D357B2"/>
    <w:rsid w:val="29FF0355"/>
    <w:rsid w:val="2ACE34EE"/>
    <w:rsid w:val="2B7E03EA"/>
    <w:rsid w:val="2BC5763C"/>
    <w:rsid w:val="2D7921AF"/>
    <w:rsid w:val="2F8310E0"/>
    <w:rsid w:val="2FF96CCD"/>
    <w:rsid w:val="301F1031"/>
    <w:rsid w:val="304A45BD"/>
    <w:rsid w:val="318740EF"/>
    <w:rsid w:val="326C0551"/>
    <w:rsid w:val="333746BC"/>
    <w:rsid w:val="336C4FD0"/>
    <w:rsid w:val="33D47C77"/>
    <w:rsid w:val="341D6461"/>
    <w:rsid w:val="34CB7BD8"/>
    <w:rsid w:val="35494B7A"/>
    <w:rsid w:val="357A58FB"/>
    <w:rsid w:val="3589141A"/>
    <w:rsid w:val="358C723F"/>
    <w:rsid w:val="37387C02"/>
    <w:rsid w:val="377234FF"/>
    <w:rsid w:val="39F74BA5"/>
    <w:rsid w:val="3B693880"/>
    <w:rsid w:val="3CC47173"/>
    <w:rsid w:val="3CCA034E"/>
    <w:rsid w:val="3D145A6E"/>
    <w:rsid w:val="3E60481F"/>
    <w:rsid w:val="3E611186"/>
    <w:rsid w:val="3E8E17D8"/>
    <w:rsid w:val="3F12348C"/>
    <w:rsid w:val="3FAF5EB9"/>
    <w:rsid w:val="408D6415"/>
    <w:rsid w:val="40A9299F"/>
    <w:rsid w:val="41586871"/>
    <w:rsid w:val="4176757A"/>
    <w:rsid w:val="41E81277"/>
    <w:rsid w:val="442E6A6D"/>
    <w:rsid w:val="449851D6"/>
    <w:rsid w:val="449F6565"/>
    <w:rsid w:val="44AE0556"/>
    <w:rsid w:val="458C6DDB"/>
    <w:rsid w:val="46054AED"/>
    <w:rsid w:val="46BA58D8"/>
    <w:rsid w:val="47971427"/>
    <w:rsid w:val="47F23E71"/>
    <w:rsid w:val="48A549E5"/>
    <w:rsid w:val="48BD345D"/>
    <w:rsid w:val="498A0A2B"/>
    <w:rsid w:val="49F32C4B"/>
    <w:rsid w:val="4A993078"/>
    <w:rsid w:val="4ACB2D32"/>
    <w:rsid w:val="4B04466B"/>
    <w:rsid w:val="4C4F5248"/>
    <w:rsid w:val="4CBF4419"/>
    <w:rsid w:val="4CFC5539"/>
    <w:rsid w:val="4D2F0D08"/>
    <w:rsid w:val="4D317F76"/>
    <w:rsid w:val="4E470D7B"/>
    <w:rsid w:val="4E8D44D9"/>
    <w:rsid w:val="4EB817E0"/>
    <w:rsid w:val="4ED4765E"/>
    <w:rsid w:val="4F043894"/>
    <w:rsid w:val="4FCD667C"/>
    <w:rsid w:val="50E9746F"/>
    <w:rsid w:val="519B3EB1"/>
    <w:rsid w:val="51A90A23"/>
    <w:rsid w:val="523A5B1F"/>
    <w:rsid w:val="53476377"/>
    <w:rsid w:val="535449BE"/>
    <w:rsid w:val="53ED2679"/>
    <w:rsid w:val="54FA6E96"/>
    <w:rsid w:val="55621614"/>
    <w:rsid w:val="556220B3"/>
    <w:rsid w:val="55867563"/>
    <w:rsid w:val="558A4532"/>
    <w:rsid w:val="561623FF"/>
    <w:rsid w:val="56552F27"/>
    <w:rsid w:val="578810DA"/>
    <w:rsid w:val="578C2978"/>
    <w:rsid w:val="584A6390"/>
    <w:rsid w:val="589556CE"/>
    <w:rsid w:val="58C52D74"/>
    <w:rsid w:val="59B513E3"/>
    <w:rsid w:val="59D01C3E"/>
    <w:rsid w:val="5A0A5DD6"/>
    <w:rsid w:val="5A655EE1"/>
    <w:rsid w:val="5B7B268D"/>
    <w:rsid w:val="5B946DCF"/>
    <w:rsid w:val="5BAF4E87"/>
    <w:rsid w:val="5BC1223A"/>
    <w:rsid w:val="5BE56AFB"/>
    <w:rsid w:val="5C371E40"/>
    <w:rsid w:val="5C6B084A"/>
    <w:rsid w:val="5C750C9F"/>
    <w:rsid w:val="5D325D70"/>
    <w:rsid w:val="5D827B4B"/>
    <w:rsid w:val="5D9C768D"/>
    <w:rsid w:val="5E2D4789"/>
    <w:rsid w:val="5E5107E6"/>
    <w:rsid w:val="5FD72BFF"/>
    <w:rsid w:val="5FF2798A"/>
    <w:rsid w:val="6090231D"/>
    <w:rsid w:val="60DD5AE7"/>
    <w:rsid w:val="6162474A"/>
    <w:rsid w:val="61A74776"/>
    <w:rsid w:val="61A76EE1"/>
    <w:rsid w:val="61BA1242"/>
    <w:rsid w:val="626020C0"/>
    <w:rsid w:val="62DE63CC"/>
    <w:rsid w:val="633D5F50"/>
    <w:rsid w:val="639C3F43"/>
    <w:rsid w:val="640146EE"/>
    <w:rsid w:val="6416019A"/>
    <w:rsid w:val="641F6922"/>
    <w:rsid w:val="643E4095"/>
    <w:rsid w:val="64D9502B"/>
    <w:rsid w:val="64E8140A"/>
    <w:rsid w:val="64F91685"/>
    <w:rsid w:val="657A6506"/>
    <w:rsid w:val="66713CA6"/>
    <w:rsid w:val="66772A46"/>
    <w:rsid w:val="677E78FB"/>
    <w:rsid w:val="67C0660D"/>
    <w:rsid w:val="68C163BE"/>
    <w:rsid w:val="68D45F2D"/>
    <w:rsid w:val="6A8B6AC0"/>
    <w:rsid w:val="6A94006A"/>
    <w:rsid w:val="6B182A49"/>
    <w:rsid w:val="6D4E6A41"/>
    <w:rsid w:val="6E4E1419"/>
    <w:rsid w:val="6EC6456A"/>
    <w:rsid w:val="6F4418E5"/>
    <w:rsid w:val="6FFD220E"/>
    <w:rsid w:val="73702231"/>
    <w:rsid w:val="73CC1EDF"/>
    <w:rsid w:val="73D7275B"/>
    <w:rsid w:val="752C0E9F"/>
    <w:rsid w:val="76CD298F"/>
    <w:rsid w:val="77161E07"/>
    <w:rsid w:val="77D10092"/>
    <w:rsid w:val="79224D91"/>
    <w:rsid w:val="7997722F"/>
    <w:rsid w:val="7A375C65"/>
    <w:rsid w:val="7A7E219D"/>
    <w:rsid w:val="7BBF6C87"/>
    <w:rsid w:val="7C626EB0"/>
    <w:rsid w:val="7C7E6484"/>
    <w:rsid w:val="7D084409"/>
    <w:rsid w:val="7D5A2A20"/>
    <w:rsid w:val="7D862925"/>
    <w:rsid w:val="7DB31A18"/>
    <w:rsid w:val="7DCD4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0" w:lineRule="auto"/>
      <w:outlineLvl w:val="1"/>
    </w:pPr>
    <w:rPr>
      <w:rFonts w:ascii="Arial" w:hAnsi="Arial" w:eastAsia="黑体"/>
      <w:b/>
      <w:kern w:val="0"/>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Indent"/>
    <w:basedOn w:val="1"/>
    <w:qFormat/>
    <w:uiPriority w:val="0"/>
    <w:pPr>
      <w:ind w:firstLine="420"/>
    </w:pPr>
    <w:rPr>
      <w:rFonts w:ascii="Times New Roman" w:hAnsi="Times New Roman"/>
      <w:szCs w:val="20"/>
    </w:rPr>
  </w:style>
  <w:style w:type="paragraph" w:styleId="6">
    <w:name w:val="annotation text"/>
    <w:basedOn w:val="1"/>
    <w:link w:val="23"/>
    <w:unhideWhenUsed/>
    <w:qFormat/>
    <w:uiPriority w:val="0"/>
    <w:pPr>
      <w:jc w:val="left"/>
    </w:pPr>
    <w:rPr>
      <w:rFonts w:ascii="Times New Roman" w:hAnsi="Times New Roman"/>
    </w:rPr>
  </w:style>
  <w:style w:type="paragraph" w:styleId="7">
    <w:name w:val="Body Text"/>
    <w:basedOn w:val="1"/>
    <w:link w:val="24"/>
    <w:unhideWhenUsed/>
    <w:qFormat/>
    <w:uiPriority w:val="99"/>
    <w:pPr>
      <w:spacing w:after="120"/>
    </w:pPr>
  </w:style>
  <w:style w:type="paragraph" w:styleId="8">
    <w:name w:val="Plain Text"/>
    <w:basedOn w:val="1"/>
    <w:next w:val="1"/>
    <w:qFormat/>
    <w:uiPriority w:val="0"/>
    <w:rPr>
      <w:rFonts w:ascii="宋体" w:hAnsi="Courier New"/>
      <w:szCs w:val="20"/>
    </w:rPr>
  </w:style>
  <w:style w:type="paragraph" w:styleId="9">
    <w:name w:val="Balloon Text"/>
    <w:basedOn w:val="1"/>
    <w:link w:val="25"/>
    <w:unhideWhenUsed/>
    <w:qFormat/>
    <w:uiPriority w:val="99"/>
    <w:rPr>
      <w:rFonts w:ascii="Times New Roman" w:hAnsi="Times New Roman"/>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2"/>
    <w:basedOn w:val="1"/>
    <w:next w:val="1"/>
    <w:qFormat/>
    <w:uiPriority w:val="0"/>
    <w:pPr>
      <w:ind w:left="20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6"/>
    <w:next w:val="6"/>
    <w:link w:val="28"/>
    <w:unhideWhenUsed/>
    <w:qFormat/>
    <w:uiPriority w:val="0"/>
  </w:style>
  <w:style w:type="paragraph" w:styleId="14">
    <w:name w:val="Body Text First Indent"/>
    <w:basedOn w:val="7"/>
    <w:link w:val="29"/>
    <w:qFormat/>
    <w:uiPriority w:val="0"/>
    <w:pPr>
      <w:spacing w:line="312" w:lineRule="auto"/>
      <w:ind w:firstLine="420"/>
    </w:pPr>
    <w:rPr>
      <w:rFonts w:ascii="Times New Roman" w:hAnsi="Times New Roman"/>
      <w:kern w:val="0"/>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FollowedHyperlink"/>
    <w:unhideWhenUsed/>
    <w:qFormat/>
    <w:uiPriority w:val="99"/>
    <w:rPr>
      <w:color w:val="000000"/>
      <w:u w:val="none"/>
    </w:rPr>
  </w:style>
  <w:style w:type="character" w:styleId="20">
    <w:name w:val="Emphasis"/>
    <w:qFormat/>
    <w:uiPriority w:val="0"/>
    <w:rPr>
      <w:i/>
    </w:rPr>
  </w:style>
  <w:style w:type="character" w:styleId="21">
    <w:name w:val="Hyperlink"/>
    <w:unhideWhenUsed/>
    <w:qFormat/>
    <w:uiPriority w:val="99"/>
    <w:rPr>
      <w:color w:val="000000"/>
      <w:u w:val="none"/>
    </w:rPr>
  </w:style>
  <w:style w:type="character" w:styleId="22">
    <w:name w:val="annotation reference"/>
    <w:unhideWhenUsed/>
    <w:qFormat/>
    <w:uiPriority w:val="99"/>
    <w:rPr>
      <w:sz w:val="21"/>
      <w:szCs w:val="21"/>
    </w:rPr>
  </w:style>
  <w:style w:type="character" w:customStyle="1" w:styleId="23">
    <w:name w:val="批注文字 Char"/>
    <w:link w:val="6"/>
    <w:semiHidden/>
    <w:qFormat/>
    <w:uiPriority w:val="99"/>
    <w:rPr>
      <w:kern w:val="2"/>
      <w:sz w:val="21"/>
      <w:szCs w:val="22"/>
    </w:rPr>
  </w:style>
  <w:style w:type="character" w:customStyle="1" w:styleId="24">
    <w:name w:val="正文文本 Char"/>
    <w:link w:val="7"/>
    <w:semiHidden/>
    <w:qFormat/>
    <w:uiPriority w:val="99"/>
    <w:rPr>
      <w:rFonts w:ascii="Calibri" w:hAnsi="Calibri"/>
      <w:kern w:val="2"/>
      <w:sz w:val="21"/>
      <w:szCs w:val="22"/>
    </w:rPr>
  </w:style>
  <w:style w:type="character" w:customStyle="1" w:styleId="25">
    <w:name w:val="批注框文本 Char"/>
    <w:link w:val="9"/>
    <w:semiHidden/>
    <w:qFormat/>
    <w:uiPriority w:val="99"/>
    <w:rPr>
      <w:kern w:val="2"/>
      <w:sz w:val="18"/>
      <w:szCs w:val="18"/>
    </w:rPr>
  </w:style>
  <w:style w:type="character" w:customStyle="1" w:styleId="26">
    <w:name w:val="页脚 Char"/>
    <w:link w:val="2"/>
    <w:qFormat/>
    <w:uiPriority w:val="99"/>
    <w:rPr>
      <w:sz w:val="18"/>
      <w:szCs w:val="18"/>
    </w:rPr>
  </w:style>
  <w:style w:type="character" w:customStyle="1" w:styleId="27">
    <w:name w:val="页眉 Char"/>
    <w:link w:val="10"/>
    <w:qFormat/>
    <w:uiPriority w:val="99"/>
    <w:rPr>
      <w:sz w:val="18"/>
      <w:szCs w:val="18"/>
    </w:rPr>
  </w:style>
  <w:style w:type="character" w:customStyle="1" w:styleId="28">
    <w:name w:val="批注主题 Char"/>
    <w:link w:val="13"/>
    <w:qFormat/>
    <w:uiPriority w:val="0"/>
    <w:rPr>
      <w:kern w:val="2"/>
      <w:sz w:val="21"/>
      <w:szCs w:val="22"/>
    </w:rPr>
  </w:style>
  <w:style w:type="character" w:customStyle="1" w:styleId="29">
    <w:name w:val="正文首行缩进 Char"/>
    <w:link w:val="14"/>
    <w:qFormat/>
    <w:uiPriority w:val="0"/>
    <w:rPr>
      <w:sz w:val="21"/>
      <w:szCs w:val="24"/>
    </w:rPr>
  </w:style>
  <w:style w:type="character" w:customStyle="1" w:styleId="30">
    <w:name w:val="times1"/>
    <w:qFormat/>
    <w:uiPriority w:val="0"/>
    <w:rPr>
      <w:color w:val="3399FF"/>
      <w:bdr w:val="single" w:color="D1EDF8" w:sz="6" w:space="0"/>
      <w:shd w:val="clear" w:color="auto" w:fill="EAF9FF"/>
    </w:rPr>
  </w:style>
  <w:style w:type="character" w:customStyle="1" w:styleId="31">
    <w:name w:val="正文首行缩进 Char1"/>
    <w:semiHidden/>
    <w:qFormat/>
    <w:uiPriority w:val="99"/>
    <w:rPr>
      <w:rFonts w:ascii="Calibri" w:hAnsi="Calibri"/>
      <w:kern w:val="2"/>
      <w:sz w:val="21"/>
      <w:szCs w:val="22"/>
    </w:rPr>
  </w:style>
  <w:style w:type="character" w:customStyle="1" w:styleId="32">
    <w:name w:val="hover42"/>
    <w:qFormat/>
    <w:uiPriority w:val="0"/>
  </w:style>
  <w:style w:type="character" w:customStyle="1" w:styleId="33">
    <w:name w:val="文一 Char"/>
    <w:link w:val="34"/>
    <w:qFormat/>
    <w:uiPriority w:val="0"/>
    <w:rPr>
      <w:snapToGrid/>
      <w:spacing w:val="4"/>
      <w:sz w:val="24"/>
      <w:szCs w:val="24"/>
    </w:rPr>
  </w:style>
  <w:style w:type="paragraph" w:customStyle="1" w:styleId="34">
    <w:name w:val="文一"/>
    <w:basedOn w:val="1"/>
    <w:link w:val="33"/>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35">
    <w:name w:val="times"/>
    <w:qFormat/>
    <w:uiPriority w:val="0"/>
    <w:rPr>
      <w:color w:val="CDCDCD"/>
      <w:bdr w:val="single" w:color="CDCDCD" w:sz="6" w:space="0"/>
      <w:shd w:val="clear" w:color="auto" w:fill="EFEFEF"/>
    </w:rPr>
  </w:style>
  <w:style w:type="character" w:customStyle="1" w:styleId="36">
    <w:name w:val="hover40"/>
    <w:qFormat/>
    <w:uiPriority w:val="0"/>
  </w:style>
  <w:style w:type="paragraph" w:customStyle="1" w:styleId="37">
    <w:name w:val="_Style 30"/>
    <w:unhideWhenUsed/>
    <w:qFormat/>
    <w:uiPriority w:val="99"/>
    <w:rPr>
      <w:rFonts w:ascii="Calibri" w:hAnsi="Calibri" w:eastAsia="宋体" w:cs="Times New Roman"/>
      <w:kern w:val="2"/>
      <w:sz w:val="21"/>
      <w:szCs w:val="22"/>
      <w:lang w:val="en-US" w:eastAsia="zh-CN" w:bidi="ar-SA"/>
    </w:rPr>
  </w:style>
  <w:style w:type="paragraph" w:styleId="38">
    <w:name w:val="List Paragraph"/>
    <w:basedOn w:val="1"/>
    <w:qFormat/>
    <w:uiPriority w:val="99"/>
    <w:pPr>
      <w:ind w:firstLine="420" w:firstLineChars="200"/>
    </w:pPr>
  </w:style>
  <w:style w:type="paragraph" w:customStyle="1" w:styleId="39">
    <w:name w:val="样式 宋体 行距: 1.5 倍行距"/>
    <w:basedOn w:val="1"/>
    <w:qFormat/>
    <w:uiPriority w:val="0"/>
    <w:pPr>
      <w:jc w:val="center"/>
    </w:pPr>
    <w:rPr>
      <w:rFonts w:ascii="Times New Roman" w:hAnsi="Times New Roman" w:eastAsia="等线"/>
      <w:b/>
    </w:rPr>
  </w:style>
  <w:style w:type="character" w:customStyle="1" w:styleId="40">
    <w:name w:val="批注文字 Char1"/>
    <w:qFormat/>
    <w:uiPriority w:val="0"/>
    <w:rPr>
      <w:szCs w:val="24"/>
    </w:rPr>
  </w:style>
  <w:style w:type="paragraph" w:customStyle="1" w:styleId="41">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4857</Words>
  <Characters>5341</Characters>
  <Lines>35</Lines>
  <Paragraphs>9</Paragraphs>
  <TotalTime>60</TotalTime>
  <ScaleCrop>false</ScaleCrop>
  <LinksUpToDate>false</LinksUpToDate>
  <CharactersWithSpaces>5552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2022-03-16T10:57:00Z</dcterms:created>
  <dc:creator>北京中交负责人</dc:creator>
  <cp:lastModifiedBy>WPS_1634366469</cp:lastModifiedBy>
  <cp:lastPrinted>2023-06-01T07:44:32Z</cp:lastPrinted>
  <dcterms:modified xsi:type="dcterms:W3CDTF">2023-06-01T07:46:10Z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D8F73731DAA447EABC150B23F8F4C8E8</vt:lpwstr>
  </property>
</Properties>
</file>