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60" w:lineRule="exact"/>
        <w:jc w:val="center"/>
        <w:outlineLvl w:val="1"/>
        <w:rPr>
          <w:rFonts w:ascii="宋体" w:cs="宋体"/>
          <w:b/>
          <w:color w:val="auto"/>
          <w:kern w:val="0"/>
          <w:position w:val="-2"/>
          <w:sz w:val="28"/>
          <w:szCs w:val="28"/>
          <w:highlight w:val="none"/>
        </w:rPr>
      </w:pPr>
      <w:bookmarkStart w:id="15" w:name="_GoBack"/>
      <w:bookmarkEnd w:id="15"/>
      <w:r>
        <w:rPr>
          <w:rFonts w:hint="eastAsia" w:ascii="宋体" w:hAnsi="宋体"/>
          <w:b/>
          <w:color w:val="auto"/>
          <w:sz w:val="28"/>
          <w:szCs w:val="28"/>
          <w:highlight w:val="none"/>
        </w:rPr>
        <w:t>评标办法（技术评分最低标价法）</w:t>
      </w:r>
    </w:p>
    <w:p>
      <w:pPr>
        <w:autoSpaceDE w:val="0"/>
        <w:autoSpaceDN w:val="0"/>
        <w:adjustRightInd w:val="0"/>
        <w:spacing w:line="460" w:lineRule="exact"/>
        <w:jc w:val="left"/>
        <w:rPr>
          <w:rFonts w:ascii="宋体" w:hAnsi="宋体" w:cs="宋体"/>
          <w:color w:val="auto"/>
          <w:kern w:val="0"/>
          <w:sz w:val="24"/>
          <w:highlight w:val="none"/>
        </w:rPr>
      </w:pPr>
      <w:r>
        <w:rPr>
          <w:rFonts w:hint="eastAsia" w:ascii="宋体" w:hAnsi="宋体" w:cs="宋体"/>
          <w:b/>
          <w:color w:val="auto"/>
          <w:kern w:val="0"/>
          <w:position w:val="-2"/>
          <w:sz w:val="24"/>
          <w:highlight w:val="none"/>
        </w:rPr>
        <w:t>评标办法前附表</w:t>
      </w:r>
    </w:p>
    <w:p>
      <w:pPr>
        <w:pStyle w:val="9"/>
        <w:spacing w:before="1"/>
        <w:ind w:left="1542"/>
        <w:rPr>
          <w:b/>
          <w:color w:val="auto"/>
          <w:sz w:val="21"/>
          <w:highlight w:val="none"/>
        </w:rPr>
      </w:pPr>
    </w:p>
    <w:tbl>
      <w:tblPr>
        <w:tblStyle w:val="6"/>
        <w:tblW w:w="9559" w:type="dxa"/>
        <w:tblInd w:w="108" w:type="dxa"/>
        <w:tblLayout w:type="fixed"/>
        <w:tblCellMar>
          <w:top w:w="0" w:type="dxa"/>
          <w:left w:w="0" w:type="dxa"/>
          <w:bottom w:w="0" w:type="dxa"/>
          <w:right w:w="0" w:type="dxa"/>
        </w:tblCellMar>
      </w:tblPr>
      <w:tblGrid>
        <w:gridCol w:w="809"/>
        <w:gridCol w:w="1334"/>
        <w:gridCol w:w="7416"/>
      </w:tblGrid>
      <w:tr>
        <w:tblPrEx>
          <w:tblCellMar>
            <w:top w:w="0" w:type="dxa"/>
            <w:left w:w="0" w:type="dxa"/>
            <w:bottom w:w="0" w:type="dxa"/>
            <w:right w:w="0" w:type="dxa"/>
          </w:tblCellMar>
        </w:tblPrEx>
        <w:trPr>
          <w:trHeight w:val="531" w:hRule="atLeast"/>
        </w:trPr>
        <w:tc>
          <w:tcPr>
            <w:tcW w:w="2143"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7414" w:type="dxa"/>
            <w:tcBorders>
              <w:top w:val="single" w:color="000000" w:sz="4" w:space="0"/>
              <w:left w:val="single" w:color="000000" w:sz="4" w:space="0"/>
              <w:bottom w:val="single" w:color="000000" w:sz="4" w:space="0"/>
              <w:right w:val="single" w:color="000000" w:sz="4" w:space="0"/>
            </w:tcBorders>
            <w:noWrap w:val="0"/>
            <w:vAlign w:val="center"/>
          </w:tcPr>
          <w:p>
            <w:pPr>
              <w:spacing w:line="3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评审因素与评审标准</w:t>
            </w:r>
          </w:p>
        </w:tc>
      </w:tr>
      <w:tr>
        <w:tblPrEx>
          <w:tblCellMar>
            <w:top w:w="0" w:type="dxa"/>
            <w:left w:w="0" w:type="dxa"/>
            <w:bottom w:w="0" w:type="dxa"/>
            <w:right w:w="0" w:type="dxa"/>
          </w:tblCellMar>
        </w:tblPrEx>
        <w:trPr>
          <w:trHeight w:val="3069" w:hRule="exact"/>
        </w:trPr>
        <w:tc>
          <w:tcPr>
            <w:tcW w:w="80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1334"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pacing w:line="380" w:lineRule="exact"/>
              <w:ind w:left="42" w:leftChars="20" w:right="42" w:rightChars="2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w:t>
            </w:r>
          </w:p>
          <w:p>
            <w:pPr>
              <w:autoSpaceDE w:val="0"/>
              <w:autoSpaceDN w:val="0"/>
              <w:adjustRightInd w:val="0"/>
              <w:spacing w:line="380" w:lineRule="exact"/>
              <w:ind w:left="42" w:leftChars="20" w:right="42" w:rightChars="2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方法</w:t>
            </w:r>
          </w:p>
        </w:tc>
        <w:tc>
          <w:tcPr>
            <w:tcW w:w="7414" w:type="dxa"/>
            <w:tcBorders>
              <w:top w:val="single" w:color="000000" w:sz="4" w:space="0"/>
              <w:left w:val="single" w:color="000000" w:sz="4" w:space="0"/>
              <w:bottom w:val="single" w:color="auto" w:sz="4" w:space="0"/>
              <w:right w:val="single" w:color="000000" w:sz="4" w:space="0"/>
            </w:tcBorders>
            <w:noWrap w:val="0"/>
            <w:vAlign w:val="center"/>
          </w:tcPr>
          <w:p>
            <w:pPr>
              <w:spacing w:line="380" w:lineRule="exact"/>
              <w:ind w:left="42" w:leftChars="20" w:right="113"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评标价相等时，评标委员会依次按照以下优先顺序推荐中标候选人或确定中标人：</w:t>
            </w:r>
          </w:p>
          <w:p>
            <w:pPr>
              <w:spacing w:line="380" w:lineRule="exact"/>
              <w:ind w:left="42" w:leftChars="20" w:right="113"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（1）按招标文件规定被认定为最新年度广东省公路工程从业单位信用评价等级较高的投标人优先；【采用如下的优先顺序：承诺使用的AA 级投标人、不承诺使用的 AA 级投标人、承诺使用的 A 级投标人、不承诺使用的 A 级投标人、B 级投标人、未参评且被确定为 B 级投标人】；</w:t>
            </w:r>
          </w:p>
          <w:p>
            <w:pPr>
              <w:spacing w:line="380" w:lineRule="exact"/>
              <w:ind w:left="42" w:leftChars="20" w:right="113" w:firstLine="630" w:firstLineChars="3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（2）以投标人企业最新年度净资产较高的优先；</w:t>
            </w:r>
          </w:p>
          <w:p>
            <w:pPr>
              <w:spacing w:line="380" w:lineRule="exact"/>
              <w:ind w:left="42" w:leftChars="20" w:right="113" w:firstLine="630" w:firstLineChars="30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（3）评标委员会视投标人情况综合比较，投票确定其名次。</w:t>
            </w:r>
          </w:p>
        </w:tc>
      </w:tr>
      <w:tr>
        <w:tblPrEx>
          <w:tblCellMar>
            <w:top w:w="0" w:type="dxa"/>
            <w:left w:w="0" w:type="dxa"/>
            <w:bottom w:w="0" w:type="dxa"/>
            <w:right w:w="0" w:type="dxa"/>
          </w:tblCellMar>
        </w:tblPrEx>
        <w:trPr>
          <w:trHeight w:val="301" w:hRule="atLeast"/>
        </w:trPr>
        <w:tc>
          <w:tcPr>
            <w:tcW w:w="809" w:type="dxa"/>
            <w:tcBorders>
              <w:top w:val="single" w:color="000000" w:sz="4" w:space="0"/>
              <w:left w:val="single" w:color="000000" w:sz="4" w:space="0"/>
              <w:bottom w:val="single" w:color="auto" w:sz="4" w:space="0"/>
              <w:right w:val="single" w:color="auto" w:sz="4" w:space="0"/>
            </w:tcBorders>
            <w:noWrap w:val="0"/>
            <w:vAlign w:val="center"/>
          </w:tcPr>
          <w:p>
            <w:pPr>
              <w:autoSpaceDE w:val="0"/>
              <w:autoSpaceDN w:val="0"/>
              <w:adjustRightInd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p>
            <w:pPr>
              <w:autoSpaceDE w:val="0"/>
              <w:autoSpaceDN w:val="0"/>
              <w:adjustRightInd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2.1.3</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形式评</w:t>
            </w:r>
          </w:p>
          <w:p>
            <w:pPr>
              <w:autoSpaceDE w:val="0"/>
              <w:autoSpaceDN w:val="0"/>
              <w:adjustRightInd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审与响</w:t>
            </w:r>
          </w:p>
          <w:p>
            <w:pPr>
              <w:autoSpaceDE w:val="0"/>
              <w:autoSpaceDN w:val="0"/>
              <w:adjustRightInd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应性评</w:t>
            </w:r>
          </w:p>
          <w:p>
            <w:pPr>
              <w:autoSpaceDE w:val="0"/>
              <w:autoSpaceDN w:val="0"/>
              <w:adjustRightInd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审标准</w:t>
            </w:r>
          </w:p>
        </w:tc>
        <w:tc>
          <w:tcPr>
            <w:tcW w:w="7414" w:type="dxa"/>
            <w:tcBorders>
              <w:top w:val="single" w:color="auto" w:sz="4" w:space="0"/>
              <w:left w:val="single" w:color="auto" w:sz="4" w:space="0"/>
              <w:bottom w:val="single" w:color="auto" w:sz="4" w:space="0"/>
              <w:right w:val="single" w:color="auto" w:sz="4" w:space="0"/>
            </w:tcBorders>
            <w:noWrap w:val="0"/>
            <w:vAlign w:val="center"/>
          </w:tcPr>
          <w:p>
            <w:pPr>
              <w:spacing w:line="380" w:lineRule="exact"/>
              <w:ind w:left="42" w:leftChars="20" w:right="11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第一个信封（商务及技术文件）评审标准：</w:t>
            </w:r>
          </w:p>
          <w:p>
            <w:pPr>
              <w:spacing w:line="38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（1）投标文件按照招标文件规定的格式、内容填写，字迹清晰可辨：</w:t>
            </w:r>
          </w:p>
          <w:p>
            <w:pPr>
              <w:spacing w:line="38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a.投标函按招标文件规定填报了项目名称、标段号、补遗书编号（如有）、工期、工程质量要求及安全目标；</w:t>
            </w:r>
          </w:p>
          <w:p>
            <w:pPr>
              <w:spacing w:line="38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b.投标函附录的所有数据均符合招标文件规定；</w:t>
            </w:r>
          </w:p>
          <w:p>
            <w:pPr>
              <w:spacing w:line="38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c.投标文件组成齐全完整，内容均按规定填写。</w:t>
            </w:r>
          </w:p>
          <w:p>
            <w:pPr>
              <w:spacing w:line="38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pacing w:val="-4"/>
                <w:sz w:val="21"/>
                <w:szCs w:val="21"/>
                <w:highlight w:val="none"/>
              </w:rPr>
              <w:t>投标文件上法定代表人或其委托代理人的签字、项目经理及项目总工的签字、投标人的单位章盖章齐全，符合招标文件规定。</w:t>
            </w:r>
          </w:p>
          <w:p>
            <w:pPr>
              <w:spacing w:line="38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（3）投标人按照招标文件的规定提供了投标保证金：</w:t>
            </w:r>
          </w:p>
          <w:p>
            <w:pPr>
              <w:spacing w:line="38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a.投标保证金金额符合招标文件规定的金额，且投标保证金有效期不少于投标有效期；</w:t>
            </w:r>
          </w:p>
          <w:p>
            <w:pPr>
              <w:spacing w:line="38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b.若投标保证金采用</w:t>
            </w:r>
            <w:r>
              <w:rPr>
                <w:rFonts w:hint="eastAsia" w:ascii="宋体" w:hAnsi="宋体" w:eastAsia="宋体" w:cs="宋体"/>
                <w:color w:val="auto"/>
                <w:sz w:val="21"/>
                <w:szCs w:val="21"/>
                <w:highlight w:val="none"/>
                <w:lang w:eastAsia="zh-CN"/>
              </w:rPr>
              <w:t>现金或支票</w:t>
            </w:r>
            <w:r>
              <w:rPr>
                <w:rFonts w:hint="eastAsia" w:ascii="宋体" w:hAnsi="宋体" w:eastAsia="宋体" w:cs="宋体"/>
                <w:color w:val="auto"/>
                <w:sz w:val="21"/>
                <w:szCs w:val="21"/>
                <w:highlight w:val="none"/>
              </w:rPr>
              <w:t>形式提交，投标人应在投标人须知3.4.1项规定的时间，将投标保证金由投标人的基本账户转入招标人指定账户；</w:t>
            </w:r>
          </w:p>
          <w:p>
            <w:pPr>
              <w:spacing w:line="38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若投标保证金采用银行保函形式或保证保险提交，银行保函的格式、开具保函的银行或保证保险的格式均满足招标文件要求，银行保函或保证保险原件在递交投标文件时单独密封递交，其复印件装订在投标文件中。</w:t>
            </w:r>
          </w:p>
          <w:p>
            <w:pPr>
              <w:spacing w:line="380" w:lineRule="exact"/>
              <w:ind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（4）投标人法定代表人授权委托的代理人签署投标文件的，须提交授权委托书，且授权人和被授权人均在授权委托书上签名，未使用印章、签名章或其他电子制版签名代替。</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（5）投标人法定代表人亲自签署投标文件的，提供了法定代表人身份证明，且法定代表人在法定代表人身份证明上签名，未使用印章、签名章或其他电子制版签名代替。</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（6）投标人以联合体形式投标时，联合体协议书满足招标文件的要求：</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a.未进行资格预审的，投标人按照招标文件提供的格式签订了联合体协议书，明确各方承担连带责任，并明确了联合体牵头人；</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b.已进行资格预审的，投标人提供了资格预审申请文件中所附的联合体协议书复印件，且通过资格预审后的联合体无成员增减或更换的情况。</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（7）投标人如有分包计划，符合招标文件第二章“投标人须知”第1.11 款规定，且按招标文件第九章“投标文件格式”的要求填写了“拟分包项目情况表”。</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（8）同一投标人未提交两个以上不同的投标文件，但招标文件要求提交备选投标的除外。</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pacing w:val="-4"/>
                <w:sz w:val="21"/>
                <w:szCs w:val="21"/>
                <w:highlight w:val="none"/>
              </w:rPr>
              <w:t>投标文件未出现有关投标报价的内容。</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（10）投标文件载明的招标项目完成期限未超过招标文件规定的时限。</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（11）投标文件对招标文件的实质性要求和条件作出响应。</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（12）权利义务符合招标文件规定：</w:t>
            </w:r>
          </w:p>
          <w:p>
            <w:pPr>
              <w:spacing w:line="360" w:lineRule="exact"/>
              <w:ind w:left="42" w:leftChars="20" w:right="113" w:firstLine="210" w:firstLineChars="100"/>
              <w:rPr>
                <w:rFonts w:hint="eastAsia" w:ascii="宋体" w:hAnsi="宋体" w:eastAsia="宋体" w:cs="宋体"/>
                <w:color w:val="auto"/>
                <w:spacing w:val="-4"/>
                <w:sz w:val="21"/>
                <w:szCs w:val="21"/>
                <w:highlight w:val="none"/>
              </w:rPr>
            </w:pPr>
            <w:r>
              <w:rPr>
                <w:rFonts w:hint="eastAsia" w:ascii="宋体" w:hAnsi="宋体" w:eastAsia="宋体" w:cs="宋体"/>
                <w:color w:val="auto"/>
                <w:sz w:val="21"/>
                <w:szCs w:val="21"/>
                <w:highlight w:val="none"/>
              </w:rPr>
              <w:t>a.</w:t>
            </w:r>
            <w:r>
              <w:rPr>
                <w:rFonts w:hint="eastAsia" w:ascii="宋体" w:hAnsi="宋体" w:eastAsia="宋体" w:cs="宋体"/>
                <w:color w:val="auto"/>
                <w:spacing w:val="-4"/>
                <w:sz w:val="21"/>
                <w:szCs w:val="21"/>
                <w:highlight w:val="none"/>
              </w:rPr>
              <w:t>投标人应接受招标文件规定的风险划分原则，未提出新的风险划分办法；</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b.投标人未增加发包人的责任范围，或减少投标人义务；</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c.投标人未提出不同的工程验收、计量、支付办法；</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d.投标人对合同纠纷、事故处理办法未提出异议；</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e.投标人在投标活动中无欺诈行为；</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f.投标人未对合同条款有重要保留。</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（13）投标文件正、副本份数符合招标文件第二章“投标人须知”第 3.7.4 项规定。</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（14）投标文件未附有招标人不能接受的条件。</w:t>
            </w:r>
          </w:p>
          <w:p>
            <w:pPr>
              <w:spacing w:line="360" w:lineRule="exact"/>
              <w:ind w:right="113"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第二个信封（报价文件）评审标准：</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（1）投标文件按照招标文件规定的格式、内容填写，字迹清晰可辨：</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a.投标函按招标文件规定填报了项目名称、标段号、补遗书编号（如有）、投标价（包括大写金额和小写金额）；</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b.已标价工程量清单说明文字与招标文件规定一致，未进行实质性修改和删减；</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c.投标文件组成齐全完整，内容均按规定填写。</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（2）投标文件上法定代表人或其授权代理人的签字、投标人的单位章盖章齐全，符合招标文件规定。</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（3）投标报价或调价函中的报价未超过招标文件设定的最高投标限价（如有）。</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（4）投标报价或调价函中报价的大写金额能够确定具体数值。</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（5）同一投标人未提交两个以上不同的投标报价，但招标文件要求提交备选投标的除外。</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（6）投标人若提交调价函，调价函符合招标文件第二章“投标人须知”第 3.2.6 项要求。</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（7）投标人若填写工程量固化清单，填写完毕的工程量固化清单未对工程量固化清单电子文件中的数据、格式和运算定义进行修改；工程量固化清单中的投标报价和投标函大写金额报价一致。</w:t>
            </w:r>
          </w:p>
          <w:p>
            <w:pPr>
              <w:spacing w:line="360" w:lineRule="exact"/>
              <w:ind w:left="42" w:leftChars="20" w:right="113" w:firstLine="210" w:firstLineChars="100"/>
              <w:rPr>
                <w:rFonts w:hint="eastAsia" w:ascii="宋体" w:hAnsi="宋体" w:eastAsia="宋体" w:cs="宋体"/>
                <w:b/>
                <w:color w:val="auto"/>
                <w:spacing w:val="-4"/>
                <w:sz w:val="21"/>
                <w:szCs w:val="21"/>
                <w:highlight w:val="none"/>
              </w:rPr>
            </w:pPr>
            <w:r>
              <w:rPr>
                <w:rFonts w:hint="eastAsia" w:ascii="宋体" w:hAnsi="宋体" w:eastAsia="宋体" w:cs="宋体"/>
                <w:color w:val="auto"/>
                <w:sz w:val="21"/>
                <w:szCs w:val="21"/>
                <w:highlight w:val="none"/>
              </w:rPr>
              <w:t>（8）投标文件正、副本份数符合第二章“投标人须知”第3.7.4 项的规</w:t>
            </w:r>
            <w:r>
              <w:rPr>
                <w:rFonts w:hint="eastAsia" w:ascii="宋体" w:hAnsi="宋体" w:eastAsia="宋体" w:cs="宋体"/>
                <w:color w:val="auto"/>
                <w:spacing w:val="-4"/>
                <w:sz w:val="21"/>
                <w:szCs w:val="21"/>
                <w:highlight w:val="none"/>
              </w:rPr>
              <w:t>定。</w:t>
            </w:r>
          </w:p>
        </w:tc>
      </w:tr>
      <w:tr>
        <w:tblPrEx>
          <w:tblCellMar>
            <w:top w:w="0" w:type="dxa"/>
            <w:left w:w="0" w:type="dxa"/>
            <w:bottom w:w="0" w:type="dxa"/>
            <w:right w:w="0" w:type="dxa"/>
          </w:tblCellMar>
        </w:tblPrEx>
        <w:trPr>
          <w:trHeight w:val="5520" w:hRule="exact"/>
        </w:trPr>
        <w:tc>
          <w:tcPr>
            <w:tcW w:w="809"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334" w:type="dxa"/>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资格评审标准</w:t>
            </w:r>
          </w:p>
          <w:p>
            <w:pPr>
              <w:autoSpaceDE w:val="0"/>
              <w:autoSpaceDN w:val="0"/>
              <w:adjustRightInd w:val="0"/>
              <w:spacing w:line="380" w:lineRule="exact"/>
              <w:jc w:val="center"/>
              <w:rPr>
                <w:rFonts w:hint="eastAsia" w:ascii="宋体" w:hAnsi="宋体" w:eastAsia="宋体" w:cs="宋体"/>
                <w:color w:val="auto"/>
                <w:kern w:val="0"/>
                <w:sz w:val="21"/>
                <w:szCs w:val="21"/>
                <w:highlight w:val="none"/>
              </w:rPr>
            </w:pPr>
            <w:r>
              <w:rPr>
                <w:rStyle w:val="8"/>
                <w:rFonts w:hint="eastAsia" w:ascii="宋体" w:hAnsi="宋体" w:eastAsia="宋体" w:cs="宋体"/>
                <w:color w:val="auto"/>
                <w:kern w:val="0"/>
                <w:sz w:val="21"/>
                <w:szCs w:val="21"/>
                <w:highlight w:val="none"/>
              </w:rPr>
              <w:footnoteReference w:id="0"/>
            </w:r>
          </w:p>
        </w:tc>
        <w:tc>
          <w:tcPr>
            <w:tcW w:w="741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（1）投标人具备有效的营业执照、组织机构代码证（如有）、资质证书、安全生产许可证和基本账户开户许可证</w:t>
            </w:r>
            <w:r>
              <w:rPr>
                <w:rFonts w:hint="eastAsia" w:ascii="宋体" w:hAnsi="宋体" w:eastAsia="宋体" w:cs="宋体"/>
                <w:color w:val="auto"/>
                <w:sz w:val="21"/>
                <w:szCs w:val="21"/>
                <w:highlight w:val="none"/>
                <w:lang w:val="en-US" w:eastAsia="zh-CN"/>
              </w:rPr>
              <w:t>（或基本存款账户信息）</w:t>
            </w:r>
            <w:r>
              <w:rPr>
                <w:rFonts w:hint="eastAsia" w:ascii="宋体" w:hAnsi="宋体" w:eastAsia="宋体" w:cs="宋体"/>
                <w:color w:val="auto"/>
                <w:sz w:val="21"/>
                <w:szCs w:val="21"/>
                <w:highlight w:val="none"/>
              </w:rPr>
              <w:t>；</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（2）投标人的资质等级符合招标文件规定；</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（3）投标人的财务状况符合招标文件规定；</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（4）投标人的类似项目业绩符合招标文件规定；</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（5）投标人的信誉符合招标文件规定；</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（6）投标人的项目经理和项目总工资格（均含备选，如有）、在岗情况符合招标文件规定，并按规定在投标文件中签字确认；</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（7）投标人的其他要求符合招标文件规定；</w:t>
            </w:r>
            <w:r>
              <w:rPr>
                <w:rStyle w:val="8"/>
                <w:rFonts w:hint="eastAsia" w:ascii="宋体" w:hAnsi="宋体" w:eastAsia="宋体" w:cs="宋体"/>
                <w:color w:val="auto"/>
                <w:sz w:val="21"/>
                <w:szCs w:val="21"/>
                <w:highlight w:val="none"/>
              </w:rPr>
              <w:footnoteReference w:id="1"/>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 投标人不存在第二章“投标人须知”第1.4.3项或第 1.4.4 项规定的任何一种情形。</w:t>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（9）投标人符合第二章“投标人须知”第 1.4.5 项规定。</w:t>
            </w:r>
            <w:r>
              <w:rPr>
                <w:rStyle w:val="8"/>
                <w:rFonts w:hint="eastAsia" w:ascii="宋体" w:hAnsi="宋体" w:eastAsia="宋体" w:cs="宋体"/>
                <w:color w:val="auto"/>
                <w:sz w:val="21"/>
                <w:szCs w:val="21"/>
                <w:highlight w:val="none"/>
              </w:rPr>
              <w:footnoteReference w:id="2"/>
            </w:r>
          </w:p>
          <w:p>
            <w:pPr>
              <w:spacing w:line="360" w:lineRule="exact"/>
              <w:ind w:left="42" w:leftChars="20" w:right="113"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（10）以联合体形式参与投标的，联合体各方均未再以自己名义单独或参加其他联合体在同一标段中投标；独立参与投标的，投标人未同时参加联合体在同一标段中投标。</w:t>
            </w:r>
          </w:p>
        </w:tc>
      </w:tr>
      <w:tr>
        <w:tblPrEx>
          <w:tblCellMar>
            <w:top w:w="0" w:type="dxa"/>
            <w:left w:w="0" w:type="dxa"/>
            <w:bottom w:w="0" w:type="dxa"/>
            <w:right w:w="0" w:type="dxa"/>
          </w:tblCellMar>
        </w:tblPrEx>
        <w:trPr>
          <w:trHeight w:val="1972" w:hRule="atLeast"/>
        </w:trPr>
        <w:tc>
          <w:tcPr>
            <w:tcW w:w="809"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2.2.1</w:t>
            </w:r>
          </w:p>
        </w:tc>
        <w:tc>
          <w:tcPr>
            <w:tcW w:w="1334" w:type="dxa"/>
            <w:tcBorders>
              <w:top w:val="single" w:color="000000" w:sz="4" w:space="0"/>
              <w:left w:val="single" w:color="000000" w:sz="4" w:space="0"/>
              <w:bottom w:val="single" w:color="auto" w:sz="4" w:space="0"/>
              <w:right w:val="single" w:color="000000" w:sz="4" w:space="0"/>
            </w:tcBorders>
            <w:noWrap w:val="0"/>
            <w:vAlign w:val="center"/>
          </w:tcPr>
          <w:p>
            <w:pPr>
              <w:pStyle w:val="9"/>
              <w:spacing w:before="1" w:line="364" w:lineRule="auto"/>
              <w:ind w:left="107" w:right="94"/>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第一个信封评分分值构成（总分 100分）</w:t>
            </w:r>
          </w:p>
        </w:tc>
        <w:tc>
          <w:tcPr>
            <w:tcW w:w="7414" w:type="dxa"/>
            <w:tcBorders>
              <w:top w:val="single" w:color="000000" w:sz="4" w:space="0"/>
              <w:left w:val="single" w:color="000000" w:sz="4" w:space="0"/>
              <w:bottom w:val="single" w:color="auto" w:sz="4" w:space="0"/>
              <w:right w:val="single" w:color="000000" w:sz="4" w:space="0"/>
            </w:tcBorders>
            <w:noWrap w:val="0"/>
            <w:vAlign w:val="center"/>
          </w:tcPr>
          <w:p>
            <w:pPr>
              <w:autoSpaceDE w:val="0"/>
              <w:autoSpaceDN w:val="0"/>
              <w:adjustRightInd w:val="0"/>
              <w:spacing w:line="460" w:lineRule="exact"/>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施工组织设计：</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30</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分</w:t>
            </w:r>
          </w:p>
          <w:p>
            <w:pPr>
              <w:autoSpaceDE w:val="0"/>
              <w:autoSpaceDN w:val="0"/>
              <w:adjustRightInd w:val="0"/>
              <w:spacing w:line="4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主要人员：</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35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分</w:t>
            </w:r>
          </w:p>
          <w:p>
            <w:pPr>
              <w:autoSpaceDE w:val="0"/>
              <w:autoSpaceDN w:val="0"/>
              <w:adjustRightInd w:val="0"/>
              <w:spacing w:line="4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技术能力：</w:t>
            </w:r>
            <w:r>
              <w:rPr>
                <w:rFonts w:hint="eastAsia" w:ascii="宋体" w:hAnsi="宋体" w:eastAsia="宋体" w:cs="宋体"/>
                <w:color w:val="auto"/>
                <w:kern w:val="0"/>
                <w:sz w:val="21"/>
                <w:szCs w:val="21"/>
                <w:highlight w:val="none"/>
                <w:u w:val="single"/>
                <w:lang w:val="en-US" w:eastAsia="zh-CN"/>
              </w:rPr>
              <w:t>20</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分</w:t>
            </w:r>
          </w:p>
          <w:p>
            <w:pPr>
              <w:autoSpaceDE w:val="0"/>
              <w:autoSpaceDN w:val="0"/>
              <w:adjustRightInd w:val="0"/>
              <w:spacing w:line="46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履约信誉：</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u w:val="single"/>
                <w:lang w:val="en-US" w:eastAsia="zh-CN"/>
              </w:rPr>
              <w:t>15</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分</w:t>
            </w:r>
          </w:p>
        </w:tc>
      </w:tr>
      <w:tr>
        <w:tblPrEx>
          <w:tblCellMar>
            <w:top w:w="0" w:type="dxa"/>
            <w:left w:w="0" w:type="dxa"/>
            <w:bottom w:w="0" w:type="dxa"/>
            <w:right w:w="0" w:type="dxa"/>
          </w:tblCellMar>
        </w:tblPrEx>
        <w:trPr>
          <w:trHeight w:val="3916" w:hRule="atLeast"/>
        </w:trPr>
        <w:tc>
          <w:tcPr>
            <w:tcW w:w="809" w:type="dxa"/>
            <w:tcBorders>
              <w:top w:val="single" w:color="auto" w:sz="4" w:space="0"/>
              <w:left w:val="single" w:color="000000" w:sz="4" w:space="0"/>
              <w:bottom w:val="single" w:color="auto" w:sz="4" w:space="0"/>
              <w:right w:val="single" w:color="000000" w:sz="4" w:space="0"/>
            </w:tcBorders>
            <w:noWrap w:val="0"/>
            <w:vAlign w:val="center"/>
          </w:tcPr>
          <w:p>
            <w:pPr>
              <w:autoSpaceDE w:val="0"/>
              <w:autoSpaceDN w:val="0"/>
              <w:adjustRightInd w:val="0"/>
              <w:spacing w:line="380" w:lineRule="exact"/>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2.2.3</w:t>
            </w:r>
          </w:p>
        </w:tc>
        <w:tc>
          <w:tcPr>
            <w:tcW w:w="1334" w:type="dxa"/>
            <w:tcBorders>
              <w:top w:val="single" w:color="auto" w:sz="4" w:space="0"/>
              <w:left w:val="single" w:color="000000" w:sz="4" w:space="0"/>
              <w:bottom w:val="single" w:color="auto" w:sz="4" w:space="0"/>
              <w:right w:val="single" w:color="000000" w:sz="4" w:space="0"/>
            </w:tcBorders>
            <w:noWrap w:val="0"/>
            <w:vAlign w:val="center"/>
          </w:tcPr>
          <w:p>
            <w:pPr>
              <w:autoSpaceDE w:val="0"/>
              <w:autoSpaceDN w:val="0"/>
              <w:adjustRightIn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第二个信封详细评审标准</w:t>
            </w:r>
          </w:p>
        </w:tc>
        <w:tc>
          <w:tcPr>
            <w:tcW w:w="7414" w:type="dxa"/>
            <w:tcBorders>
              <w:top w:val="single" w:color="auto" w:sz="4" w:space="0"/>
              <w:left w:val="single" w:color="000000" w:sz="4" w:space="0"/>
              <w:bottom w:val="single" w:color="auto" w:sz="4" w:space="0"/>
              <w:right w:val="single" w:color="000000" w:sz="4" w:space="0"/>
            </w:tcBorders>
            <w:noWrap w:val="0"/>
            <w:vAlign w:val="center"/>
          </w:tcPr>
          <w:p>
            <w:pPr>
              <w:spacing w:line="380" w:lineRule="exact"/>
              <w:ind w:right="113"/>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评标价计算公式：</w:t>
            </w:r>
          </w:p>
          <w:p>
            <w:pPr>
              <w:spacing w:line="380" w:lineRule="exact"/>
              <w:ind w:right="113"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评标价＝修正后的投标报价－暂估价－暂列金额</w:t>
            </w:r>
          </w:p>
          <w:p>
            <w:pPr>
              <w:spacing w:line="380" w:lineRule="exact"/>
              <w:ind w:right="113"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最高评标限价＝最高投标限价×9</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w:t>
            </w:r>
          </w:p>
          <w:p>
            <w:pPr>
              <w:spacing w:line="380" w:lineRule="exact"/>
              <w:ind w:right="113"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若投标人的评标价小于最高评标限价的85％，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tblPrEx>
          <w:tblCellMar>
            <w:top w:w="0" w:type="dxa"/>
            <w:left w:w="0" w:type="dxa"/>
            <w:bottom w:w="0" w:type="dxa"/>
            <w:right w:w="0" w:type="dxa"/>
          </w:tblCellMar>
        </w:tblPrEx>
        <w:trPr>
          <w:trHeight w:val="23" w:hRule="atLeast"/>
        </w:trPr>
        <w:tc>
          <w:tcPr>
            <w:tcW w:w="809" w:type="dxa"/>
            <w:tcBorders>
              <w:top w:val="single" w:color="auto" w:sz="4" w:space="0"/>
              <w:left w:val="single" w:color="000000" w:sz="4" w:space="0"/>
              <w:bottom w:val="single" w:color="000000" w:sz="4" w:space="0"/>
              <w:right w:val="single" w:color="000000" w:sz="4" w:space="0"/>
            </w:tcBorders>
            <w:noWrap w:val="0"/>
            <w:vAlign w:val="center"/>
          </w:tcPr>
          <w:p>
            <w:pPr>
              <w:pStyle w:val="9"/>
              <w:spacing w:before="13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.2.4</w:t>
            </w:r>
          </w:p>
        </w:tc>
        <w:tc>
          <w:tcPr>
            <w:tcW w:w="1334" w:type="dxa"/>
            <w:tcBorders>
              <w:top w:val="single" w:color="auto" w:sz="4" w:space="0"/>
              <w:left w:val="single" w:color="000000" w:sz="4" w:space="0"/>
              <w:bottom w:val="single" w:color="000000" w:sz="4" w:space="0"/>
              <w:right w:val="single" w:color="000000" w:sz="4" w:space="0"/>
            </w:tcBorders>
            <w:noWrap w:val="0"/>
            <w:vAlign w:val="center"/>
          </w:tcPr>
          <w:p>
            <w:pPr>
              <w:autoSpaceDE w:val="0"/>
              <w:autoSpaceDN w:val="0"/>
              <w:adjustRightInd w:val="0"/>
              <w:spacing w:line="38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通过第一个信封详细评审的投标人数量</w:t>
            </w:r>
          </w:p>
        </w:tc>
        <w:tc>
          <w:tcPr>
            <w:tcW w:w="7414" w:type="dxa"/>
            <w:tcBorders>
              <w:top w:val="single" w:color="auto" w:sz="4" w:space="0"/>
              <w:left w:val="single" w:color="000000" w:sz="4" w:space="0"/>
              <w:bottom w:val="single" w:color="000000" w:sz="4" w:space="0"/>
              <w:right w:val="single" w:color="000000" w:sz="4" w:space="0"/>
            </w:tcBorders>
            <w:noWrap w:val="0"/>
            <w:vAlign w:val="center"/>
          </w:tcPr>
          <w:p>
            <w:pPr>
              <w:pStyle w:val="9"/>
              <w:spacing w:before="1" w:line="364" w:lineRule="auto"/>
              <w:ind w:right="89"/>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按照投标人的商务和技术得分由高到低排序，选择</w:t>
            </w:r>
            <w:r>
              <w:rPr>
                <w:rFonts w:hint="eastAsia" w:ascii="宋体" w:hAnsi="宋体" w:eastAsia="宋体" w:cs="宋体"/>
                <w:color w:val="auto"/>
                <w:sz w:val="21"/>
                <w:szCs w:val="21"/>
                <w:highlight w:val="none"/>
                <w:u w:val="single"/>
                <w:lang w:eastAsia="zh-CN"/>
              </w:rPr>
              <w:t>前 3 名</w:t>
            </w:r>
            <w:r>
              <w:rPr>
                <w:rFonts w:hint="eastAsia" w:ascii="宋体" w:hAnsi="宋体" w:eastAsia="宋体" w:cs="宋体"/>
                <w:color w:val="auto"/>
                <w:sz w:val="21"/>
                <w:szCs w:val="21"/>
                <w:highlight w:val="none"/>
              </w:rPr>
              <w:t>通过详细评审</w:t>
            </w:r>
            <w:r>
              <w:rPr>
                <w:rFonts w:hint="eastAsia" w:ascii="宋体" w:hAnsi="宋体" w:eastAsia="宋体" w:cs="宋体"/>
                <w:color w:val="auto"/>
                <w:sz w:val="21"/>
                <w:szCs w:val="21"/>
                <w:highlight w:val="none"/>
                <w:lang w:eastAsia="zh-CN"/>
              </w:rPr>
              <w:t>。</w:t>
            </w:r>
          </w:p>
        </w:tc>
      </w:tr>
    </w:tbl>
    <w:p>
      <w:pPr>
        <w:rPr>
          <w:highlight w:val="none"/>
        </w:rPr>
      </w:pPr>
    </w:p>
    <w:p>
      <w:pPr>
        <w:pStyle w:val="2"/>
        <w:jc w:val="both"/>
        <w:rPr>
          <w:highlight w:val="none"/>
        </w:rPr>
      </w:pPr>
    </w:p>
    <w:tbl>
      <w:tblPr>
        <w:tblStyle w:val="6"/>
        <w:tblpPr w:leftFromText="180" w:rightFromText="180" w:vertAnchor="text" w:horzAnchor="page" w:tblpX="1882" w:tblpY="-33"/>
        <w:tblOverlap w:val="never"/>
        <w:tblW w:w="577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35"/>
        <w:gridCol w:w="736"/>
        <w:gridCol w:w="830"/>
        <w:gridCol w:w="1461"/>
        <w:gridCol w:w="613"/>
        <w:gridCol w:w="54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8" w:hRule="atLeast"/>
        </w:trPr>
        <w:tc>
          <w:tcPr>
            <w:tcW w:w="2172" w:type="pct"/>
            <w:gridSpan w:val="5"/>
            <w:noWrap w:val="0"/>
            <w:vAlign w:val="center"/>
          </w:tcPr>
          <w:p>
            <w:pPr>
              <w:pStyle w:val="9"/>
              <w:keepNext w:val="0"/>
              <w:keepLines w:val="0"/>
              <w:pageBreakBefore w:val="0"/>
              <w:widowControl w:val="0"/>
              <w:kinsoku/>
              <w:wordWrap/>
              <w:overflowPunct/>
              <w:topLinePunct w:val="0"/>
              <w:bidi w:val="0"/>
              <w:adjustRightInd/>
              <w:snapToGrid/>
              <w:ind w:left="0" w:right="0"/>
              <w:jc w:val="both"/>
              <w:textAlignment w:val="auto"/>
              <w:rPr>
                <w:b/>
                <w:color w:val="auto"/>
                <w:sz w:val="21"/>
                <w:highlight w:val="none"/>
              </w:rPr>
            </w:pPr>
            <w:r>
              <w:rPr>
                <w:b/>
                <w:color w:val="auto"/>
                <w:sz w:val="21"/>
                <w:highlight w:val="none"/>
              </w:rPr>
              <w:t>评分因素与权重分值</w:t>
            </w:r>
          </w:p>
        </w:tc>
        <w:tc>
          <w:tcPr>
            <w:tcW w:w="2827" w:type="pct"/>
            <w:vMerge w:val="restart"/>
            <w:noWrap w:val="0"/>
            <w:vAlign w:val="top"/>
          </w:tcPr>
          <w:p>
            <w:pPr>
              <w:pStyle w:val="9"/>
              <w:keepNext w:val="0"/>
              <w:keepLines w:val="0"/>
              <w:pageBreakBefore w:val="0"/>
              <w:widowControl w:val="0"/>
              <w:kinsoku/>
              <w:wordWrap/>
              <w:overflowPunct/>
              <w:topLinePunct w:val="0"/>
              <w:bidi w:val="0"/>
              <w:adjustRightInd/>
              <w:snapToGrid/>
              <w:ind w:left="0" w:right="0"/>
              <w:textAlignment w:val="auto"/>
              <w:rPr>
                <w:rFonts w:ascii="Times New Roman"/>
                <w:color w:val="auto"/>
                <w:sz w:val="20"/>
                <w:highlight w:val="none"/>
              </w:rPr>
            </w:pPr>
          </w:p>
          <w:p>
            <w:pPr>
              <w:pStyle w:val="9"/>
              <w:keepNext w:val="0"/>
              <w:keepLines w:val="0"/>
              <w:pageBreakBefore w:val="0"/>
              <w:widowControl w:val="0"/>
              <w:kinsoku/>
              <w:wordWrap/>
              <w:overflowPunct/>
              <w:topLinePunct w:val="0"/>
              <w:bidi w:val="0"/>
              <w:adjustRightInd/>
              <w:snapToGrid/>
              <w:ind w:left="0" w:right="0"/>
              <w:textAlignment w:val="auto"/>
              <w:rPr>
                <w:rFonts w:ascii="Times New Roman"/>
                <w:color w:val="auto"/>
                <w:sz w:val="20"/>
                <w:highlight w:val="none"/>
              </w:rPr>
            </w:pPr>
          </w:p>
          <w:p>
            <w:pPr>
              <w:pStyle w:val="9"/>
              <w:keepNext w:val="0"/>
              <w:keepLines w:val="0"/>
              <w:pageBreakBefore w:val="0"/>
              <w:widowControl w:val="0"/>
              <w:kinsoku/>
              <w:wordWrap/>
              <w:overflowPunct/>
              <w:topLinePunct w:val="0"/>
              <w:bidi w:val="0"/>
              <w:adjustRightInd/>
              <w:snapToGrid/>
              <w:ind w:left="0" w:right="0"/>
              <w:textAlignment w:val="auto"/>
              <w:rPr>
                <w:rFonts w:ascii="Times New Roman"/>
                <w:color w:val="auto"/>
                <w:sz w:val="20"/>
                <w:highlight w:val="none"/>
              </w:rPr>
            </w:pPr>
          </w:p>
          <w:p>
            <w:pPr>
              <w:pStyle w:val="9"/>
              <w:keepNext w:val="0"/>
              <w:keepLines w:val="0"/>
              <w:pageBreakBefore w:val="0"/>
              <w:widowControl w:val="0"/>
              <w:kinsoku/>
              <w:wordWrap/>
              <w:overflowPunct/>
              <w:topLinePunct w:val="0"/>
              <w:bidi w:val="0"/>
              <w:adjustRightInd/>
              <w:snapToGrid/>
              <w:ind w:left="0" w:right="0"/>
              <w:jc w:val="center"/>
              <w:textAlignment w:val="auto"/>
              <w:rPr>
                <w:b/>
                <w:color w:val="auto"/>
                <w:sz w:val="21"/>
                <w:highlight w:val="none"/>
              </w:rPr>
            </w:pPr>
            <w:r>
              <w:rPr>
                <w:b/>
                <w:color w:val="auto"/>
                <w:sz w:val="21"/>
                <w:highlight w:val="none"/>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4" w:hRule="atLeast"/>
        </w:trPr>
        <w:tc>
          <w:tcPr>
            <w:tcW w:w="278" w:type="pct"/>
            <w:tcBorders>
              <w:bottom w:val="single" w:color="auto" w:sz="4" w:space="0"/>
            </w:tcBorders>
            <w:noWrap w:val="0"/>
            <w:vAlign w:val="center"/>
          </w:tcPr>
          <w:p>
            <w:pPr>
              <w:pStyle w:val="9"/>
              <w:keepNext w:val="0"/>
              <w:keepLines w:val="0"/>
              <w:pageBreakBefore w:val="0"/>
              <w:widowControl w:val="0"/>
              <w:kinsoku/>
              <w:wordWrap/>
              <w:overflowPunct/>
              <w:topLinePunct w:val="0"/>
              <w:bidi w:val="0"/>
              <w:adjustRightInd/>
              <w:snapToGrid/>
              <w:ind w:left="0" w:right="0"/>
              <w:jc w:val="center"/>
              <w:textAlignment w:val="auto"/>
              <w:rPr>
                <w:b/>
                <w:color w:val="auto"/>
                <w:sz w:val="21"/>
                <w:highlight w:val="none"/>
              </w:rPr>
            </w:pPr>
            <w:r>
              <w:rPr>
                <w:b/>
                <w:color w:val="auto"/>
                <w:sz w:val="21"/>
                <w:highlight w:val="none"/>
              </w:rPr>
              <w:t>条款号</w:t>
            </w:r>
          </w:p>
        </w:tc>
        <w:tc>
          <w:tcPr>
            <w:tcW w:w="383" w:type="pct"/>
            <w:tcBorders>
              <w:bottom w:val="single" w:color="auto" w:sz="4" w:space="0"/>
            </w:tcBorders>
            <w:noWrap w:val="0"/>
            <w:vAlign w:val="center"/>
          </w:tcPr>
          <w:p>
            <w:pPr>
              <w:pStyle w:val="9"/>
              <w:keepNext w:val="0"/>
              <w:keepLines w:val="0"/>
              <w:pageBreakBefore w:val="0"/>
              <w:widowControl w:val="0"/>
              <w:kinsoku/>
              <w:wordWrap/>
              <w:overflowPunct/>
              <w:topLinePunct w:val="0"/>
              <w:bidi w:val="0"/>
              <w:adjustRightInd/>
              <w:snapToGrid/>
              <w:ind w:left="0" w:right="0"/>
              <w:jc w:val="center"/>
              <w:textAlignment w:val="auto"/>
              <w:rPr>
                <w:b/>
                <w:color w:val="auto"/>
                <w:sz w:val="21"/>
                <w:highlight w:val="none"/>
              </w:rPr>
            </w:pPr>
            <w:r>
              <w:rPr>
                <w:b/>
                <w:color w:val="auto"/>
                <w:sz w:val="21"/>
                <w:highlight w:val="none"/>
              </w:rPr>
              <w:t>评分因素</w:t>
            </w:r>
          </w:p>
        </w:tc>
        <w:tc>
          <w:tcPr>
            <w:tcW w:w="432" w:type="pct"/>
            <w:tcBorders>
              <w:bottom w:val="single" w:color="auto" w:sz="4" w:space="0"/>
            </w:tcBorders>
            <w:noWrap w:val="0"/>
            <w:vAlign w:val="center"/>
          </w:tcPr>
          <w:p>
            <w:pPr>
              <w:pStyle w:val="9"/>
              <w:keepNext w:val="0"/>
              <w:keepLines w:val="0"/>
              <w:pageBreakBefore w:val="0"/>
              <w:widowControl w:val="0"/>
              <w:kinsoku/>
              <w:wordWrap/>
              <w:overflowPunct/>
              <w:topLinePunct w:val="0"/>
              <w:bidi w:val="0"/>
              <w:adjustRightInd/>
              <w:snapToGrid/>
              <w:spacing w:line="266" w:lineRule="exact"/>
              <w:ind w:left="0" w:right="0"/>
              <w:jc w:val="center"/>
              <w:textAlignment w:val="auto"/>
              <w:rPr>
                <w:b/>
                <w:color w:val="auto"/>
                <w:sz w:val="21"/>
                <w:highlight w:val="none"/>
              </w:rPr>
            </w:pPr>
            <w:r>
              <w:rPr>
                <w:b/>
                <w:color w:val="auto"/>
                <w:spacing w:val="-9"/>
                <w:sz w:val="21"/>
                <w:highlight w:val="none"/>
              </w:rPr>
              <w:t>评分因素权重</w:t>
            </w:r>
            <w:r>
              <w:rPr>
                <w:b/>
                <w:color w:val="auto"/>
                <w:sz w:val="21"/>
                <w:highlight w:val="none"/>
              </w:rPr>
              <w:t>分值</w:t>
            </w:r>
          </w:p>
        </w:tc>
        <w:tc>
          <w:tcPr>
            <w:tcW w:w="760" w:type="pct"/>
            <w:tcBorders>
              <w:bottom w:val="single" w:color="auto" w:sz="4" w:space="0"/>
            </w:tcBorders>
            <w:noWrap w:val="0"/>
            <w:vAlign w:val="center"/>
          </w:tcPr>
          <w:p>
            <w:pPr>
              <w:pStyle w:val="9"/>
              <w:keepNext w:val="0"/>
              <w:keepLines w:val="0"/>
              <w:pageBreakBefore w:val="0"/>
              <w:widowControl w:val="0"/>
              <w:kinsoku/>
              <w:wordWrap/>
              <w:overflowPunct/>
              <w:topLinePunct w:val="0"/>
              <w:bidi w:val="0"/>
              <w:adjustRightInd/>
              <w:snapToGrid/>
              <w:spacing w:line="364" w:lineRule="auto"/>
              <w:ind w:left="0" w:right="0"/>
              <w:jc w:val="center"/>
              <w:textAlignment w:val="auto"/>
              <w:rPr>
                <w:b/>
                <w:color w:val="auto"/>
                <w:sz w:val="21"/>
                <w:highlight w:val="none"/>
              </w:rPr>
            </w:pPr>
            <w:r>
              <w:rPr>
                <w:b/>
                <w:color w:val="auto"/>
                <w:sz w:val="21"/>
                <w:highlight w:val="none"/>
              </w:rPr>
              <w:t>各评分因素细分项</w:t>
            </w:r>
          </w:p>
        </w:tc>
        <w:tc>
          <w:tcPr>
            <w:tcW w:w="317" w:type="pct"/>
            <w:tcBorders>
              <w:bottom w:val="single" w:color="auto" w:sz="4" w:space="0"/>
            </w:tcBorders>
            <w:noWrap w:val="0"/>
            <w:vAlign w:val="center"/>
          </w:tcPr>
          <w:p>
            <w:pPr>
              <w:pStyle w:val="9"/>
              <w:keepNext w:val="0"/>
              <w:keepLines w:val="0"/>
              <w:pageBreakBefore w:val="0"/>
              <w:widowControl w:val="0"/>
              <w:kinsoku/>
              <w:wordWrap/>
              <w:overflowPunct/>
              <w:topLinePunct w:val="0"/>
              <w:bidi w:val="0"/>
              <w:adjustRightInd/>
              <w:snapToGrid/>
              <w:ind w:left="0" w:right="0"/>
              <w:jc w:val="center"/>
              <w:textAlignment w:val="auto"/>
              <w:rPr>
                <w:b/>
                <w:color w:val="auto"/>
                <w:sz w:val="21"/>
                <w:highlight w:val="none"/>
              </w:rPr>
            </w:pPr>
            <w:r>
              <w:rPr>
                <w:b/>
                <w:color w:val="auto"/>
                <w:sz w:val="21"/>
                <w:highlight w:val="none"/>
              </w:rPr>
              <w:t>分值</w:t>
            </w:r>
          </w:p>
        </w:tc>
        <w:tc>
          <w:tcPr>
            <w:tcW w:w="2827" w:type="pct"/>
            <w:vMerge w:val="continue"/>
            <w:tcBorders>
              <w:top w:val="nil"/>
              <w:bottom w:val="single" w:color="auto" w:sz="4" w:space="0"/>
            </w:tcBorders>
            <w:noWrap w:val="0"/>
            <w:vAlign w:val="top"/>
          </w:tcPr>
          <w:p>
            <w:pPr>
              <w:keepNext w:val="0"/>
              <w:keepLines w:val="0"/>
              <w:pageBreakBefore w:val="0"/>
              <w:widowControl w:val="0"/>
              <w:kinsoku/>
              <w:wordWrap/>
              <w:overflowPunct/>
              <w:topLinePunct w:val="0"/>
              <w:bidi w:val="0"/>
              <w:adjustRightInd/>
              <w:snapToGrid/>
              <w:ind w:left="0" w:right="0"/>
              <w:textAlignment w:val="auto"/>
              <w:rPr>
                <w:color w:val="auto"/>
                <w:sz w:val="2"/>
                <w:szCs w:val="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5" w:hRule="atLeast"/>
        </w:trPr>
        <w:tc>
          <w:tcPr>
            <w:tcW w:w="278" w:type="pct"/>
            <w:vMerge w:val="restart"/>
            <w:tcBorders>
              <w:top w:val="single" w:color="auto" w:sz="4" w:space="0"/>
              <w:left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bidi w:val="0"/>
              <w:adjustRightInd/>
              <w:snapToGrid/>
              <w:ind w:left="0" w:right="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2.2.2（1）</w:t>
            </w:r>
          </w:p>
        </w:tc>
        <w:tc>
          <w:tcPr>
            <w:tcW w:w="383" w:type="pct"/>
            <w:vMerge w:val="restart"/>
            <w:tcBorders>
              <w:top w:val="single" w:color="auto" w:sz="4" w:space="0"/>
              <w:left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365" w:lineRule="auto"/>
              <w:ind w:left="0" w:right="0" w:firstLine="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施工组织设计</w:t>
            </w:r>
          </w:p>
        </w:tc>
        <w:tc>
          <w:tcPr>
            <w:tcW w:w="432" w:type="pct"/>
            <w:vMerge w:val="restart"/>
            <w:tcBorders>
              <w:top w:val="single" w:color="auto" w:sz="4" w:space="0"/>
              <w:left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bidi w:val="0"/>
              <w:adjustRightInd/>
              <w:snapToGrid/>
              <w:ind w:left="0" w:right="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u w:val="single"/>
                <w:lang w:val="en-US" w:eastAsia="zh-CN"/>
              </w:rPr>
              <w:t>30</w:t>
            </w:r>
            <w:r>
              <w:rPr>
                <w:rFonts w:hint="eastAsia" w:ascii="宋体" w:hAnsi="宋体" w:eastAsia="宋体" w:cs="宋体"/>
                <w:color w:val="auto"/>
                <w:sz w:val="21"/>
                <w:highlight w:val="none"/>
              </w:rPr>
              <w:t>分</w:t>
            </w:r>
          </w:p>
        </w:tc>
        <w:tc>
          <w:tcPr>
            <w:tcW w:w="760"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365" w:lineRule="auto"/>
              <w:ind w:left="0" w:right="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工期保证体系及保证措施</w:t>
            </w:r>
          </w:p>
        </w:tc>
        <w:tc>
          <w:tcPr>
            <w:tcW w:w="317"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bidi w:val="0"/>
              <w:adjustRightInd/>
              <w:snapToGrid/>
              <w:ind w:left="0" w:right="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u w:val="single"/>
                <w:lang w:val="en-US" w:eastAsia="zh-CN"/>
              </w:rPr>
              <w:t>10</w:t>
            </w:r>
            <w:r>
              <w:rPr>
                <w:rFonts w:hint="eastAsia" w:ascii="宋体" w:hAnsi="宋体" w:eastAsia="宋体" w:cs="宋体"/>
                <w:color w:val="auto"/>
                <w:sz w:val="21"/>
                <w:highlight w:val="none"/>
              </w:rPr>
              <w:t>分</w:t>
            </w:r>
          </w:p>
        </w:tc>
        <w:tc>
          <w:tcPr>
            <w:tcW w:w="2827"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numPr>
                <w:ilvl w:val="0"/>
                <w:numId w:val="1"/>
              </w:numPr>
              <w:tabs>
                <w:tab w:val="left" w:pos="612"/>
              </w:tabs>
              <w:kinsoku/>
              <w:wordWrap/>
              <w:overflowPunct/>
              <w:topLinePunct w:val="0"/>
              <w:bidi w:val="0"/>
              <w:adjustRightInd/>
              <w:snapToGrid/>
              <w:spacing w:line="364" w:lineRule="auto"/>
              <w:ind w:left="0" w:right="0" w:firstLine="111"/>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pacing w:val="-3"/>
                <w:sz w:val="21"/>
                <w:szCs w:val="24"/>
                <w:highlight w:val="none"/>
              </w:rPr>
              <w:t>进度控制措施得当，对本项目的工</w:t>
            </w:r>
            <w:r>
              <w:rPr>
                <w:rFonts w:hint="eastAsia" w:ascii="宋体" w:hAnsi="宋体" w:eastAsia="宋体" w:cs="宋体"/>
                <w:color w:val="auto"/>
                <w:spacing w:val="-4"/>
                <w:sz w:val="21"/>
                <w:szCs w:val="24"/>
                <w:highlight w:val="none"/>
              </w:rPr>
              <w:t>期重要性理解特别透彻，对地形地貌特征、重点工序、天气、关键设备故障、与其他承包人衔接、社会环境等问题有切实可行的应对或应急方案，计划科学合理，可操作性高，得</w:t>
            </w:r>
            <w:r>
              <w:rPr>
                <w:rFonts w:hint="eastAsia" w:ascii="宋体" w:hAnsi="宋体" w:eastAsia="宋体" w:cs="宋体"/>
                <w:color w:val="auto"/>
                <w:spacing w:val="-4"/>
                <w:sz w:val="21"/>
                <w:szCs w:val="24"/>
                <w:highlight w:val="none"/>
                <w:lang w:val="en-US" w:eastAsia="zh-CN"/>
              </w:rPr>
              <w:t>8.1</w:t>
            </w:r>
            <w:r>
              <w:rPr>
                <w:rFonts w:hint="eastAsia" w:ascii="宋体" w:hAnsi="宋体" w:eastAsia="宋体" w:cs="宋体"/>
                <w:color w:val="auto"/>
                <w:spacing w:val="-4"/>
                <w:sz w:val="21"/>
                <w:szCs w:val="24"/>
                <w:highlight w:val="none"/>
              </w:rPr>
              <w:t>～1</w:t>
            </w:r>
            <w:r>
              <w:rPr>
                <w:rFonts w:hint="eastAsia" w:ascii="宋体" w:hAnsi="宋体" w:eastAsia="宋体" w:cs="宋体"/>
                <w:color w:val="auto"/>
                <w:spacing w:val="-4"/>
                <w:sz w:val="21"/>
                <w:szCs w:val="24"/>
                <w:highlight w:val="none"/>
                <w:lang w:val="en-US" w:eastAsia="zh-CN"/>
              </w:rPr>
              <w:t>0</w:t>
            </w:r>
            <w:r>
              <w:rPr>
                <w:rFonts w:hint="eastAsia" w:ascii="宋体" w:hAnsi="宋体" w:eastAsia="宋体" w:cs="宋体"/>
                <w:color w:val="auto"/>
                <w:spacing w:val="-4"/>
                <w:sz w:val="21"/>
                <w:szCs w:val="24"/>
                <w:highlight w:val="none"/>
              </w:rPr>
              <w:t>分；</w:t>
            </w:r>
          </w:p>
          <w:p>
            <w:pPr>
              <w:pStyle w:val="9"/>
              <w:keepNext w:val="0"/>
              <w:keepLines w:val="0"/>
              <w:pageBreakBefore w:val="0"/>
              <w:widowControl w:val="0"/>
              <w:numPr>
                <w:ilvl w:val="0"/>
                <w:numId w:val="1"/>
              </w:numPr>
              <w:tabs>
                <w:tab w:val="left" w:pos="612"/>
              </w:tabs>
              <w:kinsoku/>
              <w:wordWrap/>
              <w:overflowPunct/>
              <w:topLinePunct w:val="0"/>
              <w:bidi w:val="0"/>
              <w:adjustRightInd/>
              <w:snapToGrid/>
              <w:spacing w:line="367" w:lineRule="auto"/>
              <w:ind w:left="0" w:right="0" w:firstLine="111"/>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工期保证体系及保证措施基本可行，</w:t>
            </w:r>
            <w:r>
              <w:rPr>
                <w:rFonts w:hint="eastAsia" w:ascii="宋体" w:hAnsi="宋体" w:eastAsia="宋体" w:cs="宋体"/>
                <w:color w:val="auto"/>
                <w:sz w:val="21"/>
                <w:szCs w:val="24"/>
                <w:highlight w:val="none"/>
              </w:rPr>
              <w:t>内容较为充实、全面的，得</w:t>
            </w:r>
            <w:r>
              <w:rPr>
                <w:rFonts w:hint="eastAsia" w:ascii="宋体" w:hAnsi="宋体" w:eastAsia="宋体" w:cs="宋体"/>
                <w:color w:val="auto"/>
                <w:sz w:val="21"/>
                <w:szCs w:val="24"/>
                <w:highlight w:val="none"/>
                <w:lang w:val="en-US" w:eastAsia="zh-CN"/>
              </w:rPr>
              <w:t>6.1</w:t>
            </w: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8</w:t>
            </w:r>
            <w:r>
              <w:rPr>
                <w:rFonts w:hint="eastAsia" w:ascii="宋体" w:hAnsi="宋体" w:eastAsia="宋体" w:cs="宋体"/>
                <w:color w:val="auto"/>
                <w:sz w:val="21"/>
                <w:szCs w:val="24"/>
                <w:highlight w:val="none"/>
              </w:rPr>
              <w:t>分；</w:t>
            </w:r>
          </w:p>
          <w:p>
            <w:pPr>
              <w:pStyle w:val="9"/>
              <w:keepNext w:val="0"/>
              <w:keepLines w:val="0"/>
              <w:pageBreakBefore w:val="0"/>
              <w:widowControl w:val="0"/>
              <w:numPr>
                <w:ilvl w:val="0"/>
                <w:numId w:val="1"/>
              </w:numPr>
              <w:kinsoku/>
              <w:wordWrap/>
              <w:overflowPunct/>
              <w:topLinePunct w:val="0"/>
              <w:bidi w:val="0"/>
              <w:adjustRightInd/>
              <w:snapToGrid/>
              <w:ind w:left="0" w:right="0" w:firstLine="111"/>
              <w:jc w:val="both"/>
              <w:textAlignment w:val="auto"/>
              <w:rPr>
                <w:rFonts w:hint="eastAsia" w:ascii="宋体" w:hAnsi="宋体" w:eastAsia="宋体" w:cs="宋体"/>
                <w:color w:val="auto"/>
                <w:sz w:val="20"/>
                <w:highlight w:val="none"/>
              </w:rPr>
            </w:pPr>
            <w:r>
              <w:rPr>
                <w:rFonts w:hint="eastAsia" w:ascii="宋体" w:hAnsi="宋体" w:eastAsia="宋体" w:cs="宋体"/>
                <w:color w:val="auto"/>
                <w:spacing w:val="-1"/>
                <w:sz w:val="21"/>
                <w:szCs w:val="24"/>
                <w:highlight w:val="none"/>
              </w:rPr>
              <w:t>一般但不被评定为不响应的，</w:t>
            </w:r>
            <w:r>
              <w:rPr>
                <w:rFonts w:hint="eastAsia" w:ascii="宋体" w:hAnsi="宋体" w:eastAsia="宋体" w:cs="宋体"/>
                <w:color w:val="auto"/>
                <w:sz w:val="21"/>
                <w:szCs w:val="24"/>
                <w:highlight w:val="none"/>
              </w:rPr>
              <w:t>得</w:t>
            </w:r>
            <w:r>
              <w:rPr>
                <w:rFonts w:hint="eastAsia" w:ascii="宋体" w:hAnsi="宋体" w:eastAsia="宋体" w:cs="宋体"/>
                <w:color w:val="auto"/>
                <w:sz w:val="21"/>
                <w:szCs w:val="24"/>
                <w:highlight w:val="none"/>
                <w:lang w:val="en-US" w:eastAsia="zh-CN"/>
              </w:rPr>
              <w:t>1</w:t>
            </w:r>
            <w:r>
              <w:rPr>
                <w:rFonts w:hint="eastAsia" w:ascii="宋体" w:hAnsi="宋体" w:eastAsia="宋体" w:cs="宋体"/>
                <w:color w:val="auto"/>
                <w:sz w:val="21"/>
                <w:szCs w:val="24"/>
                <w:highlight w:val="none"/>
              </w:rPr>
              <w:t>～</w:t>
            </w:r>
            <w:r>
              <w:rPr>
                <w:rFonts w:hint="eastAsia" w:ascii="宋体" w:hAnsi="宋体" w:eastAsia="宋体" w:cs="宋体"/>
                <w:color w:val="auto"/>
                <w:spacing w:val="-1"/>
                <w:sz w:val="21"/>
                <w:szCs w:val="24"/>
                <w:highlight w:val="none"/>
                <w:lang w:val="en-US" w:eastAsia="zh-CN"/>
              </w:rPr>
              <w:t>6</w:t>
            </w:r>
            <w:r>
              <w:rPr>
                <w:rFonts w:hint="eastAsia" w:ascii="宋体" w:hAnsi="宋体" w:eastAsia="宋体" w:cs="宋体"/>
                <w:color w:val="auto"/>
                <w:spacing w:val="-1"/>
                <w:sz w:val="21"/>
                <w:szCs w:val="24"/>
                <w:highlight w:val="none"/>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5" w:hRule="atLeast"/>
        </w:trPr>
        <w:tc>
          <w:tcPr>
            <w:tcW w:w="278" w:type="pct"/>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ind w:left="0" w:right="0"/>
              <w:textAlignment w:val="auto"/>
              <w:rPr>
                <w:rFonts w:hint="eastAsia" w:ascii="宋体" w:hAnsi="宋体" w:cs="宋体"/>
                <w:color w:val="auto"/>
                <w:sz w:val="2"/>
                <w:szCs w:val="2"/>
                <w:highlight w:val="none"/>
              </w:rPr>
            </w:pPr>
          </w:p>
        </w:tc>
        <w:tc>
          <w:tcPr>
            <w:tcW w:w="383" w:type="pct"/>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ind w:left="0" w:right="0"/>
              <w:textAlignment w:val="auto"/>
              <w:rPr>
                <w:rFonts w:hint="eastAsia" w:ascii="宋体" w:hAnsi="宋体" w:cs="宋体"/>
                <w:color w:val="auto"/>
                <w:sz w:val="2"/>
                <w:szCs w:val="2"/>
                <w:highlight w:val="none"/>
              </w:rPr>
            </w:pPr>
          </w:p>
        </w:tc>
        <w:tc>
          <w:tcPr>
            <w:tcW w:w="432" w:type="pct"/>
            <w:vMerge w:val="continue"/>
            <w:tcBorders>
              <w:left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ind w:left="0" w:right="0"/>
              <w:textAlignment w:val="auto"/>
              <w:rPr>
                <w:rFonts w:hint="eastAsia" w:ascii="宋体" w:hAnsi="宋体" w:cs="宋体"/>
                <w:color w:val="auto"/>
                <w:sz w:val="2"/>
                <w:szCs w:val="2"/>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364" w:lineRule="auto"/>
              <w:ind w:left="0" w:right="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质量、安全保证体系及保证措施</w:t>
            </w:r>
          </w:p>
        </w:tc>
        <w:tc>
          <w:tcPr>
            <w:tcW w:w="317"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bidi w:val="0"/>
              <w:adjustRightInd/>
              <w:snapToGrid/>
              <w:ind w:left="0" w:right="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u w:val="single"/>
                <w:lang w:val="en-US" w:eastAsia="zh-CN"/>
              </w:rPr>
              <w:t>10</w:t>
            </w:r>
            <w:r>
              <w:rPr>
                <w:rFonts w:hint="eastAsia" w:ascii="宋体" w:hAnsi="宋体" w:eastAsia="宋体" w:cs="宋体"/>
                <w:color w:val="auto"/>
                <w:sz w:val="21"/>
                <w:highlight w:val="none"/>
              </w:rPr>
              <w:t>分</w:t>
            </w:r>
          </w:p>
        </w:tc>
        <w:tc>
          <w:tcPr>
            <w:tcW w:w="2827"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numPr>
                <w:ilvl w:val="0"/>
                <w:numId w:val="2"/>
              </w:numPr>
              <w:tabs>
                <w:tab w:val="left" w:pos="612"/>
              </w:tabs>
              <w:kinsoku/>
              <w:wordWrap/>
              <w:overflowPunct/>
              <w:topLinePunct w:val="0"/>
              <w:bidi w:val="0"/>
              <w:adjustRightInd/>
              <w:snapToGrid/>
              <w:spacing w:line="364" w:lineRule="auto"/>
              <w:ind w:left="0" w:right="0" w:firstLine="111"/>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对本项目质量及安全控制有透彻的认</w:t>
            </w:r>
            <w:r>
              <w:rPr>
                <w:rFonts w:hint="eastAsia" w:ascii="宋体" w:hAnsi="宋体" w:eastAsia="宋体" w:cs="宋体"/>
                <w:color w:val="auto"/>
                <w:sz w:val="21"/>
                <w:szCs w:val="24"/>
                <w:highlight w:val="none"/>
              </w:rPr>
              <w:t>识，对施工过程中可能发生的各种质量和安全问题有深刻的认识和合理的预见，并有相应的应对措施，应对措施应科学、充分，能有效处理各种突发问题的，得</w:t>
            </w:r>
            <w:r>
              <w:rPr>
                <w:rFonts w:hint="eastAsia" w:ascii="宋体" w:hAnsi="宋体" w:eastAsia="宋体" w:cs="宋体"/>
                <w:color w:val="auto"/>
                <w:spacing w:val="-4"/>
                <w:sz w:val="21"/>
                <w:szCs w:val="24"/>
                <w:highlight w:val="none"/>
                <w:lang w:val="en-US" w:eastAsia="zh-CN"/>
              </w:rPr>
              <w:t>8.1</w:t>
            </w:r>
            <w:r>
              <w:rPr>
                <w:rFonts w:hint="eastAsia" w:ascii="宋体" w:hAnsi="宋体" w:eastAsia="宋体" w:cs="宋体"/>
                <w:color w:val="auto"/>
                <w:spacing w:val="-4"/>
                <w:sz w:val="21"/>
                <w:szCs w:val="24"/>
                <w:highlight w:val="none"/>
              </w:rPr>
              <w:t>～1</w:t>
            </w:r>
            <w:r>
              <w:rPr>
                <w:rFonts w:hint="eastAsia" w:ascii="宋体" w:hAnsi="宋体" w:eastAsia="宋体" w:cs="宋体"/>
                <w:color w:val="auto"/>
                <w:spacing w:val="-4"/>
                <w:sz w:val="21"/>
                <w:szCs w:val="24"/>
                <w:highlight w:val="none"/>
                <w:lang w:val="en-US" w:eastAsia="zh-CN"/>
              </w:rPr>
              <w:t>0</w:t>
            </w:r>
            <w:r>
              <w:rPr>
                <w:rFonts w:hint="eastAsia" w:ascii="宋体" w:hAnsi="宋体" w:eastAsia="宋体" w:cs="宋体"/>
                <w:color w:val="auto"/>
                <w:spacing w:val="-4"/>
                <w:sz w:val="21"/>
                <w:szCs w:val="24"/>
                <w:highlight w:val="none"/>
              </w:rPr>
              <w:t>分</w:t>
            </w:r>
          </w:p>
          <w:p>
            <w:pPr>
              <w:pStyle w:val="9"/>
              <w:keepNext w:val="0"/>
              <w:keepLines w:val="0"/>
              <w:pageBreakBefore w:val="0"/>
              <w:widowControl w:val="0"/>
              <w:numPr>
                <w:ilvl w:val="0"/>
                <w:numId w:val="2"/>
              </w:numPr>
              <w:tabs>
                <w:tab w:val="left" w:pos="612"/>
              </w:tabs>
              <w:kinsoku/>
              <w:wordWrap/>
              <w:overflowPunct/>
              <w:topLinePunct w:val="0"/>
              <w:bidi w:val="0"/>
              <w:adjustRightInd/>
              <w:snapToGrid/>
              <w:spacing w:line="364" w:lineRule="auto"/>
              <w:ind w:left="0" w:right="0" w:firstLine="111"/>
              <w:jc w:val="both"/>
              <w:textAlignment w:val="auto"/>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对本项目质量及安全控制有一定的认</w:t>
            </w:r>
            <w:r>
              <w:rPr>
                <w:rFonts w:hint="eastAsia" w:ascii="宋体" w:hAnsi="宋体" w:eastAsia="宋体" w:cs="宋体"/>
                <w:color w:val="auto"/>
                <w:sz w:val="21"/>
                <w:szCs w:val="24"/>
                <w:highlight w:val="none"/>
              </w:rPr>
              <w:t>识，基本能合理的预见施工过程中可能发生的各种质量和安全问题，并有相应的应对措施，应对措施较为科学、充分，基本</w:t>
            </w:r>
            <w:r>
              <w:rPr>
                <w:rFonts w:hint="eastAsia" w:ascii="宋体" w:hAnsi="宋体" w:eastAsia="宋体" w:cs="宋体"/>
                <w:color w:val="auto"/>
                <w:spacing w:val="-1"/>
                <w:sz w:val="21"/>
                <w:szCs w:val="24"/>
                <w:highlight w:val="none"/>
              </w:rPr>
              <w:t>能有效处理各种质量和安全问题的，得</w:t>
            </w:r>
            <w:r>
              <w:rPr>
                <w:rFonts w:hint="eastAsia" w:ascii="宋体" w:hAnsi="宋体" w:eastAsia="宋体" w:cs="宋体"/>
                <w:color w:val="auto"/>
                <w:sz w:val="21"/>
                <w:szCs w:val="24"/>
                <w:highlight w:val="none"/>
                <w:lang w:val="en-US" w:eastAsia="zh-CN"/>
              </w:rPr>
              <w:t>6.1</w:t>
            </w: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8</w:t>
            </w:r>
            <w:r>
              <w:rPr>
                <w:rFonts w:hint="eastAsia" w:ascii="宋体" w:hAnsi="宋体" w:eastAsia="宋体" w:cs="宋体"/>
                <w:color w:val="auto"/>
                <w:sz w:val="21"/>
                <w:szCs w:val="24"/>
                <w:highlight w:val="none"/>
              </w:rPr>
              <w:t>分；</w:t>
            </w:r>
          </w:p>
          <w:p>
            <w:pPr>
              <w:pStyle w:val="9"/>
              <w:keepNext w:val="0"/>
              <w:keepLines w:val="0"/>
              <w:pageBreakBefore w:val="0"/>
              <w:widowControl w:val="0"/>
              <w:numPr>
                <w:ilvl w:val="0"/>
                <w:numId w:val="3"/>
              </w:numPr>
              <w:kinsoku/>
              <w:wordWrap/>
              <w:overflowPunct/>
              <w:topLinePunct w:val="0"/>
              <w:bidi w:val="0"/>
              <w:adjustRightInd/>
              <w:snapToGrid/>
              <w:ind w:left="0" w:right="0"/>
              <w:jc w:val="both"/>
              <w:textAlignment w:val="auto"/>
              <w:rPr>
                <w:rFonts w:hint="eastAsia" w:ascii="宋体" w:hAnsi="宋体" w:eastAsia="宋体" w:cs="宋体"/>
                <w:color w:val="auto"/>
                <w:sz w:val="20"/>
                <w:highlight w:val="none"/>
              </w:rPr>
            </w:pPr>
            <w:r>
              <w:rPr>
                <w:rFonts w:hint="eastAsia" w:ascii="宋体" w:hAnsi="宋体" w:eastAsia="宋体" w:cs="宋体"/>
                <w:color w:val="auto"/>
                <w:spacing w:val="-1"/>
                <w:sz w:val="21"/>
                <w:szCs w:val="24"/>
                <w:highlight w:val="none"/>
              </w:rPr>
              <w:t>一般但不被评定为不响应的，</w:t>
            </w:r>
            <w:r>
              <w:rPr>
                <w:rFonts w:hint="eastAsia" w:ascii="宋体" w:hAnsi="宋体" w:eastAsia="宋体" w:cs="宋体"/>
                <w:color w:val="auto"/>
                <w:sz w:val="21"/>
                <w:szCs w:val="24"/>
                <w:highlight w:val="none"/>
              </w:rPr>
              <w:t>得</w:t>
            </w:r>
            <w:r>
              <w:rPr>
                <w:rFonts w:hint="eastAsia" w:ascii="宋体" w:hAnsi="宋体" w:eastAsia="宋体" w:cs="宋体"/>
                <w:color w:val="auto"/>
                <w:sz w:val="21"/>
                <w:szCs w:val="24"/>
                <w:highlight w:val="none"/>
                <w:lang w:val="en-US" w:eastAsia="zh-CN"/>
              </w:rPr>
              <w:t>1</w:t>
            </w:r>
            <w:r>
              <w:rPr>
                <w:rFonts w:hint="eastAsia" w:ascii="宋体" w:hAnsi="宋体" w:eastAsia="宋体" w:cs="宋体"/>
                <w:color w:val="auto"/>
                <w:sz w:val="21"/>
                <w:szCs w:val="24"/>
                <w:highlight w:val="none"/>
              </w:rPr>
              <w:t>～</w:t>
            </w:r>
            <w:r>
              <w:rPr>
                <w:rFonts w:hint="eastAsia" w:ascii="宋体" w:hAnsi="宋体" w:eastAsia="宋体" w:cs="宋体"/>
                <w:color w:val="auto"/>
                <w:spacing w:val="-1"/>
                <w:sz w:val="21"/>
                <w:szCs w:val="24"/>
                <w:highlight w:val="none"/>
                <w:lang w:val="en-US" w:eastAsia="zh-CN"/>
              </w:rPr>
              <w:t>6</w:t>
            </w:r>
            <w:r>
              <w:rPr>
                <w:rFonts w:hint="eastAsia" w:ascii="宋体" w:hAnsi="宋体" w:eastAsia="宋体" w:cs="宋体"/>
                <w:color w:val="auto"/>
                <w:spacing w:val="-1"/>
                <w:sz w:val="21"/>
                <w:szCs w:val="24"/>
                <w:highlight w:val="none"/>
              </w:rPr>
              <w:t>分</w:t>
            </w:r>
            <w:r>
              <w:rPr>
                <w:rFonts w:hint="eastAsia" w:ascii="宋体" w:hAnsi="宋体" w:eastAsia="宋体" w:cs="宋体"/>
                <w:color w:val="auto"/>
                <w:sz w:val="21"/>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4" w:hRule="atLeast"/>
        </w:trPr>
        <w:tc>
          <w:tcPr>
            <w:tcW w:w="278" w:type="pct"/>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ind w:left="0" w:right="0"/>
              <w:textAlignment w:val="auto"/>
              <w:rPr>
                <w:rFonts w:hint="eastAsia" w:ascii="宋体" w:hAnsi="宋体" w:cs="宋体"/>
                <w:color w:val="auto"/>
                <w:sz w:val="2"/>
                <w:szCs w:val="2"/>
                <w:highlight w:val="none"/>
              </w:rPr>
            </w:pPr>
          </w:p>
        </w:tc>
        <w:tc>
          <w:tcPr>
            <w:tcW w:w="383" w:type="pct"/>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ind w:left="0" w:right="0"/>
              <w:textAlignment w:val="auto"/>
              <w:rPr>
                <w:rFonts w:hint="eastAsia" w:ascii="宋体" w:hAnsi="宋体" w:cs="宋体"/>
                <w:color w:val="auto"/>
                <w:sz w:val="2"/>
                <w:szCs w:val="2"/>
                <w:highlight w:val="none"/>
              </w:rPr>
            </w:pPr>
          </w:p>
        </w:tc>
        <w:tc>
          <w:tcPr>
            <w:tcW w:w="432" w:type="pct"/>
            <w:vMerge w:val="continue"/>
            <w:tcBorders>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bidi w:val="0"/>
              <w:adjustRightInd/>
              <w:snapToGrid/>
              <w:ind w:left="0" w:right="0"/>
              <w:textAlignment w:val="auto"/>
              <w:rPr>
                <w:rFonts w:hint="eastAsia" w:ascii="宋体" w:hAnsi="宋体" w:cs="宋体"/>
                <w:color w:val="auto"/>
                <w:sz w:val="2"/>
                <w:szCs w:val="2"/>
                <w:highlight w:val="none"/>
              </w:rPr>
            </w:pPr>
          </w:p>
        </w:tc>
        <w:tc>
          <w:tcPr>
            <w:tcW w:w="760"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autoSpaceDE w:val="0"/>
              <w:autoSpaceDN w:val="0"/>
              <w:bidi w:val="0"/>
              <w:adjustRightInd/>
              <w:snapToGrid/>
              <w:spacing w:line="364" w:lineRule="auto"/>
              <w:ind w:left="0" w:right="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环境保</w:t>
            </w:r>
            <w:r>
              <w:rPr>
                <w:rFonts w:hint="eastAsia" w:ascii="宋体" w:hAnsi="宋体" w:eastAsia="宋体" w:cs="宋体"/>
                <w:color w:val="auto"/>
                <w:spacing w:val="-18"/>
                <w:sz w:val="21"/>
                <w:highlight w:val="none"/>
              </w:rPr>
              <w:t>护、文明</w:t>
            </w:r>
            <w:r>
              <w:rPr>
                <w:rFonts w:hint="eastAsia" w:ascii="宋体" w:hAnsi="宋体" w:eastAsia="宋体" w:cs="宋体"/>
                <w:color w:val="auto"/>
                <w:sz w:val="21"/>
                <w:highlight w:val="none"/>
              </w:rPr>
              <w:t>施工保证体系及措施</w:t>
            </w:r>
          </w:p>
        </w:tc>
        <w:tc>
          <w:tcPr>
            <w:tcW w:w="317"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kinsoku/>
              <w:wordWrap/>
              <w:overflowPunct/>
              <w:topLinePunct w:val="0"/>
              <w:bidi w:val="0"/>
              <w:adjustRightInd/>
              <w:snapToGrid/>
              <w:ind w:left="0" w:right="0"/>
              <w:jc w:val="center"/>
              <w:textAlignment w:val="auto"/>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u w:val="single"/>
                <w:lang w:val="en-US" w:eastAsia="zh-CN"/>
              </w:rPr>
              <w:t>10</w:t>
            </w:r>
            <w:r>
              <w:rPr>
                <w:rFonts w:hint="eastAsia" w:ascii="宋体" w:hAnsi="宋体" w:eastAsia="宋体" w:cs="宋体"/>
                <w:color w:val="auto"/>
                <w:sz w:val="21"/>
                <w:highlight w:val="none"/>
              </w:rPr>
              <w:t>分</w:t>
            </w:r>
          </w:p>
        </w:tc>
        <w:tc>
          <w:tcPr>
            <w:tcW w:w="2827" w:type="pct"/>
            <w:tcBorders>
              <w:top w:val="single" w:color="auto" w:sz="4" w:space="0"/>
              <w:left w:val="single" w:color="auto" w:sz="4" w:space="0"/>
              <w:bottom w:val="single" w:color="auto" w:sz="4" w:space="0"/>
              <w:right w:val="single" w:color="auto" w:sz="4" w:space="0"/>
            </w:tcBorders>
            <w:noWrap w:val="0"/>
            <w:vAlign w:val="center"/>
          </w:tcPr>
          <w:p>
            <w:pPr>
              <w:pStyle w:val="9"/>
              <w:keepNext w:val="0"/>
              <w:keepLines w:val="0"/>
              <w:pageBreakBefore w:val="0"/>
              <w:widowControl w:val="0"/>
              <w:numPr>
                <w:ilvl w:val="0"/>
                <w:numId w:val="4"/>
              </w:numPr>
              <w:tabs>
                <w:tab w:val="left" w:pos="611"/>
              </w:tabs>
              <w:kinsoku/>
              <w:wordWrap/>
              <w:overflowPunct/>
              <w:topLinePunct w:val="0"/>
              <w:bidi w:val="0"/>
              <w:adjustRightInd/>
              <w:snapToGrid/>
              <w:spacing w:line="364" w:lineRule="auto"/>
              <w:ind w:left="0" w:right="0" w:firstLine="110"/>
              <w:textAlignment w:val="auto"/>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对本项目的环保及文明施工等工作有</w:t>
            </w:r>
            <w:r>
              <w:rPr>
                <w:rFonts w:hint="eastAsia" w:ascii="宋体" w:hAnsi="宋体" w:eastAsia="宋体" w:cs="宋体"/>
                <w:color w:val="auto"/>
                <w:sz w:val="21"/>
                <w:szCs w:val="24"/>
                <w:highlight w:val="none"/>
              </w:rPr>
              <w:t>独到的见解，能制定科学的措施，施工做到符合环保的要求，对文明施工有相应的</w:t>
            </w:r>
            <w:r>
              <w:rPr>
                <w:rFonts w:hint="eastAsia" w:ascii="宋体" w:hAnsi="宋体" w:eastAsia="宋体" w:cs="宋体"/>
                <w:color w:val="auto"/>
                <w:spacing w:val="-3"/>
                <w:sz w:val="21"/>
                <w:szCs w:val="24"/>
                <w:highlight w:val="none"/>
              </w:rPr>
              <w:t>措施，能创造良好的施工环境的，得</w:t>
            </w:r>
            <w:r>
              <w:rPr>
                <w:rFonts w:hint="eastAsia" w:ascii="宋体" w:hAnsi="宋体" w:eastAsia="宋体" w:cs="宋体"/>
                <w:color w:val="auto"/>
                <w:spacing w:val="-3"/>
                <w:sz w:val="21"/>
                <w:szCs w:val="24"/>
                <w:highlight w:val="none"/>
                <w:lang w:val="en-US" w:eastAsia="zh-CN"/>
              </w:rPr>
              <w:t>8.1</w:t>
            </w:r>
            <w:r>
              <w:rPr>
                <w:rFonts w:hint="eastAsia" w:ascii="宋体" w:hAnsi="宋体" w:eastAsia="宋体" w:cs="宋体"/>
                <w:color w:val="auto"/>
                <w:spacing w:val="-4"/>
                <w:sz w:val="21"/>
                <w:szCs w:val="24"/>
                <w:highlight w:val="none"/>
              </w:rPr>
              <w:t>～</w:t>
            </w:r>
            <w:r>
              <w:rPr>
                <w:rFonts w:hint="eastAsia" w:ascii="宋体" w:hAnsi="宋体" w:eastAsia="宋体" w:cs="宋体"/>
                <w:color w:val="auto"/>
                <w:spacing w:val="-4"/>
                <w:sz w:val="21"/>
                <w:szCs w:val="24"/>
                <w:highlight w:val="none"/>
                <w:lang w:val="en-US" w:eastAsia="zh-CN"/>
              </w:rPr>
              <w:t>10</w:t>
            </w:r>
            <w:r>
              <w:rPr>
                <w:rFonts w:hint="eastAsia" w:ascii="宋体" w:hAnsi="宋体" w:eastAsia="宋体" w:cs="宋体"/>
                <w:color w:val="auto"/>
                <w:sz w:val="21"/>
                <w:szCs w:val="24"/>
                <w:highlight w:val="none"/>
              </w:rPr>
              <w:t>分；</w:t>
            </w:r>
          </w:p>
          <w:p>
            <w:pPr>
              <w:pStyle w:val="9"/>
              <w:keepNext w:val="0"/>
              <w:keepLines w:val="0"/>
              <w:pageBreakBefore w:val="0"/>
              <w:widowControl w:val="0"/>
              <w:numPr>
                <w:ilvl w:val="0"/>
                <w:numId w:val="4"/>
              </w:numPr>
              <w:tabs>
                <w:tab w:val="left" w:pos="611"/>
              </w:tabs>
              <w:kinsoku/>
              <w:wordWrap/>
              <w:overflowPunct/>
              <w:topLinePunct w:val="0"/>
              <w:bidi w:val="0"/>
              <w:adjustRightInd/>
              <w:snapToGrid/>
              <w:spacing w:line="364" w:lineRule="auto"/>
              <w:ind w:left="0" w:right="0" w:firstLine="110"/>
              <w:textAlignment w:val="auto"/>
              <w:rPr>
                <w:rFonts w:hint="eastAsia" w:ascii="宋体" w:hAnsi="宋体" w:eastAsia="宋体" w:cs="宋体"/>
                <w:color w:val="auto"/>
                <w:sz w:val="21"/>
                <w:szCs w:val="24"/>
                <w:highlight w:val="none"/>
              </w:rPr>
            </w:pPr>
            <w:r>
              <w:rPr>
                <w:rFonts w:hint="eastAsia" w:ascii="宋体" w:hAnsi="宋体" w:eastAsia="宋体" w:cs="宋体"/>
                <w:color w:val="auto"/>
                <w:spacing w:val="-1"/>
                <w:sz w:val="21"/>
                <w:szCs w:val="24"/>
                <w:highlight w:val="none"/>
              </w:rPr>
              <w:t>对工程环保及文明施工等工作制定有</w:t>
            </w:r>
            <w:r>
              <w:rPr>
                <w:rFonts w:hint="eastAsia" w:ascii="宋体" w:hAnsi="宋体" w:eastAsia="宋体" w:cs="宋体"/>
                <w:color w:val="auto"/>
                <w:sz w:val="21"/>
                <w:szCs w:val="24"/>
                <w:highlight w:val="none"/>
              </w:rPr>
              <w:t>相关的措施，基本能满足本项目环保及文明施工的要求的，得</w:t>
            </w:r>
            <w:r>
              <w:rPr>
                <w:rFonts w:hint="eastAsia" w:ascii="宋体" w:hAnsi="宋体" w:eastAsia="宋体" w:cs="宋体"/>
                <w:color w:val="auto"/>
                <w:sz w:val="21"/>
                <w:szCs w:val="24"/>
                <w:highlight w:val="none"/>
                <w:lang w:val="en-US" w:eastAsia="zh-CN"/>
              </w:rPr>
              <w:t>6.1</w:t>
            </w:r>
            <w:r>
              <w:rPr>
                <w:rFonts w:hint="eastAsia" w:ascii="宋体" w:hAnsi="宋体" w:eastAsia="宋体" w:cs="宋体"/>
                <w:color w:val="auto"/>
                <w:sz w:val="21"/>
                <w:szCs w:val="24"/>
                <w:highlight w:val="none"/>
              </w:rPr>
              <w:t>～</w:t>
            </w:r>
            <w:r>
              <w:rPr>
                <w:rFonts w:hint="eastAsia" w:ascii="宋体" w:hAnsi="宋体" w:eastAsia="宋体" w:cs="宋体"/>
                <w:color w:val="auto"/>
                <w:sz w:val="21"/>
                <w:szCs w:val="24"/>
                <w:highlight w:val="none"/>
                <w:lang w:val="en-US" w:eastAsia="zh-CN"/>
              </w:rPr>
              <w:t>8</w:t>
            </w:r>
            <w:r>
              <w:rPr>
                <w:rFonts w:hint="eastAsia" w:ascii="宋体" w:hAnsi="宋体" w:eastAsia="宋体" w:cs="宋体"/>
                <w:color w:val="auto"/>
                <w:sz w:val="21"/>
                <w:szCs w:val="24"/>
                <w:highlight w:val="none"/>
              </w:rPr>
              <w:t>分；</w:t>
            </w:r>
          </w:p>
          <w:p>
            <w:pPr>
              <w:pStyle w:val="9"/>
              <w:keepNext w:val="0"/>
              <w:keepLines w:val="0"/>
              <w:pageBreakBefore w:val="0"/>
              <w:widowControl w:val="0"/>
              <w:numPr>
                <w:ilvl w:val="0"/>
                <w:numId w:val="0"/>
              </w:numPr>
              <w:kinsoku/>
              <w:wordWrap/>
              <w:overflowPunct/>
              <w:topLinePunct w:val="0"/>
              <w:bidi w:val="0"/>
              <w:adjustRightInd/>
              <w:snapToGrid/>
              <w:ind w:left="0" w:right="0"/>
              <w:jc w:val="both"/>
              <w:textAlignment w:val="auto"/>
              <w:rPr>
                <w:rFonts w:hint="eastAsia" w:ascii="宋体" w:hAnsi="宋体" w:eastAsia="宋体" w:cs="宋体"/>
                <w:color w:val="auto"/>
                <w:spacing w:val="-1"/>
                <w:sz w:val="21"/>
                <w:szCs w:val="24"/>
                <w:highlight w:val="none"/>
              </w:rPr>
            </w:pPr>
            <w:r>
              <w:rPr>
                <w:rFonts w:hint="eastAsia" w:ascii="宋体" w:hAnsi="宋体" w:eastAsia="宋体" w:cs="宋体"/>
                <w:color w:val="auto"/>
                <w:spacing w:val="-1"/>
                <w:sz w:val="21"/>
                <w:szCs w:val="24"/>
                <w:highlight w:val="none"/>
              </w:rPr>
              <w:t>一般但不被评定为不响应的，</w:t>
            </w:r>
            <w:r>
              <w:rPr>
                <w:rFonts w:hint="eastAsia" w:ascii="宋体" w:hAnsi="宋体" w:eastAsia="宋体" w:cs="宋体"/>
                <w:color w:val="auto"/>
                <w:sz w:val="21"/>
                <w:szCs w:val="24"/>
                <w:highlight w:val="none"/>
              </w:rPr>
              <w:t>得</w:t>
            </w:r>
            <w:r>
              <w:rPr>
                <w:rFonts w:hint="eastAsia" w:ascii="宋体" w:hAnsi="宋体" w:eastAsia="宋体" w:cs="宋体"/>
                <w:color w:val="auto"/>
                <w:sz w:val="21"/>
                <w:szCs w:val="24"/>
                <w:highlight w:val="none"/>
                <w:lang w:val="en-US" w:eastAsia="zh-CN"/>
              </w:rPr>
              <w:t>1</w:t>
            </w:r>
            <w:r>
              <w:rPr>
                <w:rFonts w:hint="eastAsia" w:ascii="宋体" w:hAnsi="宋体" w:eastAsia="宋体" w:cs="宋体"/>
                <w:color w:val="auto"/>
                <w:sz w:val="21"/>
                <w:szCs w:val="24"/>
                <w:highlight w:val="none"/>
              </w:rPr>
              <w:t>～</w:t>
            </w:r>
            <w:r>
              <w:rPr>
                <w:rFonts w:hint="eastAsia" w:ascii="宋体" w:hAnsi="宋体" w:eastAsia="宋体" w:cs="宋体"/>
                <w:color w:val="auto"/>
                <w:spacing w:val="-1"/>
                <w:sz w:val="21"/>
                <w:szCs w:val="24"/>
                <w:highlight w:val="none"/>
                <w:lang w:val="en-US" w:eastAsia="zh-CN"/>
              </w:rPr>
              <w:t>6</w:t>
            </w:r>
            <w:r>
              <w:rPr>
                <w:rFonts w:hint="eastAsia" w:ascii="宋体" w:hAnsi="宋体" w:eastAsia="宋体" w:cs="宋体"/>
                <w:color w:val="auto"/>
                <w:spacing w:val="-1"/>
                <w:sz w:val="21"/>
                <w:szCs w:val="24"/>
                <w:highlight w:val="none"/>
              </w:rPr>
              <w:t>分</w:t>
            </w:r>
            <w:r>
              <w:rPr>
                <w:rFonts w:hint="eastAsia" w:ascii="宋体" w:hAnsi="宋体" w:eastAsia="宋体" w:cs="宋体"/>
                <w:color w:val="auto"/>
                <w:sz w:val="21"/>
                <w:szCs w:val="24"/>
                <w:highlight w:val="none"/>
              </w:rPr>
              <w:t>。</w:t>
            </w:r>
          </w:p>
        </w:tc>
      </w:tr>
    </w:tbl>
    <w:p>
      <w:pPr>
        <w:rPr>
          <w:highlight w:val="none"/>
        </w:rPr>
      </w:pPr>
    </w:p>
    <w:p>
      <w:pPr>
        <w:pStyle w:val="2"/>
        <w:rPr>
          <w:highlight w:val="none"/>
        </w:rPr>
      </w:pPr>
    </w:p>
    <w:tbl>
      <w:tblPr>
        <w:tblStyle w:val="6"/>
        <w:tblW w:w="582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8"/>
        <w:gridCol w:w="437"/>
        <w:gridCol w:w="402"/>
        <w:gridCol w:w="535"/>
        <w:gridCol w:w="1270"/>
        <w:gridCol w:w="497"/>
        <w:gridCol w:w="5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8" w:hRule="atLeast"/>
        </w:trPr>
        <w:tc>
          <w:tcPr>
            <w:tcW w:w="359" w:type="pct"/>
            <w:vMerge w:val="restart"/>
            <w:tcBorders>
              <w:top w:val="single" w:color="auto" w:sz="4" w:space="0"/>
            </w:tcBorders>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2.2.2（2）</w:t>
            </w:r>
          </w:p>
        </w:tc>
        <w:tc>
          <w:tcPr>
            <w:tcW w:w="433" w:type="pct"/>
            <w:gridSpan w:val="2"/>
            <w:vMerge w:val="restart"/>
            <w:tcBorders>
              <w:top w:val="single" w:color="auto" w:sz="4" w:space="0"/>
            </w:tcBorders>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主要人员</w:t>
            </w:r>
          </w:p>
        </w:tc>
        <w:tc>
          <w:tcPr>
            <w:tcW w:w="275" w:type="pct"/>
            <w:vMerge w:val="restart"/>
            <w:tcBorders>
              <w:top w:val="single" w:color="auto" w:sz="4" w:space="0"/>
            </w:tcBorders>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35</w:t>
            </w:r>
            <w:r>
              <w:rPr>
                <w:rFonts w:hint="eastAsia" w:ascii="宋体" w:hAnsi="宋体" w:eastAsia="宋体" w:cs="宋体"/>
                <w:color w:val="auto"/>
                <w:sz w:val="21"/>
                <w:highlight w:val="none"/>
              </w:rPr>
              <w:t>分</w:t>
            </w:r>
          </w:p>
        </w:tc>
        <w:tc>
          <w:tcPr>
            <w:tcW w:w="655" w:type="pct"/>
            <w:tcBorders>
              <w:top w:val="single" w:color="auto" w:sz="4" w:space="0"/>
            </w:tcBorders>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项目经理任职资格与业绩</w:t>
            </w:r>
          </w:p>
        </w:tc>
        <w:tc>
          <w:tcPr>
            <w:tcW w:w="256" w:type="pct"/>
            <w:tcBorders>
              <w:top w:val="single" w:color="auto" w:sz="4" w:space="0"/>
            </w:tcBorders>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i/>
                <w:iCs/>
                <w:color w:val="auto"/>
                <w:sz w:val="21"/>
                <w:highlight w:val="none"/>
              </w:rPr>
            </w:pPr>
            <w:r>
              <w:rPr>
                <w:rFonts w:hint="eastAsia" w:ascii="宋体" w:hAnsi="宋体" w:eastAsia="宋体" w:cs="宋体"/>
                <w:color w:val="auto"/>
                <w:sz w:val="21"/>
                <w:highlight w:val="none"/>
                <w:u w:val="single"/>
                <w:lang w:val="en-US" w:eastAsia="zh-CN"/>
              </w:rPr>
              <w:t>20</w:t>
            </w:r>
            <w:r>
              <w:rPr>
                <w:rFonts w:hint="eastAsia" w:ascii="宋体" w:hAnsi="宋体" w:eastAsia="宋体" w:cs="宋体"/>
                <w:color w:val="auto"/>
                <w:sz w:val="21"/>
                <w:highlight w:val="none"/>
                <w:u w:val="single"/>
              </w:rPr>
              <w:t>分</w:t>
            </w:r>
          </w:p>
        </w:tc>
        <w:tc>
          <w:tcPr>
            <w:tcW w:w="3019" w:type="pct"/>
            <w:tcBorders>
              <w:top w:val="single" w:color="auto" w:sz="4" w:space="0"/>
            </w:tcBorders>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highlight w:val="none"/>
              </w:rPr>
            </w:pPr>
            <w:r>
              <w:rPr>
                <w:rFonts w:hint="eastAsia"/>
                <w:highlight w:val="none"/>
                <w:lang w:eastAsia="zh-CN"/>
              </w:rPr>
              <w:t xml:space="preserve">项目经理在满足资格审查条件的最低要求时，得 </w:t>
            </w:r>
            <w:r>
              <w:rPr>
                <w:rFonts w:hint="eastAsia"/>
                <w:highlight w:val="none"/>
                <w:lang w:val="en-US" w:eastAsia="zh-CN"/>
              </w:rPr>
              <w:t>18</w:t>
            </w:r>
            <w:r>
              <w:rPr>
                <w:rFonts w:hint="eastAsia"/>
                <w:highlight w:val="none"/>
                <w:lang w:eastAsia="zh-CN"/>
              </w:rPr>
              <w:t xml:space="preserve">分 ； </w:t>
            </w:r>
          </w:p>
          <w:p>
            <w:pPr>
              <w:pStyle w:val="9"/>
              <w:keepNext w:val="0"/>
              <w:keepLines w:val="0"/>
              <w:pageBreakBefore w:val="0"/>
              <w:widowControl w:val="0"/>
              <w:numPr>
                <w:ilvl w:val="0"/>
                <w:numId w:val="5"/>
              </w:numPr>
              <w:kinsoku/>
              <w:wordWrap/>
              <w:overflowPunct/>
              <w:topLinePunct w:val="0"/>
              <w:bidi w:val="0"/>
              <w:spacing w:line="360" w:lineRule="exact"/>
              <w:ind w:left="0" w:right="0" w:rightChars="0" w:firstLine="0" w:firstLineChars="0"/>
              <w:jc w:val="both"/>
              <w:textAlignment w:val="auto"/>
              <w:rPr>
                <w:rFonts w:hint="eastAsia"/>
                <w:highlight w:val="none"/>
                <w:lang w:eastAsia="zh-CN"/>
              </w:rPr>
            </w:pPr>
            <w:r>
              <w:rPr>
                <w:rFonts w:hint="eastAsia"/>
                <w:highlight w:val="none"/>
                <w:lang w:eastAsia="zh-CN"/>
              </w:rPr>
              <w:t xml:space="preserve">项目经理及备选项目经理（如有）均具有高级工程师（或以上）职称的，加 </w:t>
            </w:r>
            <w:r>
              <w:rPr>
                <w:rFonts w:hint="eastAsia"/>
                <w:highlight w:val="none"/>
                <w:lang w:val="en-US" w:eastAsia="zh-CN"/>
              </w:rPr>
              <w:t>1</w:t>
            </w:r>
            <w:r>
              <w:rPr>
                <w:rFonts w:hint="eastAsia"/>
                <w:highlight w:val="none"/>
                <w:lang w:eastAsia="zh-CN"/>
              </w:rPr>
              <w:t xml:space="preserve"> 分； </w:t>
            </w:r>
          </w:p>
          <w:p>
            <w:pPr>
              <w:pStyle w:val="9"/>
              <w:keepNext w:val="0"/>
              <w:keepLines w:val="0"/>
              <w:pageBreakBefore w:val="0"/>
              <w:widowControl w:val="0"/>
              <w:numPr>
                <w:ilvl w:val="0"/>
                <w:numId w:val="5"/>
              </w:numPr>
              <w:kinsoku/>
              <w:wordWrap/>
              <w:overflowPunct/>
              <w:topLinePunct w:val="0"/>
              <w:bidi w:val="0"/>
              <w:spacing w:line="360" w:lineRule="exact"/>
              <w:ind w:left="0" w:right="0" w:rightChars="0" w:firstLine="0" w:firstLineChars="0"/>
              <w:jc w:val="both"/>
              <w:textAlignment w:val="auto"/>
              <w:rPr>
                <w:rFonts w:hint="eastAsia"/>
                <w:highlight w:val="none"/>
                <w:lang w:eastAsia="zh-CN"/>
              </w:rPr>
            </w:pPr>
            <w:r>
              <w:rPr>
                <w:rFonts w:hint="eastAsia"/>
                <w:highlight w:val="none"/>
                <w:lang w:eastAsia="zh-CN"/>
              </w:rPr>
              <w:t>担任1个类似项目项目经理（或项目副经理、项目总工、项目副总工）岗位工作经验的，加</w:t>
            </w:r>
            <w:r>
              <w:rPr>
                <w:rFonts w:hint="eastAsia"/>
                <w:highlight w:val="none"/>
                <w:lang w:val="en-US" w:eastAsia="zh-CN"/>
              </w:rPr>
              <w:t xml:space="preserve"> 1 </w:t>
            </w:r>
            <w:r>
              <w:rPr>
                <w:rFonts w:hint="eastAsia"/>
                <w:highlight w:val="none"/>
                <w:lang w:eastAsia="zh-CN"/>
              </w:rPr>
              <w:t>分（最高加</w:t>
            </w:r>
            <w:r>
              <w:rPr>
                <w:rFonts w:hint="eastAsia"/>
                <w:highlight w:val="none"/>
                <w:lang w:val="en-US" w:eastAsia="zh-CN"/>
              </w:rPr>
              <w:t xml:space="preserve"> 1 分</w:t>
            </w:r>
            <w:r>
              <w:rPr>
                <w:rFonts w:hint="eastAsia"/>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right="0" w:rightChars="0" w:firstLine="0" w:firstLineChars="0"/>
              <w:jc w:val="left"/>
              <w:textAlignment w:val="auto"/>
              <w:rPr>
                <w:rFonts w:hint="eastAsia"/>
                <w:highlight w:val="none"/>
                <w:lang w:eastAsia="zh-CN"/>
              </w:rPr>
            </w:pPr>
            <w:r>
              <w:rPr>
                <w:rFonts w:hint="eastAsia"/>
                <w:highlight w:val="none"/>
                <w:lang w:eastAsia="zh-CN"/>
              </w:rPr>
              <w:t>注：1、提供“全国公路建设市场信用信息管理系统” 载明的个人业绩截图； 岗位经验累计时间统计方式详见投标人须知附录5。</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right="0" w:rightChars="0" w:firstLine="0" w:firstLineChars="0"/>
              <w:jc w:val="left"/>
              <w:textAlignment w:val="auto"/>
              <w:rPr>
                <w:rFonts w:hint="eastAsia"/>
                <w:highlight w:val="none"/>
              </w:rPr>
            </w:pPr>
            <w:r>
              <w:rPr>
                <w:rFonts w:hint="eastAsia"/>
                <w:highlight w:val="none"/>
              </w:rPr>
              <w:t>2、如投标人不提供备选项目经理，则本项目得分按主选项目经理计算；</w:t>
            </w:r>
          </w:p>
          <w:p>
            <w:pPr>
              <w:pStyle w:val="4"/>
              <w:rPr>
                <w:rFonts w:hint="eastAsia"/>
                <w:highlight w:val="none"/>
              </w:rPr>
            </w:pPr>
            <w:r>
              <w:rPr>
                <w:rFonts w:hint="eastAsia" w:ascii="Times New Roman" w:hAnsi="Times New Roman" w:eastAsia="宋体" w:cs="Times New Roman"/>
                <w:kern w:val="2"/>
                <w:sz w:val="21"/>
                <w:szCs w:val="24"/>
                <w:highlight w:val="none"/>
                <w:lang w:val="en-US" w:eastAsia="zh-CN" w:bidi="ar-SA"/>
              </w:rPr>
              <w:t>3、如投标人提供备选项目经理，则本项目得分按主备选项目经理中最低得分计算。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0" w:hRule="atLeast"/>
        </w:trPr>
        <w:tc>
          <w:tcPr>
            <w:tcW w:w="359" w:type="pct"/>
            <w:vMerge w:val="continue"/>
            <w:tcBorders>
              <w:top w:val="nil"/>
            </w:tcBorders>
            <w:noWrap w:val="0"/>
            <w:vAlign w:val="center"/>
          </w:tcPr>
          <w:p>
            <w:pPr>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cs="宋体"/>
                <w:color w:val="auto"/>
                <w:sz w:val="2"/>
                <w:szCs w:val="2"/>
                <w:highlight w:val="none"/>
              </w:rPr>
            </w:pPr>
          </w:p>
        </w:tc>
        <w:tc>
          <w:tcPr>
            <w:tcW w:w="433" w:type="pct"/>
            <w:gridSpan w:val="2"/>
            <w:vMerge w:val="continue"/>
            <w:tcBorders>
              <w:top w:val="nil"/>
            </w:tcBorders>
            <w:noWrap w:val="0"/>
            <w:vAlign w:val="center"/>
          </w:tcPr>
          <w:p>
            <w:pPr>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cs="宋体"/>
                <w:color w:val="auto"/>
                <w:sz w:val="2"/>
                <w:szCs w:val="2"/>
                <w:highlight w:val="none"/>
              </w:rPr>
            </w:pPr>
          </w:p>
        </w:tc>
        <w:tc>
          <w:tcPr>
            <w:tcW w:w="275" w:type="pct"/>
            <w:vMerge w:val="continue"/>
            <w:tcBorders>
              <w:top w:val="nil"/>
            </w:tcBorders>
            <w:noWrap w:val="0"/>
            <w:vAlign w:val="center"/>
          </w:tcPr>
          <w:p>
            <w:pPr>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cs="宋体"/>
                <w:color w:val="auto"/>
                <w:sz w:val="2"/>
                <w:szCs w:val="2"/>
                <w:highlight w:val="none"/>
              </w:rPr>
            </w:pPr>
          </w:p>
        </w:tc>
        <w:tc>
          <w:tcPr>
            <w:tcW w:w="655" w:type="pct"/>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项目总工任职资格与业绩</w:t>
            </w:r>
          </w:p>
        </w:tc>
        <w:tc>
          <w:tcPr>
            <w:tcW w:w="256" w:type="pct"/>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u w:val="single"/>
                <w:lang w:val="en-US" w:eastAsia="zh-CN"/>
              </w:rPr>
              <w:t>15</w:t>
            </w:r>
            <w:r>
              <w:rPr>
                <w:rFonts w:hint="eastAsia" w:ascii="宋体" w:hAnsi="宋体" w:eastAsia="宋体" w:cs="宋体"/>
                <w:color w:val="auto"/>
                <w:sz w:val="21"/>
                <w:highlight w:val="none"/>
              </w:rPr>
              <w:t>分</w:t>
            </w:r>
          </w:p>
        </w:tc>
        <w:tc>
          <w:tcPr>
            <w:tcW w:w="3019" w:type="pct"/>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z w:val="18"/>
                <w:highlight w:val="none"/>
                <w:lang w:eastAsia="zh-CN"/>
              </w:rPr>
              <w:t>项</w:t>
            </w:r>
            <w:r>
              <w:rPr>
                <w:rFonts w:hint="eastAsia" w:ascii="宋体" w:hAnsi="宋体" w:eastAsia="宋体" w:cs="宋体"/>
                <w:color w:val="auto"/>
                <w:spacing w:val="-8"/>
                <w:sz w:val="21"/>
                <w:szCs w:val="21"/>
                <w:highlight w:val="none"/>
                <w:lang w:eastAsia="zh-CN"/>
              </w:rPr>
              <w:t>目总工在满足资格审查条件的最低要求时，得</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b/>
                <w:bCs/>
                <w:color w:val="auto"/>
                <w:spacing w:val="-8"/>
                <w:sz w:val="24"/>
                <w:szCs w:val="24"/>
                <w:highlight w:val="none"/>
                <w:lang w:val="en-US" w:eastAsia="zh-CN"/>
              </w:rPr>
              <w:t xml:space="preserve">13 </w:t>
            </w:r>
            <w:r>
              <w:rPr>
                <w:rFonts w:hint="eastAsia" w:ascii="宋体" w:hAnsi="宋体" w:eastAsia="宋体" w:cs="宋体"/>
                <w:color w:val="auto"/>
                <w:spacing w:val="-8"/>
                <w:sz w:val="21"/>
                <w:szCs w:val="21"/>
                <w:highlight w:val="none"/>
                <w:lang w:eastAsia="zh-CN"/>
              </w:rPr>
              <w:t xml:space="preserve">分； </w:t>
            </w:r>
          </w:p>
          <w:p>
            <w:pPr>
              <w:pStyle w:val="9"/>
              <w:keepNext w:val="0"/>
              <w:keepLines w:val="0"/>
              <w:pageBreakBefore w:val="0"/>
              <w:widowControl w:val="0"/>
              <w:numPr>
                <w:ilvl w:val="0"/>
                <w:numId w:val="6"/>
              </w:numPr>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val="en-US" w:eastAsia="zh-CN"/>
              </w:rPr>
              <w:t>项目总工</w:t>
            </w:r>
            <w:r>
              <w:rPr>
                <w:rFonts w:hint="eastAsia" w:ascii="宋体" w:hAnsi="宋体" w:eastAsia="宋体" w:cs="宋体"/>
                <w:color w:val="auto"/>
                <w:spacing w:val="-8"/>
                <w:sz w:val="21"/>
                <w:szCs w:val="21"/>
                <w:highlight w:val="none"/>
                <w:lang w:eastAsia="zh-CN"/>
              </w:rPr>
              <w:t>及备选项目</w:t>
            </w:r>
            <w:r>
              <w:rPr>
                <w:rFonts w:hint="eastAsia" w:ascii="宋体" w:hAnsi="宋体" w:eastAsia="宋体" w:cs="宋体"/>
                <w:color w:val="auto"/>
                <w:spacing w:val="-8"/>
                <w:sz w:val="21"/>
                <w:szCs w:val="21"/>
                <w:highlight w:val="none"/>
                <w:lang w:val="en-US" w:eastAsia="zh-CN"/>
              </w:rPr>
              <w:t>总工</w:t>
            </w:r>
            <w:r>
              <w:rPr>
                <w:rFonts w:hint="eastAsia" w:ascii="宋体" w:hAnsi="宋体" w:eastAsia="宋体" w:cs="宋体"/>
                <w:color w:val="auto"/>
                <w:spacing w:val="-8"/>
                <w:sz w:val="21"/>
                <w:szCs w:val="21"/>
                <w:highlight w:val="none"/>
                <w:lang w:eastAsia="zh-CN"/>
              </w:rPr>
              <w:t xml:space="preserve">（如有）均具有高级工程师（或以上）职称的加 </w:t>
            </w:r>
            <w:r>
              <w:rPr>
                <w:rFonts w:hint="eastAsia" w:ascii="宋体" w:hAnsi="宋体" w:eastAsia="宋体" w:cs="宋体"/>
                <w:b/>
                <w:bCs/>
                <w:color w:val="auto"/>
                <w:spacing w:val="-8"/>
                <w:sz w:val="24"/>
                <w:szCs w:val="24"/>
                <w:highlight w:val="none"/>
                <w:lang w:val="en-US" w:eastAsia="zh-CN"/>
              </w:rPr>
              <w:t>1</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8"/>
                <w:sz w:val="21"/>
                <w:szCs w:val="21"/>
                <w:highlight w:val="none"/>
                <w:lang w:eastAsia="zh-CN"/>
              </w:rPr>
              <w:t xml:space="preserve">分。 </w:t>
            </w:r>
          </w:p>
          <w:p>
            <w:pPr>
              <w:pStyle w:val="9"/>
              <w:keepNext w:val="0"/>
              <w:keepLines w:val="0"/>
              <w:pageBreakBefore w:val="0"/>
              <w:widowControl w:val="0"/>
              <w:numPr>
                <w:ilvl w:val="0"/>
                <w:numId w:val="6"/>
              </w:numPr>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担任1个类似业绩项目项目总工(或项目副总工、项目经理、项目副经理) 岗位工作经验的，加</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b/>
                <w:bCs/>
                <w:color w:val="auto"/>
                <w:spacing w:val="-8"/>
                <w:sz w:val="24"/>
                <w:szCs w:val="24"/>
                <w:highlight w:val="none"/>
                <w:lang w:val="en-US" w:eastAsia="zh-CN"/>
              </w:rPr>
              <w:t>1</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1"/>
                <w:szCs w:val="21"/>
                <w:highlight w:val="none"/>
                <w:lang w:eastAsia="zh-CN"/>
              </w:rPr>
              <w:t>分（最高加</w:t>
            </w:r>
            <w:r>
              <w:rPr>
                <w:rFonts w:hint="eastAsia" w:ascii="宋体" w:hAnsi="宋体" w:eastAsia="宋体" w:cs="宋体"/>
                <w:color w:val="auto"/>
                <w:spacing w:val="-8"/>
                <w:sz w:val="21"/>
                <w:szCs w:val="21"/>
                <w:highlight w:val="none"/>
                <w:lang w:val="en-US" w:eastAsia="zh-CN"/>
              </w:rPr>
              <w:t xml:space="preserve"> </w:t>
            </w:r>
            <w:r>
              <w:rPr>
                <w:rFonts w:hint="eastAsia" w:ascii="宋体" w:hAnsi="宋体" w:eastAsia="宋体" w:cs="宋体"/>
                <w:b/>
                <w:bCs/>
                <w:color w:val="auto"/>
                <w:spacing w:val="-8"/>
                <w:sz w:val="21"/>
                <w:szCs w:val="21"/>
                <w:highlight w:val="none"/>
                <w:lang w:val="en-US" w:eastAsia="zh-CN"/>
              </w:rPr>
              <w:t>1</w:t>
            </w:r>
            <w:r>
              <w:rPr>
                <w:rFonts w:hint="eastAsia" w:ascii="宋体" w:hAnsi="宋体" w:eastAsia="宋体" w:cs="宋体"/>
                <w:color w:val="auto"/>
                <w:spacing w:val="-8"/>
                <w:sz w:val="21"/>
                <w:szCs w:val="21"/>
                <w:highlight w:val="none"/>
                <w:lang w:val="en-US" w:eastAsia="zh-CN"/>
              </w:rPr>
              <w:t xml:space="preserve"> 分</w:t>
            </w:r>
            <w:r>
              <w:rPr>
                <w:rFonts w:hint="eastAsia" w:ascii="宋体" w:hAnsi="宋体" w:eastAsia="宋体" w:cs="宋体"/>
                <w:color w:val="auto"/>
                <w:spacing w:val="-8"/>
                <w:sz w:val="21"/>
                <w:szCs w:val="21"/>
                <w:highlight w:val="none"/>
                <w:lang w:eastAsia="zh-CN"/>
              </w:rPr>
              <w:t>）；</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pacing w:val="-8"/>
                <w:sz w:val="21"/>
                <w:szCs w:val="21"/>
                <w:highlight w:val="none"/>
                <w:lang w:eastAsia="zh-CN"/>
              </w:rPr>
            </w:pPr>
            <w:r>
              <w:rPr>
                <w:rFonts w:hint="eastAsia" w:ascii="宋体" w:hAnsi="宋体" w:eastAsia="宋体" w:cs="宋体"/>
                <w:color w:val="auto"/>
                <w:spacing w:val="-8"/>
                <w:sz w:val="21"/>
                <w:szCs w:val="21"/>
                <w:highlight w:val="none"/>
                <w:lang w:eastAsia="zh-CN"/>
              </w:rPr>
              <w:t>注：1、需提供“全国公路建设市场信用信息管理系统” 载明的个人业绩截图； 岗位经验累计时间统计方式详见投标人须知附录5。</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right="0" w:rightChars="0" w:firstLine="0" w:firstLineChars="0"/>
              <w:jc w:val="left"/>
              <w:textAlignment w:val="auto"/>
              <w:rPr>
                <w:rFonts w:hint="eastAsia" w:ascii="宋体" w:hAnsi="宋体" w:cs="宋体"/>
                <w:color w:val="auto"/>
                <w:spacing w:val="-8"/>
                <w:szCs w:val="21"/>
                <w:highlight w:val="none"/>
              </w:rPr>
            </w:pPr>
            <w:r>
              <w:rPr>
                <w:rFonts w:hint="eastAsia" w:ascii="宋体" w:hAnsi="宋体" w:cs="宋体"/>
                <w:color w:val="auto"/>
                <w:spacing w:val="-8"/>
                <w:szCs w:val="21"/>
                <w:highlight w:val="none"/>
              </w:rPr>
              <w:t>2、若投标人不提供备选项目总工，则本项目得分按主选项目总工计算；</w:t>
            </w:r>
          </w:p>
          <w:p>
            <w:pPr>
              <w:keepNext w:val="0"/>
              <w:keepLines w:val="0"/>
              <w:pageBreakBefore w:val="0"/>
              <w:widowControl w:val="0"/>
              <w:kinsoku/>
              <w:wordWrap/>
              <w:overflowPunct/>
              <w:topLinePunct w:val="0"/>
              <w:autoSpaceDE w:val="0"/>
              <w:autoSpaceDN w:val="0"/>
              <w:bidi w:val="0"/>
              <w:adjustRightInd w:val="0"/>
              <w:snapToGrid w:val="0"/>
              <w:spacing w:line="360" w:lineRule="exact"/>
              <w:ind w:left="0" w:right="0" w:rightChars="0" w:firstLine="0" w:firstLineChars="0"/>
              <w:jc w:val="left"/>
              <w:textAlignment w:val="auto"/>
              <w:rPr>
                <w:rFonts w:hint="eastAsia" w:ascii="宋体" w:hAnsi="宋体" w:cs="宋体"/>
                <w:color w:val="auto"/>
                <w:sz w:val="18"/>
                <w:highlight w:val="none"/>
              </w:rPr>
            </w:pPr>
            <w:r>
              <w:rPr>
                <w:rFonts w:hint="eastAsia" w:ascii="宋体" w:hAnsi="宋体" w:cs="宋体"/>
                <w:color w:val="auto"/>
                <w:spacing w:val="-8"/>
                <w:szCs w:val="21"/>
                <w:highlight w:val="none"/>
              </w:rPr>
              <w:t xml:space="preserve">3、若投标人提供备选项目总工，则本项目得分按主备选项目总工中最低得分计算。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3" w:hRule="atLeast"/>
        </w:trPr>
        <w:tc>
          <w:tcPr>
            <w:tcW w:w="359" w:type="pct"/>
            <w:vMerge w:val="restart"/>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2.2.2（3）</w:t>
            </w:r>
          </w:p>
        </w:tc>
        <w:tc>
          <w:tcPr>
            <w:tcW w:w="225" w:type="pct"/>
            <w:vMerge w:val="restart"/>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其他因素</w:t>
            </w:r>
          </w:p>
        </w:tc>
        <w:tc>
          <w:tcPr>
            <w:tcW w:w="207" w:type="pct"/>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技术能力</w:t>
            </w:r>
          </w:p>
        </w:tc>
        <w:tc>
          <w:tcPr>
            <w:tcW w:w="275" w:type="pct"/>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u w:val="single"/>
                <w:lang w:val="en-US" w:eastAsia="zh-CN"/>
              </w:rPr>
              <w:t>20</w:t>
            </w:r>
            <w:r>
              <w:rPr>
                <w:rFonts w:hint="eastAsia" w:ascii="宋体" w:hAnsi="宋体" w:eastAsia="宋体" w:cs="宋体"/>
                <w:color w:val="auto"/>
                <w:sz w:val="21"/>
                <w:highlight w:val="none"/>
              </w:rPr>
              <w:t>分</w:t>
            </w:r>
          </w:p>
        </w:tc>
        <w:tc>
          <w:tcPr>
            <w:tcW w:w="655" w:type="pct"/>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技术能力</w:t>
            </w:r>
          </w:p>
        </w:tc>
        <w:tc>
          <w:tcPr>
            <w:tcW w:w="256" w:type="pct"/>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u w:val="single"/>
                <w:lang w:val="en-US" w:eastAsia="zh-CN"/>
              </w:rPr>
              <w:t>20</w:t>
            </w:r>
            <w:r>
              <w:rPr>
                <w:rFonts w:hint="eastAsia" w:ascii="宋体" w:hAnsi="宋体" w:eastAsia="宋体" w:cs="宋体"/>
                <w:color w:val="auto"/>
                <w:sz w:val="21"/>
                <w:highlight w:val="none"/>
              </w:rPr>
              <w:t>分</w:t>
            </w:r>
          </w:p>
        </w:tc>
        <w:tc>
          <w:tcPr>
            <w:tcW w:w="3019" w:type="pct"/>
            <w:noWrap w:val="0"/>
            <w:vAlign w:val="center"/>
          </w:tcPr>
          <w:p>
            <w:pPr>
              <w:pStyle w:val="9"/>
              <w:keepNext w:val="0"/>
              <w:keepLines w:val="0"/>
              <w:pageBreakBefore w:val="0"/>
              <w:widowControl w:val="0"/>
              <w:numPr>
                <w:ilvl w:val="0"/>
                <w:numId w:val="7"/>
              </w:numPr>
              <w:tabs>
                <w:tab w:val="left" w:pos="640"/>
              </w:tabs>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pacing w:val="-2"/>
                <w:sz w:val="21"/>
                <w:highlight w:val="none"/>
              </w:rPr>
              <w:t>投标人获得与</w:t>
            </w:r>
            <w:r>
              <w:rPr>
                <w:rFonts w:hint="eastAsia" w:ascii="宋体" w:hAnsi="宋体" w:eastAsia="宋体" w:cs="宋体"/>
                <w:color w:val="auto"/>
                <w:spacing w:val="-2"/>
                <w:sz w:val="21"/>
                <w:highlight w:val="none"/>
                <w:lang w:eastAsia="zh-CN"/>
              </w:rPr>
              <w:t>公路</w:t>
            </w:r>
            <w:r>
              <w:rPr>
                <w:rFonts w:hint="eastAsia" w:ascii="宋体" w:hAnsi="宋体" w:eastAsia="宋体" w:cs="宋体"/>
                <w:color w:val="auto"/>
                <w:spacing w:val="-2"/>
                <w:sz w:val="21"/>
                <w:highlight w:val="none"/>
              </w:rPr>
              <w:t>工程</w:t>
            </w:r>
            <w:r>
              <w:rPr>
                <w:rFonts w:hint="eastAsia" w:ascii="宋体" w:hAnsi="宋体" w:eastAsia="宋体" w:cs="宋体"/>
                <w:color w:val="auto"/>
                <w:spacing w:val="-11"/>
                <w:sz w:val="21"/>
                <w:highlight w:val="none"/>
              </w:rPr>
              <w:t>施工有关的</w:t>
            </w:r>
            <w:r>
              <w:rPr>
                <w:rFonts w:hint="eastAsia" w:ascii="宋体" w:hAnsi="宋体" w:eastAsia="宋体" w:cs="宋体"/>
                <w:color w:val="auto"/>
                <w:spacing w:val="-11"/>
                <w:sz w:val="21"/>
                <w:highlight w:val="none"/>
                <w:lang w:eastAsia="zh-CN"/>
              </w:rPr>
              <w:t>国家级工法</w:t>
            </w:r>
            <w:r>
              <w:rPr>
                <w:rFonts w:hint="eastAsia" w:ascii="宋体" w:hAnsi="宋体" w:eastAsia="宋体" w:cs="宋体"/>
                <w:color w:val="auto"/>
                <w:spacing w:val="-11"/>
                <w:sz w:val="21"/>
                <w:highlight w:val="none"/>
              </w:rPr>
              <w:t>、专利</w:t>
            </w:r>
            <w:r>
              <w:rPr>
                <w:rFonts w:hint="eastAsia" w:ascii="宋体" w:hAnsi="宋体" w:eastAsia="宋体" w:cs="宋体"/>
                <w:color w:val="auto"/>
                <w:spacing w:val="-3"/>
                <w:sz w:val="21"/>
                <w:highlight w:val="none"/>
              </w:rPr>
              <w:t>（</w:t>
            </w:r>
            <w:r>
              <w:rPr>
                <w:rFonts w:hint="eastAsia" w:ascii="宋体" w:hAnsi="宋体" w:eastAsia="宋体" w:cs="宋体"/>
                <w:color w:val="auto"/>
                <w:spacing w:val="-5"/>
                <w:sz w:val="21"/>
                <w:highlight w:val="none"/>
              </w:rPr>
              <w:t>发明专利</w:t>
            </w:r>
            <w:r>
              <w:rPr>
                <w:rFonts w:hint="eastAsia" w:ascii="宋体" w:hAnsi="宋体" w:eastAsia="宋体" w:cs="宋体"/>
                <w:color w:val="auto"/>
                <w:spacing w:val="-2"/>
                <w:sz w:val="21"/>
                <w:highlight w:val="none"/>
              </w:rPr>
              <w:t>或实用新型专利</w:t>
            </w:r>
            <w:r>
              <w:rPr>
                <w:rFonts w:hint="eastAsia" w:ascii="宋体" w:hAnsi="宋体" w:eastAsia="宋体" w:cs="宋体"/>
                <w:color w:val="auto"/>
                <w:spacing w:val="-48"/>
                <w:sz w:val="21"/>
                <w:highlight w:val="none"/>
              </w:rPr>
              <w:t>）</w:t>
            </w:r>
            <w:r>
              <w:rPr>
                <w:rFonts w:hint="eastAsia" w:ascii="宋体" w:hAnsi="宋体" w:eastAsia="宋体" w:cs="宋体"/>
                <w:color w:val="auto"/>
                <w:spacing w:val="-9"/>
                <w:sz w:val="21"/>
                <w:highlight w:val="none"/>
              </w:rPr>
              <w:t>、国家级科学技术进步</w:t>
            </w:r>
            <w:r>
              <w:rPr>
                <w:rFonts w:hint="eastAsia" w:ascii="宋体" w:hAnsi="宋体" w:eastAsia="宋体" w:cs="宋体"/>
                <w:color w:val="auto"/>
                <w:spacing w:val="-11"/>
                <w:sz w:val="21"/>
                <w:highlight w:val="none"/>
              </w:rPr>
              <w:t>奖、主编或参编过国家标准、鲁班奖、詹</w:t>
            </w:r>
            <w:r>
              <w:rPr>
                <w:rFonts w:hint="eastAsia" w:ascii="宋体" w:hAnsi="宋体" w:eastAsia="宋体" w:cs="宋体"/>
                <w:color w:val="auto"/>
                <w:spacing w:val="-10"/>
                <w:sz w:val="21"/>
                <w:highlight w:val="none"/>
              </w:rPr>
              <w:t>天佑奖，每项加</w:t>
            </w:r>
            <w:r>
              <w:rPr>
                <w:rFonts w:hint="eastAsia" w:ascii="宋体" w:hAnsi="宋体" w:eastAsia="宋体" w:cs="宋体"/>
                <w:color w:val="auto"/>
                <w:spacing w:val="-10"/>
                <w:sz w:val="21"/>
                <w:highlight w:val="none"/>
                <w:lang w:eastAsia="zh-CN"/>
              </w:rPr>
              <w:t xml:space="preserve"> </w:t>
            </w:r>
            <w:r>
              <w:rPr>
                <w:rFonts w:hint="eastAsia" w:ascii="宋体" w:hAnsi="宋体" w:eastAsia="宋体" w:cs="宋体"/>
                <w:color w:val="auto"/>
                <w:spacing w:val="-10"/>
                <w:sz w:val="22"/>
                <w:szCs w:val="24"/>
                <w:highlight w:val="none"/>
                <w:lang w:val="en-US" w:eastAsia="zh-CN"/>
              </w:rPr>
              <w:t>4</w:t>
            </w:r>
            <w:r>
              <w:rPr>
                <w:rFonts w:hint="eastAsia" w:ascii="宋体" w:hAnsi="宋体" w:eastAsia="宋体" w:cs="宋体"/>
                <w:color w:val="auto"/>
                <w:spacing w:val="-8"/>
                <w:sz w:val="22"/>
                <w:szCs w:val="22"/>
                <w:highlight w:val="none"/>
                <w:lang w:val="en-US" w:eastAsia="zh-CN"/>
              </w:rPr>
              <w:t xml:space="preserve"> </w:t>
            </w:r>
            <w:r>
              <w:rPr>
                <w:rFonts w:hint="eastAsia" w:ascii="宋体" w:hAnsi="宋体" w:eastAsia="宋体" w:cs="宋体"/>
                <w:color w:val="auto"/>
                <w:spacing w:val="-2"/>
                <w:sz w:val="21"/>
                <w:highlight w:val="none"/>
              </w:rPr>
              <w:t>分；</w:t>
            </w: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1"/>
                <w:sz w:val="21"/>
                <w:highlight w:val="none"/>
              </w:rPr>
              <w:t>投标人获得省级科学技术进步奖，</w:t>
            </w:r>
            <w:r>
              <w:rPr>
                <w:rFonts w:hint="eastAsia" w:ascii="宋体" w:hAnsi="宋体" w:eastAsia="宋体" w:cs="宋体"/>
                <w:color w:val="auto"/>
                <w:spacing w:val="-7"/>
                <w:sz w:val="21"/>
                <w:szCs w:val="21"/>
                <w:highlight w:val="none"/>
              </w:rPr>
              <w:t>主编或参编过的行业或地方</w:t>
            </w:r>
            <w:r>
              <w:rPr>
                <w:rFonts w:hint="eastAsia" w:ascii="宋体" w:hAnsi="宋体" w:eastAsia="宋体" w:cs="宋体"/>
                <w:color w:val="auto"/>
                <w:sz w:val="21"/>
                <w:szCs w:val="21"/>
                <w:highlight w:val="none"/>
              </w:rPr>
              <w:t>（</w:t>
            </w:r>
            <w:r>
              <w:rPr>
                <w:rFonts w:hint="eastAsia" w:ascii="宋体" w:hAnsi="宋体" w:eastAsia="宋体" w:cs="宋体"/>
                <w:color w:val="auto"/>
                <w:spacing w:val="-2"/>
                <w:sz w:val="21"/>
                <w:szCs w:val="21"/>
                <w:highlight w:val="none"/>
              </w:rPr>
              <w:t>指省级</w:t>
            </w:r>
            <w:r>
              <w:rPr>
                <w:rFonts w:hint="eastAsia" w:ascii="宋体" w:hAnsi="宋体" w:eastAsia="宋体" w:cs="宋体"/>
                <w:color w:val="auto"/>
                <w:spacing w:val="-48"/>
                <w:sz w:val="21"/>
                <w:szCs w:val="21"/>
                <w:highlight w:val="none"/>
              </w:rPr>
              <w:t>）</w:t>
            </w:r>
            <w:r>
              <w:rPr>
                <w:rFonts w:hint="eastAsia" w:ascii="宋体" w:hAnsi="宋体" w:eastAsia="宋体" w:cs="宋体"/>
                <w:color w:val="auto"/>
                <w:spacing w:val="-13"/>
                <w:sz w:val="21"/>
                <w:szCs w:val="21"/>
                <w:highlight w:val="none"/>
              </w:rPr>
              <w:t>标</w:t>
            </w:r>
            <w:r>
              <w:rPr>
                <w:rFonts w:hint="eastAsia" w:ascii="宋体" w:hAnsi="宋体" w:eastAsia="宋体" w:cs="宋体"/>
                <w:color w:val="auto"/>
                <w:spacing w:val="-11"/>
                <w:sz w:val="21"/>
                <w:szCs w:val="21"/>
                <w:highlight w:val="none"/>
              </w:rPr>
              <w:t>准，每项加</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11"/>
                <w:sz w:val="22"/>
                <w:szCs w:val="22"/>
                <w:highlight w:val="none"/>
                <w:lang w:val="en-US" w:eastAsia="zh-CN"/>
              </w:rPr>
              <w:t>2</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2"/>
                <w:sz w:val="21"/>
                <w:szCs w:val="21"/>
                <w:highlight w:val="none"/>
              </w:rPr>
              <w:t>分。</w:t>
            </w: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pacing w:val="-4"/>
                <w:sz w:val="21"/>
                <w:szCs w:val="21"/>
                <w:highlight w:val="none"/>
              </w:rPr>
              <w:t>注：本项累计加分最高得</w:t>
            </w:r>
            <w:r>
              <w:rPr>
                <w:rFonts w:hint="eastAsia" w:ascii="宋体" w:hAnsi="宋体" w:eastAsia="宋体" w:cs="宋体"/>
                <w:color w:val="auto"/>
                <w:spacing w:val="-4"/>
                <w:sz w:val="21"/>
                <w:szCs w:val="21"/>
                <w:highlight w:val="none"/>
                <w:lang w:val="en-US" w:eastAsia="zh-CN"/>
              </w:rPr>
              <w:t xml:space="preserve"> </w:t>
            </w:r>
            <w:r>
              <w:rPr>
                <w:rFonts w:hint="eastAsia" w:ascii="宋体" w:hAnsi="宋体" w:eastAsia="宋体" w:cs="宋体"/>
                <w:color w:val="auto"/>
                <w:spacing w:val="-4"/>
                <w:sz w:val="22"/>
                <w:szCs w:val="22"/>
                <w:highlight w:val="none"/>
                <w:lang w:val="en-US" w:eastAsia="zh-CN"/>
              </w:rPr>
              <w:t>20</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分，同一项目同时</w:t>
            </w:r>
            <w:r>
              <w:rPr>
                <w:rFonts w:hint="eastAsia" w:ascii="宋体" w:hAnsi="宋体" w:eastAsia="宋体" w:cs="宋体"/>
                <w:color w:val="auto"/>
                <w:spacing w:val="-16"/>
                <w:sz w:val="21"/>
                <w:szCs w:val="21"/>
                <w:highlight w:val="none"/>
              </w:rPr>
              <w:t>满足</w:t>
            </w:r>
            <w:r>
              <w:rPr>
                <w:rFonts w:hint="eastAsia" w:ascii="宋体" w:hAnsi="宋体" w:eastAsia="宋体" w:cs="宋体"/>
                <w:color w:val="auto"/>
                <w:spacing w:val="-16"/>
                <w:sz w:val="21"/>
                <w:szCs w:val="21"/>
                <w:highlight w:val="none"/>
                <w:lang w:eastAsia="zh-CN"/>
              </w:rPr>
              <w:t>上述加分</w:t>
            </w:r>
            <w:r>
              <w:rPr>
                <w:rFonts w:hint="eastAsia" w:ascii="宋体" w:hAnsi="宋体" w:eastAsia="宋体" w:cs="宋体"/>
                <w:color w:val="auto"/>
                <w:spacing w:val="-16"/>
                <w:sz w:val="21"/>
                <w:szCs w:val="21"/>
                <w:highlight w:val="none"/>
              </w:rPr>
              <w:t>条件的，不重复加分，</w:t>
            </w:r>
            <w:r>
              <w:rPr>
                <w:rFonts w:hint="eastAsia" w:ascii="宋体" w:hAnsi="宋体" w:eastAsia="宋体" w:cs="宋体"/>
                <w:color w:val="auto"/>
                <w:spacing w:val="-16"/>
                <w:sz w:val="21"/>
                <w:szCs w:val="21"/>
                <w:highlight w:val="none"/>
                <w:lang w:eastAsia="zh-CN"/>
              </w:rPr>
              <w:t>只加一次分</w:t>
            </w:r>
            <w:r>
              <w:rPr>
                <w:rFonts w:hint="eastAsia" w:ascii="宋体" w:hAnsi="宋体" w:eastAsia="宋体" w:cs="宋体"/>
                <w:color w:val="auto"/>
                <w:spacing w:val="-16"/>
                <w:sz w:val="21"/>
                <w:szCs w:val="21"/>
                <w:highlight w:val="none"/>
              </w:rPr>
              <w:t>，</w:t>
            </w:r>
            <w:r>
              <w:rPr>
                <w:rFonts w:hint="eastAsia" w:ascii="宋体" w:hAnsi="宋体" w:eastAsia="宋体" w:cs="宋体"/>
                <w:color w:val="auto"/>
                <w:sz w:val="21"/>
                <w:szCs w:val="21"/>
                <w:highlight w:val="none"/>
              </w:rPr>
              <w:t>按较高分计。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1" w:hRule="atLeast"/>
        </w:trPr>
        <w:tc>
          <w:tcPr>
            <w:tcW w:w="359" w:type="pct"/>
            <w:vMerge w:val="continue"/>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0"/>
                <w:highlight w:val="none"/>
              </w:rPr>
            </w:pPr>
          </w:p>
        </w:tc>
        <w:tc>
          <w:tcPr>
            <w:tcW w:w="225" w:type="pct"/>
            <w:vMerge w:val="continue"/>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0"/>
                <w:highlight w:val="none"/>
              </w:rPr>
            </w:pPr>
          </w:p>
        </w:tc>
        <w:tc>
          <w:tcPr>
            <w:tcW w:w="207" w:type="pct"/>
            <w:vMerge w:val="restart"/>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履约</w:t>
            </w:r>
          </w:p>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信誉</w:t>
            </w:r>
          </w:p>
        </w:tc>
        <w:tc>
          <w:tcPr>
            <w:tcW w:w="275" w:type="pct"/>
            <w:vMerge w:val="restart"/>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u w:val="single"/>
                <w:lang w:val="en-US" w:eastAsia="zh-CN"/>
              </w:rPr>
              <w:t>15</w:t>
            </w:r>
            <w:r>
              <w:rPr>
                <w:rFonts w:hint="eastAsia" w:ascii="宋体" w:hAnsi="宋体" w:eastAsia="宋体" w:cs="宋体"/>
                <w:color w:val="auto"/>
                <w:sz w:val="21"/>
                <w:highlight w:val="none"/>
              </w:rPr>
              <w:t>分</w:t>
            </w:r>
          </w:p>
        </w:tc>
        <w:tc>
          <w:tcPr>
            <w:tcW w:w="655" w:type="pct"/>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信用等级分值</w:t>
            </w:r>
          </w:p>
        </w:tc>
        <w:tc>
          <w:tcPr>
            <w:tcW w:w="256" w:type="pct"/>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u w:val="single"/>
              </w:rPr>
              <w:t>10</w:t>
            </w:r>
            <w:r>
              <w:rPr>
                <w:rFonts w:hint="eastAsia" w:ascii="宋体" w:hAnsi="宋体" w:eastAsia="宋体" w:cs="宋体"/>
                <w:color w:val="auto"/>
                <w:sz w:val="21"/>
                <w:highlight w:val="none"/>
              </w:rPr>
              <w:t>分</w:t>
            </w:r>
          </w:p>
        </w:tc>
        <w:tc>
          <w:tcPr>
            <w:tcW w:w="3019" w:type="pct"/>
            <w:noWrap w:val="0"/>
            <w:vAlign w:val="top"/>
          </w:tcPr>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AA、A、B、C 级单位的信用等级分得分分别为</w:t>
            </w:r>
            <w:r>
              <w:rPr>
                <w:rFonts w:hint="eastAsia" w:ascii="宋体" w:hAnsi="宋体" w:eastAsia="宋体" w:cs="宋体"/>
                <w:color w:val="auto"/>
                <w:sz w:val="21"/>
                <w:szCs w:val="21"/>
                <w:highlight w:val="none"/>
                <w:u w:val="single"/>
              </w:rPr>
              <w:t xml:space="preserve"> 10、9.5、8.9、7.3 </w:t>
            </w:r>
            <w:r>
              <w:rPr>
                <w:rFonts w:hint="eastAsia" w:ascii="宋体" w:hAnsi="宋体" w:eastAsia="宋体" w:cs="宋体"/>
                <w:color w:val="auto"/>
                <w:sz w:val="21"/>
                <w:szCs w:val="21"/>
                <w:highlight w:val="none"/>
              </w:rPr>
              <w:t>分。</w:t>
            </w: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18"/>
                <w:highlight w:val="none"/>
              </w:rPr>
            </w:pPr>
            <w:r>
              <w:rPr>
                <w:rFonts w:hint="eastAsia" w:ascii="宋体" w:hAnsi="宋体" w:eastAsia="宋体" w:cs="宋体"/>
                <w:color w:val="auto"/>
                <w:sz w:val="21"/>
                <w:szCs w:val="21"/>
                <w:highlight w:val="none"/>
              </w:rPr>
              <w:t>注：信用等级的确定原则遵循投标人须知前附表10.2 款的规定。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3" w:hRule="atLeast"/>
        </w:trPr>
        <w:tc>
          <w:tcPr>
            <w:tcW w:w="359" w:type="pct"/>
            <w:vMerge w:val="continue"/>
            <w:noWrap w:val="0"/>
            <w:vAlign w:val="center"/>
          </w:tcPr>
          <w:p>
            <w:pPr>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cs="宋体"/>
                <w:color w:val="auto"/>
                <w:sz w:val="2"/>
                <w:szCs w:val="2"/>
                <w:highlight w:val="none"/>
              </w:rPr>
            </w:pPr>
          </w:p>
        </w:tc>
        <w:tc>
          <w:tcPr>
            <w:tcW w:w="225" w:type="pct"/>
            <w:vMerge w:val="continue"/>
            <w:noWrap w:val="0"/>
            <w:vAlign w:val="center"/>
          </w:tcPr>
          <w:p>
            <w:pPr>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cs="宋体"/>
                <w:color w:val="auto"/>
                <w:sz w:val="2"/>
                <w:szCs w:val="2"/>
                <w:highlight w:val="none"/>
              </w:rPr>
            </w:pPr>
          </w:p>
        </w:tc>
        <w:tc>
          <w:tcPr>
            <w:tcW w:w="207" w:type="pct"/>
            <w:vMerge w:val="continue"/>
            <w:noWrap w:val="0"/>
            <w:vAlign w:val="center"/>
          </w:tcPr>
          <w:p>
            <w:pPr>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cs="宋体"/>
                <w:color w:val="auto"/>
                <w:sz w:val="2"/>
                <w:szCs w:val="2"/>
                <w:highlight w:val="none"/>
              </w:rPr>
            </w:pPr>
          </w:p>
        </w:tc>
        <w:tc>
          <w:tcPr>
            <w:tcW w:w="275" w:type="pct"/>
            <w:vMerge w:val="continue"/>
            <w:noWrap w:val="0"/>
            <w:vAlign w:val="center"/>
          </w:tcPr>
          <w:p>
            <w:pPr>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cs="宋体"/>
                <w:color w:val="auto"/>
                <w:sz w:val="2"/>
                <w:szCs w:val="2"/>
                <w:highlight w:val="none"/>
              </w:rPr>
            </w:pPr>
          </w:p>
        </w:tc>
        <w:tc>
          <w:tcPr>
            <w:tcW w:w="655" w:type="pct"/>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履约情况</w:t>
            </w:r>
          </w:p>
        </w:tc>
        <w:tc>
          <w:tcPr>
            <w:tcW w:w="256" w:type="pct"/>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u w:val="single"/>
                <w:lang w:val="en-US" w:eastAsia="zh-CN"/>
              </w:rPr>
              <w:t>5</w:t>
            </w:r>
            <w:r>
              <w:rPr>
                <w:rFonts w:hint="eastAsia" w:ascii="宋体" w:hAnsi="宋体" w:eastAsia="宋体" w:cs="宋体"/>
                <w:color w:val="auto"/>
                <w:sz w:val="21"/>
                <w:highlight w:val="none"/>
              </w:rPr>
              <w:t>分</w:t>
            </w:r>
          </w:p>
        </w:tc>
        <w:tc>
          <w:tcPr>
            <w:tcW w:w="3019" w:type="pct"/>
            <w:noWrap w:val="0"/>
            <w:vAlign w:val="top"/>
          </w:tcPr>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履约情况（</w:t>
            </w:r>
            <w:r>
              <w:rPr>
                <w:rFonts w:hint="eastAsia" w:ascii="宋体" w:hAnsi="宋体" w:eastAsia="宋体" w:cs="宋体"/>
                <w:color w:val="auto"/>
                <w:spacing w:val="-7"/>
                <w:sz w:val="21"/>
                <w:szCs w:val="21"/>
                <w:highlight w:val="none"/>
                <w:lang w:val="en-US" w:eastAsia="zh-CN"/>
              </w:rPr>
              <w:t>5</w:t>
            </w:r>
            <w:r>
              <w:rPr>
                <w:rFonts w:hint="eastAsia" w:ascii="宋体" w:hAnsi="宋体" w:eastAsia="宋体" w:cs="宋体"/>
                <w:color w:val="auto"/>
                <w:spacing w:val="-7"/>
                <w:sz w:val="21"/>
                <w:szCs w:val="21"/>
                <w:highlight w:val="none"/>
              </w:rPr>
              <w:t xml:space="preserve"> 分）</w:t>
            </w: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若没出现下述情形得满分；</w:t>
            </w: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若自 201</w:t>
            </w:r>
            <w:r>
              <w:rPr>
                <w:rFonts w:hint="eastAsia" w:ascii="宋体" w:hAnsi="宋体" w:eastAsia="宋体" w:cs="宋体"/>
                <w:color w:val="auto"/>
                <w:spacing w:val="-7"/>
                <w:sz w:val="21"/>
                <w:szCs w:val="21"/>
                <w:highlight w:val="none"/>
                <w:lang w:val="en-US" w:eastAsia="zh-CN"/>
              </w:rPr>
              <w:t>8</w:t>
            </w:r>
            <w:r>
              <w:rPr>
                <w:rFonts w:hint="eastAsia" w:ascii="宋体" w:hAnsi="宋体" w:eastAsia="宋体" w:cs="宋体"/>
                <w:color w:val="auto"/>
                <w:spacing w:val="-7"/>
                <w:sz w:val="21"/>
                <w:szCs w:val="21"/>
                <w:highlight w:val="none"/>
              </w:rPr>
              <w:t xml:space="preserve"> 年 </w:t>
            </w:r>
            <w:r>
              <w:rPr>
                <w:rFonts w:hint="eastAsia" w:ascii="宋体" w:hAnsi="宋体" w:eastAsia="宋体" w:cs="宋体"/>
                <w:color w:val="auto"/>
                <w:spacing w:val="-7"/>
                <w:sz w:val="21"/>
                <w:szCs w:val="21"/>
                <w:highlight w:val="none"/>
                <w:lang w:val="en-US" w:eastAsia="zh-CN"/>
              </w:rPr>
              <w:t>1</w:t>
            </w:r>
            <w:r>
              <w:rPr>
                <w:rFonts w:hint="eastAsia" w:ascii="宋体" w:hAnsi="宋体" w:eastAsia="宋体" w:cs="宋体"/>
                <w:color w:val="auto"/>
                <w:spacing w:val="-7"/>
                <w:sz w:val="21"/>
                <w:szCs w:val="21"/>
                <w:highlight w:val="none"/>
              </w:rPr>
              <w:t>月 1 日至投标文件递交截止日（投标文件递交截止日前 1 年内）， 因公路工程（含附属设施）质量、安全、履约或招标投标问题等原因被：</w:t>
            </w: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lang w:eastAsia="zh-CN"/>
              </w:rPr>
              <w:t>（1）</w:t>
            </w:r>
            <w:r>
              <w:rPr>
                <w:rFonts w:hint="eastAsia" w:ascii="宋体" w:hAnsi="宋体" w:eastAsia="宋体" w:cs="宋体"/>
                <w:color w:val="auto"/>
                <w:spacing w:val="-7"/>
                <w:sz w:val="21"/>
                <w:szCs w:val="21"/>
                <w:highlight w:val="none"/>
              </w:rPr>
              <w:t xml:space="preserve">交通运输部通报批评的，扣 </w:t>
            </w:r>
            <w:r>
              <w:rPr>
                <w:rFonts w:hint="eastAsia" w:ascii="宋体" w:hAnsi="宋体" w:eastAsia="宋体" w:cs="宋体"/>
                <w:color w:val="auto"/>
                <w:spacing w:val="-7"/>
                <w:sz w:val="21"/>
                <w:szCs w:val="21"/>
                <w:highlight w:val="none"/>
                <w:lang w:val="en-US" w:eastAsia="zh-CN"/>
              </w:rPr>
              <w:t>3</w:t>
            </w:r>
            <w:r>
              <w:rPr>
                <w:rFonts w:hint="eastAsia" w:ascii="宋体" w:hAnsi="宋体" w:eastAsia="宋体" w:cs="宋体"/>
                <w:color w:val="auto"/>
                <w:spacing w:val="-7"/>
                <w:sz w:val="21"/>
                <w:szCs w:val="21"/>
                <w:highlight w:val="none"/>
              </w:rPr>
              <w:t xml:space="preserve"> 分/ 次；</w:t>
            </w: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lang w:eastAsia="zh-CN"/>
              </w:rPr>
              <w:t>（2）</w:t>
            </w:r>
            <w:r>
              <w:rPr>
                <w:rFonts w:hint="eastAsia" w:ascii="宋体" w:hAnsi="宋体" w:eastAsia="宋体" w:cs="宋体"/>
                <w:color w:val="auto"/>
                <w:spacing w:val="-7"/>
                <w:sz w:val="21"/>
                <w:szCs w:val="21"/>
                <w:highlight w:val="none"/>
              </w:rPr>
              <w:t>广东省交通运输厅通报批评的，扣</w:t>
            </w:r>
            <w:r>
              <w:rPr>
                <w:rFonts w:hint="eastAsia" w:ascii="宋体" w:hAnsi="宋体" w:eastAsia="宋体" w:cs="宋体"/>
                <w:color w:val="auto"/>
                <w:spacing w:val="-7"/>
                <w:sz w:val="21"/>
                <w:szCs w:val="21"/>
                <w:highlight w:val="none"/>
                <w:lang w:eastAsia="zh-CN"/>
              </w:rPr>
              <w:t xml:space="preserve"> </w:t>
            </w:r>
            <w:r>
              <w:rPr>
                <w:rFonts w:hint="eastAsia" w:ascii="宋体" w:hAnsi="宋体" w:eastAsia="宋体" w:cs="宋体"/>
                <w:color w:val="auto"/>
                <w:spacing w:val="-7"/>
                <w:sz w:val="21"/>
                <w:szCs w:val="21"/>
                <w:highlight w:val="none"/>
                <w:lang w:val="en-US" w:eastAsia="zh-CN"/>
              </w:rPr>
              <w:t>2</w:t>
            </w:r>
            <w:r>
              <w:rPr>
                <w:rFonts w:hint="eastAsia" w:ascii="宋体" w:hAnsi="宋体" w:eastAsia="宋体" w:cs="宋体"/>
                <w:color w:val="auto"/>
                <w:spacing w:val="-7"/>
                <w:sz w:val="21"/>
                <w:szCs w:val="21"/>
                <w:highlight w:val="none"/>
              </w:rPr>
              <w:t xml:space="preserve"> 分/次。</w:t>
            </w: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pacing w:val="-7"/>
                <w:sz w:val="21"/>
                <w:szCs w:val="21"/>
                <w:highlight w:val="none"/>
              </w:rPr>
              <w:t>同一事项同时被多个部门通报批评或处罚只按最高的扣分计算 1 次。如果扣完本项分值，可以从总分中扣。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7"/>
            <w:noWrap w:val="0"/>
            <w:vAlign w:val="top"/>
          </w:tcPr>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359" w:type="pct"/>
            <w:noWrap w:val="0"/>
            <w:vAlign w:val="top"/>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条款号</w:t>
            </w:r>
          </w:p>
        </w:tc>
        <w:tc>
          <w:tcPr>
            <w:tcW w:w="4640" w:type="pct"/>
            <w:gridSpan w:val="6"/>
            <w:noWrap w:val="0"/>
            <w:vAlign w:val="top"/>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补充或修改的内容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359" w:type="pct"/>
            <w:noWrap w:val="0"/>
            <w:vAlign w:val="top"/>
          </w:tcPr>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0"/>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p>
        </w:tc>
        <w:tc>
          <w:tcPr>
            <w:tcW w:w="4640" w:type="pct"/>
            <w:gridSpan w:val="6"/>
            <w:noWrap w:val="0"/>
            <w:vAlign w:val="top"/>
          </w:tcPr>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pacing w:val="-6"/>
                <w:sz w:val="21"/>
                <w:highlight w:val="none"/>
              </w:rPr>
              <w:t xml:space="preserve">将评标办法范本原文第 </w:t>
            </w:r>
            <w:r>
              <w:rPr>
                <w:rFonts w:hint="eastAsia" w:ascii="宋体" w:hAnsi="宋体" w:eastAsia="宋体" w:cs="宋体"/>
                <w:color w:val="auto"/>
                <w:sz w:val="21"/>
                <w:highlight w:val="none"/>
              </w:rPr>
              <w:t>1 条“</w:t>
            </w:r>
            <w:r>
              <w:rPr>
                <w:rFonts w:hint="eastAsia" w:ascii="宋体" w:hAnsi="宋体" w:eastAsia="宋体" w:cs="宋体"/>
                <w:color w:val="auto"/>
                <w:spacing w:val="-3"/>
                <w:sz w:val="21"/>
                <w:highlight w:val="none"/>
              </w:rPr>
              <w:t>评标方法</w:t>
            </w:r>
            <w:r>
              <w:rPr>
                <w:rFonts w:hint="eastAsia" w:ascii="宋体" w:hAnsi="宋体" w:eastAsia="宋体" w:cs="宋体"/>
                <w:color w:val="auto"/>
                <w:sz w:val="21"/>
                <w:highlight w:val="none"/>
              </w:rPr>
              <w:t>”</w:t>
            </w:r>
            <w:r>
              <w:rPr>
                <w:rFonts w:hint="eastAsia" w:ascii="宋体" w:hAnsi="宋体" w:eastAsia="宋体" w:cs="宋体"/>
                <w:color w:val="auto"/>
                <w:spacing w:val="-2"/>
                <w:sz w:val="21"/>
                <w:highlight w:val="none"/>
              </w:rPr>
              <w:t>改为</w:t>
            </w:r>
            <w:r>
              <w:rPr>
                <w:rFonts w:hint="eastAsia" w:ascii="宋体" w:hAnsi="宋体" w:eastAsia="宋体" w:cs="宋体"/>
                <w:color w:val="auto"/>
                <w:sz w:val="21"/>
                <w:highlight w:val="none"/>
              </w:rPr>
              <w:t>“</w:t>
            </w:r>
            <w:r>
              <w:rPr>
                <w:rFonts w:hint="eastAsia" w:ascii="宋体" w:hAnsi="宋体" w:eastAsia="宋体" w:cs="宋体"/>
                <w:color w:val="auto"/>
                <w:spacing w:val="-3"/>
                <w:sz w:val="21"/>
                <w:highlight w:val="none"/>
              </w:rPr>
              <w:t>评标方法、组织及工作程序</w:t>
            </w:r>
            <w:r>
              <w:rPr>
                <w:rFonts w:hint="eastAsia" w:ascii="宋体" w:hAnsi="宋体" w:eastAsia="宋体" w:cs="宋体"/>
                <w:color w:val="auto"/>
                <w:sz w:val="21"/>
                <w:highlight w:val="none"/>
              </w:rPr>
              <w:t>”</w:t>
            </w:r>
            <w:r>
              <w:rPr>
                <w:rFonts w:hint="eastAsia" w:ascii="宋体" w:hAnsi="宋体" w:eastAsia="宋体" w:cs="宋体"/>
                <w:color w:val="auto"/>
                <w:spacing w:val="-2"/>
                <w:sz w:val="21"/>
                <w:highlight w:val="none"/>
              </w:rPr>
              <w:t>，并且原</w:t>
            </w:r>
            <w:r>
              <w:rPr>
                <w:rFonts w:hint="eastAsia" w:ascii="宋体" w:hAnsi="宋体" w:eastAsia="宋体" w:cs="宋体"/>
                <w:color w:val="auto"/>
                <w:spacing w:val="-3"/>
                <w:sz w:val="21"/>
                <w:highlight w:val="none"/>
              </w:rPr>
              <w:t>文内容修改如下：</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1.1 评标方法</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pacing w:val="-5"/>
                <w:sz w:val="21"/>
                <w:highlight w:val="none"/>
              </w:rPr>
              <w:t>本次评标采用双信封的技术评分最低标价法。评标委员会对满足招标文件实质</w:t>
            </w:r>
            <w:r>
              <w:rPr>
                <w:rFonts w:hint="eastAsia" w:ascii="宋体" w:hAnsi="宋体" w:eastAsia="宋体" w:cs="宋体"/>
                <w:color w:val="auto"/>
                <w:spacing w:val="-6"/>
                <w:sz w:val="21"/>
                <w:highlight w:val="none"/>
              </w:rPr>
              <w:t xml:space="preserve">性要求的投标文件，按照本章第 </w:t>
            </w:r>
            <w:r>
              <w:rPr>
                <w:rFonts w:hint="eastAsia" w:ascii="宋体" w:hAnsi="宋体" w:eastAsia="宋体" w:cs="宋体"/>
                <w:color w:val="auto"/>
                <w:sz w:val="21"/>
                <w:highlight w:val="none"/>
              </w:rPr>
              <w:t>2.2</w:t>
            </w:r>
            <w:r>
              <w:rPr>
                <w:rFonts w:hint="eastAsia" w:ascii="宋体" w:hAnsi="宋体" w:eastAsia="宋体" w:cs="宋体"/>
                <w:color w:val="auto"/>
                <w:sz w:val="21"/>
                <w:highlight w:val="none"/>
                <w:lang w:val="en-US" w:eastAsia="zh-CN"/>
              </w:rPr>
              <w:t xml:space="preserve"> </w:t>
            </w:r>
            <w:r>
              <w:rPr>
                <w:rFonts w:hint="eastAsia" w:ascii="宋体" w:hAnsi="宋体" w:eastAsia="宋体" w:cs="宋体"/>
                <w:color w:val="auto"/>
                <w:spacing w:val="-3"/>
                <w:sz w:val="21"/>
                <w:highlight w:val="none"/>
              </w:rPr>
              <w:t>款规定对通过初步评审的投标人的施工组织设</w:t>
            </w:r>
            <w:r>
              <w:rPr>
                <w:rFonts w:hint="eastAsia" w:ascii="宋体" w:hAnsi="宋体" w:eastAsia="宋体" w:cs="宋体"/>
                <w:color w:val="auto"/>
                <w:spacing w:val="-7"/>
                <w:sz w:val="21"/>
                <w:highlight w:val="none"/>
              </w:rPr>
              <w:t>计、主要人员、其他因素等进行评分，按照得分由高到低排序，对排名在招标文件</w:t>
            </w:r>
            <w:r>
              <w:rPr>
                <w:rFonts w:hint="eastAsia" w:ascii="宋体" w:hAnsi="宋体" w:eastAsia="宋体" w:cs="宋体"/>
                <w:color w:val="auto"/>
                <w:spacing w:val="-1"/>
                <w:sz w:val="21"/>
                <w:highlight w:val="none"/>
              </w:rPr>
              <w:t>规定数</w:t>
            </w:r>
            <w:r>
              <w:rPr>
                <w:rFonts w:hint="eastAsia" w:ascii="宋体" w:hAnsi="宋体" w:eastAsia="宋体" w:cs="宋体"/>
                <w:color w:val="auto"/>
                <w:sz w:val="21"/>
                <w:szCs w:val="21"/>
                <w:highlight w:val="none"/>
                <w:u w:val="single"/>
                <w:lang w:eastAsia="zh-CN"/>
              </w:rPr>
              <w:t>前 3 名</w:t>
            </w:r>
            <w:r>
              <w:rPr>
                <w:rFonts w:hint="eastAsia" w:ascii="宋体" w:hAnsi="宋体" w:eastAsia="宋体" w:cs="宋体"/>
                <w:color w:val="auto"/>
                <w:spacing w:val="-9"/>
                <w:sz w:val="21"/>
                <w:highlight w:val="none"/>
              </w:rPr>
              <w:t>的投标人的报价文件进行评审，按照评标价由低到高的顺序推荐中</w:t>
            </w:r>
            <w:r>
              <w:rPr>
                <w:rFonts w:hint="eastAsia" w:ascii="宋体" w:hAnsi="宋体" w:eastAsia="宋体" w:cs="宋体"/>
                <w:color w:val="auto"/>
                <w:spacing w:val="-6"/>
                <w:sz w:val="21"/>
                <w:highlight w:val="none"/>
              </w:rPr>
              <w:t>标候选人的评标方法。但投标报价低于其成本的除外。评标价相等时，评标委员会</w:t>
            </w:r>
            <w:r>
              <w:rPr>
                <w:rFonts w:hint="eastAsia" w:ascii="宋体" w:hAnsi="宋体" w:eastAsia="宋体" w:cs="宋体"/>
                <w:color w:val="auto"/>
                <w:spacing w:val="-4"/>
                <w:sz w:val="21"/>
                <w:highlight w:val="none"/>
              </w:rPr>
              <w:t>应按照评标办法前附表规定的优先次序推荐中标候选人或确定中标人。</w:t>
            </w:r>
          </w:p>
          <w:p>
            <w:pPr>
              <w:pStyle w:val="9"/>
              <w:keepNext w:val="0"/>
              <w:keepLines w:val="0"/>
              <w:pageBreakBefore w:val="0"/>
              <w:widowControl w:val="0"/>
              <w:numPr>
                <w:ilvl w:val="0"/>
                <w:numId w:val="0"/>
              </w:numPr>
              <w:tabs>
                <w:tab w:val="left" w:pos="425"/>
              </w:tabs>
              <w:kinsoku/>
              <w:wordWrap/>
              <w:overflowPunct/>
              <w:topLinePunct w:val="0"/>
              <w:bidi w:val="0"/>
              <w:spacing w:line="360" w:lineRule="exact"/>
              <w:ind w:leftChars="0" w:right="0" w:rightChars="0"/>
              <w:textAlignment w:val="auto"/>
              <w:rPr>
                <w:rFonts w:hint="eastAsia" w:ascii="宋体" w:hAnsi="宋体" w:eastAsia="宋体" w:cs="宋体"/>
                <w:color w:val="auto"/>
                <w:sz w:val="21"/>
                <w:highlight w:val="none"/>
              </w:rPr>
            </w:pPr>
            <w:r>
              <w:rPr>
                <w:rFonts w:hint="eastAsia" w:ascii="宋体" w:hAnsi="宋体" w:eastAsia="宋体" w:cs="宋体"/>
                <w:color w:val="auto"/>
                <w:spacing w:val="-3"/>
                <w:sz w:val="21"/>
                <w:highlight w:val="none"/>
                <w:lang w:val="en-US" w:eastAsia="zh-CN"/>
              </w:rPr>
              <w:t xml:space="preserve">1.2 </w:t>
            </w:r>
            <w:r>
              <w:rPr>
                <w:rFonts w:hint="eastAsia" w:ascii="宋体" w:hAnsi="宋体" w:eastAsia="宋体" w:cs="宋体"/>
                <w:color w:val="auto"/>
                <w:spacing w:val="-3"/>
                <w:sz w:val="21"/>
                <w:highlight w:val="none"/>
              </w:rPr>
              <w:t>评标组织</w:t>
            </w:r>
          </w:p>
          <w:p>
            <w:pPr>
              <w:pStyle w:val="9"/>
              <w:keepNext w:val="0"/>
              <w:keepLines w:val="0"/>
              <w:pageBreakBefore w:val="0"/>
              <w:widowControl w:val="0"/>
              <w:numPr>
                <w:ilvl w:val="0"/>
                <w:numId w:val="0"/>
              </w:numPr>
              <w:tabs>
                <w:tab w:val="left" w:pos="581"/>
              </w:tabs>
              <w:kinsoku/>
              <w:wordWrap/>
              <w:overflowPunct/>
              <w:topLinePunct w:val="0"/>
              <w:bidi w:val="0"/>
              <w:spacing w:line="360" w:lineRule="exact"/>
              <w:ind w:leftChars="0" w:right="0" w:rightChars="0"/>
              <w:textAlignment w:val="auto"/>
              <w:rPr>
                <w:rFonts w:hint="eastAsia" w:ascii="宋体" w:hAnsi="宋体" w:eastAsia="宋体" w:cs="宋体"/>
                <w:color w:val="auto"/>
                <w:sz w:val="21"/>
                <w:highlight w:val="none"/>
              </w:rPr>
            </w:pPr>
            <w:r>
              <w:rPr>
                <w:rFonts w:hint="eastAsia" w:ascii="宋体" w:hAnsi="宋体" w:eastAsia="宋体" w:cs="宋体"/>
                <w:color w:val="auto"/>
                <w:spacing w:val="-3"/>
                <w:sz w:val="21"/>
                <w:highlight w:val="none"/>
                <w:lang w:val="en-US" w:eastAsia="zh-CN"/>
              </w:rPr>
              <w:t xml:space="preserve">1.2.1 </w:t>
            </w:r>
            <w:r>
              <w:rPr>
                <w:rFonts w:hint="eastAsia" w:ascii="宋体" w:hAnsi="宋体" w:eastAsia="宋体" w:cs="宋体"/>
                <w:color w:val="auto"/>
                <w:spacing w:val="-3"/>
                <w:sz w:val="21"/>
                <w:highlight w:val="none"/>
              </w:rPr>
              <w:t>协助工作组</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招标人可在评标工作开始前成立协助工作组，选派熟悉招标工作、政治素质高</w:t>
            </w:r>
            <w:r>
              <w:rPr>
                <w:rFonts w:hint="eastAsia" w:ascii="宋体" w:hAnsi="宋体" w:eastAsia="宋体" w:cs="宋体"/>
                <w:color w:val="auto"/>
                <w:spacing w:val="-6"/>
                <w:sz w:val="21"/>
                <w:highlight w:val="none"/>
              </w:rPr>
              <w:t>的人员组成，协助评标委员会工作。协助工作组人员的具体数量由招标人视评标工</w:t>
            </w:r>
            <w:r>
              <w:rPr>
                <w:rFonts w:hint="eastAsia" w:ascii="宋体" w:hAnsi="宋体" w:eastAsia="宋体" w:cs="宋体"/>
                <w:color w:val="auto"/>
                <w:spacing w:val="-4"/>
                <w:sz w:val="21"/>
                <w:highlight w:val="none"/>
              </w:rPr>
              <w:t>作量确定。</w:t>
            </w: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招标人可以协助评标委员会开展下列工作并提供相关信息：</w:t>
            </w:r>
          </w:p>
          <w:p>
            <w:pPr>
              <w:pStyle w:val="9"/>
              <w:keepNext w:val="0"/>
              <w:keepLines w:val="0"/>
              <w:pageBreakBefore w:val="0"/>
              <w:widowControl w:val="0"/>
              <w:numPr>
                <w:ilvl w:val="3"/>
                <w:numId w:val="8"/>
              </w:numPr>
              <w:tabs>
                <w:tab w:val="left" w:pos="1062"/>
              </w:tabs>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pacing w:val="-3"/>
                <w:sz w:val="21"/>
                <w:highlight w:val="none"/>
              </w:rPr>
              <w:t>根据招标文件，编制评标使用的相应表格；</w:t>
            </w:r>
          </w:p>
          <w:p>
            <w:pPr>
              <w:pStyle w:val="9"/>
              <w:keepNext w:val="0"/>
              <w:keepLines w:val="0"/>
              <w:pageBreakBefore w:val="0"/>
              <w:widowControl w:val="0"/>
              <w:numPr>
                <w:ilvl w:val="3"/>
                <w:numId w:val="8"/>
              </w:numPr>
              <w:tabs>
                <w:tab w:val="left" w:pos="1062"/>
              </w:tabs>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pacing w:val="-3"/>
                <w:sz w:val="21"/>
                <w:highlight w:val="none"/>
              </w:rPr>
              <w:t>对投标报价进行算术性校核</w:t>
            </w:r>
            <w:r>
              <w:rPr>
                <w:rFonts w:hint="eastAsia" w:ascii="宋体" w:hAnsi="宋体" w:eastAsia="宋体" w:cs="宋体"/>
                <w:color w:val="auto"/>
                <w:sz w:val="21"/>
                <w:highlight w:val="none"/>
              </w:rPr>
              <w:t>（</w:t>
            </w:r>
            <w:r>
              <w:rPr>
                <w:rFonts w:hint="eastAsia" w:ascii="宋体" w:hAnsi="宋体" w:eastAsia="宋体" w:cs="宋体"/>
                <w:color w:val="auto"/>
                <w:spacing w:val="-3"/>
                <w:sz w:val="21"/>
                <w:highlight w:val="none"/>
              </w:rPr>
              <w:t>如采用固化工程量清单，本步骤省略</w:t>
            </w:r>
            <w:r>
              <w:rPr>
                <w:rFonts w:hint="eastAsia" w:ascii="宋体" w:hAnsi="宋体" w:eastAsia="宋体" w:cs="宋体"/>
                <w:color w:val="auto"/>
                <w:sz w:val="21"/>
                <w:highlight w:val="none"/>
              </w:rPr>
              <w:t>）；</w:t>
            </w:r>
          </w:p>
          <w:p>
            <w:pPr>
              <w:pStyle w:val="9"/>
              <w:keepNext w:val="0"/>
              <w:keepLines w:val="0"/>
              <w:pageBreakBefore w:val="0"/>
              <w:widowControl w:val="0"/>
              <w:numPr>
                <w:ilvl w:val="3"/>
                <w:numId w:val="8"/>
              </w:numPr>
              <w:tabs>
                <w:tab w:val="left" w:pos="1066"/>
              </w:tabs>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pacing w:val="-1"/>
                <w:sz w:val="21"/>
                <w:highlight w:val="none"/>
              </w:rPr>
              <w:t>以评标标准和方法为依据，列出投标文件相对于招标文件的所有偏差，</w:t>
            </w:r>
            <w:r>
              <w:rPr>
                <w:rFonts w:hint="eastAsia" w:ascii="宋体" w:hAnsi="宋体" w:eastAsia="宋体" w:cs="宋体"/>
                <w:color w:val="auto"/>
                <w:spacing w:val="-3"/>
                <w:sz w:val="21"/>
                <w:highlight w:val="none"/>
              </w:rPr>
              <w:t>并进行归类汇总；</w:t>
            </w:r>
          </w:p>
          <w:p>
            <w:pPr>
              <w:pStyle w:val="9"/>
              <w:keepNext w:val="0"/>
              <w:keepLines w:val="0"/>
              <w:pageBreakBefore w:val="0"/>
              <w:widowControl w:val="0"/>
              <w:numPr>
                <w:ilvl w:val="3"/>
                <w:numId w:val="8"/>
              </w:numPr>
              <w:tabs>
                <w:tab w:val="left" w:pos="1066"/>
              </w:tabs>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pacing w:val="-1"/>
                <w:sz w:val="21"/>
                <w:highlight w:val="none"/>
              </w:rPr>
              <w:t>查询公路建设市场信用信息管理系统，对投标人的资质、业绩、主要人</w:t>
            </w:r>
            <w:r>
              <w:rPr>
                <w:rFonts w:hint="eastAsia" w:ascii="宋体" w:hAnsi="宋体" w:eastAsia="宋体" w:cs="宋体"/>
                <w:color w:val="auto"/>
                <w:spacing w:val="-3"/>
                <w:sz w:val="21"/>
                <w:highlight w:val="none"/>
              </w:rPr>
              <w:t>员资历和目前在岗情况、信用等级进行核实。</w:t>
            </w: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招标人不得对投标文件作出任何评价，不得故意遗漏或者片面摘录，不得在评标委员会对所有偏差定性之前透露存有偏差的投标人名称。</w:t>
            </w:r>
          </w:p>
          <w:p>
            <w:pPr>
              <w:pStyle w:val="9"/>
              <w:keepNext w:val="0"/>
              <w:keepLines w:val="0"/>
              <w:pageBreakBefore w:val="0"/>
              <w:widowControl w:val="0"/>
              <w:numPr>
                <w:ilvl w:val="0"/>
                <w:numId w:val="0"/>
              </w:numPr>
              <w:tabs>
                <w:tab w:val="left" w:pos="581"/>
              </w:tabs>
              <w:kinsoku/>
              <w:wordWrap/>
              <w:overflowPunct/>
              <w:topLinePunct w:val="0"/>
              <w:bidi w:val="0"/>
              <w:spacing w:line="360" w:lineRule="exact"/>
              <w:ind w:leftChars="0" w:right="0" w:rightChars="0"/>
              <w:textAlignment w:val="auto"/>
              <w:rPr>
                <w:rFonts w:hint="eastAsia" w:ascii="宋体" w:hAnsi="宋体" w:eastAsia="宋体" w:cs="宋体"/>
                <w:color w:val="auto"/>
                <w:sz w:val="21"/>
                <w:highlight w:val="none"/>
              </w:rPr>
            </w:pPr>
            <w:r>
              <w:rPr>
                <w:rFonts w:hint="eastAsia" w:ascii="宋体" w:hAnsi="宋体" w:eastAsia="宋体" w:cs="宋体"/>
                <w:color w:val="auto"/>
                <w:spacing w:val="-3"/>
                <w:sz w:val="21"/>
                <w:highlight w:val="none"/>
                <w:lang w:val="en-US" w:eastAsia="zh-CN"/>
              </w:rPr>
              <w:t xml:space="preserve">1.2.2 </w:t>
            </w:r>
            <w:r>
              <w:rPr>
                <w:rFonts w:hint="eastAsia" w:ascii="宋体" w:hAnsi="宋体" w:eastAsia="宋体" w:cs="宋体"/>
                <w:color w:val="auto"/>
                <w:spacing w:val="-3"/>
                <w:sz w:val="21"/>
                <w:highlight w:val="none"/>
              </w:rPr>
              <w:t>评标委员会</w:t>
            </w: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评标委员会由招标人按国家、广东省等的有关规定依法组建。评标委员会的主要工作内容包括：</w:t>
            </w:r>
          </w:p>
          <w:p>
            <w:pPr>
              <w:pStyle w:val="9"/>
              <w:keepNext w:val="0"/>
              <w:keepLines w:val="0"/>
              <w:pageBreakBefore w:val="0"/>
              <w:widowControl w:val="0"/>
              <w:numPr>
                <w:ilvl w:val="0"/>
                <w:numId w:val="9"/>
              </w:numPr>
              <w:tabs>
                <w:tab w:val="left" w:pos="641"/>
              </w:tabs>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pacing w:val="-1"/>
                <w:sz w:val="21"/>
                <w:highlight w:val="none"/>
              </w:rPr>
              <w:t>评标委员会开始评标工作之前，首先听取招标人、协助工作组关于工程情况</w:t>
            </w:r>
            <w:r>
              <w:rPr>
                <w:rFonts w:hint="eastAsia" w:ascii="宋体" w:hAnsi="宋体" w:eastAsia="宋体" w:cs="宋体"/>
                <w:color w:val="auto"/>
                <w:spacing w:val="-3"/>
                <w:sz w:val="21"/>
                <w:highlight w:val="none"/>
              </w:rPr>
              <w:t>和辅助工作的说明，并认真研读招标文件，获取评标所需的重要信息和数据；</w:t>
            </w:r>
          </w:p>
          <w:p>
            <w:pPr>
              <w:pStyle w:val="9"/>
              <w:keepNext w:val="0"/>
              <w:keepLines w:val="0"/>
              <w:pageBreakBefore w:val="0"/>
              <w:widowControl w:val="0"/>
              <w:numPr>
                <w:ilvl w:val="0"/>
                <w:numId w:val="9"/>
              </w:numPr>
              <w:tabs>
                <w:tab w:val="left" w:pos="637"/>
              </w:tabs>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pacing w:val="-3"/>
                <w:sz w:val="21"/>
                <w:highlight w:val="none"/>
              </w:rPr>
              <w:t>对协助工作组提供的评标工作用表和评标内容进行核查。</w:t>
            </w:r>
          </w:p>
          <w:p>
            <w:pPr>
              <w:pStyle w:val="9"/>
              <w:keepNext w:val="0"/>
              <w:keepLines w:val="0"/>
              <w:pageBreakBefore w:val="0"/>
              <w:widowControl w:val="0"/>
              <w:numPr>
                <w:ilvl w:val="0"/>
                <w:numId w:val="9"/>
              </w:numPr>
              <w:tabs>
                <w:tab w:val="left" w:pos="637"/>
              </w:tabs>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pacing w:val="-13"/>
                <w:sz w:val="21"/>
                <w:highlight w:val="none"/>
              </w:rPr>
              <w:t xml:space="preserve">按照以下 </w:t>
            </w:r>
            <w:r>
              <w:rPr>
                <w:rFonts w:hint="eastAsia" w:ascii="宋体" w:hAnsi="宋体" w:eastAsia="宋体" w:cs="宋体"/>
                <w:color w:val="auto"/>
                <w:sz w:val="21"/>
                <w:highlight w:val="none"/>
              </w:rPr>
              <w:t>1.3</w:t>
            </w:r>
            <w:r>
              <w:rPr>
                <w:rFonts w:hint="eastAsia" w:ascii="宋体" w:hAnsi="宋体" w:eastAsia="宋体" w:cs="宋体"/>
                <w:color w:val="auto"/>
                <w:spacing w:val="-3"/>
                <w:sz w:val="21"/>
                <w:highlight w:val="none"/>
              </w:rPr>
              <w:t xml:space="preserve"> 款程序进行各项评审工作。</w:t>
            </w: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1.3 评审工作程序</w:t>
            </w: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（一）第一信封（商务文件和技术文件）：</w:t>
            </w: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l、初步评审：包括形式评审与响应性评审、资格评审（适用于未进行资格预审）；</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r>
              <w:rPr>
                <w:rFonts w:hint="eastAsia" w:ascii="宋体" w:hAnsi="宋体" w:eastAsia="宋体" w:cs="宋体"/>
                <w:color w:val="auto"/>
                <w:spacing w:val="-6"/>
                <w:sz w:val="21"/>
                <w:highlight w:val="none"/>
              </w:rPr>
              <w:t>、详细评审</w:t>
            </w:r>
            <w:r>
              <w:rPr>
                <w:rFonts w:hint="eastAsia" w:ascii="宋体" w:hAnsi="宋体" w:eastAsia="宋体" w:cs="宋体"/>
                <w:color w:val="auto"/>
                <w:sz w:val="21"/>
                <w:highlight w:val="none"/>
              </w:rPr>
              <w:t>（</w:t>
            </w:r>
            <w:r>
              <w:rPr>
                <w:rFonts w:hint="eastAsia" w:ascii="宋体" w:hAnsi="宋体" w:eastAsia="宋体" w:cs="宋体"/>
                <w:color w:val="auto"/>
                <w:spacing w:val="-3"/>
                <w:sz w:val="21"/>
                <w:highlight w:val="none"/>
              </w:rPr>
              <w:t>评审打分</w:t>
            </w:r>
            <w:r>
              <w:rPr>
                <w:rFonts w:hint="eastAsia" w:ascii="宋体" w:hAnsi="宋体" w:eastAsia="宋体" w:cs="宋体"/>
                <w:color w:val="auto"/>
                <w:spacing w:val="-9"/>
                <w:sz w:val="21"/>
                <w:highlight w:val="none"/>
              </w:rPr>
              <w:t>）</w:t>
            </w:r>
            <w:r>
              <w:rPr>
                <w:rFonts w:hint="eastAsia" w:ascii="宋体" w:hAnsi="宋体" w:eastAsia="宋体" w:cs="宋体"/>
                <w:color w:val="auto"/>
                <w:spacing w:val="-4"/>
                <w:sz w:val="21"/>
                <w:highlight w:val="none"/>
              </w:rPr>
              <w:t>：评标委员会首先对通过第一信封初步评审的投标文件</w:t>
            </w:r>
            <w:r>
              <w:rPr>
                <w:rFonts w:hint="eastAsia" w:ascii="宋体" w:hAnsi="宋体" w:eastAsia="宋体" w:cs="宋体"/>
                <w:color w:val="auto"/>
                <w:spacing w:val="-5"/>
                <w:sz w:val="21"/>
                <w:highlight w:val="none"/>
              </w:rPr>
              <w:t>第一个信封</w:t>
            </w:r>
            <w:r>
              <w:rPr>
                <w:rFonts w:hint="eastAsia" w:ascii="宋体" w:hAnsi="宋体" w:eastAsia="宋体" w:cs="宋体"/>
                <w:color w:val="auto"/>
                <w:spacing w:val="-3"/>
                <w:sz w:val="21"/>
                <w:highlight w:val="none"/>
              </w:rPr>
              <w:t>（商务及技术文件</w:t>
            </w:r>
            <w:r>
              <w:rPr>
                <w:rFonts w:hint="eastAsia" w:ascii="宋体" w:hAnsi="宋体" w:eastAsia="宋体" w:cs="宋体"/>
                <w:color w:val="auto"/>
                <w:spacing w:val="-8"/>
                <w:sz w:val="21"/>
                <w:highlight w:val="none"/>
              </w:rPr>
              <w:t>）</w:t>
            </w:r>
            <w:r>
              <w:rPr>
                <w:rFonts w:hint="eastAsia" w:ascii="宋体" w:hAnsi="宋体" w:eastAsia="宋体" w:cs="宋体"/>
                <w:color w:val="auto"/>
                <w:spacing w:val="-5"/>
                <w:sz w:val="21"/>
                <w:highlight w:val="none"/>
              </w:rPr>
              <w:t>进行详细评审，对投标人的施工组织设计、主要人</w:t>
            </w:r>
            <w:r>
              <w:rPr>
                <w:rFonts w:hint="eastAsia" w:ascii="宋体" w:hAnsi="宋体" w:eastAsia="宋体" w:cs="宋体"/>
                <w:color w:val="auto"/>
                <w:spacing w:val="-7"/>
                <w:sz w:val="21"/>
                <w:highlight w:val="none"/>
              </w:rPr>
              <w:t>员、其他因素等分别评审打分，并按照综合得分由高到低排序，排名在招标文件规定数量</w:t>
            </w:r>
            <w:r>
              <w:rPr>
                <w:rFonts w:hint="eastAsia" w:ascii="宋体" w:hAnsi="宋体" w:eastAsia="宋体" w:cs="宋体"/>
                <w:color w:val="auto"/>
                <w:sz w:val="21"/>
                <w:szCs w:val="21"/>
                <w:highlight w:val="none"/>
                <w:u w:val="single"/>
                <w:lang w:eastAsia="zh-CN"/>
              </w:rPr>
              <w:t>前 3 名</w:t>
            </w:r>
            <w:r>
              <w:rPr>
                <w:rFonts w:hint="eastAsia" w:ascii="宋体" w:hAnsi="宋体" w:eastAsia="宋体" w:cs="宋体"/>
                <w:color w:val="auto"/>
                <w:spacing w:val="-3"/>
                <w:sz w:val="21"/>
                <w:highlight w:val="none"/>
              </w:rPr>
              <w:t>的投标人，其投标文件第一信封</w:t>
            </w:r>
            <w:r>
              <w:rPr>
                <w:rFonts w:hint="eastAsia" w:ascii="宋体" w:hAnsi="宋体" w:eastAsia="宋体" w:cs="宋体"/>
                <w:color w:val="auto"/>
                <w:sz w:val="21"/>
                <w:highlight w:val="none"/>
              </w:rPr>
              <w:t>（</w:t>
            </w:r>
            <w:r>
              <w:rPr>
                <w:rFonts w:hint="eastAsia" w:ascii="宋体" w:hAnsi="宋体" w:eastAsia="宋体" w:cs="宋体"/>
                <w:color w:val="auto"/>
                <w:spacing w:val="-3"/>
                <w:sz w:val="21"/>
                <w:highlight w:val="none"/>
              </w:rPr>
              <w:t>商务及技术文件）通过详细评审。</w:t>
            </w: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（二）第二信封（报价文件）：</w:t>
            </w: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1、初步评审</w:t>
            </w:r>
            <w:r>
              <w:rPr>
                <w:color w:val="auto"/>
                <w:sz w:val="21"/>
                <w:highlight w:val="none"/>
              </w:rPr>
              <w:t>：</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（1）只有对投标文件第一个信封通过详细评审的投标人的报价文件才能继续参加第二信封报价文件的形式评审与响应性评审。</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（2）报价算术性修正（如采用固化工程量清单，本步骤省略）；</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2、详细评审：计算评标价。</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（三）投标文件相关信息的核查。</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（四）投标文件的澄清和说明（如有）</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（五）按评标办法规定按照第二信封的评标价由低到高的顺序推荐前三名中标候选人，编写评标报告。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3" w:hRule="atLeast"/>
        </w:trPr>
        <w:tc>
          <w:tcPr>
            <w:tcW w:w="359" w:type="pct"/>
            <w:noWrap w:val="0"/>
            <w:vAlign w:val="top"/>
          </w:tcPr>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0"/>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3.2.3</w:t>
            </w:r>
          </w:p>
        </w:tc>
        <w:tc>
          <w:tcPr>
            <w:tcW w:w="4640" w:type="pct"/>
            <w:gridSpan w:val="6"/>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 xml:space="preserve">将评标办法范本原文第 3.2.3 项细化如下： </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 xml:space="preserve">投标人的商务和技术得分=A+B+C。 </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除履约信誉、技术能力得分外，投标文件各评分因素细分项得分均不应低于其权重分的60%，评分低于权重分值60%的，评标委员会成员应当在评标报告中作出说明。计算投标人技术得分时: 首先在评委技术评分中，同一评委对各投标人评分总分的差值最大的评委评分进行取舍（当一位或两位评委评分差值最大时均取消其评委评分，当多于两位评分差值均最大时，不取消任一评委评分），再对各评分因素细分项中取消一个最高、一个最低分后计算算术平均值的和为投标人的最终技术得分，平均值计算四舍五入保留小数点后三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4" w:hRule="atLeast"/>
        </w:trPr>
        <w:tc>
          <w:tcPr>
            <w:tcW w:w="359" w:type="pct"/>
            <w:noWrap w:val="0"/>
            <w:vAlign w:val="top"/>
          </w:tcPr>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3.4.2</w:t>
            </w:r>
          </w:p>
        </w:tc>
        <w:tc>
          <w:tcPr>
            <w:tcW w:w="4640" w:type="pct"/>
            <w:gridSpan w:val="6"/>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将评标办法范本原文第 3.4.2 款第（2）、（3）、（4）条修改为：</w:t>
            </w:r>
          </w:p>
          <w:p>
            <w:pPr>
              <w:pStyle w:val="9"/>
              <w:keepNext w:val="0"/>
              <w:keepLines w:val="0"/>
              <w:pageBreakBefore w:val="0"/>
              <w:widowControl w:val="0"/>
              <w:numPr>
                <w:ilvl w:val="0"/>
                <w:numId w:val="10"/>
              </w:numPr>
              <w:tabs>
                <w:tab w:val="left" w:pos="840"/>
              </w:tabs>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pacing w:val="-4"/>
                <w:sz w:val="21"/>
                <w:highlight w:val="none"/>
              </w:rPr>
              <w:t>总价金额与依据单价计算出的结果不一致的，在保证投标总价不变的前</w:t>
            </w:r>
            <w:r>
              <w:rPr>
                <w:rFonts w:hint="eastAsia" w:ascii="宋体" w:hAnsi="宋体" w:eastAsia="宋体" w:cs="宋体"/>
                <w:color w:val="auto"/>
                <w:spacing w:val="-3"/>
                <w:sz w:val="21"/>
                <w:highlight w:val="none"/>
              </w:rPr>
              <w:t>提下予以合理调整单价。</w:t>
            </w:r>
          </w:p>
          <w:p>
            <w:pPr>
              <w:pStyle w:val="9"/>
              <w:keepNext w:val="0"/>
              <w:keepLines w:val="0"/>
              <w:pageBreakBefore w:val="0"/>
              <w:widowControl w:val="0"/>
              <w:numPr>
                <w:ilvl w:val="0"/>
                <w:numId w:val="10"/>
              </w:numPr>
              <w:tabs>
                <w:tab w:val="left" w:pos="840"/>
              </w:tabs>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pacing w:val="-1"/>
                <w:sz w:val="21"/>
                <w:highlight w:val="none"/>
              </w:rPr>
              <w:t>当单价与数量相乘不等于合价时，应以标出的合价为准，同时对单价予以修正；</w:t>
            </w:r>
          </w:p>
          <w:p>
            <w:pPr>
              <w:pStyle w:val="9"/>
              <w:keepNext w:val="0"/>
              <w:keepLines w:val="0"/>
              <w:pageBreakBefore w:val="0"/>
              <w:widowControl w:val="0"/>
              <w:numPr>
                <w:ilvl w:val="0"/>
                <w:numId w:val="10"/>
              </w:numPr>
              <w:tabs>
                <w:tab w:val="left" w:pos="840"/>
              </w:tabs>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pacing w:val="-5"/>
                <w:sz w:val="21"/>
                <w:highlight w:val="none"/>
              </w:rPr>
              <w:t>当各子目的合价累计不等于总价时，应以总价不变的前提下，修正各子</w:t>
            </w:r>
            <w:r>
              <w:rPr>
                <w:rFonts w:hint="eastAsia" w:ascii="宋体" w:hAnsi="宋体" w:eastAsia="宋体" w:cs="宋体"/>
                <w:color w:val="auto"/>
                <w:spacing w:val="-4"/>
                <w:sz w:val="21"/>
                <w:highlight w:val="none"/>
              </w:rPr>
              <w:t>目合价。</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（如采用固化工程量清单，3.4.2</w:t>
            </w:r>
            <w:r>
              <w:rPr>
                <w:rFonts w:ascii="宋体" w:hAnsi="宋体" w:eastAsia="宋体" w:cs="宋体"/>
                <w:spacing w:val="-1"/>
                <w:sz w:val="21"/>
                <w:szCs w:val="21"/>
                <w:highlight w:val="none"/>
              </w:rPr>
              <w:t>～</w:t>
            </w:r>
            <w:r>
              <w:rPr>
                <w:rFonts w:hint="eastAsia" w:ascii="宋体" w:hAnsi="宋体" w:eastAsia="宋体" w:cs="宋体"/>
                <w:color w:val="auto"/>
                <w:sz w:val="21"/>
                <w:highlight w:val="none"/>
              </w:rPr>
              <w:t>3.4.4 条款不适用）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359" w:type="pct"/>
            <w:noWrap w:val="0"/>
            <w:vAlign w:val="top"/>
          </w:tcPr>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19"/>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3.4.4</w:t>
            </w:r>
          </w:p>
        </w:tc>
        <w:tc>
          <w:tcPr>
            <w:tcW w:w="4640" w:type="pct"/>
            <w:gridSpan w:val="6"/>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将评标办法范本原文第 3.4.4 款修改为：</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修正后的最终投标报价若超过最高评标限价，评标委员会应否决其投标。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5" w:hRule="atLeast"/>
        </w:trPr>
        <w:tc>
          <w:tcPr>
            <w:tcW w:w="359" w:type="pct"/>
            <w:noWrap w:val="0"/>
            <w:vAlign w:val="top"/>
          </w:tcPr>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sz w:val="29"/>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3.6</w:t>
            </w:r>
          </w:p>
        </w:tc>
        <w:tc>
          <w:tcPr>
            <w:tcW w:w="4640" w:type="pct"/>
            <w:gridSpan w:val="6"/>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增加 3.6.3 款：</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3.6.3 </w:t>
            </w:r>
            <w:r>
              <w:rPr>
                <w:rFonts w:hint="eastAsia" w:ascii="宋体" w:hAnsi="宋体" w:eastAsia="宋体" w:cs="宋体"/>
                <w:color w:val="auto"/>
                <w:spacing w:val="-9"/>
                <w:sz w:val="21"/>
                <w:highlight w:val="none"/>
              </w:rPr>
              <w:t>依法必须进行招标的项目，除第一中标候选人或者中标人以外的其他投标</w:t>
            </w:r>
            <w:r>
              <w:rPr>
                <w:rFonts w:hint="eastAsia" w:ascii="宋体" w:hAnsi="宋体" w:eastAsia="宋体" w:cs="宋体"/>
                <w:color w:val="auto"/>
                <w:spacing w:val="-8"/>
                <w:sz w:val="21"/>
                <w:highlight w:val="none"/>
              </w:rPr>
              <w:t>人存在串通投标、弄虚作假、行贿情形且在评标过程中未被发现的，视为对中标结果没有造成实质性影响，招标人可以依法继续开展招标活动。投标人的违法行为由</w:t>
            </w:r>
            <w:r>
              <w:rPr>
                <w:rFonts w:hint="eastAsia" w:ascii="宋体" w:hAnsi="宋体" w:eastAsia="宋体" w:cs="宋体"/>
                <w:color w:val="auto"/>
                <w:sz w:val="21"/>
                <w:highlight w:val="none"/>
              </w:rPr>
              <w:t>行政监督部门依法处理。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0" w:hRule="atLeast"/>
        </w:trPr>
        <w:tc>
          <w:tcPr>
            <w:tcW w:w="359" w:type="pct"/>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3.7.1</w:t>
            </w:r>
          </w:p>
        </w:tc>
        <w:tc>
          <w:tcPr>
            <w:tcW w:w="4640" w:type="pct"/>
            <w:gridSpan w:val="6"/>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将评标办法范本原文第 3.7.1 款修改为：</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 xml:space="preserve">3.7.1 </w:t>
            </w:r>
            <w:r>
              <w:rPr>
                <w:rFonts w:hint="eastAsia" w:ascii="宋体" w:hAnsi="宋体" w:eastAsia="宋体" w:cs="宋体"/>
                <w:color w:val="auto"/>
                <w:spacing w:val="-11"/>
                <w:sz w:val="21"/>
                <w:highlight w:val="none"/>
              </w:rPr>
              <w:t>在评标过程中，评标委员会可以书面形式要求投标人对所提交投标文件中</w:t>
            </w:r>
            <w:r>
              <w:rPr>
                <w:rFonts w:hint="eastAsia" w:ascii="宋体" w:hAnsi="宋体" w:eastAsia="宋体" w:cs="宋体"/>
                <w:color w:val="auto"/>
                <w:spacing w:val="-8"/>
                <w:sz w:val="21"/>
                <w:highlight w:val="none"/>
              </w:rPr>
              <w:t>含义不明确的内容、明显文字或计算错误进行书面澄清或说明。评标委员会不接受投标人主动提出的澄清、</w:t>
            </w:r>
            <w:r>
              <w:rPr>
                <w:rFonts w:hint="eastAsia" w:ascii="宋体" w:hAnsi="宋体" w:eastAsia="宋体" w:cs="宋体"/>
                <w:color w:val="auto"/>
                <w:spacing w:val="-6"/>
                <w:sz w:val="21"/>
                <w:highlight w:val="none"/>
              </w:rPr>
              <w:t>说明。投标人不按评标委员会要求澄清或说明的，评标委</w:t>
            </w:r>
            <w:r>
              <w:rPr>
                <w:rFonts w:hint="eastAsia" w:ascii="宋体" w:hAnsi="宋体" w:eastAsia="宋体" w:cs="宋体"/>
                <w:color w:val="auto"/>
                <w:spacing w:val="-4"/>
                <w:sz w:val="21"/>
                <w:highlight w:val="none"/>
              </w:rPr>
              <w:t>员会应否决其投标。</w:t>
            </w:r>
          </w:p>
          <w:p>
            <w:pPr>
              <w:pStyle w:val="9"/>
              <w:keepNext w:val="0"/>
              <w:keepLines w:val="0"/>
              <w:pageBreakBefore w:val="0"/>
              <w:widowControl w:val="0"/>
              <w:numPr>
                <w:ilvl w:val="0"/>
                <w:numId w:val="11"/>
              </w:numPr>
              <w:tabs>
                <w:tab w:val="left" w:pos="1136"/>
              </w:tabs>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pacing w:val="-5"/>
                <w:sz w:val="21"/>
                <w:highlight w:val="none"/>
              </w:rPr>
              <w:t>投标文件中的下列计算错误为细微偏差</w:t>
            </w:r>
            <w:r>
              <w:rPr>
                <w:rFonts w:hint="eastAsia" w:ascii="宋体" w:hAnsi="宋体" w:eastAsia="宋体" w:cs="宋体"/>
                <w:color w:val="auto"/>
                <w:sz w:val="21"/>
                <w:highlight w:val="none"/>
              </w:rPr>
              <w:t>（</w:t>
            </w:r>
            <w:r>
              <w:rPr>
                <w:rFonts w:hint="eastAsia" w:ascii="宋体" w:hAnsi="宋体" w:eastAsia="宋体" w:cs="宋体"/>
                <w:color w:val="auto"/>
                <w:spacing w:val="-9"/>
                <w:sz w:val="21"/>
                <w:highlight w:val="none"/>
              </w:rPr>
              <w:t xml:space="preserve">采用固化工程量清单，则 </w:t>
            </w:r>
            <w:r>
              <w:rPr>
                <w:rFonts w:hint="eastAsia" w:ascii="宋体" w:hAnsi="宋体" w:eastAsia="宋体" w:cs="宋体"/>
                <w:color w:val="auto"/>
                <w:sz w:val="21"/>
                <w:highlight w:val="none"/>
              </w:rPr>
              <w:t>a－d步骤省略）：</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a、在算术性复核中发现的算术性差错：</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b、在招标人给定的工程量清单中漏报了某个工程细目的单价和合价；</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c、招标人给定的工程量清单中多报了某个工程细目的单价和合价或所报单价增加或减少了报价范围；</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d、在招标人给定的工程量清单中修改了某些支付号的工程数量。</w:t>
            </w:r>
          </w:p>
          <w:p>
            <w:pPr>
              <w:pStyle w:val="9"/>
              <w:keepNext w:val="0"/>
              <w:keepLines w:val="0"/>
              <w:pageBreakBefore w:val="0"/>
              <w:widowControl w:val="0"/>
              <w:numPr>
                <w:ilvl w:val="0"/>
                <w:numId w:val="11"/>
              </w:numPr>
              <w:tabs>
                <w:tab w:val="left" w:pos="1062"/>
              </w:tabs>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评标委员会对投标文件中的细微偏差按如下规定处理（</w:t>
            </w:r>
            <w:r>
              <w:rPr>
                <w:rFonts w:hint="eastAsia" w:ascii="宋体" w:hAnsi="宋体" w:eastAsia="宋体" w:cs="宋体"/>
                <w:color w:val="auto"/>
                <w:spacing w:val="-3"/>
                <w:sz w:val="21"/>
                <w:highlight w:val="none"/>
              </w:rPr>
              <w:t>采用固化工程量</w:t>
            </w:r>
            <w:r>
              <w:rPr>
                <w:rFonts w:hint="eastAsia" w:ascii="宋体" w:hAnsi="宋体" w:eastAsia="宋体" w:cs="宋体"/>
                <w:color w:val="auto"/>
                <w:spacing w:val="-12"/>
                <w:sz w:val="21"/>
                <w:highlight w:val="none"/>
              </w:rPr>
              <w:t xml:space="preserve">清单，则 </w:t>
            </w:r>
            <w:r>
              <w:rPr>
                <w:rFonts w:hint="eastAsia" w:ascii="宋体" w:hAnsi="宋体" w:eastAsia="宋体" w:cs="宋体"/>
                <w:color w:val="auto"/>
                <w:sz w:val="21"/>
                <w:highlight w:val="none"/>
              </w:rPr>
              <w:t>a－d</w:t>
            </w:r>
            <w:r>
              <w:rPr>
                <w:rFonts w:hint="eastAsia" w:ascii="宋体" w:hAnsi="宋体" w:eastAsia="宋体" w:cs="宋体"/>
                <w:color w:val="auto"/>
                <w:spacing w:val="-3"/>
                <w:sz w:val="21"/>
                <w:highlight w:val="none"/>
              </w:rPr>
              <w:t xml:space="preserve"> 步骤省略</w:t>
            </w:r>
            <w:r>
              <w:rPr>
                <w:rFonts w:hint="eastAsia" w:ascii="宋体" w:hAnsi="宋体" w:eastAsia="宋体" w:cs="宋体"/>
                <w:color w:val="auto"/>
                <w:sz w:val="21"/>
                <w:highlight w:val="none"/>
              </w:rPr>
              <w:t>）：</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a、按本评标办法的规定对算术性错误予以修正；</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b、对于漏报的工程细目单价和合价或单价和合价减少的报价内容视为已含入其它工程细目的单价和合价之中；</w:t>
            </w:r>
          </w:p>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c、在保证投标总价不变的前提下，对于多报的工程细目报价或工程细目报价中增加的部分报价从投标报价中予以扣除，并对其它细目作相应的平衡性调整；</w:t>
            </w:r>
          </w:p>
          <w:p>
            <w:pPr>
              <w:pStyle w:val="9"/>
              <w:keepNext w:val="0"/>
              <w:keepLines w:val="0"/>
              <w:pageBreakBefore w:val="0"/>
              <w:widowControl w:val="0"/>
              <w:kinsoku/>
              <w:wordWrap/>
              <w:overflowPunct/>
              <w:topLinePunct w:val="0"/>
              <w:bidi w:val="0"/>
              <w:spacing w:line="360" w:lineRule="exact"/>
              <w:ind w:left="0" w:leftChars="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d、在保证投标总价不变的前提下，对与给定工程量清单数量不符的工程数量进行更正，并对其它细目作相应的平衡性调整；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5" w:hRule="atLeast"/>
        </w:trPr>
        <w:tc>
          <w:tcPr>
            <w:tcW w:w="359" w:type="pct"/>
            <w:noWrap w:val="0"/>
            <w:vAlign w:val="top"/>
          </w:tcPr>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textAlignment w:val="auto"/>
              <w:rPr>
                <w:rFonts w:hint="eastAsia" w:ascii="宋体" w:hAnsi="宋体" w:eastAsia="宋体" w:cs="宋体"/>
                <w:color w:val="auto"/>
                <w:highlight w:val="none"/>
              </w:rPr>
            </w:pPr>
          </w:p>
          <w:p>
            <w:pPr>
              <w:pStyle w:val="9"/>
              <w:keepNext w:val="0"/>
              <w:keepLines w:val="0"/>
              <w:pageBreakBefore w:val="0"/>
              <w:widowControl w:val="0"/>
              <w:kinsoku/>
              <w:wordWrap/>
              <w:overflowPunct/>
              <w:topLinePunct w:val="0"/>
              <w:bidi w:val="0"/>
              <w:spacing w:line="360" w:lineRule="exact"/>
              <w:ind w:left="0" w:right="0" w:rightChars="0" w:firstLine="0" w:firstLineChars="0"/>
              <w:jc w:val="center"/>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3.9</w:t>
            </w:r>
          </w:p>
        </w:tc>
        <w:tc>
          <w:tcPr>
            <w:tcW w:w="4640" w:type="pct"/>
            <w:gridSpan w:val="6"/>
            <w:noWrap w:val="0"/>
            <w:vAlign w:val="center"/>
          </w:tcPr>
          <w:p>
            <w:pPr>
              <w:pStyle w:val="9"/>
              <w:keepNext w:val="0"/>
              <w:keepLines w:val="0"/>
              <w:pageBreakBefore w:val="0"/>
              <w:widowControl w:val="0"/>
              <w:kinsoku/>
              <w:wordWrap/>
              <w:overflowPunct/>
              <w:topLinePunct w:val="0"/>
              <w:bidi w:val="0"/>
              <w:spacing w:line="360" w:lineRule="exact"/>
              <w:ind w:left="0" w:right="0" w:rightChars="0" w:firstLine="0" w:firstLine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rPr>
              <w:t>增加 3.9.3-3.9.6 款：</w:t>
            </w:r>
          </w:p>
          <w:p>
            <w:pPr>
              <w:pStyle w:val="9"/>
              <w:keepNext w:val="0"/>
              <w:keepLines w:val="0"/>
              <w:pageBreakBefore w:val="0"/>
              <w:widowControl w:val="0"/>
              <w:numPr>
                <w:ilvl w:val="0"/>
                <w:numId w:val="0"/>
              </w:numPr>
              <w:tabs>
                <w:tab w:val="left" w:pos="1006"/>
              </w:tabs>
              <w:kinsoku/>
              <w:wordWrap/>
              <w:overflowPunct/>
              <w:topLinePunct w:val="0"/>
              <w:bidi w:val="0"/>
              <w:spacing w:line="360" w:lineRule="exact"/>
              <w:ind w:leftChars="0" w:right="0" w:rightChars="0"/>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val="en-US" w:eastAsia="zh-CN"/>
              </w:rPr>
              <w:t xml:space="preserve">3.9.3  </w:t>
            </w:r>
            <w:r>
              <w:rPr>
                <w:rFonts w:hint="eastAsia" w:ascii="宋体" w:hAnsi="宋体" w:eastAsia="宋体" w:cs="宋体"/>
                <w:color w:val="auto"/>
                <w:sz w:val="21"/>
                <w:highlight w:val="none"/>
                <w:lang w:eastAsia="zh-CN"/>
              </w:rPr>
              <w:t>推荐中标候选人方式：按合同段最高投标限价高低顺序依次选定各合同段中标候选人，如果出现投标人在多个合同段都排名第一，将确定该投标人为最高投标限价较高的合同段的第一中标候选人，同时该投标人自动失去在本次招标中其他合同段的中标候选人资格，其他合同段的综合排名名次高者自动上升为中标候选人，如此类推。</w:t>
            </w:r>
          </w:p>
          <w:p>
            <w:pPr>
              <w:pStyle w:val="9"/>
              <w:keepNext w:val="0"/>
              <w:keepLines w:val="0"/>
              <w:pageBreakBefore w:val="0"/>
              <w:widowControl w:val="0"/>
              <w:numPr>
                <w:ilvl w:val="0"/>
                <w:numId w:val="0"/>
              </w:numPr>
              <w:tabs>
                <w:tab w:val="left" w:pos="1006"/>
              </w:tabs>
              <w:kinsoku/>
              <w:wordWrap/>
              <w:overflowPunct/>
              <w:topLinePunct w:val="0"/>
              <w:bidi w:val="0"/>
              <w:spacing w:line="360" w:lineRule="exact"/>
              <w:ind w:leftChars="0" w:right="0" w:rightChars="0"/>
              <w:jc w:val="both"/>
              <w:textAlignment w:val="auto"/>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val="en-US" w:eastAsia="zh-CN"/>
              </w:rPr>
              <w:t xml:space="preserve">3.9.4  </w:t>
            </w:r>
            <w:r>
              <w:rPr>
                <w:rFonts w:hint="eastAsia" w:ascii="宋体" w:hAnsi="宋体" w:eastAsia="宋体" w:cs="宋体"/>
                <w:color w:val="auto"/>
                <w:sz w:val="21"/>
                <w:highlight w:val="none"/>
                <w:lang w:eastAsia="zh-CN"/>
              </w:rPr>
              <w:t>通过第一信封商务文件和技术文件评审的投标人少于 3 个的，评标委员会应否决全部投标。</w:t>
            </w:r>
          </w:p>
          <w:p>
            <w:pPr>
              <w:pStyle w:val="9"/>
              <w:keepNext w:val="0"/>
              <w:keepLines w:val="0"/>
              <w:pageBreakBefore w:val="0"/>
              <w:widowControl w:val="0"/>
              <w:numPr>
                <w:ilvl w:val="0"/>
                <w:numId w:val="0"/>
              </w:numPr>
              <w:tabs>
                <w:tab w:val="left" w:pos="1006"/>
              </w:tabs>
              <w:kinsoku/>
              <w:wordWrap/>
              <w:overflowPunct/>
              <w:topLinePunct w:val="0"/>
              <w:bidi w:val="0"/>
              <w:spacing w:line="360" w:lineRule="exact"/>
              <w:ind w:leftChars="0" w:right="0" w:right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 xml:space="preserve">3.9.5  </w:t>
            </w:r>
            <w:r>
              <w:rPr>
                <w:rFonts w:hint="eastAsia" w:ascii="宋体" w:hAnsi="宋体" w:eastAsia="宋体" w:cs="宋体"/>
                <w:color w:val="auto"/>
                <w:sz w:val="21"/>
                <w:highlight w:val="none"/>
                <w:lang w:eastAsia="zh-CN"/>
              </w:rPr>
              <w:t>通过第一信封商务文</w:t>
            </w:r>
            <w:r>
              <w:rPr>
                <w:rFonts w:hint="eastAsia" w:ascii="宋体" w:hAnsi="宋体" w:eastAsia="宋体" w:cs="宋体"/>
                <w:color w:val="auto"/>
                <w:spacing w:val="-5"/>
                <w:sz w:val="21"/>
                <w:highlight w:val="none"/>
              </w:rPr>
              <w:t xml:space="preserve">件和技术文件评审的投标人在 </w:t>
            </w:r>
            <w:r>
              <w:rPr>
                <w:rFonts w:hint="eastAsia" w:ascii="宋体" w:hAnsi="宋体" w:eastAsia="宋体" w:cs="宋体"/>
                <w:color w:val="auto"/>
                <w:sz w:val="21"/>
                <w:highlight w:val="none"/>
              </w:rPr>
              <w:t>3</w:t>
            </w:r>
            <w:r>
              <w:rPr>
                <w:rFonts w:hint="eastAsia" w:ascii="宋体" w:hAnsi="宋体" w:eastAsia="宋体" w:cs="宋体"/>
                <w:color w:val="auto"/>
                <w:spacing w:val="13"/>
                <w:sz w:val="21"/>
                <w:highlight w:val="none"/>
              </w:rPr>
              <w:t xml:space="preserve"> </w:t>
            </w:r>
            <w:r>
              <w:rPr>
                <w:rFonts w:hint="eastAsia" w:ascii="宋体" w:hAnsi="宋体" w:eastAsia="宋体" w:cs="宋体"/>
                <w:color w:val="auto"/>
                <w:spacing w:val="-14"/>
                <w:sz w:val="21"/>
                <w:highlight w:val="none"/>
              </w:rPr>
              <w:t>个及以上的，招标人</w:t>
            </w:r>
            <w:r>
              <w:rPr>
                <w:rFonts w:hint="eastAsia" w:ascii="宋体" w:hAnsi="宋体" w:eastAsia="宋体" w:cs="宋体"/>
                <w:color w:val="auto"/>
                <w:spacing w:val="-9"/>
                <w:sz w:val="21"/>
                <w:highlight w:val="none"/>
              </w:rPr>
              <w:t xml:space="preserve">应当按照招标文件规定的程序进行第二信封报价文件开标；在对报价文件进行评审后，有效投标不足 </w:t>
            </w:r>
            <w:r>
              <w:rPr>
                <w:rFonts w:hint="eastAsia" w:ascii="宋体" w:hAnsi="宋体" w:eastAsia="宋体" w:cs="宋体"/>
                <w:color w:val="auto"/>
                <w:sz w:val="21"/>
                <w:highlight w:val="none"/>
              </w:rPr>
              <w:t>3</w:t>
            </w:r>
            <w:r>
              <w:rPr>
                <w:rFonts w:hint="eastAsia" w:ascii="宋体" w:hAnsi="宋体" w:eastAsia="宋体" w:cs="宋体"/>
                <w:color w:val="auto"/>
                <w:spacing w:val="18"/>
                <w:sz w:val="21"/>
                <w:highlight w:val="none"/>
              </w:rPr>
              <w:t xml:space="preserve"> </w:t>
            </w:r>
            <w:r>
              <w:rPr>
                <w:rFonts w:hint="eastAsia" w:ascii="宋体" w:hAnsi="宋体" w:eastAsia="宋体" w:cs="宋体"/>
                <w:color w:val="auto"/>
                <w:spacing w:val="-6"/>
                <w:sz w:val="21"/>
                <w:highlight w:val="none"/>
              </w:rPr>
              <w:t>个的，评标委员会可以否决全部投标。未否决全部投标的，评</w:t>
            </w:r>
            <w:r>
              <w:rPr>
                <w:rFonts w:hint="eastAsia" w:ascii="宋体" w:hAnsi="宋体" w:eastAsia="宋体" w:cs="宋体"/>
                <w:color w:val="auto"/>
                <w:spacing w:val="-4"/>
                <w:sz w:val="21"/>
                <w:highlight w:val="none"/>
              </w:rPr>
              <w:t>标委员会应当在评标报告中阐明理由并推荐中标候选人。</w:t>
            </w:r>
          </w:p>
          <w:p>
            <w:pPr>
              <w:pStyle w:val="9"/>
              <w:keepNext w:val="0"/>
              <w:keepLines w:val="0"/>
              <w:pageBreakBefore w:val="0"/>
              <w:widowControl w:val="0"/>
              <w:numPr>
                <w:ilvl w:val="0"/>
                <w:numId w:val="0"/>
              </w:numPr>
              <w:tabs>
                <w:tab w:val="left" w:pos="1006"/>
              </w:tabs>
              <w:kinsoku/>
              <w:wordWrap/>
              <w:overflowPunct/>
              <w:topLinePunct w:val="0"/>
              <w:bidi w:val="0"/>
              <w:spacing w:line="360" w:lineRule="exact"/>
              <w:ind w:leftChars="0" w:right="0" w:rightChars="0"/>
              <w:jc w:val="both"/>
              <w:textAlignment w:val="auto"/>
              <w:rPr>
                <w:rFonts w:hint="eastAsia" w:ascii="宋体" w:hAnsi="宋体" w:eastAsia="宋体" w:cs="宋体"/>
                <w:color w:val="auto"/>
                <w:sz w:val="21"/>
                <w:highlight w:val="none"/>
              </w:rPr>
            </w:pPr>
            <w:r>
              <w:rPr>
                <w:rFonts w:hint="eastAsia" w:ascii="宋体" w:hAnsi="宋体" w:eastAsia="宋体" w:cs="宋体"/>
                <w:color w:val="auto"/>
                <w:sz w:val="21"/>
                <w:highlight w:val="none"/>
                <w:lang w:val="en-US" w:eastAsia="zh-CN"/>
              </w:rPr>
              <w:t xml:space="preserve">3.9.6  </w:t>
            </w:r>
            <w:r>
              <w:rPr>
                <w:rFonts w:hint="eastAsia" w:ascii="宋体" w:hAnsi="宋体" w:eastAsia="宋体" w:cs="宋体"/>
                <w:color w:val="auto"/>
                <w:sz w:val="21"/>
                <w:highlight w:val="none"/>
                <w:lang w:eastAsia="zh-CN"/>
              </w:rPr>
              <w:t>如</w:t>
            </w:r>
            <w:r>
              <w:rPr>
                <w:rFonts w:hint="eastAsia" w:ascii="宋体" w:hAnsi="宋体" w:eastAsia="宋体" w:cs="宋体"/>
                <w:color w:val="auto"/>
                <w:sz w:val="21"/>
                <w:highlight w:val="none"/>
              </w:rPr>
              <w:t>果发生无法确定推荐中标候选人的其它意外情况，评标委员会可建议</w:t>
            </w:r>
            <w:r>
              <w:rPr>
                <w:rFonts w:hint="eastAsia" w:ascii="宋体" w:hAnsi="宋体" w:eastAsia="宋体" w:cs="宋体"/>
                <w:color w:val="auto"/>
                <w:sz w:val="21"/>
                <w:highlight w:val="none"/>
                <w:lang w:eastAsia="zh-CN"/>
              </w:rPr>
              <w:t>招标人重新招标。</w:t>
            </w:r>
          </w:p>
        </w:tc>
      </w:tr>
    </w:tbl>
    <w:p>
      <w:pPr>
        <w:rPr>
          <w:highlight w:val="none"/>
        </w:rPr>
      </w:pPr>
    </w:p>
    <w:p>
      <w:pPr>
        <w:pStyle w:val="2"/>
        <w:rPr>
          <w:highlight w:val="none"/>
        </w:rPr>
      </w:pPr>
    </w:p>
    <w:p>
      <w:pPr>
        <w:spacing w:line="460" w:lineRule="exact"/>
        <w:rPr>
          <w:rFonts w:ascii="宋体" w:hAnsi="宋体"/>
          <w:b/>
          <w:color w:val="auto"/>
          <w:sz w:val="28"/>
          <w:szCs w:val="28"/>
          <w:highlight w:val="none"/>
        </w:rPr>
      </w:pPr>
      <w:r>
        <w:rPr>
          <w:rFonts w:hint="eastAsia" w:ascii="宋体" w:hAnsi="宋体"/>
          <w:b/>
          <w:color w:val="auto"/>
          <w:sz w:val="28"/>
          <w:szCs w:val="28"/>
          <w:highlight w:val="none"/>
        </w:rPr>
        <w:t>1.</w:t>
      </w:r>
      <w:r>
        <w:rPr>
          <w:rFonts w:hint="eastAsia" w:ascii="楷体_GB2312" w:hAnsi="宋体" w:eastAsia="楷体_GB2312" w:cs="宋体"/>
          <w:b/>
          <w:color w:val="auto"/>
          <w:kern w:val="0"/>
          <w:szCs w:val="21"/>
          <w:highlight w:val="none"/>
        </w:rPr>
        <w:t xml:space="preserve"> </w:t>
      </w:r>
      <w:r>
        <w:rPr>
          <w:rFonts w:hint="eastAsia" w:ascii="宋体" w:hAnsi="宋体"/>
          <w:b/>
          <w:color w:val="auto"/>
          <w:sz w:val="28"/>
          <w:szCs w:val="28"/>
          <w:highlight w:val="none"/>
        </w:rPr>
        <w:t>评标方法</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本次评标采用技术评分最低标价法。评标委员会对满足招标文件实质性要求的投标文件的施工组织设计、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pPr>
        <w:spacing w:before="360" w:beforeLines="150" w:line="460" w:lineRule="exact"/>
        <w:rPr>
          <w:rFonts w:ascii="宋体" w:hAnsi="宋体"/>
          <w:b/>
          <w:color w:val="auto"/>
          <w:sz w:val="28"/>
          <w:szCs w:val="28"/>
          <w:highlight w:val="none"/>
        </w:rPr>
      </w:pPr>
      <w:bookmarkStart w:id="0" w:name="_Toc234382676"/>
      <w:bookmarkStart w:id="1" w:name="_Toc16203"/>
      <w:r>
        <w:rPr>
          <w:rFonts w:ascii="宋体" w:hAnsi="宋体"/>
          <w:b/>
          <w:color w:val="auto"/>
          <w:sz w:val="28"/>
          <w:szCs w:val="28"/>
          <w:highlight w:val="none"/>
        </w:rPr>
        <w:t xml:space="preserve">2. </w:t>
      </w:r>
      <w:r>
        <w:rPr>
          <w:rFonts w:hint="eastAsia" w:ascii="宋体" w:hAnsi="宋体"/>
          <w:b/>
          <w:color w:val="auto"/>
          <w:sz w:val="28"/>
          <w:szCs w:val="28"/>
          <w:highlight w:val="none"/>
        </w:rPr>
        <w:t>评审标准</w:t>
      </w:r>
      <w:bookmarkEnd w:id="0"/>
      <w:bookmarkEnd w:id="1"/>
    </w:p>
    <w:p>
      <w:pPr>
        <w:spacing w:line="460" w:lineRule="exact"/>
        <w:ind w:firstLine="482" w:firstLineChars="200"/>
        <w:rPr>
          <w:rFonts w:ascii="宋体" w:hAnsi="宋体"/>
          <w:b/>
          <w:color w:val="auto"/>
          <w:sz w:val="24"/>
          <w:highlight w:val="none"/>
        </w:rPr>
      </w:pPr>
      <w:bookmarkStart w:id="2" w:name="_Toc234382677"/>
      <w:bookmarkStart w:id="3" w:name="_Toc27993"/>
      <w:r>
        <w:rPr>
          <w:rFonts w:ascii="宋体" w:hAnsi="宋体"/>
          <w:b/>
          <w:color w:val="auto"/>
          <w:sz w:val="24"/>
          <w:highlight w:val="none"/>
        </w:rPr>
        <w:t xml:space="preserve">2.1 </w:t>
      </w:r>
      <w:r>
        <w:rPr>
          <w:rFonts w:hint="eastAsia" w:ascii="宋体" w:hAnsi="宋体"/>
          <w:b/>
          <w:color w:val="auto"/>
          <w:sz w:val="24"/>
          <w:highlight w:val="none"/>
        </w:rPr>
        <w:t>初步评审标准</w:t>
      </w:r>
      <w:bookmarkEnd w:id="2"/>
      <w:bookmarkEnd w:id="3"/>
    </w:p>
    <w:p>
      <w:pPr>
        <w:spacing w:line="460" w:lineRule="exact"/>
        <w:ind w:firstLine="480" w:firstLineChars="200"/>
        <w:rPr>
          <w:rFonts w:ascii="宋体" w:hAns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形式评审标准：见评标办法前附表。</w:t>
      </w:r>
    </w:p>
    <w:p>
      <w:pPr>
        <w:spacing w:line="4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2.1.2 </w:t>
      </w:r>
      <w:r>
        <w:rPr>
          <w:rFonts w:hint="eastAsia" w:ascii="宋体" w:hAnsi="宋体"/>
          <w:color w:val="auto"/>
          <w:sz w:val="24"/>
          <w:highlight w:val="none"/>
        </w:rPr>
        <w:t>资</w:t>
      </w:r>
      <w:r>
        <w:rPr>
          <w:color w:val="auto"/>
          <w:sz w:val="24"/>
          <w:highlight w:val="none"/>
        </w:rPr>
        <w:t>格评审标准：见评标办法前附表（适用于未进行资格预审的）</w:t>
      </w:r>
      <w:r>
        <w:rPr>
          <w:rFonts w:hint="eastAsia" w:ascii="宋体" w:hAnsi="宋体"/>
          <w:color w:val="auto"/>
          <w:sz w:val="24"/>
          <w:highlight w:val="none"/>
        </w:rPr>
        <w:t>。</w:t>
      </w:r>
    </w:p>
    <w:p>
      <w:pPr>
        <w:spacing w:line="4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2.1.2 </w:t>
      </w:r>
      <w:r>
        <w:rPr>
          <w:rFonts w:hint="eastAsia" w:ascii="宋体" w:hAnsi="宋体"/>
          <w:color w:val="auto"/>
          <w:sz w:val="24"/>
          <w:highlight w:val="none"/>
        </w:rPr>
        <w:t>资</w:t>
      </w:r>
      <w:r>
        <w:rPr>
          <w:color w:val="auto"/>
          <w:spacing w:val="-5"/>
          <w:sz w:val="24"/>
          <w:highlight w:val="none"/>
        </w:rPr>
        <w:t>格评审标准：见资格预审文件第三章</w:t>
      </w:r>
      <w:r>
        <w:rPr>
          <w:rFonts w:hint="eastAsia" w:eastAsia="宋体"/>
          <w:color w:val="auto"/>
          <w:sz w:val="24"/>
          <w:highlight w:val="none"/>
          <w:lang w:eastAsia="zh-CN"/>
        </w:rPr>
        <w:t>“</w:t>
      </w:r>
      <w:r>
        <w:rPr>
          <w:color w:val="auto"/>
          <w:sz w:val="24"/>
          <w:highlight w:val="none"/>
        </w:rPr>
        <w:t>资格审查办法</w:t>
      </w:r>
      <w:r>
        <w:rPr>
          <w:rFonts w:hint="eastAsia" w:eastAsia="宋体"/>
          <w:color w:val="auto"/>
          <w:sz w:val="24"/>
          <w:highlight w:val="none"/>
          <w:lang w:eastAsia="zh-CN"/>
        </w:rPr>
        <w:t>”</w:t>
      </w:r>
      <w:r>
        <w:rPr>
          <w:color w:val="auto"/>
          <w:spacing w:val="-5"/>
          <w:sz w:val="24"/>
          <w:highlight w:val="none"/>
        </w:rPr>
        <w:t>详细审查标准</w:t>
      </w:r>
      <w:r>
        <w:rPr>
          <w:color w:val="auto"/>
          <w:sz w:val="24"/>
          <w:highlight w:val="none"/>
        </w:rPr>
        <w:t>（</w:t>
      </w:r>
      <w:r>
        <w:rPr>
          <w:color w:val="auto"/>
          <w:spacing w:val="-15"/>
          <w:sz w:val="24"/>
          <w:highlight w:val="none"/>
        </w:rPr>
        <w:t>适</w:t>
      </w:r>
      <w:r>
        <w:rPr>
          <w:color w:val="auto"/>
          <w:sz w:val="24"/>
          <w:highlight w:val="none"/>
        </w:rPr>
        <w:t>用于已进行资格预审的）</w:t>
      </w:r>
      <w:r>
        <w:rPr>
          <w:rFonts w:hint="eastAsia"/>
          <w:color w:val="auto"/>
          <w:sz w:val="24"/>
          <w:highlight w:val="none"/>
        </w:rPr>
        <w:t>。</w:t>
      </w:r>
    </w:p>
    <w:p>
      <w:pPr>
        <w:spacing w:line="460" w:lineRule="exact"/>
        <w:ind w:firstLine="480" w:firstLineChars="200"/>
        <w:rPr>
          <w:rFonts w:ascii="宋体" w:hAnsi="宋体"/>
          <w:color w:val="auto"/>
          <w:sz w:val="24"/>
          <w:highlight w:val="none"/>
        </w:rPr>
      </w:pPr>
      <w:r>
        <w:rPr>
          <w:rFonts w:ascii="宋体" w:hAnsi="宋体"/>
          <w:color w:val="auto"/>
          <w:sz w:val="24"/>
          <w:highlight w:val="none"/>
        </w:rPr>
        <w:t xml:space="preserve">2.1.3 </w:t>
      </w:r>
      <w:r>
        <w:rPr>
          <w:rFonts w:hint="eastAsia" w:ascii="宋体" w:hAnsi="宋体"/>
          <w:color w:val="auto"/>
          <w:sz w:val="24"/>
          <w:highlight w:val="none"/>
        </w:rPr>
        <w:t>响应性评审标准：见评标办法前附表。</w:t>
      </w:r>
    </w:p>
    <w:p>
      <w:pPr>
        <w:spacing w:before="240" w:beforeLines="100" w:line="460" w:lineRule="exact"/>
        <w:ind w:firstLine="482" w:firstLineChars="200"/>
        <w:rPr>
          <w:rFonts w:ascii="宋体" w:hAnsi="宋体"/>
          <w:b/>
          <w:color w:val="auto"/>
          <w:sz w:val="24"/>
          <w:highlight w:val="none"/>
        </w:rPr>
      </w:pPr>
      <w:bookmarkStart w:id="4" w:name="_Toc29645"/>
      <w:r>
        <w:rPr>
          <w:rFonts w:ascii="宋体" w:hAnsi="宋体"/>
          <w:b/>
          <w:color w:val="auto"/>
          <w:sz w:val="24"/>
          <w:highlight w:val="none"/>
        </w:rPr>
        <w:t xml:space="preserve">2.2 </w:t>
      </w:r>
      <w:r>
        <w:rPr>
          <w:rFonts w:hint="eastAsia" w:ascii="宋体" w:hAnsi="宋体"/>
          <w:b/>
          <w:color w:val="auto"/>
          <w:sz w:val="24"/>
          <w:highlight w:val="none"/>
        </w:rPr>
        <w:t>分值构成与评分标准</w:t>
      </w:r>
      <w:bookmarkEnd w:id="4"/>
    </w:p>
    <w:p>
      <w:pPr>
        <w:spacing w:line="460" w:lineRule="exact"/>
        <w:ind w:firstLine="480" w:firstLineChars="200"/>
        <w:rPr>
          <w:rFonts w:ascii="宋体" w:hAnsi="宋体"/>
          <w:color w:val="auto"/>
          <w:sz w:val="24"/>
          <w:highlight w:val="none"/>
        </w:rPr>
      </w:pPr>
      <w:r>
        <w:rPr>
          <w:rFonts w:ascii="宋体" w:hAnsi="宋体"/>
          <w:color w:val="auto"/>
          <w:sz w:val="24"/>
          <w:highlight w:val="none"/>
        </w:rPr>
        <w:t xml:space="preserve">2.2.1 </w:t>
      </w:r>
      <w:r>
        <w:rPr>
          <w:rFonts w:hint="eastAsia" w:ascii="宋体" w:hAnsi="宋体"/>
          <w:color w:val="auto"/>
          <w:sz w:val="24"/>
          <w:highlight w:val="none"/>
        </w:rPr>
        <w:t>第一个信封评分分值构成</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（1）施工组织设计：见评标办法前附表；</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（2）主要人员：见评标办法前附表；</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（3）其他评分因素：见评标办法前附表。</w:t>
      </w:r>
    </w:p>
    <w:p>
      <w:pPr>
        <w:spacing w:line="460" w:lineRule="exact"/>
        <w:ind w:firstLine="480" w:firstLineChars="200"/>
        <w:rPr>
          <w:rFonts w:hint="eastAsia" w:ascii="宋体" w:hAnsi="宋体"/>
          <w:color w:val="auto"/>
          <w:sz w:val="24"/>
          <w:highlight w:val="none"/>
        </w:rPr>
      </w:pPr>
      <w:r>
        <w:rPr>
          <w:rFonts w:ascii="宋体" w:hAnsi="宋体"/>
          <w:color w:val="auto"/>
          <w:sz w:val="24"/>
          <w:highlight w:val="none"/>
        </w:rPr>
        <w:t xml:space="preserve">2.2.2 </w:t>
      </w:r>
      <w:r>
        <w:rPr>
          <w:rFonts w:hint="eastAsia" w:ascii="宋体" w:hAnsi="宋体"/>
          <w:color w:val="auto"/>
          <w:sz w:val="24"/>
          <w:highlight w:val="none"/>
        </w:rPr>
        <w:t>第一个信封评分评分标准</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（1）施工组织设计评分标准：见评标办法前附表；</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（2）主要人员评分标准：见评标办法前附表；</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（3）其他因素评分标准：见评标办法前附表。</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2.2.3 第二个信封详细评审标准：见评标办法前附表。</w:t>
      </w:r>
    </w:p>
    <w:p>
      <w:pPr>
        <w:spacing w:line="460" w:lineRule="exact"/>
        <w:jc w:val="left"/>
        <w:rPr>
          <w:rFonts w:ascii="宋体" w:hAnsi="宋体"/>
          <w:b/>
          <w:color w:val="auto"/>
          <w:sz w:val="28"/>
          <w:szCs w:val="28"/>
          <w:highlight w:val="none"/>
        </w:rPr>
      </w:pPr>
      <w:bookmarkStart w:id="5" w:name="_Toc7878"/>
      <w:r>
        <w:rPr>
          <w:rFonts w:ascii="宋体" w:hAnsi="宋体"/>
          <w:b/>
          <w:color w:val="auto"/>
          <w:sz w:val="28"/>
          <w:szCs w:val="28"/>
          <w:highlight w:val="none"/>
        </w:rPr>
        <w:t xml:space="preserve">3. </w:t>
      </w:r>
      <w:r>
        <w:rPr>
          <w:rFonts w:hint="eastAsia" w:ascii="宋体" w:hAnsi="宋体"/>
          <w:b/>
          <w:color w:val="auto"/>
          <w:sz w:val="28"/>
          <w:szCs w:val="28"/>
          <w:highlight w:val="none"/>
        </w:rPr>
        <w:t>评标程序</w:t>
      </w:r>
      <w:bookmarkEnd w:id="5"/>
    </w:p>
    <w:p>
      <w:pPr>
        <w:spacing w:line="460" w:lineRule="exact"/>
        <w:ind w:firstLine="482" w:firstLineChars="200"/>
        <w:rPr>
          <w:rFonts w:ascii="宋体" w:hAnsi="宋体"/>
          <w:b/>
          <w:color w:val="auto"/>
          <w:sz w:val="24"/>
          <w:highlight w:val="none"/>
        </w:rPr>
      </w:pPr>
      <w:bookmarkStart w:id="6" w:name="_Toc21067"/>
      <w:r>
        <w:rPr>
          <w:rFonts w:hint="eastAsia" w:ascii="宋体" w:hAnsi="宋体"/>
          <w:b/>
          <w:color w:val="auto"/>
          <w:sz w:val="24"/>
          <w:highlight w:val="none"/>
        </w:rPr>
        <w:t>3.1 第一个信封初步评审</w:t>
      </w:r>
      <w:bookmarkEnd w:id="6"/>
    </w:p>
    <w:p>
      <w:pPr>
        <w:spacing w:line="460" w:lineRule="exact"/>
        <w:ind w:firstLine="480" w:firstLineChars="200"/>
        <w:rPr>
          <w:rFonts w:hint="eastAsia" w:ascii="宋体" w:hAnsi="宋体"/>
          <w:color w:val="auto"/>
          <w:sz w:val="24"/>
          <w:highlight w:val="none"/>
        </w:rPr>
      </w:pPr>
      <w:r>
        <w:rPr>
          <w:rFonts w:ascii="宋体" w:hAnsi="宋体"/>
          <w:color w:val="auto"/>
          <w:sz w:val="24"/>
          <w:highlight w:val="none"/>
        </w:rPr>
        <w:t xml:space="preserve">3.1.1 </w:t>
      </w:r>
      <w:r>
        <w:rPr>
          <w:rFonts w:hint="eastAsia" w:ascii="宋体" w:hAnsi="宋体"/>
          <w:color w:val="auto"/>
          <w:sz w:val="24"/>
          <w:highlight w:val="none"/>
        </w:rPr>
        <w:t>评标委员会可以要求投标人提交第二章“投标人须知”第 3.5.1 项至第3.5.6 项规定的有关证明和证件的原件，以便核验。评标委员会依据本章第 2.1 款规定的标准对投标文件第一个信封（商务及技术文件）进行初步评审。有一项不符合评审标准的，评标委员会应否决其投标。（适用于未进行资格预审的）。</w:t>
      </w:r>
    </w:p>
    <w:p>
      <w:pPr>
        <w:spacing w:line="460" w:lineRule="exact"/>
        <w:ind w:firstLine="480" w:firstLineChars="200"/>
        <w:rPr>
          <w:rFonts w:ascii="宋体" w:hAnsi="宋体"/>
          <w:color w:val="auto"/>
          <w:sz w:val="24"/>
          <w:highlight w:val="none"/>
        </w:rPr>
      </w:pPr>
      <w:r>
        <w:rPr>
          <w:rFonts w:hint="eastAsia" w:ascii="宋体" w:hAnsi="宋体"/>
          <w:color w:val="auto"/>
          <w:sz w:val="24"/>
          <w:highlight w:val="none"/>
        </w:rPr>
        <w:t>3.1.1 评标委员会依据本章第 2.1.1 项、第 2.1.3 项规定的评审标准对投标文件第一个信封（商务及技术文件）进行初步评审。有一项不符合评审标准的，评标委员会应否决其投标。当投标人资格预审申请文件的内容发生重大变化时，评标委员会依据本章第 2.1.2 项规定的标准对其更新资料进行评审。（适用于已进行资格预审的）。</w:t>
      </w:r>
    </w:p>
    <w:p>
      <w:pPr>
        <w:spacing w:before="240" w:beforeLines="100" w:line="460" w:lineRule="exact"/>
        <w:ind w:firstLine="482" w:firstLineChars="200"/>
        <w:rPr>
          <w:rFonts w:ascii="宋体" w:hAnsi="宋体"/>
          <w:b/>
          <w:color w:val="auto"/>
          <w:sz w:val="24"/>
          <w:highlight w:val="none"/>
        </w:rPr>
      </w:pPr>
      <w:bookmarkStart w:id="7" w:name="_Toc3098"/>
      <w:r>
        <w:rPr>
          <w:rFonts w:hint="eastAsia" w:ascii="宋体" w:hAnsi="宋体"/>
          <w:b/>
          <w:color w:val="auto"/>
          <w:sz w:val="24"/>
          <w:highlight w:val="none"/>
        </w:rPr>
        <w:t>3.2 第一个信封详细评审</w:t>
      </w:r>
      <w:bookmarkEnd w:id="7"/>
    </w:p>
    <w:p>
      <w:pPr>
        <w:spacing w:before="240" w:beforeLines="100" w:line="3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3.2.1 评标委员会按本章第 2.2 款规定的量化因素和分值进行打分，并计算出各投标人的商务和技术得分。</w:t>
      </w:r>
    </w:p>
    <w:p>
      <w:pPr>
        <w:spacing w:before="240" w:beforeLines="100" w:line="36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（1）按本章第 2.2.2 项（1）目规定的评审因素和分值对施工组织设计部分计算出得分 A；</w:t>
      </w:r>
    </w:p>
    <w:p>
      <w:pPr>
        <w:spacing w:before="240" w:beforeLines="100" w:line="36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（2）按本章第 2.2.2 项（2）目规定的评审因素和分值对主要人员部分计算出得分 B；</w:t>
      </w:r>
    </w:p>
    <w:p>
      <w:pPr>
        <w:spacing w:before="240" w:beforeLines="100" w:line="36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（3）按本章第 2.2.2 项（3）目规定的评审因素和分值对其他部分计算出得分C。</w:t>
      </w:r>
    </w:p>
    <w:p>
      <w:pPr>
        <w:spacing w:before="240" w:beforeLines="100" w:line="36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3.2.2 投标人的商务和技术得分分值计算保留小数点后两位，小数点后第三位“四舍五入”。</w:t>
      </w:r>
    </w:p>
    <w:p>
      <w:pPr>
        <w:spacing w:before="240" w:beforeLines="100" w:line="30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3.2.3 投标人的商务和技术得分=A+B+C。</w:t>
      </w:r>
    </w:p>
    <w:p>
      <w:pPr>
        <w:spacing w:before="240" w:beforeLines="100" w:line="46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3.2.4 评标委员会按照投标人的商务和技术得分由高到低排序，排名在评标办法前附表规定数量以内的投标人，其投标文件第一个信封（商务及技术文件）通过详细评审。</w:t>
      </w:r>
    </w:p>
    <w:p>
      <w:pPr>
        <w:spacing w:before="240" w:beforeLines="100" w:line="460" w:lineRule="exact"/>
        <w:ind w:firstLine="480" w:firstLineChars="200"/>
        <w:rPr>
          <w:rFonts w:hint="eastAsia" w:ascii="宋体" w:hAnsi="宋体"/>
          <w:b/>
          <w:color w:val="auto"/>
          <w:sz w:val="24"/>
          <w:highlight w:val="none"/>
        </w:rPr>
      </w:pPr>
      <w:r>
        <w:rPr>
          <w:rFonts w:hint="eastAsia" w:ascii="宋体" w:hAnsi="宋体"/>
          <w:bCs/>
          <w:color w:val="auto"/>
          <w:sz w:val="24"/>
          <w:highlight w:val="none"/>
        </w:rPr>
        <w:t>3.2.5 通过投标文件第一个信封（商务及技术文件）初步评审的投标人不少于 3 个且未超过评标办法前附表第 3.2.4 项规定数量的，均通过投标文件第一个信封（商务及技术文件）详细评审，不再对投标人的商务和技术文件进行评分。</w:t>
      </w:r>
    </w:p>
    <w:p>
      <w:pPr>
        <w:spacing w:before="240" w:beforeLines="100" w:line="460" w:lineRule="exact"/>
        <w:ind w:firstLine="482" w:firstLineChars="200"/>
        <w:rPr>
          <w:rFonts w:hint="eastAsia" w:ascii="宋体" w:hAnsi="宋体"/>
          <w:b/>
          <w:color w:val="auto"/>
          <w:sz w:val="24"/>
          <w:highlight w:val="none"/>
        </w:rPr>
      </w:pPr>
      <w:bookmarkStart w:id="8" w:name="_Toc19588"/>
      <w:r>
        <w:rPr>
          <w:rFonts w:hint="eastAsia" w:ascii="宋体" w:hAnsi="宋体"/>
          <w:b/>
          <w:color w:val="auto"/>
          <w:sz w:val="24"/>
          <w:highlight w:val="none"/>
        </w:rPr>
        <w:t>3.3 第二个信封开标</w:t>
      </w:r>
      <w:bookmarkEnd w:id="8"/>
    </w:p>
    <w:p>
      <w:pPr>
        <w:spacing w:before="240" w:beforeLines="100" w:line="46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第一个信封（商务及技术文件）评审结束后，招标人将按照第二章</w:t>
      </w:r>
      <w:r>
        <w:rPr>
          <w:rFonts w:ascii="宋体" w:hAnsi="宋体"/>
          <w:bCs/>
          <w:color w:val="auto"/>
          <w:sz w:val="24"/>
          <w:highlight w:val="none"/>
        </w:rPr>
        <w:t>“</w:t>
      </w:r>
      <w:r>
        <w:rPr>
          <w:rFonts w:hint="eastAsia" w:ascii="宋体" w:hAnsi="宋体"/>
          <w:bCs/>
          <w:color w:val="auto"/>
          <w:sz w:val="24"/>
          <w:highlight w:val="none"/>
        </w:rPr>
        <w:t>投标人须知</w:t>
      </w:r>
      <w:r>
        <w:rPr>
          <w:rFonts w:ascii="宋体" w:hAnsi="宋体"/>
          <w:bCs/>
          <w:color w:val="auto"/>
          <w:sz w:val="24"/>
          <w:highlight w:val="none"/>
        </w:rPr>
        <w:t xml:space="preserve">” </w:t>
      </w:r>
      <w:r>
        <w:rPr>
          <w:rFonts w:hint="eastAsia" w:ascii="宋体" w:hAnsi="宋体"/>
          <w:bCs/>
          <w:color w:val="auto"/>
          <w:sz w:val="24"/>
          <w:highlight w:val="none"/>
        </w:rPr>
        <w:t>第 5.1 款规定的时间和地点对通过投标文件第一个信封（商务及技术文件）评审的投标文件第二个信封（报价文件）进行开标。</w:t>
      </w:r>
    </w:p>
    <w:p>
      <w:pPr>
        <w:spacing w:before="240" w:beforeLines="100" w:line="460" w:lineRule="exact"/>
        <w:ind w:firstLine="482" w:firstLineChars="200"/>
        <w:rPr>
          <w:rFonts w:hint="eastAsia" w:ascii="宋体" w:hAnsi="宋体"/>
          <w:b/>
          <w:color w:val="auto"/>
          <w:sz w:val="24"/>
          <w:highlight w:val="none"/>
        </w:rPr>
      </w:pPr>
      <w:bookmarkStart w:id="9" w:name="_Toc16627"/>
      <w:r>
        <w:rPr>
          <w:rFonts w:ascii="宋体" w:hAnsi="宋体"/>
          <w:b/>
          <w:color w:val="auto"/>
          <w:sz w:val="24"/>
          <w:highlight w:val="none"/>
        </w:rPr>
        <w:t xml:space="preserve">3.4 </w:t>
      </w:r>
      <w:r>
        <w:rPr>
          <w:rFonts w:hint="eastAsia" w:ascii="宋体" w:hAnsi="宋体"/>
          <w:b/>
          <w:color w:val="auto"/>
          <w:sz w:val="24"/>
          <w:highlight w:val="none"/>
        </w:rPr>
        <w:t>第二个信封初步评审</w:t>
      </w:r>
      <w:bookmarkEnd w:id="9"/>
    </w:p>
    <w:p>
      <w:pPr>
        <w:spacing w:line="460" w:lineRule="exact"/>
        <w:ind w:firstLine="480" w:firstLineChars="200"/>
        <w:rPr>
          <w:rFonts w:ascii="宋体" w:hAnsi="宋体"/>
          <w:color w:val="auto"/>
          <w:sz w:val="24"/>
          <w:highlight w:val="none"/>
        </w:rPr>
      </w:pPr>
      <w:r>
        <w:rPr>
          <w:rFonts w:ascii="宋体" w:hAnsi="宋体"/>
          <w:color w:val="auto"/>
          <w:sz w:val="24"/>
          <w:highlight w:val="none"/>
        </w:rPr>
        <w:t xml:space="preserve">3.4.1 </w:t>
      </w:r>
      <w:r>
        <w:rPr>
          <w:rFonts w:hint="eastAsia" w:ascii="宋体" w:hAnsi="宋体"/>
          <w:color w:val="auto"/>
          <w:sz w:val="24"/>
          <w:highlight w:val="none"/>
        </w:rPr>
        <w:t>评标委员会依据本章第 2.1.1 项、第 2.1.3 项规定的评审标准对投标文件第二个信封（报价文件）进行初步评审。有一项不符合评审标准的，评标委员会应否决其投标。</w:t>
      </w:r>
    </w:p>
    <w:p>
      <w:pPr>
        <w:spacing w:line="460" w:lineRule="exact"/>
        <w:ind w:firstLine="480" w:firstLineChars="200"/>
        <w:rPr>
          <w:rFonts w:hint="eastAsia" w:ascii="宋体" w:hAnsi="宋体"/>
          <w:color w:val="auto"/>
          <w:sz w:val="24"/>
          <w:highlight w:val="none"/>
        </w:rPr>
      </w:pPr>
      <w:r>
        <w:rPr>
          <w:rFonts w:ascii="宋体" w:hAnsi="宋体"/>
          <w:color w:val="auto"/>
          <w:sz w:val="24"/>
          <w:highlight w:val="none"/>
        </w:rPr>
        <w:t>3.4.2</w:t>
      </w:r>
      <w:r>
        <w:rPr>
          <w:rStyle w:val="8"/>
          <w:rFonts w:ascii="宋体" w:hAnsi="宋体"/>
          <w:color w:val="auto"/>
          <w:sz w:val="24"/>
          <w:highlight w:val="none"/>
        </w:rPr>
        <w:footnoteReference w:id="3"/>
      </w:r>
      <w:r>
        <w:rPr>
          <w:rFonts w:hint="eastAsia" w:ascii="宋体" w:hAnsi="宋体"/>
          <w:color w:val="auto"/>
          <w:sz w:val="24"/>
          <w:highlight w:val="none"/>
        </w:rPr>
        <w:t xml:space="preserve"> 投标报价有算术错误的，评标委员会按以下原则对投标报价进行修正， 修正的价格经投标人书面确认后具有约束力。投标人不接受修正价格的，评标委员会应否决其投标。</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（1）投标文件中的大写金额与小写金额不一致的，以大写金额为准；</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（2）总价金额与依据单价计算出的结果不一致的，以单价金额为准修正总价， 但单价金额小数点有明显错误的除外；</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（3）当单价与数量相乘不等于合价时，以单价计算为准，如果单价有明显的小数点位置差错，应以标出的合价为准，同时对单价予以修正；</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（4）各子目的合价累计不等于总价时，应以各子目合价累计数为准，修正总价。</w:t>
      </w:r>
    </w:p>
    <w:p>
      <w:pPr>
        <w:spacing w:line="460" w:lineRule="exact"/>
        <w:ind w:firstLine="480" w:firstLineChars="200"/>
        <w:rPr>
          <w:rFonts w:hint="eastAsia" w:ascii="宋体" w:hAnsi="宋体"/>
          <w:color w:val="auto"/>
          <w:sz w:val="24"/>
          <w:highlight w:val="none"/>
        </w:rPr>
      </w:pPr>
      <w:r>
        <w:rPr>
          <w:rFonts w:ascii="宋体" w:hAnsi="宋体"/>
          <w:color w:val="auto"/>
          <w:sz w:val="24"/>
          <w:highlight w:val="none"/>
        </w:rPr>
        <w:t xml:space="preserve">3.4.3 </w:t>
      </w:r>
      <w:r>
        <w:rPr>
          <w:rFonts w:hint="eastAsia" w:ascii="宋体" w:hAnsi="宋体"/>
          <w:color w:val="auto"/>
          <w:sz w:val="24"/>
          <w:highlight w:val="none"/>
        </w:rPr>
        <w:t>工程量清单中的投标报价有其他错误的，评标委员会按以下原则对投标报价进行修正，修正的价格经投标人书面确认后具有约束力。投标人不接受修正价格的，评标委员会应否决其投标。</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（3）当单价与数量的乘积与合价（金额）虽然一致，但投标人修改了该子目的工程数量，则其合价按招标人给定的工程数量乘以投标人所报单价予以修正。</w:t>
      </w:r>
    </w:p>
    <w:p>
      <w:pPr>
        <w:spacing w:line="460" w:lineRule="exact"/>
        <w:ind w:firstLine="480" w:firstLineChars="200"/>
        <w:rPr>
          <w:rFonts w:hint="eastAsia" w:ascii="宋体" w:hAnsi="宋体"/>
          <w:color w:val="auto"/>
          <w:sz w:val="24"/>
          <w:highlight w:val="none"/>
        </w:rPr>
      </w:pPr>
      <w:r>
        <w:rPr>
          <w:rFonts w:hint="eastAsia" w:ascii="宋体" w:hAnsi="宋体"/>
          <w:color w:val="auto"/>
          <w:sz w:val="24"/>
          <w:highlight w:val="none"/>
        </w:rPr>
        <w:t>3.4.4 修正后的最终投标报价若超过最高投标限价（如有），评标委员会应否决其投标。</w:t>
      </w:r>
    </w:p>
    <w:p>
      <w:pPr>
        <w:spacing w:before="240" w:beforeLines="100" w:line="460" w:lineRule="exact"/>
        <w:ind w:firstLine="482" w:firstLineChars="200"/>
        <w:rPr>
          <w:rFonts w:hint="eastAsia" w:ascii="宋体" w:hAnsi="宋体"/>
          <w:b/>
          <w:color w:val="auto"/>
          <w:sz w:val="24"/>
          <w:highlight w:val="none"/>
        </w:rPr>
      </w:pPr>
      <w:bookmarkStart w:id="10" w:name="_Toc1294"/>
      <w:r>
        <w:rPr>
          <w:rFonts w:ascii="宋体" w:hAnsi="宋体"/>
          <w:b/>
          <w:color w:val="auto"/>
          <w:sz w:val="24"/>
          <w:highlight w:val="none"/>
        </w:rPr>
        <w:t xml:space="preserve">3.5 </w:t>
      </w:r>
      <w:r>
        <w:rPr>
          <w:rFonts w:hint="eastAsia" w:ascii="宋体" w:hAnsi="宋体"/>
          <w:b/>
          <w:color w:val="auto"/>
          <w:sz w:val="24"/>
          <w:highlight w:val="none"/>
        </w:rPr>
        <w:t>第二个信封详细评分</w:t>
      </w:r>
      <w:bookmarkEnd w:id="10"/>
    </w:p>
    <w:p>
      <w:pPr>
        <w:spacing w:line="460" w:lineRule="exact"/>
        <w:ind w:firstLine="480" w:firstLineChars="200"/>
        <w:rPr>
          <w:rFonts w:ascii="宋体" w:hAnsi="宋体"/>
          <w:color w:val="auto"/>
          <w:sz w:val="24"/>
          <w:highlight w:val="none"/>
        </w:rPr>
      </w:pPr>
      <w:r>
        <w:rPr>
          <w:rFonts w:ascii="宋体" w:hAnsi="宋体"/>
          <w:color w:val="auto"/>
          <w:sz w:val="24"/>
          <w:highlight w:val="none"/>
        </w:rPr>
        <w:t xml:space="preserve">3.5.1 </w:t>
      </w:r>
      <w:r>
        <w:rPr>
          <w:rFonts w:hint="eastAsia" w:ascii="宋体" w:hAnsi="宋体"/>
          <w:color w:val="auto"/>
          <w:sz w:val="24"/>
          <w:highlight w:val="none"/>
        </w:rPr>
        <w:t>评标委员会按本章第 2.2 款规定的量化因素和标准进行价格折算，计算出评标价，并编制价格比较一览表。</w:t>
      </w:r>
    </w:p>
    <w:p>
      <w:pPr>
        <w:spacing w:line="460" w:lineRule="exact"/>
        <w:ind w:firstLine="480" w:firstLineChars="200"/>
        <w:rPr>
          <w:rFonts w:ascii="宋体" w:hAnsi="宋体"/>
          <w:color w:val="auto"/>
          <w:sz w:val="24"/>
          <w:highlight w:val="none"/>
        </w:rPr>
      </w:pPr>
      <w:r>
        <w:rPr>
          <w:rFonts w:ascii="宋体" w:hAnsi="宋体"/>
          <w:color w:val="auto"/>
          <w:sz w:val="24"/>
          <w:highlight w:val="none"/>
        </w:rPr>
        <w:t xml:space="preserve">3.5.2 </w:t>
      </w:r>
      <w:r>
        <w:rPr>
          <w:rFonts w:hint="eastAsia" w:ascii="宋体" w:hAnsi="宋体"/>
          <w:color w:val="auto"/>
          <w:sz w:val="24"/>
          <w:highlight w:val="none"/>
        </w:rPr>
        <w:t>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w:t>
      </w:r>
      <w:r>
        <w:rPr>
          <w:rFonts w:ascii="宋体" w:hAnsi="宋体"/>
          <w:color w:val="auto"/>
          <w:sz w:val="24"/>
          <w:highlight w:val="none"/>
        </w:rPr>
        <w:t>。</w:t>
      </w:r>
    </w:p>
    <w:p>
      <w:pPr>
        <w:spacing w:before="240" w:beforeLines="100" w:line="460" w:lineRule="exact"/>
        <w:ind w:firstLine="482" w:firstLineChars="200"/>
        <w:rPr>
          <w:rFonts w:hint="eastAsia" w:ascii="宋体" w:hAnsi="宋体"/>
          <w:b/>
          <w:color w:val="auto"/>
          <w:sz w:val="24"/>
          <w:highlight w:val="none"/>
        </w:rPr>
      </w:pPr>
      <w:bookmarkStart w:id="11" w:name="_Toc19769"/>
      <w:r>
        <w:rPr>
          <w:rFonts w:ascii="宋体" w:hAnsi="宋体"/>
          <w:b/>
          <w:color w:val="auto"/>
          <w:sz w:val="24"/>
          <w:highlight w:val="none"/>
        </w:rPr>
        <w:t xml:space="preserve">3.6 </w:t>
      </w:r>
      <w:r>
        <w:rPr>
          <w:rFonts w:hint="eastAsia" w:ascii="宋体" w:hAnsi="宋体"/>
          <w:b/>
          <w:color w:val="auto"/>
          <w:sz w:val="24"/>
          <w:highlight w:val="none"/>
        </w:rPr>
        <w:t>投标文件相关信息的核查</w:t>
      </w:r>
      <w:bookmarkEnd w:id="11"/>
    </w:p>
    <w:p>
      <w:pPr>
        <w:spacing w:line="440" w:lineRule="exact"/>
        <w:ind w:firstLine="480" w:firstLineChars="200"/>
        <w:rPr>
          <w:rFonts w:ascii="宋体" w:hAnsi="宋体"/>
          <w:color w:val="auto"/>
          <w:sz w:val="24"/>
          <w:highlight w:val="none"/>
        </w:rPr>
      </w:pPr>
      <w:r>
        <w:rPr>
          <w:rFonts w:ascii="宋体" w:hAnsi="宋体"/>
          <w:color w:val="auto"/>
          <w:sz w:val="24"/>
          <w:highlight w:val="none"/>
        </w:rPr>
        <w:t xml:space="preserve">3.6.1 </w:t>
      </w:r>
      <w:r>
        <w:rPr>
          <w:rFonts w:hint="eastAsia" w:ascii="宋体" w:hAnsi="宋体"/>
          <w:color w:val="auto"/>
          <w:sz w:val="24"/>
          <w:highlight w:val="none"/>
        </w:rPr>
        <w:t>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pPr>
        <w:spacing w:line="440" w:lineRule="exact"/>
        <w:ind w:firstLine="480" w:firstLineChars="200"/>
        <w:rPr>
          <w:rFonts w:hint="eastAsia" w:ascii="宋体" w:hAnsi="宋体"/>
          <w:color w:val="auto"/>
          <w:sz w:val="24"/>
          <w:highlight w:val="none"/>
        </w:rPr>
      </w:pPr>
      <w:r>
        <w:rPr>
          <w:rFonts w:ascii="宋体" w:hAnsi="宋体"/>
          <w:color w:val="auto"/>
          <w:sz w:val="24"/>
          <w:highlight w:val="none"/>
        </w:rPr>
        <w:t xml:space="preserve">3.6.2 </w:t>
      </w:r>
      <w:r>
        <w:rPr>
          <w:rFonts w:hint="eastAsia" w:ascii="宋体" w:hAnsi="宋体"/>
          <w:color w:val="auto"/>
          <w:sz w:val="24"/>
          <w:highlight w:val="none"/>
        </w:rPr>
        <w:t>评标委员会应对在评标过程中发现的投标人与投标人之间、投标人与招标人之间存在的串通投标的情形进行评审和认定。投标人存在串通投标、弄虚作假、行贿等违法行为的，评标委员会应否决其投标。</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（1）有下列情形之一的，属于投标人相互串通投标：</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a.投标人之间协商投标报价等投标文件的实质性内容；</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b.投标人之间约定中标人；</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c.投标人之间约定部分投标人放弃投标或中标；</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d.属于同一集团、协会、商会等组织成员的投标人按照该组织要求协同投标； </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e.投标人之间为谋取中标或排斥特定投标人而采取的其他联合行动。</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（2）有下列情形之一的，视为投标人相互串通投标：</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a.不同投标人的投标文件由同一单位或个人编制；</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b.不同投标人委托同一单位或个人办理投标事宜；</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c.不同投标人的投标文件载明的项目管理成员为同一人；</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d.不同投标人的投标文件异常一致或投标报价呈规律性差异；</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e.不同投标人的投标文件相互混装；</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f.不同投标人的投标保证金从同一单位或个人的账户转出。</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（3）有下列情形之一的，属于招标人与投标人串通投标:</w:t>
      </w:r>
    </w:p>
    <w:p>
      <w:pPr>
        <w:spacing w:line="440" w:lineRule="exact"/>
        <w:ind w:firstLine="480" w:firstLineChars="200"/>
        <w:rPr>
          <w:rFonts w:hint="eastAsia" w:ascii="宋体" w:hAnsi="宋体"/>
          <w:color w:val="auto"/>
          <w:sz w:val="24"/>
          <w:highlight w:val="none"/>
        </w:rPr>
      </w:pPr>
      <w:r>
        <w:rPr>
          <w:rFonts w:ascii="宋体" w:hAnsi="宋体"/>
          <w:color w:val="auto"/>
          <w:sz w:val="24"/>
          <w:highlight w:val="none"/>
        </w:rPr>
        <w:t>a.招标人在开标前开启投标文件并将有关信息泄露给其他投标人</w:t>
      </w:r>
      <w:r>
        <w:rPr>
          <w:rFonts w:hint="eastAsia" w:ascii="宋体" w:hAnsi="宋体"/>
          <w:color w:val="auto"/>
          <w:sz w:val="24"/>
          <w:highlight w:val="none"/>
        </w:rPr>
        <w:t>；</w:t>
      </w:r>
    </w:p>
    <w:p>
      <w:pPr>
        <w:spacing w:line="440" w:lineRule="exact"/>
        <w:ind w:firstLine="480" w:firstLineChars="200"/>
        <w:rPr>
          <w:rFonts w:hint="eastAsia" w:ascii="宋体" w:hAnsi="宋体"/>
          <w:color w:val="auto"/>
          <w:sz w:val="24"/>
          <w:highlight w:val="none"/>
        </w:rPr>
      </w:pPr>
      <w:r>
        <w:rPr>
          <w:rFonts w:ascii="宋体" w:hAnsi="宋体"/>
          <w:color w:val="auto"/>
          <w:sz w:val="24"/>
          <w:highlight w:val="none"/>
        </w:rPr>
        <w:t>b.招标人直接或间接向投标人泄露标底、评标委员会成员等信息</w:t>
      </w:r>
      <w:r>
        <w:rPr>
          <w:rFonts w:hint="eastAsia" w:ascii="宋体" w:hAnsi="宋体"/>
          <w:color w:val="auto"/>
          <w:sz w:val="24"/>
          <w:highlight w:val="none"/>
        </w:rPr>
        <w:t>；</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 xml:space="preserve">c.招标人明示或暗示投标人压低或抬高投标报价； </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d.招标人授意投标人撤换、修改投标文件；</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e.</w:t>
      </w:r>
      <w:r>
        <w:rPr>
          <w:rFonts w:ascii="宋体" w:hAnsi="宋体"/>
          <w:color w:val="auto"/>
          <w:sz w:val="24"/>
          <w:highlight w:val="none"/>
        </w:rPr>
        <w:t>招标人明示或暗示投标人为特定投标人中标提供方便；</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f.</w:t>
      </w:r>
      <w:r>
        <w:rPr>
          <w:rFonts w:ascii="宋体" w:hAnsi="宋体"/>
          <w:color w:val="auto"/>
          <w:sz w:val="24"/>
          <w:highlight w:val="none"/>
        </w:rPr>
        <w:t>招标人与投标人为谋求特定投标人中标而采取的其他串通行为</w:t>
      </w:r>
      <w:r>
        <w:rPr>
          <w:rFonts w:hint="eastAsia" w:ascii="宋体" w:hAnsi="宋体"/>
          <w:color w:val="auto"/>
          <w:sz w:val="24"/>
          <w:highlight w:val="none"/>
        </w:rPr>
        <w:t>。</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（4）投标人有下列情形之一的，属于弄虚作假的行为：</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 xml:space="preserve">a.使用通过受让或租借等方式获取的资格、资质证书投标； </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b.使用伪造、变造的许可证件；</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c.</w:t>
      </w:r>
      <w:r>
        <w:rPr>
          <w:rFonts w:ascii="宋体" w:hAnsi="宋体"/>
          <w:color w:val="auto"/>
          <w:sz w:val="24"/>
          <w:highlight w:val="none"/>
        </w:rPr>
        <w:t>提供虚假的财务状况或业绩；</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d.</w:t>
      </w:r>
      <w:r>
        <w:rPr>
          <w:rFonts w:ascii="宋体" w:hAnsi="宋体"/>
          <w:color w:val="auto"/>
          <w:sz w:val="24"/>
          <w:highlight w:val="none"/>
        </w:rPr>
        <w:t xml:space="preserve">提供虚假的项目负责人或主要技术人员简历、劳动关系证明； </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e.提供虚假的信用状况；</w:t>
      </w:r>
    </w:p>
    <w:p>
      <w:pPr>
        <w:spacing w:line="440" w:lineRule="exact"/>
        <w:ind w:firstLine="480" w:firstLineChars="200"/>
        <w:rPr>
          <w:rFonts w:ascii="宋体" w:hAnsi="宋体"/>
          <w:color w:val="auto"/>
          <w:sz w:val="24"/>
          <w:highlight w:val="none"/>
        </w:rPr>
      </w:pPr>
      <w:r>
        <w:rPr>
          <w:rFonts w:ascii="宋体" w:hAnsi="宋体"/>
          <w:color w:val="auto"/>
          <w:sz w:val="24"/>
          <w:highlight w:val="none"/>
        </w:rPr>
        <w:t>f.其他弄虚作假的行为</w:t>
      </w:r>
      <w:r>
        <w:rPr>
          <w:rFonts w:hint="eastAsia" w:ascii="宋体" w:hAnsi="宋体"/>
          <w:color w:val="auto"/>
          <w:sz w:val="24"/>
          <w:highlight w:val="none"/>
        </w:rPr>
        <w:t>。</w:t>
      </w:r>
    </w:p>
    <w:p>
      <w:pPr>
        <w:spacing w:before="240" w:beforeLines="100" w:line="480" w:lineRule="exact"/>
        <w:ind w:firstLine="482" w:firstLineChars="200"/>
        <w:rPr>
          <w:rFonts w:ascii="宋体" w:hAnsi="宋体"/>
          <w:b/>
          <w:color w:val="auto"/>
          <w:sz w:val="24"/>
          <w:highlight w:val="none"/>
        </w:rPr>
      </w:pPr>
      <w:bookmarkStart w:id="12" w:name="_Toc3377"/>
      <w:r>
        <w:rPr>
          <w:rFonts w:ascii="宋体" w:hAnsi="宋体"/>
          <w:b/>
          <w:color w:val="auto"/>
          <w:sz w:val="24"/>
          <w:highlight w:val="none"/>
        </w:rPr>
        <w:t xml:space="preserve">3.7 </w:t>
      </w:r>
      <w:r>
        <w:rPr>
          <w:rFonts w:hint="eastAsia" w:ascii="宋体" w:hAnsi="宋体"/>
          <w:b/>
          <w:color w:val="auto"/>
          <w:sz w:val="24"/>
          <w:highlight w:val="none"/>
        </w:rPr>
        <w:t>投标文件的澄清和说明</w:t>
      </w:r>
      <w:bookmarkEnd w:id="12"/>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3.7.2 澄清和说明不得超出投标文件的范围或改变投标文件的实质性内容（算术性错误的修正除外）。投标人的书面澄清、说明属于投标文件的组成部分。</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3.7.3 评标委员会不得暗示或诱导投标人作出澄清、说明，对投标人提交的澄清、说明有疑问的，可以要求投标人进一步澄清或说明，直至满足评标委员会的要求。</w:t>
      </w:r>
    </w:p>
    <w:p>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3.7.4 凡超出招标文件规定的或给发包人带来未曾要求的利益的变化、偏差或其他因素在评标时不予考虑。</w:t>
      </w:r>
    </w:p>
    <w:p>
      <w:pPr>
        <w:spacing w:before="240" w:beforeLines="100" w:line="480" w:lineRule="exact"/>
        <w:ind w:firstLine="482" w:firstLineChars="200"/>
        <w:rPr>
          <w:rFonts w:ascii="宋体" w:hAnsi="宋体"/>
          <w:b/>
          <w:color w:val="auto"/>
          <w:sz w:val="24"/>
          <w:highlight w:val="none"/>
        </w:rPr>
      </w:pPr>
      <w:bookmarkStart w:id="13" w:name="_Toc16909"/>
      <w:r>
        <w:rPr>
          <w:rFonts w:ascii="宋体" w:hAnsi="宋体"/>
          <w:b/>
          <w:color w:val="auto"/>
          <w:sz w:val="24"/>
          <w:highlight w:val="none"/>
        </w:rPr>
        <w:t xml:space="preserve">3.8 </w:t>
      </w:r>
      <w:r>
        <w:rPr>
          <w:rFonts w:hint="eastAsia" w:ascii="宋体" w:hAnsi="宋体"/>
          <w:b/>
          <w:color w:val="auto"/>
          <w:sz w:val="24"/>
          <w:highlight w:val="none"/>
        </w:rPr>
        <w:t>不得否决投标的情形</w:t>
      </w:r>
      <w:bookmarkEnd w:id="13"/>
    </w:p>
    <w:p>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投标文件存在第二章“投标人须知”第 1.12.3 项所列情形的，均视为细微偏差，评标委员会不得否决投标人的投标，应按照第二章“投标人须知”第 1.12.4 项规定的原则处理。</w:t>
      </w:r>
    </w:p>
    <w:p>
      <w:pPr>
        <w:spacing w:line="480" w:lineRule="exact"/>
        <w:ind w:firstLine="482" w:firstLineChars="200"/>
        <w:rPr>
          <w:rFonts w:hint="eastAsia" w:ascii="宋体" w:hAnsi="宋体"/>
          <w:b/>
          <w:color w:val="auto"/>
          <w:sz w:val="24"/>
          <w:highlight w:val="none"/>
        </w:rPr>
      </w:pPr>
      <w:bookmarkStart w:id="14" w:name="_Toc19106"/>
      <w:r>
        <w:rPr>
          <w:rFonts w:ascii="宋体" w:hAnsi="宋体"/>
          <w:b/>
          <w:color w:val="auto"/>
          <w:sz w:val="24"/>
          <w:highlight w:val="none"/>
        </w:rPr>
        <w:t>3.</w:t>
      </w:r>
      <w:r>
        <w:rPr>
          <w:rFonts w:hint="eastAsia" w:ascii="宋体" w:hAnsi="宋体"/>
          <w:b/>
          <w:color w:val="auto"/>
          <w:sz w:val="24"/>
          <w:highlight w:val="none"/>
        </w:rPr>
        <w:t>9</w:t>
      </w:r>
      <w:r>
        <w:rPr>
          <w:rFonts w:ascii="宋体" w:hAnsi="宋体"/>
          <w:b/>
          <w:color w:val="auto"/>
          <w:sz w:val="24"/>
          <w:highlight w:val="none"/>
        </w:rPr>
        <w:t xml:space="preserve"> </w:t>
      </w:r>
      <w:r>
        <w:rPr>
          <w:rFonts w:hint="eastAsia" w:ascii="宋体" w:hAnsi="宋体"/>
          <w:b/>
          <w:color w:val="auto"/>
          <w:sz w:val="24"/>
          <w:highlight w:val="none"/>
        </w:rPr>
        <w:t>评标结果</w:t>
      </w:r>
      <w:bookmarkEnd w:id="14"/>
    </w:p>
    <w:p>
      <w:pPr>
        <w:spacing w:line="480" w:lineRule="exact"/>
        <w:ind w:firstLine="480" w:firstLineChars="200"/>
        <w:rPr>
          <w:rFonts w:hint="eastAsia" w:ascii="宋体" w:hAnsi="宋体"/>
          <w:bCs/>
          <w:color w:val="auto"/>
          <w:sz w:val="24"/>
          <w:highlight w:val="none"/>
        </w:rPr>
      </w:pPr>
      <w:r>
        <w:rPr>
          <w:rFonts w:hint="eastAsia" w:ascii="宋体" w:hAnsi="宋体"/>
          <w:bCs/>
          <w:color w:val="auto"/>
          <w:sz w:val="24"/>
          <w:highlight w:val="none"/>
        </w:rPr>
        <w:t>3.9.1 除第二章“投标人须知”前附表授权直接确定中标人外，评标委员会按照评标价由低到高的顺序推荐中标候选人，并标明排序。</w:t>
      </w:r>
    </w:p>
    <w:p>
      <w:r>
        <w:rPr>
          <w:rFonts w:hint="eastAsia" w:ascii="宋体" w:hAnsi="宋体"/>
          <w:bCs/>
          <w:color w:val="auto"/>
          <w:sz w:val="24"/>
          <w:highlight w:val="none"/>
        </w:rPr>
        <w:t>3.9.2 评标委员会完成评标后，应向招标人提交书面评标报告。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oto Sans Mono CJK JP Regular">
    <w:altName w:val="Arial"/>
    <w:panose1 w:val="00000000000000000000"/>
    <w:charset w:val="00"/>
    <w:family w:val="swiss"/>
    <w:pitch w:val="default"/>
    <w:sig w:usb0="00000000" w:usb1="00000000" w:usb2="00000000"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pPr>
        <w:pStyle w:val="5"/>
      </w:pPr>
      <w:r>
        <w:rPr>
          <w:rStyle w:val="8"/>
        </w:rPr>
        <w:footnoteRef/>
      </w:r>
      <w:r>
        <w:t xml:space="preserve"> </w:t>
      </w:r>
      <w:r>
        <w:rPr>
          <w:rFonts w:hint="eastAsia"/>
        </w:rPr>
        <w:t>本项适用于未进行资格预审的情况。</w:t>
      </w:r>
    </w:p>
  </w:footnote>
  <w:footnote w:id="1">
    <w:p>
      <w:pPr>
        <w:pStyle w:val="5"/>
        <w:rPr>
          <w:rFonts w:hint="eastAsia"/>
        </w:rPr>
      </w:pPr>
      <w:r>
        <w:rPr>
          <w:rStyle w:val="8"/>
        </w:rPr>
        <w:footnoteRef/>
      </w:r>
      <w:r>
        <w:t xml:space="preserve"> </w:t>
      </w:r>
      <w:r>
        <w:rPr>
          <w:rFonts w:hint="eastAsia"/>
        </w:rPr>
        <w:t>对于特别复杂的特大桥梁和特长隧道项目主体工程以及其他有特殊要求的工程，还可对其他管理和技术人员（例如项目副经理、专业工程师等）以及主要机械设备和试验检测设备进行资格评审。</w:t>
      </w:r>
    </w:p>
  </w:footnote>
  <w:footnote w:id="2">
    <w:p>
      <w:pPr>
        <w:pStyle w:val="5"/>
      </w:pPr>
      <w:r>
        <w:rPr>
          <w:rStyle w:val="8"/>
        </w:rPr>
        <w:footnoteRef/>
      </w:r>
      <w:r>
        <w:t xml:space="preserve"> </w:t>
      </w:r>
      <w:r>
        <w:rPr>
          <w:rFonts w:hint="eastAsia"/>
        </w:rPr>
        <w:t>本项规定仅适用于根据《关于发布公路工程从业企业资质名录的通知》（厅公路字〔</w:t>
      </w:r>
      <w:r>
        <w:t xml:space="preserve">2011〕114 </w:t>
      </w:r>
      <w:r>
        <w:rPr>
          <w:rFonts w:hint="eastAsia"/>
        </w:rPr>
        <w:t>号）要求，招标人应通过名录对投标人资质条件进行审核的公路施工企业。</w:t>
      </w:r>
    </w:p>
  </w:footnote>
  <w:footnote w:id="3">
    <w:p>
      <w:pPr>
        <w:pStyle w:val="5"/>
      </w:pPr>
      <w:r>
        <w:rPr>
          <w:rStyle w:val="8"/>
        </w:rPr>
        <w:footnoteRef/>
      </w:r>
      <w:r>
        <w:t xml:space="preserve"> </w:t>
      </w:r>
      <w:r>
        <w:rPr>
          <w:rFonts w:hint="eastAsia"/>
        </w:rPr>
        <w:t>如本项目招标由投标人按照招标人提供的书面工程量清单填写本合同各工程子目的单价、合价和总额价，则评标委员会按照本章第 3.4.2 项和第 3.4.3 项的规定对投标人的投标报价进行修正。如本项目招标由投标人按照招标人提供的工程量固化清单电子文件填写工程量清单，无须按照本章第 3.4.2 项和第 3.4.3项的规定对投标报价进行修正，第 3.4.2 项至第 3.4.4 项内容不适用。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F8F664"/>
    <w:multiLevelType w:val="singleLevel"/>
    <w:tmpl w:val="92F8F664"/>
    <w:lvl w:ilvl="0" w:tentative="0">
      <w:start w:val="1"/>
      <w:numFmt w:val="decimal"/>
      <w:lvlText w:val="(%1)"/>
      <w:lvlJc w:val="left"/>
      <w:pPr>
        <w:ind w:left="425" w:hanging="425"/>
      </w:pPr>
      <w:rPr>
        <w:rFonts w:hint="default"/>
      </w:rPr>
    </w:lvl>
  </w:abstractNum>
  <w:abstractNum w:abstractNumId="1">
    <w:nsid w:val="D8E1A49F"/>
    <w:multiLevelType w:val="multilevel"/>
    <w:tmpl w:val="D8E1A49F"/>
    <w:lvl w:ilvl="0" w:tentative="0">
      <w:start w:val="1"/>
      <w:numFmt w:val="decimal"/>
      <w:lvlText w:val="（%1）"/>
      <w:lvlJc w:val="left"/>
      <w:pPr>
        <w:ind w:left="1135" w:hanging="608"/>
      </w:pPr>
      <w:rPr>
        <w:rFonts w:hint="default" w:ascii="宋体" w:hAnsi="宋体" w:eastAsia="宋体" w:cs="宋体"/>
        <w:w w:val="100"/>
        <w:sz w:val="21"/>
        <w:szCs w:val="21"/>
        <w:lang w:val="zh-CN" w:eastAsia="zh-CN" w:bidi="zh-CN"/>
      </w:rPr>
    </w:lvl>
    <w:lvl w:ilvl="1" w:tentative="0">
      <w:start w:val="0"/>
      <w:numFmt w:val="bullet"/>
      <w:lvlText w:val="•"/>
      <w:lvlJc w:val="left"/>
      <w:pPr>
        <w:ind w:left="1799" w:hanging="608"/>
      </w:pPr>
      <w:rPr>
        <w:rFonts w:hint="default"/>
        <w:lang w:val="zh-CN" w:eastAsia="zh-CN" w:bidi="zh-CN"/>
      </w:rPr>
    </w:lvl>
    <w:lvl w:ilvl="2" w:tentative="0">
      <w:start w:val="0"/>
      <w:numFmt w:val="bullet"/>
      <w:lvlText w:val="•"/>
      <w:lvlJc w:val="left"/>
      <w:pPr>
        <w:ind w:left="2459" w:hanging="608"/>
      </w:pPr>
      <w:rPr>
        <w:rFonts w:hint="default"/>
        <w:lang w:val="zh-CN" w:eastAsia="zh-CN" w:bidi="zh-CN"/>
      </w:rPr>
    </w:lvl>
    <w:lvl w:ilvl="3" w:tentative="0">
      <w:start w:val="0"/>
      <w:numFmt w:val="bullet"/>
      <w:lvlText w:val="•"/>
      <w:lvlJc w:val="left"/>
      <w:pPr>
        <w:ind w:left="3119" w:hanging="608"/>
      </w:pPr>
      <w:rPr>
        <w:rFonts w:hint="default"/>
        <w:lang w:val="zh-CN" w:eastAsia="zh-CN" w:bidi="zh-CN"/>
      </w:rPr>
    </w:lvl>
    <w:lvl w:ilvl="4" w:tentative="0">
      <w:start w:val="0"/>
      <w:numFmt w:val="bullet"/>
      <w:lvlText w:val="•"/>
      <w:lvlJc w:val="left"/>
      <w:pPr>
        <w:ind w:left="3779" w:hanging="608"/>
      </w:pPr>
      <w:rPr>
        <w:rFonts w:hint="default"/>
        <w:lang w:val="zh-CN" w:eastAsia="zh-CN" w:bidi="zh-CN"/>
      </w:rPr>
    </w:lvl>
    <w:lvl w:ilvl="5" w:tentative="0">
      <w:start w:val="0"/>
      <w:numFmt w:val="bullet"/>
      <w:lvlText w:val="•"/>
      <w:lvlJc w:val="left"/>
      <w:pPr>
        <w:ind w:left="4439" w:hanging="608"/>
      </w:pPr>
      <w:rPr>
        <w:rFonts w:hint="default"/>
        <w:lang w:val="zh-CN" w:eastAsia="zh-CN" w:bidi="zh-CN"/>
      </w:rPr>
    </w:lvl>
    <w:lvl w:ilvl="6" w:tentative="0">
      <w:start w:val="0"/>
      <w:numFmt w:val="bullet"/>
      <w:lvlText w:val="•"/>
      <w:lvlJc w:val="left"/>
      <w:pPr>
        <w:ind w:left="5099" w:hanging="608"/>
      </w:pPr>
      <w:rPr>
        <w:rFonts w:hint="default"/>
        <w:lang w:val="zh-CN" w:eastAsia="zh-CN" w:bidi="zh-CN"/>
      </w:rPr>
    </w:lvl>
    <w:lvl w:ilvl="7" w:tentative="0">
      <w:start w:val="0"/>
      <w:numFmt w:val="bullet"/>
      <w:lvlText w:val="•"/>
      <w:lvlJc w:val="left"/>
      <w:pPr>
        <w:ind w:left="5759" w:hanging="608"/>
      </w:pPr>
      <w:rPr>
        <w:rFonts w:hint="default"/>
        <w:lang w:val="zh-CN" w:eastAsia="zh-CN" w:bidi="zh-CN"/>
      </w:rPr>
    </w:lvl>
    <w:lvl w:ilvl="8" w:tentative="0">
      <w:start w:val="0"/>
      <w:numFmt w:val="bullet"/>
      <w:lvlText w:val="•"/>
      <w:lvlJc w:val="left"/>
      <w:pPr>
        <w:ind w:left="6419" w:hanging="608"/>
      </w:pPr>
      <w:rPr>
        <w:rFonts w:hint="default"/>
        <w:lang w:val="zh-CN" w:eastAsia="zh-CN" w:bidi="zh-CN"/>
      </w:rPr>
    </w:lvl>
  </w:abstractNum>
  <w:abstractNum w:abstractNumId="2">
    <w:nsid w:val="F8E1B2C7"/>
    <w:multiLevelType w:val="singleLevel"/>
    <w:tmpl w:val="F8E1B2C7"/>
    <w:lvl w:ilvl="0" w:tentative="0">
      <w:start w:val="1"/>
      <w:numFmt w:val="decimal"/>
      <w:lvlText w:val="(%1)"/>
      <w:lvlJc w:val="left"/>
      <w:pPr>
        <w:ind w:left="425" w:hanging="425"/>
      </w:pPr>
      <w:rPr>
        <w:rFonts w:hint="default"/>
      </w:rPr>
    </w:lvl>
  </w:abstractNum>
  <w:abstractNum w:abstractNumId="3">
    <w:nsid w:val="0055BA75"/>
    <w:multiLevelType w:val="multilevel"/>
    <w:tmpl w:val="0055BA75"/>
    <w:lvl w:ilvl="0" w:tentative="0">
      <w:start w:val="1"/>
      <w:numFmt w:val="decimal"/>
      <w:lvlText w:val="%1"/>
      <w:lvlJc w:val="left"/>
      <w:pPr>
        <w:ind w:left="424" w:hanging="317"/>
      </w:pPr>
      <w:rPr>
        <w:rFonts w:hint="default"/>
        <w:lang w:val="zh-CN" w:eastAsia="zh-CN" w:bidi="zh-CN"/>
      </w:rPr>
    </w:lvl>
    <w:lvl w:ilvl="1" w:tentative="0">
      <w:start w:val="2"/>
      <w:numFmt w:val="decimal"/>
      <w:lvlText w:val="%1.%2"/>
      <w:lvlJc w:val="left"/>
      <w:pPr>
        <w:ind w:left="424" w:hanging="317"/>
      </w:pPr>
      <w:rPr>
        <w:rFonts w:hint="default" w:ascii="Times New Roman" w:hAnsi="Times New Roman" w:eastAsia="Times New Roman" w:cs="Times New Roman"/>
        <w:w w:val="100"/>
        <w:sz w:val="21"/>
        <w:szCs w:val="21"/>
        <w:lang w:val="zh-CN" w:eastAsia="zh-CN" w:bidi="zh-CN"/>
      </w:rPr>
    </w:lvl>
    <w:lvl w:ilvl="2" w:tentative="0">
      <w:start w:val="1"/>
      <w:numFmt w:val="decimal"/>
      <w:lvlText w:val="%1.%2.%3"/>
      <w:lvlJc w:val="left"/>
      <w:pPr>
        <w:ind w:left="580" w:hanging="473"/>
      </w:pPr>
      <w:rPr>
        <w:rFonts w:hint="default" w:ascii="Times New Roman" w:hAnsi="Times New Roman" w:eastAsia="Times New Roman" w:cs="Times New Roman"/>
        <w:w w:val="100"/>
        <w:sz w:val="21"/>
        <w:szCs w:val="21"/>
        <w:lang w:val="zh-CN" w:eastAsia="zh-CN" w:bidi="zh-CN"/>
      </w:rPr>
    </w:lvl>
    <w:lvl w:ilvl="3" w:tentative="0">
      <w:start w:val="1"/>
      <w:numFmt w:val="decimal"/>
      <w:lvlText w:val="（%4）"/>
      <w:lvlJc w:val="left"/>
      <w:pPr>
        <w:ind w:left="1061" w:hanging="530"/>
      </w:pPr>
      <w:rPr>
        <w:rFonts w:hint="default" w:ascii="宋体" w:hAnsi="宋体" w:eastAsia="宋体" w:cs="宋体"/>
        <w:spacing w:val="-3"/>
        <w:w w:val="100"/>
        <w:sz w:val="19"/>
        <w:szCs w:val="19"/>
        <w:lang w:val="zh-CN" w:eastAsia="zh-CN" w:bidi="zh-CN"/>
      </w:rPr>
    </w:lvl>
    <w:lvl w:ilvl="4" w:tentative="0">
      <w:start w:val="0"/>
      <w:numFmt w:val="bullet"/>
      <w:lvlText w:val="•"/>
      <w:lvlJc w:val="left"/>
      <w:pPr>
        <w:ind w:left="2729" w:hanging="530"/>
      </w:pPr>
      <w:rPr>
        <w:rFonts w:hint="default"/>
        <w:lang w:val="zh-CN" w:eastAsia="zh-CN" w:bidi="zh-CN"/>
      </w:rPr>
    </w:lvl>
    <w:lvl w:ilvl="5" w:tentative="0">
      <w:start w:val="0"/>
      <w:numFmt w:val="bullet"/>
      <w:lvlText w:val="•"/>
      <w:lvlJc w:val="left"/>
      <w:pPr>
        <w:ind w:left="3564" w:hanging="530"/>
      </w:pPr>
      <w:rPr>
        <w:rFonts w:hint="default"/>
        <w:lang w:val="zh-CN" w:eastAsia="zh-CN" w:bidi="zh-CN"/>
      </w:rPr>
    </w:lvl>
    <w:lvl w:ilvl="6" w:tentative="0">
      <w:start w:val="0"/>
      <w:numFmt w:val="bullet"/>
      <w:lvlText w:val="•"/>
      <w:lvlJc w:val="left"/>
      <w:pPr>
        <w:ind w:left="4399" w:hanging="530"/>
      </w:pPr>
      <w:rPr>
        <w:rFonts w:hint="default"/>
        <w:lang w:val="zh-CN" w:eastAsia="zh-CN" w:bidi="zh-CN"/>
      </w:rPr>
    </w:lvl>
    <w:lvl w:ilvl="7" w:tentative="0">
      <w:start w:val="0"/>
      <w:numFmt w:val="bullet"/>
      <w:lvlText w:val="•"/>
      <w:lvlJc w:val="left"/>
      <w:pPr>
        <w:ind w:left="5234" w:hanging="530"/>
      </w:pPr>
      <w:rPr>
        <w:rFonts w:hint="default"/>
        <w:lang w:val="zh-CN" w:eastAsia="zh-CN" w:bidi="zh-CN"/>
      </w:rPr>
    </w:lvl>
    <w:lvl w:ilvl="8" w:tentative="0">
      <w:start w:val="0"/>
      <w:numFmt w:val="bullet"/>
      <w:lvlText w:val="•"/>
      <w:lvlJc w:val="left"/>
      <w:pPr>
        <w:ind w:left="6069" w:hanging="530"/>
      </w:pPr>
      <w:rPr>
        <w:rFonts w:hint="default"/>
        <w:lang w:val="zh-CN" w:eastAsia="zh-CN" w:bidi="zh-CN"/>
      </w:rPr>
    </w:lvl>
  </w:abstractNum>
  <w:abstractNum w:abstractNumId="4">
    <w:nsid w:val="18A5DC09"/>
    <w:multiLevelType w:val="multilevel"/>
    <w:tmpl w:val="18A5DC09"/>
    <w:lvl w:ilvl="0" w:tentative="0">
      <w:start w:val="2"/>
      <w:numFmt w:val="decimal"/>
      <w:lvlText w:val="（%1）"/>
      <w:lvlJc w:val="left"/>
      <w:pPr>
        <w:ind w:left="107" w:hanging="623"/>
      </w:pPr>
      <w:rPr>
        <w:rFonts w:hint="default" w:ascii="宋体" w:hAnsi="宋体" w:eastAsia="宋体" w:cs="宋体"/>
        <w:w w:val="100"/>
        <w:sz w:val="21"/>
        <w:szCs w:val="21"/>
        <w:lang w:val="zh-CN" w:eastAsia="zh-CN" w:bidi="zh-CN"/>
      </w:rPr>
    </w:lvl>
    <w:lvl w:ilvl="1" w:tentative="0">
      <w:start w:val="0"/>
      <w:numFmt w:val="bullet"/>
      <w:lvlText w:val="•"/>
      <w:lvlJc w:val="left"/>
      <w:pPr>
        <w:ind w:left="863" w:hanging="623"/>
      </w:pPr>
      <w:rPr>
        <w:rFonts w:hint="default"/>
        <w:lang w:val="zh-CN" w:eastAsia="zh-CN" w:bidi="zh-CN"/>
      </w:rPr>
    </w:lvl>
    <w:lvl w:ilvl="2" w:tentative="0">
      <w:start w:val="0"/>
      <w:numFmt w:val="bullet"/>
      <w:lvlText w:val="•"/>
      <w:lvlJc w:val="left"/>
      <w:pPr>
        <w:ind w:left="1627" w:hanging="623"/>
      </w:pPr>
      <w:rPr>
        <w:rFonts w:hint="default"/>
        <w:lang w:val="zh-CN" w:eastAsia="zh-CN" w:bidi="zh-CN"/>
      </w:rPr>
    </w:lvl>
    <w:lvl w:ilvl="3" w:tentative="0">
      <w:start w:val="0"/>
      <w:numFmt w:val="bullet"/>
      <w:lvlText w:val="•"/>
      <w:lvlJc w:val="left"/>
      <w:pPr>
        <w:ind w:left="2391" w:hanging="623"/>
      </w:pPr>
      <w:rPr>
        <w:rFonts w:hint="default"/>
        <w:lang w:val="zh-CN" w:eastAsia="zh-CN" w:bidi="zh-CN"/>
      </w:rPr>
    </w:lvl>
    <w:lvl w:ilvl="4" w:tentative="0">
      <w:start w:val="0"/>
      <w:numFmt w:val="bullet"/>
      <w:lvlText w:val="•"/>
      <w:lvlJc w:val="left"/>
      <w:pPr>
        <w:ind w:left="3155" w:hanging="623"/>
      </w:pPr>
      <w:rPr>
        <w:rFonts w:hint="default"/>
        <w:lang w:val="zh-CN" w:eastAsia="zh-CN" w:bidi="zh-CN"/>
      </w:rPr>
    </w:lvl>
    <w:lvl w:ilvl="5" w:tentative="0">
      <w:start w:val="0"/>
      <w:numFmt w:val="bullet"/>
      <w:lvlText w:val="•"/>
      <w:lvlJc w:val="left"/>
      <w:pPr>
        <w:ind w:left="3919" w:hanging="623"/>
      </w:pPr>
      <w:rPr>
        <w:rFonts w:hint="default"/>
        <w:lang w:val="zh-CN" w:eastAsia="zh-CN" w:bidi="zh-CN"/>
      </w:rPr>
    </w:lvl>
    <w:lvl w:ilvl="6" w:tentative="0">
      <w:start w:val="0"/>
      <w:numFmt w:val="bullet"/>
      <w:lvlText w:val="•"/>
      <w:lvlJc w:val="left"/>
      <w:pPr>
        <w:ind w:left="4683" w:hanging="623"/>
      </w:pPr>
      <w:rPr>
        <w:rFonts w:hint="default"/>
        <w:lang w:val="zh-CN" w:eastAsia="zh-CN" w:bidi="zh-CN"/>
      </w:rPr>
    </w:lvl>
    <w:lvl w:ilvl="7" w:tentative="0">
      <w:start w:val="0"/>
      <w:numFmt w:val="bullet"/>
      <w:lvlText w:val="•"/>
      <w:lvlJc w:val="left"/>
      <w:pPr>
        <w:ind w:left="5447" w:hanging="623"/>
      </w:pPr>
      <w:rPr>
        <w:rFonts w:hint="default"/>
        <w:lang w:val="zh-CN" w:eastAsia="zh-CN" w:bidi="zh-CN"/>
      </w:rPr>
    </w:lvl>
    <w:lvl w:ilvl="8" w:tentative="0">
      <w:start w:val="0"/>
      <w:numFmt w:val="bullet"/>
      <w:lvlText w:val="•"/>
      <w:lvlJc w:val="left"/>
      <w:pPr>
        <w:ind w:left="6211" w:hanging="623"/>
      </w:pPr>
      <w:rPr>
        <w:rFonts w:hint="default"/>
        <w:lang w:val="zh-CN" w:eastAsia="zh-CN" w:bidi="zh-CN"/>
      </w:rPr>
    </w:lvl>
  </w:abstractNum>
  <w:abstractNum w:abstractNumId="5">
    <w:nsid w:val="29955C72"/>
    <w:multiLevelType w:val="singleLevel"/>
    <w:tmpl w:val="29955C72"/>
    <w:lvl w:ilvl="0" w:tentative="0">
      <w:start w:val="1"/>
      <w:numFmt w:val="decimal"/>
      <w:suff w:val="nothing"/>
      <w:lvlText w:val="（%1）"/>
      <w:lvlJc w:val="left"/>
    </w:lvl>
  </w:abstractNum>
  <w:abstractNum w:abstractNumId="6">
    <w:nsid w:val="3BC740C7"/>
    <w:multiLevelType w:val="singleLevel"/>
    <w:tmpl w:val="3BC740C7"/>
    <w:lvl w:ilvl="0" w:tentative="0">
      <w:start w:val="1"/>
      <w:numFmt w:val="decimal"/>
      <w:lvlText w:val="(%1)"/>
      <w:lvlJc w:val="left"/>
      <w:pPr>
        <w:ind w:left="425" w:hanging="425"/>
      </w:pPr>
      <w:rPr>
        <w:rFonts w:hint="default"/>
      </w:rPr>
    </w:lvl>
  </w:abstractNum>
  <w:abstractNum w:abstractNumId="7">
    <w:nsid w:val="5C2B25AA"/>
    <w:multiLevelType w:val="singleLevel"/>
    <w:tmpl w:val="5C2B25AA"/>
    <w:lvl w:ilvl="0" w:tentative="0">
      <w:start w:val="3"/>
      <w:numFmt w:val="decimal"/>
      <w:suff w:val="space"/>
      <w:lvlText w:val="（%1）"/>
      <w:lvlJc w:val="left"/>
    </w:lvl>
  </w:abstractNum>
  <w:abstractNum w:abstractNumId="8">
    <w:nsid w:val="6088D130"/>
    <w:multiLevelType w:val="multilevel"/>
    <w:tmpl w:val="6088D130"/>
    <w:lvl w:ilvl="0" w:tentative="0">
      <w:start w:val="1"/>
      <w:numFmt w:val="decimal"/>
      <w:lvlText w:val="（%1）"/>
      <w:lvlJc w:val="left"/>
      <w:pPr>
        <w:ind w:left="107" w:hanging="533"/>
      </w:pPr>
      <w:rPr>
        <w:rFonts w:hint="default" w:ascii="宋体" w:hAnsi="宋体" w:eastAsia="宋体" w:cs="宋体"/>
        <w:spacing w:val="0"/>
        <w:w w:val="100"/>
        <w:sz w:val="19"/>
        <w:szCs w:val="19"/>
        <w:lang w:val="zh-CN" w:eastAsia="zh-CN" w:bidi="zh-CN"/>
      </w:rPr>
    </w:lvl>
    <w:lvl w:ilvl="1" w:tentative="0">
      <w:start w:val="0"/>
      <w:numFmt w:val="bullet"/>
      <w:lvlText w:val="•"/>
      <w:lvlJc w:val="left"/>
      <w:pPr>
        <w:ind w:left="863" w:hanging="533"/>
      </w:pPr>
      <w:rPr>
        <w:rFonts w:hint="default"/>
        <w:lang w:val="zh-CN" w:eastAsia="zh-CN" w:bidi="zh-CN"/>
      </w:rPr>
    </w:lvl>
    <w:lvl w:ilvl="2" w:tentative="0">
      <w:start w:val="0"/>
      <w:numFmt w:val="bullet"/>
      <w:lvlText w:val="•"/>
      <w:lvlJc w:val="left"/>
      <w:pPr>
        <w:ind w:left="1627" w:hanging="533"/>
      </w:pPr>
      <w:rPr>
        <w:rFonts w:hint="default"/>
        <w:lang w:val="zh-CN" w:eastAsia="zh-CN" w:bidi="zh-CN"/>
      </w:rPr>
    </w:lvl>
    <w:lvl w:ilvl="3" w:tentative="0">
      <w:start w:val="0"/>
      <w:numFmt w:val="bullet"/>
      <w:lvlText w:val="•"/>
      <w:lvlJc w:val="left"/>
      <w:pPr>
        <w:ind w:left="2391" w:hanging="533"/>
      </w:pPr>
      <w:rPr>
        <w:rFonts w:hint="default"/>
        <w:lang w:val="zh-CN" w:eastAsia="zh-CN" w:bidi="zh-CN"/>
      </w:rPr>
    </w:lvl>
    <w:lvl w:ilvl="4" w:tentative="0">
      <w:start w:val="0"/>
      <w:numFmt w:val="bullet"/>
      <w:lvlText w:val="•"/>
      <w:lvlJc w:val="left"/>
      <w:pPr>
        <w:ind w:left="3155" w:hanging="533"/>
      </w:pPr>
      <w:rPr>
        <w:rFonts w:hint="default"/>
        <w:lang w:val="zh-CN" w:eastAsia="zh-CN" w:bidi="zh-CN"/>
      </w:rPr>
    </w:lvl>
    <w:lvl w:ilvl="5" w:tentative="0">
      <w:start w:val="0"/>
      <w:numFmt w:val="bullet"/>
      <w:lvlText w:val="•"/>
      <w:lvlJc w:val="left"/>
      <w:pPr>
        <w:ind w:left="3919" w:hanging="533"/>
      </w:pPr>
      <w:rPr>
        <w:rFonts w:hint="default"/>
        <w:lang w:val="zh-CN" w:eastAsia="zh-CN" w:bidi="zh-CN"/>
      </w:rPr>
    </w:lvl>
    <w:lvl w:ilvl="6" w:tentative="0">
      <w:start w:val="0"/>
      <w:numFmt w:val="bullet"/>
      <w:lvlText w:val="•"/>
      <w:lvlJc w:val="left"/>
      <w:pPr>
        <w:ind w:left="4683" w:hanging="533"/>
      </w:pPr>
      <w:rPr>
        <w:rFonts w:hint="default"/>
        <w:lang w:val="zh-CN" w:eastAsia="zh-CN" w:bidi="zh-CN"/>
      </w:rPr>
    </w:lvl>
    <w:lvl w:ilvl="7" w:tentative="0">
      <w:start w:val="0"/>
      <w:numFmt w:val="bullet"/>
      <w:lvlText w:val="•"/>
      <w:lvlJc w:val="left"/>
      <w:pPr>
        <w:ind w:left="5447" w:hanging="533"/>
      </w:pPr>
      <w:rPr>
        <w:rFonts w:hint="default"/>
        <w:lang w:val="zh-CN" w:eastAsia="zh-CN" w:bidi="zh-CN"/>
      </w:rPr>
    </w:lvl>
    <w:lvl w:ilvl="8" w:tentative="0">
      <w:start w:val="0"/>
      <w:numFmt w:val="bullet"/>
      <w:lvlText w:val="•"/>
      <w:lvlJc w:val="left"/>
      <w:pPr>
        <w:ind w:left="6211" w:hanging="533"/>
      </w:pPr>
      <w:rPr>
        <w:rFonts w:hint="default"/>
        <w:lang w:val="zh-CN" w:eastAsia="zh-CN" w:bidi="zh-CN"/>
      </w:rPr>
    </w:lvl>
  </w:abstractNum>
  <w:abstractNum w:abstractNumId="9">
    <w:nsid w:val="61C6A625"/>
    <w:multiLevelType w:val="singleLevel"/>
    <w:tmpl w:val="61C6A625"/>
    <w:lvl w:ilvl="0" w:tentative="0">
      <w:start w:val="1"/>
      <w:numFmt w:val="decimal"/>
      <w:suff w:val="nothing"/>
      <w:lvlText w:val="（%1）"/>
      <w:lvlJc w:val="left"/>
    </w:lvl>
  </w:abstractNum>
  <w:abstractNum w:abstractNumId="10">
    <w:nsid w:val="73C04615"/>
    <w:multiLevelType w:val="singleLevel"/>
    <w:tmpl w:val="73C04615"/>
    <w:lvl w:ilvl="0" w:tentative="0">
      <w:start w:val="1"/>
      <w:numFmt w:val="decimal"/>
      <w:lvlText w:val="(%1)"/>
      <w:lvlJc w:val="left"/>
      <w:pPr>
        <w:ind w:left="425" w:hanging="425"/>
      </w:pPr>
      <w:rPr>
        <w:rFonts w:hint="default"/>
      </w:rPr>
    </w:lvl>
  </w:abstractNum>
  <w:num w:numId="1">
    <w:abstractNumId w:val="10"/>
  </w:num>
  <w:num w:numId="2">
    <w:abstractNumId w:val="6"/>
  </w:num>
  <w:num w:numId="3">
    <w:abstractNumId w:val="7"/>
  </w:num>
  <w:num w:numId="4">
    <w:abstractNumId w:val="2"/>
  </w:num>
  <w:num w:numId="5">
    <w:abstractNumId w:val="9"/>
  </w:num>
  <w:num w:numId="6">
    <w:abstractNumId w:val="5"/>
  </w:num>
  <w:num w:numId="7">
    <w:abstractNumId w:val="0"/>
  </w:num>
  <w:num w:numId="8">
    <w:abstractNumId w:val="3"/>
  </w:num>
  <w:num w:numId="9">
    <w:abstractNumId w:val="8"/>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1MGVkMTEzNjhhZjM2OTJlMTU1ZjJmOWEyZmUxM2MifQ=="/>
  </w:docVars>
  <w:rsids>
    <w:rsidRoot w:val="00000000"/>
    <w:rsid w:val="059D60D6"/>
    <w:rsid w:val="12260CF8"/>
    <w:rsid w:val="18680D82"/>
    <w:rsid w:val="1A1678A4"/>
    <w:rsid w:val="1F9F20EA"/>
    <w:rsid w:val="23452FA8"/>
    <w:rsid w:val="2B7B3A0B"/>
    <w:rsid w:val="312D2645"/>
    <w:rsid w:val="36CC15BF"/>
    <w:rsid w:val="43195B8C"/>
    <w:rsid w:val="46AC6D17"/>
    <w:rsid w:val="586236D9"/>
    <w:rsid w:val="5C677510"/>
    <w:rsid w:val="61F01D56"/>
    <w:rsid w:val="6AE14931"/>
    <w:rsid w:val="6D156B14"/>
    <w:rsid w:val="7EB93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spacing w:after="120" w:line="420" w:lineRule="atLeast"/>
      <w:ind w:left="420" w:leftChars="200" w:firstLine="420" w:firstLineChars="200"/>
      <w:jc w:val="both"/>
      <w:textAlignment w:val="baseline"/>
    </w:pPr>
    <w:rPr>
      <w:sz w:val="21"/>
    </w:rPr>
  </w:style>
  <w:style w:type="paragraph" w:styleId="3">
    <w:name w:val="Body Text Indent"/>
    <w:basedOn w:val="1"/>
    <w:qFormat/>
    <w:uiPriority w:val="0"/>
    <w:pPr>
      <w:ind w:firstLine="538" w:firstLineChars="168"/>
      <w:jc w:val="left"/>
    </w:pPr>
    <w:rPr>
      <w:rFonts w:ascii="Calibri" w:hAnsi="Calibri" w:cs="Times New Roman"/>
      <w:sz w:val="32"/>
    </w:rPr>
  </w:style>
  <w:style w:type="paragraph" w:styleId="4">
    <w:name w:val="Plain Text"/>
    <w:basedOn w:val="1"/>
    <w:next w:val="1"/>
    <w:qFormat/>
    <w:uiPriority w:val="0"/>
    <w:rPr>
      <w:rFonts w:ascii="宋体" w:hAnsi="Courier New" w:cs="Times New Roman"/>
      <w:sz w:val="24"/>
      <w:szCs w:val="22"/>
    </w:rPr>
  </w:style>
  <w:style w:type="paragraph" w:styleId="5">
    <w:name w:val="footnote text"/>
    <w:basedOn w:val="1"/>
    <w:qFormat/>
    <w:uiPriority w:val="99"/>
    <w:pPr>
      <w:snapToGrid w:val="0"/>
      <w:jc w:val="left"/>
    </w:pPr>
    <w:rPr>
      <w:rFonts w:ascii="Calibri" w:hAnsi="Calibri" w:cs="Times New Roman"/>
      <w:sz w:val="18"/>
      <w:szCs w:val="18"/>
    </w:rPr>
  </w:style>
  <w:style w:type="character" w:styleId="8">
    <w:name w:val="footnote reference"/>
    <w:basedOn w:val="7"/>
    <w:qFormat/>
    <w:uiPriority w:val="99"/>
    <w:rPr>
      <w:vertAlign w:val="superscript"/>
    </w:rPr>
  </w:style>
  <w:style w:type="paragraph" w:customStyle="1" w:styleId="9">
    <w:name w:val="Table Paragraph"/>
    <w:basedOn w:val="1"/>
    <w:qFormat/>
    <w:uiPriority w:val="1"/>
    <w:pPr>
      <w:autoSpaceDE w:val="0"/>
      <w:autoSpaceDN w:val="0"/>
      <w:jc w:val="left"/>
    </w:pPr>
    <w:rPr>
      <w:rFonts w:ascii="Noto Sans Mono CJK JP Regular" w:hAnsi="Noto Sans Mono CJK JP Regular" w:eastAsia="Noto Sans Mono CJK JP Regular" w:cs="Noto Sans Mono CJK JP Regular"/>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10263</Words>
  <Characters>10743</Characters>
  <Lines>0</Lines>
  <Paragraphs>0</Paragraphs>
  <TotalTime>0</TotalTime>
  <ScaleCrop>false</ScaleCrop>
  <LinksUpToDate>false</LinksUpToDate>
  <CharactersWithSpaces>10962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2023-06-02T03:04:54Z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50448D79E044435EBBE638A9D4739A20_13</vt:lpwstr>
  </property>
</Properties>
</file>