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56" w:after="156" w:line="460" w:lineRule="exact"/>
        <w:jc w:val="center"/>
        <w:rPr>
          <w:rFonts w:hint="eastAsia" w:ascii="黑体" w:hAnsi="宋体" w:eastAsia="黑体"/>
          <w:color w:val="auto"/>
          <w:sz w:val="30"/>
          <w:szCs w:val="30"/>
          <w:highlight w:val="none"/>
          <w:lang w:eastAsia="zh-CN"/>
        </w:rPr>
      </w:pPr>
      <w:bookmarkStart w:id="0" w:name="_GoBack"/>
      <w:bookmarkEnd w:id="0"/>
      <w:r>
        <w:rPr>
          <w:rFonts w:hint="eastAsia" w:ascii="黑体" w:hAnsi="宋体" w:eastAsia="黑体"/>
          <w:color w:val="auto"/>
          <w:sz w:val="30"/>
          <w:szCs w:val="30"/>
          <w:highlight w:val="none"/>
        </w:rPr>
        <w:t>附录1   资格审查条件(资质最低条件)</w:t>
      </w:r>
    </w:p>
    <w:p>
      <w:pPr>
        <w:spacing w:line="160" w:lineRule="exact"/>
        <w:rPr>
          <w:color w:val="auto"/>
          <w:highlight w:val="none"/>
        </w:rPr>
      </w:pPr>
    </w:p>
    <w:tbl>
      <w:tblPr>
        <w:tblStyle w:val="7"/>
        <w:tblW w:w="0" w:type="auto"/>
        <w:tblInd w:w="9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2" w:hRule="exact"/>
        </w:trPr>
        <w:tc>
          <w:tcPr>
            <w:tcW w:w="9469" w:type="dxa"/>
            <w:noWrap w:val="0"/>
            <w:vAlign w:val="center"/>
          </w:tcPr>
          <w:p>
            <w:pPr>
              <w:jc w:val="center"/>
              <w:rPr>
                <w:rFonts w:ascii="宋体" w:hAnsi="宋体"/>
                <w:b/>
                <w:color w:val="auto"/>
                <w:sz w:val="28"/>
                <w:szCs w:val="28"/>
                <w:highlight w:val="none"/>
              </w:rPr>
            </w:pPr>
            <w:r>
              <w:rPr>
                <w:rFonts w:hint="eastAsia" w:ascii="宋体" w:hAnsi="宋体"/>
                <w:b/>
                <w:color w:val="auto"/>
                <w:sz w:val="28"/>
                <w:szCs w:val="28"/>
                <w:highlight w:val="none"/>
              </w:rPr>
              <w:t>施工企业资质等级要求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17" w:hRule="exact"/>
        </w:trPr>
        <w:tc>
          <w:tcPr>
            <w:tcW w:w="9469" w:type="dxa"/>
            <w:noWrap w:val="0"/>
            <w:vAlign w:val="center"/>
          </w:tcPr>
          <w:p>
            <w:pPr>
              <w:spacing w:line="560" w:lineRule="exact"/>
              <w:ind w:firstLine="420" w:firstLineChars="200"/>
              <w:outlineLvl w:val="0"/>
            </w:pPr>
            <w:r>
              <w:t>1</w:t>
            </w:r>
            <w:r>
              <w:rPr>
                <w:rFonts w:hint="eastAsia"/>
              </w:rPr>
              <w:t>、中华人民共和国国内注册成立的独立企业法人。</w:t>
            </w:r>
          </w:p>
          <w:p>
            <w:pPr>
              <w:spacing w:line="560" w:lineRule="exact"/>
              <w:ind w:firstLine="420" w:firstLineChars="200"/>
              <w:outlineLvl w:val="0"/>
            </w:pPr>
            <w:r>
              <w:t>2、具备</w:t>
            </w:r>
            <w:r>
              <w:rPr>
                <w:rFonts w:hint="eastAsia"/>
                <w:lang w:eastAsia="zh-CN"/>
              </w:rPr>
              <w:t>国家住建部</w:t>
            </w:r>
            <w:r>
              <w:t>核发的</w:t>
            </w:r>
            <w:r>
              <w:rPr>
                <w:rFonts w:hint="eastAsia"/>
                <w:lang w:eastAsia="zh-CN"/>
              </w:rPr>
              <w:t>公路工程施工总承包三级（或以上）资质或桥梁工程专业承包三级（或以上）资质</w:t>
            </w:r>
            <w:r>
              <w:rPr>
                <w:rFonts w:hint="eastAsia"/>
              </w:rPr>
              <w:t>。</w:t>
            </w:r>
          </w:p>
          <w:p>
            <w:pPr>
              <w:spacing w:line="560" w:lineRule="exact"/>
              <w:ind w:firstLine="420" w:firstLineChars="200"/>
              <w:outlineLvl w:val="0"/>
              <w:rPr>
                <w:rFonts w:hint="eastAsia"/>
              </w:rPr>
            </w:pPr>
            <w:r>
              <w:t>3、具有有效的</w:t>
            </w:r>
            <w:r>
              <w:rPr>
                <w:rFonts w:hint="eastAsia"/>
              </w:rPr>
              <w:t>施工企业安全生产许可证。</w:t>
            </w:r>
          </w:p>
          <w:p>
            <w:pPr>
              <w:spacing w:line="560" w:lineRule="exact"/>
              <w:ind w:firstLine="420" w:firstLineChars="200"/>
              <w:outlineLvl w:val="0"/>
              <w:rPr>
                <w:rFonts w:hint="eastAsia" w:eastAsia="宋体"/>
                <w:lang w:val="en-US" w:eastAsia="zh-CN"/>
              </w:rPr>
            </w:pPr>
            <w:r>
              <w:rPr>
                <w:rFonts w:hint="eastAsia" w:ascii="Times New Roman" w:hAnsi="Times New Roman" w:eastAsia="宋体" w:cs="Times New Roman"/>
                <w:highlight w:val="none"/>
                <w:lang w:val="en-US" w:eastAsia="zh-CN"/>
              </w:rPr>
              <w:t>4、</w:t>
            </w:r>
            <w:r>
              <w:rPr>
                <w:rFonts w:ascii="Times New Roman" w:hAnsi="Times New Roman" w:eastAsia="宋体" w:cs="Times New Roman"/>
                <w:highlight w:val="none"/>
              </w:rPr>
              <w:t>投标人应进入交通运输部“全国公路建设市场信用信息管理系统（http：//glxy.mot.gov.cn）”中的公路工程施工资质企业名录，且投标人名称和资质与该名录中的相应企业名称和资质完全一致。</w:t>
            </w:r>
          </w:p>
        </w:tc>
      </w:tr>
    </w:tbl>
    <w:p>
      <w:pPr>
        <w:rPr>
          <w:color w:val="auto"/>
          <w:highlight w:val="none"/>
        </w:rPr>
      </w:pPr>
    </w:p>
    <w:p>
      <w:pPr>
        <w:autoSpaceDE w:val="0"/>
        <w:autoSpaceDN w:val="0"/>
        <w:adjustRightInd w:val="0"/>
        <w:spacing w:before="156" w:after="156" w:line="460" w:lineRule="exact"/>
        <w:jc w:val="left"/>
        <w:rPr>
          <w:rFonts w:ascii="黑体" w:hAnsi="宋体" w:eastAsia="黑体"/>
          <w:color w:val="auto"/>
          <w:sz w:val="30"/>
          <w:szCs w:val="30"/>
          <w:highlight w:val="none"/>
        </w:rPr>
      </w:pPr>
      <w:r>
        <w:rPr>
          <w:rFonts w:hint="eastAsia" w:ascii="黑体" w:hAnsi="宋体" w:eastAsia="黑体"/>
          <w:color w:val="auto"/>
          <w:sz w:val="30"/>
          <w:szCs w:val="30"/>
          <w:highlight w:val="none"/>
        </w:rPr>
        <w:br w:type="page"/>
      </w:r>
      <w:r>
        <w:rPr>
          <w:rFonts w:hint="eastAsia" w:ascii="黑体" w:hAnsi="宋体" w:eastAsia="黑体"/>
          <w:color w:val="auto"/>
          <w:sz w:val="30"/>
          <w:szCs w:val="30"/>
          <w:highlight w:val="none"/>
        </w:rPr>
        <w:t>附录2   资格审查条件(财务最低要求)</w:t>
      </w:r>
      <w:r>
        <w:rPr>
          <w:rStyle w:val="9"/>
          <w:rFonts w:hint="eastAsia" w:ascii="黑体" w:hAnsi="宋体" w:eastAsia="黑体"/>
          <w:color w:val="auto"/>
          <w:sz w:val="30"/>
          <w:szCs w:val="30"/>
          <w:highlight w:val="none"/>
        </w:rPr>
        <w:footnoteReference w:id="0"/>
      </w:r>
    </w:p>
    <w:p>
      <w:pPr>
        <w:spacing w:line="160" w:lineRule="exact"/>
        <w:rPr>
          <w:color w:val="auto"/>
          <w:highlight w:val="none"/>
        </w:rPr>
      </w:pPr>
    </w:p>
    <w:tbl>
      <w:tblPr>
        <w:tblStyle w:val="7"/>
        <w:tblW w:w="0" w:type="auto"/>
        <w:tblInd w:w="14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5" w:hRule="exact"/>
        </w:trPr>
        <w:tc>
          <w:tcPr>
            <w:tcW w:w="9527" w:type="dxa"/>
            <w:noWrap w:val="0"/>
            <w:vAlign w:val="center"/>
          </w:tcPr>
          <w:p>
            <w:pPr>
              <w:jc w:val="center"/>
              <w:rPr>
                <w:rFonts w:ascii="宋体" w:hAnsi="宋体"/>
                <w:b/>
                <w:color w:val="auto"/>
                <w:sz w:val="28"/>
                <w:szCs w:val="28"/>
                <w:highlight w:val="none"/>
              </w:rPr>
            </w:pPr>
            <w:r>
              <w:rPr>
                <w:rFonts w:hint="eastAsia" w:ascii="宋体" w:hAnsi="宋体"/>
                <w:b/>
                <w:color w:val="auto"/>
                <w:sz w:val="28"/>
                <w:szCs w:val="28"/>
                <w:highlight w:val="none"/>
              </w:rPr>
              <w:t>财 务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exact"/>
        </w:trPr>
        <w:tc>
          <w:tcPr>
            <w:tcW w:w="9527" w:type="dxa"/>
            <w:noWrap w:val="0"/>
            <w:vAlign w:val="center"/>
          </w:tcPr>
          <w:p>
            <w:pPr>
              <w:topLinePunct/>
              <w:adjustRightInd w:val="0"/>
              <w:spacing w:before="72" w:beforeLines="30" w:line="460" w:lineRule="exact"/>
              <w:ind w:firstLine="105" w:firstLineChars="50"/>
              <w:rPr>
                <w:highlight w:val="none"/>
              </w:rPr>
            </w:pPr>
            <w:r>
              <w:rPr>
                <w:highlight w:val="none"/>
              </w:rPr>
              <w:t>1、企业净资产（总资产-总负债）不少于</w:t>
            </w:r>
            <w:r>
              <w:rPr>
                <w:rFonts w:hint="eastAsia"/>
                <w:highlight w:val="none"/>
                <w:lang w:val="en-US" w:eastAsia="zh-CN"/>
              </w:rPr>
              <w:t>800</w:t>
            </w:r>
            <w:r>
              <w:rPr>
                <w:highlight w:val="none"/>
              </w:rPr>
              <w:t xml:space="preserve">万元人民币。 </w:t>
            </w:r>
          </w:p>
          <w:p>
            <w:pPr>
              <w:topLinePunct/>
              <w:adjustRightInd w:val="0"/>
              <w:spacing w:before="72" w:beforeLines="30" w:line="460" w:lineRule="exact"/>
              <w:ind w:firstLine="105" w:firstLineChars="50"/>
              <w:rPr>
                <w:highlight w:val="none"/>
              </w:rPr>
            </w:pPr>
            <w:r>
              <w:rPr>
                <w:highlight w:val="none"/>
              </w:rPr>
              <w:t>2、营运资金（流动资产－流动负债）不少于</w:t>
            </w:r>
            <w:r>
              <w:rPr>
                <w:rFonts w:hint="eastAsia"/>
                <w:highlight w:val="none"/>
                <w:lang w:val="en-US" w:eastAsia="zh-CN"/>
              </w:rPr>
              <w:t>3000</w:t>
            </w:r>
            <w:r>
              <w:rPr>
                <w:highlight w:val="none"/>
              </w:rPr>
              <w:t>万元人民币。或国内商业银行出具的信贷证明额度不少于</w:t>
            </w:r>
            <w:r>
              <w:rPr>
                <w:rFonts w:hint="eastAsia"/>
                <w:highlight w:val="none"/>
                <w:lang w:val="en-US" w:eastAsia="zh-CN"/>
              </w:rPr>
              <w:t>3000万元人民币</w:t>
            </w:r>
            <w:r>
              <w:rPr>
                <w:rStyle w:val="9"/>
                <w:rFonts w:hint="eastAsia"/>
                <w:highlight w:val="none"/>
                <w:lang w:val="en-US" w:eastAsia="zh-CN"/>
              </w:rPr>
              <w:footnoteReference w:id="1"/>
            </w:r>
            <w:r>
              <w:rPr>
                <w:rFonts w:hint="eastAsia"/>
                <w:highlight w:val="none"/>
                <w:lang w:val="en-US" w:eastAsia="zh-CN"/>
              </w:rPr>
              <w:t>。</w:t>
            </w:r>
            <w:r>
              <w:rPr>
                <w:highlight w:val="none"/>
              </w:rPr>
              <w:t xml:space="preserve"> </w:t>
            </w:r>
          </w:p>
          <w:p>
            <w:pPr>
              <w:topLinePunct/>
              <w:adjustRightInd w:val="0"/>
              <w:spacing w:before="72" w:beforeLines="30" w:line="460" w:lineRule="exact"/>
              <w:ind w:firstLine="105" w:firstLineChars="50"/>
              <w:rPr>
                <w:highlight w:val="none"/>
              </w:rPr>
            </w:pPr>
            <w:r>
              <w:rPr>
                <w:highlight w:val="none"/>
              </w:rPr>
              <w:t>3、近三个年度的年平均营业总收入不少于</w:t>
            </w:r>
            <w:r>
              <w:rPr>
                <w:rFonts w:hint="eastAsia"/>
                <w:highlight w:val="none"/>
                <w:lang w:val="en-US" w:eastAsia="zh-CN"/>
              </w:rPr>
              <w:t>6000</w:t>
            </w:r>
            <w:r>
              <w:rPr>
                <w:highlight w:val="none"/>
              </w:rPr>
              <w:t>万元人民币。</w:t>
            </w:r>
          </w:p>
          <w:p>
            <w:pPr>
              <w:topLinePunct/>
              <w:adjustRightInd w:val="0"/>
              <w:spacing w:before="72" w:beforeLines="30" w:line="460" w:lineRule="exact"/>
              <w:ind w:firstLine="105" w:firstLineChars="50"/>
              <w:rPr>
                <w:highlight w:val="none"/>
              </w:rPr>
            </w:pPr>
            <w:r>
              <w:rPr>
                <w:rFonts w:ascii="Times New Roman" w:hAnsi="Times New Roman" w:eastAsia="宋体" w:cs="Times New Roman"/>
                <w:b w:val="0"/>
                <w:bCs w:val="0"/>
                <w:kern w:val="2"/>
                <w:sz w:val="21"/>
                <w:szCs w:val="24"/>
                <w:highlight w:val="none"/>
                <w:lang w:val="en-US" w:eastAsia="zh-CN" w:bidi="ar-SA"/>
              </w:rPr>
              <w:t>4、</w:t>
            </w:r>
            <w:r>
              <w:rPr>
                <w:rFonts w:hint="eastAsia" w:ascii="Times New Roman" w:hAnsi="Times New Roman" w:eastAsia="宋体" w:cs="Times New Roman"/>
                <w:b w:val="0"/>
                <w:bCs w:val="0"/>
                <w:kern w:val="2"/>
                <w:sz w:val="21"/>
                <w:szCs w:val="24"/>
                <w:highlight w:val="none"/>
                <w:lang w:val="en-US" w:eastAsia="zh-CN" w:bidi="ar-SA"/>
              </w:rPr>
              <w:t>最近三年有1年盈利</w:t>
            </w:r>
            <w:r>
              <w:rPr>
                <w:rFonts w:ascii="Times New Roman" w:hAnsi="Times New Roman" w:eastAsia="宋体" w:cs="Times New Roman"/>
                <w:b w:val="0"/>
                <w:bCs w:val="0"/>
                <w:kern w:val="2"/>
                <w:sz w:val="21"/>
                <w:szCs w:val="24"/>
                <w:highlight w:val="none"/>
                <w:lang w:val="en-US" w:eastAsia="zh-CN" w:bidi="ar-SA"/>
              </w:rPr>
              <w:t>。</w:t>
            </w:r>
          </w:p>
        </w:tc>
      </w:tr>
    </w:tbl>
    <w:p>
      <w:pPr>
        <w:topLinePunct/>
        <w:adjustRightInd w:val="0"/>
        <w:spacing w:before="72" w:beforeLines="30" w:line="240" w:lineRule="auto"/>
        <w:ind w:firstLine="105" w:firstLineChars="50"/>
        <w:rPr>
          <w:rFonts w:ascii="Times New Roman" w:hAnsi="Times New Roman" w:eastAsia="宋体" w:cs="Times New Roman"/>
          <w:highlight w:val="none"/>
        </w:rPr>
      </w:pPr>
      <w:r>
        <w:rPr>
          <w:rFonts w:hint="eastAsia" w:ascii="Times New Roman" w:hAnsi="Times New Roman" w:eastAsia="宋体" w:cs="Times New Roman"/>
          <w:highlight w:val="none"/>
          <w:lang w:val="en-US" w:eastAsia="zh-CN"/>
        </w:rPr>
        <w:t xml:space="preserve">注：1、企业净资产、营运资金是按交通运输部“全国公路建设市场信用信息管理系统”登记的最新 </w:t>
      </w:r>
    </w:p>
    <w:p>
      <w:pPr>
        <w:topLinePunct/>
        <w:adjustRightInd w:val="0"/>
        <w:spacing w:before="72" w:beforeLines="30" w:line="240" w:lineRule="auto"/>
        <w:ind w:firstLine="105" w:firstLineChars="50"/>
        <w:rPr>
          <w:rFonts w:ascii="Times New Roman" w:hAnsi="Times New Roman" w:eastAsia="宋体" w:cs="Times New Roman"/>
          <w:highlight w:val="none"/>
        </w:rPr>
      </w:pPr>
      <w:r>
        <w:rPr>
          <w:rFonts w:hint="eastAsia" w:ascii="Times New Roman" w:hAnsi="Times New Roman" w:eastAsia="宋体" w:cs="Times New Roman"/>
          <w:highlight w:val="none"/>
          <w:lang w:val="en-US" w:eastAsia="zh-CN"/>
        </w:rPr>
        <w:t xml:space="preserve">年度（近三个年度的最后一年，下同）数据计算得出 </w:t>
      </w:r>
      <w:r>
        <w:rPr>
          <w:rStyle w:val="9"/>
          <w:rFonts w:hint="eastAsia" w:ascii="Times New Roman" w:hAnsi="Times New Roman" w:eastAsia="宋体" w:cs="Times New Roman"/>
          <w:highlight w:val="none"/>
          <w:lang w:val="en-US" w:eastAsia="zh-CN"/>
        </w:rPr>
        <w:footnoteReference w:id="2"/>
      </w:r>
      <w:r>
        <w:rPr>
          <w:rFonts w:hint="eastAsia" w:ascii="Times New Roman" w:hAnsi="Times New Roman" w:eastAsia="宋体" w:cs="Times New Roman"/>
          <w:highlight w:val="none"/>
          <w:lang w:val="en-US" w:eastAsia="zh-CN"/>
        </w:rPr>
        <w:t>。近三个年度是指</w:t>
      </w:r>
      <w:r>
        <w:rPr>
          <w:rFonts w:hint="eastAsia" w:ascii="宋体" w:hAnsi="宋体" w:cs="宋体"/>
          <w:color w:val="auto"/>
          <w:kern w:val="0"/>
          <w:sz w:val="22"/>
          <w:szCs w:val="22"/>
          <w:highlight w:val="none"/>
          <w:u w:val="single"/>
          <w:lang w:eastAsia="zh-CN"/>
        </w:rPr>
        <w:t>20</w:t>
      </w:r>
      <w:r>
        <w:rPr>
          <w:rFonts w:hint="eastAsia" w:ascii="宋体" w:hAnsi="宋体" w:cs="宋体"/>
          <w:color w:val="auto"/>
          <w:kern w:val="0"/>
          <w:sz w:val="22"/>
          <w:szCs w:val="22"/>
          <w:highlight w:val="none"/>
          <w:u w:val="single"/>
          <w:lang w:val="en-US" w:eastAsia="zh-CN"/>
        </w:rPr>
        <w:t>20</w:t>
      </w:r>
      <w:r>
        <w:rPr>
          <w:rFonts w:hint="eastAsia" w:ascii="宋体" w:hAnsi="宋体" w:cs="宋体"/>
          <w:color w:val="auto"/>
          <w:kern w:val="0"/>
          <w:sz w:val="22"/>
          <w:szCs w:val="22"/>
          <w:highlight w:val="none"/>
          <w:u w:val="single"/>
          <w:lang w:eastAsia="zh-CN"/>
        </w:rPr>
        <w:t>年度～202</w:t>
      </w:r>
      <w:r>
        <w:rPr>
          <w:rFonts w:hint="eastAsia" w:ascii="宋体" w:hAnsi="宋体" w:cs="宋体"/>
          <w:color w:val="auto"/>
          <w:kern w:val="0"/>
          <w:sz w:val="22"/>
          <w:szCs w:val="22"/>
          <w:highlight w:val="none"/>
          <w:u w:val="single"/>
          <w:lang w:val="en-US" w:eastAsia="zh-CN"/>
        </w:rPr>
        <w:t>2</w:t>
      </w:r>
      <w:r>
        <w:rPr>
          <w:rFonts w:hint="eastAsia" w:ascii="宋体" w:hAnsi="宋体" w:cs="宋体"/>
          <w:color w:val="auto"/>
          <w:kern w:val="0"/>
          <w:sz w:val="22"/>
          <w:szCs w:val="22"/>
          <w:highlight w:val="none"/>
          <w:u w:val="single"/>
          <w:lang w:eastAsia="zh-CN"/>
        </w:rPr>
        <w:t>年度</w:t>
      </w:r>
      <w:r>
        <w:rPr>
          <w:rFonts w:hint="eastAsia" w:ascii="宋体" w:hAnsi="宋体" w:cs="宋体"/>
          <w:color w:val="auto"/>
          <w:kern w:val="0"/>
          <w:sz w:val="22"/>
          <w:szCs w:val="22"/>
          <w:highlight w:val="none"/>
          <w:lang w:eastAsia="zh-CN"/>
        </w:rPr>
        <w:t>（近3年，如</w:t>
      </w:r>
      <w:r>
        <w:rPr>
          <w:rFonts w:hint="eastAsia" w:ascii="宋体" w:hAnsi="宋体" w:cs="宋体"/>
          <w:color w:val="auto"/>
          <w:kern w:val="0"/>
          <w:sz w:val="22"/>
          <w:szCs w:val="22"/>
          <w:highlight w:val="none"/>
          <w:lang w:val="en-US" w:eastAsia="zh-CN"/>
        </w:rPr>
        <w:t>2022年报告未出可以往前退一</w:t>
      </w:r>
      <w:r>
        <w:rPr>
          <w:rFonts w:hint="eastAsia" w:ascii="宋体" w:hAnsi="宋体" w:cs="宋体"/>
          <w:color w:val="auto"/>
          <w:kern w:val="0"/>
          <w:sz w:val="22"/>
          <w:szCs w:val="22"/>
          <w:highlight w:val="none"/>
          <w:lang w:eastAsia="zh-CN"/>
        </w:rPr>
        <w:t>年提供</w:t>
      </w:r>
      <w:r>
        <w:rPr>
          <w:rFonts w:hint="eastAsia" w:ascii="宋体" w:hAnsi="宋体" w:cs="宋体"/>
          <w:color w:val="auto"/>
          <w:kern w:val="0"/>
          <w:sz w:val="22"/>
          <w:szCs w:val="22"/>
          <w:highlight w:val="none"/>
          <w:lang w:val="en-US" w:eastAsia="zh-CN"/>
        </w:rPr>
        <w:t>2019</w:t>
      </w:r>
      <w:r>
        <w:rPr>
          <w:rFonts w:hint="eastAsia" w:ascii="宋体" w:hAnsi="宋体" w:cs="宋体"/>
          <w:color w:val="auto"/>
          <w:kern w:val="0"/>
          <w:sz w:val="22"/>
          <w:szCs w:val="22"/>
          <w:highlight w:val="none"/>
          <w:lang w:eastAsia="zh-CN"/>
        </w:rPr>
        <w:t>）</w:t>
      </w:r>
      <w:r>
        <w:rPr>
          <w:rFonts w:hint="eastAsia" w:ascii="Times New Roman" w:hAnsi="Times New Roman" w:eastAsia="宋体" w:cs="Times New Roman"/>
          <w:highlight w:val="none"/>
          <w:lang w:val="en-US" w:eastAsia="zh-CN"/>
        </w:rPr>
        <w:t xml:space="preserve"> </w:t>
      </w:r>
    </w:p>
    <w:p>
      <w:pPr>
        <w:topLinePunct/>
        <w:adjustRightInd w:val="0"/>
        <w:spacing w:before="72" w:beforeLines="30" w:line="240" w:lineRule="auto"/>
        <w:ind w:firstLine="105" w:firstLineChars="50"/>
        <w:rPr>
          <w:rFonts w:ascii="Times New Roman" w:hAnsi="Times New Roman" w:eastAsia="宋体" w:cs="Times New Roman"/>
          <w:highlight w:val="none"/>
        </w:rPr>
      </w:pPr>
      <w:r>
        <w:rPr>
          <w:rFonts w:hint="eastAsia" w:ascii="Times New Roman" w:hAnsi="Times New Roman" w:eastAsia="宋体" w:cs="Times New Roman"/>
          <w:highlight w:val="none"/>
          <w:lang w:val="en-US" w:eastAsia="zh-CN"/>
        </w:rPr>
        <w:t xml:space="preserve">2、以联合体形式投标的，财务最低要求中的第 1、2、3 项其财务能力以所有成员（含牵头人） </w:t>
      </w:r>
    </w:p>
    <w:p>
      <w:pPr>
        <w:topLinePunct/>
        <w:adjustRightInd w:val="0"/>
        <w:spacing w:before="72" w:beforeLines="30" w:line="240" w:lineRule="auto"/>
        <w:ind w:firstLine="105" w:firstLineChars="50"/>
        <w:rPr>
          <w:rFonts w:ascii="Times New Roman" w:hAnsi="Times New Roman" w:eastAsia="宋体" w:cs="Times New Roman"/>
          <w:highlight w:val="none"/>
        </w:rPr>
      </w:pPr>
      <w:r>
        <w:rPr>
          <w:rFonts w:hint="eastAsia" w:ascii="Times New Roman" w:hAnsi="Times New Roman" w:eastAsia="宋体" w:cs="Times New Roman"/>
          <w:highlight w:val="none"/>
          <w:lang w:val="en-US" w:eastAsia="zh-CN"/>
        </w:rPr>
        <w:t xml:space="preserve">合并加总计算为准，第 4 项联合体各方均需满足。 </w:t>
      </w:r>
    </w:p>
    <w:p>
      <w:pPr>
        <w:topLinePunct/>
        <w:adjustRightInd w:val="0"/>
        <w:spacing w:before="72" w:beforeLines="30" w:line="240" w:lineRule="auto"/>
        <w:ind w:firstLine="105" w:firstLineChars="50"/>
        <w:rPr>
          <w:rFonts w:ascii="Times New Roman" w:hAnsi="Times New Roman" w:eastAsia="宋体" w:cs="Times New Roman"/>
          <w:highlight w:val="none"/>
        </w:rPr>
      </w:pPr>
      <w:r>
        <w:rPr>
          <w:rFonts w:hint="eastAsia" w:ascii="Times New Roman" w:hAnsi="Times New Roman" w:eastAsia="宋体" w:cs="Times New Roman"/>
          <w:highlight w:val="none"/>
          <w:lang w:val="en-US" w:eastAsia="zh-CN"/>
        </w:rPr>
        <w:t>3、投标人应根据招标文件第二章“投标人须知”第 3.5.2 项的要求附相关证明材料。</w:t>
      </w:r>
    </w:p>
    <w:p>
      <w:pPr>
        <w:autoSpaceDE w:val="0"/>
        <w:autoSpaceDN w:val="0"/>
        <w:adjustRightInd w:val="0"/>
        <w:spacing w:before="156" w:after="156" w:line="460" w:lineRule="exact"/>
        <w:jc w:val="center"/>
        <w:rPr>
          <w:rFonts w:ascii="黑体" w:hAnsi="宋体" w:eastAsia="黑体"/>
          <w:color w:val="auto"/>
          <w:sz w:val="30"/>
          <w:szCs w:val="30"/>
          <w:highlight w:val="none"/>
        </w:rPr>
      </w:pPr>
      <w:r>
        <w:rPr>
          <w:rFonts w:hint="eastAsia" w:ascii="黑体" w:hAnsi="宋体" w:eastAsia="黑体"/>
          <w:color w:val="auto"/>
          <w:sz w:val="30"/>
          <w:szCs w:val="30"/>
          <w:highlight w:val="none"/>
        </w:rPr>
        <w:br w:type="page"/>
      </w:r>
      <w:r>
        <w:rPr>
          <w:rFonts w:hint="eastAsia" w:ascii="黑体" w:hAnsi="宋体" w:eastAsia="黑体"/>
          <w:color w:val="auto"/>
          <w:sz w:val="30"/>
          <w:szCs w:val="30"/>
          <w:highlight w:val="none"/>
        </w:rPr>
        <w:t>附录3   资格审查条件(业绩最低要求)</w:t>
      </w:r>
    </w:p>
    <w:p>
      <w:pPr>
        <w:spacing w:line="160" w:lineRule="exact"/>
        <w:rPr>
          <w:color w:val="auto"/>
          <w:highlight w:val="none"/>
        </w:rPr>
      </w:pPr>
    </w:p>
    <w:tbl>
      <w:tblPr>
        <w:tblStyle w:val="7"/>
        <w:tblW w:w="9484" w:type="dxa"/>
        <w:tblInd w:w="9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exact"/>
        </w:trPr>
        <w:tc>
          <w:tcPr>
            <w:tcW w:w="9484" w:type="dxa"/>
            <w:noWrap w:val="0"/>
            <w:vAlign w:val="center"/>
          </w:tcPr>
          <w:p>
            <w:pPr>
              <w:jc w:val="center"/>
              <w:rPr>
                <w:rFonts w:ascii="宋体" w:hAnsi="宋体"/>
                <w:b/>
                <w:color w:val="auto"/>
                <w:sz w:val="28"/>
                <w:szCs w:val="28"/>
                <w:highlight w:val="none"/>
              </w:rPr>
            </w:pPr>
            <w:r>
              <w:rPr>
                <w:rFonts w:hint="eastAsia" w:ascii="宋体" w:hAnsi="宋体"/>
                <w:b/>
                <w:color w:val="auto"/>
                <w:sz w:val="28"/>
                <w:szCs w:val="28"/>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0" w:hRule="exact"/>
        </w:trPr>
        <w:tc>
          <w:tcPr>
            <w:tcW w:w="9484" w:type="dxa"/>
            <w:noWrap w:val="0"/>
            <w:vAlign w:val="center"/>
          </w:tcPr>
          <w:p>
            <w:pPr>
              <w:topLinePunct/>
              <w:adjustRightInd w:val="0"/>
              <w:spacing w:before="72" w:beforeLines="30" w:line="460" w:lineRule="exact"/>
              <w:ind w:firstLine="236" w:firstLineChars="100"/>
              <w:rPr>
                <w:rFonts w:hint="default" w:ascii="宋体" w:hAnsi="宋体" w:eastAsia="宋体" w:cs="宋体"/>
                <w:color w:val="auto"/>
                <w:spacing w:val="-2"/>
                <w:kern w:val="0"/>
                <w:sz w:val="24"/>
                <w:highlight w:val="none"/>
                <w:lang w:val="en-US" w:eastAsia="zh-CN"/>
              </w:rPr>
            </w:pPr>
            <w:r>
              <w:rPr>
                <w:rFonts w:hint="eastAsia" w:ascii="宋体" w:hAnsi="宋体" w:eastAsia="宋体" w:cs="宋体"/>
                <w:color w:val="auto"/>
                <w:spacing w:val="-2"/>
                <w:kern w:val="0"/>
                <w:sz w:val="24"/>
                <w:highlight w:val="none"/>
                <w:lang w:val="en-US" w:eastAsia="zh-CN"/>
              </w:rPr>
              <w:t>近五年内，成功完成：</w:t>
            </w:r>
          </w:p>
          <w:p>
            <w:pPr>
              <w:topLinePunct/>
              <w:adjustRightInd w:val="0"/>
              <w:spacing w:before="72" w:beforeLines="30" w:line="460" w:lineRule="exact"/>
              <w:ind w:firstLine="236" w:firstLineChars="100"/>
              <w:rPr>
                <w:rFonts w:hint="eastAsia" w:ascii="宋体" w:hAnsi="宋体" w:eastAsia="宋体" w:cs="宋体"/>
                <w:color w:val="auto"/>
                <w:spacing w:val="-2"/>
                <w:kern w:val="0"/>
                <w:sz w:val="24"/>
                <w:highlight w:val="none"/>
                <w:lang w:val="en-US" w:eastAsia="zh-CN"/>
              </w:rPr>
            </w:pPr>
            <w:r>
              <w:rPr>
                <w:rFonts w:hint="eastAsia" w:ascii="宋体" w:hAnsi="宋体" w:eastAsia="宋体" w:cs="宋体"/>
                <w:color w:val="auto"/>
                <w:spacing w:val="-2"/>
                <w:kern w:val="0"/>
                <w:sz w:val="24"/>
                <w:highlight w:val="none"/>
                <w:lang w:val="en-US" w:eastAsia="zh-CN"/>
              </w:rPr>
              <w:t>新建或改、扩建三级（及以上）公路施工业绩1项，且至少包含中桥 1  座或完成中桥一座的业绩。</w:t>
            </w:r>
          </w:p>
        </w:tc>
      </w:tr>
    </w:tbl>
    <w:p>
      <w:pPr>
        <w:keepNext w:val="0"/>
        <w:keepLines w:val="0"/>
        <w:pageBreakBefore w:val="0"/>
        <w:widowControl w:val="0"/>
        <w:kinsoku/>
        <w:wordWrap/>
        <w:overflowPunct/>
        <w:topLinePunct w:val="0"/>
        <w:autoSpaceDE/>
        <w:autoSpaceDN/>
        <w:bidi w:val="0"/>
        <w:adjustRightInd/>
        <w:snapToGrid/>
        <w:spacing w:before="0" w:beforeLines="50" w:line="36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注：</w:t>
      </w:r>
      <w:r>
        <w:rPr>
          <w:rFonts w:hint="eastAsia" w:ascii="宋体" w:hAnsi="宋体"/>
          <w:color w:val="auto"/>
          <w:sz w:val="21"/>
          <w:szCs w:val="21"/>
          <w:highlight w:val="none"/>
          <w:lang w:val="en-US" w:eastAsia="zh-CN"/>
        </w:rPr>
        <w:t xml:space="preserve">1、本附录所要求的业绩仅限中华人民共和国境内业绩。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 xml:space="preserve">2、近年完成的类似项目情况的时间要求：2018年1月1日至投标文件递交截止之日止（近 5 年），以“全国公路建设市场信用信息管理系统”上的交工验收或未交工验收一次性竣工验收的时间为准或以交工验收证书时间为准。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 xml:space="preserve">3、“近年完成的类似项目”为已列入交通运输部“全国公路建设市场信用信息管理系统”（网址：http://glxy.mot.gov.cn，下同)并公开的主包已建业绩或分包（不包括劳务分包）已建业绩或提供中标通知书、合同协议书、交工验收证书复印件（原件以备核查），具体时间要求见投标人须知前附表。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 xml:space="preserve">4、“近年完成的类似项目情况表”提供在交通运输部“全国公路建设市场信用信息管理系统”中查 询到的企业“业绩信息”相关项目网页截图复印件或网页打印件或提供中标通知书、合同协议书、交工验收证书（原件备查），如投标人未提供或提供的以上资料无法证实投标人满足招标文件规定的资格审查条件（业绩最低要求），则该项目业绩不予认定且不予接受投标登记。投标登记及投标时需提供以下证明材料（并加盖单位公章）：（1）主包已建业绩（汇总表）网页屏幕打印资料；（2）主包已建业绩（分项明细表）网页屏幕打印资料；或提供中标通知书、合同协议书、交工验收证书复印件（原件备查）。上述证明资料中应明确表述本项目资格审查所需的内容（如公路等级、里程长度（或起止桩号）、工程内容、交竣工时间、合同金额等）。 </w:t>
      </w:r>
    </w:p>
    <w:p>
      <w:pPr>
        <w:spacing w:before="120" w:beforeLines="50" w:line="400" w:lineRule="exact"/>
        <w:rPr>
          <w:rFonts w:hint="eastAsia" w:ascii="宋体" w:hAnsi="宋体"/>
          <w:color w:val="auto"/>
          <w:sz w:val="21"/>
          <w:szCs w:val="21"/>
          <w:highlight w:val="none"/>
        </w:rPr>
      </w:pPr>
    </w:p>
    <w:p>
      <w:pPr>
        <w:autoSpaceDE w:val="0"/>
        <w:autoSpaceDN w:val="0"/>
        <w:adjustRightInd w:val="0"/>
        <w:spacing w:after="156" w:line="460" w:lineRule="exact"/>
        <w:jc w:val="center"/>
        <w:rPr>
          <w:rFonts w:ascii="黑体" w:hAnsi="宋体" w:eastAsia="黑体"/>
          <w:color w:val="auto"/>
          <w:sz w:val="30"/>
          <w:szCs w:val="30"/>
          <w:highlight w:val="none"/>
        </w:rPr>
      </w:pPr>
      <w:r>
        <w:rPr>
          <w:rFonts w:hint="eastAsia" w:ascii="黑体" w:hAnsi="宋体" w:eastAsia="黑体"/>
          <w:color w:val="auto"/>
          <w:sz w:val="30"/>
          <w:szCs w:val="30"/>
          <w:highlight w:val="none"/>
        </w:rPr>
        <w:br w:type="page"/>
      </w:r>
      <w:r>
        <w:rPr>
          <w:rFonts w:hint="eastAsia" w:ascii="黑体" w:hAnsi="宋体" w:eastAsia="黑体"/>
          <w:color w:val="auto"/>
          <w:sz w:val="30"/>
          <w:szCs w:val="30"/>
          <w:highlight w:val="none"/>
        </w:rPr>
        <w:t>附录4   资格审查条件(信誉最低要求)</w:t>
      </w:r>
    </w:p>
    <w:p>
      <w:pPr>
        <w:spacing w:line="160" w:lineRule="exact"/>
        <w:rPr>
          <w:color w:val="auto"/>
          <w:highlight w:val="none"/>
        </w:rPr>
      </w:pPr>
    </w:p>
    <w:tbl>
      <w:tblPr>
        <w:tblStyle w:val="7"/>
        <w:tblW w:w="0" w:type="auto"/>
        <w:tblInd w:w="9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exact"/>
        </w:trPr>
        <w:tc>
          <w:tcPr>
            <w:tcW w:w="9510" w:type="dxa"/>
            <w:noWrap w:val="0"/>
            <w:vAlign w:val="center"/>
          </w:tcPr>
          <w:p>
            <w:pPr>
              <w:jc w:val="center"/>
              <w:rPr>
                <w:rFonts w:ascii="宋体" w:hAnsi="宋体"/>
                <w:b/>
                <w:color w:val="auto"/>
                <w:sz w:val="28"/>
                <w:szCs w:val="28"/>
                <w:highlight w:val="none"/>
              </w:rPr>
            </w:pPr>
            <w:r>
              <w:rPr>
                <w:rFonts w:hint="eastAsia" w:ascii="宋体" w:hAnsi="宋体"/>
                <w:b/>
                <w:color w:val="auto"/>
                <w:sz w:val="28"/>
                <w:szCs w:val="28"/>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80" w:hRule="exact"/>
        </w:trPr>
        <w:tc>
          <w:tcPr>
            <w:tcW w:w="9510" w:type="dxa"/>
            <w:noWrap w:val="0"/>
            <w:vAlign w:val="center"/>
          </w:tcPr>
          <w:p>
            <w:pPr>
              <w:topLinePunct/>
              <w:adjustRightInd w:val="0"/>
              <w:spacing w:line="480" w:lineRule="exact"/>
              <w:ind w:firstLine="476" w:firstLineChars="200"/>
              <w:rPr>
                <w:rFonts w:ascii="宋体" w:hAnsi="宋体" w:eastAsia="文鼎CS书宋二"/>
                <w:color w:val="auto"/>
                <w:sz w:val="24"/>
                <w:highlight w:val="none"/>
              </w:rPr>
            </w:pPr>
            <w:r>
              <w:rPr>
                <w:color w:val="auto"/>
                <w:spacing w:val="-1"/>
                <w:sz w:val="24"/>
                <w:highlight w:val="none"/>
              </w:rPr>
              <w:t xml:space="preserve">最新年度在广东省公路工程施工企业信用评价中，信用等级未被评为 </w:t>
            </w:r>
            <w:r>
              <w:rPr>
                <w:rFonts w:eastAsia="Times New Roman"/>
                <w:color w:val="auto"/>
                <w:sz w:val="24"/>
                <w:highlight w:val="none"/>
              </w:rPr>
              <w:t>D</w:t>
            </w:r>
            <w:r>
              <w:rPr>
                <w:color w:val="auto"/>
                <w:spacing w:val="-3"/>
                <w:sz w:val="24"/>
                <w:highlight w:val="none"/>
              </w:rPr>
              <w:t>级，初次进入且无广东省最新年度信用评价等级的，且在最新一年度的全国综合评价结果</w:t>
            </w:r>
            <w:r>
              <w:rPr>
                <w:color w:val="auto"/>
                <w:spacing w:val="-2"/>
                <w:sz w:val="24"/>
                <w:highlight w:val="none"/>
              </w:rPr>
              <w:t xml:space="preserve">中未被评为 </w:t>
            </w:r>
            <w:r>
              <w:rPr>
                <w:rFonts w:eastAsia="Times New Roman"/>
                <w:color w:val="auto"/>
                <w:sz w:val="24"/>
                <w:highlight w:val="none"/>
              </w:rPr>
              <w:t>D</w:t>
            </w:r>
            <w:r>
              <w:rPr>
                <w:rFonts w:eastAsia="Times New Roman"/>
                <w:color w:val="auto"/>
                <w:spacing w:val="59"/>
                <w:sz w:val="24"/>
                <w:highlight w:val="none"/>
              </w:rPr>
              <w:t xml:space="preserve"> </w:t>
            </w:r>
            <w:r>
              <w:rPr>
                <w:color w:val="auto"/>
                <w:sz w:val="24"/>
                <w:highlight w:val="none"/>
              </w:rPr>
              <w:t>级。</w:t>
            </w:r>
          </w:p>
        </w:tc>
      </w:tr>
    </w:tbl>
    <w:p>
      <w:pPr>
        <w:spacing w:before="120" w:beforeLines="50" w:line="400" w:lineRule="exact"/>
        <w:rPr>
          <w:rFonts w:ascii="宋体" w:hAnsi="宋体"/>
          <w:color w:val="auto"/>
          <w:sz w:val="21"/>
          <w:szCs w:val="21"/>
          <w:highlight w:val="none"/>
        </w:rPr>
      </w:pPr>
      <w:r>
        <w:rPr>
          <w:rFonts w:hint="eastAsia" w:ascii="宋体" w:hAnsi="宋体"/>
          <w:color w:val="auto"/>
          <w:sz w:val="21"/>
          <w:szCs w:val="21"/>
          <w:highlight w:val="none"/>
        </w:rPr>
        <w:t>注：信用等级应按照广东省交通运输厅最新公布的信用等级结果进行认定，具体信息可在广东省交通运输公众网（</w:t>
      </w:r>
      <w:r>
        <w:rPr>
          <w:rFonts w:ascii="宋体" w:hAnsi="宋体"/>
          <w:color w:val="auto"/>
          <w:sz w:val="21"/>
          <w:szCs w:val="21"/>
          <w:highlight w:val="none"/>
        </w:rPr>
        <w:t>http:www.gdcd.gov.cn）</w:t>
      </w:r>
      <w:r>
        <w:rPr>
          <w:rFonts w:hint="eastAsia" w:ascii="宋体" w:hAnsi="宋体"/>
          <w:color w:val="auto"/>
          <w:sz w:val="21"/>
          <w:szCs w:val="21"/>
          <w:highlight w:val="none"/>
        </w:rPr>
        <w:t>或广东交通建设市场信用管理系统（</w:t>
      </w:r>
      <w:r>
        <w:rPr>
          <w:rFonts w:ascii="宋体" w:hAnsi="宋体"/>
          <w:color w:val="auto"/>
          <w:sz w:val="21"/>
          <w:szCs w:val="21"/>
          <w:highlight w:val="none"/>
        </w:rPr>
        <w:t>http://121.33.200.110:8088/</w:t>
      </w:r>
      <w:r>
        <w:rPr>
          <w:rFonts w:hint="eastAsia" w:ascii="宋体" w:hAnsi="宋体"/>
          <w:color w:val="auto"/>
          <w:sz w:val="21"/>
          <w:szCs w:val="21"/>
          <w:highlight w:val="none"/>
        </w:rPr>
        <w:t>）查询。</w:t>
      </w:r>
    </w:p>
    <w:p>
      <w:pPr>
        <w:spacing w:before="156"/>
        <w:rPr>
          <w:color w:val="auto"/>
          <w:sz w:val="21"/>
          <w:szCs w:val="21"/>
          <w:highlight w:val="none"/>
        </w:rPr>
      </w:pPr>
    </w:p>
    <w:p>
      <w:pPr>
        <w:widowControl/>
        <w:jc w:val="left"/>
        <w:rPr>
          <w:rFonts w:ascii="黑体" w:hAnsi="宋体" w:eastAsia="黑体" w:cs="宋体"/>
          <w:color w:val="auto"/>
          <w:kern w:val="0"/>
          <w:sz w:val="32"/>
          <w:szCs w:val="32"/>
          <w:highlight w:val="none"/>
        </w:rPr>
      </w:pPr>
    </w:p>
    <w:p>
      <w:pPr>
        <w:autoSpaceDE w:val="0"/>
        <w:autoSpaceDN w:val="0"/>
        <w:adjustRightInd w:val="0"/>
        <w:spacing w:after="156" w:line="460" w:lineRule="exact"/>
        <w:jc w:val="center"/>
        <w:rPr>
          <w:rFonts w:ascii="黑体" w:hAnsi="宋体" w:eastAsia="黑体"/>
          <w:color w:val="auto"/>
          <w:sz w:val="30"/>
          <w:szCs w:val="30"/>
          <w:highlight w:val="none"/>
        </w:rPr>
      </w:pPr>
      <w:r>
        <w:rPr>
          <w:rFonts w:hint="eastAsia" w:ascii="黑体" w:hAnsi="宋体" w:eastAsia="黑体" w:cs="宋体"/>
          <w:color w:val="auto"/>
          <w:kern w:val="0"/>
          <w:sz w:val="32"/>
          <w:szCs w:val="32"/>
          <w:highlight w:val="none"/>
        </w:rPr>
        <w:br w:type="page"/>
      </w:r>
      <w:r>
        <w:rPr>
          <w:rFonts w:hint="eastAsia" w:ascii="黑体" w:hAnsi="宋体" w:eastAsia="黑体" w:cs="宋体"/>
          <w:color w:val="auto"/>
          <w:kern w:val="0"/>
          <w:sz w:val="32"/>
          <w:szCs w:val="32"/>
          <w:highlight w:val="none"/>
        </w:rPr>
        <w:t>附录</w:t>
      </w:r>
      <w:r>
        <w:rPr>
          <w:rFonts w:hint="eastAsia" w:ascii="黑体" w:hAnsi="宋体" w:eastAsia="黑体"/>
          <w:color w:val="auto"/>
          <w:sz w:val="30"/>
          <w:szCs w:val="30"/>
          <w:highlight w:val="none"/>
        </w:rPr>
        <w:t>5   资格审查条件(项目经理和项目总工最低要求)</w:t>
      </w:r>
    </w:p>
    <w:p>
      <w:pPr>
        <w:spacing w:line="160" w:lineRule="exact"/>
        <w:rPr>
          <w:color w:val="auto"/>
          <w:highlight w:val="none"/>
        </w:rPr>
      </w:pPr>
    </w:p>
    <w:p>
      <w:pPr>
        <w:spacing w:line="160" w:lineRule="exact"/>
        <w:rPr>
          <w:color w:val="auto"/>
          <w:highlight w:val="none"/>
        </w:rPr>
      </w:pPr>
    </w:p>
    <w:tbl>
      <w:tblPr>
        <w:tblStyle w:val="7"/>
        <w:tblW w:w="9472" w:type="dxa"/>
        <w:tblInd w:w="1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68"/>
        <w:gridCol w:w="999"/>
        <w:gridCol w:w="4962"/>
        <w:gridCol w:w="15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3" w:hRule="exact"/>
        </w:trPr>
        <w:tc>
          <w:tcPr>
            <w:tcW w:w="1968" w:type="dxa"/>
            <w:noWrap w:val="0"/>
            <w:vAlign w:val="center"/>
          </w:tcPr>
          <w:p>
            <w:pPr>
              <w:jc w:val="center"/>
              <w:rPr>
                <w:rFonts w:ascii="宋体" w:hAnsi="宋体"/>
                <w:b/>
                <w:color w:val="auto"/>
                <w:sz w:val="28"/>
                <w:szCs w:val="28"/>
                <w:highlight w:val="none"/>
              </w:rPr>
            </w:pPr>
            <w:r>
              <w:rPr>
                <w:rFonts w:hint="eastAsia" w:ascii="宋体" w:hAnsi="宋体"/>
                <w:b/>
                <w:color w:val="auto"/>
                <w:sz w:val="28"/>
                <w:szCs w:val="28"/>
                <w:highlight w:val="none"/>
              </w:rPr>
              <w:t>人  员</w:t>
            </w:r>
          </w:p>
        </w:tc>
        <w:tc>
          <w:tcPr>
            <w:tcW w:w="999" w:type="dxa"/>
            <w:noWrap w:val="0"/>
            <w:vAlign w:val="center"/>
          </w:tcPr>
          <w:p>
            <w:pPr>
              <w:jc w:val="center"/>
              <w:rPr>
                <w:rFonts w:ascii="宋体" w:hAnsi="宋体"/>
                <w:b/>
                <w:color w:val="auto"/>
                <w:sz w:val="28"/>
                <w:szCs w:val="28"/>
                <w:highlight w:val="none"/>
              </w:rPr>
            </w:pPr>
            <w:r>
              <w:rPr>
                <w:rFonts w:hint="eastAsia" w:ascii="宋体" w:hAnsi="宋体"/>
                <w:b/>
                <w:color w:val="auto"/>
                <w:sz w:val="28"/>
                <w:szCs w:val="28"/>
                <w:highlight w:val="none"/>
              </w:rPr>
              <w:t>数量</w:t>
            </w:r>
          </w:p>
        </w:tc>
        <w:tc>
          <w:tcPr>
            <w:tcW w:w="4962" w:type="dxa"/>
            <w:noWrap w:val="0"/>
            <w:vAlign w:val="center"/>
          </w:tcPr>
          <w:p>
            <w:pPr>
              <w:jc w:val="center"/>
              <w:rPr>
                <w:rFonts w:ascii="宋体" w:hAnsi="宋体"/>
                <w:b/>
                <w:color w:val="auto"/>
                <w:sz w:val="28"/>
                <w:szCs w:val="28"/>
                <w:highlight w:val="none"/>
              </w:rPr>
            </w:pPr>
            <w:r>
              <w:rPr>
                <w:rFonts w:hint="eastAsia" w:ascii="宋体" w:hAnsi="宋体"/>
                <w:b/>
                <w:color w:val="auto"/>
                <w:sz w:val="28"/>
                <w:szCs w:val="28"/>
                <w:highlight w:val="none"/>
              </w:rPr>
              <w:t>资 格 要 求</w:t>
            </w:r>
          </w:p>
        </w:tc>
        <w:tc>
          <w:tcPr>
            <w:tcW w:w="1543" w:type="dxa"/>
            <w:noWrap w:val="0"/>
            <w:vAlign w:val="center"/>
          </w:tcPr>
          <w:p>
            <w:pPr>
              <w:jc w:val="center"/>
              <w:rPr>
                <w:rFonts w:ascii="宋体" w:hAnsi="宋体"/>
                <w:b/>
                <w:color w:val="auto"/>
                <w:sz w:val="28"/>
                <w:szCs w:val="28"/>
                <w:highlight w:val="none"/>
              </w:rPr>
            </w:pPr>
            <w:r>
              <w:rPr>
                <w:rFonts w:hint="eastAsia" w:ascii="宋体" w:hAnsi="宋体"/>
                <w:b/>
                <w:color w:val="auto"/>
                <w:sz w:val="28"/>
                <w:szCs w:val="28"/>
                <w:highlight w:val="none"/>
              </w:rPr>
              <w:t>在岗要求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6" w:hRule="atLeast"/>
        </w:trPr>
        <w:tc>
          <w:tcPr>
            <w:tcW w:w="1968" w:type="dxa"/>
            <w:tcBorders>
              <w:bottom w:val="single" w:color="auto" w:sz="4" w:space="0"/>
            </w:tcBorders>
            <w:noWrap w:val="0"/>
            <w:vAlign w:val="center"/>
          </w:tcPr>
          <w:p>
            <w:pPr>
              <w:topLinePunct/>
              <w:adjustRightInd w:val="0"/>
              <w:spacing w:line="460" w:lineRule="exact"/>
              <w:jc w:val="center"/>
              <w:rPr>
                <w:rFonts w:ascii="宋体" w:hAnsi="宋体"/>
                <w:color w:val="auto"/>
                <w:sz w:val="24"/>
                <w:highlight w:val="none"/>
              </w:rPr>
            </w:pPr>
            <w:r>
              <w:rPr>
                <w:rFonts w:hint="eastAsia" w:ascii="宋体" w:hAnsi="宋体"/>
                <w:color w:val="auto"/>
                <w:sz w:val="24"/>
                <w:highlight w:val="none"/>
              </w:rPr>
              <w:t>项目经理</w:t>
            </w:r>
          </w:p>
        </w:tc>
        <w:tc>
          <w:tcPr>
            <w:tcW w:w="999" w:type="dxa"/>
            <w:tcBorders>
              <w:bottom w:val="single" w:color="auto" w:sz="4" w:space="0"/>
            </w:tcBorders>
            <w:noWrap w:val="0"/>
            <w:vAlign w:val="center"/>
          </w:tcPr>
          <w:p>
            <w:pPr>
              <w:topLinePunct/>
              <w:adjustRightInd w:val="0"/>
              <w:spacing w:line="460" w:lineRule="exact"/>
              <w:jc w:val="center"/>
              <w:rPr>
                <w:rFonts w:ascii="宋体" w:hAnsi="宋体"/>
                <w:color w:val="auto"/>
                <w:sz w:val="24"/>
                <w:highlight w:val="none"/>
              </w:rPr>
            </w:pPr>
            <w:r>
              <w:rPr>
                <w:rFonts w:hint="eastAsia" w:ascii="宋体" w:hAnsi="宋体" w:cs="宋体"/>
                <w:color w:val="auto"/>
                <w:spacing w:val="-10"/>
                <w:sz w:val="24"/>
                <w:highlight w:val="none"/>
              </w:rPr>
              <w:t>1</w:t>
            </w:r>
          </w:p>
        </w:tc>
        <w:tc>
          <w:tcPr>
            <w:tcW w:w="4962" w:type="dxa"/>
            <w:vMerge w:val="restart"/>
            <w:noWrap w:val="0"/>
            <w:vAlign w:val="center"/>
          </w:tcPr>
          <w:p>
            <w:pPr>
              <w:topLinePunct/>
              <w:adjustRightInd w:val="0"/>
              <w:spacing w:line="460" w:lineRule="exact"/>
              <w:rPr>
                <w:rFonts w:hint="eastAsia" w:ascii="宋体" w:hAnsi="宋体" w:eastAsia="宋体"/>
                <w:color w:val="auto"/>
                <w:sz w:val="24"/>
                <w:highlight w:val="none"/>
                <w:lang w:eastAsia="zh-CN"/>
              </w:rPr>
            </w:pPr>
            <w:r>
              <w:rPr>
                <w:rFonts w:hint="eastAsia" w:ascii="宋体" w:hAnsi="宋体"/>
                <w:color w:val="auto"/>
                <w:sz w:val="24"/>
                <w:highlight w:val="none"/>
              </w:rPr>
              <w:t>工程师，担任公路工程项目经理</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或项目副经理或项目总工</w:t>
            </w:r>
            <w:r>
              <w:rPr>
                <w:rFonts w:hint="eastAsia" w:ascii="宋体" w:hAnsi="宋体"/>
                <w:color w:val="auto"/>
                <w:sz w:val="24"/>
                <w:highlight w:val="none"/>
                <w:lang w:eastAsia="zh-CN"/>
              </w:rPr>
              <w:t>）</w:t>
            </w:r>
            <w:r>
              <w:rPr>
                <w:rFonts w:hint="eastAsia" w:ascii="宋体" w:hAnsi="宋体"/>
                <w:color w:val="auto"/>
                <w:sz w:val="24"/>
                <w:highlight w:val="none"/>
              </w:rPr>
              <w:t>岗位累计</w:t>
            </w:r>
            <w:r>
              <w:rPr>
                <w:rFonts w:hint="eastAsia" w:ascii="宋体" w:hAnsi="宋体"/>
                <w:color w:val="auto"/>
                <w:sz w:val="24"/>
                <w:highlight w:val="none"/>
                <w:lang w:eastAsia="zh-CN"/>
              </w:rPr>
              <w:t>不少于</w:t>
            </w:r>
            <w:r>
              <w:rPr>
                <w:rFonts w:hint="eastAsia" w:ascii="宋体" w:hAnsi="宋体"/>
                <w:color w:val="auto"/>
                <w:sz w:val="24"/>
                <w:highlight w:val="none"/>
                <w:u w:val="single"/>
                <w:lang w:val="en-US" w:eastAsia="zh-CN"/>
              </w:rPr>
              <w:t>24</w:t>
            </w:r>
            <w:r>
              <w:rPr>
                <w:rFonts w:hint="eastAsia" w:ascii="宋体" w:hAnsi="宋体"/>
                <w:color w:val="auto"/>
                <w:sz w:val="24"/>
                <w:highlight w:val="none"/>
              </w:rPr>
              <w:t>个月，并持有住房和城乡建设部颁发的公路工程专业</w:t>
            </w:r>
            <w:r>
              <w:rPr>
                <w:rFonts w:hint="eastAsia" w:ascii="宋体" w:hAnsi="宋体"/>
                <w:color w:val="auto"/>
                <w:sz w:val="24"/>
                <w:highlight w:val="none"/>
                <w:lang w:eastAsia="zh-CN"/>
              </w:rPr>
              <w:t>二</w:t>
            </w:r>
            <w:r>
              <w:rPr>
                <w:rFonts w:hint="eastAsia" w:ascii="宋体" w:hAnsi="宋体"/>
                <w:color w:val="auto"/>
                <w:sz w:val="24"/>
                <w:highlight w:val="none"/>
              </w:rPr>
              <w:t>级建造师注册证书，具有交通主管部门颁发的有效安全生产“三类人员”B 类证书。（不含临时资格证书，广东省外的投标人拟派项目经理需持有住房和城乡建设部颁发公路工程专业一级注册建造师注册证书）</w:t>
            </w:r>
          </w:p>
        </w:tc>
        <w:tc>
          <w:tcPr>
            <w:tcW w:w="1543" w:type="dxa"/>
            <w:vMerge w:val="restart"/>
            <w:noWrap w:val="0"/>
            <w:vAlign w:val="center"/>
          </w:tcPr>
          <w:p>
            <w:pPr>
              <w:topLinePunct/>
              <w:adjustRightInd w:val="0"/>
              <w:spacing w:line="460" w:lineRule="exact"/>
              <w:rPr>
                <w:rFonts w:ascii="宋体" w:hAnsi="宋体"/>
                <w:color w:val="auto"/>
                <w:sz w:val="24"/>
                <w:highlight w:val="none"/>
              </w:rPr>
            </w:pPr>
            <w:r>
              <w:rPr>
                <w:rFonts w:hint="eastAsia" w:ascii="宋体" w:hAnsi="宋体"/>
                <w:color w:val="auto"/>
                <w:sz w:val="24"/>
                <w:highlight w:val="none"/>
              </w:rPr>
              <w:t>无在岗项目（指目前未在其他项目上任职，或虽在其他项目上任职但本项目中标后能够从该项目撤离）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968" w:type="dxa"/>
            <w:tcBorders>
              <w:top w:val="single" w:color="auto" w:sz="4" w:space="0"/>
            </w:tcBorders>
            <w:noWrap w:val="0"/>
            <w:vAlign w:val="center"/>
          </w:tcPr>
          <w:p>
            <w:pPr>
              <w:topLinePunct/>
              <w:adjustRightInd w:val="0"/>
              <w:spacing w:line="460" w:lineRule="exact"/>
              <w:jc w:val="center"/>
              <w:rPr>
                <w:rFonts w:ascii="宋体" w:hAnsi="宋体"/>
                <w:color w:val="auto"/>
                <w:sz w:val="24"/>
                <w:highlight w:val="none"/>
              </w:rPr>
            </w:pPr>
            <w:r>
              <w:rPr>
                <w:rFonts w:hint="eastAsia" w:ascii="宋体" w:hAnsi="宋体"/>
                <w:color w:val="auto"/>
                <w:sz w:val="24"/>
                <w:highlight w:val="none"/>
              </w:rPr>
              <w:t>项目经理备选人</w:t>
            </w:r>
          </w:p>
        </w:tc>
        <w:tc>
          <w:tcPr>
            <w:tcW w:w="999" w:type="dxa"/>
            <w:tcBorders>
              <w:top w:val="single" w:color="auto" w:sz="4" w:space="0"/>
            </w:tcBorders>
            <w:noWrap w:val="0"/>
            <w:vAlign w:val="center"/>
          </w:tcPr>
          <w:p>
            <w:pPr>
              <w:topLinePunct/>
              <w:adjustRightInd w:val="0"/>
              <w:spacing w:line="460" w:lineRule="exact"/>
              <w:jc w:val="center"/>
              <w:rPr>
                <w:rFonts w:ascii="宋体" w:hAnsi="宋体" w:cs="宋体"/>
                <w:color w:val="auto"/>
                <w:spacing w:val="-10"/>
                <w:sz w:val="24"/>
                <w:highlight w:val="none"/>
              </w:rPr>
            </w:pPr>
            <w:r>
              <w:rPr>
                <w:rFonts w:hint="eastAsia" w:ascii="宋体" w:hAnsi="宋体" w:cs="宋体"/>
                <w:color w:val="auto"/>
                <w:spacing w:val="-10"/>
                <w:sz w:val="24"/>
                <w:highlight w:val="none"/>
              </w:rPr>
              <w:t>0-1</w:t>
            </w:r>
          </w:p>
        </w:tc>
        <w:tc>
          <w:tcPr>
            <w:tcW w:w="4962" w:type="dxa"/>
            <w:vMerge w:val="continue"/>
            <w:noWrap w:val="0"/>
            <w:vAlign w:val="center"/>
          </w:tcPr>
          <w:p>
            <w:pPr>
              <w:topLinePunct/>
              <w:adjustRightInd w:val="0"/>
              <w:spacing w:line="460" w:lineRule="exact"/>
              <w:rPr>
                <w:rFonts w:ascii="宋体" w:hAnsi="宋体"/>
                <w:color w:val="auto"/>
                <w:sz w:val="24"/>
                <w:highlight w:val="none"/>
              </w:rPr>
            </w:pPr>
          </w:p>
        </w:tc>
        <w:tc>
          <w:tcPr>
            <w:tcW w:w="1543" w:type="dxa"/>
            <w:vMerge w:val="continue"/>
            <w:noWrap w:val="0"/>
            <w:vAlign w:val="center"/>
          </w:tcPr>
          <w:p>
            <w:pPr>
              <w:topLinePunct/>
              <w:adjustRightInd w:val="0"/>
              <w:spacing w:line="46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2" w:hRule="atLeast"/>
        </w:trPr>
        <w:tc>
          <w:tcPr>
            <w:tcW w:w="1968" w:type="dxa"/>
            <w:tcBorders>
              <w:bottom w:val="single" w:color="auto" w:sz="4" w:space="0"/>
            </w:tcBorders>
            <w:noWrap w:val="0"/>
            <w:vAlign w:val="center"/>
          </w:tcPr>
          <w:p>
            <w:pPr>
              <w:topLinePunct/>
              <w:adjustRightInd w:val="0"/>
              <w:spacing w:line="460" w:lineRule="exact"/>
              <w:jc w:val="center"/>
              <w:rPr>
                <w:rFonts w:ascii="宋体" w:hAnsi="宋体"/>
                <w:color w:val="auto"/>
                <w:sz w:val="24"/>
                <w:highlight w:val="none"/>
              </w:rPr>
            </w:pPr>
            <w:r>
              <w:rPr>
                <w:rFonts w:hint="eastAsia" w:ascii="宋体" w:hAnsi="宋体"/>
                <w:color w:val="auto"/>
                <w:sz w:val="24"/>
                <w:highlight w:val="none"/>
              </w:rPr>
              <w:t>项目总工</w:t>
            </w:r>
          </w:p>
        </w:tc>
        <w:tc>
          <w:tcPr>
            <w:tcW w:w="999" w:type="dxa"/>
            <w:tcBorders>
              <w:bottom w:val="single" w:color="auto" w:sz="4" w:space="0"/>
            </w:tcBorders>
            <w:noWrap w:val="0"/>
            <w:vAlign w:val="center"/>
          </w:tcPr>
          <w:p>
            <w:pPr>
              <w:topLinePunct/>
              <w:adjustRightInd w:val="0"/>
              <w:spacing w:line="460" w:lineRule="exact"/>
              <w:jc w:val="center"/>
              <w:rPr>
                <w:rFonts w:ascii="宋体" w:hAnsi="宋体"/>
                <w:color w:val="auto"/>
                <w:sz w:val="24"/>
                <w:highlight w:val="none"/>
              </w:rPr>
            </w:pPr>
            <w:r>
              <w:rPr>
                <w:rFonts w:hint="eastAsia" w:ascii="宋体" w:hAnsi="宋体" w:cs="宋体"/>
                <w:color w:val="auto"/>
                <w:spacing w:val="-10"/>
                <w:sz w:val="24"/>
                <w:highlight w:val="none"/>
              </w:rPr>
              <w:t>1</w:t>
            </w:r>
          </w:p>
        </w:tc>
        <w:tc>
          <w:tcPr>
            <w:tcW w:w="4962" w:type="dxa"/>
            <w:vMerge w:val="restart"/>
            <w:noWrap w:val="0"/>
            <w:vAlign w:val="center"/>
          </w:tcPr>
          <w:p>
            <w:pPr>
              <w:topLinePunct/>
              <w:adjustRightInd w:val="0"/>
              <w:spacing w:line="460" w:lineRule="exact"/>
              <w:rPr>
                <w:rFonts w:hint="eastAsia" w:ascii="宋体" w:hAnsi="宋体"/>
                <w:color w:val="auto"/>
                <w:sz w:val="24"/>
                <w:highlight w:val="none"/>
              </w:rPr>
            </w:pPr>
            <w:r>
              <w:rPr>
                <w:rFonts w:hint="eastAsia" w:ascii="宋体" w:hAnsi="宋体"/>
                <w:color w:val="auto"/>
                <w:sz w:val="24"/>
                <w:highlight w:val="none"/>
                <w:lang w:eastAsia="zh-CN"/>
              </w:rPr>
              <w:t>路桥相关专业中级工程师，主管</w:t>
            </w:r>
            <w:r>
              <w:rPr>
                <w:rFonts w:hint="eastAsia" w:ascii="宋体" w:hAnsi="宋体"/>
                <w:color w:val="auto"/>
                <w:sz w:val="24"/>
                <w:highlight w:val="none"/>
              </w:rPr>
              <w:t>类似工程技术工作岗位累计</w:t>
            </w:r>
            <w:r>
              <w:rPr>
                <w:rFonts w:hint="eastAsia" w:ascii="宋体" w:hAnsi="宋体"/>
                <w:color w:val="auto"/>
                <w:sz w:val="24"/>
                <w:highlight w:val="none"/>
                <w:lang w:val="en-US" w:eastAsia="zh-CN"/>
              </w:rPr>
              <w:t>不少于</w:t>
            </w:r>
            <w:r>
              <w:rPr>
                <w:rFonts w:hint="eastAsia" w:ascii="宋体" w:hAnsi="宋体"/>
                <w:color w:val="auto"/>
                <w:sz w:val="24"/>
                <w:highlight w:val="none"/>
                <w:u w:val="single"/>
                <w:lang w:val="en-US" w:eastAsia="zh-CN"/>
              </w:rPr>
              <w:t>24</w:t>
            </w:r>
            <w:r>
              <w:rPr>
                <w:rFonts w:hint="eastAsia" w:ascii="宋体" w:hAnsi="宋体"/>
                <w:color w:val="auto"/>
                <w:sz w:val="24"/>
                <w:highlight w:val="none"/>
              </w:rPr>
              <w:t>个月，具有交通主管部门颁发的有效安全生产“三类人员”B 类证书。</w:t>
            </w:r>
          </w:p>
        </w:tc>
        <w:tc>
          <w:tcPr>
            <w:tcW w:w="1543" w:type="dxa"/>
            <w:vMerge w:val="continue"/>
            <w:noWrap w:val="0"/>
            <w:vAlign w:val="center"/>
          </w:tcPr>
          <w:p>
            <w:pPr>
              <w:topLinePunct/>
              <w:adjustRightInd w:val="0"/>
              <w:spacing w:line="46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0" w:hRule="atLeast"/>
        </w:trPr>
        <w:tc>
          <w:tcPr>
            <w:tcW w:w="1968" w:type="dxa"/>
            <w:tcBorders>
              <w:top w:val="single" w:color="auto" w:sz="4" w:space="0"/>
            </w:tcBorders>
            <w:noWrap w:val="0"/>
            <w:vAlign w:val="center"/>
          </w:tcPr>
          <w:p>
            <w:pPr>
              <w:topLinePunct/>
              <w:adjustRightInd w:val="0"/>
              <w:spacing w:line="460" w:lineRule="exact"/>
              <w:jc w:val="center"/>
              <w:rPr>
                <w:rFonts w:ascii="宋体" w:hAnsi="宋体"/>
                <w:color w:val="auto"/>
                <w:sz w:val="24"/>
                <w:highlight w:val="none"/>
              </w:rPr>
            </w:pPr>
            <w:r>
              <w:rPr>
                <w:rFonts w:hint="eastAsia" w:ascii="宋体" w:hAnsi="宋体"/>
                <w:color w:val="auto"/>
                <w:sz w:val="24"/>
                <w:highlight w:val="none"/>
              </w:rPr>
              <w:t>项目总工备选人</w:t>
            </w:r>
          </w:p>
        </w:tc>
        <w:tc>
          <w:tcPr>
            <w:tcW w:w="999" w:type="dxa"/>
            <w:tcBorders>
              <w:top w:val="single" w:color="auto" w:sz="4" w:space="0"/>
            </w:tcBorders>
            <w:noWrap w:val="0"/>
            <w:vAlign w:val="center"/>
          </w:tcPr>
          <w:p>
            <w:pPr>
              <w:topLinePunct/>
              <w:adjustRightInd w:val="0"/>
              <w:spacing w:line="460" w:lineRule="exact"/>
              <w:jc w:val="center"/>
              <w:rPr>
                <w:rFonts w:ascii="宋体" w:hAnsi="宋体" w:cs="宋体"/>
                <w:color w:val="auto"/>
                <w:spacing w:val="-10"/>
                <w:sz w:val="24"/>
                <w:highlight w:val="none"/>
              </w:rPr>
            </w:pPr>
            <w:r>
              <w:rPr>
                <w:rFonts w:hint="eastAsia" w:ascii="宋体" w:hAnsi="宋体" w:cs="宋体"/>
                <w:color w:val="auto"/>
                <w:spacing w:val="-10"/>
                <w:sz w:val="24"/>
                <w:highlight w:val="none"/>
              </w:rPr>
              <w:t>0-1</w:t>
            </w:r>
          </w:p>
        </w:tc>
        <w:tc>
          <w:tcPr>
            <w:tcW w:w="4962" w:type="dxa"/>
            <w:vMerge w:val="continue"/>
            <w:noWrap w:val="0"/>
            <w:vAlign w:val="center"/>
          </w:tcPr>
          <w:p>
            <w:pPr>
              <w:topLinePunct/>
              <w:adjustRightInd w:val="0"/>
              <w:spacing w:line="460" w:lineRule="exact"/>
              <w:rPr>
                <w:rFonts w:ascii="宋体" w:hAnsi="宋体"/>
                <w:color w:val="auto"/>
                <w:sz w:val="24"/>
                <w:highlight w:val="none"/>
              </w:rPr>
            </w:pPr>
          </w:p>
        </w:tc>
        <w:tc>
          <w:tcPr>
            <w:tcW w:w="1543" w:type="dxa"/>
            <w:vMerge w:val="continue"/>
            <w:noWrap w:val="0"/>
            <w:vAlign w:val="center"/>
          </w:tcPr>
          <w:p>
            <w:pPr>
              <w:topLinePunct/>
              <w:adjustRightInd w:val="0"/>
              <w:spacing w:line="460" w:lineRule="exact"/>
              <w:rPr>
                <w:rFonts w:ascii="宋体" w:hAnsi="宋体"/>
                <w:color w:val="auto"/>
                <w:sz w:val="24"/>
                <w:highlight w:val="none"/>
              </w:rPr>
            </w:pPr>
          </w:p>
        </w:tc>
      </w:tr>
    </w:tbl>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注：1、资格要求的人员建造师注册证书、安全生产“三类人员”B类证书均应在投标人所在单位，否则视为无效。</w:t>
      </w:r>
    </w:p>
    <w:p>
      <w:pPr>
        <w:numPr>
          <w:ilvl w:val="0"/>
          <w:numId w:val="0"/>
        </w:num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主管技术工作指：担任过项目经理、项目副经理、总工程师、副总工程师、质检部门负责人、工程部门负责人。担任公路工程项目经理（或项目副经理或项目总工）岗位经验累计时间、主管类似工程技术工作岗位经验累计时间统计至月，计算时尾数如不少于 15 天的按1个月计，不足15 天部分不计。岗位工作经历以“全国公路建设市场信用信息管理系统”中“个人业绩”的“起始日期”和“截止日期”。如果存在有某人某一时间段同时担任了两个或以上符合上述岗位要求的岗位，重叠时间段部分只计算一次时间，不重复计算岗位月数。</w:t>
      </w:r>
    </w:p>
    <w:p>
      <w:pPr>
        <w:numPr>
          <w:ilvl w:val="0"/>
          <w:numId w:val="0"/>
        </w:num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公路工程相关专业职称包括公路工程、桥梁工程、公路与桥梁工程、交通土建、隧道（地下结构）工程、交通工程等专业职称。</w:t>
      </w:r>
    </w:p>
    <w:p>
      <w:pPr>
        <w:numPr>
          <w:ilvl w:val="0"/>
          <w:numId w:val="0"/>
        </w:numPr>
        <w:spacing w:line="360" w:lineRule="exact"/>
        <w:ind w:firstLine="420" w:firstLineChars="200"/>
        <w:rPr>
          <w:rFonts w:hint="eastAsia" w:eastAsia="宋体"/>
          <w:highlight w:val="none"/>
          <w:lang w:val="en-US" w:eastAsia="zh-CN"/>
        </w:rPr>
      </w:pPr>
      <w:r>
        <w:rPr>
          <w:rFonts w:hint="eastAsia" w:ascii="宋体" w:hAnsi="宋体" w:eastAsia="宋体" w:cs="宋体"/>
          <w:color w:val="auto"/>
          <w:sz w:val="21"/>
          <w:szCs w:val="21"/>
          <w:highlight w:val="none"/>
          <w:lang w:val="en-US" w:eastAsia="zh-CN"/>
        </w:rPr>
        <w:t>4、人员信息来源于“全国公路建设市场信用信息管理系统”（下称“全国信用系统”）中的相应页面，相关信息投标登记时与投标时必须保持一致，如投标人未提供相关人员信息网页截图复印件或相关项目网页截图中的信息无法证实投标人满足招标文件规定的资格审查条件（项目经理和项目总工最低要</w:t>
      </w:r>
      <w:r>
        <w:rPr>
          <w:rFonts w:hint="eastAsia" w:eastAsia="宋体"/>
          <w:highlight w:val="none"/>
          <w:lang w:val="en-US" w:eastAsia="zh-CN"/>
        </w:rPr>
        <w:t>求），则该人员不予认定且不予接受投标登记。</w:t>
      </w:r>
    </w:p>
    <w:p>
      <w:pPr>
        <w:numPr>
          <w:ilvl w:val="0"/>
          <w:numId w:val="0"/>
        </w:numPr>
        <w:spacing w:line="360" w:lineRule="exact"/>
        <w:ind w:firstLine="420" w:firstLineChars="200"/>
        <w:rPr>
          <w:rFonts w:hint="eastAsia" w:eastAsia="宋体"/>
          <w:highlight w:val="none"/>
          <w:lang w:val="en-US" w:eastAsia="zh-CN"/>
        </w:rPr>
      </w:pPr>
    </w:p>
    <w:p>
      <w:pPr>
        <w:pStyle w:val="5"/>
        <w:rPr>
          <w:rFonts w:hint="eastAsia" w:eastAsia="宋体"/>
          <w:highlight w:val="none"/>
          <w:lang w:val="en-US" w:eastAsia="zh-CN"/>
        </w:rPr>
      </w:pPr>
    </w:p>
    <w:p>
      <w:pPr>
        <w:rPr>
          <w:rFonts w:hint="eastAsia" w:eastAsia="宋体"/>
          <w:highlight w:val="none"/>
          <w:lang w:val="en-US" w:eastAsia="zh-CN"/>
        </w:rPr>
      </w:pPr>
    </w:p>
    <w:p>
      <w:pPr>
        <w:pStyle w:val="5"/>
        <w:rPr>
          <w:rFonts w:hint="eastAsia" w:eastAsia="宋体"/>
          <w:highlight w:val="none"/>
          <w:lang w:val="en-US" w:eastAsia="zh-CN"/>
        </w:rPr>
      </w:pPr>
    </w:p>
    <w:p>
      <w:pPr>
        <w:rPr>
          <w:rFonts w:hint="eastAsia" w:eastAsia="宋体"/>
          <w:highlight w:val="none"/>
          <w:lang w:val="en-US" w:eastAsia="zh-CN"/>
        </w:rPr>
      </w:pPr>
    </w:p>
    <w:p>
      <w:pPr>
        <w:pStyle w:val="5"/>
        <w:rPr>
          <w:rFonts w:hint="eastAsia" w:eastAsia="宋体"/>
          <w:highlight w:val="none"/>
          <w:lang w:val="en-US" w:eastAsia="zh-CN"/>
        </w:rPr>
      </w:pPr>
    </w:p>
    <w:p>
      <w:pPr>
        <w:rPr>
          <w:rFonts w:hint="eastAsia"/>
          <w:highlight w:val="none"/>
          <w:lang w:val="en-US" w:eastAsia="zh-CN"/>
        </w:rPr>
      </w:pPr>
    </w:p>
    <w:p>
      <w:pPr>
        <w:spacing w:before="0" w:line="484" w:lineRule="exact"/>
        <w:ind w:left="601" w:right="520" w:firstLine="0"/>
        <w:jc w:val="center"/>
        <w:rPr>
          <w:rFonts w:ascii="Calibri" w:eastAsia="Calibri"/>
          <w:b/>
          <w:sz w:val="28"/>
          <w:highlight w:val="none"/>
        </w:rPr>
      </w:pPr>
      <w:r>
        <w:rPr>
          <w:rFonts w:hint="eastAsia" w:ascii="Microsoft YaHei UI" w:eastAsia="Microsoft YaHei UI"/>
          <w:b/>
          <w:spacing w:val="20"/>
          <w:sz w:val="28"/>
          <w:highlight w:val="none"/>
        </w:rPr>
        <w:t xml:space="preserve">附录 </w:t>
      </w:r>
      <w:r>
        <w:rPr>
          <w:rFonts w:ascii="Calibri" w:eastAsia="Calibri"/>
          <w:b/>
          <w:sz w:val="28"/>
          <w:highlight w:val="none"/>
        </w:rPr>
        <w:t>6</w:t>
      </w:r>
      <w:r>
        <w:rPr>
          <w:rFonts w:ascii="Calibri" w:eastAsia="Calibri"/>
          <w:b/>
          <w:spacing w:val="16"/>
          <w:sz w:val="28"/>
          <w:highlight w:val="none"/>
        </w:rPr>
        <w:t xml:space="preserve"> </w:t>
      </w:r>
      <w:r>
        <w:rPr>
          <w:rFonts w:hint="eastAsia" w:ascii="Microsoft YaHei UI" w:eastAsia="Microsoft YaHei UI"/>
          <w:b/>
          <w:sz w:val="28"/>
          <w:highlight w:val="none"/>
        </w:rPr>
        <w:t>资格审查条件</w:t>
      </w:r>
      <w:r>
        <w:rPr>
          <w:rFonts w:ascii="Calibri" w:eastAsia="Calibri"/>
          <w:b/>
          <w:sz w:val="28"/>
          <w:highlight w:val="none"/>
        </w:rPr>
        <w:t>(</w:t>
      </w:r>
      <w:r>
        <w:rPr>
          <w:rFonts w:hint="eastAsia" w:ascii="Microsoft YaHei UI" w:eastAsia="Microsoft YaHei UI"/>
          <w:b/>
          <w:sz w:val="28"/>
          <w:highlight w:val="none"/>
        </w:rPr>
        <w:t>其他主要管理人员和技术人员最低要求</w:t>
      </w:r>
      <w:r>
        <w:rPr>
          <w:rFonts w:ascii="Calibri" w:eastAsia="Calibri"/>
          <w:b/>
          <w:sz w:val="28"/>
          <w:highlight w:val="none"/>
        </w:rPr>
        <w:t>)</w:t>
      </w:r>
    </w:p>
    <w:p>
      <w:pPr>
        <w:pStyle w:val="4"/>
        <w:spacing w:before="10"/>
        <w:rPr>
          <w:rFonts w:ascii="Calibri"/>
          <w:b/>
          <w:sz w:val="9"/>
          <w:highlight w:val="none"/>
        </w:rPr>
      </w:pPr>
    </w:p>
    <w:tbl>
      <w:tblPr>
        <w:tblStyle w:val="7"/>
        <w:tblW w:w="9075" w:type="dxa"/>
        <w:tblInd w:w="2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5"/>
        <w:gridCol w:w="704"/>
        <w:gridCol w:w="66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25" w:type="dxa"/>
            <w:tcBorders>
              <w:left w:val="single" w:color="000000" w:sz="6" w:space="0"/>
              <w:right w:val="single" w:color="000000" w:sz="6" w:space="0"/>
            </w:tcBorders>
            <w:noWrap w:val="0"/>
            <w:vAlign w:val="top"/>
          </w:tcPr>
          <w:p>
            <w:pPr>
              <w:pStyle w:val="10"/>
              <w:spacing w:before="125"/>
              <w:ind w:left="105" w:right="94"/>
              <w:jc w:val="center"/>
              <w:rPr>
                <w:sz w:val="21"/>
                <w:highlight w:val="none"/>
              </w:rPr>
            </w:pPr>
            <w:r>
              <w:rPr>
                <w:sz w:val="21"/>
                <w:highlight w:val="none"/>
              </w:rPr>
              <w:t>人员</w:t>
            </w:r>
          </w:p>
        </w:tc>
        <w:tc>
          <w:tcPr>
            <w:tcW w:w="704" w:type="dxa"/>
            <w:tcBorders>
              <w:left w:val="single" w:color="000000" w:sz="6" w:space="0"/>
              <w:right w:val="single" w:color="000000" w:sz="6" w:space="0"/>
            </w:tcBorders>
            <w:noWrap w:val="0"/>
            <w:vAlign w:val="top"/>
          </w:tcPr>
          <w:p>
            <w:pPr>
              <w:pStyle w:val="10"/>
              <w:spacing w:before="125"/>
              <w:ind w:left="119" w:right="109"/>
              <w:jc w:val="center"/>
              <w:rPr>
                <w:sz w:val="21"/>
                <w:highlight w:val="none"/>
              </w:rPr>
            </w:pPr>
            <w:r>
              <w:rPr>
                <w:sz w:val="21"/>
                <w:highlight w:val="none"/>
              </w:rPr>
              <w:t>数量</w:t>
            </w:r>
          </w:p>
        </w:tc>
        <w:tc>
          <w:tcPr>
            <w:tcW w:w="6646" w:type="dxa"/>
            <w:tcBorders>
              <w:left w:val="single" w:color="000000" w:sz="6" w:space="0"/>
              <w:right w:val="single" w:color="000000" w:sz="6" w:space="0"/>
            </w:tcBorders>
            <w:noWrap w:val="0"/>
            <w:vAlign w:val="top"/>
          </w:tcPr>
          <w:p>
            <w:pPr>
              <w:pStyle w:val="10"/>
              <w:spacing w:before="125"/>
              <w:ind w:left="2881" w:right="2869"/>
              <w:jc w:val="center"/>
              <w:rPr>
                <w:sz w:val="21"/>
                <w:highlight w:val="none"/>
              </w:rPr>
            </w:pPr>
            <w:r>
              <w:rPr>
                <w:sz w:val="21"/>
                <w:highlight w:val="none"/>
              </w:rPr>
              <w:t>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725" w:type="dxa"/>
            <w:tcBorders>
              <w:left w:val="single" w:color="000000" w:sz="6" w:space="0"/>
              <w:right w:val="single" w:color="000000" w:sz="6" w:space="0"/>
            </w:tcBorders>
            <w:noWrap w:val="0"/>
            <w:vAlign w:val="center"/>
          </w:tcPr>
          <w:p>
            <w:pPr>
              <w:pStyle w:val="10"/>
              <w:spacing w:before="121"/>
              <w:ind w:left="105" w:right="92"/>
              <w:jc w:val="center"/>
              <w:rPr>
                <w:sz w:val="21"/>
                <w:highlight w:val="none"/>
              </w:rPr>
            </w:pPr>
            <w:r>
              <w:rPr>
                <w:sz w:val="21"/>
                <w:highlight w:val="none"/>
              </w:rPr>
              <w:t>道路工程师</w:t>
            </w:r>
          </w:p>
        </w:tc>
        <w:tc>
          <w:tcPr>
            <w:tcW w:w="704" w:type="dxa"/>
            <w:tcBorders>
              <w:left w:val="single" w:color="000000" w:sz="6" w:space="0"/>
              <w:right w:val="single" w:color="000000" w:sz="6" w:space="0"/>
            </w:tcBorders>
            <w:noWrap w:val="0"/>
            <w:vAlign w:val="center"/>
          </w:tcPr>
          <w:p>
            <w:pPr>
              <w:pStyle w:val="10"/>
              <w:spacing w:before="129"/>
              <w:ind w:left="15"/>
              <w:jc w:val="center"/>
              <w:rPr>
                <w:rFonts w:hint="default" w:ascii="Calibri" w:eastAsia="宋体"/>
                <w:sz w:val="21"/>
                <w:highlight w:val="none"/>
                <w:lang w:val="en-US" w:eastAsia="zh-CN"/>
              </w:rPr>
            </w:pPr>
            <w:r>
              <w:rPr>
                <w:rFonts w:hint="eastAsia" w:ascii="Calibri" w:eastAsia="宋体"/>
                <w:sz w:val="21"/>
                <w:highlight w:val="none"/>
                <w:lang w:val="en-US" w:eastAsia="zh-CN"/>
              </w:rPr>
              <w:t>1</w:t>
            </w:r>
          </w:p>
        </w:tc>
        <w:tc>
          <w:tcPr>
            <w:tcW w:w="6646" w:type="dxa"/>
            <w:tcBorders>
              <w:left w:val="single" w:color="000000" w:sz="6" w:space="0"/>
              <w:right w:val="single" w:color="000000" w:sz="6" w:space="0"/>
            </w:tcBorders>
            <w:noWrap w:val="0"/>
            <w:vAlign w:val="top"/>
          </w:tcPr>
          <w:p>
            <w:pPr>
              <w:pStyle w:val="10"/>
              <w:spacing w:before="121"/>
              <w:ind w:left="5"/>
              <w:rPr>
                <w:sz w:val="21"/>
                <w:highlight w:val="none"/>
              </w:rPr>
            </w:pPr>
            <w:r>
              <w:rPr>
                <w:sz w:val="21"/>
                <w:highlight w:val="none"/>
              </w:rPr>
              <w:t>具有路桥相关专业工程师或以上职称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725" w:type="dxa"/>
            <w:tcBorders>
              <w:left w:val="single" w:color="000000" w:sz="6" w:space="0"/>
              <w:right w:val="single" w:color="000000" w:sz="6" w:space="0"/>
            </w:tcBorders>
            <w:noWrap w:val="0"/>
            <w:vAlign w:val="center"/>
          </w:tcPr>
          <w:p>
            <w:pPr>
              <w:pStyle w:val="10"/>
              <w:spacing w:before="120"/>
              <w:ind w:left="105" w:right="92"/>
              <w:jc w:val="center"/>
              <w:rPr>
                <w:sz w:val="21"/>
                <w:highlight w:val="none"/>
              </w:rPr>
            </w:pPr>
            <w:r>
              <w:rPr>
                <w:sz w:val="21"/>
                <w:highlight w:val="none"/>
              </w:rPr>
              <w:t>桥梁工程师</w:t>
            </w:r>
          </w:p>
        </w:tc>
        <w:tc>
          <w:tcPr>
            <w:tcW w:w="704" w:type="dxa"/>
            <w:tcBorders>
              <w:left w:val="single" w:color="000000" w:sz="6" w:space="0"/>
              <w:right w:val="single" w:color="000000" w:sz="6" w:space="0"/>
            </w:tcBorders>
            <w:noWrap w:val="0"/>
            <w:vAlign w:val="center"/>
          </w:tcPr>
          <w:p>
            <w:pPr>
              <w:pStyle w:val="10"/>
              <w:spacing w:before="130"/>
              <w:ind w:left="15"/>
              <w:jc w:val="center"/>
              <w:rPr>
                <w:rFonts w:ascii="Calibri"/>
                <w:sz w:val="21"/>
                <w:highlight w:val="none"/>
              </w:rPr>
            </w:pPr>
            <w:r>
              <w:rPr>
                <w:rFonts w:ascii="Calibri"/>
                <w:w w:val="99"/>
                <w:sz w:val="21"/>
                <w:highlight w:val="none"/>
              </w:rPr>
              <w:t>1</w:t>
            </w:r>
          </w:p>
        </w:tc>
        <w:tc>
          <w:tcPr>
            <w:tcW w:w="6646" w:type="dxa"/>
            <w:tcBorders>
              <w:left w:val="single" w:color="000000" w:sz="6" w:space="0"/>
              <w:right w:val="single" w:color="000000" w:sz="6" w:space="0"/>
            </w:tcBorders>
            <w:noWrap w:val="0"/>
            <w:vAlign w:val="top"/>
          </w:tcPr>
          <w:p>
            <w:pPr>
              <w:pStyle w:val="10"/>
              <w:spacing w:before="120"/>
              <w:ind w:left="5"/>
              <w:rPr>
                <w:sz w:val="21"/>
                <w:highlight w:val="none"/>
              </w:rPr>
            </w:pPr>
            <w:r>
              <w:rPr>
                <w:sz w:val="21"/>
                <w:highlight w:val="none"/>
              </w:rPr>
              <w:t>具有路桥相关专业工程师或以上职称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725" w:type="dxa"/>
            <w:tcBorders>
              <w:left w:val="single" w:color="000000" w:sz="6" w:space="0"/>
              <w:right w:val="single" w:color="000000" w:sz="6" w:space="0"/>
            </w:tcBorders>
            <w:noWrap w:val="0"/>
            <w:vAlign w:val="center"/>
          </w:tcPr>
          <w:p>
            <w:pPr>
              <w:pStyle w:val="10"/>
              <w:ind w:left="105" w:right="92"/>
              <w:jc w:val="center"/>
              <w:rPr>
                <w:sz w:val="21"/>
                <w:highlight w:val="none"/>
              </w:rPr>
            </w:pPr>
            <w:r>
              <w:rPr>
                <w:sz w:val="21"/>
                <w:highlight w:val="none"/>
              </w:rPr>
              <w:t>试验工程师</w:t>
            </w:r>
          </w:p>
        </w:tc>
        <w:tc>
          <w:tcPr>
            <w:tcW w:w="704" w:type="dxa"/>
            <w:tcBorders>
              <w:left w:val="single" w:color="000000" w:sz="6" w:space="0"/>
              <w:right w:val="single" w:color="000000" w:sz="6" w:space="0"/>
            </w:tcBorders>
            <w:noWrap w:val="0"/>
            <w:vAlign w:val="center"/>
          </w:tcPr>
          <w:p>
            <w:pPr>
              <w:pStyle w:val="10"/>
              <w:spacing w:before="1"/>
              <w:ind w:left="15"/>
              <w:jc w:val="center"/>
              <w:rPr>
                <w:rFonts w:ascii="Calibri"/>
                <w:sz w:val="21"/>
                <w:highlight w:val="none"/>
              </w:rPr>
            </w:pPr>
            <w:r>
              <w:rPr>
                <w:rFonts w:ascii="Calibri"/>
                <w:w w:val="99"/>
                <w:sz w:val="21"/>
                <w:highlight w:val="none"/>
              </w:rPr>
              <w:t>1</w:t>
            </w:r>
          </w:p>
        </w:tc>
        <w:tc>
          <w:tcPr>
            <w:tcW w:w="6646" w:type="dxa"/>
            <w:tcBorders>
              <w:left w:val="single" w:color="000000" w:sz="6" w:space="0"/>
              <w:right w:val="single" w:color="000000" w:sz="6" w:space="0"/>
            </w:tcBorders>
            <w:noWrap w:val="0"/>
            <w:vAlign w:val="top"/>
          </w:tcPr>
          <w:p>
            <w:pPr>
              <w:pStyle w:val="10"/>
              <w:spacing w:before="37" w:line="302" w:lineRule="auto"/>
              <w:ind w:left="5" w:right="114"/>
              <w:rPr>
                <w:sz w:val="21"/>
                <w:highlight w:val="none"/>
              </w:rPr>
            </w:pPr>
            <w:r>
              <w:rPr>
                <w:w w:val="95"/>
                <w:sz w:val="21"/>
                <w:highlight w:val="none"/>
              </w:rPr>
              <w:t>具有工程师或以上职称，持有在有效期内的交通运输部工程质量监督局</w:t>
            </w:r>
            <w:r>
              <w:rPr>
                <w:spacing w:val="159"/>
                <w:sz w:val="21"/>
                <w:highlight w:val="none"/>
              </w:rPr>
              <w:t xml:space="preserve"> </w:t>
            </w:r>
            <w:r>
              <w:rPr>
                <w:rFonts w:ascii="Calibri" w:eastAsia="Calibri"/>
                <w:sz w:val="21"/>
                <w:highlight w:val="none"/>
              </w:rPr>
              <w:t xml:space="preserve"> (</w:t>
            </w:r>
            <w:r>
              <w:rPr>
                <w:sz w:val="21"/>
                <w:highlight w:val="none"/>
              </w:rPr>
              <w:t>原交通运输部基本建设质量监督总站</w:t>
            </w:r>
            <w:r>
              <w:rPr>
                <w:rFonts w:ascii="Calibri" w:eastAsia="Calibri"/>
                <w:sz w:val="21"/>
                <w:highlight w:val="none"/>
              </w:rPr>
              <w:t>)</w:t>
            </w:r>
            <w:r>
              <w:rPr>
                <w:sz w:val="21"/>
                <w:highlight w:val="none"/>
              </w:rPr>
              <w:t>颁发的试验检测工程师资格证书或交通运输部职业资格中心颁发的公路水运试验检测师资格证书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725" w:type="dxa"/>
            <w:tcBorders>
              <w:left w:val="single" w:color="000000" w:sz="6" w:space="0"/>
              <w:right w:val="single" w:color="000000" w:sz="6" w:space="0"/>
            </w:tcBorders>
            <w:noWrap w:val="0"/>
            <w:vAlign w:val="center"/>
          </w:tcPr>
          <w:p>
            <w:pPr>
              <w:pStyle w:val="10"/>
              <w:spacing w:before="122"/>
              <w:ind w:left="105" w:right="92"/>
              <w:jc w:val="center"/>
              <w:rPr>
                <w:sz w:val="21"/>
                <w:highlight w:val="none"/>
              </w:rPr>
            </w:pPr>
            <w:r>
              <w:rPr>
                <w:sz w:val="21"/>
                <w:highlight w:val="none"/>
              </w:rPr>
              <w:t>财务负责人</w:t>
            </w:r>
          </w:p>
        </w:tc>
        <w:tc>
          <w:tcPr>
            <w:tcW w:w="704" w:type="dxa"/>
            <w:tcBorders>
              <w:left w:val="single" w:color="000000" w:sz="6" w:space="0"/>
              <w:right w:val="single" w:color="000000" w:sz="6" w:space="0"/>
            </w:tcBorders>
            <w:noWrap w:val="0"/>
            <w:vAlign w:val="center"/>
          </w:tcPr>
          <w:p>
            <w:pPr>
              <w:pStyle w:val="10"/>
              <w:spacing w:before="129"/>
              <w:ind w:left="15"/>
              <w:jc w:val="center"/>
              <w:rPr>
                <w:rFonts w:ascii="Calibri"/>
                <w:sz w:val="21"/>
                <w:highlight w:val="none"/>
              </w:rPr>
            </w:pPr>
            <w:r>
              <w:rPr>
                <w:rFonts w:ascii="Calibri"/>
                <w:w w:val="99"/>
                <w:sz w:val="21"/>
                <w:highlight w:val="none"/>
              </w:rPr>
              <w:t>1</w:t>
            </w:r>
          </w:p>
        </w:tc>
        <w:tc>
          <w:tcPr>
            <w:tcW w:w="6646" w:type="dxa"/>
            <w:tcBorders>
              <w:left w:val="single" w:color="000000" w:sz="6" w:space="0"/>
              <w:right w:val="single" w:color="000000" w:sz="6" w:space="0"/>
            </w:tcBorders>
            <w:noWrap w:val="0"/>
            <w:vAlign w:val="top"/>
          </w:tcPr>
          <w:p>
            <w:pPr>
              <w:pStyle w:val="10"/>
              <w:spacing w:before="122"/>
              <w:ind w:left="5"/>
              <w:rPr>
                <w:sz w:val="21"/>
                <w:highlight w:val="none"/>
              </w:rPr>
            </w:pPr>
            <w:r>
              <w:rPr>
                <w:sz w:val="21"/>
                <w:highlight w:val="none"/>
              </w:rPr>
              <w:t>具有助理会计师或以上职称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725" w:type="dxa"/>
            <w:tcBorders>
              <w:left w:val="single" w:color="000000" w:sz="6" w:space="0"/>
              <w:right w:val="single" w:color="000000" w:sz="6" w:space="0"/>
            </w:tcBorders>
            <w:noWrap w:val="0"/>
            <w:vAlign w:val="center"/>
          </w:tcPr>
          <w:p>
            <w:pPr>
              <w:pStyle w:val="10"/>
              <w:spacing w:before="27" w:line="304" w:lineRule="auto"/>
              <w:ind w:left="546" w:right="112" w:hanging="420"/>
              <w:jc w:val="center"/>
              <w:rPr>
                <w:sz w:val="21"/>
                <w:highlight w:val="none"/>
              </w:rPr>
            </w:pPr>
            <w:r>
              <w:rPr>
                <w:spacing w:val="-1"/>
                <w:sz w:val="21"/>
                <w:highlight w:val="none"/>
              </w:rPr>
              <w:t>专职安全生产管</w:t>
            </w:r>
            <w:r>
              <w:rPr>
                <w:sz w:val="21"/>
                <w:highlight w:val="none"/>
              </w:rPr>
              <w:t>理人员</w:t>
            </w:r>
          </w:p>
        </w:tc>
        <w:tc>
          <w:tcPr>
            <w:tcW w:w="704" w:type="dxa"/>
            <w:tcBorders>
              <w:left w:val="single" w:color="000000" w:sz="6" w:space="0"/>
              <w:right w:val="single" w:color="000000" w:sz="6" w:space="0"/>
            </w:tcBorders>
            <w:noWrap w:val="0"/>
            <w:vAlign w:val="center"/>
          </w:tcPr>
          <w:p>
            <w:pPr>
              <w:pStyle w:val="10"/>
              <w:ind w:left="15"/>
              <w:jc w:val="center"/>
              <w:rPr>
                <w:rFonts w:hint="eastAsia" w:ascii="Calibri" w:eastAsia="宋体"/>
                <w:sz w:val="21"/>
                <w:highlight w:val="none"/>
                <w:lang w:eastAsia="zh-CN"/>
              </w:rPr>
            </w:pPr>
            <w:r>
              <w:rPr>
                <w:rFonts w:hint="eastAsia" w:ascii="Calibri" w:eastAsia="宋体"/>
                <w:w w:val="99"/>
                <w:sz w:val="21"/>
                <w:highlight w:val="none"/>
                <w:lang w:val="en-US" w:eastAsia="zh-CN"/>
              </w:rPr>
              <w:t>1</w:t>
            </w:r>
          </w:p>
        </w:tc>
        <w:tc>
          <w:tcPr>
            <w:tcW w:w="6646" w:type="dxa"/>
            <w:tcBorders>
              <w:left w:val="single" w:color="000000" w:sz="6" w:space="0"/>
              <w:right w:val="single" w:color="000000" w:sz="6" w:space="0"/>
            </w:tcBorders>
            <w:noWrap w:val="0"/>
            <w:vAlign w:val="top"/>
          </w:tcPr>
          <w:p>
            <w:pPr>
              <w:pStyle w:val="10"/>
              <w:spacing w:before="197"/>
              <w:ind w:left="5"/>
              <w:rPr>
                <w:sz w:val="21"/>
                <w:highlight w:val="none"/>
              </w:rPr>
            </w:pPr>
            <w:r>
              <w:rPr>
                <w:sz w:val="21"/>
                <w:highlight w:val="none"/>
              </w:rPr>
              <w:t>具有交通主管部门颁发的安全生产“三类人员”</w:t>
            </w:r>
            <w:r>
              <w:rPr>
                <w:rFonts w:ascii="Calibri" w:hAnsi="Calibri" w:eastAsia="Calibri"/>
                <w:sz w:val="21"/>
                <w:highlight w:val="none"/>
              </w:rPr>
              <w:t>C</w:t>
            </w:r>
            <w:r>
              <w:rPr>
                <w:rFonts w:ascii="Calibri" w:hAnsi="Calibri" w:eastAsia="Calibri"/>
                <w:spacing w:val="3"/>
                <w:sz w:val="21"/>
                <w:highlight w:val="none"/>
              </w:rPr>
              <w:t xml:space="preserve"> </w:t>
            </w:r>
            <w:r>
              <w:rPr>
                <w:sz w:val="21"/>
                <w:highlight w:val="none"/>
              </w:rPr>
              <w:t>类证书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25" w:type="dxa"/>
            <w:tcBorders>
              <w:left w:val="single" w:color="000000" w:sz="6" w:space="0"/>
              <w:right w:val="single" w:color="000000" w:sz="6" w:space="0"/>
            </w:tcBorders>
            <w:noWrap w:val="0"/>
            <w:vAlign w:val="center"/>
          </w:tcPr>
          <w:p>
            <w:pPr>
              <w:pStyle w:val="10"/>
              <w:spacing w:before="125"/>
              <w:ind w:left="105" w:right="94"/>
              <w:jc w:val="center"/>
              <w:rPr>
                <w:sz w:val="21"/>
                <w:highlight w:val="none"/>
              </w:rPr>
            </w:pPr>
            <w:r>
              <w:rPr>
                <w:sz w:val="21"/>
                <w:highlight w:val="none"/>
              </w:rPr>
              <w:t>资料员</w:t>
            </w:r>
          </w:p>
        </w:tc>
        <w:tc>
          <w:tcPr>
            <w:tcW w:w="704" w:type="dxa"/>
            <w:tcBorders>
              <w:left w:val="single" w:color="000000" w:sz="6" w:space="0"/>
              <w:right w:val="single" w:color="000000" w:sz="6" w:space="0"/>
            </w:tcBorders>
            <w:noWrap w:val="0"/>
            <w:vAlign w:val="center"/>
          </w:tcPr>
          <w:p>
            <w:pPr>
              <w:pStyle w:val="10"/>
              <w:spacing w:before="135"/>
              <w:ind w:left="15"/>
              <w:jc w:val="center"/>
              <w:rPr>
                <w:rFonts w:ascii="Calibri"/>
                <w:sz w:val="21"/>
                <w:highlight w:val="none"/>
              </w:rPr>
            </w:pPr>
            <w:r>
              <w:rPr>
                <w:rFonts w:ascii="Calibri"/>
                <w:w w:val="99"/>
                <w:sz w:val="21"/>
                <w:highlight w:val="none"/>
              </w:rPr>
              <w:t>1</w:t>
            </w:r>
          </w:p>
        </w:tc>
        <w:tc>
          <w:tcPr>
            <w:tcW w:w="6646" w:type="dxa"/>
            <w:tcBorders>
              <w:left w:val="single" w:color="000000" w:sz="6" w:space="0"/>
              <w:right w:val="single" w:color="000000" w:sz="6" w:space="0"/>
            </w:tcBorders>
            <w:noWrap w:val="0"/>
            <w:vAlign w:val="top"/>
          </w:tcPr>
          <w:p>
            <w:pPr>
              <w:pStyle w:val="10"/>
              <w:spacing w:before="125"/>
              <w:ind w:left="5"/>
              <w:rPr>
                <w:sz w:val="21"/>
                <w:highlight w:val="none"/>
              </w:rPr>
            </w:pPr>
            <w:r>
              <w:rPr>
                <w:sz w:val="21"/>
                <w:highlight w:val="none"/>
              </w:rPr>
              <w:t>资料员</w:t>
            </w:r>
          </w:p>
        </w:tc>
      </w:tr>
    </w:tbl>
    <w:p>
      <w:pPr>
        <w:keepNext w:val="0"/>
        <w:keepLines w:val="0"/>
        <w:widowControl/>
        <w:suppressLineNumbers w:val="0"/>
        <w:jc w:val="left"/>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4"/>
          <w:highlight w:val="none"/>
        </w:rPr>
        <w:t>注：</w:t>
      </w:r>
      <w:r>
        <w:rPr>
          <w:rFonts w:hint="eastAsia" w:ascii="Times New Roman" w:hAnsi="Times New Roman" w:eastAsia="宋体" w:cs="Times New Roman"/>
          <w:sz w:val="21"/>
          <w:szCs w:val="24"/>
          <w:highlight w:val="none"/>
          <w:lang w:val="en-US" w:eastAsia="zh-CN"/>
        </w:rPr>
        <w:t>1、</w:t>
      </w:r>
      <w:r>
        <w:rPr>
          <w:rFonts w:hint="default" w:ascii="Times New Roman" w:hAnsi="Times New Roman" w:eastAsia="宋体" w:cs="Times New Roman"/>
          <w:sz w:val="21"/>
          <w:szCs w:val="24"/>
          <w:highlight w:val="none"/>
        </w:rPr>
        <w:t>附录 6 所要求人员须按投标文件投标函的格式承诺，中标人在进场前向招标人提交实际投入的人员。</w:t>
      </w:r>
    </w:p>
    <w:p>
      <w:pPr>
        <w:keepNext w:val="0"/>
        <w:keepLines w:val="0"/>
        <w:widowControl/>
        <w:suppressLineNumbers w:val="0"/>
        <w:jc w:val="left"/>
        <w:rPr>
          <w:rFonts w:hint="default" w:ascii="Times New Roman" w:hAnsi="Times New Roman" w:eastAsia="宋体" w:cs="Times New Roman"/>
          <w:sz w:val="21"/>
          <w:szCs w:val="24"/>
          <w:highlight w:val="none"/>
        </w:rPr>
      </w:pPr>
      <w:r>
        <w:rPr>
          <w:rFonts w:hint="eastAsia" w:ascii="Times New Roman" w:hAnsi="Times New Roman" w:eastAsia="宋体" w:cs="Times New Roman"/>
          <w:sz w:val="21"/>
          <w:szCs w:val="24"/>
          <w:highlight w:val="none"/>
          <w:lang w:val="en-US" w:eastAsia="zh-CN"/>
        </w:rPr>
        <w:t>2、投标人中标后专职安全生产管理人员的配备应按照交通部《公路水运工程安全生产监督管理办法》的要求执行。招标人可根据项目的工期和进度，按规定设置最低的专职安全生产管理人员数量要求。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Mono CJK JP Regular">
    <w:altName w:val="Arial"/>
    <w:panose1 w:val="00000000000000000000"/>
    <w:charset w:val="00"/>
    <w:family w:val="swiss"/>
    <w:pitch w:val="default"/>
    <w:sig w:usb0="00000000" w:usb1="00000000" w:usb2="00000000" w:usb3="00000000" w:csb0="00040001" w:csb1="00000000"/>
  </w:font>
  <w:font w:name="文鼎CS书宋二">
    <w:altName w:val="宋体"/>
    <w:panose1 w:val="00000000000000000000"/>
    <w:charset w:val="86"/>
    <w:family w:val="modern"/>
    <w:pitch w:val="default"/>
    <w:sig w:usb0="00000000" w:usb1="00000000" w:usb2="0000001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keepNext w:val="0"/>
        <w:keepLines w:val="0"/>
        <w:widowControl/>
        <w:suppressLineNumbers w:val="0"/>
        <w:spacing w:line="360" w:lineRule="auto"/>
        <w:jc w:val="left"/>
      </w:pPr>
      <w:r>
        <w:rPr>
          <w:rStyle w:val="9"/>
        </w:rPr>
        <w:footnoteRef/>
      </w:r>
      <w:r>
        <w:t xml:space="preserve"> </w:t>
      </w:r>
      <w:r>
        <w:rPr>
          <w:rFonts w:hint="eastAsia" w:ascii="宋体" w:hAnsi="宋体" w:eastAsia="宋体" w:cs="宋体"/>
          <w:color w:val="000000"/>
          <w:kern w:val="0"/>
          <w:sz w:val="18"/>
          <w:szCs w:val="18"/>
          <w:lang w:val="en-US" w:eastAsia="zh-CN" w:bidi="ar"/>
        </w:rPr>
        <w:t xml:space="preserve">具体财务要求由招标人在满足国家相关法律法规前提下，根据招标项目具体特点和实际情况确定，但不宜设置超 </w:t>
      </w:r>
    </w:p>
    <w:p>
      <w:pPr>
        <w:keepNext w:val="0"/>
        <w:keepLines w:val="0"/>
        <w:widowControl/>
        <w:suppressLineNumbers w:val="0"/>
        <w:spacing w:line="360" w:lineRule="auto"/>
        <w:jc w:val="left"/>
      </w:pPr>
      <w:r>
        <w:rPr>
          <w:rFonts w:hint="eastAsia" w:ascii="宋体" w:hAnsi="宋体" w:eastAsia="宋体" w:cs="宋体"/>
          <w:color w:val="000000"/>
          <w:kern w:val="0"/>
          <w:sz w:val="18"/>
          <w:szCs w:val="18"/>
          <w:lang w:val="en-US" w:eastAsia="zh-CN" w:bidi="ar"/>
        </w:rPr>
        <w:t xml:space="preserve">过项目实际需要的财务能力要求，不得提出注册地址、所有制形式、市场占有率、特定行政区域或者特定行业业绩、 </w:t>
      </w:r>
    </w:p>
    <w:p>
      <w:pPr>
        <w:keepNext w:val="0"/>
        <w:keepLines w:val="0"/>
        <w:widowControl/>
        <w:suppressLineNumbers w:val="0"/>
        <w:spacing w:line="360" w:lineRule="auto"/>
        <w:jc w:val="left"/>
      </w:pPr>
      <w:r>
        <w:rPr>
          <w:rFonts w:hint="eastAsia" w:ascii="宋体" w:hAnsi="宋体" w:eastAsia="宋体" w:cs="宋体"/>
          <w:color w:val="000000"/>
          <w:kern w:val="0"/>
          <w:sz w:val="18"/>
          <w:szCs w:val="18"/>
          <w:lang w:val="en-US" w:eastAsia="zh-CN" w:bidi="ar"/>
        </w:rPr>
        <w:t xml:space="preserve">取得非强制资质认证、设立本地分支机构、本地缴纳税收社保等要求和加分项，不得将企业资质等级、注册资本设 </w:t>
      </w:r>
    </w:p>
    <w:p>
      <w:pPr>
        <w:keepNext w:val="0"/>
        <w:keepLines w:val="0"/>
        <w:widowControl/>
        <w:suppressLineNumbers w:val="0"/>
        <w:spacing w:line="360" w:lineRule="auto"/>
        <w:jc w:val="left"/>
      </w:pPr>
      <w:r>
        <w:rPr>
          <w:rFonts w:hint="eastAsia" w:ascii="宋体" w:hAnsi="宋体" w:eastAsia="宋体" w:cs="宋体"/>
          <w:color w:val="000000"/>
          <w:kern w:val="0"/>
          <w:sz w:val="18"/>
          <w:szCs w:val="18"/>
          <w:lang w:val="en-US" w:eastAsia="zh-CN" w:bidi="ar"/>
        </w:rPr>
        <w:t xml:space="preserve">为加分项，不得将营业执照的经营范围设为资格审查条件和加分项。 </w:t>
      </w:r>
    </w:p>
  </w:footnote>
  <w:footnote w:id="1">
    <w:p>
      <w:pPr>
        <w:pStyle w:val="6"/>
        <w:snapToGrid w:val="0"/>
        <w:spacing w:line="360" w:lineRule="auto"/>
      </w:pPr>
      <w:r>
        <w:rPr>
          <w:rStyle w:val="9"/>
        </w:rPr>
        <w:footnoteRef/>
      </w:r>
      <w:r>
        <w:t xml:space="preserve"> </w:t>
      </w:r>
      <w:r>
        <w:rPr>
          <w:rFonts w:hint="eastAsia"/>
          <w:lang w:val="en-US" w:eastAsia="zh-CN"/>
        </w:rPr>
        <w:t xml:space="preserve">招标人可根据招标项目具体特点和实际情况选择是否要求投标人提供银行信贷证明，如采用银行信贷证明，招标 </w:t>
      </w:r>
    </w:p>
    <w:p>
      <w:pPr>
        <w:pStyle w:val="6"/>
        <w:snapToGrid w:val="0"/>
        <w:spacing w:line="360" w:lineRule="auto"/>
      </w:pPr>
      <w:r>
        <w:rPr>
          <w:rFonts w:hint="eastAsia"/>
          <w:lang w:val="en-US" w:eastAsia="zh-CN"/>
        </w:rPr>
        <w:t>人应在此规定开具信贷证明的银行级别。</w:t>
      </w:r>
    </w:p>
  </w:footnote>
  <w:footnote w:id="2">
    <w:p>
      <w:pPr>
        <w:pStyle w:val="6"/>
        <w:snapToGrid w:val="0"/>
        <w:spacing w:line="360" w:lineRule="auto"/>
      </w:pPr>
      <w:r>
        <w:rPr>
          <w:rStyle w:val="9"/>
        </w:rPr>
        <w:footnoteRef/>
      </w:r>
      <w:r>
        <w:t xml:space="preserve"> </w:t>
      </w:r>
      <w:r>
        <w:rPr>
          <w:rFonts w:hint="eastAsia"/>
          <w:lang w:val="en-US" w:eastAsia="zh-CN"/>
        </w:rPr>
        <w:t xml:space="preserve">本项要求采用“全国公路建设市场信用信息管理系统”的信息不适用于 </w:t>
      </w:r>
      <w:r>
        <w:rPr>
          <w:rFonts w:hint="default"/>
          <w:lang w:val="en-US" w:eastAsia="zh-CN"/>
        </w:rPr>
        <w:t xml:space="preserve">J </w:t>
      </w:r>
      <w:r>
        <w:rPr>
          <w:rFonts w:hint="eastAsia"/>
          <w:lang w:val="en-US" w:eastAsia="zh-CN"/>
        </w:rPr>
        <w:t>类，下同。</w:t>
      </w:r>
    </w:p>
    <w:p>
      <w:pPr>
        <w:pStyle w:val="6"/>
        <w:snapToGrid w:val="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MGVkMTEzNjhhZjM2OTJlMTU1ZjJmOWEyZmUxM2MifQ=="/>
  </w:docVars>
  <w:rsids>
    <w:rsidRoot w:val="00000000"/>
    <w:rsid w:val="1A4268EB"/>
    <w:rsid w:val="28B53352"/>
    <w:rsid w:val="372413FB"/>
    <w:rsid w:val="446524D3"/>
    <w:rsid w:val="56091F4B"/>
    <w:rsid w:val="656B0071"/>
    <w:rsid w:val="6BFB7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val="0"/>
      <w:spacing w:after="120" w:line="420" w:lineRule="atLeast"/>
      <w:ind w:left="420" w:leftChars="200" w:firstLine="420" w:firstLineChars="200"/>
      <w:jc w:val="both"/>
      <w:textAlignment w:val="baseline"/>
    </w:pPr>
    <w:rPr>
      <w:sz w:val="21"/>
    </w:rPr>
  </w:style>
  <w:style w:type="paragraph" w:styleId="3">
    <w:name w:val="Body Text Indent"/>
    <w:basedOn w:val="1"/>
    <w:qFormat/>
    <w:uiPriority w:val="0"/>
    <w:pPr>
      <w:ind w:firstLine="538" w:firstLineChars="168"/>
      <w:jc w:val="left"/>
    </w:pPr>
    <w:rPr>
      <w:rFonts w:ascii="Calibri" w:hAnsi="Calibri" w:cs="Times New Roman"/>
      <w:sz w:val="32"/>
    </w:rPr>
  </w:style>
  <w:style w:type="paragraph" w:styleId="4">
    <w:name w:val="Body Text"/>
    <w:basedOn w:val="1"/>
    <w:unhideWhenUsed/>
    <w:qFormat/>
    <w:uiPriority w:val="99"/>
    <w:pPr>
      <w:spacing w:after="120"/>
    </w:pPr>
  </w:style>
  <w:style w:type="paragraph" w:styleId="5">
    <w:name w:val="Plain Text"/>
    <w:basedOn w:val="1"/>
    <w:next w:val="1"/>
    <w:qFormat/>
    <w:uiPriority w:val="0"/>
    <w:rPr>
      <w:rFonts w:ascii="宋体" w:hAnsi="Courier New" w:cs="Times New Roman"/>
      <w:sz w:val="24"/>
      <w:szCs w:val="22"/>
    </w:rPr>
  </w:style>
  <w:style w:type="paragraph" w:styleId="6">
    <w:name w:val="footnote text"/>
    <w:basedOn w:val="1"/>
    <w:qFormat/>
    <w:uiPriority w:val="99"/>
    <w:pPr>
      <w:snapToGrid w:val="0"/>
      <w:jc w:val="left"/>
    </w:pPr>
    <w:rPr>
      <w:rFonts w:ascii="Calibri" w:hAnsi="Calibri" w:cs="Times New Roman"/>
      <w:sz w:val="18"/>
      <w:szCs w:val="18"/>
    </w:rPr>
  </w:style>
  <w:style w:type="character" w:styleId="9">
    <w:name w:val="footnote reference"/>
    <w:basedOn w:val="8"/>
    <w:qFormat/>
    <w:uiPriority w:val="99"/>
    <w:rPr>
      <w:vertAlign w:val="superscript"/>
    </w:rPr>
  </w:style>
  <w:style w:type="paragraph" w:customStyle="1" w:styleId="10">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2567</Words>
  <Characters>2691</Characters>
  <Lines>0</Lines>
  <Paragraphs>0</Paragraphs>
  <TotalTime>1</TotalTime>
  <ScaleCrop>false</ScaleCrop>
  <LinksUpToDate>false</LinksUpToDate>
  <CharactersWithSpaces>2758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2023-06-02T03:04:46Z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6B8504251BEC4012AA497E72755036D0_13</vt:lpwstr>
  </property>
</Properties>
</file>