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left="-210" w:leftChars="-100" w:right="-210" w:rightChars="-100"/>
        <w:jc w:val="center"/>
        <w:rPr>
          <w:rFonts w:hint="eastAsia" w:ascii="宋体" w:hAnsi="宋体" w:eastAsia="宋体" w:cs="宋体"/>
          <w:b/>
          <w:color w:val="auto"/>
          <w:kern w:val="0"/>
          <w:sz w:val="44"/>
          <w:szCs w:val="44"/>
          <w:highlight w:val="none"/>
        </w:rPr>
      </w:pPr>
    </w:p>
    <w:p>
      <w:pPr>
        <w:widowControl/>
        <w:snapToGrid w:val="0"/>
        <w:spacing w:line="360" w:lineRule="auto"/>
        <w:ind w:left="-210" w:leftChars="-100" w:right="-210" w:rightChars="-100"/>
        <w:jc w:val="center"/>
        <w:rPr>
          <w:rFonts w:hint="eastAsia" w:ascii="宋体" w:hAnsi="宋体" w:eastAsia="宋体" w:cs="宋体"/>
          <w:b/>
          <w:color w:val="auto"/>
          <w:kern w:val="0"/>
          <w:sz w:val="40"/>
          <w:szCs w:val="40"/>
          <w:highlight w:val="none"/>
        </w:rPr>
      </w:pPr>
      <w:r>
        <w:rPr>
          <w:rFonts w:hint="eastAsia" w:ascii="宋体" w:hAnsi="宋体" w:eastAsia="宋体" w:cs="宋体"/>
          <w:b/>
          <w:color w:val="auto"/>
          <w:kern w:val="0"/>
          <w:sz w:val="40"/>
          <w:szCs w:val="40"/>
          <w:highlight w:val="none"/>
        </w:rPr>
        <w:t>广清经济特别合作区广佛（佛冈）产业园统建管道接入</w:t>
      </w:r>
    </w:p>
    <w:p>
      <w:pPr>
        <w:widowControl/>
        <w:snapToGrid w:val="0"/>
        <w:spacing w:line="360" w:lineRule="auto"/>
        <w:ind w:left="-210" w:leftChars="-100" w:right="-210" w:rightChars="-100"/>
        <w:jc w:val="center"/>
        <w:rPr>
          <w:rFonts w:hint="eastAsia" w:ascii="宋体" w:hAnsi="宋体" w:eastAsia="宋体" w:cs="宋体"/>
          <w:b/>
          <w:color w:val="auto"/>
          <w:kern w:val="0"/>
          <w:sz w:val="44"/>
          <w:szCs w:val="44"/>
          <w:highlight w:val="none"/>
          <w:lang w:eastAsia="zh-CN"/>
        </w:rPr>
      </w:pPr>
      <w:r>
        <w:rPr>
          <w:rFonts w:hint="eastAsia" w:ascii="宋体" w:hAnsi="宋体" w:eastAsia="宋体" w:cs="宋体"/>
          <w:b/>
          <w:color w:val="auto"/>
          <w:kern w:val="0"/>
          <w:sz w:val="40"/>
          <w:szCs w:val="40"/>
          <w:highlight w:val="none"/>
        </w:rPr>
        <w:t>工程设计、施工（一期）总承包</w:t>
      </w:r>
      <w:r>
        <w:rPr>
          <w:rFonts w:hint="eastAsia" w:ascii="宋体" w:hAnsi="宋体" w:cs="宋体"/>
          <w:b/>
          <w:color w:val="auto"/>
          <w:kern w:val="0"/>
          <w:sz w:val="40"/>
          <w:szCs w:val="40"/>
          <w:highlight w:val="none"/>
          <w:lang w:eastAsia="zh-CN"/>
        </w:rPr>
        <w:t>（</w:t>
      </w:r>
      <w:r>
        <w:rPr>
          <w:rFonts w:hint="eastAsia" w:ascii="宋体" w:hAnsi="宋体" w:cs="宋体"/>
          <w:b/>
          <w:color w:val="auto"/>
          <w:kern w:val="0"/>
          <w:sz w:val="40"/>
          <w:szCs w:val="40"/>
          <w:highlight w:val="none"/>
          <w:lang w:val="en-US" w:eastAsia="zh-CN"/>
        </w:rPr>
        <w:t>重新招标</w:t>
      </w:r>
      <w:r>
        <w:rPr>
          <w:rFonts w:hint="eastAsia" w:ascii="宋体" w:hAnsi="宋体" w:cs="宋体"/>
          <w:b/>
          <w:color w:val="auto"/>
          <w:kern w:val="0"/>
          <w:sz w:val="40"/>
          <w:szCs w:val="40"/>
          <w:highlight w:val="none"/>
          <w:lang w:eastAsia="zh-CN"/>
        </w:rPr>
        <w:t>）</w:t>
      </w:r>
    </w:p>
    <w:p>
      <w:pPr>
        <w:spacing w:line="360" w:lineRule="auto"/>
        <w:rPr>
          <w:rFonts w:hint="eastAsia" w:ascii="宋体" w:hAnsi="宋体" w:eastAsia="宋体" w:cs="宋体"/>
          <w:color w:val="auto"/>
          <w:sz w:val="72"/>
          <w:szCs w:val="72"/>
          <w:highlight w:val="none"/>
        </w:rPr>
      </w:pPr>
    </w:p>
    <w:p>
      <w:pPr>
        <w:spacing w:line="360" w:lineRule="auto"/>
        <w:rPr>
          <w:rFonts w:hint="eastAsia" w:ascii="宋体" w:hAnsi="宋体" w:eastAsia="宋体" w:cs="宋体"/>
          <w:color w:val="auto"/>
          <w:sz w:val="72"/>
          <w:szCs w:val="72"/>
          <w:highlight w:val="none"/>
        </w:rPr>
      </w:pPr>
    </w:p>
    <w:p>
      <w:pPr>
        <w:pStyle w:val="2"/>
        <w:spacing w:line="360" w:lineRule="auto"/>
        <w:rPr>
          <w:rFonts w:hint="eastAsia"/>
          <w:color w:val="auto"/>
          <w:highlight w:val="none"/>
        </w:rPr>
      </w:pPr>
    </w:p>
    <w:p>
      <w:pPr>
        <w:spacing w:line="360" w:lineRule="auto"/>
        <w:jc w:val="center"/>
        <w:rPr>
          <w:rFonts w:hint="eastAsia" w:ascii="宋体" w:hAnsi="宋体" w:eastAsia="宋体" w:cs="宋体"/>
          <w:color w:val="auto"/>
          <w:sz w:val="72"/>
          <w:szCs w:val="72"/>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 xml:space="preserve">招 标 公 告 </w:t>
      </w:r>
    </w:p>
    <w:p>
      <w:pPr>
        <w:spacing w:line="360" w:lineRule="auto"/>
        <w:jc w:val="center"/>
        <w:rPr>
          <w:rStyle w:val="15"/>
          <w:rFonts w:hint="eastAsia" w:ascii="宋体" w:hAnsi="宋体" w:eastAsia="宋体" w:cs="宋体"/>
          <w:color w:val="auto"/>
          <w:sz w:val="48"/>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b/>
          <w:color w:val="auto"/>
          <w:spacing w:val="-20"/>
          <w:sz w:val="72"/>
          <w:szCs w:val="72"/>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65" w:firstLineChars="176"/>
        <w:jc w:val="center"/>
        <w:rPr>
          <w:rFonts w:hint="eastAsia" w:ascii="宋体" w:hAnsi="宋体" w:eastAsia="宋体" w:cs="宋体"/>
          <w:b/>
          <w:bCs/>
          <w:color w:val="auto"/>
          <w:sz w:val="32"/>
          <w:szCs w:val="32"/>
          <w:highlight w:val="none"/>
        </w:rPr>
      </w:pPr>
    </w:p>
    <w:p>
      <w:pPr>
        <w:spacing w:line="360" w:lineRule="auto"/>
        <w:ind w:firstLine="495" w:firstLineChars="176"/>
        <w:jc w:val="left"/>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8"/>
          <w:szCs w:val="28"/>
          <w:highlight w:val="none"/>
        </w:rPr>
        <w:t>招标单位：</w:t>
      </w:r>
      <w:r>
        <w:rPr>
          <w:rFonts w:hint="eastAsia" w:ascii="宋体" w:hAnsi="宋体" w:eastAsia="宋体" w:cs="宋体"/>
          <w:b/>
          <w:color w:val="auto"/>
          <w:kern w:val="0"/>
          <w:sz w:val="28"/>
          <w:szCs w:val="28"/>
          <w:highlight w:val="none"/>
        </w:rPr>
        <w:t>广佛（佛冈）产业园高新投资开发有限公司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招标代理机构：广东远东招标代理有限公司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日期：2023年</w:t>
      </w:r>
      <w:r>
        <w:rPr>
          <w:rFonts w:hint="eastAsia" w:ascii="宋体" w:hAnsi="宋体" w:cs="宋体"/>
          <w:b/>
          <w:bCs/>
          <w:color w:val="auto"/>
          <w:sz w:val="28"/>
          <w:szCs w:val="28"/>
          <w:highlight w:val="none"/>
          <w:lang w:val="en-US" w:eastAsia="zh-CN"/>
        </w:rPr>
        <w:t>05</w:t>
      </w:r>
      <w:r>
        <w:rPr>
          <w:rFonts w:hint="eastAsia" w:ascii="宋体" w:hAnsi="宋体" w:eastAsia="宋体" w:cs="宋体"/>
          <w:b/>
          <w:bCs/>
          <w:color w:val="auto"/>
          <w:sz w:val="28"/>
          <w:szCs w:val="28"/>
          <w:highlight w:val="none"/>
        </w:rPr>
        <w:t>月</w:t>
      </w:r>
    </w:p>
    <w:p>
      <w:pPr>
        <w:pStyle w:val="9"/>
        <w:spacing w:line="360" w:lineRule="auto"/>
        <w:jc w:val="center"/>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u w:val="none"/>
        </w:rPr>
        <w:br w:type="page"/>
      </w:r>
      <w:r>
        <w:rPr>
          <w:rFonts w:hint="eastAsia" w:ascii="宋体" w:hAnsi="宋体" w:eastAsia="宋体" w:cs="宋体"/>
          <w:b/>
          <w:color w:val="auto"/>
          <w:sz w:val="28"/>
          <w:szCs w:val="28"/>
          <w:highlight w:val="none"/>
          <w:u w:val="none"/>
        </w:rPr>
        <w:t>广清经济特别合作区广佛（佛冈）产业园统建管道接入工程</w:t>
      </w:r>
    </w:p>
    <w:p>
      <w:pPr>
        <w:pStyle w:val="9"/>
        <w:spacing w:line="360" w:lineRule="auto"/>
        <w:jc w:val="center"/>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设计、施工（一期）总承包</w:t>
      </w:r>
      <w:r>
        <w:rPr>
          <w:rFonts w:hint="eastAsia" w:ascii="宋体" w:hAnsi="宋体" w:eastAsia="宋体" w:cs="宋体"/>
          <w:b/>
          <w:color w:val="auto"/>
          <w:sz w:val="28"/>
          <w:szCs w:val="28"/>
          <w:highlight w:val="none"/>
          <w:u w:val="none"/>
          <w:lang w:eastAsia="zh-CN"/>
        </w:rPr>
        <w:t>（</w:t>
      </w:r>
      <w:r>
        <w:rPr>
          <w:rFonts w:hint="eastAsia" w:ascii="宋体" w:hAnsi="宋体" w:eastAsia="宋体" w:cs="宋体"/>
          <w:b/>
          <w:color w:val="auto"/>
          <w:sz w:val="28"/>
          <w:szCs w:val="28"/>
          <w:highlight w:val="none"/>
          <w:u w:val="none"/>
          <w:lang w:val="en-US" w:eastAsia="zh-CN"/>
        </w:rPr>
        <w:t>重新招标</w:t>
      </w:r>
      <w:r>
        <w:rPr>
          <w:rFonts w:hint="eastAsia" w:ascii="宋体" w:hAnsi="宋体" w:eastAsia="宋体" w:cs="宋体"/>
          <w:b/>
          <w:color w:val="auto"/>
          <w:sz w:val="28"/>
          <w:szCs w:val="28"/>
          <w:highlight w:val="none"/>
          <w:u w:val="none"/>
          <w:lang w:eastAsia="zh-CN"/>
        </w:rPr>
        <w:t>）</w:t>
      </w:r>
      <w:r>
        <w:rPr>
          <w:rFonts w:hint="eastAsia" w:ascii="宋体" w:hAnsi="宋体" w:eastAsia="宋体" w:cs="宋体"/>
          <w:b/>
          <w:color w:val="auto"/>
          <w:sz w:val="28"/>
          <w:szCs w:val="28"/>
          <w:highlight w:val="none"/>
          <w:u w:val="none"/>
        </w:rPr>
        <w:t xml:space="preserve">  招标公告</w:t>
      </w:r>
    </w:p>
    <w:p>
      <w:pPr>
        <w:keepNext/>
        <w:keepLines/>
        <w:spacing w:before="260" w:after="260" w:line="360" w:lineRule="auto"/>
        <w:outlineLvl w:val="1"/>
        <w:rPr>
          <w:rFonts w:hint="eastAsia" w:ascii="宋体" w:hAnsi="宋体" w:eastAsia="宋体" w:cs="宋体"/>
          <w:b/>
          <w:bCs/>
          <w:color w:val="auto"/>
          <w:sz w:val="24"/>
          <w:szCs w:val="24"/>
          <w:highlight w:val="none"/>
        </w:rPr>
      </w:pPr>
      <w:bookmarkStart w:id="0" w:name="_Toc152042288"/>
      <w:bookmarkStart w:id="1" w:name="_Toc247527535"/>
      <w:bookmarkStart w:id="2" w:name="_Toc25027"/>
      <w:bookmarkStart w:id="3" w:name="_Toc5026"/>
      <w:bookmarkStart w:id="4" w:name="_Toc152045512"/>
      <w:bookmarkStart w:id="5" w:name="_Toc247513934"/>
      <w:bookmarkStart w:id="6" w:name="_Toc144974480"/>
      <w:r>
        <w:rPr>
          <w:rFonts w:hint="eastAsia" w:ascii="宋体" w:hAnsi="宋体" w:eastAsia="宋体" w:cs="宋体"/>
          <w:b/>
          <w:bCs/>
          <w:color w:val="auto"/>
          <w:sz w:val="24"/>
          <w:szCs w:val="24"/>
          <w:highlight w:val="none"/>
        </w:rPr>
        <w:t>1. 招标条件</w:t>
      </w:r>
      <w:bookmarkEnd w:id="0"/>
      <w:bookmarkEnd w:id="1"/>
      <w:bookmarkEnd w:id="2"/>
      <w:bookmarkEnd w:id="3"/>
      <w:bookmarkEnd w:id="4"/>
      <w:bookmarkEnd w:id="5"/>
      <w:bookmarkEnd w:id="6"/>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广清经济特别合作区广佛（佛冈）产业园统建管道接入工程设计、施工（一期）总承包</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清远市佛冈县发改局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广东省企业投资备案证（编号：2302-441821-04-01-831953）</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rPr>
        <w:t>广佛（佛冈）产业园高新投资开发有限公司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自筹资金</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广佛（佛冈）产业园高新投资开发有限公司</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rPr>
        <w:t>设计施工总承包</w:t>
      </w:r>
      <w:r>
        <w:rPr>
          <w:rFonts w:hint="eastAsia" w:ascii="宋体" w:hAnsi="宋体" w:eastAsia="宋体" w:cs="宋体"/>
          <w:color w:val="auto"/>
          <w:sz w:val="24"/>
          <w:szCs w:val="24"/>
          <w:highlight w:val="none"/>
        </w:rPr>
        <w:t>进行公开招标。</w:t>
      </w:r>
    </w:p>
    <w:p>
      <w:pPr>
        <w:keepNext/>
        <w:keepLines/>
        <w:spacing w:before="260" w:after="260" w:line="360" w:lineRule="auto"/>
        <w:outlineLvl w:val="1"/>
        <w:rPr>
          <w:rFonts w:hint="eastAsia" w:ascii="宋体" w:hAnsi="宋体" w:eastAsia="宋体" w:cs="宋体"/>
          <w:b/>
          <w:bCs/>
          <w:color w:val="auto"/>
          <w:sz w:val="24"/>
          <w:szCs w:val="24"/>
          <w:highlight w:val="none"/>
        </w:rPr>
      </w:pPr>
      <w:bookmarkStart w:id="7" w:name="_Toc152042289"/>
      <w:bookmarkStart w:id="8" w:name="_Toc247527536"/>
      <w:bookmarkStart w:id="9" w:name="_Toc247513935"/>
      <w:bookmarkStart w:id="10" w:name="_Toc19680"/>
      <w:bookmarkStart w:id="11" w:name="_Toc30111"/>
      <w:bookmarkStart w:id="12" w:name="_Toc152045513"/>
      <w:bookmarkStart w:id="13" w:name="_Toc144974481"/>
      <w:r>
        <w:rPr>
          <w:rFonts w:hint="eastAsia" w:ascii="宋体" w:hAnsi="宋体" w:eastAsia="宋体" w:cs="宋体"/>
          <w:b/>
          <w:bCs/>
          <w:color w:val="auto"/>
          <w:sz w:val="24"/>
          <w:szCs w:val="24"/>
          <w:highlight w:val="none"/>
        </w:rPr>
        <w:t>2. 项目概况与招标范围</w:t>
      </w:r>
      <w:bookmarkEnd w:id="7"/>
      <w:bookmarkEnd w:id="8"/>
      <w:bookmarkEnd w:id="9"/>
      <w:bookmarkEnd w:id="10"/>
      <w:bookmarkEnd w:id="11"/>
      <w:bookmarkEnd w:id="12"/>
      <w:bookmarkEnd w:id="13"/>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2.1</w:t>
      </w:r>
      <w:r>
        <w:rPr>
          <w:rFonts w:hint="eastAsia" w:ascii="宋体" w:hAnsi="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名称：广清经济特别合作区广佛（佛冈）产业园统建管道接入工程设计、施工（一期）总承包</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重新招标</w:t>
      </w:r>
      <w:r>
        <w:rPr>
          <w:rFonts w:hint="eastAsia" w:ascii="宋体" w:hAnsi="宋体" w:eastAsia="宋体" w:cs="宋体"/>
          <w:color w:val="auto"/>
          <w:sz w:val="24"/>
          <w:szCs w:val="24"/>
          <w:highlight w:val="none"/>
          <w:u w:val="none"/>
          <w:lang w:eastAsia="zh-CN"/>
        </w:rPr>
        <w:t>）</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2.2招标单位：广佛（佛冈）产业园高新投资开发有限公司</w:t>
      </w:r>
    </w:p>
    <w:p>
      <w:pPr>
        <w:widowControl/>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rPr>
        <w:t>联系人：林工  联系电话：</w:t>
      </w:r>
      <w:r>
        <w:rPr>
          <w:rFonts w:hint="eastAsia" w:ascii="宋体" w:hAnsi="宋体" w:eastAsia="宋体" w:cs="宋体"/>
          <w:color w:val="auto"/>
          <w:sz w:val="24"/>
          <w:szCs w:val="24"/>
          <w:highlight w:val="none"/>
          <w:u w:val="none"/>
        </w:rPr>
        <w:t>0763-4633363</w:t>
      </w:r>
    </w:p>
    <w:p>
      <w:pPr>
        <w:widowControl/>
        <w:snapToGrid w:val="0"/>
        <w:spacing w:line="360" w:lineRule="auto"/>
        <w:ind w:firstLine="480" w:firstLineChars="200"/>
        <w:jc w:val="left"/>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招标代理机构：</w:t>
      </w:r>
      <w:r>
        <w:rPr>
          <w:rFonts w:hint="eastAsia" w:ascii="宋体" w:hAnsi="宋体" w:eastAsia="宋体" w:cs="宋体"/>
          <w:color w:val="auto"/>
          <w:sz w:val="24"/>
          <w:szCs w:val="24"/>
          <w:highlight w:val="none"/>
          <w:u w:val="none"/>
        </w:rPr>
        <w:t>广东远东招标代理有限公司</w:t>
      </w:r>
      <w:bookmarkStart w:id="34" w:name="_GoBack"/>
      <w:bookmarkEnd w:id="34"/>
    </w:p>
    <w:p>
      <w:pPr>
        <w:widowControl/>
        <w:snapToGrid w:val="0"/>
        <w:spacing w:line="360" w:lineRule="auto"/>
        <w:ind w:firstLine="480" w:firstLineChars="200"/>
        <w:jc w:val="left"/>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联系人：陈工  联系电话：020-83642820</w:t>
      </w:r>
    </w:p>
    <w:p>
      <w:pPr>
        <w:widowControl/>
        <w:snapToGrid w:val="0"/>
        <w:spacing w:line="360" w:lineRule="auto"/>
        <w:ind w:firstLine="480" w:firstLineChars="200"/>
        <w:jc w:val="left"/>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 xml:space="preserve">招标监督机构：广州高新区投资集团有限公司 </w:t>
      </w:r>
    </w:p>
    <w:p>
      <w:pPr>
        <w:widowControl/>
        <w:snapToGrid w:val="0"/>
        <w:spacing w:line="360" w:lineRule="auto"/>
        <w:ind w:firstLine="480" w:firstLineChars="200"/>
        <w:jc w:val="left"/>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投诉电话：</w:t>
      </w:r>
      <w:r>
        <w:rPr>
          <w:rFonts w:hint="eastAsia" w:ascii="宋体" w:hAnsi="宋体" w:eastAsia="宋体" w:cs="宋体"/>
          <w:color w:val="auto"/>
          <w:sz w:val="24"/>
          <w:szCs w:val="24"/>
          <w:highlight w:val="none"/>
          <w:u w:val="none"/>
        </w:rPr>
        <w:t>0763-4633363</w:t>
      </w:r>
      <w:r>
        <w:rPr>
          <w:rFonts w:hint="eastAsia" w:ascii="宋体" w:hAnsi="宋体" w:eastAsia="宋体" w:cs="宋体"/>
          <w:color w:val="auto"/>
          <w:kern w:val="0"/>
          <w:sz w:val="24"/>
          <w:szCs w:val="24"/>
          <w:highlight w:val="none"/>
          <w:u w:val="none"/>
        </w:rPr>
        <w:t xml:space="preserve">     </w:t>
      </w:r>
    </w:p>
    <w:p>
      <w:pPr>
        <w:widowControl/>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2.3工程建设地点：广佛（佛冈）产业园。</w:t>
      </w:r>
    </w:p>
    <w:p>
      <w:pPr>
        <w:widowControl/>
        <w:snapToGrid w:val="0"/>
        <w:spacing w:line="360" w:lineRule="auto"/>
        <w:ind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2.4工程建设规模和工程投资：</w:t>
      </w:r>
      <w:bookmarkStart w:id="14" w:name="_Hlk111209974"/>
      <w:r>
        <w:rPr>
          <w:rFonts w:hint="eastAsia" w:ascii="宋体" w:hAnsi="宋体" w:eastAsia="宋体" w:cs="宋体"/>
          <w:color w:val="auto"/>
          <w:sz w:val="24"/>
          <w:szCs w:val="24"/>
          <w:highlight w:val="none"/>
          <w:u w:val="none"/>
        </w:rPr>
        <w:t>广清经济特别合作区广佛（佛冈）产业园统建管道接入工程分一期和二期工程建设，与道路同步施工建设，共计划建设通信管道123.72孔公里（其中一期78.12孔公里，二期45.60孔公里），涉及园区道路总长度21.69公里（其中一期11.27公里，二期10.42公里），总投资为854万元，本次招标范围为一期工程部分。建设内容包括通信管道工程、道路恢复工程等。</w:t>
      </w:r>
    </w:p>
    <w:bookmarkEnd w:id="14"/>
    <w:p>
      <w:pPr>
        <w:spacing w:line="360" w:lineRule="auto"/>
        <w:ind w:firstLine="492"/>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项目总投资为854万元，其中工程费746万元</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本次招标范围为一期工程部分</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建安</w:t>
      </w:r>
      <w:r>
        <w:rPr>
          <w:rFonts w:hint="eastAsia" w:ascii="宋体" w:hAnsi="宋体" w:eastAsia="宋体" w:cs="宋体"/>
          <w:color w:val="auto"/>
          <w:sz w:val="24"/>
          <w:szCs w:val="24"/>
          <w:highlight w:val="none"/>
          <w:u w:val="none"/>
        </w:rPr>
        <w:t>工程</w:t>
      </w:r>
      <w:r>
        <w:rPr>
          <w:rFonts w:hint="eastAsia" w:ascii="宋体" w:hAnsi="宋体" w:eastAsia="宋体" w:cs="宋体"/>
          <w:color w:val="auto"/>
          <w:sz w:val="24"/>
          <w:szCs w:val="24"/>
          <w:highlight w:val="none"/>
          <w:u w:val="none"/>
          <w:lang w:val="en-US" w:eastAsia="zh-CN"/>
        </w:rPr>
        <w:t>费为</w:t>
      </w:r>
      <w:r>
        <w:rPr>
          <w:rFonts w:hint="eastAsia" w:ascii="宋体" w:hAnsi="宋体" w:eastAsia="宋体" w:cs="宋体"/>
          <w:color w:val="auto"/>
          <w:sz w:val="24"/>
          <w:szCs w:val="24"/>
          <w:highlight w:val="none"/>
          <w:u w:val="none"/>
          <w:lang w:bidi="ar"/>
        </w:rPr>
        <w:t>479</w:t>
      </w:r>
      <w:r>
        <w:rPr>
          <w:rFonts w:hint="eastAsia" w:ascii="宋体" w:hAnsi="宋体" w:eastAsia="宋体" w:cs="宋体"/>
          <w:color w:val="auto"/>
          <w:sz w:val="24"/>
          <w:szCs w:val="24"/>
          <w:highlight w:val="none"/>
          <w:u w:val="none"/>
          <w:lang w:val="en-US" w:eastAsia="zh-CN" w:bidi="ar"/>
        </w:rPr>
        <w:t>万元</w:t>
      </w:r>
      <w:r>
        <w:rPr>
          <w:rFonts w:hint="eastAsia" w:ascii="宋体" w:hAnsi="宋体" w:cs="宋体"/>
          <w:color w:val="auto"/>
          <w:sz w:val="24"/>
          <w:szCs w:val="24"/>
          <w:highlight w:val="none"/>
          <w:u w:val="none"/>
          <w:lang w:val="en-US" w:eastAsia="zh-CN" w:bidi="ar"/>
        </w:rPr>
        <w:t>）</w:t>
      </w:r>
      <w:r>
        <w:rPr>
          <w:rFonts w:hint="eastAsia" w:ascii="宋体" w:hAnsi="宋体" w:eastAsia="宋体" w:cs="宋体"/>
          <w:color w:val="auto"/>
          <w:sz w:val="24"/>
          <w:szCs w:val="24"/>
          <w:highlight w:val="none"/>
          <w:u w:val="none"/>
        </w:rPr>
        <w:t>。</w:t>
      </w:r>
    </w:p>
    <w:p>
      <w:pPr>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2.5最高投标限价：人民币</w:t>
      </w:r>
      <w:r>
        <w:rPr>
          <w:rFonts w:hint="eastAsia" w:ascii="宋体" w:hAnsi="宋体" w:eastAsia="宋体" w:cs="宋体"/>
          <w:color w:val="auto"/>
          <w:sz w:val="24"/>
          <w:szCs w:val="24"/>
          <w:highlight w:val="none"/>
          <w:u w:val="none"/>
          <w:lang w:bidi="ar"/>
        </w:rPr>
        <w:t>494.41</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其中：设计费最高投标限价为</w:t>
      </w:r>
      <w:r>
        <w:rPr>
          <w:rFonts w:hint="eastAsia" w:ascii="宋体" w:hAnsi="宋体" w:eastAsia="宋体" w:cs="宋体"/>
          <w:color w:val="auto"/>
          <w:sz w:val="24"/>
          <w:szCs w:val="24"/>
          <w:highlight w:val="none"/>
          <w:u w:val="none"/>
          <w:lang w:bidi="ar"/>
        </w:rPr>
        <w:t>15.41</w:t>
      </w:r>
      <w:r>
        <w:rPr>
          <w:rFonts w:hint="eastAsia" w:ascii="宋体" w:hAnsi="宋体" w:eastAsia="宋体" w:cs="宋体"/>
          <w:color w:val="auto"/>
          <w:sz w:val="24"/>
          <w:szCs w:val="24"/>
          <w:highlight w:val="none"/>
          <w:u w:val="none"/>
        </w:rPr>
        <w:t>万元，建安工程费最高投标限价为</w:t>
      </w:r>
      <w:r>
        <w:rPr>
          <w:rFonts w:hint="eastAsia" w:ascii="宋体" w:hAnsi="宋体" w:eastAsia="宋体" w:cs="宋体"/>
          <w:color w:val="auto"/>
          <w:sz w:val="24"/>
          <w:szCs w:val="24"/>
          <w:highlight w:val="none"/>
          <w:u w:val="none"/>
          <w:lang w:bidi="ar"/>
        </w:rPr>
        <w:t>479</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其中各项全费用固定综合单价</w:t>
      </w:r>
      <w:r>
        <w:rPr>
          <w:rFonts w:hint="eastAsia" w:ascii="宋体" w:hAnsi="宋体" w:eastAsia="宋体" w:cs="宋体"/>
          <w:color w:val="auto"/>
          <w:sz w:val="24"/>
          <w:szCs w:val="24"/>
          <w:highlight w:val="none"/>
          <w:u w:val="none"/>
          <w:lang w:val="en-US" w:eastAsia="zh-CN"/>
        </w:rPr>
        <w:t>最高</w:t>
      </w:r>
      <w:r>
        <w:rPr>
          <w:rFonts w:hint="eastAsia" w:ascii="宋体" w:hAnsi="宋体" w:eastAsia="宋体" w:cs="宋体"/>
          <w:color w:val="auto"/>
          <w:sz w:val="24"/>
          <w:szCs w:val="24"/>
          <w:highlight w:val="none"/>
          <w:u w:val="none"/>
        </w:rPr>
        <w:t>投标限价</w:t>
      </w:r>
      <w:r>
        <w:rPr>
          <w:rFonts w:hint="eastAsia" w:ascii="宋体" w:hAnsi="宋体" w:eastAsia="宋体" w:cs="宋体"/>
          <w:color w:val="auto"/>
          <w:sz w:val="24"/>
          <w:szCs w:val="24"/>
          <w:highlight w:val="none"/>
          <w:u w:val="none"/>
          <w:lang w:val="en-US" w:eastAsia="zh-CN"/>
        </w:rPr>
        <w:t>分别为：</w:t>
      </w:r>
      <w:r>
        <w:rPr>
          <w:rFonts w:hint="eastAsia" w:ascii="宋体" w:hAnsi="宋体" w:eastAsia="宋体" w:cs="宋体"/>
          <w:color w:val="auto"/>
          <w:sz w:val="24"/>
          <w:szCs w:val="24"/>
          <w:highlight w:val="none"/>
          <w:u w:val="none"/>
        </w:rPr>
        <w:t>管道（含道路恢复）：</w:t>
      </w:r>
      <w:r>
        <w:rPr>
          <w:rFonts w:hint="eastAsia" w:ascii="宋体" w:hAnsi="宋体" w:eastAsia="宋体" w:cs="宋体"/>
          <w:color w:val="auto"/>
          <w:sz w:val="24"/>
          <w:szCs w:val="24"/>
          <w:highlight w:val="none"/>
          <w:u w:val="none"/>
          <w:lang w:val="en-US" w:eastAsia="zh-CN"/>
        </w:rPr>
        <w:t>56000</w:t>
      </w:r>
      <w:r>
        <w:rPr>
          <w:rFonts w:hint="eastAsia" w:ascii="宋体" w:hAnsi="宋体" w:eastAsia="宋体" w:cs="宋体"/>
          <w:color w:val="auto"/>
          <w:sz w:val="24"/>
          <w:szCs w:val="24"/>
          <w:highlight w:val="none"/>
          <w:u w:val="none"/>
        </w:rPr>
        <w:t>元/孔公里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顶管：</w:t>
      </w:r>
      <w:r>
        <w:rPr>
          <w:rFonts w:hint="eastAsia" w:ascii="宋体" w:hAnsi="宋体" w:eastAsia="宋体" w:cs="宋体"/>
          <w:color w:val="auto"/>
          <w:sz w:val="24"/>
          <w:szCs w:val="24"/>
          <w:highlight w:val="none"/>
          <w:u w:val="none"/>
          <w:lang w:val="en-US" w:eastAsia="zh-CN"/>
        </w:rPr>
        <w:t>75000</w:t>
      </w:r>
      <w:r>
        <w:rPr>
          <w:rFonts w:hint="eastAsia" w:ascii="宋体" w:hAnsi="宋体" w:eastAsia="宋体" w:cs="宋体"/>
          <w:color w:val="auto"/>
          <w:sz w:val="24"/>
          <w:szCs w:val="24"/>
          <w:highlight w:val="none"/>
          <w:u w:val="none"/>
        </w:rPr>
        <w:t>元/孔公里</w:t>
      </w:r>
      <w:r>
        <w:rPr>
          <w:rFonts w:hint="eastAsia" w:ascii="宋体" w:hAnsi="宋体" w:eastAsia="宋体" w:cs="宋体"/>
          <w:color w:val="auto"/>
          <w:sz w:val="24"/>
          <w:szCs w:val="24"/>
          <w:highlight w:val="none"/>
          <w:u w:val="none"/>
          <w:lang w:eastAsia="zh-CN"/>
        </w:rPr>
        <w:t>。</w:t>
      </w:r>
    </w:p>
    <w:p>
      <w:pPr>
        <w:spacing w:line="360" w:lineRule="auto"/>
        <w:ind w:firstLine="525" w:firstLineChars="21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2.6计划工期</w:t>
      </w:r>
    </w:p>
    <w:p>
      <w:pPr>
        <w:spacing w:line="360" w:lineRule="auto"/>
        <w:ind w:firstLine="590" w:firstLineChars="245"/>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设计工期：</w:t>
      </w:r>
      <w:r>
        <w:rPr>
          <w:rFonts w:hint="eastAsia" w:ascii="宋体" w:hAnsi="宋体" w:eastAsia="宋体" w:cs="宋体"/>
          <w:b/>
          <w:color w:val="auto"/>
          <w:sz w:val="24"/>
          <w:szCs w:val="24"/>
          <w:highlight w:val="none"/>
          <w:u w:val="single"/>
        </w:rPr>
        <w:t>中标单位在合同</w:t>
      </w:r>
      <w:r>
        <w:rPr>
          <w:rFonts w:hint="eastAsia" w:ascii="宋体" w:hAnsi="宋体" w:eastAsia="宋体" w:cs="宋体"/>
          <w:b/>
          <w:bCs w:val="0"/>
          <w:color w:val="auto"/>
          <w:sz w:val="24"/>
          <w:szCs w:val="24"/>
          <w:highlight w:val="none"/>
          <w:u w:val="single"/>
        </w:rPr>
        <w:t>签订后10工作日内完</w:t>
      </w:r>
      <w:r>
        <w:rPr>
          <w:rFonts w:hint="eastAsia" w:ascii="宋体" w:hAnsi="宋体" w:eastAsia="宋体" w:cs="宋体"/>
          <w:b/>
          <w:color w:val="auto"/>
          <w:sz w:val="24"/>
          <w:szCs w:val="24"/>
          <w:highlight w:val="none"/>
          <w:u w:val="single"/>
        </w:rPr>
        <w:t>成方案修改，方案设计批复后15个工作日内完成初步设计，初步设计审查批准后15个工作日内完成施工图设计，施工图设计文件经审查发现问题后3个工作日内完成补充、修订。</w:t>
      </w:r>
    </w:p>
    <w:p>
      <w:pPr>
        <w:spacing w:line="360" w:lineRule="auto"/>
        <w:ind w:firstLine="590" w:firstLineChars="245"/>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施工工期</w:t>
      </w:r>
      <w:r>
        <w:rPr>
          <w:rFonts w:hint="eastAsia" w:ascii="宋体" w:hAnsi="宋体" w:eastAsia="宋体" w:cs="宋体"/>
          <w:b/>
          <w:color w:val="auto"/>
          <w:sz w:val="24"/>
          <w:szCs w:val="24"/>
          <w:highlight w:val="none"/>
          <w:u w:val="single"/>
        </w:rPr>
        <w:t>：暂定</w:t>
      </w:r>
      <w:r>
        <w:rPr>
          <w:rFonts w:hint="eastAsia" w:ascii="宋体" w:hAnsi="宋体" w:eastAsia="宋体" w:cs="宋体"/>
          <w:b/>
          <w:color w:val="auto"/>
          <w:sz w:val="24"/>
          <w:szCs w:val="24"/>
          <w:highlight w:val="none"/>
          <w:u w:val="single"/>
          <w:lang w:val="en-US" w:eastAsia="zh-CN"/>
        </w:rPr>
        <w:t>180</w:t>
      </w:r>
      <w:r>
        <w:rPr>
          <w:rFonts w:hint="eastAsia" w:ascii="宋体" w:hAnsi="宋体" w:eastAsia="宋体" w:cs="宋体"/>
          <w:b/>
          <w:color w:val="auto"/>
          <w:sz w:val="24"/>
          <w:szCs w:val="24"/>
          <w:highlight w:val="none"/>
          <w:u w:val="single"/>
        </w:rPr>
        <w:t>日历天。（</w:t>
      </w:r>
      <w:r>
        <w:rPr>
          <w:rFonts w:hint="eastAsia" w:ascii="宋体" w:hAnsi="宋体" w:eastAsia="宋体" w:cs="宋体"/>
          <w:color w:val="auto"/>
          <w:sz w:val="24"/>
          <w:szCs w:val="24"/>
          <w:highlight w:val="none"/>
          <w:u w:val="single"/>
        </w:rPr>
        <w:t>本工程正式签署合同时，施工工期按中标投标文件承诺工期。）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包含设计各阶段（方案设计及修改、初步设计阶段、施工图设计阶段以及各阶段的相关报批审查时间等）；施工阶段（施工实施建设阶段、竣工验收、资料编制归档、交付使用手续办理等以及各阶段的相关报批、报建、检验、审查、备案等时间）。具体以招标人实际要求通知为准。</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2.7质量要求</w:t>
      </w:r>
    </w:p>
    <w:p>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2.7.1设计质量标准：</w:t>
      </w:r>
      <w:r>
        <w:rPr>
          <w:rFonts w:hint="eastAsia" w:ascii="宋体" w:hAnsi="宋体" w:eastAsia="宋体" w:cs="宋体"/>
          <w:color w:val="auto"/>
          <w:sz w:val="24"/>
          <w:szCs w:val="24"/>
          <w:highlight w:val="none"/>
          <w:u w:val="single"/>
        </w:rPr>
        <w:t>符合《建设工程质量管理条例》及《建设工程勘察设计管理条例》等国家及地方有关工程设计管理法规和规章，达到《市政公用工程设计文件编制深度规定（2016年版）（修订版）》及行业相关规范技术标准等要求。符合业主方提出的设计深度和设计深化要求。</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2.7.2施工质量标准：</w:t>
      </w:r>
      <w:r>
        <w:rPr>
          <w:rFonts w:hint="eastAsia" w:ascii="宋体" w:hAnsi="宋体" w:eastAsia="宋体" w:cs="宋体"/>
          <w:color w:val="auto"/>
          <w:sz w:val="24"/>
          <w:szCs w:val="24"/>
          <w:highlight w:val="none"/>
          <w:u w:val="single"/>
        </w:rPr>
        <w:t>符合设计图纸要求和国家、省、市相关法律法规规定要求及行业颁发的工程质量合格标准</w:t>
      </w:r>
      <w:r>
        <w:rPr>
          <w:rFonts w:hint="eastAsia" w:ascii="宋体" w:hAnsi="宋体" w:eastAsia="宋体" w:cs="宋体"/>
          <w:color w:val="auto"/>
          <w:sz w:val="24"/>
          <w:szCs w:val="24"/>
          <w:highlight w:val="none"/>
        </w:rPr>
        <w:t>。</w:t>
      </w:r>
    </w:p>
    <w:p>
      <w:pPr>
        <w:spacing w:line="360" w:lineRule="auto"/>
        <w:ind w:left="105" w:leftChars="50" w:firstLine="361" w:firstLineChars="15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2.7.3安全及文明施工目标：</w:t>
      </w:r>
      <w:r>
        <w:rPr>
          <w:rFonts w:hint="eastAsia" w:ascii="宋体" w:hAnsi="宋体" w:eastAsia="宋体" w:cs="宋体"/>
          <w:color w:val="auto"/>
          <w:sz w:val="24"/>
          <w:szCs w:val="24"/>
          <w:highlight w:val="none"/>
          <w:u w:val="single"/>
        </w:rPr>
        <w:t>保证施工场地清洁、扬尘及噪音管理符合环境卫生管理的有关规定。</w:t>
      </w:r>
    </w:p>
    <w:p>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2.8标段划分及各标段招标内容：</w:t>
      </w:r>
    </w:p>
    <w:p>
      <w:pPr>
        <w:spacing w:line="360" w:lineRule="auto"/>
        <w:ind w:firstLine="523" w:firstLineChars="218"/>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2.8.1标段划分：</w:t>
      </w:r>
      <w:r>
        <w:rPr>
          <w:rFonts w:hint="eastAsia" w:ascii="宋体" w:hAnsi="宋体" w:eastAsia="宋体" w:cs="宋体"/>
          <w:color w:val="auto"/>
          <w:kern w:val="0"/>
          <w:sz w:val="24"/>
          <w:szCs w:val="24"/>
          <w:highlight w:val="none"/>
          <w:u w:val="single"/>
        </w:rPr>
        <w:t>本工程设为一个标段。</w:t>
      </w:r>
    </w:p>
    <w:p>
      <w:pPr>
        <w:spacing w:line="360" w:lineRule="auto"/>
        <w:ind w:firstLine="492"/>
        <w:rPr>
          <w:rFonts w:hint="eastAsia" w:ascii="宋体" w:hAnsi="宋体" w:eastAsia="宋体" w:cs="宋体"/>
          <w:color w:val="auto"/>
          <w:sz w:val="24"/>
          <w:szCs w:val="24"/>
          <w:highlight w:val="none"/>
          <w:u w:val="single"/>
        </w:rPr>
      </w:pPr>
      <w:bookmarkStart w:id="15" w:name="OLE_LINK1"/>
      <w:r>
        <w:rPr>
          <w:rFonts w:hint="eastAsia" w:ascii="宋体" w:hAnsi="宋体" w:eastAsia="宋体" w:cs="宋体"/>
          <w:color w:val="auto"/>
          <w:kern w:val="0"/>
          <w:sz w:val="24"/>
          <w:szCs w:val="24"/>
          <w:highlight w:val="none"/>
        </w:rPr>
        <w:t>2.8.2</w:t>
      </w:r>
      <w:r>
        <w:rPr>
          <w:rFonts w:hint="eastAsia" w:ascii="宋体" w:hAnsi="宋体" w:eastAsia="宋体" w:cs="宋体"/>
          <w:color w:val="auto"/>
          <w:sz w:val="24"/>
          <w:szCs w:val="24"/>
          <w:highlight w:val="none"/>
        </w:rPr>
        <w:t>招标内容：</w:t>
      </w:r>
      <w:r>
        <w:rPr>
          <w:rFonts w:hint="eastAsia" w:ascii="宋体" w:hAnsi="宋体" w:eastAsia="宋体" w:cs="宋体"/>
          <w:color w:val="auto"/>
          <w:sz w:val="24"/>
          <w:szCs w:val="24"/>
          <w:highlight w:val="none"/>
          <w:u w:val="single"/>
        </w:rPr>
        <w:t>广清经济特别合作区广佛（佛冈）产业园统建管道接入工程分一期和二期工程建设，与道路同步施工建设，共计划建设通信管道123.72孔公里（其中一期78.12孔公里，二期45.60孔公里），涉及园区道路总长度21.69公里（其中一期11.27公里，二期10.42公里），总投资为854万元，建设内容包括通信管道工程、道路恢复工程等。本次招标范围为一期工程部分。</w:t>
      </w:r>
    </w:p>
    <w:p>
      <w:pPr>
        <w:spacing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包括但不限于以下内容（具体内容详见招标文件及合同协议书）</w:t>
      </w:r>
      <w:r>
        <w:rPr>
          <w:rFonts w:hint="eastAsia" w:ascii="宋体" w:hAnsi="宋体" w:eastAsia="宋体" w:cs="宋体"/>
          <w:color w:val="auto"/>
          <w:sz w:val="24"/>
          <w:szCs w:val="24"/>
          <w:highlight w:val="none"/>
        </w:rPr>
        <w:t>：</w:t>
      </w:r>
    </w:p>
    <w:p>
      <w:pPr>
        <w:spacing w:line="360" w:lineRule="auto"/>
        <w:ind w:firstLine="542" w:firstLineChars="2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2.8.2.1设计部分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（1）设计范围及内容（包括但不限于）：</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负责本项目方案设计、初步设计及概算、施工图设计、现场服务、施工及验收过程的配合、施工过程中的方案优化及设计变更等；全过程设计服务及协调工作（含派设计代表驻现场）；协助招标人办理规划报建、各专业报建及初步设计审查、办理建设工程规划许可证等报批报建工作。</w:t>
      </w:r>
    </w:p>
    <w:p>
      <w:pPr>
        <w:spacing w:line="360" w:lineRule="auto"/>
        <w:ind w:left="54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（2）设计成果文件要求：</w:t>
      </w:r>
      <w:r>
        <w:rPr>
          <w:rFonts w:hint="eastAsia" w:ascii="宋体" w:hAnsi="宋体" w:eastAsia="宋体" w:cs="宋体"/>
          <w:color w:val="auto"/>
          <w:sz w:val="24"/>
          <w:szCs w:val="24"/>
          <w:highlight w:val="none"/>
          <w:u w:val="single"/>
        </w:rPr>
        <w:t>按合同要求</w:t>
      </w:r>
      <w:r>
        <w:rPr>
          <w:rFonts w:hint="eastAsia" w:ascii="宋体" w:hAnsi="宋体" w:eastAsia="宋体" w:cs="宋体"/>
          <w:color w:val="auto"/>
          <w:sz w:val="24"/>
          <w:szCs w:val="24"/>
          <w:highlight w:val="none"/>
        </w:rPr>
        <w:t xml:space="preserve">。 </w:t>
      </w:r>
    </w:p>
    <w:bookmarkEnd w:id="15"/>
    <w:p>
      <w:pPr>
        <w:spacing w:line="360" w:lineRule="auto"/>
        <w:ind w:firstLine="542" w:firstLineChars="22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2.8.2.2施工部分</w:t>
      </w:r>
    </w:p>
    <w:p>
      <w:pP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（1）施工内容包括：</w:t>
      </w:r>
      <w:r>
        <w:rPr>
          <w:rFonts w:hint="eastAsia" w:ascii="宋体" w:hAnsi="宋体" w:eastAsia="宋体" w:cs="宋体"/>
          <w:color w:val="auto"/>
          <w:sz w:val="24"/>
          <w:szCs w:val="24"/>
          <w:highlight w:val="none"/>
          <w:u w:val="single"/>
        </w:rPr>
        <w:t>完成本项目所有施工内容，其中包括：按照招标文件及合同约定的范围和招标人批复的施工图进行施工总承包，包括但不限于：通信管道工程、道路恢复工程等；具体以招标人确认的施工图、经审定的施工图预算内容为准。</w:t>
      </w:r>
    </w:p>
    <w:p>
      <w:pPr>
        <w:adjustRightInd/>
        <w:snapToGrid/>
        <w:spacing w:line="360" w:lineRule="auto"/>
        <w:ind w:firstLine="600" w:firstLineChars="250"/>
        <w:rPr>
          <w:rFonts w:hint="eastAsia" w:ascii="宋体" w:hAnsi="宋体" w:eastAsia="宋体" w:cs="宋体"/>
          <w:bCs w:val="0"/>
          <w:snapToGrid/>
          <w:color w:val="auto"/>
          <w:sz w:val="24"/>
          <w:szCs w:val="24"/>
          <w:highlight w:val="none"/>
          <w:u w:val="single"/>
        </w:rPr>
      </w:pPr>
      <w:r>
        <w:rPr>
          <w:rFonts w:hint="eastAsia" w:ascii="宋体" w:hAnsi="宋体" w:eastAsia="宋体" w:cs="宋体"/>
          <w:color w:val="auto"/>
          <w:sz w:val="24"/>
          <w:szCs w:val="24"/>
          <w:highlight w:val="none"/>
        </w:rPr>
        <w:t>（2）承包方式：</w:t>
      </w:r>
      <w:r>
        <w:rPr>
          <w:rFonts w:hint="eastAsia" w:ascii="宋体" w:hAnsi="宋体" w:eastAsia="宋体" w:cs="宋体"/>
          <w:color w:val="auto"/>
          <w:sz w:val="24"/>
          <w:szCs w:val="24"/>
          <w:highlight w:val="none"/>
          <w:u w:val="single"/>
        </w:rPr>
        <w:t>包工、包料、包设备、包工期、包质量、包造价控制、包安全、包文明施工、包项目协调管理、包验收移交、包竣工资料收集整理、包保修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全费用固定综合单价包干。</w:t>
      </w:r>
      <w:r>
        <w:rPr>
          <w:rFonts w:hint="eastAsia" w:ascii="宋体" w:hAnsi="宋体" w:eastAsia="宋体" w:cs="宋体"/>
          <w:bCs w:val="0"/>
          <w:snapToGrid/>
          <w:color w:val="auto"/>
          <w:sz w:val="24"/>
          <w:szCs w:val="24"/>
          <w:highlight w:val="none"/>
          <w:u w:val="single"/>
        </w:rPr>
        <w:t>本工程实行全过程限额设计施工，发包人有权在限额范围内，根据对承包人的承包范围和承包工程量进行适当调整。</w:t>
      </w:r>
    </w:p>
    <w:p>
      <w:pPr>
        <w:pStyle w:val="21"/>
        <w:spacing w:line="360" w:lineRule="auto"/>
        <w:rPr>
          <w:rFonts w:hint="eastAsia" w:ascii="宋体" w:hAnsi="宋体" w:eastAsia="宋体" w:cs="宋体"/>
          <w:color w:val="auto"/>
          <w:sz w:val="24"/>
          <w:szCs w:val="24"/>
          <w:highlight w:val="none"/>
          <w:u w:val="single"/>
        </w:rPr>
      </w:pPr>
      <w:r>
        <w:rPr>
          <w:rFonts w:hint="eastAsia" w:ascii="宋体" w:hAnsi="宋体" w:eastAsia="宋体" w:cs="宋体"/>
          <w:bCs w:val="0"/>
          <w:snapToGrid/>
          <w:color w:val="auto"/>
          <w:sz w:val="24"/>
          <w:szCs w:val="24"/>
          <w:highlight w:val="none"/>
          <w:u w:val="single"/>
        </w:rPr>
        <w:t>全费用固定综合单价=工程全费用综合单价限价×（1-中标下浮率）</w:t>
      </w:r>
      <w:r>
        <w:rPr>
          <w:rFonts w:hint="eastAsia" w:ascii="宋体" w:hAnsi="宋体" w:eastAsia="宋体" w:cs="宋体"/>
          <w:bCs w:val="0"/>
          <w:snapToGrid/>
          <w:color w:val="auto"/>
          <w:sz w:val="24"/>
          <w:szCs w:val="24"/>
          <w:highlight w:val="none"/>
          <w:u w:val="single"/>
          <w:lang w:eastAsia="zh-CN"/>
        </w:rPr>
        <w:t>（</w:t>
      </w:r>
      <w:r>
        <w:rPr>
          <w:rFonts w:hint="eastAsia" w:ascii="宋体" w:hAnsi="宋体" w:eastAsia="宋体" w:cs="宋体"/>
          <w:bCs w:val="0"/>
          <w:snapToGrid/>
          <w:color w:val="auto"/>
          <w:sz w:val="24"/>
          <w:szCs w:val="24"/>
          <w:highlight w:val="none"/>
          <w:u w:val="single"/>
        </w:rPr>
        <w:t>建安工程费中标下浮率=（1-建安工程费中标价格÷建安工程费最高投标限价）×100%</w:t>
      </w:r>
      <w:r>
        <w:rPr>
          <w:rFonts w:hint="eastAsia" w:ascii="宋体" w:hAnsi="宋体" w:eastAsia="宋体" w:cs="宋体"/>
          <w:bCs w:val="0"/>
          <w:snapToGrid/>
          <w:color w:val="auto"/>
          <w:sz w:val="24"/>
          <w:szCs w:val="24"/>
          <w:highlight w:val="none"/>
          <w:u w:val="single"/>
          <w:lang w:eastAsia="zh-CN"/>
        </w:rPr>
        <w:t>）</w:t>
      </w:r>
      <w:r>
        <w:rPr>
          <w:rFonts w:hint="eastAsia" w:ascii="宋体" w:hAnsi="宋体" w:eastAsia="宋体" w:cs="宋体"/>
          <w:bCs w:val="0"/>
          <w:snapToGrid/>
          <w:color w:val="auto"/>
          <w:sz w:val="24"/>
          <w:szCs w:val="24"/>
          <w:highlight w:val="none"/>
          <w:u w:val="single"/>
        </w:rPr>
        <w:t>，结算时全费用固定综合单价包干、工程量按实计算。</w:t>
      </w:r>
      <w:r>
        <w:rPr>
          <w:rFonts w:hint="eastAsia" w:ascii="宋体" w:hAnsi="宋体" w:eastAsia="宋体" w:cs="宋体"/>
          <w:color w:val="auto"/>
          <w:sz w:val="24"/>
          <w:szCs w:val="24"/>
          <w:highlight w:val="none"/>
          <w:u w:val="single"/>
        </w:rPr>
        <w:t>全费用固定综合单价</w:t>
      </w:r>
      <w:r>
        <w:rPr>
          <w:rFonts w:hint="eastAsia" w:ascii="宋体" w:hAnsi="宋体" w:eastAsia="宋体" w:cs="宋体"/>
          <w:color w:val="auto"/>
          <w:sz w:val="24"/>
          <w:szCs w:val="24"/>
          <w:highlight w:val="none"/>
          <w:u w:val="single"/>
          <w:lang w:val="en-US" w:eastAsia="zh-CN"/>
        </w:rPr>
        <w:t>已</w:t>
      </w:r>
      <w:r>
        <w:rPr>
          <w:rFonts w:hint="eastAsia" w:ascii="宋体" w:hAnsi="宋体" w:eastAsia="宋体" w:cs="宋体"/>
          <w:color w:val="auto"/>
          <w:sz w:val="24"/>
          <w:szCs w:val="24"/>
          <w:highlight w:val="none"/>
          <w:u w:val="single"/>
        </w:rPr>
        <w:t>包含分项工程人工费、材料费、机械费、管理费、措施项目费、安全文明</w:t>
      </w:r>
      <w:r>
        <w:rPr>
          <w:rFonts w:hint="eastAsia" w:ascii="宋体" w:hAnsi="宋体" w:eastAsia="宋体" w:cs="宋体"/>
          <w:color w:val="auto"/>
          <w:sz w:val="24"/>
          <w:szCs w:val="24"/>
          <w:highlight w:val="none"/>
          <w:u w:val="single"/>
          <w:lang w:eastAsia="zh-CN"/>
        </w:rPr>
        <w:t>建安工程费</w:t>
      </w:r>
      <w:r>
        <w:rPr>
          <w:rFonts w:hint="eastAsia" w:ascii="宋体" w:hAnsi="宋体" w:eastAsia="宋体" w:cs="宋体"/>
          <w:color w:val="auto"/>
          <w:sz w:val="24"/>
          <w:szCs w:val="24"/>
          <w:highlight w:val="none"/>
          <w:u w:val="single"/>
        </w:rPr>
        <w:t>、措施项目费、施工围蔽费、其他项目费、利润、规费、税金</w:t>
      </w:r>
      <w:r>
        <w:rPr>
          <w:rFonts w:hint="eastAsia" w:ascii="宋体" w:hAnsi="宋体" w:eastAsia="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rPr>
        <w:t>一定范围内的风险等，不再计算其他任何费用，后期固定</w:t>
      </w:r>
      <w:r>
        <w:rPr>
          <w:rFonts w:hint="eastAsia" w:ascii="宋体" w:hAnsi="宋体" w:eastAsia="宋体" w:cs="宋体"/>
          <w:bCs w:val="0"/>
          <w:snapToGrid/>
          <w:color w:val="auto"/>
          <w:sz w:val="24"/>
          <w:szCs w:val="24"/>
          <w:highlight w:val="none"/>
          <w:u w:val="single"/>
        </w:rPr>
        <w:t>综合单价</w:t>
      </w:r>
      <w:r>
        <w:rPr>
          <w:rFonts w:hint="eastAsia" w:ascii="宋体" w:hAnsi="宋体" w:eastAsia="宋体" w:cs="宋体"/>
          <w:color w:val="auto"/>
          <w:sz w:val="24"/>
          <w:szCs w:val="24"/>
          <w:highlight w:val="none"/>
          <w:u w:val="single"/>
        </w:rPr>
        <w:t>不作调整。</w:t>
      </w:r>
    </w:p>
    <w:p>
      <w:pPr>
        <w:spacing w:line="360" w:lineRule="auto"/>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2.9前期服务机构：</w:t>
      </w:r>
      <w:r>
        <w:rPr>
          <w:rFonts w:hint="eastAsia" w:ascii="宋体" w:hAnsi="宋体" w:eastAsia="宋体" w:cs="宋体"/>
          <w:color w:val="auto"/>
          <w:kern w:val="0"/>
          <w:sz w:val="24"/>
          <w:szCs w:val="24"/>
          <w:highlight w:val="none"/>
          <w:u w:val="single"/>
        </w:rPr>
        <w:t>广东省国际工程咨询有限公司（可研编制单位）</w:t>
      </w:r>
      <w:r>
        <w:rPr>
          <w:rFonts w:hint="eastAsia" w:ascii="宋体" w:hAnsi="宋体" w:eastAsia="宋体" w:cs="宋体"/>
          <w:color w:val="auto"/>
          <w:sz w:val="24"/>
          <w:szCs w:val="24"/>
          <w:highlight w:val="none"/>
          <w:u w:val="single"/>
        </w:rPr>
        <w:t>。</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2.10投标担保：人民币</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万元，投标担保须在开标前完成缴纳，具体要求详见招标文件。</w:t>
      </w:r>
    </w:p>
    <w:p>
      <w:pPr>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3.投标人资格要求：</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3.1投标人参加投标的意思表达清楚，投标人代表被授权有效；</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3.2投标人（</w:t>
      </w:r>
      <w:r>
        <w:rPr>
          <w:rFonts w:hint="eastAsia" w:ascii="宋体" w:hAnsi="宋体" w:eastAsia="宋体" w:cs="宋体"/>
          <w:color w:val="auto"/>
          <w:sz w:val="24"/>
          <w:szCs w:val="24"/>
          <w:highlight w:val="none"/>
        </w:rPr>
        <w:t>若为联合体投标，指联合体各方</w:t>
      </w:r>
      <w:r>
        <w:rPr>
          <w:rFonts w:hint="eastAsia" w:ascii="宋体" w:hAnsi="宋体" w:eastAsia="宋体" w:cs="宋体"/>
          <w:color w:val="auto"/>
          <w:kern w:val="2"/>
          <w:sz w:val="24"/>
          <w:szCs w:val="24"/>
          <w:highlight w:val="none"/>
        </w:rPr>
        <w:t>）均具有独立法人资格，按国家法律经营；</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3.3投标人持有建设行政主管部门颁发的企业资质证书；</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3.4投标人（若为联合体投标，由施工方提供）持有建设行政主管部门颁发的安全生产许可证； </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3.5投标人同时具有承接本工程所需的如下设计类和施工类资质：</w:t>
      </w:r>
    </w:p>
    <w:p>
      <w:pPr>
        <w:numPr>
          <w:ilvl w:val="0"/>
          <w:numId w:val="1"/>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工程设计资质：</w:t>
      </w:r>
      <w:r>
        <w:rPr>
          <w:rFonts w:hint="eastAsia" w:ascii="宋体" w:hAnsi="宋体" w:eastAsia="宋体" w:cs="宋体"/>
          <w:color w:val="auto"/>
          <w:sz w:val="24"/>
          <w:szCs w:val="24"/>
          <w:highlight w:val="none"/>
          <w:u w:val="single"/>
        </w:rPr>
        <w:t>工程设计综合资质，或电子通信广电行业（通信工程）乙级或以上设计资质，或电子通信广电行业（有线通信）专业乙级或以上设计资质。</w:t>
      </w:r>
    </w:p>
    <w:p>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注：①国内申请人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工程设计企业资质证书有效期按《住房和城乡建设部办公厅关于建设工程企业资质延续有关事项的通知》（建办市函〔2020〕334号）、《住房和城乡建设部建筑市场监管司关于建设工程企业资质有效期延期的通知》（建司局函市〔2020〕38号）、《住房和城乡建设部办公厅关于建设工程企业资质统一延续有关事项的通知》（建办市函〔2021〕510号）、《广东省住房和城乡建设厅关于建设工程企业资质延续有关事项的通知》（粤建许函〔2020〕298号）、《广东省住房和城乡建设厅关于建设工程企业资质有效期延期的通知》（粤建许函〔2021〕849号）、《广州市住房和城乡建设局关于建设工程企业资质有效期顺延的通知》（穗建审批〔2020〕295号）和《住房和城乡建设部办公厅关于做好建筑业“证照分离”改革衔接有关工作的通知》（建办市〔2021〕30号）执行。工程设计企业资质执行《住房和城乡建设部关于印发建设工程企业资质管理制度改革方案的通知》（建市〔2020〕94号）规定。</w:t>
      </w:r>
    </w:p>
    <w:p>
      <w:pPr>
        <w:pStyle w:val="19"/>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（2）施工资质：</w:t>
      </w:r>
      <w:r>
        <w:rPr>
          <w:rFonts w:hint="eastAsia" w:ascii="宋体" w:hAnsi="宋体" w:eastAsia="宋体" w:cs="宋体"/>
          <w:color w:val="auto"/>
          <w:sz w:val="24"/>
          <w:szCs w:val="24"/>
          <w:highlight w:val="none"/>
          <w:u w:val="single"/>
        </w:rPr>
        <w:t>通信工程施工总承包三级或以上级别施工总承包资质；</w:t>
      </w:r>
    </w:p>
    <w:p>
      <w:pPr>
        <w:pStyle w:val="5"/>
        <w:kinsoku w:val="0"/>
        <w:overflowPunct w:val="0"/>
        <w:spacing w:before="72" w:line="360" w:lineRule="auto"/>
        <w:ind w:left="153" w:right="205"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①国内申请人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3.6投标人拟担任本工程：</w:t>
      </w:r>
    </w:p>
    <w:p>
      <w:pPr>
        <w:pStyle w:val="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（1）设计负责人（若为联合体投标，由承接设计任务方提供）的人员为：须具备</w:t>
      </w:r>
      <w:r>
        <w:rPr>
          <w:rFonts w:hint="eastAsia" w:ascii="宋体" w:hAnsi="宋体" w:eastAsia="宋体" w:cs="宋体"/>
          <w:color w:val="auto"/>
          <w:sz w:val="24"/>
          <w:szCs w:val="24"/>
          <w:highlight w:val="none"/>
          <w:u w:val="single"/>
        </w:rPr>
        <w:t>通信相关专业中级或以上技术职称</w:t>
      </w:r>
      <w:r>
        <w:rPr>
          <w:rFonts w:hint="eastAsia" w:ascii="宋体" w:hAnsi="宋体" w:eastAsia="宋体" w:cs="宋体"/>
          <w:color w:val="auto"/>
          <w:kern w:val="0"/>
          <w:sz w:val="24"/>
          <w:szCs w:val="24"/>
          <w:highlight w:val="none"/>
        </w:rPr>
        <w:t>。</w:t>
      </w:r>
    </w:p>
    <w:p>
      <w:pPr>
        <w:pStyle w:val="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注：设计负责人与项目负责人不能为同一人。</w:t>
      </w:r>
    </w:p>
    <w:p>
      <w:pPr>
        <w:pStyle w:val="19"/>
        <w:numPr>
          <w:ilvl w:val="0"/>
          <w:numId w:val="2"/>
        </w:numPr>
        <w:spacing w:line="360" w:lineRule="auto"/>
        <w:ind w:firstLine="480"/>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rPr>
        <w:t>项目负责人（若为联合体投标，由承担施工任务方提供,兼施工负责人，下同）的人员为：</w:t>
      </w:r>
      <w:r>
        <w:rPr>
          <w:rFonts w:hint="eastAsia" w:ascii="宋体" w:hAnsi="宋体" w:eastAsia="宋体" w:cs="宋体"/>
          <w:color w:val="auto"/>
          <w:sz w:val="24"/>
          <w:szCs w:val="24"/>
          <w:highlight w:val="none"/>
          <w:u w:val="single"/>
        </w:rPr>
        <w:t>通信与广电工程专业壹级注册建造师，且在投标人（或联合体主办方）单位注册；</w:t>
      </w:r>
      <w:r>
        <w:rPr>
          <w:rFonts w:hint="eastAsia" w:ascii="宋体" w:hAnsi="宋体" w:eastAsia="宋体" w:cs="宋体"/>
          <w:color w:val="auto"/>
          <w:sz w:val="24"/>
          <w:szCs w:val="24"/>
          <w:highlight w:val="none"/>
          <w:u w:val="single"/>
          <w:shd w:val="clear" w:color="auto" w:fill="FFFFFF"/>
        </w:rPr>
        <w:t>投标人在投标登记时由广州公共资源交易中心对投标人该项目负责人进行锁定。</w:t>
      </w:r>
    </w:p>
    <w:p>
      <w:pPr>
        <w:pStyle w:val="19"/>
        <w:numPr>
          <w:ilvl w:val="255"/>
          <w:numId w:val="0"/>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shd w:val="clear" w:color="auto" w:fill="FFFFFF"/>
        </w:rPr>
        <w:t>（3）</w:t>
      </w:r>
      <w:r>
        <w:rPr>
          <w:rFonts w:hint="eastAsia" w:ascii="宋体" w:hAnsi="宋体" w:eastAsia="宋体" w:cs="宋体"/>
          <w:color w:val="auto"/>
          <w:sz w:val="24"/>
          <w:szCs w:val="24"/>
          <w:highlight w:val="none"/>
        </w:rPr>
        <w:t>技术负责人（若为联合体投标，由承担施工任务方提供）的要求为：</w:t>
      </w:r>
      <w:r>
        <w:rPr>
          <w:rFonts w:hint="eastAsia" w:ascii="宋体" w:hAnsi="宋体" w:eastAsia="宋体" w:cs="宋体"/>
          <w:color w:val="auto"/>
          <w:sz w:val="24"/>
          <w:szCs w:val="24"/>
          <w:highlight w:val="none"/>
          <w:u w:val="single"/>
        </w:rPr>
        <w:t>通信类相关专业中级工程师或以上技术职称。</w:t>
      </w:r>
    </w:p>
    <w:p>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3.7</w:t>
      </w:r>
      <w:r>
        <w:rPr>
          <w:rFonts w:hint="eastAsia" w:ascii="宋体" w:hAnsi="宋体" w:eastAsia="宋体" w:cs="宋体"/>
          <w:color w:val="auto"/>
          <w:sz w:val="24"/>
          <w:szCs w:val="24"/>
          <w:highlight w:val="none"/>
        </w:rPr>
        <w:t>项目负责人须持有在有效期内的安全生产考核合格证书（B类）或建筑施工企业项目负责人安全生产考核合格证书。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3.8专职安全员（若为联合体投标，由承担施工任务方提供）须持有在有效期内的安全生产考核合格证书（C类）或建筑施工企业专职安全生产管理人员安全生产考核合格证书。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①根据建办市【2019】50号文《住房和城乡建设部办公厅关于取消一级建造师临时执业证书的通知》、粤建市【2019】153号文件《广东省住房和城乡建设厅关于取消二级建造师临时执业证书的通知》，注册建造师不含注册临时建造师。注册建造师的专业及等级标准按《注册建造师执业管理办法（试行）执行》、《注册建造师执业工程规模标准（试行）》执行。</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小型项目负责人需符合粤建市[2010]26号文规定，专业以企业聘书上所聘专业为准，如聘书中专业未明确，以小型项目负责人培训合格证或小型负责人继续教育培训合格证中的专业为准。</w:t>
      </w:r>
    </w:p>
    <w:p>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负责人（兼施工负责人）在任职期间不得担任专职安全员，项目专职安全员在任职期间也不得担任项目负责人（兼施工负责人），项目负责人（兼施工负责人）、技术负责人（若为联合体投标，由承担施工任务方提供）和安全员不为同一人。</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3.9投标人已按照本招标公告附件二的内容签署盖章的投标申请人声明。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3.10投标人业绩要求：无。</w:t>
      </w:r>
    </w:p>
    <w:p>
      <w:pPr>
        <w:spacing w:line="360" w:lineRule="auto"/>
        <w:ind w:firstLine="480" w:firstLineChars="200"/>
        <w:rPr>
          <w:rFonts w:hint="eastAsia" w:ascii="宋体" w:hAnsi="宋体" w:eastAsia="宋体" w:cs="宋体"/>
          <w:color w:val="auto"/>
          <w:sz w:val="24"/>
          <w:szCs w:val="24"/>
          <w:highlight w:val="none"/>
        </w:rPr>
      </w:pPr>
      <w:bookmarkStart w:id="16" w:name="_Toc245023997"/>
      <w:bookmarkStart w:id="17" w:name="_Toc249846223"/>
      <w:bookmarkStart w:id="18" w:name="_Toc266881397"/>
      <w:bookmarkStart w:id="19" w:name="_Toc266093545"/>
      <w:bookmarkStart w:id="20" w:name="_Toc249845968"/>
      <w:bookmarkStart w:id="21" w:name="_Toc253143216"/>
      <w:r>
        <w:rPr>
          <w:rFonts w:hint="eastAsia" w:ascii="宋体" w:hAnsi="宋体" w:eastAsia="宋体" w:cs="宋体"/>
          <w:color w:val="auto"/>
          <w:sz w:val="24"/>
          <w:szCs w:val="24"/>
          <w:highlight w:val="none"/>
        </w:rPr>
        <w:t>3.11关于联合体投标：</w:t>
      </w:r>
      <w:bookmarkEnd w:id="16"/>
      <w:bookmarkEnd w:id="17"/>
      <w:bookmarkEnd w:id="18"/>
      <w:bookmarkEnd w:id="19"/>
      <w:bookmarkEnd w:id="20"/>
      <w:bookmarkEnd w:id="21"/>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3.11.1允许联合体投标，但只接受最多由2单位（即一家设计单位、一家施工单位）组成的联合体，应以承担施工任务的一方为主办方，并签定联合体投标协议书。联合体共同投标协议书应明确约定各方拟承担的工作和责任。</w:t>
      </w:r>
    </w:p>
    <w:p>
      <w:pPr>
        <w:spacing w:line="360" w:lineRule="auto"/>
        <w:ind w:firstLine="537" w:firstLineChars="224"/>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3.11.2投标人拟任本工程项目负责人、设计负责人必须是联合体中对应分工成员的正式员工；以上2项人员不得重复兼任。</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3.11.3联合体的资格条件按联合体任务分工进行评审（其中施工资质、安全生产许可证、专职安全员、项目负责人、类似项目施工业绩以承接施工任务的主办方为准；工程设计资质及设计负责人以承接设计任务的成员单位为准）。</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3.11.4联合体各方不得再以自己名义单独或加入其他联合体参加本项目的投标。</w:t>
      </w:r>
    </w:p>
    <w:p>
      <w:pPr>
        <w:spacing w:line="360" w:lineRule="auto"/>
        <w:ind w:firstLine="537" w:firstLineChars="224"/>
        <w:jc w:val="left"/>
        <w:rPr>
          <w:rFonts w:hint="eastAsia" w:ascii="宋体" w:hAnsi="宋体" w:eastAsia="宋体" w:cs="宋体"/>
          <w:color w:val="auto"/>
          <w:sz w:val="24"/>
          <w:szCs w:val="24"/>
          <w:highlight w:val="none"/>
        </w:rPr>
      </w:pPr>
      <w:bookmarkStart w:id="22" w:name="_Toc266881398"/>
      <w:bookmarkStart w:id="23" w:name="_Toc249845969"/>
      <w:bookmarkStart w:id="24" w:name="_Toc253143217"/>
      <w:bookmarkStart w:id="25" w:name="_Toc266093546"/>
      <w:bookmarkStart w:id="26" w:name="_Toc249846224"/>
      <w:bookmarkStart w:id="27" w:name="_Toc245023998"/>
      <w:r>
        <w:rPr>
          <w:rFonts w:hint="eastAsia" w:ascii="宋体" w:hAnsi="宋体" w:eastAsia="宋体" w:cs="宋体"/>
          <w:color w:val="auto"/>
          <w:sz w:val="24"/>
          <w:szCs w:val="24"/>
          <w:highlight w:val="none"/>
        </w:rPr>
        <w:t>3.12资格审查前，投标人（含联合体各方）须在广州公共资源交易中心企业库办理企业信息登记及拟担任本工程项目负责人、专职安全员须是本企业登记信息中的在册人员（请投标人及时维护、更新企业库的信息，确保其有效性）。</w:t>
      </w:r>
    </w:p>
    <w:p>
      <w:pPr>
        <w:spacing w:line="360" w:lineRule="auto"/>
        <w:ind w:firstLine="537" w:firstLineChars="224"/>
        <w:jc w:val="left"/>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rPr>
        <w:t>3.13</w:t>
      </w:r>
      <w:r>
        <w:rPr>
          <w:rFonts w:hint="eastAsia" w:ascii="宋体" w:hAnsi="宋体" w:eastAsia="宋体" w:cs="宋体"/>
          <w:color w:val="auto"/>
          <w:sz w:val="24"/>
          <w:szCs w:val="24"/>
          <w:highlight w:val="none"/>
          <w:u w:val="single"/>
          <w:shd w:val="clear" w:color="auto" w:fill="FFFFFF"/>
        </w:rPr>
        <w:t>本工程不接受被列入</w:t>
      </w:r>
      <w:r>
        <w:rPr>
          <w:rFonts w:hint="eastAsia" w:ascii="宋体" w:hAnsi="宋体" w:eastAsia="宋体" w:cs="宋体"/>
          <w:color w:val="auto"/>
          <w:sz w:val="24"/>
          <w:szCs w:val="24"/>
          <w:highlight w:val="none"/>
          <w:u w:val="single"/>
          <w:shd w:val="clear" w:color="auto" w:fill="FFFFFF"/>
          <w:lang w:val="en-US" w:eastAsia="zh-CN"/>
        </w:rPr>
        <w:t>广州开发区</w:t>
      </w:r>
      <w:r>
        <w:rPr>
          <w:rFonts w:hint="eastAsia" w:ascii="宋体" w:hAnsi="宋体" w:eastAsia="宋体" w:cs="宋体"/>
          <w:color w:val="auto"/>
          <w:sz w:val="24"/>
          <w:szCs w:val="24"/>
          <w:highlight w:val="none"/>
          <w:u w:val="single"/>
          <w:shd w:val="clear" w:color="auto" w:fill="FFFFFF"/>
        </w:rPr>
        <w:t>不良记录（处罚有效期内）的单位</w:t>
      </w:r>
      <w:r>
        <w:rPr>
          <w:rFonts w:hint="eastAsia" w:ascii="宋体" w:hAnsi="宋体" w:eastAsia="宋体" w:cs="宋体"/>
          <w:color w:val="auto"/>
          <w:sz w:val="24"/>
          <w:szCs w:val="24"/>
          <w:highlight w:val="none"/>
          <w:u w:val="single"/>
        </w:rPr>
        <w:t>（或联合体各方）</w:t>
      </w:r>
      <w:r>
        <w:rPr>
          <w:rFonts w:hint="eastAsia" w:ascii="宋体" w:hAnsi="宋体" w:eastAsia="宋体" w:cs="宋体"/>
          <w:color w:val="auto"/>
          <w:sz w:val="24"/>
          <w:szCs w:val="24"/>
          <w:highlight w:val="none"/>
          <w:u w:val="single"/>
          <w:shd w:val="clear" w:color="auto" w:fill="FFFFFF"/>
        </w:rPr>
        <w:t>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shd w:val="clear" w:color="auto" w:fill="FFFFFF"/>
        </w:rPr>
        <w:t>3.14</w:t>
      </w:r>
      <w:r>
        <w:rPr>
          <w:rFonts w:hint="eastAsia" w:ascii="宋体" w:hAnsi="宋体" w:eastAsia="宋体" w:cs="宋体"/>
          <w:color w:val="auto"/>
          <w:kern w:val="0"/>
          <w:sz w:val="24"/>
          <w:szCs w:val="24"/>
          <w:highlight w:val="none"/>
          <w:u w:val="single"/>
        </w:rPr>
        <w:t>投标人（或联合体各方）未出现以下情形：与其它投标人的单位负责人为同一人或者存在控股、管理关系的（按投标人提供的《投标申请人声明》（施工单位提供）第八条和《投标申请人声明》（设计单位提供）第四条内容进行评审）。</w:t>
      </w:r>
      <w:r>
        <w:rPr>
          <w:rFonts w:hint="eastAsia" w:ascii="宋体" w:hAnsi="宋体" w:eastAsia="宋体" w:cs="宋体"/>
          <w:color w:val="auto"/>
          <w:sz w:val="24"/>
          <w:szCs w:val="24"/>
          <w:highlight w:val="none"/>
          <w:u w:val="single"/>
        </w:rPr>
        <w:t>如不同投标申请人出现单位负责人为同一人或者存在控股、管理关系的情形，则判为无效标。</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注：①投标人需按要求提供法定代表人证明书原件扫描件，若投标人的法定代表人授权代理人签字或盖章的，投标文件应附由法定代表人签署的授权委托书原件扫描件，并加盖所在单位公章。</w:t>
      </w:r>
    </w:p>
    <w:p>
      <w:pPr>
        <w:spacing w:line="360" w:lineRule="auto"/>
        <w:ind w:firstLine="1015" w:firstLineChars="4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②未在招标公告第九条单列的资审合格条件，不作为资审不合格的依据。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3.15 </w:t>
      </w:r>
      <w:r>
        <w:rPr>
          <w:rFonts w:hint="eastAsia" w:ascii="宋体" w:hAnsi="宋体" w:eastAsia="宋体" w:cs="宋体"/>
          <w:color w:val="auto"/>
          <w:sz w:val="24"/>
          <w:szCs w:val="24"/>
          <w:highlight w:val="none"/>
          <w:u w:val="single"/>
          <w:shd w:val="clear" w:color="auto" w:fill="FFFFFF"/>
        </w:rPr>
        <w:t>本工程不接受前期服务机构投标。</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color w:val="auto"/>
          <w:sz w:val="24"/>
          <w:szCs w:val="24"/>
          <w:highlight w:val="none"/>
        </w:rPr>
        <w:t>发布公告时间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1、招标公告发布时间：</w:t>
      </w:r>
      <w:r>
        <w:rPr>
          <w:rFonts w:hint="eastAsia" w:ascii="宋体" w:hAnsi="宋体" w:eastAsia="宋体" w:cs="宋体"/>
          <w:color w:val="auto"/>
          <w:sz w:val="24"/>
          <w:szCs w:val="24"/>
          <w:highlight w:val="none"/>
          <w:u w:val="single"/>
        </w:rPr>
        <w:t>从2023年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日00时00分至2023年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注：发布招标公告的时间为招标公告发出之日起至投标截止时间止。</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color w:val="auto"/>
          <w:sz w:val="24"/>
          <w:szCs w:val="24"/>
          <w:highlight w:val="none"/>
        </w:rPr>
        <w:t>.投标文件的递交、提交投标文件电子光盘</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5.1本项目采用电子投标，投标文件递交起始时间为</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分；投标文件递交截止时间（投标截止时间，下同）为</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分，具体递交要求以招标文件为准。</w:t>
      </w:r>
      <w:r>
        <w:rPr>
          <w:rFonts w:hint="eastAsia" w:ascii="宋体" w:hAnsi="宋体" w:eastAsia="宋体" w:cs="宋体"/>
          <w:color w:val="auto"/>
          <w:sz w:val="24"/>
          <w:szCs w:val="24"/>
          <w:highlight w:val="none"/>
          <w:u w:val="single"/>
        </w:rPr>
        <w:t>按照广州公共资源交易中心交易平台关于全流程电子化项目的相关指南进行操作。详见：《房屋建筑和市政基础设施工程全流程电子化项目专章》。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在投标截止时间后半小时内为投标人投标文件解密时间，投标人通过广州公共资源交易平台对已递交的电子投标文件进行解密。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5.2开标开始时间和地点：</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分在广州公共资源交易中心指定开标室。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5.3投标截止时间与开标开始时间是否有变化，请密切留意招标答疑中的相关信息。</w:t>
      </w:r>
      <w:r>
        <w:rPr>
          <w:rFonts w:hint="eastAsia" w:ascii="宋体" w:hAnsi="宋体" w:eastAsia="宋体" w:cs="宋体"/>
          <w:color w:val="auto"/>
          <w:sz w:val="24"/>
          <w:szCs w:val="24"/>
          <w:highlight w:val="none"/>
          <w:u w:val="single"/>
        </w:rPr>
        <w:t>本项目各项投标活动具体可通过广州公共资源交易中心网站查询具体的时间和场地安排。投标人可登录广州公共资源交易中心网站首页，点击“交易业务-建设工程”专栏中的“项目查询（日程安排、答疑纪要）”，输入项目编号或项目名称查询最新信息。递交投标文件截止时间及开标时间是否有变化，请密切留意广州公共资源交易中心网站的相关信息。</w:t>
      </w:r>
      <w:r>
        <w:rPr>
          <w:rFonts w:hint="eastAsia" w:ascii="宋体" w:hAnsi="宋体" w:eastAsia="宋体" w:cs="宋体"/>
          <w:color w:val="auto"/>
          <w:sz w:val="24"/>
          <w:szCs w:val="24"/>
          <w:highlight w:val="none"/>
        </w:rPr>
        <w:t>递交投标文件截止时间后，开标开始时间因故推迟的，相关评标信息仍以原递交投标文件截止时间的信息为准。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投标人通过广州公共资源交易平台递交电子投标文件。投标人应在递交投标文件截止时间前，登录广州公共资源交易平台网站办理网上投标登记手续；完成所有投标文件的上传，并取得回执码，投标截止时间前未完成投标文件传输的，视为未递交投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如登记参加投标的申请人数量过少不足以形成充分竞争时，招标人在确认正式投标人之前，可以发出补充公告，适当延长投标登记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5.6在投标文件递交截止时间之前，投标人可以撤回或替换已递交的投标文件；可以修改网上投标登记相关信息。</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5.7提交投标文件光盘备用：</w:t>
      </w:r>
    </w:p>
    <w:p>
      <w:pPr>
        <w:spacing w:line="360" w:lineRule="auto"/>
        <w:ind w:left="239" w:leftChars="114"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投标文件光盘（备用）递交时间：</w:t>
      </w:r>
      <w:r>
        <w:rPr>
          <w:rFonts w:hint="eastAsia" w:ascii="宋体" w:hAnsi="宋体" w:eastAsia="宋体" w:cs="宋体"/>
          <w:color w:val="auto"/>
          <w:sz w:val="24"/>
          <w:szCs w:val="24"/>
          <w:highlight w:val="none"/>
          <w:u w:val="single"/>
        </w:rPr>
        <w:t>2023年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分至2023年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广州公共资源交易中心黄埔交易部指定开标室</w:t>
      </w:r>
      <w:r>
        <w:rPr>
          <w:rFonts w:hint="eastAsia" w:ascii="宋体" w:hAnsi="宋体" w:eastAsia="宋体" w:cs="宋体"/>
          <w:color w:val="auto"/>
          <w:sz w:val="24"/>
          <w:szCs w:val="24"/>
          <w:highlight w:val="none"/>
        </w:rPr>
        <w:t>。递交投标文件光盘备用时需提供法定人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bookmarkEnd w:id="22"/>
    <w:bookmarkEnd w:id="23"/>
    <w:bookmarkEnd w:id="24"/>
    <w:bookmarkEnd w:id="25"/>
    <w:bookmarkEnd w:id="26"/>
    <w:bookmarkEnd w:id="27"/>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资格审查方式：</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FFFFFF"/>
        </w:rPr>
        <w:t>6.1本项目采用资格后审，由评标委员会负责对投标人的资格进行审查，</w:t>
      </w:r>
      <w:r>
        <w:rPr>
          <w:rFonts w:hint="eastAsia" w:ascii="宋体" w:hAnsi="宋体" w:eastAsia="宋体" w:cs="宋体"/>
          <w:color w:val="auto"/>
          <w:sz w:val="24"/>
          <w:szCs w:val="24"/>
          <w:highlight w:val="none"/>
        </w:rPr>
        <w:t>评标时只对通过资格审查的投标人进行下一阶段的评审。</w:t>
      </w:r>
      <w:r>
        <w:rPr>
          <w:rFonts w:hint="eastAsia" w:ascii="宋体" w:hAnsi="宋体" w:eastAsia="宋体" w:cs="宋体"/>
          <w:color w:val="auto"/>
          <w:sz w:val="24"/>
          <w:szCs w:val="24"/>
          <w:highlight w:val="none"/>
          <w:shd w:val="clear" w:color="auto" w:fill="FFFFFF"/>
        </w:rPr>
        <w:t>满足资格审查合格条件</w:t>
      </w:r>
      <w:r>
        <w:rPr>
          <w:rFonts w:hint="eastAsia" w:ascii="宋体" w:hAnsi="宋体" w:eastAsia="宋体" w:cs="宋体"/>
          <w:color w:val="auto"/>
          <w:sz w:val="24"/>
          <w:szCs w:val="24"/>
          <w:highlight w:val="none"/>
          <w:u w:val="single"/>
          <w:shd w:val="clear" w:color="auto" w:fill="FFFFFF"/>
        </w:rPr>
        <w:t>（即投标人合格条件）</w:t>
      </w:r>
      <w:r>
        <w:rPr>
          <w:rFonts w:hint="eastAsia" w:ascii="宋体" w:hAnsi="宋体" w:eastAsia="宋体" w:cs="宋体"/>
          <w:color w:val="auto"/>
          <w:sz w:val="24"/>
          <w:szCs w:val="24"/>
          <w:highlight w:val="none"/>
          <w:shd w:val="clear" w:color="auto" w:fill="FFFFFF"/>
        </w:rPr>
        <w:t>的投标人不足</w:t>
      </w:r>
      <w:r>
        <w:rPr>
          <w:rFonts w:hint="eastAsia" w:ascii="宋体" w:hAnsi="宋体" w:eastAsia="宋体" w:cs="宋体"/>
          <w:color w:val="auto"/>
          <w:sz w:val="24"/>
          <w:szCs w:val="24"/>
          <w:highlight w:val="none"/>
        </w:rPr>
        <w:t>3名、或经评审通过工程总承包实施方案投标文件有效性审查的投标人少于3人时招标失败。招标人分析招标失败原因，修正招标方案，报有关管理部门核准后，重新组织招标。</w:t>
      </w:r>
      <w:r>
        <w:rPr>
          <w:rFonts w:hint="eastAsia" w:ascii="宋体" w:hAnsi="宋体" w:eastAsia="宋体" w:cs="宋体"/>
          <w:color w:val="auto"/>
          <w:sz w:val="24"/>
          <w:szCs w:val="24"/>
          <w:highlight w:val="none"/>
          <w:shd w:val="clear" w:color="auto" w:fill="FFFFFF"/>
        </w:rPr>
        <w:t>本项目为电子评标，投标人需按招标文件要求提交电子投标文件。</w:t>
      </w:r>
    </w:p>
    <w:p>
      <w:pPr>
        <w:spacing w:line="360" w:lineRule="auto"/>
        <w:ind w:firstLine="537" w:firstLineChars="224"/>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shd w:val="clear" w:color="auto" w:fill="FFFFFF"/>
        </w:rPr>
        <w:t>资格审查结果及中标结果将在广州公共资源交易中心网站公示，公开接受投标人的监督。</w:t>
      </w:r>
    </w:p>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7.费用：</w:t>
      </w:r>
    </w:p>
    <w:p>
      <w:pPr>
        <w:spacing w:line="360" w:lineRule="auto"/>
        <w:ind w:firstLine="537" w:firstLineChars="224"/>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7.1设计费由投标人根据招标文件要求以及企业自身情况填报，设计费报价不得超过设计费最高投标限价，结算按合同相应条款执行，最终结算价不得超过设计费最高投标限价。投标人按国家计委、建设部颁发的《工程勘察设计收费标准》（计价格</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2002</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10号）及穗开财字</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2014</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53号文下浮20%</w:t>
      </w:r>
      <w:r>
        <w:rPr>
          <w:rFonts w:hint="eastAsia" w:ascii="宋体" w:hAnsi="宋体" w:eastAsia="宋体" w:cs="宋体"/>
          <w:color w:val="auto"/>
          <w:kern w:val="0"/>
          <w:sz w:val="24"/>
          <w:szCs w:val="24"/>
          <w:highlight w:val="none"/>
          <w:u w:val="single"/>
          <w:lang w:val="en-US" w:eastAsia="zh-CN"/>
        </w:rPr>
        <w:t>并乘以（1-投标下浮率）</w:t>
      </w:r>
      <w:r>
        <w:rPr>
          <w:rFonts w:hint="eastAsia" w:ascii="宋体" w:hAnsi="宋体" w:eastAsia="宋体" w:cs="宋体"/>
          <w:color w:val="auto"/>
          <w:kern w:val="0"/>
          <w:sz w:val="24"/>
          <w:szCs w:val="24"/>
          <w:highlight w:val="none"/>
          <w:u w:val="single"/>
        </w:rPr>
        <w:t>计取。各单项基本设计收费=各单项工程设计收费基价×专业调整系数×工程复杂程度调整系数×附加调整系数。本工程专业调整系数定为：通信工程1.0，其他专业 1.0；复杂程度调整系数定为1.0；附加调整系数为1.0。</w:t>
      </w:r>
      <w:r>
        <w:rPr>
          <w:rFonts w:hint="eastAsia" w:ascii="宋体" w:hAnsi="宋体" w:eastAsia="宋体" w:cs="宋体"/>
          <w:color w:val="auto"/>
          <w:spacing w:val="10"/>
          <w:sz w:val="24"/>
          <w:szCs w:val="24"/>
          <w:highlight w:val="none"/>
        </w:rPr>
        <w:t>设计收费结算以</w:t>
      </w:r>
      <w:r>
        <w:rPr>
          <w:rFonts w:hint="eastAsia" w:ascii="宋体" w:hAnsi="宋体" w:eastAsia="宋体" w:cs="宋体"/>
          <w:color w:val="auto"/>
          <w:spacing w:val="10"/>
          <w:sz w:val="24"/>
          <w:szCs w:val="24"/>
          <w:highlight w:val="none"/>
          <w:lang w:val="en-US" w:eastAsia="zh-CN"/>
        </w:rPr>
        <w:t>中标</w:t>
      </w:r>
      <w:r>
        <w:rPr>
          <w:rFonts w:hint="eastAsia" w:ascii="宋体" w:hAnsi="宋体" w:eastAsia="宋体" w:cs="宋体"/>
          <w:color w:val="auto"/>
          <w:spacing w:val="10"/>
          <w:sz w:val="24"/>
          <w:szCs w:val="24"/>
          <w:highlight w:val="none"/>
        </w:rPr>
        <w:t>建安</w:t>
      </w:r>
      <w:r>
        <w:rPr>
          <w:rFonts w:hint="eastAsia" w:ascii="宋体" w:hAnsi="宋体" w:eastAsia="宋体" w:cs="宋体"/>
          <w:color w:val="auto"/>
          <w:spacing w:val="10"/>
          <w:sz w:val="24"/>
          <w:szCs w:val="24"/>
          <w:highlight w:val="none"/>
          <w:lang w:val="en-US" w:eastAsia="zh-CN"/>
        </w:rPr>
        <w:t>工程费</w:t>
      </w:r>
      <w:r>
        <w:rPr>
          <w:rFonts w:hint="eastAsia" w:ascii="宋体" w:hAnsi="宋体" w:eastAsia="宋体" w:cs="宋体"/>
          <w:color w:val="auto"/>
          <w:spacing w:val="10"/>
          <w:sz w:val="24"/>
          <w:szCs w:val="24"/>
          <w:highlight w:val="none"/>
        </w:rPr>
        <w:t>为计费</w:t>
      </w:r>
      <w:r>
        <w:rPr>
          <w:rFonts w:hint="eastAsia" w:ascii="宋体" w:hAnsi="宋体" w:eastAsia="宋体" w:cs="宋体"/>
          <w:color w:val="auto"/>
          <w:spacing w:val="10"/>
          <w:sz w:val="24"/>
          <w:szCs w:val="24"/>
          <w:highlight w:val="none"/>
          <w:lang w:val="en-US" w:eastAsia="zh-CN"/>
        </w:rPr>
        <w:t>基价</w:t>
      </w:r>
      <w:r>
        <w:rPr>
          <w:rFonts w:hint="eastAsia" w:ascii="宋体" w:hAnsi="宋体" w:eastAsia="宋体" w:cs="宋体"/>
          <w:color w:val="auto"/>
          <w:spacing w:val="10"/>
          <w:sz w:val="24"/>
          <w:szCs w:val="24"/>
          <w:highlight w:val="none"/>
        </w:rPr>
        <w:t>，但本工程建设项目审核后的</w:t>
      </w:r>
      <w:r>
        <w:rPr>
          <w:rFonts w:hint="eastAsia" w:ascii="宋体" w:hAnsi="宋体" w:eastAsia="宋体" w:cs="宋体"/>
          <w:color w:val="auto"/>
          <w:spacing w:val="10"/>
          <w:sz w:val="24"/>
          <w:szCs w:val="24"/>
          <w:highlight w:val="none"/>
          <w:lang w:val="en-US" w:eastAsia="zh-CN"/>
        </w:rPr>
        <w:t>建安工程费结算价</w:t>
      </w:r>
      <w:r>
        <w:rPr>
          <w:rFonts w:hint="eastAsia" w:ascii="宋体" w:hAnsi="宋体" w:eastAsia="宋体" w:cs="宋体"/>
          <w:color w:val="auto"/>
          <w:spacing w:val="10"/>
          <w:sz w:val="24"/>
          <w:szCs w:val="24"/>
          <w:highlight w:val="none"/>
        </w:rPr>
        <w:t>小于该</w:t>
      </w:r>
      <w:r>
        <w:rPr>
          <w:rFonts w:hint="eastAsia" w:ascii="宋体" w:hAnsi="宋体" w:eastAsia="宋体" w:cs="宋体"/>
          <w:color w:val="auto"/>
          <w:spacing w:val="10"/>
          <w:sz w:val="24"/>
          <w:szCs w:val="24"/>
          <w:highlight w:val="none"/>
          <w:lang w:eastAsia="zh-CN"/>
        </w:rPr>
        <w:t>计费基数</w:t>
      </w:r>
      <w:r>
        <w:rPr>
          <w:rFonts w:hint="eastAsia" w:ascii="宋体" w:hAnsi="宋体" w:eastAsia="宋体" w:cs="宋体"/>
          <w:color w:val="auto"/>
          <w:spacing w:val="10"/>
          <w:sz w:val="24"/>
          <w:szCs w:val="24"/>
          <w:highlight w:val="none"/>
        </w:rPr>
        <w:t>90%的，设计费结算以</w:t>
      </w:r>
      <w:r>
        <w:rPr>
          <w:rFonts w:hint="eastAsia" w:ascii="宋体" w:hAnsi="宋体" w:eastAsia="宋体" w:cs="宋体"/>
          <w:color w:val="auto"/>
          <w:spacing w:val="10"/>
          <w:sz w:val="24"/>
          <w:szCs w:val="24"/>
          <w:highlight w:val="none"/>
          <w:lang w:val="en-US" w:eastAsia="zh-CN"/>
        </w:rPr>
        <w:t>建安工程费结算价</w:t>
      </w:r>
      <w:r>
        <w:rPr>
          <w:rFonts w:hint="eastAsia" w:ascii="宋体" w:hAnsi="宋体" w:eastAsia="宋体" w:cs="宋体"/>
          <w:color w:val="auto"/>
          <w:spacing w:val="10"/>
          <w:sz w:val="24"/>
          <w:szCs w:val="24"/>
          <w:highlight w:val="none"/>
        </w:rPr>
        <w:t>为计费</w:t>
      </w:r>
      <w:r>
        <w:rPr>
          <w:rFonts w:hint="eastAsia" w:ascii="宋体" w:hAnsi="宋体" w:eastAsia="宋体" w:cs="宋体"/>
          <w:color w:val="auto"/>
          <w:spacing w:val="10"/>
          <w:sz w:val="24"/>
          <w:szCs w:val="24"/>
          <w:highlight w:val="none"/>
          <w:lang w:val="en-US" w:eastAsia="zh-CN"/>
        </w:rPr>
        <w:t>基数</w:t>
      </w:r>
      <w:r>
        <w:rPr>
          <w:rFonts w:hint="eastAsia" w:ascii="宋体" w:hAnsi="宋体" w:eastAsia="宋体" w:cs="宋体"/>
          <w:color w:val="auto"/>
          <w:spacing w:val="10"/>
          <w:sz w:val="24"/>
          <w:szCs w:val="24"/>
          <w:highlight w:val="none"/>
        </w:rPr>
        <w:t>，并调整设计费支付。</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u w:val="single"/>
        </w:rPr>
        <w:t>7.2</w:t>
      </w:r>
      <w:r>
        <w:rPr>
          <w:rFonts w:hint="eastAsia" w:ascii="宋体" w:hAnsi="宋体" w:eastAsia="宋体" w:cs="宋体"/>
          <w:color w:val="auto"/>
          <w:sz w:val="24"/>
          <w:szCs w:val="24"/>
          <w:highlight w:val="none"/>
          <w:u w:val="single"/>
        </w:rPr>
        <w:t>建安工程费由投标人根据招标文件要求以及企业自身情况填报，投标报价</w:t>
      </w:r>
      <w:r>
        <w:rPr>
          <w:rFonts w:hint="eastAsia" w:ascii="宋体" w:hAnsi="宋体" w:cs="宋体"/>
          <w:color w:val="auto"/>
          <w:sz w:val="24"/>
          <w:szCs w:val="24"/>
          <w:highlight w:val="none"/>
          <w:u w:val="single"/>
          <w:lang w:val="en-US" w:eastAsia="zh-CN"/>
        </w:rPr>
        <w:t>总价</w:t>
      </w:r>
      <w:r>
        <w:rPr>
          <w:rFonts w:hint="eastAsia" w:ascii="宋体" w:hAnsi="宋体" w:eastAsia="宋体" w:cs="宋体"/>
          <w:color w:val="auto"/>
          <w:sz w:val="24"/>
          <w:szCs w:val="24"/>
          <w:highlight w:val="none"/>
          <w:u w:val="single"/>
        </w:rPr>
        <w:t>不得高于建安工程费</w:t>
      </w:r>
      <w:r>
        <w:rPr>
          <w:rFonts w:hint="eastAsia" w:ascii="宋体" w:hAnsi="宋体" w:cs="宋体"/>
          <w:color w:val="auto"/>
          <w:sz w:val="24"/>
          <w:szCs w:val="24"/>
          <w:highlight w:val="none"/>
          <w:u w:val="single"/>
          <w:lang w:val="en-US" w:eastAsia="zh-CN"/>
        </w:rPr>
        <w:t>总价</w:t>
      </w:r>
      <w:r>
        <w:rPr>
          <w:rFonts w:hint="eastAsia" w:ascii="宋体" w:hAnsi="宋体" w:eastAsia="宋体" w:cs="宋体"/>
          <w:color w:val="auto"/>
          <w:sz w:val="24"/>
          <w:szCs w:val="24"/>
          <w:highlight w:val="none"/>
          <w:u w:val="single"/>
        </w:rPr>
        <w:t>最高投标限价</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投标</w:t>
      </w:r>
      <w:r>
        <w:rPr>
          <w:rFonts w:hint="eastAsia" w:ascii="宋体" w:hAnsi="宋体" w:cs="宋体"/>
          <w:color w:val="auto"/>
          <w:sz w:val="24"/>
          <w:szCs w:val="24"/>
          <w:highlight w:val="none"/>
          <w:u w:val="single"/>
          <w:lang w:val="en-US" w:eastAsia="zh-CN"/>
        </w:rPr>
        <w:t>单价不得高于</w:t>
      </w:r>
      <w:r>
        <w:rPr>
          <w:rFonts w:hint="eastAsia" w:ascii="宋体" w:hAnsi="宋体" w:eastAsia="宋体" w:cs="宋体"/>
          <w:bCs/>
          <w:snapToGrid w:val="0"/>
          <w:color w:val="auto"/>
          <w:sz w:val="24"/>
          <w:szCs w:val="24"/>
          <w:highlight w:val="none"/>
          <w:u w:val="single"/>
        </w:rPr>
        <w:t>全费用</w:t>
      </w:r>
      <w:r>
        <w:rPr>
          <w:rFonts w:hint="eastAsia" w:ascii="宋体" w:hAnsi="宋体" w:eastAsia="宋体" w:cs="宋体"/>
          <w:bCs/>
          <w:snapToGrid w:val="0"/>
          <w:color w:val="auto"/>
          <w:sz w:val="24"/>
          <w:szCs w:val="24"/>
          <w:highlight w:val="none"/>
        </w:rPr>
        <w:t>固定综合单价</w:t>
      </w:r>
      <w:r>
        <w:rPr>
          <w:rFonts w:hint="eastAsia" w:ascii="宋体" w:hAnsi="宋体" w:eastAsia="宋体" w:cs="宋体"/>
          <w:bCs/>
          <w:snapToGrid w:val="0"/>
          <w:color w:val="auto"/>
          <w:sz w:val="24"/>
          <w:szCs w:val="24"/>
          <w:highlight w:val="none"/>
          <w:lang w:val="en-US" w:eastAsia="zh-CN"/>
        </w:rPr>
        <w:t>最高</w:t>
      </w:r>
      <w:r>
        <w:rPr>
          <w:rFonts w:hint="eastAsia" w:ascii="宋体" w:hAnsi="宋体" w:eastAsia="宋体" w:cs="宋体"/>
          <w:bCs/>
          <w:snapToGrid w:val="0"/>
          <w:color w:val="auto"/>
          <w:sz w:val="24"/>
          <w:szCs w:val="24"/>
          <w:highlight w:val="none"/>
        </w:rPr>
        <w:t>投标限价</w:t>
      </w:r>
      <w:r>
        <w:rPr>
          <w:rFonts w:hint="eastAsia" w:ascii="宋体" w:hAnsi="宋体" w:eastAsia="宋体" w:cs="宋体"/>
          <w:color w:val="auto"/>
          <w:sz w:val="24"/>
          <w:szCs w:val="24"/>
          <w:highlight w:val="none"/>
          <w:u w:val="single"/>
        </w:rPr>
        <w:t>。建安工程费最高投标限价只作为招标的依据，中标价只作为签订合同及支付预付款的依据，两者不作为结算依据，具体付款条款及结算条款在合同专用条款明确。</w:t>
      </w:r>
    </w:p>
    <w:p>
      <w:pPr>
        <w:spacing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bCs/>
          <w:snapToGrid w:val="0"/>
          <w:color w:val="auto"/>
          <w:sz w:val="24"/>
          <w:szCs w:val="24"/>
          <w:highlight w:val="none"/>
        </w:rPr>
        <w:t>严格实行限额设计。要求中标单位按照批准的可行性研究报告的投资估算控制初步设计</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同时各专业在保证达到使用功能的前提下</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按分配的投资限额控制设计</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确保不超最高投标限价</w:t>
      </w: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合理确定和有效控制建设成本。严格控制设计变更及现场签证。要求中标单位充分发挥设计施工总承包的优势，于设计前期工作阶段尽可能优化设计方案，减少施工过程中的设计变更及现场签证的发生。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设计方案补偿：无。</w:t>
      </w:r>
    </w:p>
    <w:p>
      <w:pPr>
        <w:widowControl/>
        <w:shd w:val="clear" w:color="auto" w:fill="FFFFFF"/>
        <w:tabs>
          <w:tab w:val="left" w:pos="105"/>
        </w:tabs>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8.其他事项：</w:t>
      </w:r>
    </w:p>
    <w:p>
      <w:pPr>
        <w:tabs>
          <w:tab w:val="left" w:pos="5196"/>
        </w:tabs>
        <w:spacing w:line="360" w:lineRule="auto"/>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8.1</w:t>
      </w:r>
      <w:r>
        <w:rPr>
          <w:rFonts w:hint="eastAsia" w:ascii="宋体" w:hAnsi="宋体" w:eastAsia="宋体" w:cs="宋体"/>
          <w:color w:val="auto"/>
          <w:kern w:val="0"/>
          <w:sz w:val="24"/>
          <w:szCs w:val="24"/>
          <w:highlight w:val="none"/>
        </w:rPr>
        <w:t>投标时是否需要提交设计模型：否。</w:t>
      </w:r>
      <w:r>
        <w:rPr>
          <w:rFonts w:hint="eastAsia" w:ascii="宋体" w:hAnsi="宋体" w:eastAsia="宋体" w:cs="宋体"/>
          <w:color w:val="auto"/>
          <w:kern w:val="0"/>
          <w:sz w:val="24"/>
          <w:szCs w:val="24"/>
          <w:highlight w:val="none"/>
        </w:rPr>
        <w:tab/>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w:t>
      </w:r>
      <w:r>
        <w:rPr>
          <w:rFonts w:hint="eastAsia" w:ascii="宋体" w:hAnsi="宋体" w:eastAsia="宋体" w:cs="宋体"/>
          <w:color w:val="auto"/>
          <w:sz w:val="24"/>
          <w:szCs w:val="24"/>
          <w:highlight w:val="none"/>
          <w:u w:val="single"/>
          <w:shd w:val="clear" w:color="auto" w:fill="FFFFFF"/>
        </w:rPr>
        <w:t>参加投标之前，投标人应查询企业信息登记情况、拟登记人员的使用状态，以免出现企业信息以及拟登记人员不能被使用的问题。上述情况有可能导致投标信息无法录入广州公共资源交易中心交易服务系统。如出现上述情况，投标人有可能失去投标机会，因其可能所引起的一切后果由投标人自行承担。</w:t>
      </w:r>
    </w:p>
    <w:p>
      <w:pPr>
        <w:spacing w:line="360" w:lineRule="auto"/>
        <w:ind w:firstLine="537" w:firstLineChars="224"/>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8.3潜在投标人或利害关系人对本招标公告及招标内容有异议的，向招标人书面提出。</w:t>
      </w:r>
      <w:r>
        <w:rPr>
          <w:rFonts w:hint="eastAsia" w:ascii="宋体" w:hAnsi="宋体" w:eastAsia="宋体" w:cs="宋体"/>
          <w:color w:val="auto"/>
          <w:kern w:val="0"/>
          <w:sz w:val="24"/>
          <w:szCs w:val="24"/>
          <w:highlight w:val="none"/>
          <w:u w:val="single"/>
        </w:rPr>
        <w:t>异议受理部门：广佛（佛冈）产业园高新投资开发有限公司；异议受理电话：0763-4633363；地址：佛冈县汤塘镇广清经济特别合作区广佛（佛冈）产业园临时展厅111室。</w:t>
      </w:r>
    </w:p>
    <w:p>
      <w:pPr>
        <w:spacing w:line="360" w:lineRule="auto"/>
        <w:ind w:firstLine="537" w:firstLineChars="224"/>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shd w:val="clear" w:color="auto" w:fill="FFFFFF"/>
        </w:rPr>
        <w:t>本公告在广州公共资源交易中心网站和中国招标投标公共服务平台（网址：http://www.cebpubservice.com/）、广东省招标投标监管网（网址：http://zbtb.gd.gov.cn/）等媒体同时发布，本公告的修改、补充在广州公共资源交易中心网站、广东省招标投标监管网发布。</w:t>
      </w:r>
    </w:p>
    <w:p>
      <w:pPr>
        <w:spacing w:line="360" w:lineRule="auto"/>
        <w:rPr>
          <w:rFonts w:hint="eastAsia" w:ascii="宋体" w:hAnsi="宋体" w:eastAsia="宋体" w:cs="宋体"/>
          <w:color w:val="auto"/>
          <w:sz w:val="24"/>
          <w:szCs w:val="24"/>
          <w:highlight w:val="none"/>
        </w:rPr>
      </w:pP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 广佛（佛冈）产业园高新投资开发有限公司                      </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招标代理单位：广东远东招标代理有限公司</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right"/>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2"/>
        <w:spacing w:line="360" w:lineRule="auto"/>
        <w:rPr>
          <w:rFonts w:hint="eastAsia"/>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附件</w:t>
      </w:r>
      <w:bookmarkStart w:id="28" w:name="_Toc249846231"/>
      <w:bookmarkStart w:id="29" w:name="_Toc253143223"/>
      <w:bookmarkStart w:id="30" w:name="_Toc266093552"/>
      <w:bookmarkStart w:id="31" w:name="_Toc249845976"/>
      <w:bookmarkStart w:id="32" w:name="_Toc266881404"/>
      <w:bookmarkStart w:id="33" w:name="_Toc245024004"/>
      <w:r>
        <w:rPr>
          <w:rFonts w:hint="eastAsia" w:ascii="宋体" w:hAnsi="宋体" w:eastAsia="宋体" w:cs="宋体"/>
          <w:color w:val="auto"/>
          <w:sz w:val="24"/>
          <w:szCs w:val="24"/>
          <w:highlight w:val="none"/>
        </w:rPr>
        <w:t>：</w:t>
      </w:r>
    </w:p>
    <w:bookmarkEnd w:id="28"/>
    <w:bookmarkEnd w:id="29"/>
    <w:bookmarkEnd w:id="30"/>
    <w:bookmarkEnd w:id="31"/>
    <w:bookmarkEnd w:id="32"/>
    <w:bookmarkEnd w:id="33"/>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投标申请人声明(施工单位提供)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本招标项目招标人及招标监管机构：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一、我方保证投标文件及其后提供的一切材料都是真实的。如我方成为本项目中标候选人，我方同意并授权招标人将我方投标文件商务部分文件的所有内容（包括人员、业绩、奖项等资料）进行公开。</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二、我方保证在本项目投标中不与其他单位围标、串标，不出让投标资格，不向招标人或评标委员会成员行贿。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（2）为本标段前期准备咨询服务或者与提供咨询服务的机构存在附属关系的；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（3）为本项目监理人或者与本项目监理人存在隶属关系或者其他利害关系；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（4）为本标段的代建人；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（5）为本标段提供招标代理服务的；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（6）与本标段的监理人或代建人或招标代理机构同为一个法定代表人的；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（7）与本标段的监理人或代建人或招标代理机构互相控股或参股的；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（8）与本标段的监理人或代建人或招标代理机构相互任职或工作的；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（9）与本标段的检测机构有隶属关系或者其他利害关系；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（10）与招标人存在利害关系且可能影响招标公正性；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（11）与本标段的其他投标人为同一个单位负责人；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（12）与本标段的其他投标人存在控股、管理关系； </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被暂扣安全生产许可证的；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被依法暂停或取消投标资格的； </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被责令停产停业、暂扣或者吊销许可证、暂扣或者吊销执照的；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进入清算程序，或被宣布破产，或其他丧失履约能力的情形；</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在最近三年内有骗取中标或严重违约或重大工程质量问题的；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被工商行政管理机关在全国企业信用信息公示系统中列入严重违法失信企业名单；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被最高人民法院在“信用中国”网站（www.creditchina.gov.cn）或各级信用信息共享平台中列入失信被执行人名单；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在近三年内投标人或其法定代表人、拟委派的项目负责人有行贿犯罪行为的；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被住房城乡建设行政主管部门在全国建筑市场监管一体化工作平台列入建筑市场主体“黑名单”；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被发改委、人力资源社会保障、质检总局等有关部门、单位在“信用中国”网站中列入联合惩戒失信黑名单；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法律法规规定的其他情形。</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本单位或拟派项目负责人、拟派专职安全员未因安全生产违法行为或失信行为被有关行政主管部门采取本行业或者职业禁入等联合惩戒措施（有效期内）。我方保证本项目拟派的项目负责人没有在其他工程项目担任工程总承包项目负责人、施工项目负责人；我方保证本项目拟派的施工负责人和专职安全员没有在其他在建项目中任本职。</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八、与我方单位负责人为同一人或者与我方存在控股、管理关系的其他单位包括：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。（注：本条由投标申请人如实填写，如有，应列出的联合体各方全部满足招标公告资质要求的相关单位的名称；如无，则填写“无”。）</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四、本公司违反上述保证，或本声明陈述与事实不符，经查实，本公司愿意接受公开通报，记录不良行为，承担由此带来的法律后果，并愿意停止参加广州市行政区域内的招标投标活动三个月，如核实存在上述第十一条及第十二条任一情况，招标人有权取消本公司作为中标人的中标资格。其中，本声明陈述与事实不符的，属于弄虚作假骗取中标，将依法接受监管部门的处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pStyle w:val="20"/>
        <w:spacing w:line="360" w:lineRule="auto"/>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声明企业：（企业公章）</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法定代表人或其授权代理人签字或盖章：</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 </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19"/>
        <w:spacing w:line="360" w:lineRule="auto"/>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投标申请人声明(设计单位提供)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一、我方保证投标文件及其后提供的一切材料都是真实的。如我方成为本项目中标候选人，我方同意并授权招标人将我方投标文件商务部分文件的所有内容（包括人员、业绩、奖项等资料）进行公开。</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二、我方保证在本项目投标中不与其他单位围标、串标，不出让投标资格，不向招标人或评标委员会成员行贿。</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三、我方不存在下列情形之一：</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（1）为招标人不具有独立法人资格的附属机构（单位）；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（2）与招标人存在利害关系且可能影响招标公正性；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（3）为本招标项目的监理人；</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（4）为本招标项目的代建人或建设管理单位；</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（5）为本招标项目的造价咨询单位；</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（6）为本招标项目提供招标代理服务的；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（7）与本标段的其他投标人为同一个单位负责人；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（8）与本标段的其他投标人存在控股、管理关系；</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（9）在近三年内投标人或其法定代表人、拟委派的项目负责人有行贿犯罪行为的；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（10）与本招标项目的监理人或代建人或建设管理单位或造价咨询单位或招标代理机构同为一个法定代表人的；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（11）与本招标项目的监理人或代建人或建设管理单位或造价咨询单位或招标代理机构相互控股或参股的；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（12）与本招标项目的监理人或代建人或建设管理单位或造价咨询单位或招标代理机构相互任职或工作的；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（13）被责令停产停业、暂扣或者吊销许可证、暂扣或者吊销执照的；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（14）被依法暂停或取消投标资格的；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（15）进入清算程序，或被宣布破产，或其他丧失履约能力的情形；</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（16）在最近三年内有骗取中标或严重违约或重大工程质量问题的；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（17）被工商行政管理机关在全国企业信用信息公示系统中列入严重违法失信企业名单；</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（18）被最高人民法院在“信用中国”网站（www.creditchina.gov.cn）或各级信用信息共享平台中列入失信被执行人名单；</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（19）法律法规规定的其他情形。</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四、与我方单位负责人为同一人或者与我方存在控股、管理关系的其他单位包括：         。（注：本条由投标申请人如实填写，如有，应列出的联合体各方全部满足招标公告资质要求的相关单位的名称；如无，则填写“无”。）</w:t>
      </w:r>
    </w:p>
    <w:p>
      <w:pPr>
        <w:widowControl/>
        <w:spacing w:line="360" w:lineRule="auto"/>
        <w:ind w:firstLine="361" w:firstLineChars="15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违反上述保证，或本声明陈述与事实不符，经查实，本公司愿意接受公开通报，承担由此带来的法律后果，并愿意停止参加广州市行政区域内的招标投标活动三个月。其中，本声明陈述与事实不符的，属于弄虚作假骗取中标，将依法接受监管部门的处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spacing w:line="360" w:lineRule="auto"/>
        <w:ind w:firstLine="480" w:firstLineChars="200"/>
        <w:rPr>
          <w:rFonts w:hint="eastAsia" w:ascii="宋体" w:hAnsi="宋体" w:eastAsia="宋体" w:cs="宋体"/>
          <w:color w:val="auto"/>
          <w:sz w:val="24"/>
          <w:szCs w:val="24"/>
          <w:highlight w:val="none"/>
        </w:rPr>
      </w:pPr>
    </w:p>
    <w:p>
      <w:pPr>
        <w:pStyle w:val="20"/>
        <w:spacing w:line="360" w:lineRule="auto"/>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声明企业(设计单位)：（企业公章）</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法定代表人或其授权代理人签字或盖章：</w:t>
      </w:r>
    </w:p>
    <w:p>
      <w:pPr>
        <w:pStyle w:val="20"/>
        <w:spacing w:line="360" w:lineRule="auto"/>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wordWrap w:val="0"/>
        <w:spacing w:line="360" w:lineRule="auto"/>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headerReference r:id="rId3" w:type="default"/>
      <w:footerReference r:id="rId4" w:type="default"/>
      <w:endnotePr>
        <w:numFmt w:val="decimal"/>
      </w:end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77D65"/>
    <w:multiLevelType w:val="singleLevel"/>
    <w:tmpl w:val="A8377D65"/>
    <w:lvl w:ilvl="0" w:tentative="0">
      <w:start w:val="13"/>
      <w:numFmt w:val="decimal"/>
      <w:suff w:val="nothing"/>
      <w:lvlText w:val="（%1）"/>
      <w:lvlJc w:val="left"/>
    </w:lvl>
  </w:abstractNum>
  <w:abstractNum w:abstractNumId="1">
    <w:nsid w:val="CCB1A66E"/>
    <w:multiLevelType w:val="singleLevel"/>
    <w:tmpl w:val="CCB1A66E"/>
    <w:lvl w:ilvl="0" w:tentative="0">
      <w:start w:val="2"/>
      <w:numFmt w:val="decimal"/>
      <w:suff w:val="nothing"/>
      <w:lvlText w:val="（%1）"/>
      <w:lvlJc w:val="left"/>
    </w:lvl>
  </w:abstractNum>
  <w:abstractNum w:abstractNumId="2">
    <w:nsid w:val="0BA7105E"/>
    <w:multiLevelType w:val="singleLevel"/>
    <w:tmpl w:val="0BA7105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mM0MDM4NGQ0ODYzODU5ZDI0NjBlZmVkNjljNTQifQ=="/>
  </w:docVars>
  <w:rsids>
    <w:rsidRoot w:val="56D73A8D"/>
    <w:rsid w:val="00005268"/>
    <w:rsid w:val="00006442"/>
    <w:rsid w:val="000113AE"/>
    <w:rsid w:val="00022AC0"/>
    <w:rsid w:val="00026814"/>
    <w:rsid w:val="00027DF9"/>
    <w:rsid w:val="000307DA"/>
    <w:rsid w:val="0003283D"/>
    <w:rsid w:val="00034C99"/>
    <w:rsid w:val="00035503"/>
    <w:rsid w:val="000431A8"/>
    <w:rsid w:val="00044AE4"/>
    <w:rsid w:val="000453EC"/>
    <w:rsid w:val="000513D6"/>
    <w:rsid w:val="00052DDB"/>
    <w:rsid w:val="000541CB"/>
    <w:rsid w:val="0005607F"/>
    <w:rsid w:val="00056CD8"/>
    <w:rsid w:val="000612E9"/>
    <w:rsid w:val="00066306"/>
    <w:rsid w:val="00066E01"/>
    <w:rsid w:val="00067DF7"/>
    <w:rsid w:val="000736E5"/>
    <w:rsid w:val="00073BE1"/>
    <w:rsid w:val="00074CC8"/>
    <w:rsid w:val="00082CD7"/>
    <w:rsid w:val="00083AD5"/>
    <w:rsid w:val="00085D24"/>
    <w:rsid w:val="000938DE"/>
    <w:rsid w:val="00094BD9"/>
    <w:rsid w:val="00096351"/>
    <w:rsid w:val="0009796B"/>
    <w:rsid w:val="000A1D2B"/>
    <w:rsid w:val="000A4B94"/>
    <w:rsid w:val="000A5B1B"/>
    <w:rsid w:val="000A70F0"/>
    <w:rsid w:val="000B42B7"/>
    <w:rsid w:val="000B7FDD"/>
    <w:rsid w:val="000C3303"/>
    <w:rsid w:val="000C4E4C"/>
    <w:rsid w:val="000C5771"/>
    <w:rsid w:val="000D0DBB"/>
    <w:rsid w:val="000D1E65"/>
    <w:rsid w:val="000D23F5"/>
    <w:rsid w:val="000E0EB8"/>
    <w:rsid w:val="000E1343"/>
    <w:rsid w:val="000E34CE"/>
    <w:rsid w:val="000E7146"/>
    <w:rsid w:val="000F5D52"/>
    <w:rsid w:val="001014B3"/>
    <w:rsid w:val="00101EC0"/>
    <w:rsid w:val="001055B6"/>
    <w:rsid w:val="00106E22"/>
    <w:rsid w:val="00113EAC"/>
    <w:rsid w:val="0012045F"/>
    <w:rsid w:val="00122A0D"/>
    <w:rsid w:val="00123C6D"/>
    <w:rsid w:val="001242FD"/>
    <w:rsid w:val="00125BB2"/>
    <w:rsid w:val="001308B9"/>
    <w:rsid w:val="0013238A"/>
    <w:rsid w:val="00136ED2"/>
    <w:rsid w:val="00137ACC"/>
    <w:rsid w:val="0014361B"/>
    <w:rsid w:val="0014783F"/>
    <w:rsid w:val="0015293C"/>
    <w:rsid w:val="00157B44"/>
    <w:rsid w:val="00163B6C"/>
    <w:rsid w:val="00172C23"/>
    <w:rsid w:val="001736C2"/>
    <w:rsid w:val="00174965"/>
    <w:rsid w:val="001751FA"/>
    <w:rsid w:val="0018342F"/>
    <w:rsid w:val="00183533"/>
    <w:rsid w:val="001847FF"/>
    <w:rsid w:val="00184AA0"/>
    <w:rsid w:val="001862CC"/>
    <w:rsid w:val="00190168"/>
    <w:rsid w:val="001905CC"/>
    <w:rsid w:val="00194DC7"/>
    <w:rsid w:val="001960F5"/>
    <w:rsid w:val="001A75D5"/>
    <w:rsid w:val="001A7AEF"/>
    <w:rsid w:val="001B3E77"/>
    <w:rsid w:val="001B60BF"/>
    <w:rsid w:val="001C0B8D"/>
    <w:rsid w:val="001D0DC7"/>
    <w:rsid w:val="001D17B2"/>
    <w:rsid w:val="001D7231"/>
    <w:rsid w:val="001E51B8"/>
    <w:rsid w:val="001E6EE7"/>
    <w:rsid w:val="001E74B5"/>
    <w:rsid w:val="001E75FC"/>
    <w:rsid w:val="001E7CCE"/>
    <w:rsid w:val="001F033B"/>
    <w:rsid w:val="001F1871"/>
    <w:rsid w:val="001F5AEF"/>
    <w:rsid w:val="001F5EE2"/>
    <w:rsid w:val="001F70AD"/>
    <w:rsid w:val="002006E6"/>
    <w:rsid w:val="002036A8"/>
    <w:rsid w:val="002059FB"/>
    <w:rsid w:val="002119A2"/>
    <w:rsid w:val="00213345"/>
    <w:rsid w:val="00216DFC"/>
    <w:rsid w:val="002177D1"/>
    <w:rsid w:val="00220B43"/>
    <w:rsid w:val="002218DE"/>
    <w:rsid w:val="00223581"/>
    <w:rsid w:val="00223F62"/>
    <w:rsid w:val="00227408"/>
    <w:rsid w:val="00231950"/>
    <w:rsid w:val="00232C1D"/>
    <w:rsid w:val="00233A6F"/>
    <w:rsid w:val="00233B08"/>
    <w:rsid w:val="002411CF"/>
    <w:rsid w:val="002437BF"/>
    <w:rsid w:val="002479D6"/>
    <w:rsid w:val="002506E7"/>
    <w:rsid w:val="00251177"/>
    <w:rsid w:val="00252923"/>
    <w:rsid w:val="00254207"/>
    <w:rsid w:val="00260D3D"/>
    <w:rsid w:val="0026140F"/>
    <w:rsid w:val="00263D93"/>
    <w:rsid w:val="002719A3"/>
    <w:rsid w:val="002728D9"/>
    <w:rsid w:val="00280511"/>
    <w:rsid w:val="00281AEF"/>
    <w:rsid w:val="0029779F"/>
    <w:rsid w:val="002B09C2"/>
    <w:rsid w:val="002B105B"/>
    <w:rsid w:val="002B16AD"/>
    <w:rsid w:val="002B363B"/>
    <w:rsid w:val="002B46CF"/>
    <w:rsid w:val="002C1032"/>
    <w:rsid w:val="002C3BEA"/>
    <w:rsid w:val="002C4408"/>
    <w:rsid w:val="002C51CA"/>
    <w:rsid w:val="002D263B"/>
    <w:rsid w:val="002D45D3"/>
    <w:rsid w:val="002D4929"/>
    <w:rsid w:val="002D6359"/>
    <w:rsid w:val="002E46E0"/>
    <w:rsid w:val="002E6CAC"/>
    <w:rsid w:val="003005AC"/>
    <w:rsid w:val="00305298"/>
    <w:rsid w:val="00320392"/>
    <w:rsid w:val="0032257A"/>
    <w:rsid w:val="00322935"/>
    <w:rsid w:val="00327433"/>
    <w:rsid w:val="003278E2"/>
    <w:rsid w:val="003303C0"/>
    <w:rsid w:val="0033321C"/>
    <w:rsid w:val="00340B7B"/>
    <w:rsid w:val="003429FB"/>
    <w:rsid w:val="00356077"/>
    <w:rsid w:val="003719E1"/>
    <w:rsid w:val="00377910"/>
    <w:rsid w:val="00384369"/>
    <w:rsid w:val="003861A9"/>
    <w:rsid w:val="00392BC4"/>
    <w:rsid w:val="00397ED9"/>
    <w:rsid w:val="003A303B"/>
    <w:rsid w:val="003A3515"/>
    <w:rsid w:val="003A5487"/>
    <w:rsid w:val="003A69BD"/>
    <w:rsid w:val="003A7B66"/>
    <w:rsid w:val="003B01DE"/>
    <w:rsid w:val="003B2F7E"/>
    <w:rsid w:val="003B3808"/>
    <w:rsid w:val="003B3FC5"/>
    <w:rsid w:val="003B5361"/>
    <w:rsid w:val="003B71F3"/>
    <w:rsid w:val="003B7991"/>
    <w:rsid w:val="003C1FD6"/>
    <w:rsid w:val="003C2F7B"/>
    <w:rsid w:val="003C635A"/>
    <w:rsid w:val="003D1A22"/>
    <w:rsid w:val="003D2758"/>
    <w:rsid w:val="003E2DB3"/>
    <w:rsid w:val="003E5064"/>
    <w:rsid w:val="003F610A"/>
    <w:rsid w:val="003F7D20"/>
    <w:rsid w:val="004009BF"/>
    <w:rsid w:val="00400E79"/>
    <w:rsid w:val="004071A7"/>
    <w:rsid w:val="0041081D"/>
    <w:rsid w:val="004117F0"/>
    <w:rsid w:val="00412859"/>
    <w:rsid w:val="004166C9"/>
    <w:rsid w:val="004211C7"/>
    <w:rsid w:val="00422AD6"/>
    <w:rsid w:val="00423111"/>
    <w:rsid w:val="004239BD"/>
    <w:rsid w:val="00425AD2"/>
    <w:rsid w:val="00427C59"/>
    <w:rsid w:val="00427F2B"/>
    <w:rsid w:val="00434281"/>
    <w:rsid w:val="00435295"/>
    <w:rsid w:val="00440D02"/>
    <w:rsid w:val="00441AC9"/>
    <w:rsid w:val="00444D18"/>
    <w:rsid w:val="00453ABB"/>
    <w:rsid w:val="00454F04"/>
    <w:rsid w:val="00463D1F"/>
    <w:rsid w:val="00464BBD"/>
    <w:rsid w:val="00465677"/>
    <w:rsid w:val="004665BB"/>
    <w:rsid w:val="00471044"/>
    <w:rsid w:val="00471593"/>
    <w:rsid w:val="00472E1A"/>
    <w:rsid w:val="0047597F"/>
    <w:rsid w:val="0047783B"/>
    <w:rsid w:val="004779A1"/>
    <w:rsid w:val="0048405F"/>
    <w:rsid w:val="00485804"/>
    <w:rsid w:val="00485E25"/>
    <w:rsid w:val="0049311A"/>
    <w:rsid w:val="0049315E"/>
    <w:rsid w:val="004969A0"/>
    <w:rsid w:val="00497B66"/>
    <w:rsid w:val="004A553F"/>
    <w:rsid w:val="004A55E6"/>
    <w:rsid w:val="004A7F6E"/>
    <w:rsid w:val="004B572B"/>
    <w:rsid w:val="004C2E0B"/>
    <w:rsid w:val="004C6D62"/>
    <w:rsid w:val="004C7AB3"/>
    <w:rsid w:val="004D08CC"/>
    <w:rsid w:val="004D112E"/>
    <w:rsid w:val="004D1959"/>
    <w:rsid w:val="004D4751"/>
    <w:rsid w:val="004D5771"/>
    <w:rsid w:val="004D7069"/>
    <w:rsid w:val="004E3C40"/>
    <w:rsid w:val="004E4747"/>
    <w:rsid w:val="004E7773"/>
    <w:rsid w:val="004F1B07"/>
    <w:rsid w:val="00500069"/>
    <w:rsid w:val="00504099"/>
    <w:rsid w:val="005120B2"/>
    <w:rsid w:val="00512900"/>
    <w:rsid w:val="00514729"/>
    <w:rsid w:val="00515E78"/>
    <w:rsid w:val="005166AC"/>
    <w:rsid w:val="00517CAD"/>
    <w:rsid w:val="00520B0A"/>
    <w:rsid w:val="0052622B"/>
    <w:rsid w:val="0053379F"/>
    <w:rsid w:val="00554B4B"/>
    <w:rsid w:val="00555DE4"/>
    <w:rsid w:val="00561271"/>
    <w:rsid w:val="00561544"/>
    <w:rsid w:val="0056301B"/>
    <w:rsid w:val="005663DE"/>
    <w:rsid w:val="005719A2"/>
    <w:rsid w:val="00574045"/>
    <w:rsid w:val="005751B9"/>
    <w:rsid w:val="00580975"/>
    <w:rsid w:val="0059494D"/>
    <w:rsid w:val="00597E71"/>
    <w:rsid w:val="005A03D5"/>
    <w:rsid w:val="005A39AB"/>
    <w:rsid w:val="005A613D"/>
    <w:rsid w:val="005C2A35"/>
    <w:rsid w:val="005C3928"/>
    <w:rsid w:val="005C6875"/>
    <w:rsid w:val="005C7344"/>
    <w:rsid w:val="005D0A7F"/>
    <w:rsid w:val="005D1B45"/>
    <w:rsid w:val="005E0698"/>
    <w:rsid w:val="005E1CC0"/>
    <w:rsid w:val="005F544E"/>
    <w:rsid w:val="005F5A1C"/>
    <w:rsid w:val="006008D1"/>
    <w:rsid w:val="00607D69"/>
    <w:rsid w:val="00610969"/>
    <w:rsid w:val="00616547"/>
    <w:rsid w:val="00617222"/>
    <w:rsid w:val="00623141"/>
    <w:rsid w:val="00627D23"/>
    <w:rsid w:val="00631349"/>
    <w:rsid w:val="00632D95"/>
    <w:rsid w:val="006345DD"/>
    <w:rsid w:val="00644933"/>
    <w:rsid w:val="0065083B"/>
    <w:rsid w:val="00652BF8"/>
    <w:rsid w:val="0066166A"/>
    <w:rsid w:val="00663642"/>
    <w:rsid w:val="00665E5A"/>
    <w:rsid w:val="00667990"/>
    <w:rsid w:val="00670460"/>
    <w:rsid w:val="00670478"/>
    <w:rsid w:val="0067101C"/>
    <w:rsid w:val="00672D26"/>
    <w:rsid w:val="006753D1"/>
    <w:rsid w:val="00675F79"/>
    <w:rsid w:val="00676B42"/>
    <w:rsid w:val="00676C09"/>
    <w:rsid w:val="0068105D"/>
    <w:rsid w:val="00681976"/>
    <w:rsid w:val="00683432"/>
    <w:rsid w:val="006856D3"/>
    <w:rsid w:val="0069521D"/>
    <w:rsid w:val="0069779D"/>
    <w:rsid w:val="006A53BB"/>
    <w:rsid w:val="006A5E6C"/>
    <w:rsid w:val="006B0186"/>
    <w:rsid w:val="006B198F"/>
    <w:rsid w:val="006B3F53"/>
    <w:rsid w:val="006B7C73"/>
    <w:rsid w:val="006C41B2"/>
    <w:rsid w:val="006C5F04"/>
    <w:rsid w:val="006C6157"/>
    <w:rsid w:val="006C6A0A"/>
    <w:rsid w:val="006D240E"/>
    <w:rsid w:val="006D3164"/>
    <w:rsid w:val="006D66F3"/>
    <w:rsid w:val="006E3B8E"/>
    <w:rsid w:val="006E476C"/>
    <w:rsid w:val="006F0B83"/>
    <w:rsid w:val="006F547D"/>
    <w:rsid w:val="006F64A4"/>
    <w:rsid w:val="006F761A"/>
    <w:rsid w:val="00701629"/>
    <w:rsid w:val="00701B4F"/>
    <w:rsid w:val="007025DA"/>
    <w:rsid w:val="00702EF0"/>
    <w:rsid w:val="007041E2"/>
    <w:rsid w:val="007048A2"/>
    <w:rsid w:val="007113F1"/>
    <w:rsid w:val="00711EE7"/>
    <w:rsid w:val="0072297B"/>
    <w:rsid w:val="00724037"/>
    <w:rsid w:val="00725583"/>
    <w:rsid w:val="007256F7"/>
    <w:rsid w:val="007307A0"/>
    <w:rsid w:val="00731390"/>
    <w:rsid w:val="00736066"/>
    <w:rsid w:val="00746B15"/>
    <w:rsid w:val="007473E9"/>
    <w:rsid w:val="00750706"/>
    <w:rsid w:val="007548BF"/>
    <w:rsid w:val="00754EC4"/>
    <w:rsid w:val="00756C56"/>
    <w:rsid w:val="0075724A"/>
    <w:rsid w:val="007647E1"/>
    <w:rsid w:val="00765C66"/>
    <w:rsid w:val="00773AC2"/>
    <w:rsid w:val="00775C85"/>
    <w:rsid w:val="00775D2C"/>
    <w:rsid w:val="007835DB"/>
    <w:rsid w:val="0079142C"/>
    <w:rsid w:val="00793002"/>
    <w:rsid w:val="007978C0"/>
    <w:rsid w:val="007A15F5"/>
    <w:rsid w:val="007A521C"/>
    <w:rsid w:val="007A71D8"/>
    <w:rsid w:val="007B4CF1"/>
    <w:rsid w:val="007C4127"/>
    <w:rsid w:val="007D4074"/>
    <w:rsid w:val="007D5C06"/>
    <w:rsid w:val="007D7A14"/>
    <w:rsid w:val="007E120C"/>
    <w:rsid w:val="007E169D"/>
    <w:rsid w:val="007E690F"/>
    <w:rsid w:val="007F2124"/>
    <w:rsid w:val="007F293E"/>
    <w:rsid w:val="007F2C30"/>
    <w:rsid w:val="007F3E79"/>
    <w:rsid w:val="007F71B4"/>
    <w:rsid w:val="007F79AC"/>
    <w:rsid w:val="00803445"/>
    <w:rsid w:val="0081110B"/>
    <w:rsid w:val="008145A7"/>
    <w:rsid w:val="00816B81"/>
    <w:rsid w:val="00822DBA"/>
    <w:rsid w:val="008271FC"/>
    <w:rsid w:val="008318C7"/>
    <w:rsid w:val="0083459B"/>
    <w:rsid w:val="00835297"/>
    <w:rsid w:val="00836B7B"/>
    <w:rsid w:val="008439FF"/>
    <w:rsid w:val="00843B8B"/>
    <w:rsid w:val="00847FD9"/>
    <w:rsid w:val="00850D8F"/>
    <w:rsid w:val="0085285D"/>
    <w:rsid w:val="00853BEF"/>
    <w:rsid w:val="00861510"/>
    <w:rsid w:val="008645AF"/>
    <w:rsid w:val="00867007"/>
    <w:rsid w:val="00870F55"/>
    <w:rsid w:val="00871DFD"/>
    <w:rsid w:val="0087379A"/>
    <w:rsid w:val="008753CF"/>
    <w:rsid w:val="00883768"/>
    <w:rsid w:val="00884E85"/>
    <w:rsid w:val="0088579C"/>
    <w:rsid w:val="00885EFF"/>
    <w:rsid w:val="00893EB1"/>
    <w:rsid w:val="00894CDD"/>
    <w:rsid w:val="008A2882"/>
    <w:rsid w:val="008A2CA1"/>
    <w:rsid w:val="008A2CAF"/>
    <w:rsid w:val="008A7335"/>
    <w:rsid w:val="008B15C6"/>
    <w:rsid w:val="008B34BC"/>
    <w:rsid w:val="008C3917"/>
    <w:rsid w:val="008C694C"/>
    <w:rsid w:val="008C70B1"/>
    <w:rsid w:val="008D111A"/>
    <w:rsid w:val="008D382C"/>
    <w:rsid w:val="008D3A34"/>
    <w:rsid w:val="008E5D77"/>
    <w:rsid w:val="008E622C"/>
    <w:rsid w:val="008E784F"/>
    <w:rsid w:val="008F0F5D"/>
    <w:rsid w:val="008F79DC"/>
    <w:rsid w:val="008F7FA8"/>
    <w:rsid w:val="00902D69"/>
    <w:rsid w:val="00906EDC"/>
    <w:rsid w:val="0092527C"/>
    <w:rsid w:val="00925A0E"/>
    <w:rsid w:val="00926CB3"/>
    <w:rsid w:val="00932A04"/>
    <w:rsid w:val="009353CF"/>
    <w:rsid w:val="00937543"/>
    <w:rsid w:val="00941314"/>
    <w:rsid w:val="0094318B"/>
    <w:rsid w:val="00952275"/>
    <w:rsid w:val="00953451"/>
    <w:rsid w:val="00953AE6"/>
    <w:rsid w:val="00957BDF"/>
    <w:rsid w:val="009614D3"/>
    <w:rsid w:val="009660BC"/>
    <w:rsid w:val="00971644"/>
    <w:rsid w:val="00977C11"/>
    <w:rsid w:val="00980058"/>
    <w:rsid w:val="00981245"/>
    <w:rsid w:val="009815D8"/>
    <w:rsid w:val="00982F67"/>
    <w:rsid w:val="00986280"/>
    <w:rsid w:val="00986844"/>
    <w:rsid w:val="00991770"/>
    <w:rsid w:val="009944E7"/>
    <w:rsid w:val="00996122"/>
    <w:rsid w:val="0099653F"/>
    <w:rsid w:val="009A0F2C"/>
    <w:rsid w:val="009B1105"/>
    <w:rsid w:val="009B4928"/>
    <w:rsid w:val="009B59E5"/>
    <w:rsid w:val="009B65D7"/>
    <w:rsid w:val="009B6891"/>
    <w:rsid w:val="009C0AA7"/>
    <w:rsid w:val="009C1CCE"/>
    <w:rsid w:val="009C20DE"/>
    <w:rsid w:val="009C7722"/>
    <w:rsid w:val="009D2458"/>
    <w:rsid w:val="009D2A15"/>
    <w:rsid w:val="009D2A56"/>
    <w:rsid w:val="009D36AB"/>
    <w:rsid w:val="009D6BA5"/>
    <w:rsid w:val="009D7721"/>
    <w:rsid w:val="009E1CE3"/>
    <w:rsid w:val="009E463D"/>
    <w:rsid w:val="009E7420"/>
    <w:rsid w:val="009F1188"/>
    <w:rsid w:val="009F7AE4"/>
    <w:rsid w:val="00A00740"/>
    <w:rsid w:val="00A021D2"/>
    <w:rsid w:val="00A028C5"/>
    <w:rsid w:val="00A02A35"/>
    <w:rsid w:val="00A05F68"/>
    <w:rsid w:val="00A200FC"/>
    <w:rsid w:val="00A20EC0"/>
    <w:rsid w:val="00A22D88"/>
    <w:rsid w:val="00A22E4F"/>
    <w:rsid w:val="00A309A0"/>
    <w:rsid w:val="00A30D9D"/>
    <w:rsid w:val="00A321B4"/>
    <w:rsid w:val="00A3299E"/>
    <w:rsid w:val="00A33C82"/>
    <w:rsid w:val="00A370CD"/>
    <w:rsid w:val="00A378F9"/>
    <w:rsid w:val="00A4072A"/>
    <w:rsid w:val="00A417DB"/>
    <w:rsid w:val="00A43E2C"/>
    <w:rsid w:val="00A467E7"/>
    <w:rsid w:val="00A47972"/>
    <w:rsid w:val="00A5059E"/>
    <w:rsid w:val="00A50871"/>
    <w:rsid w:val="00A50E1B"/>
    <w:rsid w:val="00A534E4"/>
    <w:rsid w:val="00A61CCE"/>
    <w:rsid w:val="00A66269"/>
    <w:rsid w:val="00A66F9E"/>
    <w:rsid w:val="00A76521"/>
    <w:rsid w:val="00A7707D"/>
    <w:rsid w:val="00A81D51"/>
    <w:rsid w:val="00A8630F"/>
    <w:rsid w:val="00A954E2"/>
    <w:rsid w:val="00AA0D1C"/>
    <w:rsid w:val="00AA213F"/>
    <w:rsid w:val="00AB1F82"/>
    <w:rsid w:val="00AB5A75"/>
    <w:rsid w:val="00AB674D"/>
    <w:rsid w:val="00AC2B34"/>
    <w:rsid w:val="00AC3118"/>
    <w:rsid w:val="00AC34CF"/>
    <w:rsid w:val="00AD1EF8"/>
    <w:rsid w:val="00AE6BC6"/>
    <w:rsid w:val="00AF15DB"/>
    <w:rsid w:val="00AF2093"/>
    <w:rsid w:val="00AF5FAF"/>
    <w:rsid w:val="00B11784"/>
    <w:rsid w:val="00B1197B"/>
    <w:rsid w:val="00B12693"/>
    <w:rsid w:val="00B145E5"/>
    <w:rsid w:val="00B16D9A"/>
    <w:rsid w:val="00B16DA0"/>
    <w:rsid w:val="00B20428"/>
    <w:rsid w:val="00B21484"/>
    <w:rsid w:val="00B21DE0"/>
    <w:rsid w:val="00B239E6"/>
    <w:rsid w:val="00B279A0"/>
    <w:rsid w:val="00B31326"/>
    <w:rsid w:val="00B33126"/>
    <w:rsid w:val="00B54F69"/>
    <w:rsid w:val="00B620A2"/>
    <w:rsid w:val="00B65770"/>
    <w:rsid w:val="00B70293"/>
    <w:rsid w:val="00B7396F"/>
    <w:rsid w:val="00B7559C"/>
    <w:rsid w:val="00B87DF2"/>
    <w:rsid w:val="00B95315"/>
    <w:rsid w:val="00B97F75"/>
    <w:rsid w:val="00BB0B34"/>
    <w:rsid w:val="00BB249B"/>
    <w:rsid w:val="00BB5438"/>
    <w:rsid w:val="00BC072D"/>
    <w:rsid w:val="00BC183E"/>
    <w:rsid w:val="00BC3937"/>
    <w:rsid w:val="00BC46CF"/>
    <w:rsid w:val="00BC5F82"/>
    <w:rsid w:val="00BC62F3"/>
    <w:rsid w:val="00BD316E"/>
    <w:rsid w:val="00BE4AF7"/>
    <w:rsid w:val="00BF12AC"/>
    <w:rsid w:val="00BF330C"/>
    <w:rsid w:val="00BF333F"/>
    <w:rsid w:val="00BF3404"/>
    <w:rsid w:val="00C03A1D"/>
    <w:rsid w:val="00C03C5E"/>
    <w:rsid w:val="00C053B4"/>
    <w:rsid w:val="00C135B4"/>
    <w:rsid w:val="00C23D8B"/>
    <w:rsid w:val="00C33285"/>
    <w:rsid w:val="00C3628C"/>
    <w:rsid w:val="00C407C8"/>
    <w:rsid w:val="00C41AC4"/>
    <w:rsid w:val="00C43612"/>
    <w:rsid w:val="00C4404A"/>
    <w:rsid w:val="00C45D96"/>
    <w:rsid w:val="00C46293"/>
    <w:rsid w:val="00C465CB"/>
    <w:rsid w:val="00C46789"/>
    <w:rsid w:val="00C52FD5"/>
    <w:rsid w:val="00C627D7"/>
    <w:rsid w:val="00C81163"/>
    <w:rsid w:val="00C84E9C"/>
    <w:rsid w:val="00C91AE1"/>
    <w:rsid w:val="00C97E48"/>
    <w:rsid w:val="00CA0BD9"/>
    <w:rsid w:val="00CA3FCF"/>
    <w:rsid w:val="00CA61D8"/>
    <w:rsid w:val="00CA7931"/>
    <w:rsid w:val="00CA7FE3"/>
    <w:rsid w:val="00CB07E3"/>
    <w:rsid w:val="00CB1175"/>
    <w:rsid w:val="00CB27F3"/>
    <w:rsid w:val="00CB2AEB"/>
    <w:rsid w:val="00CB407A"/>
    <w:rsid w:val="00CB44CD"/>
    <w:rsid w:val="00CB5575"/>
    <w:rsid w:val="00CC38B3"/>
    <w:rsid w:val="00CC5FFA"/>
    <w:rsid w:val="00CC7FAB"/>
    <w:rsid w:val="00CD3E5D"/>
    <w:rsid w:val="00CD3E9C"/>
    <w:rsid w:val="00CE16B8"/>
    <w:rsid w:val="00CE2E90"/>
    <w:rsid w:val="00CE5FC6"/>
    <w:rsid w:val="00CE7FF0"/>
    <w:rsid w:val="00CF0987"/>
    <w:rsid w:val="00CF2357"/>
    <w:rsid w:val="00CF2467"/>
    <w:rsid w:val="00CF3AC8"/>
    <w:rsid w:val="00CF3D21"/>
    <w:rsid w:val="00CF4F18"/>
    <w:rsid w:val="00CF6102"/>
    <w:rsid w:val="00CF6457"/>
    <w:rsid w:val="00CF6DCB"/>
    <w:rsid w:val="00D021F1"/>
    <w:rsid w:val="00D03B32"/>
    <w:rsid w:val="00D05D71"/>
    <w:rsid w:val="00D07B3B"/>
    <w:rsid w:val="00D209B5"/>
    <w:rsid w:val="00D23D88"/>
    <w:rsid w:val="00D2519A"/>
    <w:rsid w:val="00D3230F"/>
    <w:rsid w:val="00D35884"/>
    <w:rsid w:val="00D54ABA"/>
    <w:rsid w:val="00D56BA7"/>
    <w:rsid w:val="00D6163F"/>
    <w:rsid w:val="00D62AFB"/>
    <w:rsid w:val="00D70968"/>
    <w:rsid w:val="00D85737"/>
    <w:rsid w:val="00D91FD0"/>
    <w:rsid w:val="00D92878"/>
    <w:rsid w:val="00DA4525"/>
    <w:rsid w:val="00DB03D7"/>
    <w:rsid w:val="00DB2B29"/>
    <w:rsid w:val="00DB4E69"/>
    <w:rsid w:val="00DB6352"/>
    <w:rsid w:val="00DB6B32"/>
    <w:rsid w:val="00DC3AFA"/>
    <w:rsid w:val="00DC4A2F"/>
    <w:rsid w:val="00DC5DF5"/>
    <w:rsid w:val="00DC62B3"/>
    <w:rsid w:val="00DD2CCA"/>
    <w:rsid w:val="00DD4632"/>
    <w:rsid w:val="00DD51AF"/>
    <w:rsid w:val="00DD736A"/>
    <w:rsid w:val="00DE2C5C"/>
    <w:rsid w:val="00DE2F09"/>
    <w:rsid w:val="00DE366A"/>
    <w:rsid w:val="00DE48A6"/>
    <w:rsid w:val="00DF6047"/>
    <w:rsid w:val="00DF6EF9"/>
    <w:rsid w:val="00DF7A97"/>
    <w:rsid w:val="00E00F2C"/>
    <w:rsid w:val="00E03C68"/>
    <w:rsid w:val="00E107E6"/>
    <w:rsid w:val="00E12727"/>
    <w:rsid w:val="00E12A1D"/>
    <w:rsid w:val="00E13EE1"/>
    <w:rsid w:val="00E144E2"/>
    <w:rsid w:val="00E16230"/>
    <w:rsid w:val="00E21388"/>
    <w:rsid w:val="00E23F0F"/>
    <w:rsid w:val="00E24AFE"/>
    <w:rsid w:val="00E27117"/>
    <w:rsid w:val="00E30EF4"/>
    <w:rsid w:val="00E37BDD"/>
    <w:rsid w:val="00E4622F"/>
    <w:rsid w:val="00E47B3E"/>
    <w:rsid w:val="00E50A7B"/>
    <w:rsid w:val="00E5100B"/>
    <w:rsid w:val="00E52053"/>
    <w:rsid w:val="00E53106"/>
    <w:rsid w:val="00E54CA8"/>
    <w:rsid w:val="00E55618"/>
    <w:rsid w:val="00E55E6A"/>
    <w:rsid w:val="00E621CD"/>
    <w:rsid w:val="00E62FA6"/>
    <w:rsid w:val="00E77567"/>
    <w:rsid w:val="00E80931"/>
    <w:rsid w:val="00E84473"/>
    <w:rsid w:val="00E84D63"/>
    <w:rsid w:val="00E8620F"/>
    <w:rsid w:val="00E86E4B"/>
    <w:rsid w:val="00E87005"/>
    <w:rsid w:val="00E93929"/>
    <w:rsid w:val="00E9682F"/>
    <w:rsid w:val="00E97559"/>
    <w:rsid w:val="00EA41B4"/>
    <w:rsid w:val="00EA671F"/>
    <w:rsid w:val="00EA6DB7"/>
    <w:rsid w:val="00EB4A3D"/>
    <w:rsid w:val="00EB4F24"/>
    <w:rsid w:val="00EB746D"/>
    <w:rsid w:val="00EC1390"/>
    <w:rsid w:val="00EC3ECA"/>
    <w:rsid w:val="00EC3F3E"/>
    <w:rsid w:val="00ED1F69"/>
    <w:rsid w:val="00EE0A4F"/>
    <w:rsid w:val="00EE357E"/>
    <w:rsid w:val="00EE5E4A"/>
    <w:rsid w:val="00EF4D92"/>
    <w:rsid w:val="00EF631D"/>
    <w:rsid w:val="00F03AEF"/>
    <w:rsid w:val="00F04FE9"/>
    <w:rsid w:val="00F07D72"/>
    <w:rsid w:val="00F11878"/>
    <w:rsid w:val="00F13C5E"/>
    <w:rsid w:val="00F151AB"/>
    <w:rsid w:val="00F15436"/>
    <w:rsid w:val="00F20AA7"/>
    <w:rsid w:val="00F31A11"/>
    <w:rsid w:val="00F322D6"/>
    <w:rsid w:val="00F3439A"/>
    <w:rsid w:val="00F35624"/>
    <w:rsid w:val="00F368D3"/>
    <w:rsid w:val="00F41363"/>
    <w:rsid w:val="00F446A9"/>
    <w:rsid w:val="00F63945"/>
    <w:rsid w:val="00F7258B"/>
    <w:rsid w:val="00F75E8A"/>
    <w:rsid w:val="00F83A25"/>
    <w:rsid w:val="00F92D24"/>
    <w:rsid w:val="00F94057"/>
    <w:rsid w:val="00F978BA"/>
    <w:rsid w:val="00FA2663"/>
    <w:rsid w:val="00FA31F7"/>
    <w:rsid w:val="00FA3A13"/>
    <w:rsid w:val="00FA5321"/>
    <w:rsid w:val="00FA5BE9"/>
    <w:rsid w:val="00FB0442"/>
    <w:rsid w:val="00FB234D"/>
    <w:rsid w:val="00FB2FC8"/>
    <w:rsid w:val="00FB4E52"/>
    <w:rsid w:val="00FB5D20"/>
    <w:rsid w:val="00FB7FB6"/>
    <w:rsid w:val="00FC0A6E"/>
    <w:rsid w:val="00FC4142"/>
    <w:rsid w:val="00FC4BC6"/>
    <w:rsid w:val="00FC6E3F"/>
    <w:rsid w:val="00FD1F47"/>
    <w:rsid w:val="00FD267F"/>
    <w:rsid w:val="00FD6E09"/>
    <w:rsid w:val="00FD7D82"/>
    <w:rsid w:val="00FE079B"/>
    <w:rsid w:val="00FE373B"/>
    <w:rsid w:val="00FE7D07"/>
    <w:rsid w:val="00FF12FE"/>
    <w:rsid w:val="00FF2B6F"/>
    <w:rsid w:val="00FF45F3"/>
    <w:rsid w:val="00FF5465"/>
    <w:rsid w:val="06AE1B93"/>
    <w:rsid w:val="0B313A17"/>
    <w:rsid w:val="0B5136FF"/>
    <w:rsid w:val="0B8939DA"/>
    <w:rsid w:val="0C4B269C"/>
    <w:rsid w:val="0D7C43DB"/>
    <w:rsid w:val="0DAC7E55"/>
    <w:rsid w:val="0EF45ACE"/>
    <w:rsid w:val="10DD3813"/>
    <w:rsid w:val="10E723F2"/>
    <w:rsid w:val="11240F1D"/>
    <w:rsid w:val="125A2759"/>
    <w:rsid w:val="14B6392F"/>
    <w:rsid w:val="1556015F"/>
    <w:rsid w:val="169C3C8F"/>
    <w:rsid w:val="17521429"/>
    <w:rsid w:val="17A945EA"/>
    <w:rsid w:val="195F3A80"/>
    <w:rsid w:val="1B00793D"/>
    <w:rsid w:val="1B992B9E"/>
    <w:rsid w:val="1C215A92"/>
    <w:rsid w:val="1D22612D"/>
    <w:rsid w:val="1EB7477D"/>
    <w:rsid w:val="20AF2801"/>
    <w:rsid w:val="24E2380C"/>
    <w:rsid w:val="25441AE8"/>
    <w:rsid w:val="271B3B99"/>
    <w:rsid w:val="2ADC45FC"/>
    <w:rsid w:val="2CAD4E91"/>
    <w:rsid w:val="2CBC74BC"/>
    <w:rsid w:val="2D0D3080"/>
    <w:rsid w:val="2EA948DA"/>
    <w:rsid w:val="2F776BDF"/>
    <w:rsid w:val="2FB25251"/>
    <w:rsid w:val="311204BA"/>
    <w:rsid w:val="31A33AA5"/>
    <w:rsid w:val="32B20663"/>
    <w:rsid w:val="32F46598"/>
    <w:rsid w:val="34163348"/>
    <w:rsid w:val="369F16C1"/>
    <w:rsid w:val="36AB2BBB"/>
    <w:rsid w:val="3704474D"/>
    <w:rsid w:val="37D01359"/>
    <w:rsid w:val="38A345F9"/>
    <w:rsid w:val="3A2F0285"/>
    <w:rsid w:val="3A9F6955"/>
    <w:rsid w:val="3DD05E38"/>
    <w:rsid w:val="3DDF6F74"/>
    <w:rsid w:val="3EBB369E"/>
    <w:rsid w:val="3ED930B3"/>
    <w:rsid w:val="3EDB5ED6"/>
    <w:rsid w:val="3F7E010F"/>
    <w:rsid w:val="40601727"/>
    <w:rsid w:val="40FD0CD0"/>
    <w:rsid w:val="45470163"/>
    <w:rsid w:val="458F513E"/>
    <w:rsid w:val="46AC7998"/>
    <w:rsid w:val="46CC4EA7"/>
    <w:rsid w:val="47396565"/>
    <w:rsid w:val="47DB533A"/>
    <w:rsid w:val="48B837E5"/>
    <w:rsid w:val="49677B7C"/>
    <w:rsid w:val="49FE03D3"/>
    <w:rsid w:val="4A2512BA"/>
    <w:rsid w:val="4AF1115B"/>
    <w:rsid w:val="4B241FC0"/>
    <w:rsid w:val="4BC656F8"/>
    <w:rsid w:val="4EC31F44"/>
    <w:rsid w:val="4EC4795C"/>
    <w:rsid w:val="4F803F4E"/>
    <w:rsid w:val="502B66D8"/>
    <w:rsid w:val="50C75F6A"/>
    <w:rsid w:val="527775DF"/>
    <w:rsid w:val="52B15FEB"/>
    <w:rsid w:val="55CF1A76"/>
    <w:rsid w:val="56D73A8D"/>
    <w:rsid w:val="57EB2720"/>
    <w:rsid w:val="583623A9"/>
    <w:rsid w:val="58AE3FD4"/>
    <w:rsid w:val="5B3D2ECD"/>
    <w:rsid w:val="5BB070F5"/>
    <w:rsid w:val="5BB46942"/>
    <w:rsid w:val="5CDD789F"/>
    <w:rsid w:val="5D131446"/>
    <w:rsid w:val="5D3D3D92"/>
    <w:rsid w:val="5DDE3722"/>
    <w:rsid w:val="5E4F0FF4"/>
    <w:rsid w:val="5FA324B2"/>
    <w:rsid w:val="60A4162B"/>
    <w:rsid w:val="63FC1441"/>
    <w:rsid w:val="66442B6E"/>
    <w:rsid w:val="684E4359"/>
    <w:rsid w:val="694949EA"/>
    <w:rsid w:val="6A79436D"/>
    <w:rsid w:val="6A7D00B4"/>
    <w:rsid w:val="6AF9360B"/>
    <w:rsid w:val="6B643E2B"/>
    <w:rsid w:val="6C244F57"/>
    <w:rsid w:val="6CF72C48"/>
    <w:rsid w:val="6DA02C3B"/>
    <w:rsid w:val="6F701951"/>
    <w:rsid w:val="70E410AB"/>
    <w:rsid w:val="740E280E"/>
    <w:rsid w:val="745F4BDB"/>
    <w:rsid w:val="74B84E48"/>
    <w:rsid w:val="76F456C7"/>
    <w:rsid w:val="776B03B3"/>
    <w:rsid w:val="77952B75"/>
    <w:rsid w:val="7A05025E"/>
    <w:rsid w:val="7A4402A1"/>
    <w:rsid w:val="7C0B2640"/>
    <w:rsid w:val="7C557A4A"/>
    <w:rsid w:val="7F962116"/>
    <w:rsid w:val="7FA65755"/>
    <w:rsid w:val="7FC704A5"/>
    <w:rsid w:val="7FEE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40" w:after="120" w:line="360" w:lineRule="auto"/>
      <w:ind w:left="454" w:hanging="454"/>
      <w:jc w:val="center"/>
      <w:outlineLvl w:val="1"/>
    </w:pPr>
    <w:rPr>
      <w:rFonts w:ascii="Arial" w:hAnsi="Arial"/>
      <w:b/>
      <w:color w:val="000000"/>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link w:val="16"/>
    <w:qFormat/>
    <w:uiPriority w:val="0"/>
    <w:pPr>
      <w:jc w:val="left"/>
    </w:pPr>
  </w:style>
  <w:style w:type="paragraph" w:styleId="5">
    <w:name w:val="Body Text"/>
    <w:basedOn w:val="1"/>
    <w:qFormat/>
    <w:uiPriority w:val="0"/>
    <w:rPr>
      <w:rFonts w:ascii="仿宋_GB2312" w:eastAsia="仿宋_GB2312"/>
      <w:sz w:val="32"/>
      <w:szCs w:val="32"/>
    </w:rPr>
  </w:style>
  <w:style w:type="paragraph" w:styleId="6">
    <w:name w:val="Balloon Text"/>
    <w:basedOn w:val="1"/>
    <w:link w:val="17"/>
    <w:qFormat/>
    <w:uiPriority w:val="0"/>
    <w:rPr>
      <w:sz w:val="18"/>
      <w:szCs w:val="18"/>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Body Text 2"/>
    <w:basedOn w:val="1"/>
    <w:qFormat/>
    <w:uiPriority w:val="0"/>
    <w:rPr>
      <w:rFonts w:ascii="宋体" w:hAnsi="宋体"/>
      <w:kern w:val="0"/>
      <w:sz w:val="20"/>
      <w:szCs w:val="24"/>
      <w:u w:val="single"/>
    </w:rPr>
  </w:style>
  <w:style w:type="paragraph" w:styleId="10">
    <w:name w:val="annotation subject"/>
    <w:basedOn w:val="4"/>
    <w:next w:val="4"/>
    <w:link w:val="18"/>
    <w:qFormat/>
    <w:uiPriority w:val="0"/>
    <w:rPr>
      <w:b/>
      <w:bCs/>
    </w:rPr>
  </w:style>
  <w:style w:type="character" w:styleId="13">
    <w:name w:val="page number"/>
    <w:qFormat/>
    <w:uiPriority w:val="0"/>
  </w:style>
  <w:style w:type="character" w:styleId="14">
    <w:name w:val="Emphasis"/>
    <w:basedOn w:val="12"/>
    <w:qFormat/>
    <w:uiPriority w:val="0"/>
    <w:rPr>
      <w:i/>
    </w:rPr>
  </w:style>
  <w:style w:type="character" w:styleId="15">
    <w:name w:val="annotation reference"/>
    <w:qFormat/>
    <w:uiPriority w:val="0"/>
    <w:rPr>
      <w:sz w:val="21"/>
      <w:szCs w:val="21"/>
    </w:rPr>
  </w:style>
  <w:style w:type="character" w:customStyle="1" w:styleId="16">
    <w:name w:val="批注文字 字符"/>
    <w:link w:val="4"/>
    <w:qFormat/>
    <w:uiPriority w:val="0"/>
    <w:rPr>
      <w:rFonts w:ascii="Calibri" w:hAnsi="Calibri"/>
      <w:kern w:val="2"/>
      <w:sz w:val="21"/>
      <w:szCs w:val="22"/>
    </w:rPr>
  </w:style>
  <w:style w:type="character" w:customStyle="1" w:styleId="17">
    <w:name w:val="批注框文本 字符"/>
    <w:link w:val="6"/>
    <w:qFormat/>
    <w:uiPriority w:val="0"/>
    <w:rPr>
      <w:rFonts w:ascii="Calibri" w:hAnsi="Calibri"/>
      <w:kern w:val="2"/>
      <w:sz w:val="18"/>
      <w:szCs w:val="18"/>
    </w:rPr>
  </w:style>
  <w:style w:type="character" w:customStyle="1" w:styleId="18">
    <w:name w:val="批注主题 字符"/>
    <w:link w:val="10"/>
    <w:qFormat/>
    <w:uiPriority w:val="0"/>
    <w:rPr>
      <w:rFonts w:ascii="Calibri" w:hAnsi="Calibri"/>
      <w:b/>
      <w:bCs/>
      <w:kern w:val="2"/>
      <w:sz w:val="21"/>
      <w:szCs w:val="22"/>
    </w:r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发文落款"/>
    <w:basedOn w:val="19"/>
    <w:qFormat/>
    <w:uiPriority w:val="0"/>
    <w:pPr>
      <w:ind w:left="4094" w:right="607" w:firstLine="0"/>
      <w:jc w:val="center"/>
    </w:pPr>
  </w:style>
  <w:style w:type="paragraph" w:customStyle="1" w:styleId="21">
    <w:name w:val="列出段落1"/>
    <w:basedOn w:val="1"/>
    <w:qFormat/>
    <w:uiPriority w:val="34"/>
    <w:pPr>
      <w:adjustRightInd w:val="0"/>
      <w:snapToGrid w:val="0"/>
      <w:spacing w:line="312" w:lineRule="auto"/>
      <w:ind w:firstLine="420" w:firstLineChars="200"/>
    </w:pPr>
    <w:rPr>
      <w:rFonts w:ascii="Times New Roman" w:hAnsi="Times New Roman"/>
      <w:sz w:val="20"/>
      <w:szCs w:val="20"/>
    </w:rPr>
  </w:style>
  <w:style w:type="paragraph" w:customStyle="1" w:styleId="22">
    <w:name w:val="_Style 20"/>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16</Pages>
  <Words>12215</Words>
  <Characters>12945</Characters>
  <DocSecurity>0</DocSecurity>
  <Lines>97</Lines>
  <Paragraphs>27</Paragraphs>
  <ScaleCrop>false</ScaleCrop>
  <LinksUpToDate>false</LinksUpToDate>
  <CharactersWithSpaces>13349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2019-04-02T02:04:00Z</cp:lastPrinted>
  <dcterms:created xsi:type="dcterms:W3CDTF">2021-07-30T03:49:00Z</dcterms:created>
  <dcterms:modified xsi:type="dcterms:W3CDTF">2023-05-24T08:46:54Z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C4E5B0D115584CCB88A321592A57EEA7_13</vt:lpwstr>
  </property>
</Properties>
</file>