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hint="eastAsia" w:ascii="宋体" w:hAnsi="宋体" w:eastAsia="宋体" w:cs="宋体"/>
          <w:b/>
          <w:color w:val="auto"/>
          <w:kern w:val="0"/>
          <w:sz w:val="40"/>
          <w:szCs w:val="40"/>
          <w:highlight w:val="none"/>
        </w:rPr>
      </w:pPr>
      <w:bookmarkStart w:id="0" w:name="_Toc300834926"/>
      <w:bookmarkStart w:id="1" w:name="_Toc152042286"/>
      <w:bookmarkStart w:id="2" w:name="_Toc367729707"/>
      <w:bookmarkStart w:id="3" w:name="_Toc247527532"/>
      <w:bookmarkStart w:id="4" w:name="_Toc144974478"/>
      <w:r>
        <w:rPr>
          <w:rFonts w:hint="eastAsia" w:ascii="宋体" w:hAnsi="宋体" w:eastAsia="宋体" w:cs="宋体"/>
          <w:b/>
          <w:color w:val="auto"/>
          <w:kern w:val="0"/>
          <w:sz w:val="40"/>
          <w:szCs w:val="40"/>
          <w:highlight w:val="none"/>
        </w:rPr>
        <w:t>广清经济特别合作区广佛（佛冈）产业园统建管道接入</w:t>
      </w:r>
    </w:p>
    <w:p>
      <w:pPr>
        <w:widowControl/>
        <w:snapToGrid w:val="0"/>
        <w:spacing w:line="360" w:lineRule="auto"/>
        <w:ind w:left="-210" w:leftChars="-100" w:right="-210" w:rightChars="-100"/>
        <w:jc w:val="center"/>
        <w:rPr>
          <w:rFonts w:hint="eastAsia" w:ascii="宋体" w:hAnsi="宋体" w:eastAsia="宋体" w:cs="宋体"/>
          <w:b/>
          <w:color w:val="auto"/>
          <w:kern w:val="0"/>
          <w:sz w:val="44"/>
          <w:szCs w:val="44"/>
          <w:highlight w:val="none"/>
          <w:lang w:eastAsia="zh-CN"/>
        </w:rPr>
      </w:pPr>
      <w:r>
        <w:rPr>
          <w:rFonts w:hint="eastAsia" w:ascii="宋体" w:hAnsi="宋体" w:eastAsia="宋体" w:cs="宋体"/>
          <w:b/>
          <w:color w:val="auto"/>
          <w:kern w:val="0"/>
          <w:sz w:val="40"/>
          <w:szCs w:val="40"/>
          <w:highlight w:val="none"/>
        </w:rPr>
        <w:t>工程设计、施工（一期）总承包</w:t>
      </w:r>
      <w:r>
        <w:rPr>
          <w:rFonts w:hint="eastAsia" w:ascii="宋体" w:hAnsi="宋体" w:cs="宋体"/>
          <w:b/>
          <w:color w:val="auto"/>
          <w:kern w:val="0"/>
          <w:sz w:val="40"/>
          <w:szCs w:val="40"/>
          <w:highlight w:val="none"/>
          <w:lang w:eastAsia="zh-CN"/>
        </w:rPr>
        <w:t>（</w:t>
      </w:r>
      <w:r>
        <w:rPr>
          <w:rFonts w:hint="eastAsia" w:ascii="宋体" w:hAnsi="宋体" w:cs="宋体"/>
          <w:b/>
          <w:color w:val="auto"/>
          <w:kern w:val="0"/>
          <w:sz w:val="40"/>
          <w:szCs w:val="40"/>
          <w:highlight w:val="none"/>
          <w:lang w:val="en-US" w:eastAsia="zh-CN"/>
        </w:rPr>
        <w:t>重新招标</w:t>
      </w:r>
      <w:r>
        <w:rPr>
          <w:rFonts w:hint="eastAsia" w:ascii="宋体" w:hAnsi="宋体" w:cs="宋体"/>
          <w:b/>
          <w:color w:val="auto"/>
          <w:kern w:val="0"/>
          <w:sz w:val="40"/>
          <w:szCs w:val="40"/>
          <w:highlight w:val="none"/>
          <w:lang w:eastAsia="zh-CN"/>
        </w:rPr>
        <w:t>）</w:t>
      </w:r>
    </w:p>
    <w:p>
      <w:pPr>
        <w:pStyle w:val="370"/>
        <w:spacing w:line="360" w:lineRule="auto"/>
        <w:rPr>
          <w:rFonts w:hint="eastAsia" w:ascii="宋体" w:hAnsi="宋体" w:eastAsia="宋体" w:cs="宋体"/>
          <w:color w:val="auto"/>
          <w:sz w:val="72"/>
          <w:szCs w:val="72"/>
          <w:highlight w:val="none"/>
        </w:rPr>
      </w:pPr>
    </w:p>
    <w:p>
      <w:pPr>
        <w:pStyle w:val="370"/>
        <w:spacing w:line="360" w:lineRule="auto"/>
        <w:rPr>
          <w:rFonts w:hint="eastAsia" w:ascii="宋体" w:hAnsi="宋体" w:eastAsia="宋体" w:cs="宋体"/>
          <w:color w:val="auto"/>
          <w:sz w:val="72"/>
          <w:szCs w:val="72"/>
          <w:highlight w:val="none"/>
        </w:rPr>
      </w:pPr>
    </w:p>
    <w:p>
      <w:pPr>
        <w:pStyle w:val="370"/>
        <w:spacing w:line="360" w:lineRule="auto"/>
        <w:rPr>
          <w:rFonts w:hint="eastAsia" w:ascii="宋体" w:hAnsi="宋体" w:eastAsia="宋体" w:cs="宋体"/>
          <w:color w:val="auto"/>
          <w:sz w:val="72"/>
          <w:szCs w:val="72"/>
          <w:highlight w:val="none"/>
        </w:rPr>
      </w:pPr>
    </w:p>
    <w:p>
      <w:pPr>
        <w:pStyle w:val="370"/>
        <w:spacing w:line="360" w:lineRule="auto"/>
        <w:rPr>
          <w:rFonts w:hint="eastAsia" w:ascii="宋体" w:hAnsi="宋体" w:eastAsia="宋体" w:cs="宋体"/>
          <w:color w:val="auto"/>
          <w:sz w:val="72"/>
          <w:szCs w:val="72"/>
          <w:highlight w:val="none"/>
        </w:rPr>
      </w:pPr>
    </w:p>
    <w:p>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pPr>
        <w:spacing w:line="360" w:lineRule="auto"/>
        <w:jc w:val="center"/>
        <w:rPr>
          <w:rStyle w:val="67"/>
          <w:rFonts w:hint="eastAsia" w:ascii="宋体" w:hAnsi="宋体" w:eastAsia="宋体" w:cs="宋体"/>
          <w:color w:val="auto"/>
          <w:sz w:val="48"/>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highlight w:val="none"/>
        </w:rPr>
      </w:pPr>
    </w:p>
    <w:p>
      <w:pPr>
        <w:spacing w:line="360" w:lineRule="auto"/>
        <w:ind w:firstLine="495" w:firstLineChars="176"/>
        <w:jc w:val="left"/>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8"/>
          <w:szCs w:val="28"/>
          <w:highlight w:val="none"/>
        </w:rPr>
        <w:t>招标单位：</w:t>
      </w:r>
      <w:r>
        <w:rPr>
          <w:rFonts w:hint="eastAsia" w:ascii="宋体" w:hAnsi="宋体" w:eastAsia="宋体" w:cs="宋体"/>
          <w:b/>
          <w:color w:val="auto"/>
          <w:kern w:val="0"/>
          <w:sz w:val="28"/>
          <w:szCs w:val="28"/>
          <w:highlight w:val="none"/>
        </w:rPr>
        <w:t>广佛（佛冈）产业园高新投资开发有限公司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招标代理机构：广东远东招标代理有限公司</w:t>
      </w:r>
    </w:p>
    <w:p>
      <w:pPr>
        <w:spacing w:line="360" w:lineRule="auto"/>
        <w:ind w:firstLine="495" w:firstLineChars="176"/>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日期：2023年</w:t>
      </w:r>
      <w:r>
        <w:rPr>
          <w:rFonts w:hint="eastAsia" w:ascii="宋体" w:hAnsi="宋体" w:cs="宋体"/>
          <w:b/>
          <w:bCs/>
          <w:color w:val="auto"/>
          <w:sz w:val="28"/>
          <w:szCs w:val="28"/>
          <w:highlight w:val="none"/>
          <w:lang w:val="en-US" w:eastAsia="zh-CN"/>
        </w:rPr>
        <w:t>05</w:t>
      </w:r>
      <w:r>
        <w:rPr>
          <w:rFonts w:hint="eastAsia" w:ascii="宋体" w:hAnsi="宋体" w:eastAsia="宋体" w:cs="宋体"/>
          <w:b/>
          <w:bCs/>
          <w:color w:val="auto"/>
          <w:sz w:val="28"/>
          <w:szCs w:val="28"/>
          <w:highlight w:val="none"/>
        </w:rPr>
        <w:t>月</w:t>
      </w:r>
    </w:p>
    <w:p>
      <w:pPr>
        <w:pStyle w:val="4"/>
        <w:spacing w:line="360" w:lineRule="auto"/>
        <w:jc w:val="center"/>
        <w:rPr>
          <w:rFonts w:hint="eastAsia" w:ascii="宋体" w:hAnsi="宋体" w:eastAsia="宋体" w:cs="宋体"/>
          <w:color w:val="auto"/>
          <w:highlight w:val="none"/>
        </w:rPr>
        <w:sectPr>
          <w:headerReference r:id="rId5" w:type="first"/>
          <w:headerReference r:id="rId3" w:type="default"/>
          <w:headerReference r:id="rId4" w:type="even"/>
          <w:footerReference r:id="rId6" w:type="even"/>
          <w:pgSz w:w="11906" w:h="16838"/>
          <w:pgMar w:top="1440" w:right="1080" w:bottom="1440" w:left="1080" w:header="851" w:footer="992" w:gutter="0"/>
          <w:pgNumType w:start="0"/>
          <w:cols w:space="720" w:num="1"/>
          <w:titlePg/>
          <w:docGrid w:type="lines" w:linePitch="312" w:charSpace="0"/>
        </w:sectPr>
      </w:pPr>
    </w:p>
    <w:p>
      <w:pPr>
        <w:pStyle w:val="4"/>
        <w:spacing w:line="360" w:lineRule="auto"/>
        <w:jc w:val="center"/>
        <w:rPr>
          <w:rFonts w:hint="eastAsia" w:ascii="宋体" w:hAnsi="宋体" w:eastAsia="宋体" w:cs="宋体"/>
          <w:color w:val="auto"/>
          <w:highlight w:val="none"/>
        </w:rPr>
      </w:pPr>
      <w:bookmarkStart w:id="5" w:name="_Toc3088"/>
      <w:bookmarkStart w:id="6" w:name="_Toc12663"/>
      <w:r>
        <w:rPr>
          <w:rFonts w:hint="eastAsia" w:ascii="宋体" w:hAnsi="宋体" w:eastAsia="宋体" w:cs="宋体"/>
          <w:color w:val="auto"/>
          <w:highlight w:val="none"/>
        </w:rPr>
        <w:t>目     录</w:t>
      </w:r>
      <w:bookmarkEnd w:id="0"/>
      <w:bookmarkEnd w:id="1"/>
      <w:bookmarkEnd w:id="2"/>
      <w:bookmarkEnd w:id="3"/>
      <w:bookmarkEnd w:id="4"/>
      <w:bookmarkEnd w:id="5"/>
      <w:bookmarkEnd w:id="6"/>
    </w:p>
    <w:p>
      <w:pPr>
        <w:pStyle w:val="37"/>
        <w:tabs>
          <w:tab w:val="right" w:leader="dot" w:pos="9638"/>
        </w:tabs>
        <w:spacing w:line="360" w:lineRule="auto"/>
        <w:rPr>
          <w:rFonts w:hint="eastAsia" w:ascii="宋体" w:hAnsi="宋体" w:eastAsia="宋体" w:cs="宋体"/>
          <w:color w:val="auto"/>
          <w:sz w:val="24"/>
          <w:szCs w:val="24"/>
          <w:highlight w:val="none"/>
        </w:rPr>
      </w:pPr>
      <w:bookmarkStart w:id="7" w:name="_Toc247527533"/>
      <w:bookmarkStart w:id="8" w:name="_Toc247513932"/>
      <w:bookmarkStart w:id="9" w:name="_Toc152042287"/>
      <w:bookmarkStart w:id="10" w:name="_Toc152045511"/>
      <w:bookmarkStart w:id="11" w:name="_Toc144974479"/>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TOC \o "1-2" \h \z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"_Toc12663"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目     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"_Toc26223"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第一章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"_Toc20226"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第二章  评标办法（综合评分法）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_Toc20226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"_Toc22499"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第三章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"_Toc15197"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第四章  发包人要求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_Toc15197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7"/>
        <w:tabs>
          <w:tab w:val="right" w:leader="dot" w:pos="9638"/>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"_Toc20561"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第五章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_Toc20561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4"/>
        <w:spacing w:line="360" w:lineRule="auto"/>
        <w:jc w:val="center"/>
        <w:rPr>
          <w:rFonts w:hint="eastAsia" w:ascii="宋体" w:hAnsi="宋体" w:eastAsia="宋体" w:cs="宋体"/>
          <w:color w:val="auto"/>
          <w:sz w:val="56"/>
          <w:szCs w:val="56"/>
          <w:highlight w:val="none"/>
        </w:rPr>
        <w:sectPr>
          <w:footerReference r:id="rId8" w:type="first"/>
          <w:footerReference r:id="rId7" w:type="default"/>
          <w:pgSz w:w="11906" w:h="16838"/>
          <w:pgMar w:top="1418" w:right="1134" w:bottom="1418" w:left="1134" w:header="851" w:footer="992" w:gutter="0"/>
          <w:pgNumType w:start="1"/>
          <w:cols w:space="720" w:num="1"/>
          <w:docGrid w:type="lines" w:linePitch="312" w:charSpace="0"/>
        </w:sectPr>
      </w:pPr>
      <w:r>
        <w:rPr>
          <w:rFonts w:hint="eastAsia" w:ascii="宋体" w:hAnsi="宋体" w:eastAsia="宋体" w:cs="宋体"/>
          <w:color w:val="auto"/>
          <w:kern w:val="2"/>
          <w:sz w:val="56"/>
          <w:szCs w:val="36"/>
          <w:highlight w:val="none"/>
        </w:rPr>
        <w:fldChar w:fldCharType="end"/>
      </w:r>
    </w:p>
    <w:bookmarkEnd w:id="7"/>
    <w:bookmarkEnd w:id="8"/>
    <w:bookmarkEnd w:id="9"/>
    <w:bookmarkEnd w:id="10"/>
    <w:bookmarkEnd w:id="11"/>
    <w:p>
      <w:pPr>
        <w:pStyle w:val="4"/>
        <w:spacing w:line="360" w:lineRule="auto"/>
        <w:jc w:val="center"/>
        <w:rPr>
          <w:rFonts w:hint="eastAsia" w:ascii="宋体" w:hAnsi="宋体" w:eastAsia="宋体" w:cs="宋体"/>
          <w:color w:val="auto"/>
          <w:highlight w:val="none"/>
        </w:rPr>
      </w:pPr>
      <w:bookmarkStart w:id="12" w:name="_Toc152045527"/>
      <w:bookmarkStart w:id="13" w:name="_Toc144974495"/>
      <w:bookmarkStart w:id="14" w:name="_Toc247513950"/>
      <w:bookmarkStart w:id="15" w:name="_Toc152042303"/>
      <w:bookmarkStart w:id="16" w:name="_Toc247527551"/>
      <w:bookmarkStart w:id="17" w:name="_Toc31867"/>
      <w:bookmarkStart w:id="18" w:name="_Toc26223"/>
      <w:r>
        <w:rPr>
          <w:rFonts w:hint="eastAsia" w:ascii="宋体" w:hAnsi="宋体" w:eastAsia="宋体" w:cs="宋体"/>
          <w:color w:val="auto"/>
          <w:highlight w:val="none"/>
        </w:rPr>
        <w:t>第一章 投标人须知</w:t>
      </w:r>
      <w:bookmarkEnd w:id="12"/>
      <w:bookmarkEnd w:id="13"/>
      <w:bookmarkEnd w:id="14"/>
      <w:bookmarkEnd w:id="15"/>
      <w:bookmarkEnd w:id="16"/>
      <w:bookmarkEnd w:id="17"/>
      <w:bookmarkEnd w:id="18"/>
    </w:p>
    <w:p>
      <w:pPr>
        <w:pStyle w:val="5"/>
        <w:spacing w:line="360" w:lineRule="auto"/>
        <w:jc w:val="center"/>
        <w:rPr>
          <w:rFonts w:hint="eastAsia" w:ascii="宋体" w:hAnsi="宋体" w:eastAsia="宋体" w:cs="宋体"/>
          <w:color w:val="auto"/>
          <w:highlight w:val="none"/>
        </w:rPr>
      </w:pPr>
      <w:bookmarkStart w:id="19" w:name="_Toc357089510"/>
      <w:bookmarkStart w:id="20" w:name="_Toc152045528"/>
      <w:bookmarkStart w:id="21" w:name="_Toc443505821"/>
      <w:bookmarkStart w:id="22" w:name="_Toc300834948"/>
      <w:bookmarkStart w:id="23" w:name="_Toc247527552"/>
      <w:bookmarkStart w:id="24" w:name="_Toc247513951"/>
      <w:bookmarkStart w:id="25" w:name="_Toc362816479"/>
      <w:bookmarkStart w:id="26" w:name="_Toc28526"/>
      <w:bookmarkStart w:id="27" w:name="_Toc23825"/>
      <w:bookmarkStart w:id="28" w:name="_Toc144974496"/>
      <w:bookmarkStart w:id="29" w:name="_Toc152042304"/>
      <w:r>
        <w:rPr>
          <w:rFonts w:hint="eastAsia" w:ascii="宋体" w:hAnsi="宋体" w:eastAsia="宋体" w:cs="宋体"/>
          <w:color w:val="auto"/>
          <w:highlight w:val="none"/>
        </w:rPr>
        <w:t>投标人须知前附表</w:t>
      </w:r>
      <w:bookmarkEnd w:id="19"/>
      <w:bookmarkEnd w:id="20"/>
      <w:bookmarkEnd w:id="21"/>
      <w:bookmarkEnd w:id="22"/>
      <w:bookmarkEnd w:id="23"/>
      <w:bookmarkEnd w:id="24"/>
      <w:bookmarkEnd w:id="25"/>
      <w:bookmarkEnd w:id="26"/>
      <w:bookmarkEnd w:id="27"/>
      <w:bookmarkEnd w:id="28"/>
      <w:bookmarkEnd w:id="29"/>
    </w:p>
    <w:tbl>
      <w:tblPr>
        <w:tblStyle w:val="55"/>
        <w:tblW w:w="4994" w:type="pct"/>
        <w:tblInd w:w="0" w:type="dxa"/>
        <w:tblLayout w:type="autofit"/>
        <w:tblCellMar>
          <w:top w:w="0" w:type="dxa"/>
          <w:left w:w="108" w:type="dxa"/>
          <w:bottom w:w="0" w:type="dxa"/>
          <w:right w:w="108" w:type="dxa"/>
        </w:tblCellMar>
      </w:tblPr>
      <w:tblGrid>
        <w:gridCol w:w="816"/>
        <w:gridCol w:w="2178"/>
        <w:gridCol w:w="6956"/>
      </w:tblGrid>
      <w:tr>
        <w:tblPrEx>
          <w:tblCellMar>
            <w:top w:w="0" w:type="dxa"/>
            <w:left w:w="108" w:type="dxa"/>
            <w:bottom w:w="0" w:type="dxa"/>
            <w:right w:w="108" w:type="dxa"/>
          </w:tblCellMar>
        </w:tblPrEx>
        <w:trPr>
          <w:trHeight w:val="272" w:hRule="atLeast"/>
          <w:tblHeader/>
        </w:trPr>
        <w:tc>
          <w:tcPr>
            <w:tcW w:w="409" w:type="pct"/>
            <w:tcBorders>
              <w:top w:val="single" w:color="auto" w:sz="4" w:space="0"/>
              <w:left w:val="single" w:color="auto" w:sz="4" w:space="0"/>
              <w:bottom w:val="single" w:color="auto" w:sz="4" w:space="0"/>
              <w:right w:val="single" w:color="auto" w:sz="4" w:space="0"/>
            </w:tcBorders>
            <w:vAlign w:val="center"/>
          </w:tcPr>
          <w:p>
            <w:pPr>
              <w:snapToGrid w:val="0"/>
              <w:ind w:left="-134" w:leftChars="-64" w:right="-107" w:rightChars="-51"/>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条款号</w:t>
            </w:r>
          </w:p>
        </w:tc>
        <w:tc>
          <w:tcPr>
            <w:tcW w:w="1095"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  款  名  称</w:t>
            </w:r>
          </w:p>
        </w:tc>
        <w:tc>
          <w:tcPr>
            <w:tcW w:w="3494"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编  列  内  容</w:t>
            </w:r>
          </w:p>
        </w:tc>
      </w:tr>
      <w:tr>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招标人名称：广佛（佛冈）产业园高新投资开发有限公司</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地址：广清经济特别合作区广佛（佛冈）产业园</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联系人：</w:t>
            </w:r>
            <w:r>
              <w:rPr>
                <w:rFonts w:hint="eastAsia" w:ascii="宋体" w:hAnsi="宋体" w:eastAsia="宋体" w:cs="宋体"/>
                <w:color w:val="auto"/>
                <w:kern w:val="0"/>
                <w:sz w:val="20"/>
                <w:szCs w:val="20"/>
                <w:highlight w:val="none"/>
              </w:rPr>
              <w:t>林工</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联系电话：0763-4633363</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招标代理机构</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名称：广东远东招标代理有限公司</w:t>
            </w:r>
          </w:p>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地址：广东省广州市越秀区越秀北路222号608-612室</w:t>
            </w:r>
          </w:p>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联系人：</w:t>
            </w:r>
            <w:r>
              <w:rPr>
                <w:rFonts w:hint="eastAsia" w:ascii="宋体" w:hAnsi="宋体" w:eastAsia="宋体" w:cs="宋体"/>
                <w:color w:val="auto"/>
                <w:kern w:val="0"/>
                <w:sz w:val="20"/>
                <w:szCs w:val="20"/>
                <w:highlight w:val="none"/>
              </w:rPr>
              <w:t>陈工</w:t>
            </w:r>
            <w:r>
              <w:rPr>
                <w:rFonts w:hint="eastAsia" w:ascii="宋体" w:hAnsi="宋体" w:eastAsia="宋体" w:cs="宋体"/>
                <w:color w:val="auto"/>
                <w:sz w:val="20"/>
                <w:szCs w:val="20"/>
                <w:highlight w:val="none"/>
              </w:rPr>
              <w:t xml:space="preserve">      </w:t>
            </w:r>
          </w:p>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w:t>
            </w:r>
            <w:r>
              <w:rPr>
                <w:rFonts w:hint="eastAsia" w:ascii="宋体" w:hAnsi="宋体" w:eastAsia="宋体" w:cs="宋体"/>
                <w:color w:val="auto"/>
                <w:kern w:val="0"/>
                <w:sz w:val="20"/>
                <w:szCs w:val="20"/>
                <w:highlight w:val="none"/>
              </w:rPr>
              <w:t>020-83642820</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3494"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u w:val="single"/>
              </w:rPr>
              <w:t>广清经济特别合作区广佛（佛冈）产业园统建管道接入工程设计、施工（一期）总承包</w:t>
            </w:r>
            <w:r>
              <w:rPr>
                <w:rFonts w:hint="eastAsia" w:ascii="宋体" w:hAnsi="宋体" w:cs="宋体"/>
                <w:color w:val="auto"/>
                <w:sz w:val="20"/>
                <w:szCs w:val="20"/>
                <w:highlight w:val="none"/>
                <w:u w:val="single"/>
                <w:lang w:eastAsia="zh-CN"/>
              </w:rPr>
              <w:t>（</w:t>
            </w:r>
            <w:r>
              <w:rPr>
                <w:rFonts w:hint="eastAsia" w:ascii="宋体" w:hAnsi="宋体" w:cs="宋体"/>
                <w:color w:val="auto"/>
                <w:sz w:val="20"/>
                <w:szCs w:val="20"/>
                <w:highlight w:val="none"/>
                <w:u w:val="single"/>
                <w:lang w:val="en-US" w:eastAsia="zh-CN"/>
              </w:rPr>
              <w:t>重新招标</w:t>
            </w:r>
            <w:r>
              <w:rPr>
                <w:rFonts w:hint="eastAsia" w:ascii="宋体" w:hAnsi="宋体" w:cs="宋体"/>
                <w:color w:val="auto"/>
                <w:sz w:val="20"/>
                <w:szCs w:val="20"/>
                <w:highlight w:val="none"/>
                <w:u w:val="single"/>
                <w:lang w:eastAsia="zh-CN"/>
              </w:rPr>
              <w:t>）</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建设地点</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广清经济特别合作区广佛（佛冈）产业园</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资金来源及比例</w:t>
            </w:r>
          </w:p>
        </w:tc>
        <w:tc>
          <w:tcPr>
            <w:tcW w:w="3494"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自筹资金</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资金落实情况</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已落实</w:t>
            </w:r>
          </w:p>
        </w:tc>
      </w:tr>
      <w:tr>
        <w:tblPrEx>
          <w:tblCellMar>
            <w:top w:w="0" w:type="dxa"/>
            <w:left w:w="108" w:type="dxa"/>
            <w:bottom w:w="0" w:type="dxa"/>
            <w:right w:w="108" w:type="dxa"/>
          </w:tblCellMar>
        </w:tblPrEx>
        <w:trPr>
          <w:trHeight w:val="921"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招标范围</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见本项目招标公告</w:t>
            </w:r>
            <w:r>
              <w:rPr>
                <w:rFonts w:hint="eastAsia" w:ascii="宋体" w:hAnsi="宋体" w:cs="宋体"/>
                <w:color w:val="auto"/>
                <w:sz w:val="20"/>
                <w:szCs w:val="20"/>
                <w:highlight w:val="none"/>
                <w:lang w:eastAsia="zh-CN"/>
              </w:rPr>
              <w:t>。</w:t>
            </w:r>
          </w:p>
          <w:p>
            <w:pPr>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备注：招标人有权根据项目的实际情况增加和减少工作内容。承包人资质承包范围不能涵盖或不具备相应能力的部分专业工程，可委托具备相应专业资质和能力的单位实施，但该实施单位需获得发包人批准。</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计划工期</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见本项目招标公告</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1.3.3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质量标准</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设计要求：符合《工程勘察质量评定办法》、《建设工程勘察设计管理条例》、《建筑工程设计文件编制深度规范》、《市政工程设计文件编制深度规定》及《建设工程质量管理条例》等国家及地方有关工程设计管理法规、规章和行业相关规范技术标准等要求。</w:t>
            </w:r>
          </w:p>
          <w:p>
            <w:pPr>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施工要求：符合设计图纸要求和国家、省、市相关法律法规规定要求及行业颁发的工程质量合格标准。</w:t>
            </w:r>
          </w:p>
          <w:p>
            <w:pPr>
              <w:rPr>
                <w:rFonts w:hint="eastAsia" w:ascii="宋体" w:hAnsi="宋体" w:eastAsia="宋体" w:cs="宋体"/>
                <w:bCs/>
                <w:color w:val="auto"/>
                <w:sz w:val="20"/>
                <w:szCs w:val="20"/>
                <w:highlight w:val="none"/>
              </w:rPr>
            </w:pPr>
            <w:r>
              <w:rPr>
                <w:rFonts w:hint="eastAsia" w:ascii="宋体" w:hAnsi="宋体" w:eastAsia="宋体" w:cs="宋体"/>
                <w:color w:val="auto"/>
                <w:spacing w:val="-2"/>
                <w:sz w:val="20"/>
                <w:szCs w:val="20"/>
                <w:highlight w:val="none"/>
              </w:rPr>
              <w:t>工程质量目标：合格。</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投标人资质条件、能力和信誉</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见本项目招标公告</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1.4.2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是否接受联合体投标</w:t>
            </w:r>
          </w:p>
        </w:tc>
        <w:tc>
          <w:tcPr>
            <w:tcW w:w="3494" w:type="pct"/>
            <w:tcBorders>
              <w:top w:val="single" w:color="auto" w:sz="4" w:space="0"/>
              <w:left w:val="single" w:color="auto" w:sz="4" w:space="0"/>
              <w:bottom w:val="single" w:color="auto" w:sz="4" w:space="0"/>
              <w:right w:val="single" w:color="auto" w:sz="4" w:space="0"/>
            </w:tcBorders>
            <w:vAlign w:val="center"/>
          </w:tcPr>
          <w:p>
            <w:pPr>
              <w:pStyle w:val="20"/>
              <w:topLinePunct/>
              <w:rPr>
                <w:rFonts w:hint="eastAsia" w:ascii="宋体" w:hAnsi="宋体" w:eastAsia="宋体" w:cs="宋体"/>
                <w:color w:val="auto"/>
                <w:kern w:val="2"/>
                <w:sz w:val="20"/>
                <w:highlight w:val="none"/>
              </w:rPr>
            </w:pPr>
            <w:r>
              <w:rPr>
                <w:rFonts w:hint="eastAsia" w:ascii="宋体" w:hAnsi="宋体" w:eastAsia="宋体" w:cs="宋体"/>
                <w:color w:val="auto"/>
                <w:kern w:val="2"/>
                <w:sz w:val="20"/>
                <w:highlight w:val="none"/>
              </w:rPr>
              <w:t>□不接受</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接受，应满足下列要求：</w:t>
            </w:r>
            <w:r>
              <w:rPr>
                <w:rFonts w:hint="eastAsia" w:ascii="宋体" w:hAnsi="宋体" w:eastAsia="宋体" w:cs="宋体"/>
                <w:color w:val="auto"/>
                <w:sz w:val="20"/>
                <w:szCs w:val="20"/>
                <w:highlight w:val="none"/>
                <w:u w:val="single"/>
              </w:rPr>
              <w:t>详见本项目招标公告。</w:t>
            </w:r>
          </w:p>
        </w:tc>
      </w:tr>
      <w:tr>
        <w:tblPrEx>
          <w:tblCellMar>
            <w:top w:w="0" w:type="dxa"/>
            <w:left w:w="108" w:type="dxa"/>
            <w:bottom w:w="0" w:type="dxa"/>
            <w:right w:w="108" w:type="dxa"/>
          </w:tblCellMar>
        </w:tblPrEx>
        <w:trPr>
          <w:trHeight w:val="545"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1.5</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费用承担和设计成果补偿</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■不补偿</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补偿</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1.9.1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踏勘</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w:t>
            </w:r>
            <w:r>
              <w:rPr>
                <w:rFonts w:hint="eastAsia" w:ascii="宋体" w:hAnsi="宋体" w:eastAsia="宋体" w:cs="宋体"/>
                <w:color w:val="auto"/>
                <w:sz w:val="20"/>
                <w:szCs w:val="20"/>
                <w:highlight w:val="none"/>
              </w:rPr>
              <w:t>不组织：自行踏勘。</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□组织，踏勘时间：</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踏勘集中地点：</w:t>
            </w:r>
            <w:r>
              <w:rPr>
                <w:rFonts w:hint="eastAsia" w:ascii="宋体" w:hAnsi="宋体" w:eastAsia="宋体" w:cs="宋体"/>
                <w:color w:val="auto"/>
                <w:sz w:val="20"/>
                <w:szCs w:val="20"/>
                <w:highlight w:val="none"/>
                <w:u w:val="single"/>
              </w:rPr>
              <w:t>/</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1.10.1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投标预备会</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■不召开</w:t>
            </w:r>
          </w:p>
          <w:p>
            <w:pPr>
              <w:adjustRightInd w:val="0"/>
              <w:snapToGrid w:val="0"/>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kern w:val="0"/>
                <w:sz w:val="20"/>
                <w:szCs w:val="20"/>
                <w:highlight w:val="none"/>
              </w:rPr>
              <w:t>召开，召开时间：另行通知</w:t>
            </w:r>
          </w:p>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 xml:space="preserve">召开地点： </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1.10.2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投标人提出问题的截止时间</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1.方式：网上答疑。网上答疑的相关事项详见招标文件第一章投标人须知第2.2款。</w:t>
            </w:r>
          </w:p>
          <w:p>
            <w:pP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2.投标人质疑期限：在递交投标文件截止日期前18日。</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1.10.3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招标人书面澄清的时间</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投标截止时间15日前</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招标人规定由分包人承担的工作</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无</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1.11.2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投标人拟分包的工作</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p>
            <w:pP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■允许，</w:t>
            </w:r>
            <w:r>
              <w:rPr>
                <w:rFonts w:hint="eastAsia" w:ascii="宋体" w:hAnsi="宋体" w:eastAsia="宋体" w:cs="宋体"/>
                <w:color w:val="auto"/>
                <w:kern w:val="0"/>
                <w:sz w:val="20"/>
                <w:szCs w:val="20"/>
                <w:highlight w:val="none"/>
                <w:u w:val="single"/>
              </w:rPr>
              <w:t>允许非主体、非关键性工程进行分包。</w:t>
            </w:r>
          </w:p>
          <w:p>
            <w:pPr>
              <w:ind w:firstLine="800" w:firstLineChars="4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分包内容要求：经监理工程师及发包人同意后可依法分包</w:t>
            </w:r>
            <w:r>
              <w:rPr>
                <w:rFonts w:hint="eastAsia" w:ascii="宋体" w:hAnsi="宋体" w:cs="宋体"/>
                <w:color w:val="auto"/>
                <w:sz w:val="20"/>
                <w:szCs w:val="20"/>
                <w:highlight w:val="none"/>
                <w:u w:val="single"/>
                <w:lang w:eastAsia="zh-CN"/>
              </w:rPr>
              <w:t>，</w:t>
            </w:r>
            <w:r>
              <w:rPr>
                <w:rFonts w:hint="eastAsia" w:ascii="宋体" w:hAnsi="宋体" w:eastAsia="宋体" w:cs="宋体"/>
                <w:color w:val="auto"/>
                <w:sz w:val="20"/>
                <w:szCs w:val="20"/>
                <w:highlight w:val="none"/>
                <w:u w:val="single"/>
              </w:rPr>
              <w:t>且需报发包人备案。</w:t>
            </w:r>
          </w:p>
          <w:p>
            <w:pPr>
              <w:ind w:firstLine="800" w:firstLineChars="4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分包金额要求：无</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对分包人的资质要求：符合有关法律法规和文件规定，并不得再次分包。</w:t>
            </w:r>
          </w:p>
        </w:tc>
      </w:tr>
      <w:tr>
        <w:tblPrEx>
          <w:tblCellMar>
            <w:top w:w="0" w:type="dxa"/>
            <w:left w:w="108" w:type="dxa"/>
            <w:bottom w:w="0" w:type="dxa"/>
            <w:right w:w="108" w:type="dxa"/>
          </w:tblCellMar>
        </w:tblPrEx>
        <w:trPr>
          <w:trHeight w:val="154"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偏离</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□允许，允许偏离的内容、偏离范围和幅度</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构成招标文件的其他资料</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u w:val="single"/>
              </w:rPr>
              <w:t>答疑纪要、澄清文件等（如有）</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投标人要求澄清招标文件的截止时间</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同投标人提出问题的截止时间</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投标人确认收到答疑纪要或澄清的时间</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在广州公共资源交易中心网上答疑专区发布时视为投标人收到。</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2.3.2</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投标人确认收到招标文件修改的时间</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在广州公共资源交易中心网上答疑专区发布时视为投标人收到。</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构成投标文件的其他资料</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见第五章《投标文件格式》要求。</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3.2.3</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最高投标限价</w:t>
            </w:r>
          </w:p>
        </w:tc>
        <w:tc>
          <w:tcPr>
            <w:tcW w:w="3494"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z w:val="20"/>
                <w:szCs w:val="20"/>
                <w:highlight w:val="none"/>
              </w:rPr>
              <w:t>招标控制价：</w:t>
            </w:r>
            <w:r>
              <w:rPr>
                <w:rFonts w:hint="eastAsia" w:ascii="宋体" w:hAnsi="宋体" w:eastAsia="宋体" w:cs="宋体"/>
                <w:color w:val="auto"/>
                <w:sz w:val="20"/>
                <w:szCs w:val="20"/>
                <w:highlight w:val="none"/>
                <w:u w:val="single"/>
              </w:rPr>
              <w:t>人民币</w:t>
            </w:r>
            <w:r>
              <w:rPr>
                <w:rFonts w:hint="eastAsia" w:ascii="宋体" w:hAnsi="宋体" w:eastAsia="宋体" w:cs="宋体"/>
                <w:color w:val="auto"/>
                <w:sz w:val="20"/>
                <w:szCs w:val="20"/>
                <w:highlight w:val="none"/>
                <w:u w:val="single"/>
                <w:lang w:bidi="ar"/>
              </w:rPr>
              <w:t>494.41</w:t>
            </w:r>
            <w:r>
              <w:rPr>
                <w:rFonts w:hint="eastAsia" w:ascii="宋体" w:hAnsi="宋体" w:eastAsia="宋体" w:cs="宋体"/>
                <w:color w:val="auto"/>
                <w:sz w:val="20"/>
                <w:szCs w:val="20"/>
                <w:highlight w:val="none"/>
                <w:u w:val="single"/>
              </w:rPr>
              <w:t>万元</w:t>
            </w:r>
            <w:r>
              <w:rPr>
                <w:rFonts w:hint="eastAsia" w:ascii="宋体" w:hAnsi="宋体" w:eastAsia="宋体" w:cs="宋体"/>
                <w:color w:val="auto"/>
                <w:sz w:val="20"/>
                <w:szCs w:val="20"/>
                <w:highlight w:val="none"/>
                <w:u w:val="single"/>
                <w:lang w:eastAsia="zh-CN"/>
              </w:rPr>
              <w:t>（</w:t>
            </w:r>
            <w:r>
              <w:rPr>
                <w:rFonts w:hint="eastAsia" w:ascii="宋体" w:hAnsi="宋体" w:eastAsia="宋体" w:cs="宋体"/>
                <w:color w:val="auto"/>
                <w:sz w:val="20"/>
                <w:szCs w:val="20"/>
                <w:highlight w:val="none"/>
                <w:u w:val="single"/>
              </w:rPr>
              <w:t>其中：设计费最高投标限价为</w:t>
            </w:r>
            <w:r>
              <w:rPr>
                <w:rFonts w:hint="eastAsia" w:ascii="宋体" w:hAnsi="宋体" w:eastAsia="宋体" w:cs="宋体"/>
                <w:color w:val="auto"/>
                <w:sz w:val="20"/>
                <w:szCs w:val="20"/>
                <w:highlight w:val="none"/>
                <w:u w:val="single"/>
                <w:lang w:bidi="ar"/>
              </w:rPr>
              <w:t>15.41</w:t>
            </w:r>
            <w:r>
              <w:rPr>
                <w:rFonts w:hint="eastAsia" w:ascii="宋体" w:hAnsi="宋体" w:eastAsia="宋体" w:cs="宋体"/>
                <w:color w:val="auto"/>
                <w:sz w:val="20"/>
                <w:szCs w:val="20"/>
                <w:highlight w:val="none"/>
                <w:u w:val="single"/>
              </w:rPr>
              <w:t>万元，建安工程费最高投标限价为</w:t>
            </w:r>
            <w:r>
              <w:rPr>
                <w:rFonts w:hint="eastAsia" w:ascii="宋体" w:hAnsi="宋体" w:eastAsia="宋体" w:cs="宋体"/>
                <w:color w:val="auto"/>
                <w:sz w:val="20"/>
                <w:szCs w:val="20"/>
                <w:highlight w:val="none"/>
                <w:u w:val="single"/>
                <w:lang w:bidi="ar"/>
              </w:rPr>
              <w:t>479</w:t>
            </w:r>
            <w:r>
              <w:rPr>
                <w:rFonts w:hint="eastAsia" w:ascii="宋体" w:hAnsi="宋体" w:eastAsia="宋体" w:cs="宋体"/>
                <w:color w:val="auto"/>
                <w:sz w:val="20"/>
                <w:szCs w:val="20"/>
                <w:highlight w:val="none"/>
                <w:u w:val="single"/>
              </w:rPr>
              <w:t>万元</w:t>
            </w:r>
            <w:r>
              <w:rPr>
                <w:rFonts w:hint="eastAsia" w:ascii="宋体" w:hAnsi="宋体" w:eastAsia="宋体" w:cs="宋体"/>
                <w:color w:val="auto"/>
                <w:sz w:val="20"/>
                <w:szCs w:val="20"/>
                <w:highlight w:val="none"/>
                <w:u w:val="single"/>
                <w:lang w:eastAsia="zh-CN"/>
              </w:rPr>
              <w:t>）</w:t>
            </w:r>
            <w:r>
              <w:rPr>
                <w:rFonts w:hint="eastAsia" w:ascii="宋体" w:hAnsi="宋体" w:cs="宋体"/>
                <w:color w:val="auto"/>
                <w:sz w:val="20"/>
                <w:szCs w:val="20"/>
                <w:highlight w:val="none"/>
                <w:u w:val="single"/>
                <w:lang w:eastAsia="zh-CN"/>
              </w:rPr>
              <w:t>，</w:t>
            </w:r>
            <w:r>
              <w:rPr>
                <w:rFonts w:hint="eastAsia" w:ascii="宋体" w:hAnsi="宋体" w:eastAsia="宋体" w:cs="宋体"/>
                <w:bCs w:val="0"/>
                <w:snapToGrid/>
                <w:color w:val="auto"/>
                <w:sz w:val="20"/>
                <w:szCs w:val="20"/>
                <w:highlight w:val="none"/>
                <w:u w:val="single"/>
              </w:rPr>
              <w:t>其中各项全费用固定综合单价</w:t>
            </w:r>
            <w:r>
              <w:rPr>
                <w:rFonts w:hint="eastAsia" w:ascii="宋体" w:hAnsi="宋体" w:eastAsia="宋体" w:cs="宋体"/>
                <w:bCs w:val="0"/>
                <w:snapToGrid/>
                <w:color w:val="auto"/>
                <w:sz w:val="20"/>
                <w:szCs w:val="20"/>
                <w:highlight w:val="none"/>
                <w:u w:val="single"/>
                <w:lang w:val="en-US" w:eastAsia="zh-CN"/>
              </w:rPr>
              <w:t>最高</w:t>
            </w:r>
            <w:r>
              <w:rPr>
                <w:rFonts w:hint="eastAsia" w:ascii="宋体" w:hAnsi="宋体" w:eastAsia="宋体" w:cs="宋体"/>
                <w:bCs w:val="0"/>
                <w:snapToGrid/>
                <w:color w:val="auto"/>
                <w:sz w:val="20"/>
                <w:szCs w:val="20"/>
                <w:highlight w:val="none"/>
                <w:u w:val="single"/>
              </w:rPr>
              <w:t>投标限价</w:t>
            </w:r>
            <w:r>
              <w:rPr>
                <w:rFonts w:hint="eastAsia" w:ascii="宋体" w:hAnsi="宋体" w:eastAsia="宋体" w:cs="宋体"/>
                <w:bCs w:val="0"/>
                <w:snapToGrid/>
                <w:color w:val="auto"/>
                <w:sz w:val="20"/>
                <w:szCs w:val="20"/>
                <w:highlight w:val="none"/>
                <w:u w:val="single"/>
                <w:lang w:val="en-US" w:eastAsia="zh-CN"/>
              </w:rPr>
              <w:t>分别为：</w:t>
            </w:r>
            <w:r>
              <w:rPr>
                <w:rFonts w:hint="eastAsia" w:ascii="宋体" w:hAnsi="宋体" w:eastAsia="宋体" w:cs="宋体"/>
                <w:bCs w:val="0"/>
                <w:snapToGrid/>
                <w:color w:val="auto"/>
                <w:kern w:val="2"/>
                <w:sz w:val="20"/>
                <w:szCs w:val="20"/>
                <w:highlight w:val="none"/>
                <w:u w:val="single"/>
                <w:lang w:bidi="ar"/>
              </w:rPr>
              <w:t>管道（含道路恢复）：</w:t>
            </w:r>
            <w:r>
              <w:rPr>
                <w:rFonts w:hint="eastAsia" w:ascii="宋体" w:hAnsi="宋体" w:eastAsia="宋体" w:cs="宋体"/>
                <w:bCs w:val="0"/>
                <w:snapToGrid/>
                <w:color w:val="auto"/>
                <w:sz w:val="20"/>
                <w:szCs w:val="20"/>
                <w:highlight w:val="none"/>
                <w:u w:val="single"/>
                <w:lang w:val="en-US" w:eastAsia="zh-CN"/>
              </w:rPr>
              <w:t>56000</w:t>
            </w:r>
            <w:r>
              <w:rPr>
                <w:rFonts w:hint="eastAsia" w:ascii="宋体" w:hAnsi="宋体" w:eastAsia="宋体" w:cs="宋体"/>
                <w:bCs w:val="0"/>
                <w:snapToGrid/>
                <w:color w:val="auto"/>
                <w:sz w:val="20"/>
                <w:szCs w:val="20"/>
                <w:highlight w:val="none"/>
                <w:u w:val="single"/>
              </w:rPr>
              <w:t>元</w:t>
            </w:r>
            <w:r>
              <w:rPr>
                <w:rFonts w:hint="eastAsia" w:ascii="宋体" w:hAnsi="宋体" w:eastAsia="宋体" w:cs="宋体"/>
                <w:bCs w:val="0"/>
                <w:snapToGrid/>
                <w:color w:val="auto"/>
                <w:sz w:val="20"/>
                <w:szCs w:val="20"/>
                <w:highlight w:val="none"/>
                <w:u w:val="single"/>
                <w:lang w:bidi="ar"/>
              </w:rPr>
              <w:t>/</w:t>
            </w:r>
            <w:r>
              <w:rPr>
                <w:rFonts w:hint="eastAsia" w:ascii="宋体" w:hAnsi="宋体" w:eastAsia="宋体" w:cs="宋体"/>
                <w:bCs w:val="0"/>
                <w:snapToGrid/>
                <w:color w:val="auto"/>
                <w:kern w:val="2"/>
                <w:sz w:val="20"/>
                <w:szCs w:val="20"/>
                <w:highlight w:val="none"/>
                <w:u w:val="single"/>
                <w:lang w:bidi="ar"/>
              </w:rPr>
              <w:t>孔公里</w:t>
            </w:r>
            <w:r>
              <w:rPr>
                <w:rFonts w:hint="eastAsia" w:ascii="宋体" w:hAnsi="宋体" w:cs="宋体"/>
                <w:bCs w:val="0"/>
                <w:snapToGrid/>
                <w:color w:val="auto"/>
                <w:sz w:val="20"/>
                <w:szCs w:val="20"/>
                <w:highlight w:val="none"/>
                <w:u w:val="single"/>
                <w:lang w:eastAsia="zh-CN"/>
              </w:rPr>
              <w:t>；</w:t>
            </w:r>
            <w:r>
              <w:rPr>
                <w:rFonts w:hint="eastAsia" w:ascii="宋体" w:hAnsi="宋体" w:eastAsia="宋体" w:cs="宋体"/>
                <w:bCs w:val="0"/>
                <w:snapToGrid/>
                <w:color w:val="auto"/>
                <w:kern w:val="2"/>
                <w:sz w:val="20"/>
                <w:szCs w:val="20"/>
                <w:highlight w:val="none"/>
                <w:u w:val="single"/>
                <w:lang w:bidi="ar"/>
              </w:rPr>
              <w:t>顶管</w:t>
            </w:r>
            <w:r>
              <w:rPr>
                <w:rFonts w:hint="eastAsia" w:ascii="宋体" w:hAnsi="宋体" w:eastAsia="宋体" w:cs="宋体"/>
                <w:bCs w:val="0"/>
                <w:snapToGrid/>
                <w:color w:val="auto"/>
                <w:sz w:val="20"/>
                <w:szCs w:val="20"/>
                <w:highlight w:val="none"/>
                <w:u w:val="single"/>
                <w:lang w:bidi="ar"/>
              </w:rPr>
              <w:t>：</w:t>
            </w:r>
            <w:r>
              <w:rPr>
                <w:rFonts w:hint="eastAsia" w:ascii="宋体" w:hAnsi="宋体" w:eastAsia="宋体" w:cs="宋体"/>
                <w:bCs w:val="0"/>
                <w:snapToGrid/>
                <w:color w:val="auto"/>
                <w:sz w:val="20"/>
                <w:szCs w:val="20"/>
                <w:highlight w:val="none"/>
                <w:u w:val="single"/>
                <w:lang w:val="en-US" w:eastAsia="zh-CN"/>
              </w:rPr>
              <w:t>75000</w:t>
            </w:r>
            <w:r>
              <w:rPr>
                <w:rFonts w:hint="eastAsia" w:ascii="宋体" w:hAnsi="宋体" w:eastAsia="宋体" w:cs="宋体"/>
                <w:bCs w:val="0"/>
                <w:snapToGrid/>
                <w:color w:val="auto"/>
                <w:sz w:val="20"/>
                <w:szCs w:val="20"/>
                <w:highlight w:val="none"/>
                <w:u w:val="single"/>
              </w:rPr>
              <w:t>元</w:t>
            </w:r>
            <w:r>
              <w:rPr>
                <w:rFonts w:hint="eastAsia" w:ascii="宋体" w:hAnsi="宋体" w:eastAsia="宋体" w:cs="宋体"/>
                <w:bCs w:val="0"/>
                <w:snapToGrid/>
                <w:color w:val="auto"/>
                <w:sz w:val="20"/>
                <w:szCs w:val="20"/>
                <w:highlight w:val="none"/>
                <w:u w:val="single"/>
                <w:lang w:bidi="ar"/>
              </w:rPr>
              <w:t>/孔公里</w:t>
            </w:r>
            <w:r>
              <w:rPr>
                <w:rFonts w:hint="eastAsia" w:ascii="宋体" w:hAnsi="宋体" w:eastAsia="宋体" w:cs="宋体"/>
                <w:bCs w:val="0"/>
                <w:snapToGrid/>
                <w:color w:val="auto"/>
                <w:sz w:val="20"/>
                <w:szCs w:val="20"/>
                <w:highlight w:val="none"/>
                <w:u w:val="single"/>
                <w:lang w:eastAsia="zh-CN" w:bidi="ar"/>
              </w:rPr>
              <w:t>。</w:t>
            </w:r>
          </w:p>
          <w:p>
            <w:pPr>
              <w:spacing w:line="360" w:lineRule="auto"/>
              <w:rPr>
                <w:rFonts w:hint="eastAsia" w:ascii="宋体" w:hAnsi="宋体" w:eastAsia="宋体" w:cs="宋体"/>
                <w:b/>
                <w:bCs/>
                <w:color w:val="auto"/>
                <w:sz w:val="20"/>
                <w:szCs w:val="20"/>
                <w:highlight w:val="none"/>
                <w:u w:val="single"/>
                <w:shd w:val="clear" w:color="auto" w:fill="auto"/>
                <w:lang w:eastAsia="zh-CN"/>
              </w:rPr>
            </w:pPr>
            <w:r>
              <w:rPr>
                <w:rFonts w:hint="eastAsia" w:ascii="宋体" w:hAnsi="宋体" w:eastAsia="宋体" w:cs="宋体"/>
                <w:b/>
                <w:bCs/>
                <w:color w:val="auto"/>
                <w:sz w:val="20"/>
                <w:szCs w:val="20"/>
                <w:highlight w:val="none"/>
                <w:u w:val="single"/>
                <w:shd w:val="clear" w:color="auto" w:fill="auto"/>
                <w:lang w:val="en-US" w:eastAsia="zh-CN"/>
              </w:rPr>
              <w:t>注：</w:t>
            </w:r>
            <w:r>
              <w:rPr>
                <w:rFonts w:hint="eastAsia" w:ascii="宋体" w:hAnsi="宋体" w:eastAsia="宋体" w:cs="宋体"/>
                <w:b/>
                <w:bCs/>
                <w:color w:val="auto"/>
                <w:sz w:val="20"/>
                <w:szCs w:val="20"/>
                <w:highlight w:val="none"/>
                <w:u w:val="single"/>
                <w:shd w:val="clear" w:color="auto" w:fill="auto"/>
              </w:rPr>
              <w:t>投标人的投标报价总价</w:t>
            </w:r>
            <w:r>
              <w:rPr>
                <w:rFonts w:hint="eastAsia" w:ascii="宋体" w:hAnsi="宋体" w:eastAsia="宋体" w:cs="宋体"/>
                <w:b/>
                <w:bCs/>
                <w:color w:val="auto"/>
                <w:sz w:val="20"/>
                <w:szCs w:val="20"/>
                <w:highlight w:val="none"/>
                <w:u w:val="single"/>
                <w:shd w:val="clear" w:color="auto" w:fill="auto"/>
                <w:lang w:eastAsia="zh-CN"/>
              </w:rPr>
              <w:t>、</w:t>
            </w:r>
            <w:r>
              <w:rPr>
                <w:rFonts w:hint="eastAsia" w:ascii="宋体" w:hAnsi="宋体" w:eastAsia="宋体" w:cs="宋体"/>
                <w:b/>
                <w:bCs/>
                <w:color w:val="auto"/>
                <w:sz w:val="20"/>
                <w:szCs w:val="20"/>
                <w:highlight w:val="none"/>
                <w:u w:val="single"/>
                <w:shd w:val="clear" w:color="auto" w:fill="auto"/>
                <w:lang w:val="en-US" w:eastAsia="zh-CN"/>
              </w:rPr>
              <w:t>设计费报价、施工费（建安工程费）报价</w:t>
            </w:r>
            <w:r>
              <w:rPr>
                <w:rFonts w:hint="eastAsia" w:ascii="宋体" w:hAnsi="宋体" w:eastAsia="宋体" w:cs="宋体"/>
                <w:b/>
                <w:bCs/>
                <w:color w:val="auto"/>
                <w:sz w:val="20"/>
                <w:szCs w:val="20"/>
                <w:highlight w:val="none"/>
                <w:u w:val="single"/>
                <w:shd w:val="clear" w:color="auto" w:fill="auto"/>
              </w:rPr>
              <w:t>不能超过招标人公布的</w:t>
            </w:r>
            <w:r>
              <w:rPr>
                <w:rFonts w:hint="eastAsia" w:ascii="宋体" w:hAnsi="宋体" w:eastAsia="宋体" w:cs="宋体"/>
                <w:b/>
                <w:bCs/>
                <w:color w:val="auto"/>
                <w:sz w:val="20"/>
                <w:szCs w:val="20"/>
                <w:highlight w:val="none"/>
                <w:u w:val="single"/>
                <w:shd w:val="clear" w:color="auto" w:fill="auto"/>
                <w:lang w:val="en-US" w:eastAsia="zh-CN"/>
              </w:rPr>
              <w:t>各</w:t>
            </w:r>
            <w:r>
              <w:rPr>
                <w:rFonts w:hint="eastAsia" w:ascii="宋体" w:hAnsi="宋体" w:eastAsia="宋体" w:cs="宋体"/>
                <w:b/>
                <w:bCs/>
                <w:color w:val="auto"/>
                <w:sz w:val="20"/>
                <w:szCs w:val="20"/>
                <w:highlight w:val="none"/>
                <w:u w:val="single"/>
                <w:shd w:val="clear" w:color="auto" w:fill="auto"/>
              </w:rPr>
              <w:t>投标报价最高投标限价</w:t>
            </w:r>
            <w:r>
              <w:rPr>
                <w:rFonts w:hint="eastAsia" w:ascii="宋体" w:hAnsi="宋体" w:eastAsia="宋体" w:cs="宋体"/>
                <w:b/>
                <w:bCs/>
                <w:color w:val="auto"/>
                <w:sz w:val="20"/>
                <w:szCs w:val="20"/>
                <w:highlight w:val="none"/>
                <w:u w:val="single"/>
                <w:shd w:val="clear" w:color="auto" w:fill="auto"/>
                <w:lang w:eastAsia="zh-CN"/>
              </w:rPr>
              <w:t>。</w:t>
            </w:r>
          </w:p>
          <w:p>
            <w:pPr>
              <w:spacing w:line="360" w:lineRule="auto"/>
              <w:rPr>
                <w:rFonts w:hint="eastAsia" w:ascii="宋体" w:hAnsi="宋体" w:eastAsia="宋体" w:cs="宋体"/>
                <w:b/>
                <w:bCs/>
                <w:color w:val="auto"/>
                <w:sz w:val="20"/>
                <w:szCs w:val="20"/>
                <w:highlight w:val="none"/>
                <w:u w:val="single"/>
                <w:shd w:val="clear" w:color="auto" w:fill="auto"/>
              </w:rPr>
            </w:pPr>
            <w:r>
              <w:rPr>
                <w:rFonts w:hint="eastAsia" w:ascii="宋体" w:hAnsi="宋体" w:eastAsia="宋体" w:cs="宋体"/>
                <w:b/>
                <w:bCs/>
                <w:color w:val="auto"/>
                <w:sz w:val="20"/>
                <w:szCs w:val="20"/>
                <w:highlight w:val="none"/>
                <w:u w:val="single"/>
                <w:shd w:val="clear" w:color="auto" w:fill="auto"/>
              </w:rPr>
              <w:t>投标人</w:t>
            </w:r>
            <w:r>
              <w:rPr>
                <w:rFonts w:hint="eastAsia" w:ascii="宋体" w:hAnsi="宋体" w:cs="宋体"/>
                <w:b/>
                <w:bCs/>
                <w:color w:val="auto"/>
                <w:sz w:val="20"/>
                <w:szCs w:val="20"/>
                <w:highlight w:val="none"/>
                <w:u w:val="single"/>
                <w:shd w:val="clear" w:color="auto" w:fill="auto"/>
                <w:lang w:val="en-US" w:eastAsia="zh-CN"/>
              </w:rPr>
              <w:t>的全费用固定</w:t>
            </w:r>
            <w:r>
              <w:rPr>
                <w:rFonts w:hint="eastAsia" w:ascii="宋体" w:hAnsi="宋体" w:eastAsia="宋体" w:cs="宋体"/>
                <w:b/>
                <w:bCs/>
                <w:color w:val="auto"/>
                <w:sz w:val="20"/>
                <w:szCs w:val="20"/>
                <w:highlight w:val="none"/>
                <w:u w:val="single"/>
                <w:shd w:val="clear" w:color="auto" w:fill="auto"/>
              </w:rPr>
              <w:t>综合单价不能超过招标人公布的</w:t>
            </w:r>
            <w:r>
              <w:rPr>
                <w:rFonts w:hint="eastAsia" w:ascii="宋体" w:hAnsi="宋体" w:cs="宋体"/>
                <w:b/>
                <w:bCs/>
                <w:color w:val="auto"/>
                <w:sz w:val="20"/>
                <w:szCs w:val="20"/>
                <w:highlight w:val="none"/>
                <w:u w:val="single"/>
                <w:shd w:val="clear" w:color="auto" w:fill="auto"/>
                <w:lang w:val="en-US" w:eastAsia="zh-CN"/>
              </w:rPr>
              <w:t>全费用固定</w:t>
            </w:r>
            <w:r>
              <w:rPr>
                <w:rFonts w:hint="eastAsia" w:ascii="宋体" w:hAnsi="宋体" w:eastAsia="宋体" w:cs="宋体"/>
                <w:b/>
                <w:bCs/>
                <w:color w:val="auto"/>
                <w:sz w:val="20"/>
                <w:szCs w:val="20"/>
                <w:highlight w:val="none"/>
                <w:u w:val="single"/>
                <w:shd w:val="clear" w:color="auto" w:fill="auto"/>
              </w:rPr>
              <w:t>综合单价最高投标限价。</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b/>
                <w:bCs/>
                <w:color w:val="auto"/>
                <w:sz w:val="20"/>
                <w:szCs w:val="20"/>
                <w:highlight w:val="none"/>
                <w:u w:val="single"/>
                <w:shd w:val="clear" w:color="auto" w:fill="auto"/>
              </w:rPr>
              <w:t>投标报价总价</w:t>
            </w:r>
            <w:r>
              <w:rPr>
                <w:rFonts w:hint="eastAsia" w:ascii="宋体" w:hAnsi="宋体" w:eastAsia="宋体" w:cs="宋体"/>
                <w:b/>
                <w:bCs/>
                <w:color w:val="auto"/>
                <w:sz w:val="20"/>
                <w:szCs w:val="20"/>
                <w:highlight w:val="none"/>
                <w:u w:val="single"/>
                <w:shd w:val="clear" w:color="auto" w:fill="auto"/>
                <w:lang w:eastAsia="zh-CN"/>
              </w:rPr>
              <w:t>、</w:t>
            </w:r>
            <w:r>
              <w:rPr>
                <w:rFonts w:hint="eastAsia" w:ascii="宋体" w:hAnsi="宋体" w:eastAsia="宋体" w:cs="宋体"/>
                <w:b/>
                <w:bCs/>
                <w:color w:val="auto"/>
                <w:sz w:val="20"/>
                <w:szCs w:val="20"/>
                <w:highlight w:val="none"/>
                <w:u w:val="single"/>
                <w:shd w:val="clear" w:color="auto" w:fill="auto"/>
                <w:lang w:val="en-US" w:eastAsia="zh-CN"/>
              </w:rPr>
              <w:t>设计费报价、施工费（建安工程费）报价</w:t>
            </w:r>
            <w:r>
              <w:rPr>
                <w:rFonts w:hint="eastAsia" w:ascii="宋体" w:hAnsi="宋体" w:eastAsia="宋体" w:cs="宋体"/>
                <w:b/>
                <w:bCs/>
                <w:color w:val="auto"/>
                <w:sz w:val="20"/>
                <w:szCs w:val="20"/>
                <w:highlight w:val="none"/>
                <w:u w:val="single"/>
                <w:shd w:val="clear" w:color="auto" w:fill="auto"/>
              </w:rPr>
              <w:t>超过投标报价总价最高投标限价或投标报价综合单价超过投标报价综合单价最高投标限价的投标文件将被拒绝。</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3.2.4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投标报价要求</w:t>
            </w:r>
          </w:p>
        </w:tc>
        <w:tc>
          <w:tcPr>
            <w:tcW w:w="349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t>详见招标公告。</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3.3.1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投标有效期</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u w:val="single"/>
              </w:rPr>
              <w:t>120日历天（从递交投标文件截止之日计起），如出现异议或投诉，则投标有效期自动延长至异议或投诉处理结束，确定中标人并发放中标通知书为止。</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3.4.1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投标担保</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投标担保的金额：人民币</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万元</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投标保证金的形式：采用现金汇（转）、投标保函、保险等形式。</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投标保证金收取方式：采用现金汇（转）形式的，由广州公共资源交易中心代收</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投标人须在投标截止时间前将保证金转（汇）入其账户，且所有保证金必须由投标单位（或联合体主办方）的银行基本账户转出。投标保证金到账情况以开标时广州公共资源交易中心数据库查询的信息为准。具体操作要求详见广州公共资源交易中心有关指引，递交事宜请自行咨询交易中心。</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投标保证金汇入账户如下：</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开户银行：中国建设银行天润路支行</w:t>
            </w:r>
            <w:r>
              <w:rPr>
                <w:rFonts w:hint="eastAsia" w:ascii="宋体" w:hAnsi="宋体" w:eastAsia="宋体" w:cs="宋体"/>
                <w:color w:val="auto"/>
                <w:sz w:val="20"/>
                <w:szCs w:val="20"/>
                <w:highlight w:val="none"/>
              </w:rPr>
              <w:tab/>
            </w:r>
          </w:p>
          <w:p>
            <w:pPr>
              <w:widowControl/>
              <w:ind w:left="-2" w:firstLine="2"/>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eastAsia="zh-CN"/>
              </w:rPr>
              <w:t>账号</w:t>
            </w:r>
            <w:r>
              <w:rPr>
                <w:rFonts w:hint="eastAsia" w:ascii="宋体" w:hAnsi="宋体" w:eastAsia="宋体" w:cs="宋体"/>
                <w:color w:val="auto"/>
                <w:sz w:val="20"/>
                <w:szCs w:val="20"/>
                <w:highlight w:val="none"/>
              </w:rPr>
              <w:t>：44001583404059333333</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户名：广州交易集团有限公司</w:t>
            </w:r>
          </w:p>
          <w:p>
            <w:pPr>
              <w:widowControl/>
              <w:ind w:left="-2" w:firstLine="2"/>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如为联合体，由联合体主办方提交</w:t>
            </w:r>
            <w:r>
              <w:rPr>
                <w:rFonts w:hint="eastAsia" w:ascii="宋体" w:hAnsi="宋体" w:cs="宋体"/>
                <w:color w:val="auto"/>
                <w:sz w:val="20"/>
                <w:szCs w:val="20"/>
                <w:highlight w:val="none"/>
                <w:lang w:eastAsia="zh-CN"/>
              </w:rPr>
              <w:t>）</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采用转账形式的：招标人与中标人签订合同后5日内，向未中标的投标人和中标人退还投标保证金（不计息退还）；</w:t>
            </w:r>
          </w:p>
          <w:p>
            <w:pPr>
              <w:widowControl/>
              <w:ind w:left="-2" w:firstLine="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采用投标保函或保险等形式提交的投标保证金的，投标保函或保险需开具给招标人（保险受益人须为招标人）在开标前不强制要求提交相关文本原件，但投标人应在投标文件中提交投标保函或保险的扫描件并加盖投标人公章。评审结束后，中标候选人应在中标候选人公示前提交其办理的投标保函或投标保证保险扫描件并在网上予以公示。</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3.6</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是否允许递交备选投标方案</w:t>
            </w:r>
          </w:p>
        </w:tc>
        <w:tc>
          <w:tcPr>
            <w:tcW w:w="349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w:t>
            </w:r>
          </w:p>
          <w:p>
            <w:pPr>
              <w:adjustRightInd w:val="0"/>
              <w:snapToGrid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□允许</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递交投标文件及投标登记时间和地点</w:t>
            </w:r>
          </w:p>
        </w:tc>
        <w:tc>
          <w:tcPr>
            <w:tcW w:w="3494" w:type="pct"/>
            <w:tcBorders>
              <w:top w:val="single" w:color="auto" w:sz="4" w:space="0"/>
              <w:left w:val="single" w:color="auto" w:sz="4" w:space="0"/>
              <w:bottom w:val="single" w:color="auto" w:sz="4" w:space="0"/>
              <w:right w:val="single" w:color="auto" w:sz="4" w:space="0"/>
            </w:tcBorders>
            <w:vAlign w:val="center"/>
          </w:tcPr>
          <w:p>
            <w:pPr>
              <w:ind w:left="200" w:hanging="200" w:hangingChars="100"/>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递交开始时间：2023年  月  日  时  分；</w:t>
            </w:r>
          </w:p>
          <w:p>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递交截止时间：2023年  月  日  时  分；</w:t>
            </w:r>
          </w:p>
          <w:p>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地点：广州公共资源交易中心黄埔区交易部（广州市黄埔区水西路32号四楼（汇丽国际D栋写字楼四楼））指定开标室；</w:t>
            </w:r>
          </w:p>
          <w:p>
            <w:pPr>
              <w:rPr>
                <w:rFonts w:hint="eastAsia" w:ascii="宋体" w:hAnsi="宋体" w:eastAsia="宋体" w:cs="宋体"/>
                <w:color w:val="auto"/>
                <w:sz w:val="20"/>
                <w:szCs w:val="20"/>
                <w:highlight w:val="none"/>
                <w:u w:val="single"/>
              </w:rPr>
            </w:pPr>
            <w:r>
              <w:rPr>
                <w:rFonts w:hint="eastAsia" w:ascii="宋体" w:hAnsi="宋体" w:eastAsia="宋体" w:cs="宋体"/>
                <w:color w:val="auto"/>
                <w:sz w:val="20"/>
                <w:szCs w:val="20"/>
                <w:highlight w:val="none"/>
                <w:u w:val="single"/>
              </w:rPr>
              <w:t>本项目日程安排及地点信息可在广州公共资源交易中心网站进行查询。</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4.2.4</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是否退还投标文件</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topLinePunc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■否</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tc>
      </w:tr>
      <w:tr>
        <w:tblPrEx>
          <w:tblCellMar>
            <w:top w:w="0" w:type="dxa"/>
            <w:left w:w="108" w:type="dxa"/>
            <w:bottom w:w="0" w:type="dxa"/>
            <w:right w:w="108" w:type="dxa"/>
          </w:tblCellMar>
        </w:tblPrEx>
        <w:trPr>
          <w:trHeight w:val="362" w:hRule="atLeast"/>
        </w:trPr>
        <w:tc>
          <w:tcPr>
            <w:tcW w:w="409"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5.1</w:t>
            </w:r>
          </w:p>
        </w:tc>
        <w:tc>
          <w:tcPr>
            <w:tcW w:w="1095"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开标时间和地点</w:t>
            </w:r>
          </w:p>
        </w:tc>
        <w:tc>
          <w:tcPr>
            <w:tcW w:w="3494" w:type="pct"/>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开标开始时间：</w:t>
            </w:r>
            <w:r>
              <w:rPr>
                <w:rFonts w:hint="eastAsia" w:ascii="宋体" w:hAnsi="宋体" w:eastAsia="宋体" w:cs="宋体"/>
                <w:color w:val="auto"/>
                <w:kern w:val="0"/>
                <w:sz w:val="20"/>
                <w:szCs w:val="20"/>
                <w:highlight w:val="none"/>
                <w:u w:val="single"/>
              </w:rPr>
              <w:t>年</w:t>
            </w:r>
            <w:r>
              <w:rPr>
                <w:rFonts w:hint="eastAsia" w:ascii="宋体" w:hAnsi="宋体" w:eastAsia="宋体" w:cs="宋体"/>
                <w:color w:val="auto"/>
                <w:sz w:val="20"/>
                <w:szCs w:val="20"/>
                <w:highlight w:val="none"/>
                <w:u w:val="single"/>
              </w:rPr>
              <w:t xml:space="preserve">  月  日</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kern w:val="0"/>
                <w:sz w:val="20"/>
                <w:szCs w:val="20"/>
                <w:highlight w:val="none"/>
                <w:u w:val="single"/>
              </w:rPr>
              <w:t>时</w:t>
            </w:r>
            <w:r>
              <w:rPr>
                <w:rFonts w:hint="eastAsia" w:ascii="宋体" w:hAnsi="宋体" w:cs="宋体"/>
                <w:color w:val="auto"/>
                <w:kern w:val="0"/>
                <w:sz w:val="20"/>
                <w:szCs w:val="20"/>
                <w:highlight w:val="none"/>
                <w:u w:val="single"/>
                <w:lang w:val="en-US" w:eastAsia="zh-CN"/>
              </w:rPr>
              <w:t xml:space="preserve">  </w:t>
            </w:r>
            <w:r>
              <w:rPr>
                <w:rFonts w:hint="eastAsia" w:ascii="宋体" w:hAnsi="宋体" w:eastAsia="宋体" w:cs="宋体"/>
                <w:color w:val="auto"/>
                <w:kern w:val="0"/>
                <w:sz w:val="20"/>
                <w:szCs w:val="20"/>
                <w:highlight w:val="none"/>
                <w:u w:val="single"/>
              </w:rPr>
              <w:t>分</w:t>
            </w:r>
            <w:r>
              <w:rPr>
                <w:rFonts w:hint="eastAsia" w:ascii="宋体" w:hAnsi="宋体" w:eastAsia="宋体" w:cs="宋体"/>
                <w:color w:val="auto"/>
                <w:kern w:val="0"/>
                <w:sz w:val="20"/>
                <w:szCs w:val="20"/>
                <w:highlight w:val="none"/>
              </w:rPr>
              <w:t>；</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地点：</w:t>
            </w:r>
            <w:r>
              <w:rPr>
                <w:rFonts w:hint="eastAsia" w:ascii="宋体" w:hAnsi="宋体" w:eastAsia="宋体" w:cs="宋体"/>
                <w:color w:val="auto"/>
                <w:sz w:val="20"/>
                <w:szCs w:val="20"/>
                <w:highlight w:val="none"/>
                <w:u w:val="single"/>
              </w:rPr>
              <w:t>广州公共资源交易中心黄埔区交易部（广州黄埔区水西路32号四楼（汇丽国际D栋写字楼四楼））指定开标室；</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u w:val="single"/>
              </w:rPr>
              <w:t>本项目日程安排及地点信息可在广州公共资源交易中心网站进行查询。</w:t>
            </w:r>
          </w:p>
        </w:tc>
      </w:tr>
      <w:tr>
        <w:tblPrEx>
          <w:tblCellMar>
            <w:top w:w="0" w:type="dxa"/>
            <w:left w:w="108" w:type="dxa"/>
            <w:bottom w:w="0" w:type="dxa"/>
            <w:right w:w="108" w:type="dxa"/>
          </w:tblCellMar>
        </w:tblPrEx>
        <w:trPr>
          <w:trHeight w:val="6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评标委员会的组建</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评标委员会分为设计评审组、施工评审组</w:t>
            </w:r>
            <w:r>
              <w:rPr>
                <w:rFonts w:hint="eastAsia" w:ascii="宋体" w:hAnsi="宋体" w:eastAsia="宋体" w:cs="宋体"/>
                <w:color w:val="auto"/>
                <w:sz w:val="20"/>
                <w:szCs w:val="20"/>
                <w:highlight w:val="none"/>
                <w:u w:val="single"/>
              </w:rPr>
              <w:t>（资格审查由施工评审组负责）</w:t>
            </w:r>
            <w:r>
              <w:rPr>
                <w:rFonts w:hint="eastAsia" w:ascii="宋体" w:hAnsi="宋体" w:eastAsia="宋体" w:cs="宋体"/>
                <w:color w:val="auto"/>
                <w:kern w:val="0"/>
                <w:sz w:val="20"/>
                <w:szCs w:val="20"/>
                <w:highlight w:val="none"/>
              </w:rPr>
              <w:t>，由招标人</w:t>
            </w:r>
            <w:r>
              <w:rPr>
                <w:rFonts w:hint="eastAsia" w:ascii="宋体" w:hAnsi="宋体" w:eastAsia="宋体" w:cs="宋体"/>
                <w:color w:val="auto"/>
                <w:sz w:val="20"/>
                <w:szCs w:val="20"/>
                <w:highlight w:val="none"/>
                <w:u w:val="single"/>
              </w:rPr>
              <w:t>在开标前</w:t>
            </w:r>
            <w:r>
              <w:rPr>
                <w:rFonts w:hint="eastAsia" w:ascii="宋体" w:hAnsi="宋体" w:eastAsia="宋体" w:cs="宋体"/>
                <w:color w:val="auto"/>
                <w:kern w:val="0"/>
                <w:sz w:val="20"/>
                <w:szCs w:val="20"/>
                <w:highlight w:val="none"/>
              </w:rPr>
              <w:t>依法组建。</w:t>
            </w:r>
          </w:p>
        </w:tc>
      </w:tr>
      <w:tr>
        <w:tblPrEx>
          <w:tblCellMar>
            <w:top w:w="0" w:type="dxa"/>
            <w:left w:w="108" w:type="dxa"/>
            <w:bottom w:w="0" w:type="dxa"/>
            <w:right w:w="108" w:type="dxa"/>
          </w:tblCellMar>
        </w:tblPrEx>
        <w:trPr>
          <w:trHeight w:val="60"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是否授权评标委员会确定中标人</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□是</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■否，推荐的中标候选人数：</w:t>
            </w:r>
            <w:r>
              <w:rPr>
                <w:rFonts w:hint="eastAsia" w:ascii="宋体" w:hAnsi="宋体" w:eastAsia="宋体" w:cs="宋体"/>
                <w:color w:val="auto"/>
                <w:kern w:val="0"/>
                <w:sz w:val="20"/>
                <w:szCs w:val="20"/>
                <w:highlight w:val="none"/>
                <w:u w:val="single"/>
              </w:rPr>
              <w:t>3人</w:t>
            </w:r>
          </w:p>
        </w:tc>
      </w:tr>
      <w:tr>
        <w:tblPrEx>
          <w:tblCellMar>
            <w:top w:w="0" w:type="dxa"/>
            <w:left w:w="108" w:type="dxa"/>
            <w:bottom w:w="0" w:type="dxa"/>
            <w:right w:w="108" w:type="dxa"/>
          </w:tblCellMar>
        </w:tblPrEx>
        <w:trPr>
          <w:trHeight w:val="549" w:hRule="atLeast"/>
        </w:trPr>
        <w:tc>
          <w:tcPr>
            <w:tcW w:w="409" w:type="pc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7.2</w:t>
            </w:r>
          </w:p>
        </w:tc>
        <w:tc>
          <w:tcPr>
            <w:tcW w:w="1095" w:type="pc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中标候选人公示媒介</w:t>
            </w:r>
          </w:p>
        </w:tc>
        <w:tc>
          <w:tcPr>
            <w:tcW w:w="3494" w:type="pct"/>
            <w:tcBorders>
              <w:top w:val="single" w:color="auto" w:sz="4" w:space="0"/>
              <w:left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广州公共资源交易中心网站、中国招标投标公共服务平台、广东省招标投标监管网。</w:t>
            </w:r>
          </w:p>
        </w:tc>
      </w:tr>
      <w:tr>
        <w:tblPrEx>
          <w:tblCellMar>
            <w:top w:w="0" w:type="dxa"/>
            <w:left w:w="108" w:type="dxa"/>
            <w:bottom w:w="0" w:type="dxa"/>
            <w:right w:w="108" w:type="dxa"/>
          </w:tblCellMar>
        </w:tblPrEx>
        <w:trPr>
          <w:trHeight w:val="211"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7.4.1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履约担保的形式：</w:t>
            </w:r>
            <w:r>
              <w:rPr>
                <w:rFonts w:hint="eastAsia" w:ascii="宋体" w:hAnsi="宋体" w:eastAsia="宋体" w:cs="宋体"/>
                <w:color w:val="auto"/>
                <w:sz w:val="20"/>
                <w:szCs w:val="20"/>
                <w:highlight w:val="none"/>
              </w:rPr>
              <w:t>银行保函</w:t>
            </w:r>
          </w:p>
          <w:p>
            <w:pPr>
              <w:widowControl/>
              <w:rPr>
                <w:rFonts w:hint="eastAsia" w:ascii="宋体" w:hAnsi="宋体" w:eastAsia="宋体" w:cs="宋体"/>
                <w:color w:val="auto"/>
                <w:sz w:val="20"/>
                <w:szCs w:val="20"/>
                <w:highlight w:val="none"/>
                <w:u w:val="single"/>
              </w:rPr>
            </w:pPr>
            <w:r>
              <w:rPr>
                <w:rFonts w:hint="eastAsia" w:ascii="宋体" w:hAnsi="宋体" w:eastAsia="宋体" w:cs="宋体"/>
                <w:color w:val="auto"/>
                <w:kern w:val="0"/>
                <w:sz w:val="20"/>
                <w:szCs w:val="20"/>
                <w:highlight w:val="none"/>
              </w:rPr>
              <w:t>履约担保的金额：</w:t>
            </w:r>
            <w:r>
              <w:rPr>
                <w:rFonts w:hint="eastAsia" w:ascii="宋体" w:hAnsi="宋体" w:eastAsia="宋体" w:cs="宋体"/>
                <w:color w:val="auto"/>
                <w:sz w:val="20"/>
                <w:szCs w:val="20"/>
                <w:highlight w:val="none"/>
                <w:u w:val="single"/>
              </w:rPr>
              <w:t>中标人提供的履约担保为中标价款的10% 。</w:t>
            </w:r>
          </w:p>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u w:val="single"/>
              </w:rPr>
              <w:t>履约担保和预付款担保均指施工部分，设计无需担保。</w:t>
            </w:r>
          </w:p>
        </w:tc>
      </w:tr>
      <w:tr>
        <w:tblPrEx>
          <w:tblCellMar>
            <w:top w:w="0" w:type="dxa"/>
            <w:left w:w="108" w:type="dxa"/>
            <w:bottom w:w="0" w:type="dxa"/>
            <w:right w:w="108" w:type="dxa"/>
          </w:tblCellMar>
        </w:tblPrEx>
        <w:trPr>
          <w:trHeight w:val="364"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9</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需要补充的其他内容</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9.1</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在招标和合同实施期间，业主要求投标人和承包人遵守最高的道德标准。</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1、对本条款的规定，特定义如下词汇：</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1）、“腐败行为”是指在招标或合同执行期间，通过提供、给予、接受或索要任何有价值的东西，从而影响招标人有关人员工作的行为；</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widowControl/>
              <w:rPr>
                <w:rFonts w:hint="eastAsia" w:ascii="宋体" w:hAnsi="宋体" w:eastAsia="宋体" w:cs="宋体"/>
                <w:b/>
                <w:bCs/>
                <w:color w:val="auto"/>
                <w:kern w:val="0"/>
                <w:sz w:val="20"/>
                <w:szCs w:val="20"/>
                <w:highlight w:val="none"/>
              </w:rPr>
            </w:pPr>
            <w:r>
              <w:rPr>
                <w:rFonts w:hint="eastAsia" w:ascii="宋体" w:hAnsi="宋体" w:eastAsia="宋体" w:cs="宋体"/>
                <w:color w:val="auto"/>
                <w:kern w:val="0"/>
                <w:sz w:val="20"/>
                <w:szCs w:val="20"/>
                <w:highlight w:val="none"/>
                <w:lang w:val="zh-CN"/>
              </w:rPr>
              <w:t>2、如果投标人被认定在本招标的竞争中有腐败或欺诈行为，则会被取消投标资格。</w:t>
            </w:r>
          </w:p>
        </w:tc>
      </w:tr>
      <w:tr>
        <w:tblPrEx>
          <w:tblCellMar>
            <w:top w:w="0" w:type="dxa"/>
            <w:left w:w="108" w:type="dxa"/>
            <w:bottom w:w="0" w:type="dxa"/>
            <w:right w:w="108" w:type="dxa"/>
          </w:tblCellMar>
        </w:tblPrEx>
        <w:trPr>
          <w:trHeight w:val="605"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9.2</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项目管理目标：</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1.职业健康安全管理目标：杜绝死亡事故、杜绝火灾事故、杜绝重大机械事故。改善劳动条件，预防职业病，工地防尘、防毒、防噪音、通风、照明、取暖、降温、</w:t>
            </w:r>
            <w:r>
              <w:rPr>
                <w:rFonts w:hint="eastAsia" w:ascii="宋体" w:hAnsi="宋体" w:cs="宋体"/>
                <w:color w:val="auto"/>
                <w:sz w:val="20"/>
                <w:szCs w:val="20"/>
                <w:highlight w:val="none"/>
                <w:lang w:eastAsia="zh-CN"/>
              </w:rPr>
              <w:t>防辐射</w:t>
            </w:r>
            <w:r>
              <w:rPr>
                <w:rFonts w:hint="eastAsia" w:ascii="宋体" w:hAnsi="宋体" w:eastAsia="宋体" w:cs="宋体"/>
                <w:color w:val="auto"/>
                <w:sz w:val="20"/>
                <w:szCs w:val="20"/>
                <w:highlight w:val="none"/>
              </w:rPr>
              <w:t>及防物理因素危害等，均符合国家和地方政府主管部门颁布的相关规定。</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环境管理目标：不发生重大环境污染。</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2.质量目标：按招标文件质量标准要求，具体按合同约定；</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3.费用目标：确保项目总投资不超过工程概算、预算，具体按合同约定；</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sz w:val="20"/>
                <w:szCs w:val="20"/>
                <w:highlight w:val="none"/>
              </w:rPr>
              <w:t>4.进度目标：确保项目建设进度满足招标文件工期要求，具体按合同约定。</w:t>
            </w:r>
          </w:p>
        </w:tc>
      </w:tr>
      <w:tr>
        <w:tblPrEx>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9.3</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建设工程质量检测管理办法：</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根据《建设工程质量检测管理办法》（2005年建设部令第141号）第十二条规定，建设工程质量、安全检测业务应由建设单位依法委托，不列入本次招标范围。招标文件中与此条不一致的，以此条为准。</w:t>
            </w:r>
          </w:p>
          <w:p>
            <w:pPr>
              <w:widowControl/>
              <w:rPr>
                <w:rFonts w:hint="eastAsia" w:ascii="宋体" w:hAnsi="宋体" w:eastAsia="宋体" w:cs="宋体"/>
                <w:color w:val="auto"/>
                <w:kern w:val="0"/>
                <w:sz w:val="20"/>
                <w:szCs w:val="20"/>
                <w:highlight w:val="none"/>
                <w:lang w:val="zh-CN"/>
              </w:rPr>
            </w:pPr>
            <w:r>
              <w:rPr>
                <w:rFonts w:hint="eastAsia" w:ascii="宋体" w:hAnsi="宋体" w:eastAsia="宋体" w:cs="宋体"/>
                <w:color w:val="auto"/>
                <w:sz w:val="20"/>
                <w:szCs w:val="20"/>
                <w:highlight w:val="none"/>
              </w:rPr>
              <w:t>建设单位和中标人均不得委托近两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9.4</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施工保修期限：按照《建设工程质量管理条例》规定。</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9.5</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rPr>
                <w:rFonts w:hint="eastAsia" w:ascii="宋体" w:hAnsi="宋体" w:cs="宋体"/>
                <w:bCs w:val="0"/>
                <w:snapToGrid/>
                <w:color w:val="auto"/>
                <w:sz w:val="20"/>
                <w:szCs w:val="20"/>
                <w:highlight w:val="none"/>
                <w:u w:val="none"/>
              </w:rPr>
            </w:pPr>
            <w:r>
              <w:rPr>
                <w:rFonts w:hint="eastAsia" w:ascii="宋体" w:hAnsi="宋体" w:eastAsia="宋体" w:cs="宋体"/>
                <w:color w:val="auto"/>
                <w:sz w:val="20"/>
                <w:szCs w:val="20"/>
                <w:highlight w:val="none"/>
              </w:rPr>
              <w:t>承包方式：</w:t>
            </w:r>
            <w:r>
              <w:rPr>
                <w:rFonts w:hint="eastAsia" w:ascii="宋体" w:hAnsi="宋体" w:cs="宋体"/>
                <w:color w:val="auto"/>
                <w:sz w:val="20"/>
                <w:szCs w:val="20"/>
                <w:highlight w:val="none"/>
                <w:u w:val="none"/>
              </w:rPr>
              <w:t>包工、包料、包设备、包工期、包质量、包造价控制、包安全、包文明施工、包项目协调管理、包验收移交、包竣工资料收集整理、包保修</w:t>
            </w:r>
            <w:r>
              <w:rPr>
                <w:rFonts w:hint="eastAsia" w:ascii="宋体" w:hAnsi="宋体" w:cs="宋体"/>
                <w:color w:val="auto"/>
                <w:sz w:val="20"/>
                <w:szCs w:val="20"/>
                <w:highlight w:val="none"/>
                <w:u w:val="none"/>
                <w:lang w:eastAsia="zh-CN"/>
              </w:rPr>
              <w:t>、</w:t>
            </w:r>
            <w:r>
              <w:rPr>
                <w:rFonts w:hint="eastAsia" w:ascii="宋体" w:hAnsi="宋体" w:cs="宋体"/>
                <w:color w:val="auto"/>
                <w:sz w:val="20"/>
                <w:szCs w:val="20"/>
                <w:highlight w:val="none"/>
                <w:u w:val="none"/>
              </w:rPr>
              <w:t>全费用固定综合单价包干。</w:t>
            </w:r>
            <w:r>
              <w:rPr>
                <w:rFonts w:hint="eastAsia" w:ascii="宋体" w:hAnsi="宋体" w:cs="宋体"/>
                <w:bCs w:val="0"/>
                <w:snapToGrid/>
                <w:color w:val="auto"/>
                <w:sz w:val="20"/>
                <w:szCs w:val="20"/>
                <w:highlight w:val="none"/>
                <w:u w:val="none"/>
              </w:rPr>
              <w:t>本工程实行全过程限额设计施工，发包人有权在限额范围内，根据对承包人的承包范围和承包工程量进行适当调整。</w:t>
            </w:r>
          </w:p>
          <w:p>
            <w:pPr>
              <w:widowControl/>
              <w:rPr>
                <w:rFonts w:hint="eastAsia" w:ascii="宋体" w:hAnsi="宋体" w:eastAsia="宋体" w:cs="宋体"/>
                <w:color w:val="auto"/>
                <w:sz w:val="20"/>
                <w:szCs w:val="20"/>
                <w:highlight w:val="none"/>
                <w:lang w:val="en-US" w:eastAsia="zh-CN"/>
              </w:rPr>
            </w:pPr>
            <w:r>
              <w:rPr>
                <w:rFonts w:hint="eastAsia" w:ascii="宋体" w:hAnsi="宋体" w:cs="宋体"/>
                <w:bCs w:val="0"/>
                <w:snapToGrid/>
                <w:color w:val="auto"/>
                <w:sz w:val="20"/>
                <w:szCs w:val="20"/>
                <w:highlight w:val="none"/>
              </w:rPr>
              <w:t>全费用固定综合单价=工程全费用综合单价限价×（1-中标下浮率）</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建安工程费中标下浮率=（1-建安工程费中标价格÷建安工程费最高投标限价）×100%</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，结算时全费用固定综合单价包干、工程量按实计算。</w:t>
            </w:r>
            <w:r>
              <w:rPr>
                <w:rFonts w:hint="eastAsia" w:ascii="宋体" w:hAnsi="宋体" w:cs="宋体"/>
                <w:color w:val="auto"/>
                <w:sz w:val="20"/>
                <w:szCs w:val="20"/>
                <w:highlight w:val="none"/>
                <w:u w:val="none"/>
              </w:rPr>
              <w:t>全费用固定综合单价</w:t>
            </w:r>
            <w:r>
              <w:rPr>
                <w:rFonts w:hint="eastAsia" w:ascii="宋体" w:hAnsi="宋体" w:cs="宋体"/>
                <w:color w:val="auto"/>
                <w:sz w:val="20"/>
                <w:szCs w:val="20"/>
                <w:highlight w:val="none"/>
                <w:u w:val="none"/>
                <w:lang w:val="en-US" w:eastAsia="zh-CN"/>
              </w:rPr>
              <w:t>已</w:t>
            </w:r>
            <w:r>
              <w:rPr>
                <w:rFonts w:hint="eastAsia" w:ascii="宋体" w:hAnsi="宋体" w:cs="宋体"/>
                <w:color w:val="auto"/>
                <w:sz w:val="20"/>
                <w:szCs w:val="20"/>
                <w:highlight w:val="none"/>
              </w:rPr>
              <w:t>包含分项工程人工费、材料费、机械费、管理费、措施项目费、安全文明</w:t>
            </w:r>
            <w:r>
              <w:rPr>
                <w:rFonts w:hint="eastAsia" w:ascii="宋体" w:hAnsi="宋体" w:cs="宋体"/>
                <w:color w:val="auto"/>
                <w:sz w:val="20"/>
                <w:szCs w:val="20"/>
                <w:highlight w:val="none"/>
                <w:lang w:eastAsia="zh-CN"/>
              </w:rPr>
              <w:t>建安工程费</w:t>
            </w:r>
            <w:r>
              <w:rPr>
                <w:rFonts w:hint="eastAsia" w:ascii="宋体" w:hAnsi="宋体" w:cs="宋体"/>
                <w:color w:val="auto"/>
                <w:sz w:val="20"/>
                <w:szCs w:val="20"/>
                <w:highlight w:val="none"/>
              </w:rPr>
              <w:t>、</w:t>
            </w:r>
            <w:r>
              <w:rPr>
                <w:rFonts w:hint="eastAsia" w:ascii="宋体" w:hAnsi="宋体" w:cs="宋体"/>
                <w:color w:val="auto"/>
                <w:sz w:val="20"/>
                <w:szCs w:val="20"/>
                <w:highlight w:val="none"/>
                <w:u w:val="none"/>
              </w:rPr>
              <w:t>措施项目费、施工围蔽费、</w:t>
            </w:r>
            <w:r>
              <w:rPr>
                <w:rFonts w:hint="eastAsia" w:ascii="宋体" w:hAnsi="宋体" w:cs="宋体"/>
                <w:color w:val="auto"/>
                <w:sz w:val="20"/>
                <w:szCs w:val="20"/>
                <w:highlight w:val="none"/>
              </w:rPr>
              <w:t>其他项目费、利润、规费、税金</w:t>
            </w:r>
            <w:r>
              <w:rPr>
                <w:rFonts w:hint="eastAsia" w:ascii="宋体" w:hAnsi="宋体" w:cs="宋体"/>
                <w:color w:val="auto"/>
                <w:sz w:val="20"/>
                <w:szCs w:val="20"/>
                <w:highlight w:val="none"/>
                <w:lang w:val="en-US" w:eastAsia="zh-CN"/>
              </w:rPr>
              <w:t>及</w:t>
            </w:r>
            <w:r>
              <w:rPr>
                <w:rFonts w:hint="eastAsia" w:ascii="宋体" w:hAnsi="宋体" w:cs="宋体"/>
                <w:color w:val="auto"/>
                <w:sz w:val="20"/>
                <w:szCs w:val="20"/>
                <w:highlight w:val="none"/>
              </w:rPr>
              <w:t>一定范围内的风险等，不再计算其他任何费用，后期固定</w:t>
            </w:r>
            <w:r>
              <w:rPr>
                <w:rFonts w:hint="eastAsia" w:ascii="宋体" w:hAnsi="宋体" w:cs="宋体"/>
                <w:bCs w:val="0"/>
                <w:snapToGrid/>
                <w:color w:val="auto"/>
                <w:sz w:val="20"/>
                <w:szCs w:val="20"/>
                <w:highlight w:val="none"/>
              </w:rPr>
              <w:t>综合单价</w:t>
            </w:r>
            <w:r>
              <w:rPr>
                <w:rFonts w:hint="eastAsia" w:ascii="宋体" w:hAnsi="宋体" w:cs="宋体"/>
                <w:color w:val="auto"/>
                <w:sz w:val="20"/>
                <w:szCs w:val="20"/>
                <w:highlight w:val="none"/>
              </w:rPr>
              <w:t>不作调整。</w:t>
            </w:r>
          </w:p>
          <w:p>
            <w:pPr>
              <w:widowControl/>
              <w:rPr>
                <w:rFonts w:hint="eastAsia" w:ascii="宋体" w:hAnsi="宋体" w:eastAsia="宋体" w:cs="宋体"/>
                <w:bCs w:val="0"/>
                <w:snapToGrid/>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cs="宋体"/>
                <w:bCs w:val="0"/>
                <w:snapToGrid/>
                <w:color w:val="auto"/>
                <w:sz w:val="20"/>
                <w:szCs w:val="20"/>
                <w:highlight w:val="none"/>
              </w:rPr>
              <w:t>严格实行限额设计。要求中标单位按照批准的可行性研究报告的投资估算控制初步设计</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同时各专业在保证达到使用功能的前提下</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按分配的投资限额控制设计</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确保不超最高投标限价</w:t>
            </w:r>
            <w:r>
              <w:rPr>
                <w:rFonts w:hint="eastAsia" w:ascii="宋体" w:hAnsi="宋体" w:cs="宋体"/>
                <w:bCs w:val="0"/>
                <w:snapToGrid/>
                <w:color w:val="auto"/>
                <w:sz w:val="20"/>
                <w:szCs w:val="20"/>
                <w:highlight w:val="none"/>
                <w:lang w:eastAsia="zh-CN"/>
              </w:rPr>
              <w:t>，</w:t>
            </w:r>
            <w:r>
              <w:rPr>
                <w:rFonts w:hint="eastAsia" w:ascii="宋体" w:hAnsi="宋体" w:cs="宋体"/>
                <w:bCs w:val="0"/>
                <w:snapToGrid/>
                <w:color w:val="auto"/>
                <w:sz w:val="20"/>
                <w:szCs w:val="20"/>
                <w:highlight w:val="none"/>
              </w:rPr>
              <w:t>合理确定和有效控制建设成本。严格控制设计变更及现场签证。要求中标单位充分发挥设计施工总承包的优势，于设计前期工作阶段尽可能优化设计方案，减少施工过程中的设计变更及现场签证的发生。</w:t>
            </w:r>
          </w:p>
          <w:p>
            <w:pPr>
              <w:widowControl/>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结算方式</w:t>
            </w:r>
            <w:r>
              <w:rPr>
                <w:rFonts w:hint="eastAsia" w:ascii="宋体" w:hAnsi="宋体" w:cs="宋体"/>
                <w:color w:val="auto"/>
                <w:sz w:val="20"/>
                <w:szCs w:val="20"/>
                <w:highlight w:val="none"/>
                <w:lang w:val="en-US" w:eastAsia="zh-CN"/>
              </w:rPr>
              <w:t>等内容</w:t>
            </w:r>
            <w:r>
              <w:rPr>
                <w:rFonts w:hint="eastAsia" w:ascii="宋体" w:hAnsi="宋体" w:eastAsia="宋体" w:cs="宋体"/>
                <w:color w:val="auto"/>
                <w:sz w:val="20"/>
                <w:szCs w:val="20"/>
                <w:highlight w:val="none"/>
              </w:rPr>
              <w:t>具体按合同条款规定。</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9.6</w:t>
            </w:r>
          </w:p>
        </w:tc>
        <w:tc>
          <w:tcPr>
            <w:tcW w:w="459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项目的监理、施工图审查、第三方检测工作、可行性研究报告的编制工作、节能评估服务、造价咨询工作不列入本次招标范围。</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电子招标投标</w:t>
            </w:r>
          </w:p>
        </w:tc>
        <w:tc>
          <w:tcPr>
            <w:tcW w:w="349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□否</w:t>
            </w:r>
            <w:r>
              <w:rPr>
                <w:rFonts w:hint="eastAsia" w:ascii="宋体" w:hAnsi="宋体" w:eastAsia="宋体" w:cs="宋体"/>
                <w:color w:val="auto"/>
                <w:sz w:val="20"/>
                <w:szCs w:val="20"/>
                <w:highlight w:val="none"/>
                <w:u w:val="single"/>
              </w:rPr>
              <w:t>，投标人需按招标文件要求提交纸质文件及电子光盘或U盘。</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highlight w:val="none"/>
              </w:rPr>
              <w:t>☑</w:t>
            </w:r>
            <w:r>
              <w:rPr>
                <w:rFonts w:hint="eastAsia" w:ascii="宋体" w:hAnsi="宋体" w:eastAsia="宋体" w:cs="宋体"/>
                <w:color w:val="auto"/>
                <w:kern w:val="2"/>
                <w:highlight w:val="none"/>
                <w:lang w:val="zh-CN"/>
              </w:rPr>
              <w:t>是</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手签后扫描上传。具体操作详见：《房屋建筑和市政基础设施工程全流程电子化项目专章》。</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2、投标文件的修改与撤回：投标人修改或撤回已递交的投标文件，需在广州公共资源交易中心数字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3、（重要风险提示）备用光盘或u盘。投标人可使用投标文件制作工具生成非加密的电子投标文件载入光盘或u盘（1份，载体形式由投标人自选），在规定的时间、地点提交备用。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刻录好的投标文件光盘或u盘密封在密封袋中，并在封口处加盖投标人单位公章。密封袋上应写明项目名称和招标人名称。递交的投标文件光盘或u盘</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不得加密。光盘或u盘（备用投标文件）无法读取或导入的，则视为未提交投标文件光盘或u盘</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。如果投标人没有按规定通过交易平台网上递交电子投标文件的，不再读取提交的光盘或u盘。</w:t>
            </w:r>
            <w:r>
              <w:rPr>
                <w:rFonts w:hint="eastAsia" w:ascii="宋体" w:hAnsi="宋体" w:eastAsia="宋体" w:cs="宋体"/>
                <w:b/>
                <w:bCs/>
                <w:color w:val="auto"/>
                <w:kern w:val="2"/>
                <w:highlight w:val="none"/>
                <w:lang w:val="zh-CN"/>
              </w:rPr>
              <w:t>投标人也可不提交投标文件光盘或u盘</w:t>
            </w:r>
            <w:r>
              <w:rPr>
                <w:rFonts w:hint="eastAsia" w:hAnsi="宋体" w:cs="宋体"/>
                <w:b/>
                <w:bCs/>
                <w:color w:val="auto"/>
                <w:kern w:val="2"/>
                <w:highlight w:val="none"/>
                <w:lang w:val="zh-CN"/>
              </w:rPr>
              <w:t>（</w:t>
            </w:r>
            <w:r>
              <w:rPr>
                <w:rFonts w:hint="eastAsia" w:ascii="宋体" w:hAnsi="宋体" w:eastAsia="宋体" w:cs="宋体"/>
                <w:b/>
                <w:bCs/>
                <w:color w:val="auto"/>
                <w:kern w:val="2"/>
                <w:highlight w:val="none"/>
                <w:lang w:val="zh-CN"/>
              </w:rPr>
              <w:t>备用</w:t>
            </w:r>
            <w:r>
              <w:rPr>
                <w:rFonts w:hint="eastAsia" w:hAnsi="宋体" w:cs="宋体"/>
                <w:b/>
                <w:bCs/>
                <w:color w:val="auto"/>
                <w:kern w:val="2"/>
                <w:highlight w:val="none"/>
                <w:lang w:val="zh-CN"/>
              </w:rPr>
              <w:t>）</w:t>
            </w:r>
            <w:r>
              <w:rPr>
                <w:rFonts w:hint="eastAsia" w:ascii="宋体" w:hAnsi="宋体" w:eastAsia="宋体" w:cs="宋体"/>
                <w:b/>
                <w:bCs/>
                <w:color w:val="auto"/>
                <w:kern w:val="2"/>
                <w:highlight w:val="none"/>
                <w:lang w:val="zh-CN"/>
              </w:rPr>
              <w:t>。</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4、投标文件的递交：</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①投标文件递交的截止时间（投标截止时间，下同）为202</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zh-CN"/>
              </w:rPr>
              <w:t>年  月  日  时  分，投标人应在截止时间前通过电子招标投标交易平台递交电子投标文件。</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②提交投标文件备用光盘或u盘。</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投标文件光盘或u盘</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备用</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递交时间：202</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zh-CN"/>
              </w:rPr>
              <w:t>年  月  日  时  分至202</w:t>
            </w:r>
            <w:r>
              <w:rPr>
                <w:rFonts w:hint="eastAsia" w:ascii="宋体" w:hAnsi="宋体" w:eastAsia="宋体" w:cs="宋体"/>
                <w:color w:val="auto"/>
                <w:kern w:val="2"/>
                <w:highlight w:val="none"/>
              </w:rPr>
              <w:t>3</w:t>
            </w:r>
            <w:r>
              <w:rPr>
                <w:rFonts w:hint="eastAsia" w:ascii="宋体" w:hAnsi="宋体" w:eastAsia="宋体" w:cs="宋体"/>
                <w:color w:val="auto"/>
                <w:kern w:val="2"/>
                <w:highlight w:val="none"/>
                <w:lang w:val="zh-CN"/>
              </w:rPr>
              <w:t>年  月  日  时  分，地点：</w:t>
            </w:r>
            <w:r>
              <w:rPr>
                <w:rFonts w:hint="eastAsia" w:ascii="宋体" w:hAnsi="宋体" w:eastAsia="宋体" w:cs="宋体"/>
                <w:color w:val="auto"/>
                <w:highlight w:val="none"/>
                <w:u w:val="single"/>
              </w:rPr>
              <w:t>广州公共资源交易中心黄埔区交易部（广州黄埔区水西路32号四楼（汇丽国际D栋写字楼四楼））指定开标室</w:t>
            </w:r>
            <w:r>
              <w:rPr>
                <w:rFonts w:hint="eastAsia" w:ascii="宋体" w:hAnsi="宋体" w:eastAsia="宋体" w:cs="宋体"/>
                <w:color w:val="auto"/>
                <w:kern w:val="2"/>
                <w:highlight w:val="none"/>
                <w:lang w:val="zh-CN"/>
              </w:rPr>
              <w:t>。</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③投标人完成电子投标上传后，电子招标投标交易平台即时向投标人发出递交回执通知。递交时间以递交回执通知载明的传输时间为准。</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④逾期送达的投标文件，电子招标投标交易平台将予以拒收。</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5、投标文件加密要求：</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①网上递交的电子投标文件须进行加密。具体操作详见交易平台相关操作指南。</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②未按要求加密的投标文件，招标人将予以拒收。</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6、投标文件解密失败的补救方案：</w:t>
            </w:r>
          </w:p>
          <w:p>
            <w:pPr>
              <w:pStyle w:val="28"/>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lang w:val="zh-CN"/>
              </w:rPr>
              <w:t>在规定时间内，因投标人之外原因</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指网络瘫痪、服务器损坏、交易系统故障短期无法恢复</w:t>
            </w:r>
            <w:r>
              <w:rPr>
                <w:rFonts w:hint="eastAsia" w:hAnsi="宋体" w:cs="宋体"/>
                <w:color w:val="auto"/>
                <w:kern w:val="2"/>
                <w:highlight w:val="none"/>
                <w:lang w:val="zh-CN"/>
              </w:rPr>
              <w:t>）</w:t>
            </w:r>
            <w:r>
              <w:rPr>
                <w:rFonts w:hint="eastAsia" w:ascii="宋体" w:hAnsi="宋体" w:eastAsia="宋体" w:cs="宋体"/>
                <w:color w:val="auto"/>
                <w:kern w:val="2"/>
                <w:highlight w:val="none"/>
                <w:lang w:val="zh-CN"/>
              </w:rPr>
              <w:t>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除发生上述情况外，开标评标均以投标人通过交易平台网上递交的电子投标文件为准。</w:t>
            </w:r>
          </w:p>
        </w:tc>
      </w:tr>
      <w:tr>
        <w:tblPrEx>
          <w:tblCellMar>
            <w:top w:w="0" w:type="dxa"/>
            <w:left w:w="108" w:type="dxa"/>
            <w:bottom w:w="0" w:type="dxa"/>
            <w:right w:w="108" w:type="dxa"/>
          </w:tblCellMar>
        </w:tblPrEx>
        <w:trPr>
          <w:trHeight w:val="281"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11</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招标代理服务酬金</w:t>
            </w:r>
          </w:p>
        </w:tc>
        <w:tc>
          <w:tcPr>
            <w:tcW w:w="3494" w:type="pct"/>
            <w:tcBorders>
              <w:top w:val="single" w:color="auto" w:sz="4" w:space="0"/>
              <w:left w:val="single" w:color="auto" w:sz="4" w:space="0"/>
              <w:bottom w:val="single" w:color="auto" w:sz="4" w:space="0"/>
              <w:right w:val="single" w:color="auto" w:sz="4" w:space="0"/>
            </w:tcBorders>
            <w:vAlign w:val="center"/>
          </w:tcPr>
          <w:p>
            <w:pPr>
              <w:pStyle w:val="20"/>
              <w:topLinePunct/>
              <w:jc w:val="left"/>
              <w:rPr>
                <w:rFonts w:hint="eastAsia" w:ascii="宋体" w:hAnsi="宋体" w:eastAsia="宋体" w:cs="宋体"/>
                <w:b/>
                <w:color w:val="auto"/>
                <w:sz w:val="20"/>
                <w:highlight w:val="none"/>
              </w:rPr>
            </w:pPr>
            <w:r>
              <w:rPr>
                <w:rFonts w:hint="eastAsia" w:ascii="宋体" w:hAnsi="宋体" w:eastAsia="宋体" w:cs="宋体"/>
                <w:color w:val="auto"/>
                <w:kern w:val="2"/>
                <w:sz w:val="20"/>
                <w:highlight w:val="none"/>
              </w:rPr>
              <w:t>由</w:t>
            </w:r>
            <w:r>
              <w:rPr>
                <w:rFonts w:hint="eastAsia" w:hAnsi="宋体" w:cs="宋体"/>
                <w:color w:val="auto"/>
                <w:kern w:val="2"/>
                <w:sz w:val="20"/>
                <w:highlight w:val="none"/>
                <w:lang w:val="en-US" w:eastAsia="zh-CN"/>
              </w:rPr>
              <w:t>中标人</w:t>
            </w:r>
            <w:r>
              <w:rPr>
                <w:rFonts w:hint="eastAsia" w:ascii="宋体" w:hAnsi="宋体" w:eastAsia="宋体" w:cs="宋体"/>
                <w:color w:val="auto"/>
                <w:kern w:val="2"/>
                <w:sz w:val="20"/>
                <w:highlight w:val="none"/>
              </w:rPr>
              <w:t>支付本项目的招标代理酬金。</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09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施工企业专业诚信评价排名计分</w:t>
            </w:r>
          </w:p>
        </w:tc>
        <w:tc>
          <w:tcPr>
            <w:tcW w:w="3494" w:type="pct"/>
            <w:tcBorders>
              <w:top w:val="single" w:color="auto" w:sz="4" w:space="0"/>
              <w:left w:val="single" w:color="auto" w:sz="4" w:space="0"/>
              <w:bottom w:val="single" w:color="auto" w:sz="4" w:space="0"/>
              <w:right w:val="single" w:color="auto" w:sz="4" w:space="0"/>
            </w:tcBorders>
            <w:vAlign w:val="center"/>
          </w:tcPr>
          <w:p>
            <w:pPr>
              <w:pStyle w:val="28"/>
              <w:widowControl/>
              <w:rPr>
                <w:rFonts w:hint="eastAsia" w:ascii="宋体" w:hAnsi="宋体" w:eastAsia="宋体" w:cs="宋体"/>
                <w:b/>
                <w:color w:val="auto"/>
                <w:highlight w:val="none"/>
              </w:rPr>
            </w:pPr>
            <w:r>
              <w:rPr>
                <w:rFonts w:hint="eastAsia" w:ascii="宋体" w:hAnsi="宋体" w:eastAsia="宋体" w:cs="宋体"/>
                <w:b/>
                <w:color w:val="auto"/>
                <w:kern w:val="2"/>
                <w:highlight w:val="none"/>
                <w:u w:val="single"/>
              </w:rPr>
              <w:t>不适用</w:t>
            </w:r>
            <w:r>
              <w:rPr>
                <w:rFonts w:hint="eastAsia" w:ascii="宋体" w:hAnsi="宋体" w:eastAsia="宋体" w:cs="宋体"/>
                <w:b/>
                <w:color w:val="auto"/>
                <w:kern w:val="2"/>
                <w:highlight w:val="none"/>
                <w:u w:val="single"/>
                <w:lang w:val="zh-CN"/>
              </w:rPr>
              <w:t>。</w:t>
            </w:r>
          </w:p>
        </w:tc>
      </w:tr>
      <w:tr>
        <w:tblPrEx>
          <w:tblCellMar>
            <w:top w:w="0" w:type="dxa"/>
            <w:left w:w="108" w:type="dxa"/>
            <w:bottom w:w="0" w:type="dxa"/>
            <w:right w:w="108" w:type="dxa"/>
          </w:tblCellMar>
        </w:tblPrEx>
        <w:trPr>
          <w:trHeight w:val="246" w:hRule="atLeast"/>
        </w:trPr>
        <w:tc>
          <w:tcPr>
            <w:tcW w:w="40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095"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其他</w:t>
            </w:r>
          </w:p>
        </w:tc>
        <w:tc>
          <w:tcPr>
            <w:tcW w:w="3494"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关于优化建筑工程项目负责人投标有关问题的指引》（2019年第4期）要求，投标登记环节、填报中标候选人公示信息环节、招标人（招标代理）与中标人签订合同及办理施工许可前，在校验广州公共资源交易中心企业库（包含广州市房建和市政企业库）项目负责人锁定情况的基础上，增加校验广东省建筑市场监管公共服务平台项目负责人锁定情况，发现投标人委派的项目负责人已在其他在建项目中任职、不符合任职数量规定时，按《关于优化建筑工程项目负责人投标有关问题的指引》（2019年第4期）处理。</w:t>
            </w:r>
          </w:p>
        </w:tc>
      </w:tr>
      <w:tr>
        <w:tblPrEx>
          <w:tblCellMar>
            <w:top w:w="0" w:type="dxa"/>
            <w:left w:w="108" w:type="dxa"/>
            <w:bottom w:w="0" w:type="dxa"/>
            <w:right w:w="108" w:type="dxa"/>
          </w:tblCellMar>
        </w:tblPrEx>
        <w:trPr>
          <w:trHeight w:val="246"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需要补充的其他内容：</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1.关于联合体投标人评标的相关规定：如组成联合体投标的，设计部分评分以承接设计任务的单位为准；施工部分评分以承接施工任务的单位为准。</w:t>
            </w:r>
          </w:p>
          <w:p>
            <w:pPr>
              <w:widowControl/>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u w:val="single"/>
              </w:rPr>
              <w:t>2.联合体投标时，除《联合体投标协议书》必须联合体各方分别按要求进行签字或盖章外，法定代表人证明书及授权委托证明书由联合体主办方出具，“投标单位”一栏可只填写联合体主办方名称及签字或盖章即可。其他资料若需要签字或盖章的均可由联合体主办方签字或盖章；投标文件封面及其他内容及落款中的“投标人”应填写联合体各方的单位全称【格式表示为：</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主</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XXXX公司</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成</w:t>
            </w:r>
            <w:r>
              <w:rPr>
                <w:rFonts w:hint="eastAsia" w:ascii="宋体" w:hAnsi="宋体" w:cs="宋体"/>
                <w:b/>
                <w:color w:val="auto"/>
                <w:sz w:val="20"/>
                <w:szCs w:val="20"/>
                <w:highlight w:val="none"/>
                <w:u w:val="single"/>
                <w:lang w:eastAsia="zh-CN"/>
              </w:rPr>
              <w:t>）</w:t>
            </w:r>
            <w:r>
              <w:rPr>
                <w:rFonts w:hint="eastAsia" w:ascii="宋体" w:hAnsi="宋体" w:eastAsia="宋体" w:cs="宋体"/>
                <w:b/>
                <w:color w:val="auto"/>
                <w:sz w:val="20"/>
                <w:szCs w:val="20"/>
                <w:highlight w:val="none"/>
                <w:u w:val="single"/>
              </w:rPr>
              <w:t>XXXX公司】，可由联合体主办方签字或盖章即可。</w:t>
            </w:r>
          </w:p>
        </w:tc>
      </w:tr>
    </w:tbl>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370"/>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sz w:val="21"/>
          <w:szCs w:val="21"/>
          <w:highlight w:val="none"/>
        </w:rPr>
      </w:pPr>
      <w:bookmarkStart w:id="30" w:name="_Toc30689"/>
      <w:bookmarkStart w:id="31" w:name="_Toc300834949"/>
      <w:bookmarkStart w:id="32" w:name="_Toc13867"/>
      <w:bookmarkStart w:id="33" w:name="_Toc144974497"/>
      <w:bookmarkStart w:id="34" w:name="_Toc152045529"/>
      <w:bookmarkStart w:id="35" w:name="_Toc152042305"/>
      <w:bookmarkStart w:id="36" w:name="_Toc357089511"/>
      <w:bookmarkStart w:id="37" w:name="_Toc247527553"/>
      <w:bookmarkStart w:id="38" w:name="_Toc362816480"/>
      <w:bookmarkStart w:id="39" w:name="_Toc247513952"/>
      <w:bookmarkStart w:id="40" w:name="_Toc443505822"/>
      <w:r>
        <w:rPr>
          <w:rFonts w:hint="eastAsia" w:ascii="宋体" w:hAnsi="宋体" w:eastAsia="宋体" w:cs="宋体"/>
          <w:color w:val="auto"/>
          <w:sz w:val="21"/>
          <w:szCs w:val="21"/>
          <w:highlight w:val="none"/>
        </w:rPr>
        <w:t>1. 总则</w:t>
      </w:r>
      <w:bookmarkEnd w:id="30"/>
      <w:bookmarkEnd w:id="31"/>
      <w:bookmarkEnd w:id="32"/>
      <w:bookmarkEnd w:id="33"/>
      <w:bookmarkEnd w:id="34"/>
      <w:bookmarkEnd w:id="35"/>
      <w:bookmarkEnd w:id="36"/>
      <w:bookmarkEnd w:id="37"/>
      <w:bookmarkEnd w:id="38"/>
      <w:bookmarkEnd w:id="39"/>
      <w:bookmarkEnd w:id="40"/>
    </w:p>
    <w:p>
      <w:pPr>
        <w:pStyle w:val="6"/>
        <w:spacing w:line="360" w:lineRule="auto"/>
        <w:ind w:firstLine="103"/>
        <w:rPr>
          <w:rFonts w:hint="eastAsia" w:ascii="宋体" w:hAnsi="宋体" w:eastAsia="宋体" w:cs="宋体"/>
          <w:b/>
          <w:color w:val="auto"/>
          <w:sz w:val="21"/>
          <w:szCs w:val="21"/>
          <w:highlight w:val="none"/>
        </w:rPr>
      </w:pPr>
      <w:bookmarkStart w:id="41" w:name="_Toc247527554"/>
      <w:bookmarkStart w:id="42" w:name="_Toc144974498"/>
      <w:bookmarkStart w:id="43" w:name="_Toc152042306"/>
      <w:bookmarkStart w:id="44" w:name="_Toc362816481"/>
      <w:bookmarkStart w:id="45" w:name="_Toc152045530"/>
      <w:bookmarkStart w:id="46" w:name="_Toc247513953"/>
      <w:bookmarkStart w:id="47" w:name="_Toc356469178"/>
      <w:bookmarkStart w:id="48" w:name="_Toc357089512"/>
      <w:bookmarkStart w:id="49" w:name="_Toc300834950"/>
      <w:r>
        <w:rPr>
          <w:rFonts w:hint="eastAsia" w:ascii="宋体" w:hAnsi="宋体" w:eastAsia="宋体" w:cs="宋体"/>
          <w:b/>
          <w:color w:val="auto"/>
          <w:sz w:val="21"/>
          <w:szCs w:val="21"/>
          <w:highlight w:val="none"/>
        </w:rPr>
        <w:t>1.1 项目概况</w:t>
      </w:r>
      <w:bookmarkEnd w:id="41"/>
      <w:bookmarkEnd w:id="42"/>
      <w:bookmarkEnd w:id="43"/>
      <w:bookmarkEnd w:id="44"/>
      <w:bookmarkEnd w:id="45"/>
      <w:bookmarkEnd w:id="46"/>
      <w:bookmarkEnd w:id="47"/>
      <w:bookmarkEnd w:id="48"/>
      <w:bookmarkEnd w:id="4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根据《中华人民共和国招标投标法》等有关法律、法规和规章的规定，本招标项目已具备招标条件，现对该项目设计施工进行总承包招标。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招标人：见投标人须知前附表。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招标代理机构：见投标人须知前附表。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招标项目名称：见投标人须知前附表。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项目建设地点：见投标人须知前附表。</w:t>
      </w:r>
    </w:p>
    <w:p>
      <w:pPr>
        <w:pStyle w:val="6"/>
        <w:spacing w:line="360" w:lineRule="auto"/>
        <w:ind w:firstLine="103"/>
        <w:rPr>
          <w:rFonts w:hint="eastAsia" w:ascii="宋体" w:hAnsi="宋体" w:eastAsia="宋体" w:cs="宋体"/>
          <w:b/>
          <w:color w:val="auto"/>
          <w:sz w:val="21"/>
          <w:szCs w:val="21"/>
          <w:highlight w:val="none"/>
        </w:rPr>
      </w:pPr>
      <w:bookmarkStart w:id="50" w:name="_Toc300834951"/>
      <w:bookmarkStart w:id="51" w:name="_Toc362816482"/>
      <w:bookmarkStart w:id="52" w:name="_Toc356469179"/>
      <w:bookmarkStart w:id="53" w:name="_Toc144974499"/>
      <w:bookmarkStart w:id="54" w:name="_Toc247527555"/>
      <w:bookmarkStart w:id="55" w:name="_Toc357089513"/>
      <w:bookmarkStart w:id="56" w:name="_Toc247513954"/>
      <w:bookmarkStart w:id="57" w:name="_Toc152042307"/>
      <w:bookmarkStart w:id="58" w:name="_Toc152045531"/>
      <w:r>
        <w:rPr>
          <w:rFonts w:hint="eastAsia" w:ascii="宋体" w:hAnsi="宋体" w:eastAsia="宋体" w:cs="宋体"/>
          <w:b/>
          <w:color w:val="auto"/>
          <w:sz w:val="21"/>
          <w:szCs w:val="21"/>
          <w:highlight w:val="none"/>
        </w:rPr>
        <w:t>1.2 项目的资金来源和落实情况</w:t>
      </w:r>
      <w:bookmarkEnd w:id="50"/>
      <w:bookmarkEnd w:id="51"/>
      <w:bookmarkEnd w:id="52"/>
      <w:bookmarkEnd w:id="53"/>
      <w:bookmarkEnd w:id="54"/>
      <w:bookmarkEnd w:id="55"/>
      <w:bookmarkEnd w:id="56"/>
      <w:bookmarkEnd w:id="57"/>
      <w:bookmarkEnd w:id="5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资金来源及比例：见投标人须知前附表。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资金落实情况：见投标人须知前附表。</w:t>
      </w:r>
    </w:p>
    <w:p>
      <w:pPr>
        <w:pStyle w:val="6"/>
        <w:spacing w:line="360" w:lineRule="auto"/>
        <w:ind w:firstLine="103"/>
        <w:rPr>
          <w:rFonts w:hint="eastAsia" w:ascii="宋体" w:hAnsi="宋体" w:eastAsia="宋体" w:cs="宋体"/>
          <w:b/>
          <w:color w:val="auto"/>
          <w:sz w:val="21"/>
          <w:szCs w:val="21"/>
          <w:highlight w:val="none"/>
        </w:rPr>
      </w:pPr>
      <w:bookmarkStart w:id="59" w:name="_Toc247527556"/>
      <w:bookmarkStart w:id="60" w:name="_Toc144974500"/>
      <w:bookmarkStart w:id="61" w:name="_Toc152045532"/>
      <w:bookmarkStart w:id="62" w:name="_Toc152042308"/>
      <w:bookmarkStart w:id="63" w:name="_Toc247513955"/>
      <w:bookmarkStart w:id="64" w:name="_Toc357089514"/>
      <w:bookmarkStart w:id="65" w:name="_Toc300834952"/>
      <w:bookmarkStart w:id="66" w:name="_Toc362816483"/>
      <w:bookmarkStart w:id="67" w:name="_Toc356469180"/>
      <w:r>
        <w:rPr>
          <w:rFonts w:hint="eastAsia" w:ascii="宋体" w:hAnsi="宋体" w:eastAsia="宋体" w:cs="宋体"/>
          <w:b/>
          <w:color w:val="auto"/>
          <w:sz w:val="21"/>
          <w:szCs w:val="21"/>
          <w:highlight w:val="none"/>
        </w:rPr>
        <w:t>1.3 招标范围、计划工期和</w:t>
      </w:r>
      <w:bookmarkEnd w:id="59"/>
      <w:bookmarkEnd w:id="60"/>
      <w:bookmarkEnd w:id="61"/>
      <w:bookmarkEnd w:id="62"/>
      <w:bookmarkEnd w:id="63"/>
      <w:r>
        <w:rPr>
          <w:rFonts w:hint="eastAsia" w:ascii="宋体" w:hAnsi="宋体" w:eastAsia="宋体" w:cs="宋体"/>
          <w:b/>
          <w:color w:val="auto"/>
          <w:sz w:val="21"/>
          <w:szCs w:val="21"/>
          <w:highlight w:val="none"/>
        </w:rPr>
        <w:t>质量标准</w:t>
      </w:r>
      <w:bookmarkEnd w:id="64"/>
      <w:bookmarkEnd w:id="65"/>
      <w:bookmarkEnd w:id="66"/>
      <w:bookmarkEnd w:id="6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招标范围：见投标人须知前附表。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计划工期：见投标人须知前附表。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质量标准：见投标人须知前附表。</w:t>
      </w:r>
    </w:p>
    <w:p>
      <w:pPr>
        <w:pStyle w:val="6"/>
        <w:spacing w:line="360" w:lineRule="auto"/>
        <w:ind w:firstLine="103"/>
        <w:rPr>
          <w:rFonts w:hint="eastAsia" w:ascii="宋体" w:hAnsi="宋体" w:eastAsia="宋体" w:cs="宋体"/>
          <w:b/>
          <w:color w:val="auto"/>
          <w:sz w:val="21"/>
          <w:szCs w:val="21"/>
          <w:highlight w:val="none"/>
        </w:rPr>
      </w:pPr>
      <w:bookmarkStart w:id="68" w:name="_Toc247527558"/>
      <w:bookmarkStart w:id="69" w:name="_Toc144974502"/>
      <w:bookmarkStart w:id="70" w:name="_Toc247513957"/>
      <w:bookmarkStart w:id="71" w:name="_Toc300834954"/>
      <w:bookmarkStart w:id="72" w:name="_Toc152042310"/>
      <w:bookmarkStart w:id="73" w:name="_Toc152045534"/>
      <w:r>
        <w:rPr>
          <w:rFonts w:hint="eastAsia" w:ascii="宋体" w:hAnsi="宋体" w:eastAsia="宋体" w:cs="宋体"/>
          <w:b/>
          <w:color w:val="auto"/>
          <w:sz w:val="21"/>
          <w:szCs w:val="21"/>
          <w:highlight w:val="none"/>
        </w:rPr>
        <w:t>1.4投标人资格要求（</w:t>
      </w:r>
      <w:r>
        <w:rPr>
          <w:rFonts w:hint="eastAsia" w:ascii="宋体" w:hAnsi="宋体" w:eastAsia="宋体" w:cs="宋体"/>
          <w:b/>
          <w:color w:val="auto"/>
          <w:sz w:val="21"/>
          <w:szCs w:val="21"/>
          <w:highlight w:val="none"/>
          <w:u w:val="single"/>
        </w:rPr>
        <w:t>详见招标公告要求</w:t>
      </w:r>
      <w:r>
        <w:rPr>
          <w:rFonts w:hint="eastAsia" w:ascii="宋体" w:hAnsi="宋体" w:eastAsia="宋体" w:cs="宋体"/>
          <w:b/>
          <w:color w:val="auto"/>
          <w:sz w:val="21"/>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1.4.1 </w:t>
      </w:r>
      <w:r>
        <w:rPr>
          <w:rFonts w:hint="eastAsia" w:ascii="宋体" w:hAnsi="宋体" w:eastAsia="宋体" w:cs="宋体"/>
          <w:color w:val="auto"/>
          <w:szCs w:val="21"/>
          <w:highlight w:val="none"/>
          <w:u w:val="single"/>
        </w:rPr>
        <w:t>投标人应是按招标公告要求成功登记的单位。</w:t>
      </w:r>
      <w:bookmarkEnd w:id="68"/>
      <w:bookmarkEnd w:id="69"/>
      <w:bookmarkEnd w:id="70"/>
      <w:bookmarkEnd w:id="71"/>
      <w:bookmarkEnd w:id="72"/>
      <w:bookmarkEnd w:id="73"/>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1.4.2 关于联合体投标</w:t>
      </w:r>
      <w:r>
        <w:rPr>
          <w:rFonts w:hint="eastAsia" w:ascii="宋体" w:hAnsi="宋体" w:eastAsia="宋体" w:cs="宋体"/>
          <w:color w:val="auto"/>
          <w:szCs w:val="21"/>
          <w:highlight w:val="none"/>
        </w:rPr>
        <w:t>：见投标人须知前附表。</w:t>
      </w:r>
    </w:p>
    <w:p>
      <w:pPr>
        <w:pStyle w:val="6"/>
        <w:spacing w:line="360" w:lineRule="auto"/>
        <w:ind w:firstLine="103"/>
        <w:rPr>
          <w:rFonts w:hint="eastAsia" w:ascii="宋体" w:hAnsi="宋体" w:eastAsia="宋体" w:cs="宋体"/>
          <w:b/>
          <w:color w:val="auto"/>
          <w:sz w:val="21"/>
          <w:szCs w:val="21"/>
          <w:highlight w:val="none"/>
        </w:rPr>
      </w:pPr>
      <w:bookmarkStart w:id="74" w:name="_Toc152042311"/>
      <w:bookmarkStart w:id="75" w:name="_Toc247527559"/>
      <w:bookmarkStart w:id="76" w:name="_Toc152045535"/>
      <w:bookmarkStart w:id="77" w:name="_Toc247513958"/>
      <w:bookmarkStart w:id="78" w:name="_Toc144974503"/>
      <w:bookmarkStart w:id="79" w:name="_Toc300834955"/>
      <w:bookmarkStart w:id="80" w:name="_Toc362816485"/>
      <w:bookmarkStart w:id="81" w:name="_Toc357089516"/>
      <w:bookmarkStart w:id="82" w:name="_Toc356469182"/>
      <w:r>
        <w:rPr>
          <w:rFonts w:hint="eastAsia" w:ascii="宋体" w:hAnsi="宋体" w:eastAsia="宋体" w:cs="宋体"/>
          <w:b/>
          <w:color w:val="auto"/>
          <w:sz w:val="21"/>
          <w:szCs w:val="21"/>
          <w:highlight w:val="none"/>
        </w:rPr>
        <w:t>1.5 费用承担</w:t>
      </w:r>
      <w:bookmarkEnd w:id="74"/>
      <w:bookmarkEnd w:id="75"/>
      <w:bookmarkEnd w:id="76"/>
      <w:bookmarkEnd w:id="77"/>
      <w:bookmarkEnd w:id="78"/>
      <w:r>
        <w:rPr>
          <w:rFonts w:hint="eastAsia" w:ascii="宋体" w:hAnsi="宋体" w:eastAsia="宋体" w:cs="宋体"/>
          <w:b/>
          <w:color w:val="auto"/>
          <w:sz w:val="21"/>
          <w:szCs w:val="21"/>
          <w:highlight w:val="none"/>
        </w:rPr>
        <w:t>和设计成果补偿</w:t>
      </w:r>
      <w:bookmarkEnd w:id="79"/>
      <w:bookmarkEnd w:id="80"/>
      <w:bookmarkEnd w:id="81"/>
      <w:bookmarkEnd w:id="8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投标人准备和参加投标活动发生的费用自理。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1.5.2 </w:t>
      </w:r>
      <w:r>
        <w:rPr>
          <w:rFonts w:hint="eastAsia" w:ascii="宋体" w:hAnsi="宋体" w:eastAsia="宋体" w:cs="宋体"/>
          <w:color w:val="auto"/>
          <w:szCs w:val="21"/>
          <w:highlight w:val="none"/>
          <w:u w:val="single"/>
        </w:rPr>
        <w:t>招标人在征得未中标人的同意后有权免费使用未中标人设计成果</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1.5.3 中标人应根据政府有关规定，向广州公共资源交易中心交纳交易服务费。</w:t>
      </w:r>
    </w:p>
    <w:p>
      <w:pPr>
        <w:pStyle w:val="6"/>
        <w:spacing w:line="360" w:lineRule="auto"/>
        <w:ind w:firstLine="103"/>
        <w:rPr>
          <w:rFonts w:hint="eastAsia" w:ascii="宋体" w:hAnsi="宋体" w:eastAsia="宋体" w:cs="宋体"/>
          <w:b/>
          <w:color w:val="auto"/>
          <w:sz w:val="21"/>
          <w:szCs w:val="21"/>
          <w:highlight w:val="none"/>
        </w:rPr>
      </w:pPr>
      <w:bookmarkStart w:id="83" w:name="_Toc152042312"/>
      <w:bookmarkStart w:id="84" w:name="_Toc357089517"/>
      <w:bookmarkStart w:id="85" w:name="_Toc300834956"/>
      <w:bookmarkStart w:id="86" w:name="_Toc247513959"/>
      <w:bookmarkStart w:id="87" w:name="_Toc362816486"/>
      <w:bookmarkStart w:id="88" w:name="_Toc152045536"/>
      <w:bookmarkStart w:id="89" w:name="_Toc356469183"/>
      <w:bookmarkStart w:id="90" w:name="_Toc144974504"/>
      <w:bookmarkStart w:id="91" w:name="_Toc247527560"/>
      <w:r>
        <w:rPr>
          <w:rFonts w:hint="eastAsia" w:ascii="宋体" w:hAnsi="宋体" w:eastAsia="宋体" w:cs="宋体"/>
          <w:b/>
          <w:color w:val="auto"/>
          <w:sz w:val="21"/>
          <w:szCs w:val="21"/>
          <w:highlight w:val="none"/>
        </w:rPr>
        <w:t>1.6 保密</w:t>
      </w:r>
      <w:bookmarkEnd w:id="83"/>
      <w:bookmarkEnd w:id="84"/>
      <w:bookmarkEnd w:id="85"/>
      <w:bookmarkEnd w:id="86"/>
      <w:bookmarkEnd w:id="87"/>
      <w:bookmarkEnd w:id="88"/>
      <w:bookmarkEnd w:id="89"/>
      <w:bookmarkEnd w:id="90"/>
      <w:bookmarkEnd w:id="9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1.6.1参与招标投标活动的各方应对招标文件和投标文件中的商业和技术等秘密保密，否则应承担相应的法律责任。</w:t>
      </w:r>
    </w:p>
    <w:p>
      <w:pPr>
        <w:pStyle w:val="6"/>
        <w:spacing w:line="360" w:lineRule="auto"/>
        <w:ind w:firstLine="103"/>
        <w:rPr>
          <w:rFonts w:hint="eastAsia" w:ascii="宋体" w:hAnsi="宋体" w:eastAsia="宋体" w:cs="宋体"/>
          <w:b/>
          <w:color w:val="auto"/>
          <w:sz w:val="21"/>
          <w:szCs w:val="21"/>
          <w:highlight w:val="none"/>
        </w:rPr>
      </w:pPr>
      <w:bookmarkStart w:id="92" w:name="_Toc144974505"/>
      <w:bookmarkStart w:id="93" w:name="_Toc152042313"/>
      <w:bookmarkStart w:id="94" w:name="_Toc152045537"/>
      <w:bookmarkStart w:id="95" w:name="_Toc247513960"/>
      <w:bookmarkStart w:id="96" w:name="_Toc247527561"/>
      <w:bookmarkStart w:id="97" w:name="_Toc357089518"/>
      <w:bookmarkStart w:id="98" w:name="_Toc300834957"/>
      <w:bookmarkStart w:id="99" w:name="_Toc356469184"/>
      <w:bookmarkStart w:id="100" w:name="_Toc362816487"/>
      <w:r>
        <w:rPr>
          <w:rFonts w:hint="eastAsia" w:ascii="宋体" w:hAnsi="宋体" w:eastAsia="宋体" w:cs="宋体"/>
          <w:b/>
          <w:color w:val="auto"/>
          <w:sz w:val="21"/>
          <w:szCs w:val="21"/>
          <w:highlight w:val="none"/>
        </w:rPr>
        <w:t>1.7 语言</w:t>
      </w:r>
      <w:bookmarkEnd w:id="92"/>
      <w:r>
        <w:rPr>
          <w:rFonts w:hint="eastAsia" w:ascii="宋体" w:hAnsi="宋体" w:eastAsia="宋体" w:cs="宋体"/>
          <w:b/>
          <w:color w:val="auto"/>
          <w:sz w:val="21"/>
          <w:szCs w:val="21"/>
          <w:highlight w:val="none"/>
        </w:rPr>
        <w:t>文字</w:t>
      </w:r>
      <w:bookmarkEnd w:id="93"/>
      <w:bookmarkEnd w:id="94"/>
      <w:bookmarkEnd w:id="95"/>
      <w:bookmarkEnd w:id="96"/>
      <w:bookmarkEnd w:id="97"/>
      <w:bookmarkEnd w:id="98"/>
      <w:bookmarkEnd w:id="99"/>
      <w:bookmarkEnd w:id="10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1.7.1招标投标文件使用的语言文字为中文。专用术语使用外文的，应附有中文注释。</w:t>
      </w:r>
    </w:p>
    <w:p>
      <w:pPr>
        <w:pStyle w:val="6"/>
        <w:spacing w:line="360" w:lineRule="auto"/>
        <w:ind w:firstLine="103"/>
        <w:rPr>
          <w:rFonts w:hint="eastAsia" w:ascii="宋体" w:hAnsi="宋体" w:eastAsia="宋体" w:cs="宋体"/>
          <w:b/>
          <w:color w:val="auto"/>
          <w:sz w:val="21"/>
          <w:szCs w:val="21"/>
          <w:highlight w:val="none"/>
        </w:rPr>
      </w:pPr>
      <w:bookmarkStart w:id="101" w:name="_Toc362816488"/>
      <w:bookmarkStart w:id="102" w:name="_Toc152042314"/>
      <w:bookmarkStart w:id="103" w:name="_Toc247527562"/>
      <w:bookmarkStart w:id="104" w:name="_Toc357089519"/>
      <w:bookmarkStart w:id="105" w:name="_Toc152045538"/>
      <w:bookmarkStart w:id="106" w:name="_Toc300834958"/>
      <w:bookmarkStart w:id="107" w:name="_Toc247513961"/>
      <w:bookmarkStart w:id="108" w:name="_Toc356469185"/>
      <w:bookmarkStart w:id="109" w:name="_Toc144974506"/>
      <w:r>
        <w:rPr>
          <w:rFonts w:hint="eastAsia" w:ascii="宋体" w:hAnsi="宋体" w:eastAsia="宋体" w:cs="宋体"/>
          <w:b/>
          <w:color w:val="auto"/>
          <w:sz w:val="21"/>
          <w:szCs w:val="21"/>
          <w:highlight w:val="none"/>
        </w:rPr>
        <w:t>1.8 计量单位</w:t>
      </w:r>
      <w:bookmarkEnd w:id="101"/>
      <w:bookmarkEnd w:id="102"/>
      <w:bookmarkEnd w:id="103"/>
      <w:bookmarkEnd w:id="104"/>
      <w:bookmarkEnd w:id="105"/>
      <w:bookmarkEnd w:id="106"/>
      <w:bookmarkEnd w:id="107"/>
      <w:bookmarkEnd w:id="108"/>
      <w:bookmarkEnd w:id="10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所有计量均采用中华人民共和国法定计量单位。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1.8.2 </w:t>
      </w:r>
      <w:r>
        <w:rPr>
          <w:rFonts w:hint="eastAsia" w:ascii="宋体" w:hAnsi="宋体" w:eastAsia="宋体" w:cs="宋体"/>
          <w:color w:val="auto"/>
          <w:szCs w:val="21"/>
          <w:highlight w:val="none"/>
          <w:u w:val="single"/>
        </w:rPr>
        <w:t>本工程投标报价采用的币种为人民币。</w:t>
      </w:r>
    </w:p>
    <w:p>
      <w:pPr>
        <w:pStyle w:val="6"/>
        <w:spacing w:line="360" w:lineRule="auto"/>
        <w:ind w:firstLine="103"/>
        <w:rPr>
          <w:rFonts w:hint="eastAsia" w:ascii="宋体" w:hAnsi="宋体" w:eastAsia="宋体" w:cs="宋体"/>
          <w:b/>
          <w:color w:val="auto"/>
          <w:sz w:val="21"/>
          <w:szCs w:val="21"/>
          <w:highlight w:val="none"/>
        </w:rPr>
      </w:pPr>
      <w:bookmarkStart w:id="110" w:name="_Toc300834959"/>
      <w:bookmarkStart w:id="111" w:name="_Toc152045539"/>
      <w:bookmarkStart w:id="112" w:name="_Toc357089520"/>
      <w:bookmarkStart w:id="113" w:name="_Toc247513962"/>
      <w:bookmarkStart w:id="114" w:name="_Toc144974507"/>
      <w:bookmarkStart w:id="115" w:name="_Toc356469186"/>
      <w:bookmarkStart w:id="116" w:name="_Toc152042315"/>
      <w:bookmarkStart w:id="117" w:name="_Toc362816489"/>
      <w:bookmarkStart w:id="118" w:name="_Toc247527563"/>
      <w:r>
        <w:rPr>
          <w:rFonts w:hint="eastAsia" w:ascii="宋体" w:hAnsi="宋体" w:eastAsia="宋体" w:cs="宋体"/>
          <w:b/>
          <w:color w:val="auto"/>
          <w:sz w:val="21"/>
          <w:szCs w:val="21"/>
          <w:highlight w:val="none"/>
        </w:rPr>
        <w:t>1.9 踏勘现场</w:t>
      </w:r>
      <w:bookmarkEnd w:id="110"/>
      <w:bookmarkEnd w:id="111"/>
      <w:bookmarkEnd w:id="112"/>
      <w:bookmarkEnd w:id="113"/>
      <w:bookmarkEnd w:id="114"/>
      <w:bookmarkEnd w:id="115"/>
      <w:bookmarkEnd w:id="116"/>
      <w:bookmarkEnd w:id="117"/>
      <w:bookmarkEnd w:id="11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1.9.1 投标人须知前附表规定组织踏勘现场的，招标人按投标人须知前附表规定的时间、地点组织投标人踏勘项目现场。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u w:val="single"/>
        </w:rPr>
        <w:t>4现场由投标人自行踏勘，投标人不进行踏勘的，视为已熟知现场条件，自行承担相关风险。招标人不对投标人自行踏勘现场作出的判断和决策负责。</w:t>
      </w:r>
    </w:p>
    <w:p>
      <w:pPr>
        <w:pStyle w:val="6"/>
        <w:spacing w:line="360" w:lineRule="auto"/>
        <w:ind w:firstLine="103"/>
        <w:rPr>
          <w:rFonts w:hint="eastAsia" w:ascii="宋体" w:hAnsi="宋体" w:eastAsia="宋体" w:cs="宋体"/>
          <w:b/>
          <w:color w:val="auto"/>
          <w:sz w:val="21"/>
          <w:szCs w:val="21"/>
          <w:highlight w:val="none"/>
        </w:rPr>
      </w:pPr>
      <w:bookmarkStart w:id="119" w:name="_Toc152045541"/>
      <w:bookmarkStart w:id="120" w:name="_Toc300834961"/>
      <w:bookmarkStart w:id="121" w:name="_Toc152042317"/>
      <w:bookmarkStart w:id="122" w:name="_Toc247513964"/>
      <w:bookmarkStart w:id="123" w:name="_Toc356469188"/>
      <w:bookmarkStart w:id="124" w:name="_Toc144974509"/>
      <w:bookmarkStart w:id="125" w:name="_Toc362816491"/>
      <w:bookmarkStart w:id="126" w:name="_Toc357089522"/>
      <w:bookmarkStart w:id="127" w:name="_Toc247527565"/>
      <w:r>
        <w:rPr>
          <w:rFonts w:hint="eastAsia" w:ascii="宋体" w:hAnsi="宋体" w:eastAsia="宋体" w:cs="宋体"/>
          <w:b/>
          <w:color w:val="auto"/>
          <w:sz w:val="21"/>
          <w:szCs w:val="21"/>
          <w:highlight w:val="none"/>
        </w:rPr>
        <w:t>1.10 分包</w:t>
      </w:r>
      <w:bookmarkEnd w:id="119"/>
      <w:bookmarkEnd w:id="120"/>
      <w:bookmarkEnd w:id="121"/>
      <w:bookmarkEnd w:id="122"/>
      <w:bookmarkEnd w:id="123"/>
      <w:bookmarkEnd w:id="124"/>
      <w:bookmarkEnd w:id="125"/>
      <w:bookmarkEnd w:id="126"/>
      <w:bookmarkEnd w:id="127"/>
    </w:p>
    <w:p>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 投标人须知前附表规定应当由分包人实施的非主体、非关键性工作，投标人应当按照</w:t>
      </w:r>
      <w:r>
        <w:rPr>
          <w:rFonts w:hint="eastAsia" w:ascii="宋体" w:hAnsi="宋体" w:eastAsia="宋体" w:cs="宋体"/>
          <w:color w:val="auto"/>
          <w:szCs w:val="21"/>
          <w:highlight w:val="none"/>
          <w:u w:val="single"/>
        </w:rPr>
        <w:t>第四章</w:t>
      </w:r>
      <w:r>
        <w:rPr>
          <w:rFonts w:hint="eastAsia" w:ascii="宋体" w:hAnsi="宋体" w:eastAsia="宋体" w:cs="宋体"/>
          <w:color w:val="auto"/>
          <w:szCs w:val="21"/>
          <w:highlight w:val="none"/>
        </w:rPr>
        <w:t>“发包人要求”规定提供分包人候选名单及其相应资料。</w:t>
      </w:r>
    </w:p>
    <w:p>
      <w:pPr>
        <w:spacing w:line="360" w:lineRule="auto"/>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招标人允许投标人在中标后将中标项目的部分非主体、非关键性工作进行分包的，应符合投标人须知前附表规定的分包内容、资质要求等限制性条件。</w:t>
      </w:r>
    </w:p>
    <w:p>
      <w:pPr>
        <w:pStyle w:val="6"/>
        <w:spacing w:line="360" w:lineRule="auto"/>
        <w:ind w:firstLine="103"/>
        <w:rPr>
          <w:rFonts w:hint="eastAsia" w:ascii="宋体" w:hAnsi="宋体" w:eastAsia="宋体" w:cs="宋体"/>
          <w:b/>
          <w:color w:val="auto"/>
          <w:sz w:val="21"/>
          <w:szCs w:val="21"/>
          <w:highlight w:val="none"/>
        </w:rPr>
      </w:pPr>
      <w:bookmarkStart w:id="128" w:name="_Toc362816492"/>
      <w:bookmarkStart w:id="129" w:name="_Toc356469189"/>
      <w:bookmarkStart w:id="130" w:name="_Toc247527566"/>
      <w:bookmarkStart w:id="131" w:name="_Toc357089523"/>
      <w:bookmarkStart w:id="132" w:name="_Toc300834962"/>
      <w:bookmarkStart w:id="133" w:name="_Toc247513965"/>
      <w:r>
        <w:rPr>
          <w:rFonts w:hint="eastAsia" w:ascii="宋体" w:hAnsi="宋体" w:eastAsia="宋体" w:cs="宋体"/>
          <w:b/>
          <w:color w:val="auto"/>
          <w:sz w:val="21"/>
          <w:szCs w:val="21"/>
          <w:highlight w:val="none"/>
        </w:rPr>
        <w:t>1.11 偏离</w:t>
      </w:r>
      <w:bookmarkEnd w:id="128"/>
      <w:bookmarkEnd w:id="129"/>
      <w:bookmarkEnd w:id="130"/>
      <w:bookmarkEnd w:id="131"/>
      <w:bookmarkEnd w:id="132"/>
      <w:bookmarkEnd w:id="133"/>
    </w:p>
    <w:p>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按投标人须知前附表1.12。</w:t>
      </w:r>
    </w:p>
    <w:p>
      <w:pPr>
        <w:pStyle w:val="5"/>
        <w:spacing w:line="360" w:lineRule="auto"/>
        <w:rPr>
          <w:rFonts w:hint="eastAsia" w:ascii="宋体" w:hAnsi="宋体" w:eastAsia="宋体" w:cs="宋体"/>
          <w:color w:val="auto"/>
          <w:sz w:val="21"/>
          <w:szCs w:val="21"/>
          <w:highlight w:val="none"/>
        </w:rPr>
      </w:pPr>
      <w:bookmarkStart w:id="134" w:name="_Toc144974510"/>
      <w:bookmarkStart w:id="135" w:name="_Toc300834963"/>
      <w:bookmarkStart w:id="136" w:name="_Toc357089524"/>
      <w:bookmarkStart w:id="137" w:name="_Toc20791"/>
      <w:bookmarkStart w:id="138" w:name="_Toc28794"/>
      <w:bookmarkStart w:id="139" w:name="_Toc362816493"/>
      <w:bookmarkStart w:id="140" w:name="_Toc443505823"/>
      <w:bookmarkStart w:id="141" w:name="_Toc247513966"/>
      <w:bookmarkStart w:id="142" w:name="_Toc247527567"/>
      <w:bookmarkStart w:id="143" w:name="_Toc152042318"/>
      <w:bookmarkStart w:id="144" w:name="_Toc152045542"/>
      <w:r>
        <w:rPr>
          <w:rFonts w:hint="eastAsia" w:ascii="宋体" w:hAnsi="宋体" w:eastAsia="宋体" w:cs="宋体"/>
          <w:color w:val="auto"/>
          <w:sz w:val="21"/>
          <w:szCs w:val="21"/>
          <w:highlight w:val="none"/>
        </w:rPr>
        <w:t>2. 招标文件</w:t>
      </w:r>
      <w:bookmarkEnd w:id="134"/>
      <w:bookmarkEnd w:id="135"/>
      <w:bookmarkEnd w:id="136"/>
      <w:bookmarkEnd w:id="137"/>
      <w:bookmarkEnd w:id="138"/>
      <w:bookmarkEnd w:id="139"/>
      <w:bookmarkEnd w:id="140"/>
      <w:bookmarkEnd w:id="141"/>
      <w:bookmarkEnd w:id="142"/>
      <w:bookmarkEnd w:id="143"/>
      <w:bookmarkEnd w:id="144"/>
    </w:p>
    <w:p>
      <w:pPr>
        <w:pStyle w:val="6"/>
        <w:spacing w:line="360" w:lineRule="auto"/>
        <w:ind w:firstLine="103"/>
        <w:rPr>
          <w:rFonts w:hint="eastAsia" w:ascii="宋体" w:hAnsi="宋体" w:eastAsia="宋体" w:cs="宋体"/>
          <w:b/>
          <w:color w:val="auto"/>
          <w:sz w:val="21"/>
          <w:szCs w:val="21"/>
          <w:highlight w:val="none"/>
        </w:rPr>
      </w:pPr>
      <w:bookmarkStart w:id="145" w:name="_Toc152042319"/>
      <w:bookmarkStart w:id="146" w:name="_Toc144974511"/>
      <w:bookmarkStart w:id="147" w:name="_Toc356469191"/>
      <w:bookmarkStart w:id="148" w:name="_Toc362816494"/>
      <w:bookmarkStart w:id="149" w:name="_Toc247513967"/>
      <w:bookmarkStart w:id="150" w:name="_Toc152045543"/>
      <w:bookmarkStart w:id="151" w:name="_Toc247527568"/>
      <w:bookmarkStart w:id="152" w:name="_Toc300834964"/>
      <w:bookmarkStart w:id="153" w:name="_Toc357089525"/>
      <w:r>
        <w:rPr>
          <w:rFonts w:hint="eastAsia" w:ascii="宋体" w:hAnsi="宋体" w:eastAsia="宋体" w:cs="宋体"/>
          <w:b/>
          <w:color w:val="auto"/>
          <w:sz w:val="21"/>
          <w:szCs w:val="21"/>
          <w:highlight w:val="none"/>
        </w:rPr>
        <w:t>2.1 招标文件的组成</w:t>
      </w:r>
      <w:bookmarkEnd w:id="145"/>
      <w:bookmarkEnd w:id="146"/>
      <w:bookmarkEnd w:id="147"/>
      <w:bookmarkEnd w:id="148"/>
      <w:bookmarkEnd w:id="149"/>
      <w:bookmarkEnd w:id="150"/>
      <w:bookmarkEnd w:id="151"/>
      <w:bookmarkEnd w:id="152"/>
      <w:bookmarkEnd w:id="153"/>
    </w:p>
    <w:p>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2.1.1本招标文件包括：</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（1）投标人须知；</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（2）评标办法；</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（3）合同条款及格式；</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（4）发包人要求；</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（5）投标文件格式；</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（6）投标人须知前附表规定的其他资料。</w:t>
      </w:r>
    </w:p>
    <w:p>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2.1.2根据本章第1.10款、第2.2款和第2.3款对招标文件所作的澄清、修改，构成招标文件的组成部分。</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2.1.4投标人一旦中标，招标文件的内容对招标人和中标人双方均有约束力。</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2.1.5发布招标公告的同时，通过广州公共资源交易中心网站发布电子招标文件、招标控制价。</w:t>
      </w:r>
    </w:p>
    <w:p>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2.1.6招标文件一经在广州公共资源交易中心网站发布，视作已发放给所有投标人。</w:t>
      </w:r>
    </w:p>
    <w:p>
      <w:pPr>
        <w:pStyle w:val="6"/>
        <w:spacing w:line="360" w:lineRule="auto"/>
        <w:ind w:firstLine="103"/>
        <w:rPr>
          <w:rFonts w:hint="eastAsia" w:ascii="宋体" w:hAnsi="宋体" w:eastAsia="宋体" w:cs="宋体"/>
          <w:b/>
          <w:color w:val="auto"/>
          <w:sz w:val="21"/>
          <w:szCs w:val="21"/>
          <w:highlight w:val="none"/>
        </w:rPr>
      </w:pPr>
      <w:bookmarkStart w:id="154" w:name="_Toc247527569"/>
      <w:bookmarkStart w:id="155" w:name="_Toc152042320"/>
      <w:bookmarkStart w:id="156" w:name="_Toc152045544"/>
      <w:bookmarkStart w:id="157" w:name="_Toc300834965"/>
      <w:bookmarkStart w:id="158" w:name="_Toc357089526"/>
      <w:bookmarkStart w:id="159" w:name="_Toc362816495"/>
      <w:bookmarkStart w:id="160" w:name="_Toc144974512"/>
      <w:bookmarkStart w:id="161" w:name="_Toc247513968"/>
      <w:bookmarkStart w:id="162" w:name="_Toc356469192"/>
      <w:r>
        <w:rPr>
          <w:rFonts w:hint="eastAsia" w:ascii="宋体" w:hAnsi="宋体" w:eastAsia="宋体" w:cs="宋体"/>
          <w:b/>
          <w:color w:val="auto"/>
          <w:sz w:val="21"/>
          <w:szCs w:val="21"/>
          <w:highlight w:val="none"/>
        </w:rPr>
        <w:t>2.2 招标文件的澄清</w:t>
      </w:r>
      <w:bookmarkEnd w:id="154"/>
      <w:bookmarkEnd w:id="155"/>
      <w:bookmarkEnd w:id="156"/>
      <w:bookmarkEnd w:id="157"/>
      <w:bookmarkEnd w:id="158"/>
      <w:bookmarkEnd w:id="159"/>
      <w:bookmarkEnd w:id="160"/>
      <w:bookmarkEnd w:id="161"/>
      <w:bookmarkEnd w:id="162"/>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2.2.1 投标人应仔细阅读和检查招标文件的全部内容。如发现缺页或附件不全，应及时向招标人提出，以便补齐。如有疑问，</w:t>
      </w:r>
      <w:r>
        <w:rPr>
          <w:rFonts w:hint="eastAsia" w:ascii="宋体" w:hAnsi="宋体" w:eastAsia="宋体" w:cs="宋体"/>
          <w:color w:val="auto"/>
          <w:szCs w:val="21"/>
          <w:highlight w:val="none"/>
          <w:u w:val="single"/>
        </w:rPr>
        <w:t>可在规定的时间内通过广州公共资源交易中心网站进入提问区域将问题提交给招标人或招标代理人，提交问题时一律不得署名。</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2.2.2招标人应在投标截止时间15日前解答投标人对招标文件提出的疑问，形成答疑纪要，在交易中心网站“建设工程</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项目查询（日程安排、答疑纪要）”专区发布。</w:t>
      </w:r>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2.2.3招标答疑纪要一经在广州公共资源交易中心网站发布，视作已发放给所有投标人。</w:t>
      </w:r>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2.2.4招标答疑纪要为招标文件的一部分。投标人可在广州公共资源交易中心网站浏览、下载招标答疑纪要。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2.2.5若招标答疑纪要与招标文件有矛盾时，以广州公共资源交易中心网站最后发布的答疑纪要为准。</w:t>
      </w:r>
    </w:p>
    <w:p>
      <w:pPr>
        <w:pStyle w:val="6"/>
        <w:spacing w:line="360" w:lineRule="auto"/>
        <w:ind w:firstLine="103"/>
        <w:rPr>
          <w:rFonts w:hint="eastAsia" w:ascii="宋体" w:hAnsi="宋体" w:eastAsia="宋体" w:cs="宋体"/>
          <w:b/>
          <w:color w:val="auto"/>
          <w:sz w:val="21"/>
          <w:szCs w:val="21"/>
          <w:highlight w:val="none"/>
        </w:rPr>
      </w:pPr>
      <w:bookmarkStart w:id="163" w:name="_Toc357089527"/>
      <w:bookmarkStart w:id="164" w:name="_Toc144974513"/>
      <w:bookmarkStart w:id="165" w:name="_Toc247527570"/>
      <w:bookmarkStart w:id="166" w:name="_Toc247513969"/>
      <w:bookmarkStart w:id="167" w:name="_Toc300834966"/>
      <w:bookmarkStart w:id="168" w:name="_Toc152042321"/>
      <w:bookmarkStart w:id="169" w:name="_Toc362816496"/>
      <w:bookmarkStart w:id="170" w:name="_Toc356469193"/>
      <w:bookmarkStart w:id="171" w:name="_Toc152045545"/>
      <w:r>
        <w:rPr>
          <w:rFonts w:hint="eastAsia" w:ascii="宋体" w:hAnsi="宋体" w:eastAsia="宋体" w:cs="宋体"/>
          <w:b/>
          <w:color w:val="auto"/>
          <w:sz w:val="21"/>
          <w:szCs w:val="21"/>
          <w:highlight w:val="none"/>
        </w:rPr>
        <w:t>2.3 招标文件的修改</w:t>
      </w:r>
      <w:bookmarkEnd w:id="163"/>
      <w:bookmarkEnd w:id="164"/>
      <w:bookmarkEnd w:id="165"/>
      <w:bookmarkEnd w:id="166"/>
      <w:bookmarkEnd w:id="167"/>
      <w:bookmarkEnd w:id="168"/>
      <w:bookmarkEnd w:id="169"/>
      <w:bookmarkEnd w:id="170"/>
      <w:bookmarkEnd w:id="171"/>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2.3.1招标文件发出后</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在提交投标文件截止时间15日前，招标人可对招标文件进行必要的澄清或修改。</w:t>
      </w:r>
    </w:p>
    <w:p>
      <w:pPr>
        <w:pStyle w:val="53"/>
        <w:spacing w:line="360" w:lineRule="auto"/>
        <w:ind w:left="-1"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pStyle w:val="53"/>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5"/>
        <w:spacing w:line="360" w:lineRule="auto"/>
        <w:rPr>
          <w:rFonts w:hint="eastAsia" w:ascii="宋体" w:hAnsi="宋体" w:eastAsia="宋体" w:cs="宋体"/>
          <w:color w:val="auto"/>
          <w:sz w:val="21"/>
          <w:szCs w:val="21"/>
          <w:highlight w:val="none"/>
        </w:rPr>
      </w:pPr>
      <w:bookmarkStart w:id="172" w:name="_Toc375931087"/>
      <w:bookmarkStart w:id="173" w:name="_Toc443505825"/>
      <w:bookmarkStart w:id="174" w:name="_Toc15087"/>
      <w:bookmarkStart w:id="175" w:name="_Toc26056"/>
      <w:r>
        <w:rPr>
          <w:rFonts w:hint="eastAsia" w:ascii="宋体" w:hAnsi="宋体" w:eastAsia="宋体" w:cs="宋体"/>
          <w:color w:val="auto"/>
          <w:sz w:val="21"/>
          <w:szCs w:val="21"/>
          <w:highlight w:val="none"/>
        </w:rPr>
        <w:t>3. 投标文件</w:t>
      </w:r>
      <w:bookmarkEnd w:id="172"/>
      <w:bookmarkEnd w:id="173"/>
      <w:bookmarkEnd w:id="174"/>
      <w:bookmarkEnd w:id="175"/>
    </w:p>
    <w:p>
      <w:pPr>
        <w:pStyle w:val="6"/>
        <w:spacing w:line="360" w:lineRule="auto"/>
        <w:ind w:firstLine="103"/>
        <w:rPr>
          <w:rFonts w:hint="eastAsia" w:ascii="宋体" w:hAnsi="宋体" w:eastAsia="宋体" w:cs="宋体"/>
          <w:color w:val="auto"/>
          <w:sz w:val="21"/>
          <w:szCs w:val="21"/>
          <w:highlight w:val="none"/>
        </w:rPr>
      </w:pPr>
      <w:bookmarkStart w:id="176" w:name="_Toc356469195"/>
      <w:bookmarkStart w:id="177" w:name="_Toc362816498"/>
      <w:bookmarkStart w:id="178" w:name="_Toc144974515"/>
      <w:bookmarkStart w:id="179" w:name="_Toc152042323"/>
      <w:bookmarkStart w:id="180" w:name="_Toc300834968"/>
      <w:bookmarkStart w:id="181" w:name="_Toc152045547"/>
      <w:bookmarkStart w:id="182" w:name="_Toc247527572"/>
      <w:bookmarkStart w:id="183" w:name="_Toc357089529"/>
      <w:bookmarkStart w:id="184" w:name="_Toc247513971"/>
      <w:r>
        <w:rPr>
          <w:rFonts w:hint="eastAsia" w:ascii="宋体" w:hAnsi="宋体" w:eastAsia="宋体" w:cs="宋体"/>
          <w:color w:val="auto"/>
          <w:sz w:val="21"/>
          <w:szCs w:val="21"/>
          <w:highlight w:val="none"/>
        </w:rPr>
        <w:t>3.1 投标文件的组成</w:t>
      </w:r>
      <w:bookmarkEnd w:id="176"/>
      <w:bookmarkEnd w:id="177"/>
      <w:bookmarkEnd w:id="178"/>
      <w:bookmarkEnd w:id="179"/>
      <w:bookmarkEnd w:id="180"/>
      <w:bookmarkEnd w:id="181"/>
      <w:bookmarkEnd w:id="182"/>
      <w:bookmarkEnd w:id="183"/>
      <w:bookmarkEnd w:id="184"/>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投标文件由设计技术方案投标文件、工程总承包实施方案（含资格审查）投标文件两部分组成。</w:t>
      </w:r>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3.1.1设计标投标文件</w:t>
      </w:r>
    </w:p>
    <w:p>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由设计技术方案投标文件组成。</w:t>
      </w:r>
      <w:r>
        <w:rPr>
          <w:rFonts w:hint="eastAsia" w:ascii="宋体" w:hAnsi="宋体" w:eastAsia="宋体" w:cs="宋体"/>
          <w:b/>
          <w:bCs/>
          <w:color w:val="auto"/>
          <w:szCs w:val="21"/>
          <w:highlight w:val="none"/>
          <w:u w:val="single"/>
        </w:rPr>
        <w:t>（注：</w:t>
      </w:r>
      <w:r>
        <w:rPr>
          <w:rFonts w:hint="eastAsia" w:ascii="宋体" w:hAnsi="宋体" w:eastAsia="宋体" w:cs="宋体"/>
          <w:b/>
          <w:color w:val="auto"/>
          <w:szCs w:val="21"/>
          <w:highlight w:val="none"/>
          <w:u w:val="single"/>
        </w:rPr>
        <w:t>设计技术方案投标文件</w:t>
      </w:r>
      <w:r>
        <w:rPr>
          <w:rFonts w:hint="eastAsia" w:ascii="宋体" w:hAnsi="宋体" w:eastAsia="宋体" w:cs="宋体"/>
          <w:b/>
          <w:bCs/>
          <w:color w:val="auto"/>
          <w:szCs w:val="21"/>
          <w:highlight w:val="none"/>
          <w:u w:val="single"/>
        </w:rPr>
        <w:t>评审采用“暗标”形式，具体组成和编制要求如下），</w:t>
      </w:r>
      <w:r>
        <w:rPr>
          <w:rFonts w:hint="eastAsia" w:ascii="宋体" w:hAnsi="宋体" w:eastAsia="宋体" w:cs="宋体"/>
          <w:color w:val="auto"/>
          <w:szCs w:val="21"/>
          <w:highlight w:val="none"/>
          <w:u w:val="single"/>
        </w:rPr>
        <w:t>主要包括下列内容</w:t>
      </w:r>
      <w:r>
        <w:rPr>
          <w:rFonts w:hint="eastAsia" w:ascii="宋体" w:hAnsi="宋体" w:eastAsia="宋体" w:cs="宋体"/>
          <w:b/>
          <w:bCs/>
          <w:color w:val="auto"/>
          <w:szCs w:val="21"/>
          <w:highlight w:val="none"/>
          <w:u w:val="single"/>
        </w:rPr>
        <w:t>：</w:t>
      </w:r>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（1）设计技术方案投标文件：</w:t>
      </w:r>
    </w:p>
    <w:p>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u w:val="single"/>
        </w:rPr>
        <w:t>技术方案投标文件评审采用“暗标”形式，技术方案投标文件</w:t>
      </w:r>
      <w:r>
        <w:rPr>
          <w:rFonts w:hint="eastAsia" w:ascii="宋体" w:hAnsi="宋体" w:eastAsia="宋体" w:cs="宋体"/>
          <w:b/>
          <w:bCs/>
          <w:color w:val="auto"/>
          <w:szCs w:val="21"/>
          <w:highlight w:val="none"/>
          <w:u w:val="single"/>
        </w:rPr>
        <w:t>中不得出现可以辨认投标人及专业技术人员身份的名称、印章、商标、图形等。</w:t>
      </w:r>
      <w:r>
        <w:rPr>
          <w:rFonts w:hint="eastAsia" w:ascii="宋体" w:hAnsi="宋体" w:eastAsia="宋体" w:cs="宋体"/>
          <w:color w:val="auto"/>
          <w:szCs w:val="21"/>
          <w:highlight w:val="none"/>
          <w:u w:val="single"/>
        </w:rPr>
        <w:t>技术方案投标文件宜包含以下内容</w:t>
      </w:r>
      <w:r>
        <w:rPr>
          <w:rFonts w:hint="eastAsia" w:ascii="宋体" w:hAnsi="宋体" w:cs="宋体"/>
          <w:color w:val="auto"/>
          <w:szCs w:val="21"/>
          <w:highlight w:val="none"/>
          <w:u w:val="single"/>
          <w:lang w:eastAsia="zh-CN"/>
        </w:rPr>
        <w:t>：</w:t>
      </w:r>
    </w:p>
    <w:p>
      <w:pPr>
        <w:topLinePunct/>
        <w:spacing w:line="360" w:lineRule="auto"/>
        <w:ind w:left="1079" w:leftChars="164" w:hanging="735" w:hanging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（a）设计方案，含封面、扉页和目录页，文件大小不宜超过300页。</w:t>
      </w:r>
    </w:p>
    <w:p>
      <w:pPr>
        <w:topLinePunct/>
        <w:spacing w:line="360" w:lineRule="auto"/>
        <w:ind w:left="1079" w:leftChars="164" w:hanging="735" w:hanging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（b）设计方案文件内容：</w:t>
      </w:r>
    </w:p>
    <w:p>
      <w:pPr>
        <w:topLinePunct/>
        <w:spacing w:line="360" w:lineRule="auto"/>
        <w:ind w:left="945" w:hanging="945" w:hangingChars="4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封面：写明项目名称、编制年月（白色封面）。</w:t>
      </w:r>
    </w:p>
    <w:p>
      <w:pPr>
        <w:topLinePunct/>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目录。</w:t>
      </w:r>
    </w:p>
    <w:p>
      <w:pPr>
        <w:topLinePunct/>
        <w:spacing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设计说明书（内容包括：项目概况；设计方案主要技术指标响应情况；现状及存在问题的分析；本项目的难点、建议；其他必要说明等。）。</w:t>
      </w:r>
    </w:p>
    <w:p>
      <w:pPr>
        <w:topLinePunct/>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设计图纸。</w:t>
      </w:r>
    </w:p>
    <w:p>
      <w:pPr>
        <w:topLinePunct/>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投标人认为有必要提供的其他资料。</w:t>
      </w:r>
    </w:p>
    <w:p>
      <w:pPr>
        <w:spacing w:before="156" w:beforeLines="5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3.1.2</w:t>
      </w:r>
      <w:r>
        <w:rPr>
          <w:rFonts w:hint="eastAsia" w:ascii="宋体" w:hAnsi="宋体" w:eastAsia="宋体" w:cs="宋体"/>
          <w:b/>
          <w:bCs/>
          <w:color w:val="auto"/>
          <w:szCs w:val="21"/>
          <w:highlight w:val="none"/>
        </w:rPr>
        <w:t>工程总承包实施方案（含资格审查）投标文件</w:t>
      </w:r>
    </w:p>
    <w:p>
      <w:pPr>
        <w:spacing w:before="156" w:beforeLines="50"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应包含但不限于以下内容</w:t>
      </w:r>
      <w:r>
        <w:rPr>
          <w:rFonts w:hint="eastAsia" w:ascii="宋体" w:hAnsi="宋体" w:eastAsia="宋体" w:cs="宋体"/>
          <w:b/>
          <w:color w:val="auto"/>
          <w:szCs w:val="21"/>
          <w:highlight w:val="none"/>
          <w:u w:val="single"/>
        </w:rPr>
        <w:t>：</w:t>
      </w:r>
    </w:p>
    <w:p>
      <w:pPr>
        <w:numPr>
          <w:ilvl w:val="0"/>
          <w:numId w:val="1"/>
        </w:num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封面：标明项目名称、“工程总承包实施方案（含资格审查）投标文件”字样、投标人单位名称、编制时间等。</w:t>
      </w:r>
    </w:p>
    <w:p>
      <w:pPr>
        <w:numPr>
          <w:ilvl w:val="0"/>
          <w:numId w:val="1"/>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目录</w:t>
      </w:r>
    </w:p>
    <w:p>
      <w:pPr>
        <w:numPr>
          <w:ilvl w:val="0"/>
          <w:numId w:val="1"/>
        </w:num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投标书。设计费投标报价汇总表、设计费计算依据表（格式见第五章）。</w:t>
      </w:r>
    </w:p>
    <w:p>
      <w:pPr>
        <w:spacing w:line="360" w:lineRule="auto"/>
        <w:ind w:firstLine="420" w:firstLineChars="200"/>
        <w:rPr>
          <w:rFonts w:hint="eastAsia" w:ascii="宋体" w:hAnsi="宋体" w:eastAsia="宋体" w:cs="宋体"/>
          <w:strike/>
          <w:color w:val="auto"/>
          <w:szCs w:val="21"/>
          <w:highlight w:val="none"/>
          <w:u w:val="single"/>
        </w:rPr>
      </w:pPr>
      <w:r>
        <w:rPr>
          <w:rFonts w:hint="eastAsia" w:ascii="宋体" w:hAnsi="宋体" w:eastAsia="宋体" w:cs="宋体"/>
          <w:color w:val="auto"/>
          <w:kern w:val="0"/>
          <w:szCs w:val="21"/>
          <w:highlight w:val="none"/>
        </w:rPr>
        <w:t xml:space="preserve">（4）资格审查文件（要求见招标公告）  </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（5）法人代表证明书、法人代表签署的本投标文件授权委托证明书。</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（6）投标承诺书。</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（7）投标人基本情况表。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（8）按照招标文件要求填写的《参与编制投标文件人员名单》。</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（9）工程总承包实施方案投标文件（资信部分）证明材料（按附表5《工程总承包实施方案投标文件综合评分表》要求提交）。</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（10）工程总承包实施方案投标文件（技术部分）证明材料（按附表5《工程总承包实施方案投标文件综合评分表》要求提交）。</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（11）投标人认为应该提供的其他资料；</w:t>
      </w:r>
    </w:p>
    <w:p>
      <w:pPr>
        <w:pStyle w:val="6"/>
        <w:spacing w:line="360" w:lineRule="auto"/>
        <w:ind w:firstLine="1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本工程的投标报价按照第3.2.3.2项所规定的方式。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投标人应充分了解施工场地的位置、周边环境、道路、装卸、保管、安装限制以及影响投标报价的其他要素。投标人根据投标设计，结合市场情况进行投标报价。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招标人设有最高投标限价的，投标人的投标报价不得超过最高投标限价。见投标人须知前附表。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3.2.3.1招标人按照招标需求制定最高投标限价。此处的最高投标限价有两个含义，①最高投标总限价，②设计费最高投标限价（包括最高投标限价和设计费最高投标限价）、建安费最高投标限价，列于本招标文件第一章中。投标人按照招标人提供的格式报价，其中。设计费、建安费所报金额不得超出招标人规定的相应最高投标限价。</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3.2.3.1.1投标报价未按照规定报价的，其投标文件将作为废标。每一项费用只允许有一个报价，任何有选择的报价或未填报单价的投标文件将不予接受。</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3.2.3.2投标人的投标总报价，包括设计费和建安费。投标人应按照投标人须知前附表第 1.3.2 项的工期要求，在投标人须知前附表第 1.1.4 项的建设地点，完成投标人须知前附表第 1.3.1项的招标范围列明工作的全部费用，包括但不限于完成全部设计、施工工作、设备购置的成本、利润、税金、技术措施费、大型机械进出场费、风险费以及政策性文件规定费用等，不得以任何理由予以重复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投标报价的其他要求见投标人须知前附表。</w:t>
      </w:r>
    </w:p>
    <w:p>
      <w:pPr>
        <w:pStyle w:val="6"/>
        <w:spacing w:before="0" w:after="0" w:line="360" w:lineRule="auto"/>
        <w:ind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投标有效期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r>
        <w:rPr>
          <w:rFonts w:hint="eastAsia" w:ascii="宋体" w:hAnsi="宋体" w:eastAsia="宋体" w:cs="宋体"/>
          <w:color w:val="auto"/>
          <w:szCs w:val="21"/>
          <w:highlight w:val="none"/>
          <w:u w:val="single"/>
        </w:rPr>
        <w:t>投标有效期按须知前附表的规定。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在投标有效期内，投标人撤销或修改其投标文件的，应承担招标文件和法律规定的责任。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 </w:t>
      </w:r>
    </w:p>
    <w:p>
      <w:pPr>
        <w:pStyle w:val="6"/>
        <w:spacing w:before="0" w:after="0" w:line="360" w:lineRule="auto"/>
        <w:ind w:firstLine="316" w:firstLineChars="1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投标担保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投标人应按投标人须知前附表3.4.1所述的规定金额、时间、担保形式递交投标担保。联合体投标的，其投标担保由牵头人递交，并应符合投标人须知前附表的规定。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投标人不按本章第3.4.1项要求提交投标担保的，评标委员会将否决其投标。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3.4.3未中标的投标担保将尽快退还，最迟不超过招标人与中标人签定合同后的5个工作日。中标人的投标担保，在签署合同并按要求提供了履约担保后予以退还。</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3.4.4有下列情形之一的，投标担保将不予退还：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1.投标人在规定的投标有效期内撤销或修改其投标文件；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2.投标人提供了虚假的证明材料；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3.中标候选人放弃中标；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4.中标人在收到中标通知书后，无正当理由拒签合同或未按招标文件规定提交履约担保。</w:t>
      </w:r>
    </w:p>
    <w:p>
      <w:pPr>
        <w:pStyle w:val="6"/>
        <w:spacing w:before="0" w:after="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 资格审查</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本项目采用电子化资格后审，由评标委员会负责对投标人的资格进行审查，评标时只对通过资格审查的投标人进行下一阶段的评审。</w:t>
      </w:r>
    </w:p>
    <w:p>
      <w:pPr>
        <w:pStyle w:val="6"/>
        <w:spacing w:before="0" w:after="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备选投标方案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除投标人须知前附表另有规定外，投标人不得递交备选投标方案。</w:t>
      </w:r>
    </w:p>
    <w:p>
      <w:pPr>
        <w:pStyle w:val="6"/>
        <w:spacing w:before="0" w:after="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3.7 投标文件的编制及份数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r>
        <w:rPr>
          <w:rFonts w:hint="eastAsia" w:ascii="宋体" w:hAnsi="宋体" w:eastAsia="宋体" w:cs="宋体"/>
          <w:color w:val="auto"/>
          <w:szCs w:val="21"/>
          <w:highlight w:val="none"/>
          <w:u w:val="single"/>
        </w:rPr>
        <w:t>投标文件应按第五章“投标文件格式”进行编写，如有必要，可以增加附页，作为投标文件的组成部分。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r>
        <w:rPr>
          <w:rFonts w:hint="eastAsia" w:ascii="宋体" w:hAnsi="宋体" w:eastAsia="宋体" w:cs="宋体"/>
          <w:color w:val="auto"/>
          <w:szCs w:val="21"/>
          <w:highlight w:val="none"/>
          <w:u w:val="single"/>
        </w:rPr>
        <w:t>投标文件的份数按投标人须知前附表规定。</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3.7.3 投标文件编制要求：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eastAsia="宋体" w:cs="宋体"/>
          <w:b/>
          <w:color w:val="auto"/>
          <w:szCs w:val="21"/>
          <w:highlight w:val="none"/>
          <w:u w:val="single"/>
        </w:rPr>
        <w:t>设计技术方案投标文件要求按本须知第3.1.1款的要求；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w:t>
      </w:r>
      <w:r>
        <w:rPr>
          <w:rFonts w:hint="eastAsia" w:ascii="宋体" w:hAnsi="宋体" w:eastAsia="宋体" w:cs="宋体"/>
          <w:b/>
          <w:color w:val="auto"/>
          <w:szCs w:val="21"/>
          <w:highlight w:val="none"/>
          <w:u w:val="single"/>
        </w:rPr>
        <w:t>工程总承包实施方案（含资格审查）投标文件要求按本须知第3.1.2款的要求；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3.7.4  投标文件应当对招标文件有关招标范围、投标有效期、工期、质量标准、发包人要求等实质性内容作出响应。</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3.7.5投标人采用单位数字证书，按招标文件要求在相应位置加盖电子印章。取消在招标文件中采用个人数字证书和加盖个人电子印章要求，投标文件中需个人签字或盖章的，应在线下完成后扫描上传。按照广州公共资源交易中心网站最新发布的《房屋建筑和市政基础设施工程全流程电子化项目专章》进行操作；</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联合体投标时，除《联合体投标协议书》必须联合体各方分别按要求进行签字或盖章外，法定代表人证明书及授权委托证明书由联合体主办方出具，“投标单位”一栏可只填写联合体主办方名称及签字或盖章即可。其他资料若需要签字或盖章的均可由联合体主办方签字或盖章；投标文件封面及其他内容及落款中的“投标人”应填写联合体各方的单位全称【格式表示为：</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主</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XXXX公司</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成</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XXXX公司】，可由联合体主办方签字或盖章即可。</w:t>
      </w:r>
    </w:p>
    <w:p>
      <w:pPr>
        <w:spacing w:line="360" w:lineRule="auto"/>
        <w:ind w:firstLine="420" w:firstLineChars="200"/>
        <w:rPr>
          <w:rFonts w:hint="eastAsia" w:ascii="宋体" w:hAnsi="宋体" w:eastAsia="宋体" w:cs="宋体"/>
          <w:color w:val="auto"/>
          <w:szCs w:val="21"/>
          <w:highlight w:val="none"/>
        </w:rPr>
      </w:pPr>
    </w:p>
    <w:p>
      <w:pPr>
        <w:pStyle w:val="6"/>
        <w:spacing w:line="360" w:lineRule="auto"/>
        <w:ind w:firstLine="103"/>
        <w:rPr>
          <w:rFonts w:hint="eastAsia" w:ascii="宋体" w:hAnsi="宋体" w:eastAsia="宋体" w:cs="宋体"/>
          <w:b/>
          <w:color w:val="auto"/>
          <w:sz w:val="21"/>
          <w:szCs w:val="21"/>
          <w:highlight w:val="none"/>
        </w:rPr>
      </w:pPr>
      <w:bookmarkStart w:id="185" w:name="_Toc443505826"/>
      <w:r>
        <w:rPr>
          <w:rFonts w:hint="eastAsia" w:ascii="宋体" w:hAnsi="宋体" w:eastAsia="宋体" w:cs="宋体"/>
          <w:b/>
          <w:color w:val="auto"/>
          <w:sz w:val="21"/>
          <w:szCs w:val="21"/>
          <w:highlight w:val="none"/>
        </w:rPr>
        <w:t>4. 投标</w:t>
      </w:r>
      <w:bookmarkEnd w:id="185"/>
    </w:p>
    <w:p>
      <w:pPr>
        <w:keepNext/>
        <w:keepLines/>
        <w:spacing w:before="260" w:after="260" w:line="360" w:lineRule="auto"/>
        <w:ind w:firstLine="103" w:firstLineChars="49"/>
        <w:outlineLvl w:val="2"/>
        <w:rPr>
          <w:rFonts w:hint="eastAsia" w:ascii="宋体" w:hAnsi="宋体" w:eastAsia="宋体" w:cs="宋体"/>
          <w:b/>
          <w:bCs/>
          <w:color w:val="auto"/>
          <w:szCs w:val="21"/>
          <w:highlight w:val="none"/>
          <w:lang w:val="zh-CN"/>
        </w:rPr>
      </w:pPr>
      <w:bookmarkStart w:id="186" w:name="_Toc362816506"/>
      <w:bookmarkStart w:id="187" w:name="_Toc357089537"/>
      <w:bookmarkStart w:id="188" w:name="_Toc362816507"/>
      <w:bookmarkStart w:id="189" w:name="_Toc357089538"/>
      <w:r>
        <w:rPr>
          <w:rFonts w:hint="eastAsia" w:ascii="宋体" w:hAnsi="宋体" w:eastAsia="宋体" w:cs="宋体"/>
          <w:b/>
          <w:bCs/>
          <w:color w:val="auto"/>
          <w:szCs w:val="21"/>
          <w:highlight w:val="none"/>
          <w:lang w:val="zh-CN"/>
        </w:rPr>
        <w:t>4.1 投标文件的密封和标记</w:t>
      </w:r>
      <w:bookmarkEnd w:id="186"/>
      <w:bookmarkEnd w:id="187"/>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4.1.1 投标文件的要求：</w:t>
      </w:r>
    </w:p>
    <w:p>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eastAsia="宋体" w:cs="宋体"/>
          <w:b/>
          <w:color w:val="auto"/>
          <w:szCs w:val="21"/>
          <w:highlight w:val="none"/>
          <w:u w:val="single"/>
        </w:rPr>
        <w:t>设计技术方案投标文件（设计技术方案投标文件采用暗标，不得出现可以辨认投标人及专业技术人员身份的名称、印章、商标、图形等记认符号），要求见3.1.1。</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w:t>
      </w:r>
      <w:r>
        <w:rPr>
          <w:rFonts w:hint="eastAsia" w:ascii="宋体" w:hAnsi="宋体" w:eastAsia="宋体" w:cs="宋体"/>
          <w:bCs/>
          <w:color w:val="auto"/>
          <w:szCs w:val="21"/>
          <w:highlight w:val="none"/>
          <w:u w:val="single"/>
        </w:rPr>
        <w:t>工程总承包实施方案（含资格审查）投标文件</w:t>
      </w:r>
      <w:r>
        <w:rPr>
          <w:rFonts w:hint="eastAsia" w:ascii="宋体" w:hAnsi="宋体" w:eastAsia="宋体" w:cs="宋体"/>
          <w:color w:val="auto"/>
          <w:szCs w:val="21"/>
          <w:highlight w:val="none"/>
          <w:u w:val="single"/>
        </w:rPr>
        <w:t xml:space="preserve">封面标注“[项目名称] </w:t>
      </w:r>
      <w:r>
        <w:rPr>
          <w:rFonts w:hint="eastAsia" w:ascii="宋体" w:hAnsi="宋体" w:eastAsia="宋体" w:cs="宋体"/>
          <w:bCs/>
          <w:color w:val="auto"/>
          <w:szCs w:val="21"/>
          <w:highlight w:val="none"/>
          <w:u w:val="single"/>
        </w:rPr>
        <w:t>工程总承包实施方案（含资格审查）投标文件</w:t>
      </w:r>
      <w:r>
        <w:rPr>
          <w:rFonts w:hint="eastAsia" w:ascii="宋体" w:hAnsi="宋体" w:eastAsia="宋体" w:cs="宋体"/>
          <w:color w:val="auto"/>
          <w:szCs w:val="21"/>
          <w:highlight w:val="none"/>
          <w:u w:val="single"/>
        </w:rPr>
        <w:t>” 字样、投标人名称及加盖投标人公章，法定代表人或其授权的代理人签字或盖章。</w:t>
      </w:r>
    </w:p>
    <w:bookmarkEnd w:id="188"/>
    <w:bookmarkEnd w:id="189"/>
    <w:p>
      <w:pPr>
        <w:keepNext/>
        <w:keepLines/>
        <w:spacing w:before="260" w:after="260" w:line="360" w:lineRule="auto"/>
        <w:ind w:firstLine="103" w:firstLineChars="49"/>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4.2 投标文件的递交、封存、投标登记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4.2.1 </w:t>
      </w:r>
      <w:r>
        <w:rPr>
          <w:rFonts w:hint="eastAsia" w:ascii="宋体" w:hAnsi="宋体" w:eastAsia="宋体" w:cs="宋体"/>
          <w:color w:val="auto"/>
          <w:szCs w:val="21"/>
          <w:highlight w:val="none"/>
          <w:u w:val="single"/>
        </w:rPr>
        <w:t>投标人应按投标人须知前附表所规定的时间和地点向招标人递交投标文件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4.2.2 </w:t>
      </w:r>
      <w:r>
        <w:rPr>
          <w:rFonts w:hint="eastAsia" w:ascii="宋体" w:hAnsi="宋体" w:eastAsia="宋体" w:cs="宋体"/>
          <w:color w:val="auto"/>
          <w:szCs w:val="21"/>
          <w:highlight w:val="none"/>
          <w:u w:val="single"/>
        </w:rPr>
        <w:t>投标人递交投标文件的地点：见投标人须知前附表。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 除投标人须知前附表另有规定外，投标人所递交的投标文件不予退还。</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4.2.4 若出现以下情况，招标人将拒绝接收投标文件：</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（1）在投标截止期后逾期或未在指定地点递交投标文件的；</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4.2.5投标截止前，招标人拒绝接收符合条件的投标文件，投标人可向招标监督机构投诉。</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4.2.6到投标截止时间止，若收到的投标文件少于3家的，本项目招标失败，将依法重新招标。</w:t>
      </w:r>
    </w:p>
    <w:p>
      <w:pPr>
        <w:keepNext/>
        <w:keepLines/>
        <w:spacing w:before="260" w:after="260" w:line="360" w:lineRule="auto"/>
        <w:ind w:firstLine="103" w:firstLineChars="49"/>
        <w:outlineLvl w:val="2"/>
        <w:rPr>
          <w:rFonts w:hint="eastAsia" w:ascii="宋体" w:hAnsi="宋体" w:eastAsia="宋体" w:cs="宋体"/>
          <w:b/>
          <w:bCs/>
          <w:color w:val="auto"/>
          <w:szCs w:val="21"/>
          <w:highlight w:val="none"/>
          <w:lang w:val="zh-CN"/>
        </w:rPr>
      </w:pPr>
      <w:bookmarkStart w:id="190" w:name="_Toc362816508"/>
      <w:bookmarkStart w:id="191" w:name="_Toc357089539"/>
      <w:r>
        <w:rPr>
          <w:rFonts w:hint="eastAsia" w:ascii="宋体" w:hAnsi="宋体" w:eastAsia="宋体" w:cs="宋体"/>
          <w:b/>
          <w:bCs/>
          <w:color w:val="auto"/>
          <w:szCs w:val="21"/>
          <w:highlight w:val="none"/>
          <w:lang w:val="zh-CN"/>
        </w:rPr>
        <w:t>4.3 投标文件的修改与撤回</w:t>
      </w:r>
      <w:bookmarkEnd w:id="190"/>
      <w:bookmarkEnd w:id="19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在投标人须知前附表第4.2.1项规定的投标截止时间前，投标人可以修改或撤回已递交的投标文件，但应以书面形式通知招标人。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投标人修改或撤回已递交投标文件的书面通知应按照本章第3.7.3项的要求签字或盖章。招标人收到书面通知后，向投标人出具签收凭证。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 投标人撤回投标文件的，招标人自收到投标人书面撤回通知之日起5日内退还已收取的投标担保。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 修改的内容为投标文件的组成部分。修改的投标文件应按照本章第3条、第4条规定进行编制、密封、标记和递交，并标明“修改”字样。</w:t>
      </w:r>
    </w:p>
    <w:p>
      <w:pPr>
        <w:keepNext/>
        <w:keepLines/>
        <w:spacing w:line="360" w:lineRule="auto"/>
        <w:outlineLvl w:val="1"/>
        <w:rPr>
          <w:rFonts w:hint="eastAsia" w:ascii="宋体" w:hAnsi="宋体" w:eastAsia="宋体" w:cs="宋体"/>
          <w:b/>
          <w:bCs/>
          <w:color w:val="auto"/>
          <w:szCs w:val="21"/>
          <w:highlight w:val="none"/>
        </w:rPr>
      </w:pPr>
      <w:bookmarkStart w:id="192" w:name="_Toc505152691"/>
      <w:bookmarkStart w:id="193" w:name="_Toc480225652"/>
      <w:bookmarkStart w:id="194" w:name="_Toc443505827"/>
      <w:bookmarkStart w:id="195" w:name="_Toc16007"/>
      <w:bookmarkStart w:id="196" w:name="_Toc16535"/>
      <w:r>
        <w:rPr>
          <w:rFonts w:hint="eastAsia" w:ascii="宋体" w:hAnsi="宋体" w:eastAsia="宋体" w:cs="宋体"/>
          <w:b/>
          <w:bCs/>
          <w:color w:val="auto"/>
          <w:szCs w:val="21"/>
          <w:highlight w:val="none"/>
        </w:rPr>
        <w:t>5. 开标</w:t>
      </w:r>
      <w:bookmarkEnd w:id="192"/>
      <w:bookmarkEnd w:id="193"/>
      <w:bookmarkEnd w:id="194"/>
      <w:bookmarkEnd w:id="195"/>
      <w:bookmarkEnd w:id="196"/>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5.1 开标时间和地点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投标人须知前附表5.1规定的开标时间和地点公开开标，并邀请所有投标人的法定代表人或其委托代理人准时参加。投标人（法定代表人或其委托代理人）可自行决定是否参加开标。投标人不参加的，视为认可开标过程及结果。</w:t>
      </w:r>
    </w:p>
    <w:p>
      <w:pPr>
        <w:keepNext/>
        <w:keepLines/>
        <w:spacing w:before="260" w:after="260" w:line="360" w:lineRule="auto"/>
        <w:ind w:firstLine="103" w:firstLineChars="49"/>
        <w:outlineLvl w:val="2"/>
        <w:rPr>
          <w:rFonts w:hint="eastAsia"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u w:val="single"/>
          <w:lang w:val="zh-CN"/>
        </w:rPr>
        <w:t>5.2 开标和评标程序</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主持人按下列程序进行开标：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eastAsia="宋体" w:cs="宋体"/>
          <w:b/>
          <w:bCs/>
          <w:color w:val="auto"/>
          <w:szCs w:val="21"/>
          <w:highlight w:val="none"/>
          <w:u w:val="single"/>
        </w:rPr>
        <w:t>在投标截止时间后一小时内，投标人通过递交投标文件的交易平台对已递交的电子投标文件进行解密。</w:t>
      </w:r>
      <w:r>
        <w:rPr>
          <w:rFonts w:hint="eastAsia" w:ascii="宋体" w:hAnsi="宋体" w:eastAsia="宋体" w:cs="宋体"/>
          <w:color w:val="auto"/>
          <w:szCs w:val="21"/>
          <w:highlight w:val="none"/>
          <w:u w:val="single"/>
        </w:rPr>
        <w:t>投标人完成解密后，再由招标人进行解密（投标人只用执行一次解密，招标人执行解密次数根据招标文件开标次数确定）。</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解密完成后，公布：a投标人名称；b投标文件递交情况；c投标文件解密情况；d投标担保递交情况；e项目负责人、设计负责人、施工负责人、专职安全员；f投标报价（含设计报价和施工报价）；g工期；h投标人的加密打包投标文件电脑机器特征码等主要内容，并记录在案。未在规定时间内解密的投标文件不参与开标、评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（3）截标后，开标开始时间因故推迟的，相关评标信息仍以原定的开标开始时间的信息为准。</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（4）备用光盘的读取按“10 电子招标投标”第6点的规定执行。</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开标方式采用电子开标和现场开标两种模式，投标人可选择在开标室参与开标或准时在线参加开标，也可不参加开标。参加在线开标的投标人登录广州公共资源交易中心数字交易平台实时查看开标、唱标情况。广州公共资源交易中心数字交易平台生成开标记录并向社会公众公布。</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（7）投标人未参加开标或在规定的时间内未提出异议的，视为对开标无异议。</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（8）开标时，两个（含两个）以上的投标人加密打包投标文件电脑机器特征码一致的，不参与下一程序，并由评标委员会否决其投标。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投标文件（设计方案）开标时不得开启，在评标时由广州公共资源交易中心数字交易平台随机编号后开启，交由评标委员会进行评审。编号所对应的投标人在设计方案评审结束前不得告知评标委员会、广州公共资源交易中心数字交易平台工作人员、招标人或招标代理机构。</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（10）开标时，出现下列情形之一的，不参与资格审查和评标：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1、未按招标文件要求提供投标担保的；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2、投标截止时间前未完成投标文件传输的或因投标人之外的原因造成投标文件未解密且未按要求递交备用光盘的；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3、因投标人原因造成投标文件未解密或未在规定的时间内解密的。</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采用现金汇（转）方式的，由广州公共资源交易中心代收投标保证金的，其缴纳情况以广州公共资源交易中心数据库记录的信息为准。缴费的操作详见广州公共资源交易中心公布的《投标人基本账户保证金操作指引》。</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如采用投标保函或投标保证保险的形式提交投标保证金的，在开标前不强制要求提交纸质原件，由中标候选人在中标候选人公示前提交并在网上公示，但投标人应在投标文件中提交投标保函或投标保证保险扫描件并加盖投标人印章。</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5.3 开标异议</w:t>
      </w:r>
    </w:p>
    <w:p>
      <w:pPr>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数字交易平台后通过广州公共资源交易中心数字交易平台提出。招标人授权招标代理机构工作人员使用招标代理机构数字证书登录广州公共资源交易中心数字交易平台答复异议，异议答复是招标人真实意思表示。未答复的，开标程序不得结束。</w:t>
      </w:r>
    </w:p>
    <w:p>
      <w:pPr>
        <w:keepNext/>
        <w:keepLines/>
        <w:spacing w:line="360" w:lineRule="auto"/>
        <w:outlineLvl w:val="1"/>
        <w:rPr>
          <w:rFonts w:hint="eastAsia" w:ascii="宋体" w:hAnsi="宋体" w:eastAsia="宋体" w:cs="宋体"/>
          <w:b/>
          <w:bCs/>
          <w:color w:val="auto"/>
          <w:szCs w:val="21"/>
          <w:highlight w:val="none"/>
        </w:rPr>
      </w:pPr>
      <w:bookmarkStart w:id="197" w:name="_Toc505152692"/>
      <w:bookmarkStart w:id="198" w:name="_Toc443505828"/>
      <w:bookmarkStart w:id="199" w:name="_Toc19703"/>
      <w:bookmarkStart w:id="200" w:name="_Toc31673"/>
      <w:bookmarkStart w:id="201" w:name="_Toc480225653"/>
      <w:r>
        <w:rPr>
          <w:rFonts w:hint="eastAsia" w:ascii="宋体" w:hAnsi="宋体" w:eastAsia="宋体" w:cs="宋体"/>
          <w:b/>
          <w:bCs/>
          <w:color w:val="auto"/>
          <w:szCs w:val="21"/>
          <w:highlight w:val="none"/>
        </w:rPr>
        <w:t>6. 评标</w:t>
      </w:r>
      <w:bookmarkEnd w:id="197"/>
      <w:bookmarkEnd w:id="198"/>
      <w:bookmarkEnd w:id="199"/>
      <w:bookmarkEnd w:id="200"/>
      <w:bookmarkEnd w:id="201"/>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6.1 评标委员会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6.1.1评标由招标人依法组建的评标委员会负责，分设计评审组、施工评审组，</w:t>
      </w:r>
      <w:r>
        <w:rPr>
          <w:rFonts w:hint="eastAsia" w:ascii="宋体" w:hAnsi="宋体" w:eastAsia="宋体" w:cs="宋体"/>
          <w:color w:val="auto"/>
          <w:szCs w:val="21"/>
          <w:highlight w:val="none"/>
          <w:u w:val="single"/>
        </w:rPr>
        <w:t>资格审查由施工评审组负责</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6.1.2</w:t>
      </w:r>
      <w:r>
        <w:rPr>
          <w:rFonts w:hint="eastAsia" w:ascii="宋体" w:hAnsi="宋体" w:eastAsia="宋体" w:cs="宋体"/>
          <w:color w:val="auto"/>
          <w:szCs w:val="21"/>
          <w:highlight w:val="none"/>
          <w:u w:val="single"/>
        </w:rPr>
        <w:t>评标委员会设计评审组依法组建。</w:t>
      </w:r>
    </w:p>
    <w:p>
      <w:pPr>
        <w:spacing w:line="360" w:lineRule="auto"/>
        <w:ind w:firstLine="1050" w:firstLineChars="5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施工组评标委员会依法组建。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 评标委员会成员有下列情形之一的，应当回避：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6.2 评标原则</w:t>
      </w:r>
      <w:r>
        <w:rPr>
          <w:rFonts w:hint="eastAsia" w:ascii="宋体" w:hAnsi="宋体" w:eastAsia="宋体" w:cs="宋体"/>
          <w:b/>
          <w:bCs/>
          <w:color w:val="auto"/>
          <w:szCs w:val="21"/>
          <w:highlight w:val="none"/>
          <w:lang w:val="zh-CN"/>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6.3 评标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评标委员会按照第二章“评标办法”规定的方法、评审因素、标准和程序对投标文件进行评审。第二章“评标办法”没有规定的方法、评审因素和标准，不作为评标依据。</w:t>
      </w:r>
    </w:p>
    <w:p>
      <w:pPr>
        <w:keepNext/>
        <w:keepLines/>
        <w:spacing w:line="360" w:lineRule="auto"/>
        <w:outlineLvl w:val="1"/>
        <w:rPr>
          <w:rFonts w:hint="eastAsia" w:ascii="宋体" w:hAnsi="宋体" w:eastAsia="宋体" w:cs="宋体"/>
          <w:b/>
          <w:bCs/>
          <w:color w:val="auto"/>
          <w:szCs w:val="21"/>
          <w:highlight w:val="none"/>
        </w:rPr>
      </w:pPr>
      <w:bookmarkStart w:id="202" w:name="_Toc10882"/>
      <w:bookmarkStart w:id="203" w:name="_Toc480225654"/>
      <w:bookmarkStart w:id="204" w:name="_Toc505152693"/>
      <w:bookmarkStart w:id="205" w:name="_Toc443505829"/>
      <w:bookmarkStart w:id="206" w:name="_Toc18436"/>
      <w:r>
        <w:rPr>
          <w:rFonts w:hint="eastAsia" w:ascii="宋体" w:hAnsi="宋体" w:eastAsia="宋体" w:cs="宋体"/>
          <w:b/>
          <w:bCs/>
          <w:color w:val="auto"/>
          <w:szCs w:val="21"/>
          <w:highlight w:val="none"/>
        </w:rPr>
        <w:t>7. 合同授予</w:t>
      </w:r>
      <w:bookmarkEnd w:id="202"/>
      <w:bookmarkEnd w:id="203"/>
      <w:bookmarkEnd w:id="204"/>
      <w:bookmarkEnd w:id="205"/>
      <w:bookmarkEnd w:id="206"/>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7.1 定标方式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7.1.1除投标人须知前附表规定评标委员会直接确定中标人外，招标人依据评标委员会推荐的中标候选人确定中标人，评标委员会推荐中标候选人的人数见投标人须知前附表。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依法必须进行公开招标的项目，招标人应当确定排名第一的中标候选人为中标人。</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7.1.3</w:t>
      </w:r>
      <w:r>
        <w:rPr>
          <w:rFonts w:hint="eastAsia" w:ascii="宋体" w:hAnsi="宋体" w:eastAsia="宋体" w:cs="宋体"/>
          <w:color w:val="auto"/>
          <w:szCs w:val="21"/>
          <w:highlight w:val="none"/>
          <w:u w:val="single"/>
        </w:rPr>
        <w:t>排名第一的中标候选人放弃中标、因不可抗力不能履行合同、不按照招标文件要求提交履约保证金，或经核查发现委派的项目负责人已在其他在建项目中任职的，或者被查实存在影响中标结果的违法行为等情形，不符合中标条件的，招标人可以按照评标委员会提出的中标候选人名单排序依次确定其他中标候选人为中标人，也可以重新招标。</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7.2 中标候选人公示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7.2.1招标人在投标人须知前附表规定的媒介公示中标候选人。</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7.3 中标通知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评标公示后，在本章第3.3 款规定的投标有效期内，招标人以书面形式向中标人发出中标通知书，中标通知书发出前须经广州公共资源交易中心（广州市天河区天润路333号）盖章确认。</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7.3.2 招标人应当自确定中标人后，向招投标监管机构提交招标投标情况的书面报告；经招投标监管机构备案后，方可发出中标通知书。中标通知书由招标人颁发，并经广州公共资源交易中心确认。</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7.4 履约担保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7.4.1在签订合同后15天内，中标人应按投标人须知前附表规定的担保形式向招标人提交履约担保。除投标人须知前附表另有规定外，履约担保金额为中标合同金额的10%。</w:t>
      </w:r>
      <w:r>
        <w:rPr>
          <w:rFonts w:hint="eastAsia" w:ascii="宋体" w:hAnsi="宋体" w:eastAsia="宋体" w:cs="宋体"/>
          <w:color w:val="auto"/>
          <w:szCs w:val="21"/>
          <w:highlight w:val="none"/>
          <w:u w:val="single"/>
        </w:rPr>
        <w:t>履约担保和预付款担保均指施工部分，设计无需担保。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中标人不能按本章第7.4.1项要求提交履约担保的，视为放弃中标，其投标担保不予退还，给招标人造成的损失超过投标担保数额的，中标人还应当对超过部分予以赔偿。</w:t>
      </w:r>
    </w:p>
    <w:p>
      <w:pPr>
        <w:keepNext/>
        <w:keepLines/>
        <w:spacing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7.5 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7.5.1 招标人和中标人应当自中标通知书发出之日起30天内，根据招标文件和中标人的投标文件订立书面合同。中标人无正当理由拒签合同的，招标人取消其中标资格，其投标担保不予退还；给招标人造成的损失超过投标担保数额的，中标人还应当对超过部分予以赔偿。 </w:t>
      </w:r>
    </w:p>
    <w:p>
      <w:pPr>
        <w:pStyle w:val="5"/>
        <w:spacing w:before="0" w:after="0" w:line="360" w:lineRule="auto"/>
        <w:ind w:firstLine="420" w:firstLineChars="200"/>
        <w:rPr>
          <w:rFonts w:hint="eastAsia" w:ascii="宋体" w:hAnsi="宋体" w:eastAsia="宋体" w:cs="宋体"/>
          <w:b w:val="0"/>
          <w:bCs w:val="0"/>
          <w:color w:val="auto"/>
          <w:sz w:val="21"/>
          <w:szCs w:val="21"/>
          <w:highlight w:val="none"/>
        </w:rPr>
      </w:pPr>
      <w:bookmarkStart w:id="207" w:name="_Toc14798"/>
      <w:bookmarkStart w:id="208" w:name="_Toc19839"/>
      <w:r>
        <w:rPr>
          <w:rFonts w:hint="eastAsia" w:ascii="宋体" w:hAnsi="宋体" w:eastAsia="宋体" w:cs="宋体"/>
          <w:b w:val="0"/>
          <w:bCs w:val="0"/>
          <w:color w:val="auto"/>
          <w:sz w:val="21"/>
          <w:szCs w:val="21"/>
          <w:highlight w:val="none"/>
        </w:rPr>
        <w:t>7.5.2 发出中标通知书后，招标人无正当理由拒签合同的，招标人向中标人退还投标担保；给中标人造成损失的，还应当赔偿损失。</w:t>
      </w:r>
      <w:bookmarkEnd w:id="207"/>
      <w:bookmarkEnd w:id="208"/>
    </w:p>
    <w:p>
      <w:pPr>
        <w:spacing w:line="360" w:lineRule="auto"/>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u w:val="single"/>
        </w:rPr>
        <w:t>7.5.3 如本工程委托代建单位</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项目建设管理单位</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，则可由代建单位作为发包人与中标人签订合同。</w:t>
      </w:r>
    </w:p>
    <w:p>
      <w:pPr>
        <w:keepNext/>
        <w:keepLines/>
        <w:spacing w:line="360" w:lineRule="auto"/>
        <w:outlineLvl w:val="1"/>
        <w:rPr>
          <w:rFonts w:hint="eastAsia" w:ascii="宋体" w:hAnsi="宋体" w:eastAsia="宋体" w:cs="宋体"/>
          <w:b/>
          <w:bCs/>
          <w:color w:val="auto"/>
          <w:szCs w:val="21"/>
          <w:highlight w:val="none"/>
        </w:rPr>
      </w:pPr>
      <w:bookmarkStart w:id="209" w:name="_Toc505152695"/>
      <w:bookmarkStart w:id="210" w:name="_Toc480225656"/>
      <w:bookmarkStart w:id="211" w:name="_Toc443505831"/>
      <w:bookmarkStart w:id="212" w:name="_Toc31841"/>
      <w:bookmarkStart w:id="213" w:name="_Toc17489"/>
      <w:r>
        <w:rPr>
          <w:rFonts w:hint="eastAsia" w:ascii="宋体" w:hAnsi="宋体" w:eastAsia="宋体" w:cs="宋体"/>
          <w:b/>
          <w:bCs/>
          <w:color w:val="auto"/>
          <w:szCs w:val="21"/>
          <w:highlight w:val="none"/>
        </w:rPr>
        <w:t>8. 纪律和监督</w:t>
      </w:r>
      <w:bookmarkEnd w:id="209"/>
      <w:bookmarkEnd w:id="210"/>
      <w:bookmarkEnd w:id="211"/>
      <w:bookmarkEnd w:id="212"/>
      <w:bookmarkEnd w:id="213"/>
    </w:p>
    <w:p>
      <w:pPr>
        <w:keepNext/>
        <w:keepLines/>
        <w:spacing w:line="360" w:lineRule="auto"/>
        <w:outlineLvl w:val="1"/>
        <w:rPr>
          <w:rFonts w:hint="eastAsia" w:ascii="宋体" w:hAnsi="宋体" w:eastAsia="宋体" w:cs="宋体"/>
          <w:bCs/>
          <w:color w:val="auto"/>
          <w:szCs w:val="21"/>
          <w:highlight w:val="none"/>
        </w:rPr>
      </w:pPr>
      <w:bookmarkStart w:id="214" w:name="_Toc443505832"/>
      <w:bookmarkStart w:id="215" w:name="_Toc11015"/>
      <w:bookmarkStart w:id="216" w:name="_Toc480225657"/>
      <w:bookmarkStart w:id="217" w:name="_Toc505152696"/>
      <w:bookmarkStart w:id="218" w:name="_Toc24400"/>
      <w:r>
        <w:rPr>
          <w:rFonts w:hint="eastAsia" w:ascii="宋体" w:hAnsi="宋体" w:eastAsia="宋体" w:cs="宋体"/>
          <w:bCs/>
          <w:color w:val="auto"/>
          <w:szCs w:val="21"/>
          <w:highlight w:val="none"/>
        </w:rPr>
        <w:t>8.1 对招标人的纪律要求</w:t>
      </w:r>
      <w:bookmarkEnd w:id="214"/>
      <w:bookmarkEnd w:id="215"/>
      <w:bookmarkEnd w:id="216"/>
      <w:bookmarkEnd w:id="217"/>
      <w:bookmarkEnd w:id="21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招标人不得泄漏招标投标活动中应当保密的情况和资料，不得与投标人串通损害国家利益、社会公共利益或者他人合法权益。</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对投标人的纪律要求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8.3 对评标委员会成员的纪律要求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二章“评标办法”没有规定的评审因素和标准进行评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对与评标活动有关的工作人员的纪律要求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8.5 投诉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投标人和其他利害关系人认为本次招标活动违反法律、法规和规章规定的，有权向有关行政监督部门投诉。</w:t>
      </w:r>
    </w:p>
    <w:p>
      <w:pPr>
        <w:keepNext/>
        <w:keepLines/>
        <w:spacing w:before="260" w:after="260" w:line="360" w:lineRule="auto"/>
        <w:outlineLvl w:val="1"/>
        <w:rPr>
          <w:rFonts w:hint="eastAsia" w:ascii="宋体" w:hAnsi="宋体" w:eastAsia="宋体" w:cs="宋体"/>
          <w:b/>
          <w:bCs/>
          <w:color w:val="auto"/>
          <w:szCs w:val="21"/>
          <w:highlight w:val="none"/>
        </w:rPr>
      </w:pPr>
      <w:bookmarkStart w:id="219" w:name="_Toc480225658"/>
      <w:bookmarkStart w:id="220" w:name="_Toc7949"/>
      <w:bookmarkStart w:id="221" w:name="_Toc5586"/>
      <w:bookmarkStart w:id="222" w:name="_Toc505152697"/>
      <w:bookmarkStart w:id="223" w:name="_Toc443505833"/>
      <w:r>
        <w:rPr>
          <w:rFonts w:hint="eastAsia" w:ascii="宋体" w:hAnsi="宋体" w:eastAsia="宋体" w:cs="宋体"/>
          <w:b/>
          <w:bCs/>
          <w:color w:val="auto"/>
          <w:szCs w:val="21"/>
          <w:highlight w:val="none"/>
        </w:rPr>
        <w:t>9. 需要补充的其他内容</w:t>
      </w:r>
      <w:bookmarkEnd w:id="219"/>
      <w:bookmarkEnd w:id="220"/>
      <w:bookmarkEnd w:id="221"/>
      <w:bookmarkEnd w:id="222"/>
      <w:bookmarkEnd w:id="22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需要补充的其他内容：见投标人须知前附表。</w:t>
      </w:r>
    </w:p>
    <w:p>
      <w:pPr>
        <w:keepNext/>
        <w:keepLines/>
        <w:spacing w:before="260" w:after="260" w:line="360" w:lineRule="auto"/>
        <w:outlineLvl w:val="1"/>
        <w:rPr>
          <w:rFonts w:hint="eastAsia" w:ascii="宋体" w:hAnsi="宋体" w:eastAsia="宋体" w:cs="宋体"/>
          <w:b/>
          <w:bCs/>
          <w:color w:val="auto"/>
          <w:szCs w:val="21"/>
          <w:highlight w:val="none"/>
        </w:rPr>
      </w:pPr>
      <w:bookmarkStart w:id="224" w:name="_Toc480225659"/>
      <w:bookmarkStart w:id="225" w:name="_Toc25384"/>
      <w:bookmarkStart w:id="226" w:name="_Toc443505834"/>
      <w:bookmarkStart w:id="227" w:name="_Toc505152698"/>
      <w:bookmarkStart w:id="228" w:name="_Toc9113"/>
      <w:r>
        <w:rPr>
          <w:rFonts w:hint="eastAsia" w:ascii="宋体" w:hAnsi="宋体" w:eastAsia="宋体" w:cs="宋体"/>
          <w:b/>
          <w:bCs/>
          <w:color w:val="auto"/>
          <w:szCs w:val="21"/>
          <w:highlight w:val="none"/>
        </w:rPr>
        <w:t>10. 电子招标投标</w:t>
      </w:r>
      <w:bookmarkEnd w:id="224"/>
      <w:bookmarkEnd w:id="225"/>
      <w:bookmarkEnd w:id="226"/>
      <w:bookmarkEnd w:id="227"/>
      <w:bookmarkEnd w:id="22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采用电子招标投标，对投标文件的编制、密封和标记、递交、开标、评标等具体要求，见投标人须知前附表。</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sectPr>
          <w:pgSz w:w="11906" w:h="16838"/>
          <w:pgMar w:top="1440" w:right="1080" w:bottom="1440" w:left="1080" w:header="851" w:footer="992" w:gutter="0"/>
          <w:cols w:space="720" w:num="1"/>
          <w:docGrid w:type="lines" w:linePitch="312" w:charSpace="0"/>
        </w:sectPr>
      </w:pPr>
    </w:p>
    <w:p>
      <w:pPr>
        <w:pStyle w:val="6"/>
        <w:spacing w:line="360" w:lineRule="auto"/>
        <w:ind w:firstLine="157"/>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附件一：开标记录表</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开标记录表</w:t>
      </w:r>
    </w:p>
    <w:p>
      <w:pPr>
        <w:spacing w:line="360" w:lineRule="auto"/>
        <w:ind w:right="4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开标时间：年月日时分</w:t>
      </w:r>
    </w:p>
    <w:tbl>
      <w:tblPr>
        <w:tblStyle w:val="5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836"/>
        <w:gridCol w:w="743"/>
        <w:gridCol w:w="1044"/>
        <w:gridCol w:w="675"/>
        <w:gridCol w:w="675"/>
        <w:gridCol w:w="687"/>
        <w:gridCol w:w="553"/>
        <w:gridCol w:w="525"/>
        <w:gridCol w:w="545"/>
        <w:gridCol w:w="2137"/>
        <w:gridCol w:w="1683"/>
        <w:gridCol w:w="1027"/>
        <w:gridCol w:w="1027"/>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7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4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26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密封情况</w:t>
            </w:r>
          </w:p>
        </w:tc>
        <w:tc>
          <w:tcPr>
            <w:tcW w:w="36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有无法定代表人证明书及授权委托证明书</w:t>
            </w:r>
          </w:p>
        </w:tc>
        <w:tc>
          <w:tcPr>
            <w:tcW w:w="23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有无递交投标担保金</w:t>
            </w:r>
          </w:p>
        </w:tc>
        <w:tc>
          <w:tcPr>
            <w:tcW w:w="238"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总工期</w:t>
            </w:r>
          </w:p>
        </w:tc>
        <w:tc>
          <w:tcPr>
            <w:tcW w:w="24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95"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85"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安全员</w:t>
            </w:r>
          </w:p>
        </w:tc>
        <w:tc>
          <w:tcPr>
            <w:tcW w:w="192"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设计负责人</w:t>
            </w:r>
          </w:p>
        </w:tc>
        <w:tc>
          <w:tcPr>
            <w:tcW w:w="753" w:type="pct"/>
            <w:tcBorders>
              <w:bottom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（人民币：元）</w:t>
            </w:r>
          </w:p>
        </w:tc>
        <w:tc>
          <w:tcPr>
            <w:tcW w:w="593"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施工费报价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（人民币：元）</w:t>
            </w:r>
          </w:p>
        </w:tc>
        <w:tc>
          <w:tcPr>
            <w:tcW w:w="36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设计费报价（人民币：元）</w:t>
            </w:r>
          </w:p>
        </w:tc>
        <w:tc>
          <w:tcPr>
            <w:tcW w:w="36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签名</w:t>
            </w:r>
          </w:p>
        </w:tc>
        <w:tc>
          <w:tcPr>
            <w:tcW w:w="17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 w:type="pct"/>
            <w:vAlign w:val="center"/>
          </w:tcPr>
          <w:p>
            <w:pPr>
              <w:spacing w:line="360" w:lineRule="auto"/>
              <w:jc w:val="center"/>
              <w:rPr>
                <w:rFonts w:hint="eastAsia" w:ascii="宋体" w:hAnsi="宋体" w:eastAsia="宋体" w:cs="宋体"/>
                <w:color w:val="auto"/>
                <w:szCs w:val="21"/>
                <w:highlight w:val="none"/>
              </w:rPr>
            </w:pPr>
          </w:p>
        </w:tc>
        <w:tc>
          <w:tcPr>
            <w:tcW w:w="647" w:type="pct"/>
            <w:vAlign w:val="center"/>
          </w:tcPr>
          <w:p>
            <w:pPr>
              <w:spacing w:line="360" w:lineRule="auto"/>
              <w:jc w:val="center"/>
              <w:rPr>
                <w:rFonts w:hint="eastAsia" w:ascii="宋体" w:hAnsi="宋体" w:eastAsia="宋体" w:cs="宋体"/>
                <w:color w:val="auto"/>
                <w:szCs w:val="21"/>
                <w:highlight w:val="none"/>
              </w:rPr>
            </w:pPr>
          </w:p>
        </w:tc>
        <w:tc>
          <w:tcPr>
            <w:tcW w:w="262" w:type="pct"/>
            <w:vAlign w:val="center"/>
          </w:tcPr>
          <w:p>
            <w:pPr>
              <w:spacing w:line="360" w:lineRule="auto"/>
              <w:jc w:val="center"/>
              <w:rPr>
                <w:rFonts w:hint="eastAsia" w:ascii="宋体" w:hAnsi="宋体" w:eastAsia="宋体" w:cs="宋体"/>
                <w:color w:val="auto"/>
                <w:szCs w:val="21"/>
                <w:highlight w:val="none"/>
              </w:rPr>
            </w:pPr>
          </w:p>
        </w:tc>
        <w:tc>
          <w:tcPr>
            <w:tcW w:w="36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42"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85"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2"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593" w:type="pct"/>
            <w:tcBorders>
              <w:left w:val="single" w:color="auto" w:sz="4" w:space="0"/>
            </w:tcBorders>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177"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78" w:type="pct"/>
            <w:vAlign w:val="center"/>
          </w:tcPr>
          <w:p>
            <w:pPr>
              <w:spacing w:line="360" w:lineRule="auto"/>
              <w:jc w:val="center"/>
              <w:rPr>
                <w:rFonts w:hint="eastAsia" w:ascii="宋体" w:hAnsi="宋体" w:eastAsia="宋体" w:cs="宋体"/>
                <w:color w:val="auto"/>
                <w:szCs w:val="21"/>
                <w:highlight w:val="none"/>
              </w:rPr>
            </w:pPr>
          </w:p>
        </w:tc>
        <w:tc>
          <w:tcPr>
            <w:tcW w:w="647" w:type="pct"/>
            <w:vAlign w:val="center"/>
          </w:tcPr>
          <w:p>
            <w:pPr>
              <w:spacing w:line="360" w:lineRule="auto"/>
              <w:jc w:val="center"/>
              <w:rPr>
                <w:rFonts w:hint="eastAsia" w:ascii="宋体" w:hAnsi="宋体" w:eastAsia="宋体" w:cs="宋体"/>
                <w:color w:val="auto"/>
                <w:szCs w:val="21"/>
                <w:highlight w:val="none"/>
              </w:rPr>
            </w:pPr>
          </w:p>
        </w:tc>
        <w:tc>
          <w:tcPr>
            <w:tcW w:w="262" w:type="pct"/>
            <w:vAlign w:val="center"/>
          </w:tcPr>
          <w:p>
            <w:pPr>
              <w:spacing w:line="360" w:lineRule="auto"/>
              <w:jc w:val="center"/>
              <w:rPr>
                <w:rFonts w:hint="eastAsia" w:ascii="宋体" w:hAnsi="宋体" w:eastAsia="宋体" w:cs="宋体"/>
                <w:color w:val="auto"/>
                <w:szCs w:val="21"/>
                <w:highlight w:val="none"/>
              </w:rPr>
            </w:pPr>
          </w:p>
        </w:tc>
        <w:tc>
          <w:tcPr>
            <w:tcW w:w="36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42"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8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593" w:type="pct"/>
            <w:tcBorders>
              <w:left w:val="single" w:color="auto" w:sz="4" w:space="0"/>
            </w:tcBorders>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177"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 w:type="pct"/>
            <w:vAlign w:val="center"/>
          </w:tcPr>
          <w:p>
            <w:pPr>
              <w:spacing w:line="360" w:lineRule="auto"/>
              <w:jc w:val="center"/>
              <w:rPr>
                <w:rFonts w:hint="eastAsia" w:ascii="宋体" w:hAnsi="宋体" w:eastAsia="宋体" w:cs="宋体"/>
                <w:color w:val="auto"/>
                <w:szCs w:val="21"/>
                <w:highlight w:val="none"/>
              </w:rPr>
            </w:pPr>
          </w:p>
        </w:tc>
        <w:tc>
          <w:tcPr>
            <w:tcW w:w="647" w:type="pct"/>
            <w:vAlign w:val="center"/>
          </w:tcPr>
          <w:p>
            <w:pPr>
              <w:spacing w:line="360" w:lineRule="auto"/>
              <w:jc w:val="center"/>
              <w:rPr>
                <w:rFonts w:hint="eastAsia" w:ascii="宋体" w:hAnsi="宋体" w:eastAsia="宋体" w:cs="宋体"/>
                <w:color w:val="auto"/>
                <w:szCs w:val="21"/>
                <w:highlight w:val="none"/>
              </w:rPr>
            </w:pPr>
          </w:p>
        </w:tc>
        <w:tc>
          <w:tcPr>
            <w:tcW w:w="262" w:type="pct"/>
            <w:vAlign w:val="center"/>
          </w:tcPr>
          <w:p>
            <w:pPr>
              <w:spacing w:line="360" w:lineRule="auto"/>
              <w:jc w:val="center"/>
              <w:rPr>
                <w:rFonts w:hint="eastAsia" w:ascii="宋体" w:hAnsi="宋体" w:eastAsia="宋体" w:cs="宋体"/>
                <w:color w:val="auto"/>
                <w:szCs w:val="21"/>
                <w:highlight w:val="none"/>
              </w:rPr>
            </w:pPr>
          </w:p>
        </w:tc>
        <w:tc>
          <w:tcPr>
            <w:tcW w:w="36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38" w:type="pct"/>
            <w:vAlign w:val="center"/>
          </w:tcPr>
          <w:p>
            <w:pPr>
              <w:spacing w:line="360" w:lineRule="auto"/>
              <w:jc w:val="center"/>
              <w:rPr>
                <w:rFonts w:hint="eastAsia" w:ascii="宋体" w:hAnsi="宋体" w:eastAsia="宋体" w:cs="宋体"/>
                <w:color w:val="auto"/>
                <w:szCs w:val="21"/>
                <w:highlight w:val="none"/>
              </w:rPr>
            </w:pPr>
          </w:p>
        </w:tc>
        <w:tc>
          <w:tcPr>
            <w:tcW w:w="242"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8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192"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593" w:type="pct"/>
            <w:tcBorders>
              <w:left w:val="single" w:color="auto" w:sz="4" w:space="0"/>
            </w:tcBorders>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362" w:type="pct"/>
          </w:tcPr>
          <w:p>
            <w:pPr>
              <w:spacing w:line="360" w:lineRule="auto"/>
              <w:jc w:val="center"/>
              <w:rPr>
                <w:rFonts w:hint="eastAsia" w:ascii="宋体" w:hAnsi="宋体" w:eastAsia="宋体" w:cs="宋体"/>
                <w:color w:val="auto"/>
                <w:szCs w:val="21"/>
                <w:highlight w:val="none"/>
              </w:rPr>
            </w:pPr>
          </w:p>
        </w:tc>
        <w:tc>
          <w:tcPr>
            <w:tcW w:w="177" w:type="pct"/>
          </w:tcPr>
          <w:p>
            <w:pPr>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招标代理代表：                  招标人代表：               交易中心见证人：</w:t>
      </w:r>
    </w:p>
    <w:p>
      <w:pPr>
        <w:pStyle w:val="702"/>
        <w:spacing w:line="360" w:lineRule="auto"/>
        <w:ind w:firstLine="0" w:firstLineChars="0"/>
        <w:jc w:val="left"/>
        <w:rPr>
          <w:rFonts w:hint="eastAsia" w:ascii="宋体" w:hAnsi="宋体" w:eastAsia="宋体" w:cs="宋体"/>
          <w:color w:val="auto"/>
          <w:sz w:val="21"/>
          <w:szCs w:val="21"/>
          <w:highlight w:val="none"/>
        </w:rPr>
      </w:pPr>
    </w:p>
    <w:p>
      <w:pPr>
        <w:pStyle w:val="702"/>
        <w:spacing w:line="360" w:lineRule="auto"/>
        <w:ind w:firstLine="0" w:firstLineChars="0"/>
        <w:jc w:val="left"/>
        <w:rPr>
          <w:rFonts w:hint="eastAsia" w:ascii="宋体" w:hAnsi="宋体" w:eastAsia="宋体" w:cs="宋体"/>
          <w:color w:val="auto"/>
          <w:sz w:val="21"/>
          <w:szCs w:val="21"/>
          <w:highlight w:val="none"/>
        </w:rPr>
        <w:sectPr>
          <w:headerReference r:id="rId9" w:type="default"/>
          <w:footerReference r:id="rId10"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position w:val="-2"/>
          <w:sz w:val="21"/>
          <w:szCs w:val="21"/>
          <w:highlight w:val="none"/>
        </w:rPr>
        <w:t>本表仅供参考，具体以开标时的开标记录表为准。</w:t>
      </w:r>
    </w:p>
    <w:p>
      <w:pPr>
        <w:pStyle w:val="4"/>
        <w:spacing w:line="360" w:lineRule="auto"/>
        <w:jc w:val="center"/>
        <w:rPr>
          <w:rFonts w:hint="eastAsia" w:ascii="宋体" w:hAnsi="宋体" w:eastAsia="宋体" w:cs="宋体"/>
          <w:color w:val="auto"/>
          <w:highlight w:val="none"/>
        </w:rPr>
      </w:pPr>
      <w:bookmarkStart w:id="229" w:name="_Toc3845"/>
      <w:bookmarkStart w:id="230" w:name="_Toc20226"/>
      <w:bookmarkStart w:id="231" w:name="_Toc505152699"/>
      <w:r>
        <w:rPr>
          <w:rFonts w:hint="eastAsia" w:ascii="宋体" w:hAnsi="宋体" w:eastAsia="宋体" w:cs="宋体"/>
          <w:color w:val="auto"/>
          <w:highlight w:val="none"/>
        </w:rPr>
        <w:t>第二章 评标办法（综合评分法）</w:t>
      </w:r>
      <w:bookmarkEnd w:id="229"/>
      <w:bookmarkEnd w:id="230"/>
      <w:bookmarkEnd w:id="231"/>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前附表</w:t>
      </w:r>
    </w:p>
    <w:tbl>
      <w:tblPr>
        <w:tblStyle w:val="55"/>
        <w:tblW w:w="4999"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4"/>
        <w:gridCol w:w="1740"/>
        <w:gridCol w:w="1971"/>
        <w:gridCol w:w="53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tblHeader/>
        </w:trPr>
        <w:tc>
          <w:tcPr>
            <w:tcW w:w="1337" w:type="pct"/>
            <w:gridSpan w:val="2"/>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989"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2672"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72" w:type="pct"/>
            <w:vAlign w:val="center"/>
          </w:tcPr>
          <w:p>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资格审查</w:t>
            </w:r>
          </w:p>
        </w:tc>
        <w:tc>
          <w:tcPr>
            <w:tcW w:w="3662"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见附表1《资格审查表》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872" w:type="pct"/>
            <w:vAlign w:val="center"/>
          </w:tcPr>
          <w:p>
            <w:pPr>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设计标技术文件有效性审查</w:t>
            </w:r>
          </w:p>
        </w:tc>
        <w:tc>
          <w:tcPr>
            <w:tcW w:w="3662"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见附表2《设计技术方案投标文件有效性审查表》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872" w:type="pct"/>
            <w:vAlign w:val="center"/>
          </w:tcPr>
          <w:p>
            <w:pPr>
              <w:spacing w:line="360" w:lineRule="auto"/>
              <w:jc w:val="center"/>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工程总承包实施方案投标文件有效性审查</w:t>
            </w:r>
          </w:p>
        </w:tc>
        <w:tc>
          <w:tcPr>
            <w:tcW w:w="3662"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见附表3《工程总承包实施方案投标文件有效性审查表》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37" w:type="pct"/>
            <w:gridSpan w:val="2"/>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989"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2672" w:type="pct"/>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9" w:hRule="atLeast"/>
        </w:trPr>
        <w:tc>
          <w:tcPr>
            <w:tcW w:w="1337"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98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分值构成及权重</w:t>
            </w:r>
          </w:p>
        </w:tc>
        <w:tc>
          <w:tcPr>
            <w:tcW w:w="2672" w:type="pct"/>
            <w:vAlign w:val="center"/>
          </w:tcPr>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投标人总得分（满分100分）=设计方案部分得分×设计总权重（30%）+实施方案部分得分×实施方案部分得分权重（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%）+投标报价得分×投标报价得分权重（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其中：实施方案部分得分=资信部分得分（36分）+实施方案技术部分得分（64分）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37" w:type="pct"/>
            <w:gridSpan w:val="2"/>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条款号</w:t>
            </w:r>
          </w:p>
        </w:tc>
        <w:tc>
          <w:tcPr>
            <w:tcW w:w="989" w:type="pct"/>
            <w:tcBorders>
              <w:right w:val="single" w:color="auto" w:sz="4" w:space="0"/>
            </w:tcBorders>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2672" w:type="pc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trPr>
        <w:tc>
          <w:tcPr>
            <w:tcW w:w="464"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w:t>
            </w:r>
          </w:p>
        </w:tc>
        <w:tc>
          <w:tcPr>
            <w:tcW w:w="872" w:type="pc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设计标详细审查评分</w:t>
            </w:r>
          </w:p>
        </w:tc>
        <w:tc>
          <w:tcPr>
            <w:tcW w:w="989"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设计总体方案、设计图纸等。</w:t>
            </w:r>
          </w:p>
        </w:tc>
        <w:tc>
          <w:tcPr>
            <w:tcW w:w="2672" w:type="pc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见附表4《设计技术方案投标文件综合评分表》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464" w:type="pct"/>
            <w:vMerge w:val="restar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72" w:type="pct"/>
            <w:vMerge w:val="restart"/>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工程总承包实施方案投标文件评分标准</w:t>
            </w:r>
          </w:p>
        </w:tc>
        <w:tc>
          <w:tcPr>
            <w:tcW w:w="989" w:type="pct"/>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资信资料、实施方案技术文件</w:t>
            </w:r>
          </w:p>
        </w:tc>
        <w:tc>
          <w:tcPr>
            <w:tcW w:w="2672" w:type="pct"/>
            <w:tcBorders>
              <w:left w:val="single" w:color="auto" w:sz="4" w:space="0"/>
            </w:tcBorders>
            <w:vAlign w:val="center"/>
          </w:tcPr>
          <w:p>
            <w:pPr>
              <w:spacing w:line="360" w:lineRule="auto"/>
              <w:jc w:val="left"/>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见附表5《工程总承包实施方案投标文件综合评分表》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trPr>
        <w:tc>
          <w:tcPr>
            <w:tcW w:w="464" w:type="pct"/>
            <w:vMerge w:val="continue"/>
            <w:tcBorders>
              <w:righ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872" w:type="pct"/>
            <w:vMerge w:val="continue"/>
            <w:tcBorders>
              <w:left w:val="single" w:color="auto" w:sz="4" w:space="0"/>
            </w:tcBorders>
            <w:vAlign w:val="center"/>
          </w:tcPr>
          <w:p>
            <w:pPr>
              <w:spacing w:line="360" w:lineRule="auto"/>
              <w:jc w:val="center"/>
              <w:rPr>
                <w:rFonts w:hint="eastAsia" w:ascii="宋体" w:hAnsi="宋体" w:eastAsia="宋体" w:cs="宋体"/>
                <w:color w:val="auto"/>
                <w:szCs w:val="21"/>
                <w:highlight w:val="none"/>
              </w:rPr>
            </w:pPr>
          </w:p>
        </w:tc>
        <w:tc>
          <w:tcPr>
            <w:tcW w:w="98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2672"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见附表6《施工费（建安工程费）投标报价综合评分表》</w:t>
            </w:r>
          </w:p>
        </w:tc>
      </w:tr>
    </w:tbl>
    <w:p>
      <w:pPr>
        <w:spacing w:line="360" w:lineRule="auto"/>
        <w:rPr>
          <w:rFonts w:hint="eastAsia" w:ascii="宋体" w:hAnsi="宋体" w:eastAsia="宋体" w:cs="宋体"/>
          <w:color w:val="auto"/>
          <w:szCs w:val="21"/>
          <w:highlight w:val="none"/>
        </w:rPr>
        <w:sectPr>
          <w:pgSz w:w="11907" w:h="16840"/>
          <w:pgMar w:top="1440" w:right="1080" w:bottom="1440" w:left="1080" w:header="851" w:footer="992" w:gutter="0"/>
          <w:cols w:space="720" w:num="1"/>
          <w:docGrid w:linePitch="312" w:charSpace="0"/>
        </w:sectPr>
      </w:pPr>
    </w:p>
    <w:p>
      <w:pPr>
        <w:pStyle w:val="5"/>
        <w:spacing w:before="100" w:after="100" w:line="360" w:lineRule="auto"/>
        <w:rPr>
          <w:rFonts w:hint="eastAsia" w:ascii="宋体" w:hAnsi="宋体" w:eastAsia="宋体" w:cs="宋体"/>
          <w:color w:val="auto"/>
          <w:sz w:val="21"/>
          <w:szCs w:val="21"/>
          <w:highlight w:val="none"/>
        </w:rPr>
      </w:pPr>
      <w:bookmarkStart w:id="232" w:name="_Toc480225661"/>
      <w:bookmarkStart w:id="233" w:name="_Toc505152700"/>
      <w:bookmarkStart w:id="234" w:name="_Toc18996"/>
      <w:bookmarkStart w:id="235" w:name="_Toc20733"/>
      <w:r>
        <w:rPr>
          <w:rFonts w:hint="eastAsia" w:ascii="宋体" w:hAnsi="宋体" w:eastAsia="宋体" w:cs="宋体"/>
          <w:color w:val="auto"/>
          <w:sz w:val="21"/>
          <w:szCs w:val="21"/>
          <w:highlight w:val="none"/>
        </w:rPr>
        <w:t>1. 评标方法</w:t>
      </w:r>
      <w:bookmarkEnd w:id="232"/>
      <w:bookmarkEnd w:id="233"/>
      <w:bookmarkEnd w:id="234"/>
      <w:bookmarkEnd w:id="23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本次评标采用综合评分法。评标委员会对满足招标文件实质性要求的投标文件，按照本章第2.2款规定的评分标准进行打分，并按得分由高到低顺序推荐中标候选人。但投标报价低于其成本的除外。</w:t>
      </w:r>
    </w:p>
    <w:p>
      <w:pPr>
        <w:spacing w:line="360" w:lineRule="auto"/>
        <w:ind w:firstLine="420" w:firstLineChars="200"/>
        <w:rPr>
          <w:rFonts w:hint="eastAsia" w:ascii="宋体" w:hAnsi="宋体" w:eastAsia="宋体" w:cs="宋体"/>
          <w:color w:val="auto"/>
          <w:szCs w:val="21"/>
          <w:highlight w:val="none"/>
        </w:rPr>
      </w:pPr>
    </w:p>
    <w:p>
      <w:pPr>
        <w:pStyle w:val="5"/>
        <w:spacing w:before="100" w:after="100" w:line="360" w:lineRule="auto"/>
        <w:rPr>
          <w:rFonts w:hint="eastAsia" w:ascii="宋体" w:hAnsi="宋体" w:eastAsia="宋体" w:cs="宋体"/>
          <w:color w:val="auto"/>
          <w:sz w:val="21"/>
          <w:szCs w:val="21"/>
          <w:highlight w:val="none"/>
        </w:rPr>
      </w:pPr>
      <w:bookmarkStart w:id="236" w:name="_Toc22485"/>
      <w:bookmarkStart w:id="237" w:name="_Toc30487"/>
      <w:bookmarkStart w:id="238" w:name="_Toc480225662"/>
      <w:bookmarkStart w:id="239" w:name="_Toc505152701"/>
      <w:r>
        <w:rPr>
          <w:rFonts w:hint="eastAsia" w:ascii="宋体" w:hAnsi="宋体" w:eastAsia="宋体" w:cs="宋体"/>
          <w:color w:val="auto"/>
          <w:sz w:val="21"/>
          <w:szCs w:val="21"/>
          <w:highlight w:val="none"/>
        </w:rPr>
        <w:t>2. 评审标准</w:t>
      </w:r>
      <w:bookmarkEnd w:id="236"/>
      <w:bookmarkEnd w:id="237"/>
      <w:bookmarkEnd w:id="238"/>
      <w:bookmarkEnd w:id="239"/>
    </w:p>
    <w:p>
      <w:pPr>
        <w:pStyle w:val="5"/>
        <w:spacing w:before="100" w:after="100" w:line="360" w:lineRule="auto"/>
        <w:rPr>
          <w:rFonts w:hint="eastAsia" w:ascii="宋体" w:hAnsi="宋体" w:eastAsia="宋体" w:cs="宋体"/>
          <w:color w:val="auto"/>
          <w:sz w:val="21"/>
          <w:szCs w:val="21"/>
          <w:highlight w:val="none"/>
        </w:rPr>
      </w:pPr>
      <w:bookmarkStart w:id="240" w:name="_Toc5780"/>
      <w:bookmarkStart w:id="241" w:name="_Toc505152702"/>
      <w:bookmarkStart w:id="242" w:name="_Toc480225663"/>
      <w:bookmarkStart w:id="243" w:name="_Toc9943"/>
      <w:r>
        <w:rPr>
          <w:rFonts w:hint="eastAsia" w:ascii="宋体" w:hAnsi="宋体" w:eastAsia="宋体" w:cs="宋体"/>
          <w:b w:val="0"/>
          <w:bCs w:val="0"/>
          <w:color w:val="auto"/>
          <w:sz w:val="21"/>
          <w:szCs w:val="21"/>
          <w:highlight w:val="none"/>
        </w:rPr>
        <w:t>2.1 初步评审标准</w:t>
      </w:r>
      <w:bookmarkEnd w:id="240"/>
      <w:bookmarkEnd w:id="241"/>
      <w:bookmarkEnd w:id="242"/>
      <w:bookmarkEnd w:id="243"/>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2.1.1 资格审查标准：见评标办法前附表。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2.1.2设计技术方案投标文件有效性审查标准：见评标办法前附表。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2.1.3工程总承包实施方案投标文件有效性审查标准：见评标办法前附表。</w:t>
      </w:r>
    </w:p>
    <w:p>
      <w:pPr>
        <w:pStyle w:val="6"/>
        <w:spacing w:before="100" w:after="100" w:line="360" w:lineRule="auto"/>
        <w:ind w:firstLine="0" w:firstLineChars="0"/>
        <w:rPr>
          <w:rFonts w:hint="eastAsia" w:ascii="宋体" w:hAnsi="宋体" w:eastAsia="宋体" w:cs="宋体"/>
          <w:bCs w:val="0"/>
          <w:color w:val="auto"/>
          <w:sz w:val="21"/>
          <w:szCs w:val="21"/>
          <w:highlight w:val="none"/>
        </w:rPr>
      </w:pPr>
      <w:bookmarkStart w:id="244" w:name="_Toc29138"/>
      <w:r>
        <w:rPr>
          <w:rFonts w:hint="eastAsia" w:ascii="宋体" w:hAnsi="宋体" w:eastAsia="宋体" w:cs="宋体"/>
          <w:bCs w:val="0"/>
          <w:color w:val="auto"/>
          <w:sz w:val="21"/>
          <w:szCs w:val="21"/>
          <w:highlight w:val="none"/>
        </w:rPr>
        <w:t>2.2 分值构成与评分标准</w:t>
      </w:r>
      <w:bookmarkEnd w:id="244"/>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2.2.1 分值构成及权重：见评标办法前附表。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2.2.2 评分标准</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（1）设计技术方案投标文件评分标准：见评标办法前附表。</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（2）工程总承包实施方案投标文件详细审查评分标准：见评标办法前附表。</w:t>
      </w:r>
    </w:p>
    <w:p>
      <w:pPr>
        <w:pStyle w:val="5"/>
        <w:spacing w:before="100" w:after="100" w:line="360" w:lineRule="auto"/>
        <w:rPr>
          <w:rFonts w:hint="eastAsia" w:ascii="宋体" w:hAnsi="宋体" w:eastAsia="宋体" w:cs="宋体"/>
          <w:color w:val="auto"/>
          <w:sz w:val="21"/>
          <w:szCs w:val="21"/>
          <w:highlight w:val="none"/>
        </w:rPr>
      </w:pPr>
      <w:bookmarkStart w:id="245" w:name="_Toc239"/>
      <w:bookmarkStart w:id="246" w:name="_Toc18887"/>
      <w:r>
        <w:rPr>
          <w:rFonts w:hint="eastAsia" w:ascii="宋体" w:hAnsi="宋体" w:eastAsia="宋体" w:cs="宋体"/>
          <w:color w:val="auto"/>
          <w:sz w:val="21"/>
          <w:szCs w:val="21"/>
          <w:highlight w:val="none"/>
        </w:rPr>
        <w:t>3. 评标程序</w:t>
      </w:r>
      <w:bookmarkEnd w:id="245"/>
      <w:bookmarkEnd w:id="246"/>
    </w:p>
    <w:p>
      <w:pPr>
        <w:spacing w:line="360" w:lineRule="auto"/>
        <w:ind w:firstLine="420" w:firstLineChars="200"/>
        <w:rPr>
          <w:rFonts w:hint="eastAsia" w:ascii="宋体" w:hAnsi="宋体" w:eastAsia="宋体" w:cs="宋体"/>
          <w:color w:val="auto"/>
          <w:szCs w:val="21"/>
          <w:highlight w:val="none"/>
        </w:rPr>
      </w:pPr>
      <w:bookmarkStart w:id="247" w:name="_Toc13417"/>
      <w:r>
        <w:rPr>
          <w:rFonts w:hint="eastAsia" w:ascii="宋体" w:hAnsi="宋体" w:eastAsia="宋体" w:cs="宋体"/>
          <w:color w:val="auto"/>
          <w:szCs w:val="21"/>
          <w:highlight w:val="none"/>
        </w:rPr>
        <w:t>本项目采取电子评标。投标文件设计方案由设计评审组负责，形式审查、资格审查（适用于资格后审项目）、工程总承包实施方案和投标报价的评审及评审汇总由施工评审组负责。</w:t>
      </w:r>
    </w:p>
    <w:p>
      <w:pPr>
        <w:pStyle w:val="6"/>
        <w:spacing w:before="100" w:after="100" w:line="360" w:lineRule="auto"/>
        <w:ind w:firstLine="10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3.1资格审查文件评审（由评标委员会施工评审组负责）</w:t>
      </w:r>
      <w:bookmarkEnd w:id="247"/>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资格审查文件中全部符合附表1《资格审查表》中情形的，为资格审查合格。否则为资格审查不合格，经评标委员会施工评审组认定后，其资格审查文件将被拒绝。如评标委员会施工评审组成员的评审意见不一致时，应先公开要求投标人进行澄清，并记录及由评标委员会施工评审组、作出澄清的投标人签字确认，以评标委员会施工评审组过半数成员的意见作为评标委员会施工评审组对该情形的认定结论。只有通过资格审查的投标人方可进入下一阶段的评审</w:t>
      </w:r>
      <w:r>
        <w:rPr>
          <w:rFonts w:hint="eastAsia" w:ascii="宋体" w:hAnsi="宋体" w:eastAsia="宋体" w:cs="宋体"/>
          <w:b/>
          <w:color w:val="auto"/>
          <w:szCs w:val="21"/>
          <w:highlight w:val="none"/>
          <w:u w:val="singl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（2）汇总资格审查情况，编写资格审查报告。</w:t>
      </w:r>
    </w:p>
    <w:p>
      <w:pPr>
        <w:pStyle w:val="53"/>
        <w:tabs>
          <w:tab w:val="left" w:pos="7380"/>
        </w:tabs>
        <w:spacing w:line="360" w:lineRule="auto"/>
        <w:ind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特别声明：资审合格后，投标人的资格发生变化而不满足投标人合格条件，在发出中标通知书前，资格问题仍未解决的，招标人将取消其中标资格。</w:t>
      </w:r>
    </w:p>
    <w:p>
      <w:pPr>
        <w:pStyle w:val="6"/>
        <w:spacing w:before="100" w:after="100" w:line="360" w:lineRule="auto"/>
        <w:ind w:firstLine="103"/>
        <w:rPr>
          <w:rFonts w:hint="eastAsia" w:ascii="宋体" w:hAnsi="宋体" w:eastAsia="宋体" w:cs="宋体"/>
          <w:bCs w:val="0"/>
          <w:color w:val="auto"/>
          <w:sz w:val="21"/>
          <w:szCs w:val="21"/>
          <w:highlight w:val="none"/>
          <w:u w:val="single"/>
        </w:rPr>
      </w:pPr>
      <w:bookmarkStart w:id="248" w:name="_Toc1397"/>
      <w:r>
        <w:rPr>
          <w:rFonts w:hint="eastAsia" w:ascii="宋体" w:hAnsi="宋体" w:eastAsia="宋体" w:cs="宋体"/>
          <w:bCs w:val="0"/>
          <w:color w:val="auto"/>
          <w:sz w:val="21"/>
          <w:szCs w:val="21"/>
          <w:highlight w:val="none"/>
          <w:u w:val="single"/>
        </w:rPr>
        <w:t>3.2设计部分评审（由评标委员会设计评审组负责）</w:t>
      </w:r>
      <w:bookmarkEnd w:id="248"/>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设计组评委进行设计文件有效性审查，投标文件中没有任一种列于本办法附表2《设计技术方案投标文件有效性审查表》中情形的，为有效标书。否则为无效标书，经评标委员会认定后，其投标文件将被拒绝。如评标委员会成员的评审意见不一致时，以评标委员会过半数成员的意见作为评标委员会对该情形的认定结论。</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2）设计标投标文件详细审查评分：评标委员会按照本办法附表4《设计技术方案投标文件综合评分表》的标准，对通过有效性审查的投标文件进行详细审查评分，评出设计部分得分，投标人的得分为各评委评分去掉一个最高分和最低分后的算术平均值（若分数出现小数点时，保留小数点后二位，第三位小数四舍五入）； </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（3）揭晓投标人身份，公布设计文件评审结果，未通过有效性审查的，不得进入下一阶段评审及得分汇总。</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（4）设计部分投标文件评分汇总：将各专家的评分汇总，计算各有效设计文件的总得分，精确到小数点后两位。</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（5）设计组评标委员会编写、签署评标报告。评标报告由评标委员会全体成员签字，对评标结论持有异议的评标委员会成员可以书面方式阐述其不同意见和理由。</w:t>
      </w:r>
    </w:p>
    <w:p>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（6）设计组评标委员会向招标人提交书面评标报告后即告解散，评标过程中使用的文件、表格以及其他资料应当即时归还招标人（招标代理机构）。</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49" w:name="_Toc26154"/>
      <w:r>
        <w:rPr>
          <w:rFonts w:hint="eastAsia" w:ascii="宋体" w:hAnsi="宋体" w:eastAsia="宋体" w:cs="宋体"/>
          <w:bCs w:val="0"/>
          <w:color w:val="auto"/>
          <w:sz w:val="21"/>
          <w:szCs w:val="21"/>
          <w:highlight w:val="none"/>
        </w:rPr>
        <w:t>3.3工程总承包实施方案投标文件部分评审（由评标委员会施工评审组负责）</w:t>
      </w:r>
      <w:bookmarkEnd w:id="249"/>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3.3.1 </w:t>
      </w:r>
      <w:r>
        <w:rPr>
          <w:rFonts w:hint="eastAsia" w:ascii="宋体" w:hAnsi="宋体" w:eastAsia="宋体" w:cs="宋体"/>
          <w:color w:val="auto"/>
          <w:szCs w:val="21"/>
          <w:highlight w:val="none"/>
          <w:u w:val="single"/>
        </w:rPr>
        <w:t>工程总承包实施方案投标文件的有效性审查：投标文件中没有任一种列于本办法附表3《工程总承包实施方案投标文件有效性审查表》中情形的，为有效标书。否则为无效标书，经施工组评标委员会认定后，其投标文件将被拒绝。如施工组评标委员会成员的评审意见不一致时，以施工组评标委员会过半数成员的意见作为评标委员会对该情形的认定结论。未通过有效性审查的，不得进入下一阶段评审。</w:t>
      </w:r>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评标委员会专家按附表5《工程总承包实施方案投标文件综合评分表》对通过实施方案投标文件有效性审查表的投标文件进行综合评分。</w:t>
      </w:r>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计算各投标人的工程总承包实施方案投标文件部分得分（满分100分）（若分数出现小数点时，保留小数点后二位，第三位小数四舍五入）。</w:t>
      </w:r>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施工标评标委员会编写、签署评标报告。评标报告由评标委员会全体成员签字，对评标结论持有异议的评标委员会成员可以书面方式阐述其不同意见和理由。</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50" w:name="_Toc29804"/>
      <w:r>
        <w:rPr>
          <w:rFonts w:hint="eastAsia" w:ascii="宋体" w:hAnsi="宋体" w:eastAsia="宋体" w:cs="宋体"/>
          <w:bCs w:val="0"/>
          <w:color w:val="auto"/>
          <w:sz w:val="21"/>
          <w:szCs w:val="21"/>
          <w:highlight w:val="none"/>
        </w:rPr>
        <w:t>3.4</w:t>
      </w:r>
      <w:r>
        <w:rPr>
          <w:rFonts w:hint="eastAsia" w:ascii="宋体" w:hAnsi="宋体" w:eastAsia="宋体" w:cs="宋体"/>
          <w:color w:val="auto"/>
          <w:sz w:val="21"/>
          <w:szCs w:val="21"/>
          <w:highlight w:val="none"/>
        </w:rPr>
        <w:t>投标报价评</w:t>
      </w:r>
      <w:r>
        <w:rPr>
          <w:rFonts w:hint="eastAsia" w:ascii="宋体" w:hAnsi="宋体" w:eastAsia="宋体" w:cs="宋体"/>
          <w:bCs w:val="0"/>
          <w:color w:val="auto"/>
          <w:sz w:val="21"/>
          <w:szCs w:val="21"/>
          <w:highlight w:val="none"/>
        </w:rPr>
        <w:t>审（由评标委员会施工评审组负责）</w:t>
      </w:r>
      <w:bookmarkEnd w:id="250"/>
    </w:p>
    <w:p>
      <w:pPr>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评标委员会施工评审组对通过工程总承包实施方案投标文件有效性审查表的投标人进行经济部分评审。</w:t>
      </w:r>
    </w:p>
    <w:p>
      <w:pPr>
        <w:snapToGrid w:val="0"/>
        <w:spacing w:line="360" w:lineRule="auto"/>
        <w:ind w:firstLine="457" w:firstLineChars="218"/>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投标报价的算术校核。评标委员会</w:t>
      </w:r>
      <w:r>
        <w:rPr>
          <w:rFonts w:hint="eastAsia" w:ascii="宋体" w:hAnsi="宋体" w:eastAsia="宋体" w:cs="宋体"/>
          <w:bCs/>
          <w:color w:val="auto"/>
          <w:szCs w:val="21"/>
          <w:highlight w:val="none"/>
        </w:rPr>
        <w:t>施工评审组</w:t>
      </w:r>
      <w:r>
        <w:rPr>
          <w:rFonts w:hint="eastAsia" w:ascii="宋体" w:hAnsi="宋体" w:eastAsia="宋体" w:cs="宋体"/>
          <w:color w:val="auto"/>
          <w:szCs w:val="21"/>
          <w:highlight w:val="none"/>
        </w:rPr>
        <w:t>对通过工程总承包</w:t>
      </w:r>
      <w:r>
        <w:rPr>
          <w:rFonts w:hint="eastAsia" w:ascii="宋体" w:hAnsi="宋体" w:eastAsia="宋体" w:cs="宋体"/>
          <w:color w:val="auto"/>
          <w:szCs w:val="21"/>
          <w:highlight w:val="none"/>
          <w:u w:val="single"/>
        </w:rPr>
        <w:t>实施方案投标文件有效性审查</w:t>
      </w:r>
      <w:r>
        <w:rPr>
          <w:rFonts w:hint="eastAsia" w:ascii="宋体" w:hAnsi="宋体" w:eastAsia="宋体" w:cs="宋体"/>
          <w:color w:val="auto"/>
          <w:szCs w:val="21"/>
          <w:highlight w:val="none"/>
        </w:rPr>
        <w:t>的投标文件投标报进行算术校核，具体标准如下：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（1）如果数字表示的金额和用文字表示的金额不一致时，应以文字表示的金额为准（有以下算术性错误需要修正的除外）；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（2）如果费率与施工部分限价乘积不等于合价时，以费率为准修正合价（费率有明显的数量级错误的除外，此时应修正费率）；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（3）如果分项报价累加不等总价的，以分项报价累加为准，修正总价；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投标文件存在其他计算性错误的，按正确的方法计算并修正；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（5）按上述修正错误的原则及方法调整或修正投标文件的投标报价，调整后的投标报价对投标人起约束作用。如果投标人不接受修正后的报价，则取消其投标资格，并且其投标担保也将被没收。</w:t>
      </w:r>
    </w:p>
    <w:p>
      <w:pPr>
        <w:snapToGrid w:val="0"/>
        <w:spacing w:line="360" w:lineRule="auto"/>
        <w:ind w:firstLine="457" w:firstLineChars="218"/>
        <w:rPr>
          <w:rFonts w:hint="eastAsia" w:ascii="宋体" w:hAnsi="宋体" w:eastAsia="宋体" w:cs="宋体"/>
          <w:color w:val="auto"/>
          <w:szCs w:val="21"/>
          <w:highlight w:val="none"/>
        </w:rPr>
      </w:pPr>
      <w:bookmarkStart w:id="251" w:name="_Toc29875"/>
      <w:r>
        <w:rPr>
          <w:rFonts w:hint="eastAsia" w:ascii="宋体" w:hAnsi="宋体" w:eastAsia="宋体" w:cs="宋体"/>
          <w:color w:val="auto"/>
          <w:szCs w:val="21"/>
          <w:highlight w:val="none"/>
        </w:rPr>
        <w:t>3.4.2 投标报价评分</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1 \* GB3</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①</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确定评标参考价：投标报价评审以通过工程总承包实施方案投标文件有效性审查且施工部分投标报价位于[施工部分最高投标限价×97%，施工部分最高投标限价]区间的投标人超过5家时，在经算术校核的位于[施工部分最高投标限价×97%，施工部分最高投标限价]区间的投标人的施工部分投标报价中，去掉一个最高价和一个最低价后，剩余报价的算术平均值为评标参考价；通过投标文件有效性审查且施工部分投标报价位于[施工部分最高投标限价×97%，施工部分最高投标限价]区间的投标人少于5家（含5家）时，在经算术校核后位于[施工部分最高投标限价×97%，施工部分最高投标限价]区间的投标人的施工部分投标报价的算术平均值为评标参考价。若没有投标总报价位于[施工部分最高投标限价×97%，施工部分最高投标限价]区间，则由招标人依法重新招标；</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2 \* GB3</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②</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计算施工费投标报价得分：当施工费投标报价等于评标参考价时得100分，施工费投标报价每高于评标参考价1%，扣0.5分，每低于评标参考价1%，扣0.3分，最多扣100分，得出的施工费投标报价得分作为投标报价得分，精确到小数点后两位。</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3.4.4 投标报价评分中的投标报价特指工程施工费投标报价，不包含设计费。</w:t>
      </w:r>
    </w:p>
    <w:p>
      <w:pPr>
        <w:pStyle w:val="6"/>
        <w:spacing w:before="100" w:after="100" w:line="360" w:lineRule="auto"/>
        <w:ind w:firstLine="103"/>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3.5评审汇总（由评标委员会施工评审组负责）</w:t>
      </w:r>
      <w:bookmarkEnd w:id="251"/>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 投标人总得分满分为100分，总得分权重分配见</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rPr>
        <w:t>评标办法前附表。</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3.5.2评标委员会按照“</w:t>
      </w:r>
      <w:r>
        <w:rPr>
          <w:rFonts w:hint="eastAsia" w:ascii="宋体" w:hAnsi="宋体" w:eastAsia="宋体" w:cs="宋体"/>
          <w:color w:val="auto"/>
          <w:szCs w:val="21"/>
          <w:highlight w:val="none"/>
          <w:u w:val="single"/>
        </w:rPr>
        <w:t>投标人总得分（满分100分）=设计方案部分得分×设计总权重（30%）+实施方案部分得分×实施方案部分得分权重（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%）+投标报价得分×投标报价得分权重（</w:t>
      </w:r>
      <w:r>
        <w:rPr>
          <w:rFonts w:hint="eastAsia" w:ascii="宋体" w:hAnsi="宋体" w:eastAsia="宋体" w:cs="宋体"/>
          <w:color w:val="auto"/>
          <w:szCs w:val="21"/>
          <w:highlight w:val="none"/>
          <w:u w:val="single"/>
          <w:lang w:val="en-US" w:eastAsia="zh-CN"/>
        </w:rPr>
        <w:t>35</w:t>
      </w:r>
      <w:r>
        <w:rPr>
          <w:rFonts w:hint="eastAsia" w:ascii="宋体" w:hAnsi="宋体" w:eastAsia="宋体" w:cs="宋体"/>
          <w:color w:val="auto"/>
          <w:szCs w:val="21"/>
          <w:highlight w:val="none"/>
          <w:u w:val="single"/>
        </w:rPr>
        <w:t>%）其中：实施方案部分得分=资信部分得分（36分）+实施方案技术部分得分（64分）”</w:t>
      </w:r>
      <w:r>
        <w:rPr>
          <w:rFonts w:hint="eastAsia" w:ascii="宋体" w:hAnsi="宋体" w:eastAsia="宋体" w:cs="宋体"/>
          <w:bCs/>
          <w:color w:val="auto"/>
          <w:szCs w:val="21"/>
          <w:highlight w:val="none"/>
          <w:u w:val="single"/>
        </w:rPr>
        <w:t>公式，计算各有效投标文件的总分，并按照总分从高到低排列先后次序。总分相同的，以实施方案部分得分高的排前；如仍存在相同情况，则对具有相同情况的投标人，按中标候选人数量规定，由评标委员会确定中标候选人的排序。评标委员会应按排序先后，在招标文件有效的投标人中，向招标人推荐前3名投标人依次为第一中标候选人至第三中标候选人，并编写评标报告。</w:t>
      </w:r>
    </w:p>
    <w:p>
      <w:pPr>
        <w:snapToGrid w:val="0"/>
        <w:spacing w:line="360" w:lineRule="auto"/>
        <w:ind w:firstLine="457" w:firstLineChars="218"/>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3.5.3同时通过资格审查、设计技术方案投标文件有效性审查、</w:t>
      </w:r>
      <w:r>
        <w:rPr>
          <w:rFonts w:hint="eastAsia" w:ascii="宋体" w:hAnsi="宋体" w:eastAsia="宋体" w:cs="宋体"/>
          <w:color w:val="auto"/>
          <w:szCs w:val="21"/>
          <w:highlight w:val="none"/>
          <w:u w:val="single"/>
        </w:rPr>
        <w:t>工程总承包实施方案投标文件</w:t>
      </w:r>
      <w:r>
        <w:rPr>
          <w:rFonts w:hint="eastAsia" w:ascii="宋体" w:hAnsi="宋体" w:eastAsia="宋体" w:cs="宋体"/>
          <w:bCs/>
          <w:color w:val="auto"/>
          <w:szCs w:val="21"/>
          <w:highlight w:val="none"/>
          <w:u w:val="single"/>
        </w:rPr>
        <w:t>有效性审查的投标人才参与投标人总得分汇总。</w:t>
      </w:r>
    </w:p>
    <w:p>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3.5.4满足资格审查合格条件的投标人不足3名、或经评审有效的投标人不足3名时为招标失败，应当依法重新招标。</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52" w:name="_Toc32298"/>
      <w:r>
        <w:rPr>
          <w:rFonts w:hint="eastAsia" w:ascii="宋体" w:hAnsi="宋体" w:eastAsia="宋体" w:cs="宋体"/>
          <w:bCs w:val="0"/>
          <w:color w:val="auto"/>
          <w:sz w:val="21"/>
          <w:szCs w:val="21"/>
          <w:highlight w:val="none"/>
        </w:rPr>
        <w:t>3.6投标文件的澄清和补正</w:t>
      </w:r>
      <w:bookmarkEnd w:id="252"/>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3.6.1 为有助于投标文件的审查、评价和比较，评标期间，经评标委员会中超过两人（含两人）的成员以书面形式提出动议，评标委员会应当书面发出澄清通知，要求投标人对投标文件含义不明确的内容作出澄清。</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3.6.3 评标委员会成员均应当阅读投标人的澄清，但应独立参考澄清对投标文件进行评审。</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3.6.4 如果投标文件实质上不响应招标文件的各项要求，评标委员会相应评审将按照有效性审查标准予以拒绝，不接受投标人通过修改或撤销其不符合要求的差异或保留，使之成为具有响应性的投标。</w:t>
      </w:r>
    </w:p>
    <w:p>
      <w:pPr>
        <w:pStyle w:val="6"/>
        <w:spacing w:before="100" w:after="100" w:line="360" w:lineRule="auto"/>
        <w:ind w:firstLine="103"/>
        <w:rPr>
          <w:rFonts w:hint="eastAsia" w:ascii="宋体" w:hAnsi="宋体" w:eastAsia="宋体" w:cs="宋体"/>
          <w:bCs w:val="0"/>
          <w:color w:val="auto"/>
          <w:sz w:val="21"/>
          <w:szCs w:val="21"/>
          <w:highlight w:val="none"/>
        </w:rPr>
      </w:pPr>
      <w:bookmarkStart w:id="253" w:name="_Toc24722"/>
      <w:r>
        <w:rPr>
          <w:rFonts w:hint="eastAsia" w:ascii="宋体" w:hAnsi="宋体" w:eastAsia="宋体" w:cs="宋体"/>
          <w:bCs w:val="0"/>
          <w:color w:val="auto"/>
          <w:sz w:val="21"/>
          <w:szCs w:val="21"/>
          <w:highlight w:val="none"/>
        </w:rPr>
        <w:t>3.7评标结果</w:t>
      </w:r>
      <w:bookmarkEnd w:id="25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 除第二章“投标人须知”前附表授权直接确定中标人外，评标委员会按照得分由高到低的顺序推荐中标候选人。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评标委员会完成评标后，应当向招标人提交书面评标报告。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pPr>
        <w:spacing w:line="360" w:lineRule="auto"/>
        <w:ind w:firstLine="420" w:firstLineChars="200"/>
        <w:rPr>
          <w:rFonts w:hint="eastAsia" w:ascii="宋体" w:hAnsi="宋体" w:eastAsia="宋体" w:cs="宋体"/>
          <w:color w:val="auto"/>
          <w:szCs w:val="21"/>
          <w:highlight w:val="none"/>
          <w:u w:val="single"/>
        </w:rPr>
      </w:pPr>
    </w:p>
    <w:p>
      <w:pPr>
        <w:pStyle w:val="5"/>
        <w:spacing w:before="100" w:after="100" w:line="360" w:lineRule="auto"/>
        <w:rPr>
          <w:rFonts w:hint="eastAsia" w:ascii="宋体" w:hAnsi="宋体" w:eastAsia="宋体" w:cs="宋体"/>
          <w:color w:val="auto"/>
          <w:sz w:val="21"/>
          <w:szCs w:val="21"/>
          <w:highlight w:val="none"/>
        </w:rPr>
      </w:pPr>
      <w:bookmarkStart w:id="254" w:name="_Toc443505840"/>
      <w:bookmarkStart w:id="255" w:name="_Toc11480"/>
      <w:bookmarkStart w:id="256" w:name="_Toc9187"/>
      <w:r>
        <w:rPr>
          <w:rFonts w:hint="eastAsia" w:ascii="宋体" w:hAnsi="宋体" w:eastAsia="宋体" w:cs="宋体"/>
          <w:color w:val="auto"/>
          <w:sz w:val="21"/>
          <w:szCs w:val="21"/>
          <w:highlight w:val="none"/>
        </w:rPr>
        <w:t>4. 评标表格</w:t>
      </w:r>
      <w:bookmarkEnd w:id="254"/>
      <w:bookmarkEnd w:id="255"/>
      <w:bookmarkEnd w:id="25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见后附。</w:t>
      </w:r>
    </w:p>
    <w:p>
      <w:pPr>
        <w:spacing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8"/>
          <w:szCs w:val="28"/>
          <w:highlight w:val="none"/>
        </w:rPr>
        <w:t>附表1:</w:t>
      </w:r>
    </w:p>
    <w:p>
      <w:pPr>
        <w:widowControl/>
        <w:shd w:val="clear" w:color="auto" w:fill="FFFFFF"/>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资格审查表</w:t>
      </w: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3084"/>
        <w:gridCol w:w="6023"/>
        <w:gridCol w:w="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审查项目</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须审查的资料</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投标人参加投标的意思表达清楚，投标人代表被授权有效</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法定代表人证明书；委托投标的还应提供法人授权委托证明书</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投标人（联合体各方）均具有独立法人资格，持有工商行政管理部门核发的法人营业执照，按国家法律经营</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营业执照在广州公共资源交易中心企业库内上传件；如为联合体，则为联合体主办方营业执照在库内上传件，以及设计单位企业营业执照原件扫描件。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投标人（联合体各方）企业资质证书符合招标公告要求</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资质证书在广州公共资源交易中心企业库内上传件；如为联合体，则为联合体主办方资质证书在库内上传件，以及设计单位企业资质证书原件扫描件。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投标人（若为联合体投标，指承担施工任务的单位）持有建设行政主管部门颁发的安全生产许可证；</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安全生产许可证在广州公共资源交易中心企业库内上传件。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5</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投标人拟担任本工程项目负责人及设计负责人符合招标公告要求</w:t>
            </w:r>
            <w:r>
              <w:rPr>
                <w:rFonts w:hint="eastAsia" w:ascii="宋体" w:hAnsi="宋体" w:eastAsia="宋体" w:cs="宋体"/>
                <w:color w:val="auto"/>
                <w:kern w:val="0"/>
                <w:sz w:val="18"/>
                <w:szCs w:val="18"/>
                <w:highlight w:val="none"/>
              </w:rPr>
              <w:t>，设计负责人、项目负责人、技术负责人及项目专职安全员不能为同一人。</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项目负责人：信息取自广州公共资源交易中心企业库，同时提供相关上传件</w:t>
            </w:r>
            <w:r>
              <w:rPr>
                <w:rFonts w:hint="eastAsia" w:ascii="宋体" w:hAnsi="宋体" w:cs="宋体"/>
                <w:color w:val="auto"/>
                <w:sz w:val="18"/>
                <w:szCs w:val="18"/>
                <w:highlight w:val="none"/>
                <w:lang w:val="en-US" w:eastAsia="zh-CN"/>
              </w:rPr>
              <w:t>或</w:t>
            </w:r>
            <w:r>
              <w:rPr>
                <w:rFonts w:hint="eastAsia" w:ascii="宋体" w:hAnsi="宋体" w:eastAsia="宋体" w:cs="宋体"/>
                <w:color w:val="auto"/>
                <w:sz w:val="18"/>
                <w:szCs w:val="18"/>
                <w:highlight w:val="none"/>
              </w:rPr>
              <w:t>打印页；如为联合体投标，则由联合体的施工方提供。</w:t>
            </w:r>
          </w:p>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设计负责人：提供相应证书扫描件；如为联合体投标，则由联合体的设计方提供。</w:t>
            </w:r>
          </w:p>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技术负责人：提供相应证书扫描件；如为联合体投标，则由联合体的施工方提供。</w:t>
            </w:r>
          </w:p>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专职安全员：提供相应证书扫描件；如为联合体投标，则由联合体的施工方提供。</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6</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投标人（联合体主办方）拟担任本工程项目负责人须持有在有效期内的安全生产考核合格证（B类），或能够提供广东省建筑施工企业管理人员安全生产考核信息系统安全生产管理人员证书信息的打印页。</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项目负责人的安全生产考核合格证（B类）或建筑施工企业项目负责人安全生产考核合格证在广州公共资源交易中心企业库内上传件。</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7</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投标人（联合体主办方）拟担任本工程专职安全人员须持有在有效期内的安全生产考核合格证书（C类）或能够提供广东省建筑施工企业管理人员安全生产考核信息系统安全生产管理人员证书信息的打印页。</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专职安全员的安全生产考核合格证（C类）或建筑施工企业专职安全生产管理人员安全生产考核合格证书在广州公共资源交易中心企业库内上传件。</w:t>
            </w:r>
            <w:r>
              <w:rPr>
                <w:rFonts w:hint="eastAsia" w:ascii="宋体" w:hAnsi="宋体" w:eastAsia="宋体" w:cs="宋体"/>
                <w:color w:val="auto"/>
                <w:kern w:val="0"/>
                <w:sz w:val="18"/>
                <w:szCs w:val="18"/>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8</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napToGrid w:val="0"/>
              <w:spacing w:before="48" w:beforeLines="20" w:after="48" w:afterLines="2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投标人已按照招标公告附件二的内容签署盖章的投标人声明。</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48" w:beforeLines="20" w:after="48" w:afterLines="2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投标申请人声明</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9</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联合体投标的是否提交联合体投标协议书，联合体组成符合招标公告要求</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提供联合体投标协议书</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308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登记前，投标人（若为联合体投标，指联合体各方）须在广州公共资源交易中心企业库办理企业信息登记及拟担任本工程项目负责人、专职安全员、技术负责人及设计负责人须是本企业登记信息中的在册人员（若为联合体投标，企业信息和人员在册情况为《联合体投标协议书》分工对应企业库内登记信息）。</w:t>
            </w:r>
          </w:p>
        </w:tc>
        <w:tc>
          <w:tcPr>
            <w:tcW w:w="6021"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投标人（含联合体各方）在广州公共资源交易中心企业库内的相关信息。</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11</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投标人未出现以下情形：与其它投标人的单位负责人为同一人或者存在控股、管理关系的</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按投标人提供的《投标申请人声明》内容进行评审</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宋体" w:hAnsi="宋体" w:eastAsia="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12</w:t>
            </w:r>
          </w:p>
        </w:tc>
        <w:tc>
          <w:tcPr>
            <w:tcW w:w="1548"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本工程不接受被列入广州开发区不良记录名单（有效期内）的单位或个人（指项目负责人）投标。</w:t>
            </w:r>
          </w:p>
        </w:tc>
        <w:tc>
          <w:tcPr>
            <w:tcW w:w="3024"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资格审查时查询</w:t>
            </w:r>
            <w:r>
              <w:rPr>
                <w:rFonts w:hint="eastAsia" w:ascii="宋体" w:hAnsi="宋体" w:eastAsia="宋体" w:cs="宋体"/>
                <w:color w:val="auto"/>
                <w:sz w:val="18"/>
                <w:szCs w:val="18"/>
                <w:highlight w:val="none"/>
                <w:shd w:val="clear" w:color="auto" w:fill="FFFFFF"/>
              </w:rPr>
              <w:t>广州市黄埔区人民政府、广州开发区管委会网站的区住房城乡建设局（广州开发区建设和交通局）网页“建筑活动不良行为记录”栏目（网址：http://www.hp.gov.cn/gzjg/qzfgwhgzbm/qzfhcxjsj10/jzhdblxwjl/）公布名单为准。若资格审查时网址有变化，以最新网址为准。</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left"/>
              <w:rPr>
                <w:rFonts w:hint="eastAsia" w:ascii="宋体" w:hAnsi="宋体" w:eastAsia="宋体" w:cs="宋体"/>
                <w:color w:val="auto"/>
                <w:kern w:val="0"/>
                <w:sz w:val="18"/>
                <w:szCs w:val="18"/>
                <w:highlight w:val="none"/>
              </w:rPr>
            </w:pPr>
          </w:p>
        </w:tc>
      </w:tr>
    </w:tbl>
    <w:p>
      <w:pPr>
        <w:widowControl/>
        <w:shd w:val="clear" w:color="auto" w:fill="FFFFFF"/>
        <w:spacing w:line="360" w:lineRule="auto"/>
        <w:jc w:val="left"/>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备注：1.凡出现以上任何一项不符合的情形，结论均为无效，否则就为有效。有效的记“○”无效的记“×”，全部审查项目均为有效的，结论为“通过”，否则为“不通过”。</w:t>
      </w:r>
    </w:p>
    <w:p>
      <w:pPr>
        <w:widowControl/>
        <w:shd w:val="clear" w:color="auto" w:fill="FFFFFF"/>
        <w:spacing w:line="360" w:lineRule="auto"/>
        <w:jc w:val="left"/>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rPr>
        <w:t>2.如对本表中某种情形的评审意见不一致时，以评标委员会过半数成员的意见作为评标委员会对该情形的认定结论。</w:t>
      </w:r>
    </w:p>
    <w:p>
      <w:pPr>
        <w:widowControl/>
        <w:shd w:val="clear" w:color="auto" w:fill="FFFFFF"/>
        <w:spacing w:line="360" w:lineRule="auto"/>
        <w:jc w:val="left"/>
        <w:rPr>
          <w:rFonts w:hint="eastAsia" w:ascii="宋体" w:hAnsi="宋体" w:eastAsia="宋体" w:cs="宋体"/>
          <w:color w:val="auto"/>
          <w:sz w:val="18"/>
          <w:szCs w:val="18"/>
          <w:highlight w:val="none"/>
        </w:rPr>
        <w:sectPr>
          <w:pgSz w:w="11907" w:h="16840"/>
          <w:pgMar w:top="1440" w:right="1080" w:bottom="1440" w:left="1080" w:header="851" w:footer="992" w:gutter="0"/>
          <w:cols w:space="720" w:num="1"/>
          <w:docGrid w:linePitch="312" w:charSpace="0"/>
        </w:sectPr>
      </w:pPr>
      <w:r>
        <w:rPr>
          <w:rFonts w:hint="eastAsia" w:ascii="宋体" w:hAnsi="宋体" w:eastAsia="宋体" w:cs="宋体"/>
          <w:color w:val="auto"/>
          <w:kern w:val="0"/>
          <w:sz w:val="18"/>
          <w:szCs w:val="18"/>
          <w:highlight w:val="none"/>
        </w:rPr>
        <w:t xml:space="preserve">评委签名：                      日期：    </w:t>
      </w: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附表2：</w:t>
      </w:r>
    </w:p>
    <w:p>
      <w:pPr>
        <w:spacing w:line="360" w:lineRule="auto"/>
        <w:jc w:val="left"/>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设计技术方案投标文件有效性审查表</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bl>
      <w:tblPr>
        <w:tblStyle w:val="5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457"/>
        <w:gridCol w:w="1078"/>
        <w:gridCol w:w="1078"/>
        <w:gridCol w:w="1078"/>
        <w:gridCol w:w="107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22" w:type="pct"/>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503" w:type="pct"/>
            <w:tcBorders>
              <w:tl2br w:val="single" w:color="auto" w:sz="4" w:space="0"/>
            </w:tcBorders>
            <w:vAlign w:val="center"/>
          </w:tcPr>
          <w:p>
            <w:pPr>
              <w:wordWrap w:val="0"/>
              <w:spacing w:line="360" w:lineRule="auto"/>
              <w:ind w:left="552" w:leftChars="263" w:firstLine="1265" w:firstLineChars="600"/>
              <w:jc w:val="righ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方案编号  </w:t>
            </w:r>
          </w:p>
          <w:p>
            <w:pPr>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审查项目</w:t>
            </w:r>
          </w:p>
        </w:tc>
        <w:tc>
          <w:tcPr>
            <w:tcW w:w="362" w:type="pct"/>
          </w:tcPr>
          <w:p>
            <w:pPr>
              <w:spacing w:line="360" w:lineRule="auto"/>
              <w:ind w:left="552" w:hanging="73"/>
              <w:rPr>
                <w:rFonts w:hint="eastAsia" w:ascii="宋体" w:hAnsi="宋体" w:eastAsia="宋体" w:cs="宋体"/>
                <w:b/>
                <w:bCs/>
                <w:color w:val="auto"/>
                <w:szCs w:val="21"/>
                <w:highlight w:val="none"/>
              </w:rPr>
            </w:pPr>
          </w:p>
        </w:tc>
        <w:tc>
          <w:tcPr>
            <w:tcW w:w="362" w:type="pct"/>
          </w:tcPr>
          <w:p>
            <w:pPr>
              <w:spacing w:line="360" w:lineRule="auto"/>
              <w:ind w:left="552" w:hanging="73"/>
              <w:rPr>
                <w:rFonts w:hint="eastAsia" w:ascii="宋体" w:hAnsi="宋体" w:eastAsia="宋体" w:cs="宋体"/>
                <w:b/>
                <w:bCs/>
                <w:color w:val="auto"/>
                <w:szCs w:val="21"/>
                <w:highlight w:val="none"/>
              </w:rPr>
            </w:pPr>
          </w:p>
        </w:tc>
        <w:tc>
          <w:tcPr>
            <w:tcW w:w="362" w:type="pct"/>
          </w:tcPr>
          <w:p>
            <w:pPr>
              <w:spacing w:line="360" w:lineRule="auto"/>
              <w:ind w:left="552" w:hanging="73"/>
              <w:rPr>
                <w:rFonts w:hint="eastAsia" w:ascii="宋体" w:hAnsi="宋体" w:eastAsia="宋体" w:cs="宋体"/>
                <w:b/>
                <w:bCs/>
                <w:color w:val="auto"/>
                <w:szCs w:val="21"/>
                <w:highlight w:val="none"/>
              </w:rPr>
            </w:pPr>
          </w:p>
        </w:tc>
        <w:tc>
          <w:tcPr>
            <w:tcW w:w="362" w:type="pct"/>
          </w:tcPr>
          <w:p>
            <w:pPr>
              <w:spacing w:line="360" w:lineRule="auto"/>
              <w:ind w:left="552" w:hanging="73"/>
              <w:rPr>
                <w:rFonts w:hint="eastAsia" w:ascii="宋体" w:hAnsi="宋体" w:eastAsia="宋体" w:cs="宋体"/>
                <w:b/>
                <w:bCs/>
                <w:color w:val="auto"/>
                <w:szCs w:val="21"/>
                <w:highlight w:val="none"/>
              </w:rPr>
            </w:pPr>
          </w:p>
        </w:tc>
        <w:tc>
          <w:tcPr>
            <w:tcW w:w="362" w:type="pct"/>
          </w:tcPr>
          <w:p>
            <w:pPr>
              <w:spacing w:line="360" w:lineRule="auto"/>
              <w:ind w:left="552" w:hanging="73"/>
              <w:rPr>
                <w:rFonts w:hint="eastAsia" w:ascii="宋体" w:hAnsi="宋体" w:eastAsia="宋体" w:cs="宋体"/>
                <w:b/>
                <w:bCs/>
                <w:color w:val="auto"/>
                <w:szCs w:val="21"/>
                <w:highlight w:val="none"/>
              </w:rPr>
            </w:pPr>
          </w:p>
        </w:tc>
        <w:tc>
          <w:tcPr>
            <w:tcW w:w="362" w:type="pct"/>
          </w:tcPr>
          <w:p>
            <w:pPr>
              <w:spacing w:line="360" w:lineRule="auto"/>
              <w:ind w:left="552" w:hanging="73"/>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32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03"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r>
              <w:rPr>
                <w:rFonts w:hint="eastAsia" w:ascii="宋体" w:hAnsi="宋体" w:eastAsia="宋体" w:cs="宋体"/>
                <w:color w:val="auto"/>
                <w:szCs w:val="21"/>
                <w:highlight w:val="none"/>
                <w:u w:val="none"/>
              </w:rPr>
              <w:t>人在设计方案内标注名称、印章、商标、图形等记认符号（或使人辨认出投标人或其专业技术人员的身份</w:t>
            </w:r>
            <w:r>
              <w:rPr>
                <w:rFonts w:hint="eastAsia" w:ascii="宋体" w:hAnsi="宋体" w:eastAsia="宋体" w:cs="宋体"/>
                <w:color w:val="auto"/>
                <w:szCs w:val="21"/>
                <w:highlight w:val="none"/>
              </w:rPr>
              <w:t>）的；</w:t>
            </w: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2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03"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存在明显抄袭行为的；</w:t>
            </w: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03"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存在侵犯他人著作权和特许权的；</w:t>
            </w: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2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03"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存在投标人与招标人、评标委员会成员或其他投标人串通投标情形的；</w:t>
            </w: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2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2503" w:type="pct"/>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结论（通过/不通过）</w:t>
            </w: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c>
          <w:tcPr>
            <w:tcW w:w="362" w:type="pct"/>
          </w:tcPr>
          <w:p>
            <w:pPr>
              <w:spacing w:line="360" w:lineRule="auto"/>
              <w:ind w:left="552" w:hanging="73"/>
              <w:rPr>
                <w:rFonts w:hint="eastAsia" w:ascii="宋体" w:hAnsi="宋体" w:eastAsia="宋体" w:cs="宋体"/>
                <w:color w:val="auto"/>
                <w:szCs w:val="21"/>
                <w:highlight w:val="none"/>
              </w:rPr>
            </w:pPr>
          </w:p>
        </w:tc>
      </w:tr>
    </w:tbl>
    <w:p>
      <w:pPr>
        <w:spacing w:line="360" w:lineRule="auto"/>
        <w:ind w:left="630" w:hanging="630" w:hanging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注：1.凡出现以上任何一项情形，结论均为无效，否则就为有效。有效的记“○”无效的记“×”，全部审查项目均为有效的，结论为“通过”，否则为“不通过”。</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2.如对本表中某种情形的评审意见不一致时，以评审组过半数成员的意见作为评审组对该情形的认定结论。</w:t>
      </w:r>
    </w:p>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jc w:val="left"/>
        <w:rPr>
          <w:rFonts w:hint="eastAsia" w:ascii="宋体" w:hAnsi="宋体" w:eastAsia="宋体" w:cs="宋体"/>
          <w:color w:val="auto"/>
          <w:highlight w:val="none"/>
        </w:rPr>
        <w:sectPr>
          <w:footerReference r:id="rId11" w:type="default"/>
          <w:footerReference r:id="rId12" w:type="even"/>
          <w:pgSz w:w="16840" w:h="11907" w:orient="landscape"/>
          <w:pgMar w:top="1440" w:right="1080" w:bottom="1440" w:left="1080" w:header="851" w:footer="992" w:gutter="0"/>
          <w:cols w:space="720" w:num="1"/>
          <w:docGrid w:linePitch="312" w:charSpace="0"/>
        </w:sect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附表3：</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工程总承包实施方案投标文件有效性审查表</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9468"/>
        <w:gridCol w:w="786"/>
        <w:gridCol w:w="786"/>
        <w:gridCol w:w="786"/>
        <w:gridCol w:w="786"/>
        <w:gridCol w:w="786"/>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4" w:type="pct"/>
            <w:vAlign w:val="center"/>
          </w:tcPr>
          <w:p>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179" w:type="pct"/>
            <w:tcBorders>
              <w:tl2br w:val="single" w:color="auto" w:sz="4" w:space="0"/>
            </w:tcBorders>
          </w:tcPr>
          <w:p>
            <w:pPr>
              <w:wordWrap w:val="0"/>
              <w:jc w:val="righ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投标人名称</w:t>
            </w:r>
          </w:p>
          <w:p>
            <w:pPr>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c>
          <w:tcPr>
            <w:tcW w:w="264" w:type="pct"/>
          </w:tcPr>
          <w:p>
            <w:pPr>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工期不符合招标文件要求的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投标总报价高于招标控制价的，或设计费报价高于设计费投标最高限价的，或施工费总价报价高于施工费总价投标最高限价的；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投标报价低于企业成本的（投标人的报价明显低于其他投标报价，使得其投标报价可能低于其个别成本，又不能合理说明或者不能提供相关证明材料，评标委员会认定该投标人低于成本报价的）；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投标文件中没有有效的法定代表人证明书扫描件，或由委托代理人签署或盖章的投标文件中没有法定代表人授权书扫描件；</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投标文件的封面没有加盖投标单位的法定印章并经法定代表人或投标人代表签署或盖章的；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投标文件未按规定的格式填写（第五章格式</w:t>
            </w:r>
            <w:r>
              <w:rPr>
                <w:rFonts w:hint="eastAsia" w:ascii="宋体" w:hAnsi="宋体" w:eastAsia="宋体" w:cs="宋体"/>
                <w:color w:val="auto"/>
                <w:szCs w:val="21"/>
                <w:highlight w:val="none"/>
                <w:lang w:val="en-US" w:eastAsia="zh-CN"/>
              </w:rPr>
              <w:t>1、格式1-1</w:t>
            </w:r>
            <w:r>
              <w:rPr>
                <w:rFonts w:hint="eastAsia" w:ascii="宋体" w:hAnsi="宋体" w:eastAsia="宋体" w:cs="宋体"/>
                <w:color w:val="auto"/>
                <w:szCs w:val="21"/>
                <w:highlight w:val="none"/>
              </w:rPr>
              <w:t>），或主要内容不全，或关键字迹模糊、无法辨认的；</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179" w:type="pct"/>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存在串通投标情形（串通投标情形以《中华人民共和国招标投标法实施条例》的规定为准）；</w:t>
            </w: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c>
          <w:tcPr>
            <w:tcW w:w="264" w:type="pct"/>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17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无《参与编制投标文件人员名单》的</w:t>
            </w: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317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是否通过并进入下一阶段评审。</w:t>
            </w: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26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备注：1.凡出现以上任何一项情形，均为无效，否则就为有效。</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2.根据本表审查项目，填 “○”或 “×”，评审结论填“通过“或“不通过”。</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3.本表中出现一个（或以上）“×”，投标人的评审结论为“不通过”，即该投标人不进入下一阶段评审。</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4.本表中评审项目全部为 “○”，投标人的评审结论为“通过”，即该投标人进入下一阶段评审。</w:t>
      </w:r>
    </w:p>
    <w:p>
      <w:pPr>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5.如对本表中某种情形的评审意见不一致时，以评审组过半数成员的意见作为评审组对该情形的认定结论。</w:t>
      </w:r>
    </w:p>
    <w:p>
      <w:pPr>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评委签名：                     日期：           </w:t>
      </w:r>
    </w:p>
    <w:p>
      <w:pPr>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附表4:</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设计技术方案投标文件综合评分表</w:t>
      </w:r>
    </w:p>
    <w:tbl>
      <w:tblPr>
        <w:tblStyle w:val="55"/>
        <w:tblW w:w="4981" w:type="pct"/>
        <w:jc w:val="center"/>
        <w:tblLayout w:type="autofit"/>
        <w:tblCellMar>
          <w:top w:w="0" w:type="dxa"/>
          <w:left w:w="108" w:type="dxa"/>
          <w:bottom w:w="0" w:type="dxa"/>
          <w:right w:w="108" w:type="dxa"/>
        </w:tblCellMar>
      </w:tblPr>
      <w:tblGrid>
        <w:gridCol w:w="1039"/>
        <w:gridCol w:w="1390"/>
        <w:gridCol w:w="1412"/>
        <w:gridCol w:w="9791"/>
        <w:gridCol w:w="1205"/>
      </w:tblGrid>
      <w:tr>
        <w:tblPrEx>
          <w:tblCellMar>
            <w:top w:w="0" w:type="dxa"/>
            <w:left w:w="108" w:type="dxa"/>
            <w:bottom w:w="0" w:type="dxa"/>
            <w:right w:w="108" w:type="dxa"/>
          </w:tblCellMar>
        </w:tblPrEx>
        <w:trPr>
          <w:trHeight w:val="379" w:hRule="atLeast"/>
          <w:jc w:val="center"/>
        </w:trPr>
        <w:tc>
          <w:tcPr>
            <w:tcW w:w="1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序号</w:t>
            </w:r>
          </w:p>
        </w:tc>
        <w:tc>
          <w:tcPr>
            <w:tcW w:w="13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项目</w:t>
            </w:r>
          </w:p>
        </w:tc>
        <w:tc>
          <w:tcPr>
            <w:tcW w:w="14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分值分配</w:t>
            </w:r>
          </w:p>
        </w:tc>
        <w:tc>
          <w:tcPr>
            <w:tcW w:w="97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内</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val="zh-CN"/>
              </w:rPr>
              <w:t>容</w:t>
            </w:r>
          </w:p>
        </w:tc>
        <w:tc>
          <w:tcPr>
            <w:tcW w:w="1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得分</w:t>
            </w:r>
          </w:p>
        </w:tc>
      </w:tr>
      <w:tr>
        <w:tblPrEx>
          <w:tblCellMar>
            <w:top w:w="0" w:type="dxa"/>
            <w:left w:w="108" w:type="dxa"/>
            <w:bottom w:w="0" w:type="dxa"/>
            <w:right w:w="108" w:type="dxa"/>
          </w:tblCellMar>
        </w:tblPrEx>
        <w:trPr>
          <w:trHeight w:val="567" w:hRule="atLeast"/>
          <w:jc w:val="center"/>
        </w:trPr>
        <w:tc>
          <w:tcPr>
            <w:tcW w:w="1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一</w:t>
            </w:r>
          </w:p>
        </w:tc>
        <w:tc>
          <w:tcPr>
            <w:tcW w:w="139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投标文件的符合性</w:t>
            </w:r>
          </w:p>
        </w:tc>
        <w:tc>
          <w:tcPr>
            <w:tcW w:w="1412" w:type="dxa"/>
            <w:tcBorders>
              <w:top w:val="single" w:color="auto" w:sz="6" w:space="0"/>
              <w:left w:val="single" w:color="auto" w:sz="6" w:space="0"/>
              <w:bottom w:val="nil"/>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w:t>
            </w:r>
          </w:p>
        </w:tc>
        <w:tc>
          <w:tcPr>
            <w:tcW w:w="979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整个设计内容符合招标文件要求，内容全面，设计总说明书文字表达清楚、思路清晰、重点和难点突出、图纸及文卷质量高。</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r>
              <w:rPr>
                <w:rFonts w:hint="eastAsia" w:ascii="宋体" w:hAnsi="宋体" w:eastAsia="宋体" w:cs="宋体"/>
                <w:bCs/>
                <w:color w:val="auto"/>
                <w:szCs w:val="21"/>
                <w:highlight w:val="none"/>
                <w:lang w:val="zh-CN"/>
              </w:rPr>
              <w:t>。</w:t>
            </w:r>
          </w:p>
        </w:tc>
        <w:tc>
          <w:tcPr>
            <w:tcW w:w="1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0" w:type="dxa"/>
            <w:vMerge w:val="restart"/>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二</w:t>
            </w:r>
          </w:p>
        </w:tc>
        <w:tc>
          <w:tcPr>
            <w:tcW w:w="1390" w:type="dxa"/>
            <w:vMerge w:val="restart"/>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设计方案及大纲</w:t>
            </w:r>
          </w:p>
        </w:tc>
        <w:tc>
          <w:tcPr>
            <w:tcW w:w="1412"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80</w:t>
            </w:r>
            <w:r>
              <w:rPr>
                <w:rFonts w:hint="eastAsia" w:ascii="宋体" w:hAnsi="宋体" w:eastAsia="宋体" w:cs="宋体"/>
                <w:bCs/>
                <w:color w:val="auto"/>
                <w:szCs w:val="21"/>
                <w:highlight w:val="none"/>
                <w:lang w:val="zh-CN"/>
              </w:rPr>
              <w:t>]</w:t>
            </w:r>
          </w:p>
        </w:tc>
        <w:tc>
          <w:tcPr>
            <w:tcW w:w="9793" w:type="dxa"/>
            <w:tcBorders>
              <w:top w:val="single" w:color="auto" w:sz="6" w:space="0"/>
              <w:left w:val="single" w:color="auto" w:sz="6" w:space="0"/>
              <w:bottom w:val="nil"/>
              <w:right w:val="single" w:color="auto" w:sz="6" w:space="0"/>
            </w:tcBorders>
            <w:vAlign w:val="center"/>
          </w:tcPr>
          <w:p>
            <w:pPr>
              <w:numPr>
                <w:ilvl w:val="0"/>
                <w:numId w:val="2"/>
              </w:numPr>
              <w:wordWrap w:val="0"/>
              <w:topLinePunct/>
              <w:jc w:val="lef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正确理解并执行规划建设意图，对现有</w:t>
            </w:r>
            <w:r>
              <w:rPr>
                <w:rFonts w:hint="eastAsia" w:ascii="宋体" w:hAnsi="宋体" w:eastAsia="宋体" w:cs="宋体"/>
                <w:bCs/>
                <w:color w:val="auto"/>
                <w:szCs w:val="21"/>
                <w:highlight w:val="none"/>
              </w:rPr>
              <w:t>道路及地下管线</w:t>
            </w:r>
            <w:r>
              <w:rPr>
                <w:rFonts w:hint="eastAsia" w:ascii="宋体" w:hAnsi="宋体" w:eastAsia="宋体" w:cs="宋体"/>
                <w:bCs/>
                <w:color w:val="auto"/>
                <w:szCs w:val="21"/>
                <w:highlight w:val="none"/>
                <w:lang w:val="zh-CN"/>
              </w:rPr>
              <w:t>建设情况充分了解，对建设需求描述清晰。</w:t>
            </w:r>
          </w:p>
          <w:p>
            <w:pPr>
              <w:wordWrap w:val="0"/>
              <w:topLinePun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205" w:type="dxa"/>
            <w:tcBorders>
              <w:top w:val="single" w:color="auto" w:sz="6" w:space="0"/>
              <w:left w:val="single" w:color="auto" w:sz="6" w:space="0"/>
              <w:bottom w:val="nil"/>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jc w:val="center"/>
        </w:trPr>
        <w:tc>
          <w:tcPr>
            <w:tcW w:w="1040"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c>
          <w:tcPr>
            <w:tcW w:w="9793" w:type="dxa"/>
            <w:tcBorders>
              <w:top w:val="single" w:color="auto" w:sz="6" w:space="0"/>
              <w:left w:val="single" w:color="auto" w:sz="6" w:space="0"/>
              <w:bottom w:val="nil"/>
              <w:right w:val="single" w:color="auto" w:sz="6" w:space="0"/>
            </w:tcBorders>
            <w:vAlign w:val="center"/>
          </w:tcPr>
          <w:p>
            <w:pPr>
              <w:numPr>
                <w:ilvl w:val="0"/>
                <w:numId w:val="2"/>
              </w:num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设计方案思路清晰、科学、合理、理据充分；</w:t>
            </w:r>
            <w:r>
              <w:rPr>
                <w:rFonts w:hint="eastAsia" w:ascii="宋体" w:hAnsi="宋体" w:eastAsia="宋体" w:cs="宋体"/>
                <w:color w:val="auto"/>
                <w:szCs w:val="21"/>
                <w:highlight w:val="none"/>
              </w:rPr>
              <w:t>道路恢复</w:t>
            </w:r>
            <w:r>
              <w:rPr>
                <w:rFonts w:hint="eastAsia" w:ascii="宋体" w:hAnsi="宋体" w:eastAsia="宋体" w:cs="宋体"/>
                <w:color w:val="auto"/>
                <w:szCs w:val="21"/>
                <w:highlight w:val="none"/>
                <w:lang w:val="zh-CN"/>
              </w:rPr>
              <w:t>设计科学合理、处理得当。</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205" w:type="dxa"/>
            <w:tcBorders>
              <w:top w:val="single" w:color="auto" w:sz="6" w:space="0"/>
              <w:left w:val="single" w:color="auto" w:sz="6" w:space="0"/>
              <w:bottom w:val="nil"/>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67" w:hRule="atLeast"/>
          <w:jc w:val="center"/>
        </w:trPr>
        <w:tc>
          <w:tcPr>
            <w:tcW w:w="1040"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c>
          <w:tcPr>
            <w:tcW w:w="9793" w:type="dxa"/>
            <w:tcBorders>
              <w:top w:val="single" w:color="auto" w:sz="6" w:space="0"/>
              <w:left w:val="single" w:color="auto" w:sz="4" w:space="0"/>
              <w:bottom w:val="single" w:color="auto" w:sz="6" w:space="0"/>
              <w:right w:val="single" w:color="auto" w:sz="6" w:space="0"/>
            </w:tcBorders>
            <w:vAlign w:val="center"/>
          </w:tcPr>
          <w:p>
            <w:pPr>
              <w:wordWrap w:val="0"/>
              <w:topLinePunct/>
              <w:adjustRightInd w:val="0"/>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新建管线线位选择合理，能充分考虑其对周边交通、管线、绿化的影响</w:t>
            </w:r>
            <w:r>
              <w:rPr>
                <w:rFonts w:hint="eastAsia" w:ascii="宋体" w:hAnsi="宋体" w:eastAsia="宋体" w:cs="宋体"/>
                <w:color w:val="auto"/>
                <w:szCs w:val="21"/>
                <w:highlight w:val="none"/>
                <w:lang w:val="zh-CN"/>
              </w:rPr>
              <w:t>。</w:t>
            </w:r>
          </w:p>
          <w:p>
            <w:pPr>
              <w:autoSpaceDE w:val="0"/>
              <w:autoSpaceDN w:val="0"/>
              <w:adjustRightInd w:val="0"/>
              <w:spacing w:line="24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0"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rPr>
            </w:pPr>
          </w:p>
        </w:tc>
        <w:tc>
          <w:tcPr>
            <w:tcW w:w="9793" w:type="dxa"/>
            <w:tcBorders>
              <w:top w:val="single" w:color="auto" w:sz="6" w:space="0"/>
              <w:left w:val="single" w:color="auto" w:sz="4" w:space="0"/>
              <w:bottom w:val="single" w:color="auto" w:sz="6" w:space="0"/>
              <w:right w:val="single" w:color="auto" w:sz="6" w:space="0"/>
            </w:tcBorders>
            <w:vAlign w:val="center"/>
          </w:tcPr>
          <w:p>
            <w:p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4、</w:t>
            </w:r>
            <w:r>
              <w:rPr>
                <w:rFonts w:hint="eastAsia" w:ascii="宋体" w:hAnsi="宋体" w:eastAsia="宋体" w:cs="宋体"/>
                <w:color w:val="auto"/>
                <w:szCs w:val="21"/>
                <w:highlight w:val="none"/>
              </w:rPr>
              <w:t>设计</w:t>
            </w:r>
            <w:r>
              <w:rPr>
                <w:rFonts w:hint="eastAsia" w:ascii="宋体" w:hAnsi="宋体" w:eastAsia="宋体" w:cs="宋体"/>
                <w:bCs/>
                <w:color w:val="auto"/>
                <w:szCs w:val="21"/>
                <w:highlight w:val="none"/>
                <w:lang w:val="zh-CN"/>
              </w:rPr>
              <w:t>方案充分利用现有条件</w:t>
            </w:r>
            <w:r>
              <w:rPr>
                <w:rFonts w:hint="eastAsia" w:ascii="宋体" w:hAnsi="宋体" w:eastAsia="宋体" w:cs="宋体"/>
                <w:color w:val="auto"/>
                <w:szCs w:val="21"/>
                <w:highlight w:val="none"/>
                <w:lang w:val="zh-CN"/>
              </w:rPr>
              <w:t>。</w:t>
            </w:r>
          </w:p>
          <w:p>
            <w:pPr>
              <w:autoSpaceDE w:val="0"/>
              <w:autoSpaceDN w:val="0"/>
              <w:adjustRightInd w:val="0"/>
              <w:spacing w:line="2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2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374" w:hRule="atLeast"/>
          <w:jc w:val="center"/>
        </w:trPr>
        <w:tc>
          <w:tcPr>
            <w:tcW w:w="1040"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9793" w:type="dxa"/>
            <w:tcBorders>
              <w:top w:val="single" w:color="auto" w:sz="6" w:space="0"/>
              <w:left w:val="single" w:color="auto" w:sz="6" w:space="0"/>
              <w:bottom w:val="single" w:color="auto" w:sz="6" w:space="0"/>
              <w:right w:val="single" w:color="auto" w:sz="6" w:space="0"/>
            </w:tcBorders>
            <w:vAlign w:val="center"/>
          </w:tcPr>
          <w:p>
            <w:p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工程建设和使用的重点、难点分析透彻，解决措施合理。</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15</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20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0" w:type="dxa"/>
            <w:vMerge w:val="continue"/>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top w:val="single" w:color="auto" w:sz="6" w:space="0"/>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9793" w:type="dxa"/>
            <w:tcBorders>
              <w:top w:val="single" w:color="auto" w:sz="6" w:space="0"/>
              <w:left w:val="single" w:color="auto" w:sz="4" w:space="0"/>
              <w:bottom w:val="single" w:color="auto" w:sz="6" w:space="0"/>
              <w:right w:val="single" w:color="auto" w:sz="4" w:space="0"/>
            </w:tcBorders>
            <w:vAlign w:val="center"/>
          </w:tcPr>
          <w:p>
            <w:pPr>
              <w:wordWrap w:val="0"/>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6、方案合理可行，重点、难点理解准确，建议合理可行；工作流程规范，工期进度计划合理可行。</w:t>
            </w:r>
          </w:p>
          <w:p>
            <w:pPr>
              <w:autoSpaceDE w:val="0"/>
              <w:autoSpaceDN w:val="0"/>
              <w:adjustRightInd w:val="0"/>
              <w:spacing w:line="240" w:lineRule="exa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良</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一般</w:t>
            </w:r>
            <w:r>
              <w:rPr>
                <w:rFonts w:hint="eastAsia" w:ascii="宋体" w:hAnsi="宋体" w:eastAsia="宋体" w:cs="宋体"/>
                <w:bCs/>
                <w:color w:val="auto"/>
                <w:szCs w:val="21"/>
                <w:highlight w:val="none"/>
                <w:lang w:val="zh-CN"/>
              </w:rPr>
              <w:t>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无不得分。</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0" w:type="dxa"/>
            <w:vMerge w:val="restart"/>
            <w:tcBorders>
              <w:top w:val="single" w:color="auto" w:sz="6" w:space="0"/>
              <w:left w:val="single" w:color="auto" w:sz="6" w:space="0"/>
              <w:right w:val="single" w:color="auto" w:sz="6" w:space="0"/>
            </w:tcBorders>
            <w:vAlign w:val="center"/>
          </w:tcPr>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w:t>
            </w:r>
          </w:p>
        </w:tc>
        <w:tc>
          <w:tcPr>
            <w:tcW w:w="1390" w:type="dxa"/>
            <w:vMerge w:val="restart"/>
            <w:tcBorders>
              <w:top w:val="single" w:color="auto" w:sz="6" w:space="0"/>
              <w:left w:val="single" w:color="auto" w:sz="6" w:space="0"/>
              <w:right w:val="single" w:color="auto" w:sz="6" w:space="0"/>
            </w:tcBorders>
            <w:vAlign w:val="center"/>
          </w:tcPr>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投资</w:t>
            </w:r>
          </w:p>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控制</w:t>
            </w:r>
          </w:p>
        </w:tc>
        <w:tc>
          <w:tcPr>
            <w:tcW w:w="1412" w:type="dxa"/>
            <w:vMerge w:val="restart"/>
            <w:tcBorders>
              <w:top w:val="single" w:color="auto" w:sz="4" w:space="0"/>
              <w:left w:val="single" w:color="auto" w:sz="6" w:space="0"/>
              <w:right w:val="single" w:color="auto" w:sz="4" w:space="0"/>
            </w:tcBorders>
            <w:vAlign w:val="center"/>
          </w:tcPr>
          <w:p>
            <w:pPr>
              <w:wordWrap w:val="0"/>
              <w:topLinePun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w:t>
            </w:r>
          </w:p>
        </w:tc>
        <w:tc>
          <w:tcPr>
            <w:tcW w:w="9793" w:type="dxa"/>
            <w:tcBorders>
              <w:top w:val="single" w:color="auto" w:sz="6" w:space="0"/>
              <w:left w:val="single" w:color="auto" w:sz="4" w:space="0"/>
              <w:bottom w:val="single" w:color="auto" w:sz="6" w:space="0"/>
              <w:right w:val="single" w:color="auto" w:sz="4" w:space="0"/>
            </w:tcBorders>
            <w:vAlign w:val="center"/>
          </w:tcPr>
          <w:p>
            <w:pPr>
              <w:wordWrap w:val="0"/>
              <w:topLinePunct/>
              <w:adjustRightIn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工程总投资合理，节约工程总投资的措施及理由合理、可信、可行。</w:t>
            </w:r>
          </w:p>
          <w:p>
            <w:pPr>
              <w:numPr>
                <w:ilvl w:val="0"/>
                <w:numId w:val="3"/>
              </w:numPr>
              <w:tabs>
                <w:tab w:val="left" w:pos="315"/>
              </w:tabs>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良得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一般得</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无不得分</w:t>
            </w:r>
            <w:r>
              <w:rPr>
                <w:rFonts w:hint="eastAsia" w:ascii="宋体" w:hAnsi="宋体" w:eastAsia="宋体" w:cs="宋体"/>
                <w:bCs/>
                <w:color w:val="auto"/>
                <w:szCs w:val="21"/>
                <w:highlight w:val="none"/>
                <w:lang w:val="zh-CN"/>
              </w:rPr>
              <w:t>。</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567" w:hRule="atLeast"/>
          <w:jc w:val="center"/>
        </w:trPr>
        <w:tc>
          <w:tcPr>
            <w:tcW w:w="1040"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1390" w:type="dxa"/>
            <w:vMerge w:val="continue"/>
            <w:tcBorders>
              <w:left w:val="single" w:color="auto" w:sz="6" w:space="0"/>
              <w:bottom w:val="single" w:color="auto" w:sz="4" w:space="0"/>
              <w:right w:val="single" w:color="auto" w:sz="6" w:space="0"/>
            </w:tcBorders>
            <w:textDirection w:val="tbRlV"/>
            <w:vAlign w:val="center"/>
          </w:tcPr>
          <w:p>
            <w:pPr>
              <w:autoSpaceDE w:val="0"/>
              <w:autoSpaceDN w:val="0"/>
              <w:adjustRightInd w:val="0"/>
              <w:spacing w:line="400" w:lineRule="exact"/>
              <w:ind w:left="113" w:right="113"/>
              <w:jc w:val="center"/>
              <w:rPr>
                <w:rFonts w:hint="eastAsia" w:ascii="宋体" w:hAnsi="宋体" w:eastAsia="宋体" w:cs="宋体"/>
                <w:color w:val="auto"/>
                <w:szCs w:val="21"/>
                <w:highlight w:val="none"/>
                <w:lang w:val="zh-CN"/>
              </w:rPr>
            </w:pPr>
          </w:p>
        </w:tc>
        <w:tc>
          <w:tcPr>
            <w:tcW w:w="1412"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c>
          <w:tcPr>
            <w:tcW w:w="9793" w:type="dxa"/>
            <w:tcBorders>
              <w:top w:val="single" w:color="auto" w:sz="6" w:space="0"/>
              <w:left w:val="single" w:color="auto" w:sz="4" w:space="0"/>
              <w:bottom w:val="single" w:color="auto" w:sz="6" w:space="0"/>
              <w:right w:val="single" w:color="auto" w:sz="4" w:space="0"/>
            </w:tcBorders>
            <w:vAlign w:val="center"/>
          </w:tcPr>
          <w:p>
            <w:pPr>
              <w:numPr>
                <w:ilvl w:val="0"/>
                <w:numId w:val="3"/>
              </w:num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投资估算编制依据正确，达到相应的深度要求，编制质量高。</w:t>
            </w:r>
          </w:p>
          <w:p>
            <w:pPr>
              <w:numPr>
                <w:ilvl w:val="0"/>
                <w:numId w:val="3"/>
              </w:numPr>
              <w:wordWrap w:val="0"/>
              <w:topLinePunct/>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优得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良得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一般得</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分</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无不得分</w:t>
            </w:r>
            <w:r>
              <w:rPr>
                <w:rFonts w:hint="eastAsia" w:ascii="宋体" w:hAnsi="宋体" w:eastAsia="宋体" w:cs="宋体"/>
                <w:bCs/>
                <w:color w:val="auto"/>
                <w:szCs w:val="21"/>
                <w:highlight w:val="none"/>
                <w:lang w:val="zh-CN"/>
              </w:rPr>
              <w:t>。</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Cs w:val="21"/>
                <w:highlight w:val="none"/>
                <w:lang w:val="zh-CN"/>
              </w:rPr>
            </w:pPr>
          </w:p>
        </w:tc>
      </w:tr>
      <w:tr>
        <w:tblPrEx>
          <w:tblCellMar>
            <w:top w:w="0" w:type="dxa"/>
            <w:left w:w="108" w:type="dxa"/>
            <w:bottom w:w="0" w:type="dxa"/>
            <w:right w:w="108" w:type="dxa"/>
          </w:tblCellMar>
        </w:tblPrEx>
        <w:trPr>
          <w:trHeight w:val="206" w:hRule="atLeast"/>
          <w:jc w:val="center"/>
        </w:trPr>
        <w:tc>
          <w:tcPr>
            <w:tcW w:w="243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总计</w:t>
            </w:r>
          </w:p>
        </w:tc>
        <w:tc>
          <w:tcPr>
            <w:tcW w:w="1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9793"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Cs w:val="21"/>
                <w:highlight w:val="none"/>
                <w:lang w:val="zh-CN"/>
              </w:rPr>
            </w:pPr>
          </w:p>
        </w:tc>
      </w:tr>
    </w:tbl>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注：投标人的评分为各评委评分的算术平均值（若分数出现小数点时，保留小数点后二位，第三位小数四舍五入）。</w:t>
      </w:r>
    </w:p>
    <w:p>
      <w:pPr>
        <w:spacing w:line="360" w:lineRule="auto"/>
        <w:jc w:val="left"/>
        <w:rPr>
          <w:rFonts w:hint="eastAsia" w:ascii="宋体" w:hAnsi="宋体" w:eastAsia="宋体" w:cs="宋体"/>
          <w:color w:val="auto"/>
          <w:szCs w:val="21"/>
          <w:highlight w:val="none"/>
        </w:rPr>
      </w:pP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附表5</w:t>
      </w:r>
    </w:p>
    <w:p>
      <w:pPr>
        <w:wordWrap w:val="0"/>
        <w:topLinePunct/>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工程总承包实施方案投标文件综合评分表</w:t>
      </w:r>
    </w:p>
    <w:tbl>
      <w:tblPr>
        <w:tblStyle w:val="55"/>
        <w:tblW w:w="500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9"/>
        <w:gridCol w:w="1208"/>
        <w:gridCol w:w="1555"/>
        <w:gridCol w:w="108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2" w:type="pct"/>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评审因素</w:t>
            </w:r>
          </w:p>
        </w:tc>
        <w:tc>
          <w:tcPr>
            <w:tcW w:w="4547" w:type="pct"/>
            <w:gridSpan w:val="3"/>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restar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一、施工组织设计（64分）</w:t>
            </w: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项目了解及框架思路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16分</w:t>
            </w:r>
            <w:r>
              <w:rPr>
                <w:rFonts w:hint="eastAsia" w:ascii="宋体" w:hAnsi="宋体" w:cs="宋体"/>
                <w:color w:val="auto"/>
                <w:sz w:val="20"/>
                <w:szCs w:val="20"/>
                <w:highlight w:val="none"/>
                <w:lang w:eastAsia="zh-CN"/>
              </w:rPr>
              <w:t>）</w:t>
            </w:r>
          </w:p>
        </w:tc>
        <w:tc>
          <w:tcPr>
            <w:tcW w:w="4142" w:type="pct"/>
            <w:gridSpan w:val="2"/>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 xml:space="preserve">投标人对整体项目的现状情况了解程度及框架思路进行评分： </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rPr>
              <w:t>优：</w:t>
            </w:r>
            <w:r>
              <w:rPr>
                <w:rFonts w:hint="eastAsia" w:ascii="宋体" w:hAnsi="宋体" w:cs="宋体"/>
                <w:color w:val="auto"/>
                <w:sz w:val="20"/>
                <w:szCs w:val="20"/>
                <w:highlight w:val="none"/>
              </w:rPr>
              <w:t xml:space="preserve">对本项目背景和辖区地点的现状情况了解程度全面准确的，得16分； </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rPr>
              <w:t>良：</w:t>
            </w:r>
            <w:r>
              <w:rPr>
                <w:rFonts w:hint="eastAsia" w:ascii="宋体" w:hAnsi="宋体" w:cs="宋体"/>
                <w:color w:val="auto"/>
                <w:sz w:val="20"/>
                <w:szCs w:val="20"/>
                <w:highlight w:val="none"/>
              </w:rPr>
              <w:t>对本项目背景和辖区地点的现状情况了解程度比较了解的，得12分；</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rPr>
              <w:t>中：</w:t>
            </w:r>
            <w:r>
              <w:rPr>
                <w:rFonts w:hint="eastAsia" w:ascii="宋体" w:hAnsi="宋体" w:cs="宋体"/>
                <w:color w:val="auto"/>
                <w:sz w:val="20"/>
                <w:szCs w:val="20"/>
                <w:highlight w:val="none"/>
              </w:rPr>
              <w:t xml:space="preserve">对本项目背景和辖区地点的现状情况了解程度一般的，得8分；  </w:t>
            </w:r>
          </w:p>
          <w:p>
            <w:pPr>
              <w:numPr>
                <w:ilvl w:val="-1"/>
                <w:numId w:val="0"/>
              </w:numPr>
              <w:rPr>
                <w:rFonts w:ascii="宋体" w:hAnsi="宋体" w:cs="宋体"/>
                <w:color w:val="auto"/>
                <w:sz w:val="20"/>
                <w:szCs w:val="20"/>
                <w:highlight w:val="none"/>
              </w:rPr>
            </w:pPr>
            <w:r>
              <w:rPr>
                <w:rFonts w:hint="eastAsia" w:ascii="宋体" w:cs="宋体"/>
                <w:color w:val="auto"/>
                <w:sz w:val="20"/>
                <w:szCs w:val="20"/>
                <w:highlight w:val="none"/>
                <w:lang w:val="en-US" w:eastAsia="zh-CN"/>
              </w:rPr>
              <w:t>差</w:t>
            </w:r>
            <w:r>
              <w:rPr>
                <w:rFonts w:hint="eastAsia" w:ascii="宋体" w:cs="宋体"/>
                <w:color w:val="auto"/>
                <w:sz w:val="20"/>
                <w:szCs w:val="20"/>
                <w:highlight w:val="none"/>
              </w:rPr>
              <w:t>：</w:t>
            </w:r>
            <w:r>
              <w:rPr>
                <w:rFonts w:hint="eastAsia" w:ascii="宋体" w:hAnsi="宋体" w:cs="宋体"/>
                <w:color w:val="auto"/>
                <w:sz w:val="20"/>
                <w:szCs w:val="20"/>
                <w:highlight w:val="none"/>
              </w:rPr>
              <w:t xml:space="preserve">对本项目背景和辖区地点的现状情况了解程度差的，得1分； </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不提供</w:t>
            </w:r>
            <w:r>
              <w:rPr>
                <w:rFonts w:hint="eastAsia" w:ascii="宋体" w:hAnsi="宋体" w:cs="宋体"/>
                <w:color w:val="auto"/>
                <w:sz w:val="20"/>
                <w:szCs w:val="20"/>
                <w:highlight w:val="none"/>
                <w:lang w:val="en-US" w:eastAsia="zh-CN"/>
              </w:rPr>
              <w:t>的</w:t>
            </w:r>
            <w:r>
              <w:rPr>
                <w:rFonts w:hint="eastAsia" w:ascii="宋体" w:hAnsi="宋体" w:cs="宋体"/>
                <w:color w:val="auto"/>
                <w:sz w:val="20"/>
                <w:szCs w:val="20"/>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cs="宋体"/>
                <w:color w:val="auto"/>
                <w:sz w:val="20"/>
                <w:szCs w:val="20"/>
                <w:highlight w:val="none"/>
              </w:rPr>
              <w:t>施工部署（1</w:t>
            </w:r>
            <w:r>
              <w:rPr>
                <w:rFonts w:ascii="宋体" w:cs="宋体"/>
                <w:color w:val="auto"/>
                <w:sz w:val="20"/>
                <w:szCs w:val="20"/>
                <w:highlight w:val="none"/>
              </w:rPr>
              <w:t>2</w:t>
            </w:r>
            <w:r>
              <w:rPr>
                <w:rFonts w:hint="eastAsia" w:ascii="宋体" w:cs="宋体"/>
                <w:color w:val="auto"/>
                <w:sz w:val="20"/>
                <w:szCs w:val="20"/>
                <w:highlight w:val="none"/>
              </w:rPr>
              <w:t>分）</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优：有项目实施目标、项目管理架构体系、人员职责分工、平面布置图，得12分。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良：有项目实施目标、项目管理架构体系、人员职责分工，得6分。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中：仅有项目实施目标/项目管理架构体系/人员职责分工/平面布置图</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w:t>
            </w:r>
            <w:r>
              <w:rPr>
                <w:rFonts w:hint="eastAsia" w:ascii="宋体" w:cs="宋体"/>
                <w:color w:val="auto"/>
                <w:sz w:val="20"/>
                <w:szCs w:val="20"/>
                <w:highlight w:val="none"/>
                <w:lang w:val="en-US" w:eastAsia="zh-CN"/>
              </w:rPr>
              <w:t>的</w:t>
            </w:r>
            <w:r>
              <w:rPr>
                <w:rFonts w:hint="eastAsia" w:ascii="宋体" w:cs="宋体"/>
                <w:color w:val="auto"/>
                <w:sz w:val="20"/>
                <w:szCs w:val="20"/>
                <w:highlight w:val="none"/>
              </w:rPr>
              <w:t>，得3分。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cs="宋体"/>
                <w:color w:val="auto"/>
                <w:sz w:val="20"/>
                <w:szCs w:val="20"/>
                <w:highlight w:val="none"/>
              </w:rPr>
              <w:t>质量管理措施（12分）</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优：有质量管理目标、质量保障体系、质量保证措施，得12分。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良：有质量管理目标、质量保障体系，得6分。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中：仅有质量管理目标/质量保障体系/质量保证措施</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w:t>
            </w:r>
            <w:r>
              <w:rPr>
                <w:rFonts w:hint="eastAsia" w:ascii="宋体" w:cs="宋体"/>
                <w:color w:val="auto"/>
                <w:sz w:val="20"/>
                <w:szCs w:val="20"/>
                <w:highlight w:val="none"/>
                <w:lang w:val="en-US" w:eastAsia="zh-CN"/>
              </w:rPr>
              <w:t>的</w:t>
            </w:r>
            <w:r>
              <w:rPr>
                <w:rFonts w:hint="eastAsia" w:ascii="宋体" w:cs="宋体"/>
                <w:color w:val="auto"/>
                <w:sz w:val="20"/>
                <w:szCs w:val="20"/>
                <w:highlight w:val="none"/>
              </w:rPr>
              <w:t>，得3分。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cs="宋体"/>
                <w:color w:val="auto"/>
                <w:sz w:val="20"/>
                <w:szCs w:val="20"/>
                <w:highlight w:val="none"/>
              </w:rPr>
              <w:t>安全文明施工措施（12分）</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优：有安全文明施工和环境保护目标、安全文明保障体系、安全文明施工保证措施，得12分。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良：有安全文明保障体系、安全文明施工保证措施，得</w:t>
            </w:r>
            <w:r>
              <w:rPr>
                <w:rFonts w:hint="eastAsia" w:ascii="宋体" w:cs="宋体"/>
                <w:color w:val="auto"/>
                <w:sz w:val="20"/>
                <w:szCs w:val="20"/>
                <w:highlight w:val="none"/>
                <w:lang w:val="en-US" w:eastAsia="zh-CN"/>
              </w:rPr>
              <w:t>6</w:t>
            </w:r>
            <w:r>
              <w:rPr>
                <w:rFonts w:hint="eastAsia" w:ascii="宋体" w:cs="宋体"/>
                <w:color w:val="auto"/>
                <w:sz w:val="20"/>
                <w:szCs w:val="20"/>
                <w:highlight w:val="none"/>
              </w:rPr>
              <w:t>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中：仅有安全文明施工和环境保护目标/安全文明保障体系/安全文明施工保证</w:t>
            </w:r>
            <w:r>
              <w:rPr>
                <w:rFonts w:hint="eastAsia" w:ascii="宋体" w:cs="宋体"/>
                <w:color w:val="auto"/>
                <w:sz w:val="20"/>
                <w:szCs w:val="20"/>
                <w:highlight w:val="none"/>
                <w:lang w:eastAsia="zh-CN"/>
              </w:rPr>
              <w:t>措施</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w:t>
            </w:r>
            <w:r>
              <w:rPr>
                <w:rFonts w:hint="eastAsia" w:ascii="宋体" w:cs="宋体"/>
                <w:color w:val="auto"/>
                <w:sz w:val="20"/>
                <w:szCs w:val="20"/>
                <w:highlight w:val="none"/>
                <w:lang w:val="en-US" w:eastAsia="zh-CN"/>
              </w:rPr>
              <w:t>的</w:t>
            </w:r>
            <w:r>
              <w:rPr>
                <w:rFonts w:hint="eastAsia" w:ascii="宋体" w:cs="宋体"/>
                <w:color w:val="auto"/>
                <w:sz w:val="20"/>
                <w:szCs w:val="20"/>
                <w:highlight w:val="none"/>
              </w:rPr>
              <w:t>，得</w:t>
            </w:r>
            <w:r>
              <w:rPr>
                <w:rFonts w:hint="eastAsia" w:ascii="宋体" w:cs="宋体"/>
                <w:color w:val="auto"/>
                <w:sz w:val="20"/>
                <w:szCs w:val="20"/>
                <w:highlight w:val="none"/>
                <w:lang w:val="en-US" w:eastAsia="zh-CN"/>
              </w:rPr>
              <w:t>3</w:t>
            </w:r>
            <w:r>
              <w:rPr>
                <w:rFonts w:hint="eastAsia" w:ascii="宋体" w:cs="宋体"/>
                <w:color w:val="auto"/>
                <w:sz w:val="20"/>
                <w:szCs w:val="20"/>
                <w:highlight w:val="none"/>
              </w:rPr>
              <w:t>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vAlign w:val="center"/>
          </w:tcPr>
          <w:p>
            <w:pPr>
              <w:spacing w:line="240" w:lineRule="auto"/>
              <w:jc w:val="center"/>
              <w:rPr>
                <w:rFonts w:hint="eastAsia" w:ascii="宋体" w:hAnsi="宋体" w:eastAsia="宋体" w:cs="宋体"/>
                <w:color w:val="auto"/>
                <w:sz w:val="20"/>
                <w:szCs w:val="20"/>
                <w:highlight w:val="none"/>
              </w:rPr>
            </w:pPr>
          </w:p>
        </w:tc>
        <w:tc>
          <w:tcPr>
            <w:tcW w:w="404" w:type="pct"/>
            <w:vAlign w:val="center"/>
          </w:tcPr>
          <w:p>
            <w:pPr>
              <w:jc w:val="center"/>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 xml:space="preserve">施工进度计划 </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12分</w:t>
            </w:r>
            <w:r>
              <w:rPr>
                <w:rFonts w:hint="eastAsia" w:ascii="宋体" w:hAnsi="宋体" w:cs="宋体"/>
                <w:color w:val="auto"/>
                <w:sz w:val="20"/>
                <w:szCs w:val="20"/>
                <w:highlight w:val="none"/>
                <w:lang w:eastAsia="zh-CN"/>
              </w:rPr>
              <w:t>）</w:t>
            </w:r>
          </w:p>
        </w:tc>
        <w:tc>
          <w:tcPr>
            <w:tcW w:w="4142" w:type="pct"/>
            <w:gridSpan w:val="2"/>
            <w:vAlign w:val="center"/>
          </w:tcPr>
          <w:p>
            <w:pPr>
              <w:adjustRightInd w:val="0"/>
              <w:snapToGrid w:val="0"/>
              <w:rPr>
                <w:rFonts w:ascii="宋体" w:cs="宋体"/>
                <w:color w:val="auto"/>
                <w:sz w:val="20"/>
                <w:szCs w:val="20"/>
                <w:highlight w:val="none"/>
              </w:rPr>
            </w:pPr>
            <w:r>
              <w:rPr>
                <w:rFonts w:hint="eastAsia" w:ascii="宋体" w:cs="宋体"/>
                <w:color w:val="auto"/>
                <w:sz w:val="20"/>
                <w:szCs w:val="20"/>
                <w:highlight w:val="none"/>
              </w:rPr>
              <w:t>优：有总体施工进度计划，专业施工进度计划，进度计划保证措施，得12分。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良：有总体施工进度计划、专业施工进度计划，得6分。</w:t>
            </w:r>
          </w:p>
          <w:p>
            <w:pPr>
              <w:adjustRightInd w:val="0"/>
              <w:snapToGrid w:val="0"/>
              <w:rPr>
                <w:rFonts w:ascii="宋体" w:cs="宋体"/>
                <w:color w:val="auto"/>
                <w:sz w:val="20"/>
                <w:szCs w:val="20"/>
                <w:highlight w:val="none"/>
              </w:rPr>
            </w:pPr>
            <w:r>
              <w:rPr>
                <w:rFonts w:hint="eastAsia" w:ascii="宋体" w:cs="宋体"/>
                <w:color w:val="auto"/>
                <w:sz w:val="20"/>
                <w:szCs w:val="20"/>
                <w:highlight w:val="none"/>
              </w:rPr>
              <w:t>中：仅有有总体施工进度计划，专业施工进度计划，进度计划保证措施</w:t>
            </w:r>
            <w:r>
              <w:rPr>
                <w:rFonts w:hint="eastAsia" w:ascii="宋体" w:cs="宋体"/>
                <w:color w:val="auto"/>
                <w:sz w:val="20"/>
                <w:szCs w:val="20"/>
                <w:highlight w:val="none"/>
                <w:lang w:val="en-US" w:eastAsia="zh-CN"/>
              </w:rPr>
              <w:t>其</w:t>
            </w:r>
            <w:r>
              <w:rPr>
                <w:rFonts w:hint="eastAsia" w:ascii="宋体" w:cs="宋体"/>
                <w:color w:val="auto"/>
                <w:sz w:val="20"/>
                <w:szCs w:val="20"/>
                <w:highlight w:val="none"/>
              </w:rPr>
              <w:t>中一项的，得3分。</w:t>
            </w:r>
          </w:p>
          <w:p>
            <w:pPr>
              <w:numPr>
                <w:ilvl w:val="255"/>
                <w:numId w:val="0"/>
              </w:numPr>
              <w:ind w:left="0" w:leftChars="0" w:firstLine="0" w:firstLineChars="0"/>
              <w:rPr>
                <w:rFonts w:hint="eastAsia" w:ascii="宋体" w:hAnsi="宋体" w:eastAsia="宋体" w:cs="宋体"/>
                <w:color w:val="auto"/>
                <w:sz w:val="20"/>
                <w:szCs w:val="20"/>
                <w:highlight w:val="none"/>
              </w:rPr>
            </w:pPr>
            <w:r>
              <w:rPr>
                <w:rFonts w:hint="eastAsia" w:ascii="宋体" w:cs="宋体"/>
                <w:color w:val="auto"/>
                <w:sz w:val="20"/>
                <w:szCs w:val="20"/>
                <w:highlight w:val="none"/>
              </w:rPr>
              <w:t>差：不满足前述要求者，得0分。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2" w:hRule="atLeast"/>
        </w:trPr>
        <w:tc>
          <w:tcPr>
            <w:tcW w:w="452" w:type="pct"/>
            <w:vMerge w:val="restar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二、企业业绩、信誉（36分）</w:t>
            </w:r>
          </w:p>
        </w:tc>
        <w:tc>
          <w:tcPr>
            <w:tcW w:w="404" w:type="pc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同类项目经验情况</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10分</w:t>
            </w:r>
            <w:r>
              <w:rPr>
                <w:rFonts w:hint="eastAsia" w:ascii="宋体" w:hAnsi="宋体" w:cs="宋体"/>
                <w:color w:val="auto"/>
                <w:sz w:val="20"/>
                <w:szCs w:val="20"/>
                <w:highlight w:val="none"/>
                <w:lang w:eastAsia="zh-CN"/>
              </w:rPr>
              <w:t>）</w:t>
            </w:r>
          </w:p>
        </w:tc>
        <w:tc>
          <w:tcPr>
            <w:tcW w:w="4142" w:type="pct"/>
            <w:gridSpan w:val="2"/>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投标人（若为联合体，指主办方）自2019年1月1日至今完成质量合格的工程造价金额大于或等于300万元的通信管道工程</w:t>
            </w:r>
            <w:r>
              <w:rPr>
                <w:rFonts w:hint="eastAsia" w:ascii="宋体" w:hAnsi="宋体" w:cs="宋体"/>
                <w:color w:val="auto"/>
                <w:sz w:val="20"/>
                <w:szCs w:val="20"/>
                <w:highlight w:val="none"/>
                <w:lang w:val="en-US" w:eastAsia="zh-CN"/>
              </w:rPr>
              <w:t>施工</w:t>
            </w:r>
            <w:r>
              <w:rPr>
                <w:rFonts w:hint="eastAsia" w:ascii="宋体" w:hAnsi="宋体" w:eastAsia="宋体" w:cs="宋体"/>
                <w:color w:val="auto"/>
                <w:sz w:val="20"/>
                <w:szCs w:val="20"/>
                <w:highlight w:val="none"/>
              </w:rPr>
              <w:t>业绩或工程总承包工程的施工业绩，每项得2.5分，本小项最高得10分。</w:t>
            </w:r>
          </w:p>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类似工程业绩指通信工程施工（通信管道工程），需提供合同关键页。合同关键页包括：首页、内容页、金额页、签字盖章页等。金额以合同金额为准，没有合同金额的框架合同，合同金额以订单为准。时间以合同签订时间为准。不符合条件或无提交上述扫描件的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第三方信用评价</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7分</w:t>
            </w:r>
            <w:r>
              <w:rPr>
                <w:rFonts w:hint="eastAsia" w:ascii="宋体" w:hAnsi="宋体" w:cs="宋体"/>
                <w:color w:val="auto"/>
                <w:sz w:val="20"/>
                <w:szCs w:val="20"/>
                <w:highlight w:val="none"/>
                <w:lang w:eastAsia="zh-CN"/>
              </w:rPr>
              <w:t>）</w:t>
            </w:r>
          </w:p>
        </w:tc>
        <w:tc>
          <w:tcPr>
            <w:tcW w:w="4142" w:type="pct"/>
            <w:gridSpan w:val="2"/>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 xml:space="preserve">（若为联合体，指主办方）具有高新技术企业称号的得2分，无或不满足则不得分。 </w:t>
            </w:r>
          </w:p>
          <w:p>
            <w:pPr>
              <w:spacing w:line="240" w:lineRule="auto"/>
              <w:jc w:val="both"/>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（联合体投标的，指设计方）具有</w:t>
            </w:r>
            <w:r>
              <w:rPr>
                <w:rFonts w:hint="eastAsia" w:ascii="宋体" w:hAnsi="宋体" w:cs="宋体"/>
                <w:color w:val="auto"/>
                <w:sz w:val="20"/>
                <w:szCs w:val="20"/>
                <w:highlight w:val="none"/>
                <w:lang w:val="en-US" w:eastAsia="zh-CN"/>
              </w:rPr>
              <w:t>省级或</w:t>
            </w:r>
            <w:r>
              <w:rPr>
                <w:rFonts w:hint="eastAsia" w:ascii="宋体" w:hAnsi="宋体" w:eastAsia="宋体" w:cs="宋体"/>
                <w:color w:val="auto"/>
                <w:sz w:val="20"/>
                <w:szCs w:val="20"/>
                <w:highlight w:val="none"/>
              </w:rPr>
              <w:t>以上行政主管部门颁发的通信类优秀建筑业企业称号</w:t>
            </w:r>
            <w:r>
              <w:rPr>
                <w:rFonts w:hint="eastAsia" w:ascii="宋体" w:hAnsi="宋体" w:eastAsia="宋体" w:cs="宋体"/>
                <w:color w:val="auto"/>
                <w:sz w:val="20"/>
                <w:szCs w:val="20"/>
                <w:highlight w:val="none"/>
                <w:lang w:val="zh-CN"/>
              </w:rPr>
              <w:t>，得5分</w:t>
            </w:r>
            <w:r>
              <w:rPr>
                <w:rFonts w:hint="eastAsia" w:ascii="宋体" w:hAnsi="宋体" w:cs="宋体"/>
                <w:color w:val="auto"/>
                <w:sz w:val="20"/>
                <w:szCs w:val="20"/>
                <w:highlight w:val="none"/>
                <w:lang w:val="zh-CN"/>
              </w:rPr>
              <w:t>；</w:t>
            </w:r>
            <w:r>
              <w:rPr>
                <w:rFonts w:hint="eastAsia" w:ascii="宋体" w:hAnsi="宋体" w:cs="宋体"/>
                <w:color w:val="auto"/>
                <w:sz w:val="20"/>
                <w:szCs w:val="20"/>
                <w:highlight w:val="none"/>
                <w:lang w:val="en-US" w:eastAsia="zh-CN"/>
              </w:rPr>
              <w:t>具有市级</w:t>
            </w:r>
            <w:r>
              <w:rPr>
                <w:rFonts w:hint="eastAsia" w:ascii="宋体" w:hAnsi="宋体" w:eastAsia="宋体" w:cs="宋体"/>
                <w:color w:val="auto"/>
                <w:sz w:val="20"/>
                <w:szCs w:val="20"/>
                <w:highlight w:val="none"/>
              </w:rPr>
              <w:t>行政主管部门颁发的通信类优秀建筑业企业称号</w:t>
            </w:r>
            <w:r>
              <w:rPr>
                <w:rFonts w:hint="eastAsia" w:ascii="宋体" w:hAnsi="宋体" w:eastAsia="宋体" w:cs="宋体"/>
                <w:color w:val="auto"/>
                <w:sz w:val="20"/>
                <w:szCs w:val="20"/>
                <w:highlight w:val="none"/>
                <w:lang w:val="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zh-CN"/>
              </w:rPr>
              <w:t>分</w:t>
            </w:r>
            <w:r>
              <w:rPr>
                <w:rFonts w:hint="eastAsia" w:ascii="宋体" w:hAnsi="宋体" w:cs="宋体"/>
                <w:color w:val="auto"/>
                <w:sz w:val="20"/>
                <w:szCs w:val="20"/>
                <w:highlight w:val="none"/>
                <w:lang w:val="zh-CN"/>
              </w:rPr>
              <w:t>；</w:t>
            </w:r>
            <w:r>
              <w:rPr>
                <w:rFonts w:hint="eastAsia" w:ascii="宋体" w:hAnsi="宋体" w:cs="宋体"/>
                <w:color w:val="auto"/>
                <w:sz w:val="20"/>
                <w:szCs w:val="20"/>
                <w:highlight w:val="none"/>
                <w:lang w:val="en-US" w:eastAsia="zh-CN"/>
              </w:rPr>
              <w:t>同</w:t>
            </w:r>
            <w:r>
              <w:rPr>
                <w:rFonts w:hint="eastAsia" w:ascii="宋体" w:hAnsi="宋体" w:eastAsia="宋体" w:cs="宋体"/>
                <w:color w:val="auto"/>
                <w:sz w:val="20"/>
                <w:szCs w:val="20"/>
                <w:highlight w:val="none"/>
                <w:lang w:val="en-US" w:eastAsia="zh-CN"/>
              </w:rPr>
              <w:t>级称号</w:t>
            </w:r>
            <w:r>
              <w:rPr>
                <w:rFonts w:hint="eastAsia" w:ascii="宋体" w:hAnsi="宋体" w:eastAsia="宋体" w:cs="宋体"/>
                <w:color w:val="auto"/>
                <w:sz w:val="20"/>
                <w:szCs w:val="20"/>
                <w:highlight w:val="none"/>
              </w:rPr>
              <w:t>按最高级别</w:t>
            </w:r>
            <w:r>
              <w:rPr>
                <w:rFonts w:hint="eastAsia" w:ascii="宋体" w:hAnsi="宋体" w:eastAsia="宋体" w:cs="宋体"/>
                <w:color w:val="auto"/>
                <w:sz w:val="20"/>
                <w:szCs w:val="20"/>
                <w:highlight w:val="none"/>
                <w:lang w:val="en-US" w:eastAsia="zh-CN"/>
              </w:rPr>
              <w:t>只</w:t>
            </w:r>
            <w:r>
              <w:rPr>
                <w:rFonts w:hint="eastAsia" w:ascii="宋体" w:hAnsi="宋体" w:eastAsia="宋体" w:cs="宋体"/>
                <w:color w:val="auto"/>
                <w:sz w:val="20"/>
                <w:szCs w:val="20"/>
                <w:highlight w:val="none"/>
              </w:rPr>
              <w:t>计一次得分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无或不满足则不得分</w:t>
            </w:r>
            <w:r>
              <w:rPr>
                <w:rFonts w:hint="eastAsia" w:ascii="宋体" w:hAnsi="宋体" w:eastAsia="宋体" w:cs="宋体"/>
                <w:color w:val="auto"/>
                <w:sz w:val="20"/>
                <w:szCs w:val="20"/>
                <w:highlight w:val="none"/>
                <w:lang w:val="zh-CN"/>
              </w:rPr>
              <w:t>。</w:t>
            </w:r>
          </w:p>
          <w:p>
            <w:pPr>
              <w:spacing w:line="240" w:lineRule="auto"/>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注：须提供有效期内的相关证书复印件加盖投标人公章或相关信息平台的公示截图加盖投标人公章作为评审依据，否则不得分。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科技创新成果（6分）</w:t>
            </w:r>
          </w:p>
        </w:tc>
        <w:tc>
          <w:tcPr>
            <w:tcW w:w="4142" w:type="pct"/>
            <w:gridSpan w:val="2"/>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投标人（若为联合体，指主办方）通信类相关软件著作权或专利证书数量进行评分：</w:t>
            </w:r>
          </w:p>
          <w:p>
            <w:pPr>
              <w:spacing w:line="240" w:lineRule="auto"/>
              <w:jc w:val="both"/>
              <w:rPr>
                <w:rFonts w:hint="eastAsia" w:ascii="宋体" w:hAnsi="宋体" w:eastAsia="宋体" w:cs="宋体"/>
                <w:color w:val="auto"/>
                <w:sz w:val="20"/>
                <w:szCs w:val="20"/>
                <w:highlight w:val="none"/>
              </w:rPr>
            </w:pPr>
            <w:r>
              <w:rPr>
                <w:rFonts w:hint="default" w:ascii="宋体" w:hAnsi="宋体" w:eastAsia="宋体" w:cs="宋体"/>
                <w:color w:val="auto"/>
                <w:sz w:val="20"/>
                <w:szCs w:val="20"/>
                <w:highlight w:val="none"/>
                <w:lang w:val="en-US"/>
              </w:rPr>
              <w:t>数量40个及以上的</w:t>
            </w:r>
            <w:r>
              <w:rPr>
                <w:rFonts w:hint="eastAsia" w:ascii="宋体" w:hAnsi="宋体" w:eastAsia="宋体" w:cs="宋体"/>
                <w:color w:val="auto"/>
                <w:sz w:val="20"/>
                <w:szCs w:val="20"/>
                <w:highlight w:val="none"/>
              </w:rPr>
              <w:t>，得6分；</w:t>
            </w:r>
            <w:r>
              <w:rPr>
                <w:rFonts w:hint="default" w:ascii="宋体" w:hAnsi="宋体" w:eastAsia="宋体" w:cs="宋体"/>
                <w:color w:val="auto"/>
                <w:sz w:val="20"/>
                <w:szCs w:val="20"/>
                <w:highlight w:val="none"/>
                <w:lang w:val="en-US"/>
              </w:rPr>
              <w:t>数量21－39个</w:t>
            </w:r>
            <w:r>
              <w:rPr>
                <w:rFonts w:hint="eastAsia" w:ascii="宋体" w:hAnsi="宋体" w:eastAsia="宋体" w:cs="宋体"/>
                <w:color w:val="auto"/>
                <w:sz w:val="20"/>
                <w:szCs w:val="20"/>
                <w:highlight w:val="none"/>
              </w:rPr>
              <w:t>的，得3分；数量20个及以下的，得1分；不提供的不得分。</w:t>
            </w:r>
          </w:p>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注：需提供证书扫描件及统计清单，加盖投标人公章作为评审依据。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restart"/>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人员配置（13分）</w:t>
            </w: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p>
          <w:p>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 xml:space="preserve"> </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4分</w:t>
            </w:r>
            <w:r>
              <w:rPr>
                <w:rFonts w:hint="eastAsia" w:ascii="宋体" w:hAnsi="宋体" w:cs="宋体"/>
                <w:color w:val="auto"/>
                <w:sz w:val="20"/>
                <w:szCs w:val="20"/>
                <w:highlight w:val="none"/>
                <w:lang w:eastAsia="zh-CN"/>
              </w:rPr>
              <w:t>）</w:t>
            </w:r>
          </w:p>
        </w:tc>
        <w:tc>
          <w:tcPr>
            <w:tcW w:w="3621" w:type="pct"/>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项目负责人</w:t>
            </w:r>
            <w:r>
              <w:rPr>
                <w:rFonts w:hint="eastAsia" w:ascii="宋体" w:hAnsi="宋体" w:eastAsia="宋体" w:cs="宋体"/>
                <w:bCs/>
                <w:color w:val="auto"/>
                <w:sz w:val="20"/>
                <w:szCs w:val="20"/>
                <w:highlight w:val="none"/>
              </w:rPr>
              <w:t>（若为联合体，指主办方）</w:t>
            </w:r>
            <w:r>
              <w:rPr>
                <w:rFonts w:hint="eastAsia" w:ascii="宋体" w:hAnsi="宋体" w:eastAsia="宋体" w:cs="宋体"/>
                <w:color w:val="auto"/>
                <w:sz w:val="20"/>
                <w:szCs w:val="20"/>
                <w:highlight w:val="none"/>
              </w:rPr>
              <w:t>：</w:t>
            </w:r>
          </w:p>
          <w:p>
            <w:pPr>
              <w:numPr>
                <w:ilvl w:val="-1"/>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 xml:space="preserve">具备一级注册建造师（通信与广电工程专业）资格证书，得2分；不具备不得分； </w:t>
            </w:r>
          </w:p>
          <w:p>
            <w:pPr>
              <w:numPr>
                <w:ilvl w:val="-1"/>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具备电子或通信类中级职称及以上的得1分，不具备不得分；</w:t>
            </w:r>
          </w:p>
          <w:p>
            <w:pPr>
              <w:numPr>
                <w:ilvl w:val="-1"/>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具备在有效期内的通信行业主管部门核发的安全生产考核合格证书（B证），得1分，不具备不得分。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continue"/>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设计负责人</w:t>
            </w:r>
          </w:p>
          <w:p>
            <w:pPr>
              <w:pStyle w:val="2"/>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（4分）</w:t>
            </w:r>
          </w:p>
        </w:tc>
        <w:tc>
          <w:tcPr>
            <w:tcW w:w="3621" w:type="pct"/>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设计负责人</w:t>
            </w:r>
            <w:r>
              <w:rPr>
                <w:rFonts w:hint="eastAsia" w:ascii="宋体" w:hAnsi="宋体" w:eastAsia="宋体" w:cs="宋体"/>
                <w:bCs/>
                <w:color w:val="auto"/>
                <w:sz w:val="20"/>
                <w:szCs w:val="20"/>
                <w:highlight w:val="none"/>
              </w:rPr>
              <w:t>（若为联合体，指设计方）</w:t>
            </w:r>
            <w:r>
              <w:rPr>
                <w:rFonts w:hint="eastAsia" w:ascii="宋体" w:hAnsi="宋体" w:eastAsia="宋体" w:cs="宋体"/>
                <w:color w:val="auto"/>
                <w:sz w:val="20"/>
                <w:szCs w:val="20"/>
                <w:highlight w:val="none"/>
              </w:rPr>
              <w:t>：</w:t>
            </w:r>
          </w:p>
          <w:p>
            <w:pPr>
              <w:numPr>
                <w:ilvl w:val="255"/>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1、具备一级注册造价工程师证书，得</w:t>
            </w:r>
            <w:r>
              <w:rPr>
                <w:rFonts w:hint="default" w:ascii="宋体" w:hAnsi="宋体" w:eastAsia="宋体" w:cs="宋体"/>
                <w:color w:val="auto"/>
                <w:sz w:val="20"/>
                <w:szCs w:val="20"/>
                <w:highlight w:val="none"/>
                <w:lang w:val="en-US"/>
              </w:rPr>
              <w:t>2</w:t>
            </w:r>
            <w:r>
              <w:rPr>
                <w:rFonts w:hint="eastAsia" w:ascii="宋体" w:hAnsi="宋体" w:eastAsia="宋体" w:cs="宋体"/>
                <w:color w:val="auto"/>
                <w:sz w:val="20"/>
                <w:szCs w:val="20"/>
                <w:highlight w:val="none"/>
              </w:rPr>
              <w:t xml:space="preserve">分；不具备不得分； </w:t>
            </w:r>
          </w:p>
          <w:p>
            <w:pPr>
              <w:numPr>
                <w:ilvl w:val="255"/>
                <w:numId w:val="0"/>
              </w:numPr>
              <w:spacing w:line="240" w:lineRule="auto"/>
              <w:ind w:left="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2、具备咨询工程师（电子、信息工程（含通信、广电、信息化）），得1分，不具备不得分；</w:t>
            </w:r>
          </w:p>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3、具备一级注册建造师（通信与广电工程专业）资格证书，得</w:t>
            </w:r>
            <w:r>
              <w:rPr>
                <w:rFonts w:hint="default" w:ascii="宋体" w:hAnsi="宋体" w:eastAsia="宋体" w:cs="宋体"/>
                <w:color w:val="auto"/>
                <w:sz w:val="20"/>
                <w:szCs w:val="20"/>
                <w:highlight w:val="none"/>
                <w:lang w:val="en-US"/>
              </w:rPr>
              <w:t>1</w:t>
            </w:r>
            <w:r>
              <w:rPr>
                <w:rFonts w:hint="eastAsia" w:ascii="宋体" w:hAnsi="宋体" w:eastAsia="宋体" w:cs="宋体"/>
                <w:color w:val="auto"/>
                <w:sz w:val="20"/>
                <w:szCs w:val="20"/>
                <w:highlight w:val="none"/>
              </w:rPr>
              <w:t>分，不具备不得分。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3" w:hRule="atLeast"/>
        </w:trPr>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continue"/>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安全负责人</w:t>
            </w:r>
          </w:p>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（3分）</w:t>
            </w:r>
          </w:p>
        </w:tc>
        <w:tc>
          <w:tcPr>
            <w:tcW w:w="3621" w:type="pct"/>
            <w:vAlign w:val="center"/>
          </w:tcPr>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拟委派的安全负责人（若为联合体，指主办方）具有注册安全工程师职业资格证书得3分，不具备不得分</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本项最高3分；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2" w:type="pct"/>
            <w:vMerge w:val="continue"/>
          </w:tcPr>
          <w:p>
            <w:pPr>
              <w:spacing w:line="240" w:lineRule="auto"/>
              <w:rPr>
                <w:rFonts w:hint="eastAsia" w:ascii="宋体" w:hAnsi="宋体" w:eastAsia="宋体" w:cs="宋体"/>
                <w:color w:val="auto"/>
                <w:sz w:val="20"/>
                <w:szCs w:val="20"/>
                <w:highlight w:val="none"/>
              </w:rPr>
            </w:pPr>
          </w:p>
        </w:tc>
        <w:tc>
          <w:tcPr>
            <w:tcW w:w="404" w:type="pct"/>
            <w:vMerge w:val="continue"/>
            <w:tcBorders>
              <w:right w:val="single" w:color="auto" w:sz="4" w:space="0"/>
            </w:tcBorders>
            <w:vAlign w:val="center"/>
          </w:tcPr>
          <w:p>
            <w:pPr>
              <w:spacing w:line="240" w:lineRule="auto"/>
              <w:jc w:val="center"/>
              <w:rPr>
                <w:rFonts w:hint="eastAsia" w:ascii="宋体" w:hAnsi="宋体" w:eastAsia="宋体" w:cs="宋体"/>
                <w:color w:val="auto"/>
                <w:sz w:val="20"/>
                <w:szCs w:val="20"/>
                <w:highlight w:val="none"/>
              </w:rPr>
            </w:pPr>
          </w:p>
        </w:tc>
        <w:tc>
          <w:tcPr>
            <w:tcW w:w="521" w:type="pct"/>
            <w:tcBorders>
              <w:left w:val="single" w:color="auto" w:sz="4" w:space="0"/>
            </w:tcBorders>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项目管理团队</w:t>
            </w:r>
          </w:p>
          <w:p>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 xml:space="preserve"> </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2分</w:t>
            </w:r>
            <w:r>
              <w:rPr>
                <w:rFonts w:hint="eastAsia" w:ascii="宋体" w:hAnsi="宋体" w:cs="宋体"/>
                <w:color w:val="auto"/>
                <w:sz w:val="20"/>
                <w:szCs w:val="20"/>
                <w:highlight w:val="none"/>
                <w:lang w:eastAsia="zh-CN"/>
              </w:rPr>
              <w:t>）</w:t>
            </w:r>
          </w:p>
        </w:tc>
        <w:tc>
          <w:tcPr>
            <w:tcW w:w="3621" w:type="pct"/>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项目管理团队人员配置（若为联合体，指主办方）：</w:t>
            </w:r>
          </w:p>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1、项目管理团队人员中每提供1名通信专业一级建造师人员证书得1分，本项得分最高1分； </w:t>
            </w:r>
          </w:p>
          <w:p>
            <w:pPr>
              <w:numPr>
                <w:ilvl w:val="255"/>
                <w:numId w:val="0"/>
              </w:num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2、项目管理团队人员中每提供1名通信专业中级及以上</w:t>
            </w:r>
            <w:r>
              <w:rPr>
                <w:rFonts w:hint="eastAsia" w:ascii="宋体" w:hAnsi="宋体" w:cs="宋体"/>
                <w:color w:val="auto"/>
                <w:sz w:val="20"/>
                <w:szCs w:val="20"/>
                <w:highlight w:val="none"/>
                <w:lang w:eastAsia="zh-CN"/>
              </w:rPr>
              <w:t>职称</w:t>
            </w:r>
            <w:r>
              <w:rPr>
                <w:rFonts w:hint="eastAsia" w:ascii="宋体" w:hAnsi="宋体" w:eastAsia="宋体" w:cs="宋体"/>
                <w:color w:val="auto"/>
                <w:sz w:val="20"/>
                <w:szCs w:val="20"/>
                <w:highlight w:val="none"/>
              </w:rPr>
              <w:t>人员证书得1分，本项最高1分；</w:t>
            </w:r>
          </w:p>
        </w:tc>
      </w:tr>
    </w:tbl>
    <w:p>
      <w:pPr>
        <w:spacing w:line="360" w:lineRule="auto"/>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注：</w:t>
      </w:r>
      <w:r>
        <w:rPr>
          <w:rFonts w:hint="eastAsia" w:ascii="宋体" w:hAnsi="宋体" w:eastAsia="宋体" w:cs="宋体"/>
          <w:color w:val="auto"/>
          <w:sz w:val="20"/>
          <w:szCs w:val="20"/>
          <w:highlight w:val="none"/>
        </w:rPr>
        <w:t>1、</w:t>
      </w:r>
      <w:r>
        <w:rPr>
          <w:rFonts w:hint="eastAsia" w:ascii="宋体" w:hAnsi="宋体" w:eastAsia="宋体" w:cs="宋体"/>
          <w:color w:val="auto"/>
          <w:sz w:val="20"/>
          <w:szCs w:val="21"/>
          <w:highlight w:val="none"/>
        </w:rPr>
        <w:t>人员配置：投标人须提供人员相关证书复印件及身份证复印件加盖投标人公章作为评审依据、同时提供招标公告当月往前顺推一个月（2023年0</w:t>
      </w:r>
      <w:r>
        <w:rPr>
          <w:rFonts w:hint="eastAsia" w:ascii="宋体" w:hAnsi="宋体" w:cs="宋体"/>
          <w:color w:val="auto"/>
          <w:sz w:val="20"/>
          <w:szCs w:val="21"/>
          <w:highlight w:val="none"/>
          <w:lang w:val="en-US" w:eastAsia="zh-CN"/>
        </w:rPr>
        <w:t>4</w:t>
      </w:r>
      <w:r>
        <w:rPr>
          <w:rFonts w:hint="eastAsia" w:ascii="宋体" w:hAnsi="宋体" w:eastAsia="宋体" w:cs="宋体"/>
          <w:color w:val="auto"/>
          <w:sz w:val="20"/>
          <w:szCs w:val="21"/>
          <w:highlight w:val="none"/>
        </w:rPr>
        <w:t>月）在投标人单位购买的社保缴纳证明材料（含分公司或分支机构社保缴纳记录），若当地政府部门允许企业在疫情期间缓缴社会保险费且投标人未缴纳的，投标人可提供当地政府部门允许缓缴社</w:t>
      </w:r>
      <w:r>
        <w:rPr>
          <w:rFonts w:hint="eastAsia" w:ascii="宋体" w:hAnsi="宋体" w:eastAsia="宋体" w:cs="宋体"/>
          <w:color w:val="auto"/>
          <w:sz w:val="20"/>
          <w:szCs w:val="20"/>
          <w:highlight w:val="none"/>
        </w:rPr>
        <w:t>保的相关文件作为缴纳社保的证明。确定中标人后，招标人将核实后续中标人以上人员的社保补缴情况。</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zh-CN"/>
        </w:rPr>
        <w:t>项目</w:t>
      </w:r>
      <w:r>
        <w:rPr>
          <w:rFonts w:hint="eastAsia" w:ascii="宋体" w:hAnsi="宋体" w:eastAsia="宋体" w:cs="宋体"/>
          <w:color w:val="auto"/>
          <w:sz w:val="20"/>
          <w:szCs w:val="20"/>
          <w:highlight w:val="none"/>
        </w:rPr>
        <w:t>负责人、</w:t>
      </w:r>
      <w:r>
        <w:rPr>
          <w:rFonts w:hint="eastAsia" w:ascii="宋体" w:hAnsi="宋体" w:eastAsia="宋体" w:cs="宋体"/>
          <w:color w:val="auto"/>
          <w:sz w:val="20"/>
          <w:szCs w:val="20"/>
          <w:highlight w:val="none"/>
          <w:lang w:val="zh-CN"/>
        </w:rPr>
        <w:t>设计负责人、各设计专业负责人、</w:t>
      </w:r>
      <w:r>
        <w:rPr>
          <w:rFonts w:hint="eastAsia" w:ascii="宋体" w:hAnsi="宋体" w:eastAsia="宋体" w:cs="宋体"/>
          <w:color w:val="auto"/>
          <w:sz w:val="20"/>
          <w:szCs w:val="20"/>
          <w:highlight w:val="none"/>
        </w:rPr>
        <w:t>技术负责人、安全负责人、其他专业工程师不得兼任，且安全负责人不能同时兼任专职安全员。</w:t>
      </w:r>
    </w:p>
    <w:p>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3、本表按百分制评分，所有评委每个分项的分数汇总后的算术平均值为投标人的最终得分。分数出现小数点，保留小数点后二位小数，第三位小数四舍五入。</w:t>
      </w:r>
    </w:p>
    <w:p>
      <w:pPr>
        <w:spacing w:line="360" w:lineRule="auto"/>
        <w:rPr>
          <w:rFonts w:hint="eastAsia" w:ascii="宋体" w:hAnsi="宋体" w:eastAsia="宋体" w:cs="宋体"/>
          <w:color w:val="auto"/>
          <w:sz w:val="20"/>
          <w:szCs w:val="20"/>
          <w:highlight w:val="none"/>
        </w:rPr>
      </w:pPr>
    </w:p>
    <w:p>
      <w:pPr>
        <w:spacing w:line="360" w:lineRule="auto"/>
        <w:rPr>
          <w:rFonts w:hint="eastAsia" w:ascii="宋体" w:hAnsi="宋体" w:eastAsia="宋体" w:cs="宋体"/>
          <w:color w:val="auto"/>
          <w:sz w:val="20"/>
          <w:szCs w:val="21"/>
          <w:highlight w:val="none"/>
        </w:rPr>
      </w:pPr>
      <w:r>
        <w:rPr>
          <w:rFonts w:hint="eastAsia" w:ascii="宋体" w:hAnsi="宋体" w:eastAsia="宋体" w:cs="宋体"/>
          <w:color w:val="auto"/>
          <w:sz w:val="20"/>
          <w:szCs w:val="20"/>
          <w:highlight w:val="none"/>
        </w:rPr>
        <w:t>评委签名：</w:t>
      </w:r>
      <w:r>
        <w:rPr>
          <w:rFonts w:hint="eastAsia" w:ascii="宋体" w:hAnsi="宋体" w:eastAsia="宋体" w:cs="宋体"/>
          <w:color w:val="auto"/>
          <w:szCs w:val="21"/>
          <w:highlight w:val="none"/>
        </w:rPr>
        <w:t xml:space="preserve">                 </w:t>
      </w:r>
      <w:r>
        <w:rPr>
          <w:rFonts w:hint="eastAsia" w:ascii="宋体" w:hAnsi="宋体" w:eastAsia="宋体" w:cs="宋体"/>
          <w:color w:val="auto"/>
          <w:sz w:val="20"/>
          <w:szCs w:val="20"/>
          <w:highlight w:val="none"/>
        </w:rPr>
        <w:t>日期：</w:t>
      </w: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附表6： </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施工费（建安工程费）投标报价综合评分表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4"/>
        <w:gridCol w:w="2002"/>
        <w:gridCol w:w="2002"/>
        <w:gridCol w:w="2002"/>
        <w:gridCol w:w="2002"/>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施工部分投标报价PT（元）</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计算参考数据</w:t>
            </w:r>
          </w:p>
        </w:tc>
        <w:tc>
          <w:tcPr>
            <w:tcW w:w="3360" w:type="pct"/>
            <w:gridSpan w:val="5"/>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评标参考价（PC）：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pPr>
              <w:tabs>
                <w:tab w:val="left" w:pos="0"/>
              </w:tabs>
              <w:spacing w:line="360" w:lineRule="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偏差（（PT-PC）/PC）（%）</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40" w:type="pct"/>
            <w:vAlign w:val="center"/>
          </w:tcPr>
          <w:p>
            <w:pPr>
              <w:tabs>
                <w:tab w:val="left" w:pos="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施工费（建安工程费）  投标报价得分(I=100-A)</w:t>
            </w: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c>
          <w:tcPr>
            <w:tcW w:w="672" w:type="pct"/>
            <w:vAlign w:val="center"/>
          </w:tcPr>
          <w:p>
            <w:pPr>
              <w:tabs>
                <w:tab w:val="left" w:pos="0"/>
              </w:tabs>
              <w:spacing w:line="360" w:lineRule="auto"/>
              <w:ind w:left="552" w:leftChars="228" w:hanging="73" w:hangingChars="35"/>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                  日期：</w:t>
      </w: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57" w:name="_Hlk79483538"/>
      <w:r>
        <w:rPr>
          <w:rFonts w:hint="eastAsia" w:ascii="宋体" w:hAnsi="宋体" w:eastAsia="宋体" w:cs="宋体"/>
          <w:b/>
          <w:color w:val="auto"/>
          <w:sz w:val="32"/>
          <w:szCs w:val="32"/>
          <w:highlight w:val="none"/>
        </w:rPr>
        <w:t>附表7：</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投标报价算术复核表</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工程名称：</w:t>
      </w:r>
    </w:p>
    <w:tbl>
      <w:tblPr>
        <w:tblStyle w:val="5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4258"/>
        <w:gridCol w:w="1814"/>
        <w:gridCol w:w="2223"/>
        <w:gridCol w:w="2017"/>
        <w:gridCol w:w="1817"/>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2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tc>
        <w:tc>
          <w:tcPr>
            <w:tcW w:w="609"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tc>
        <w:tc>
          <w:tcPr>
            <w:tcW w:w="746"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算术复核后报价（元）</w:t>
            </w:r>
          </w:p>
        </w:tc>
        <w:tc>
          <w:tcPr>
            <w:tcW w:w="677"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经评审的最终投标报价（元）</w:t>
            </w:r>
          </w:p>
        </w:tc>
        <w:tc>
          <w:tcPr>
            <w:tcW w:w="610"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偏差率</w:t>
            </w:r>
          </w:p>
        </w:tc>
        <w:tc>
          <w:tcPr>
            <w:tcW w:w="474" w:type="pc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52" w:type="pct"/>
          </w:tcPr>
          <w:p>
            <w:pPr>
              <w:spacing w:line="360" w:lineRule="auto"/>
              <w:jc w:val="center"/>
              <w:rPr>
                <w:rFonts w:hint="eastAsia" w:ascii="宋体" w:hAnsi="宋体" w:eastAsia="宋体" w:cs="宋体"/>
                <w:color w:val="auto"/>
                <w:szCs w:val="21"/>
                <w:highlight w:val="none"/>
              </w:rPr>
            </w:pPr>
          </w:p>
        </w:tc>
        <w:tc>
          <w:tcPr>
            <w:tcW w:w="1429" w:type="pct"/>
          </w:tcPr>
          <w:p>
            <w:pPr>
              <w:spacing w:line="360" w:lineRule="auto"/>
              <w:jc w:val="center"/>
              <w:rPr>
                <w:rFonts w:hint="eastAsia" w:ascii="宋体" w:hAnsi="宋体" w:eastAsia="宋体" w:cs="宋体"/>
                <w:color w:val="auto"/>
                <w:szCs w:val="21"/>
                <w:highlight w:val="none"/>
              </w:rPr>
            </w:pPr>
          </w:p>
        </w:tc>
        <w:tc>
          <w:tcPr>
            <w:tcW w:w="609" w:type="pct"/>
          </w:tcPr>
          <w:p>
            <w:pPr>
              <w:spacing w:line="360" w:lineRule="auto"/>
              <w:jc w:val="center"/>
              <w:rPr>
                <w:rFonts w:hint="eastAsia" w:ascii="宋体" w:hAnsi="宋体" w:eastAsia="宋体" w:cs="宋体"/>
                <w:color w:val="auto"/>
                <w:szCs w:val="21"/>
                <w:highlight w:val="none"/>
              </w:rPr>
            </w:pPr>
          </w:p>
        </w:tc>
        <w:tc>
          <w:tcPr>
            <w:tcW w:w="746" w:type="pct"/>
          </w:tcPr>
          <w:p>
            <w:pPr>
              <w:spacing w:line="360" w:lineRule="auto"/>
              <w:jc w:val="center"/>
              <w:rPr>
                <w:rFonts w:hint="eastAsia" w:ascii="宋体" w:hAnsi="宋体" w:eastAsia="宋体" w:cs="宋体"/>
                <w:color w:val="auto"/>
                <w:szCs w:val="21"/>
                <w:highlight w:val="none"/>
              </w:rPr>
            </w:pPr>
          </w:p>
        </w:tc>
        <w:tc>
          <w:tcPr>
            <w:tcW w:w="677" w:type="pct"/>
          </w:tcPr>
          <w:p>
            <w:pPr>
              <w:spacing w:line="360" w:lineRule="auto"/>
              <w:jc w:val="center"/>
              <w:rPr>
                <w:rFonts w:hint="eastAsia" w:ascii="宋体" w:hAnsi="宋体" w:eastAsia="宋体" w:cs="宋体"/>
                <w:color w:val="auto"/>
                <w:szCs w:val="21"/>
                <w:highlight w:val="none"/>
              </w:rPr>
            </w:pPr>
          </w:p>
        </w:tc>
        <w:tc>
          <w:tcPr>
            <w:tcW w:w="610" w:type="pct"/>
          </w:tcPr>
          <w:p>
            <w:pPr>
              <w:spacing w:line="360" w:lineRule="auto"/>
              <w:jc w:val="center"/>
              <w:rPr>
                <w:rFonts w:hint="eastAsia" w:ascii="宋体" w:hAnsi="宋体" w:eastAsia="宋体" w:cs="宋体"/>
                <w:color w:val="auto"/>
                <w:szCs w:val="21"/>
                <w:highlight w:val="none"/>
              </w:rPr>
            </w:pPr>
          </w:p>
        </w:tc>
        <w:tc>
          <w:tcPr>
            <w:tcW w:w="474" w:type="pct"/>
          </w:tcPr>
          <w:p>
            <w:pPr>
              <w:spacing w:line="360" w:lineRule="auto"/>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sectPr>
          <w:headerReference r:id="rId13" w:type="default"/>
          <w:footerReference r:id="rId14" w:type="default"/>
          <w:pgSz w:w="16838" w:h="11906" w:orient="landscape"/>
          <w:pgMar w:top="1440" w:right="1080" w:bottom="1440" w:left="1080" w:header="851" w:footer="992" w:gutter="0"/>
          <w:cols w:space="720" w:num="1"/>
          <w:docGrid w:linePitch="318" w:charSpace="0"/>
        </w:sectPr>
      </w:pPr>
      <w:r>
        <w:rPr>
          <w:rFonts w:hint="eastAsia" w:ascii="宋体" w:hAnsi="宋体" w:eastAsia="宋体" w:cs="宋体"/>
          <w:color w:val="auto"/>
          <w:szCs w:val="21"/>
          <w:highlight w:val="none"/>
        </w:rPr>
        <w:t>评委签名：                     日期：</w:t>
      </w:r>
    </w:p>
    <w:bookmarkEnd w:id="257"/>
    <w:p>
      <w:pPr>
        <w:pStyle w:val="4"/>
        <w:numPr>
          <w:ilvl w:val="0"/>
          <w:numId w:val="4"/>
        </w:numPr>
        <w:spacing w:line="360" w:lineRule="auto"/>
        <w:jc w:val="center"/>
        <w:rPr>
          <w:rFonts w:hint="eastAsia" w:ascii="宋体" w:hAnsi="宋体" w:eastAsia="宋体" w:cs="宋体"/>
          <w:color w:val="auto"/>
          <w:highlight w:val="none"/>
        </w:rPr>
      </w:pPr>
      <w:bookmarkStart w:id="258" w:name="_Toc22499"/>
      <w:bookmarkStart w:id="259" w:name="_Toc9605"/>
      <w:bookmarkStart w:id="260" w:name="_Toc505152705"/>
      <w:r>
        <w:rPr>
          <w:rFonts w:hint="eastAsia" w:ascii="宋体" w:hAnsi="宋体" w:eastAsia="宋体" w:cs="宋体"/>
          <w:color w:val="auto"/>
          <w:highlight w:val="none"/>
        </w:rPr>
        <w:t>合同条款及格式</w:t>
      </w:r>
      <w:bookmarkEnd w:id="258"/>
      <w:bookmarkEnd w:id="259"/>
      <w:bookmarkEnd w:id="260"/>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（另册）</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numPr>
          <w:ilvl w:val="0"/>
          <w:numId w:val="5"/>
        </w:numPr>
        <w:spacing w:line="360" w:lineRule="auto"/>
        <w:jc w:val="center"/>
        <w:rPr>
          <w:rFonts w:hint="eastAsia" w:ascii="宋体" w:hAnsi="宋体" w:eastAsia="宋体" w:cs="宋体"/>
          <w:color w:val="auto"/>
          <w:highlight w:val="none"/>
        </w:rPr>
      </w:pPr>
      <w:bookmarkStart w:id="261" w:name="_Toc23631"/>
      <w:bookmarkStart w:id="262" w:name="_Toc505152707"/>
      <w:bookmarkStart w:id="263" w:name="_Toc15197"/>
      <w:r>
        <w:rPr>
          <w:rFonts w:hint="eastAsia" w:ascii="宋体" w:hAnsi="宋体" w:eastAsia="宋体" w:cs="宋体"/>
          <w:color w:val="auto"/>
          <w:highlight w:val="none"/>
        </w:rPr>
        <w:t>发包人要求</w:t>
      </w:r>
      <w:bookmarkEnd w:id="261"/>
      <w:bookmarkEnd w:id="262"/>
      <w:bookmarkEnd w:id="263"/>
    </w:p>
    <w:p>
      <w:pPr>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基础资料和设计任务书</w:t>
      </w:r>
    </w:p>
    <w:p>
      <w:pPr>
        <w:spacing w:before="156" w:beforeLines="50" w:after="156" w:afterLines="50"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1工程</w:t>
      </w:r>
      <w:r>
        <w:rPr>
          <w:rFonts w:hint="eastAsia" w:ascii="宋体" w:hAnsi="宋体" w:eastAsia="宋体" w:cs="宋体"/>
          <w:b/>
          <w:color w:val="auto"/>
          <w:sz w:val="24"/>
          <w:highlight w:val="none"/>
          <w:lang w:val="en-US" w:eastAsia="zh-CN"/>
        </w:rPr>
        <w:t>背景</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面对粤港澳大湾区建设和构建“一核一带一区”区域发展格局的重大机遇，广清不断加快提升交通设施一体化、产业一体化、营商环境一体化的新格局，将广清两市建设成为全省破除区域发展不平衡不协调问题的先行地。</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根据广州市和清远市签订的《深化广清一体化高质量发展战略合作框架协议》</w:t>
      </w:r>
      <w:r>
        <w:rPr>
          <w:rStyle w:val="711"/>
          <w:rFonts w:hint="eastAsia" w:ascii="宋体" w:hAnsi="宋体" w:cs="宋体"/>
          <w:color w:val="auto"/>
          <w:kern w:val="2"/>
          <w:highlight w:val="none"/>
          <w:lang w:eastAsia="zh-CN"/>
        </w:rPr>
        <w:t>，</w:t>
      </w:r>
      <w:r>
        <w:rPr>
          <w:rStyle w:val="711"/>
          <w:rFonts w:hint="eastAsia" w:ascii="宋体" w:hAnsi="宋体" w:eastAsia="宋体" w:cs="宋体"/>
          <w:color w:val="auto"/>
          <w:kern w:val="2"/>
          <w:highlight w:val="none"/>
        </w:rPr>
        <w:t>双方将建设广清经济特别合作区。广清经济特别合作区包含“三园一城”</w:t>
      </w:r>
      <w:r>
        <w:rPr>
          <w:rStyle w:val="711"/>
          <w:rFonts w:hint="eastAsia" w:ascii="宋体" w:hAnsi="宋体" w:cs="宋体"/>
          <w:color w:val="auto"/>
          <w:kern w:val="2"/>
          <w:highlight w:val="none"/>
          <w:lang w:eastAsia="zh-CN"/>
        </w:rPr>
        <w:t>，</w:t>
      </w:r>
      <w:r>
        <w:rPr>
          <w:rStyle w:val="711"/>
          <w:rFonts w:hint="eastAsia" w:ascii="宋体" w:hAnsi="宋体" w:eastAsia="宋体" w:cs="宋体"/>
          <w:color w:val="auto"/>
          <w:kern w:val="2"/>
          <w:highlight w:val="none"/>
        </w:rPr>
        <w:t>广清(清城)、广德(英德)、广佛(佛冈)三个产业园和广清空港现代物流产业新城。</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广佛(佛冈)产业园位于佛冈县汤塘镇</w:t>
      </w:r>
      <w:r>
        <w:rPr>
          <w:rStyle w:val="711"/>
          <w:rFonts w:hint="eastAsia" w:ascii="宋体" w:hAnsi="宋体" w:eastAsia="宋体" w:cs="宋体"/>
          <w:color w:val="auto"/>
          <w:kern w:val="2"/>
          <w:highlight w:val="none"/>
          <w:lang w:eastAsia="zh-CN"/>
        </w:rPr>
        <w:t>，</w:t>
      </w:r>
      <w:r>
        <w:rPr>
          <w:rStyle w:val="711"/>
          <w:rFonts w:hint="eastAsia" w:ascii="宋体" w:hAnsi="宋体" w:eastAsia="宋体" w:cs="宋体"/>
          <w:color w:val="auto"/>
          <w:kern w:val="2"/>
          <w:highlight w:val="none"/>
        </w:rPr>
        <w:t>由广州开发区和佛冈县合作共建,是广州和清远产业共建、推进广清一体化发展的三大重要园区之一。园区总规划面积25.9平方公里,首期规划面积11.2平方公里。园区交通区位优势明显,至清远市区、广州白云机场、广州开发区中新知识城均约1小时车程。</w:t>
      </w:r>
    </w:p>
    <w:p>
      <w:pPr>
        <w:spacing w:line="360" w:lineRule="auto"/>
        <w:ind w:firstLine="555"/>
        <w:rPr>
          <w:rFonts w:hint="eastAsia" w:ascii="宋体" w:hAnsi="宋体" w:eastAsia="宋体" w:cs="宋体"/>
          <w:color w:val="auto"/>
          <w:highlight w:val="none"/>
        </w:rPr>
      </w:pPr>
      <w:r>
        <w:rPr>
          <w:rStyle w:val="711"/>
          <w:rFonts w:hint="eastAsia" w:ascii="宋体" w:hAnsi="宋体" w:eastAsia="宋体" w:cs="宋体"/>
          <w:color w:val="auto"/>
          <w:kern w:val="2"/>
          <w:highlight w:val="none"/>
        </w:rPr>
        <w:t>根据《</w:t>
      </w:r>
      <w:r>
        <w:rPr>
          <w:rStyle w:val="711"/>
          <w:rFonts w:hint="eastAsia" w:ascii="宋体" w:hAnsi="宋体" w:eastAsia="宋体" w:cs="宋体"/>
          <w:color w:val="auto"/>
          <w:kern w:val="2"/>
          <w:highlight w:val="none"/>
          <w:lang w:eastAsia="zh-CN"/>
        </w:rPr>
        <w:t>广佛（佛冈）产业园</w:t>
      </w:r>
      <w:r>
        <w:rPr>
          <w:rStyle w:val="711"/>
          <w:rFonts w:hint="eastAsia" w:ascii="宋体" w:hAnsi="宋体" w:eastAsia="宋体" w:cs="宋体"/>
          <w:color w:val="auto"/>
          <w:kern w:val="2"/>
          <w:highlight w:val="none"/>
        </w:rPr>
        <w:t xml:space="preserve"> B 区汤塘片区（即广佛(佛冈)产业园）控制性详细规划》，广佛(佛冈)产业园发展目标为深入实施广清一体化战略和清远南融的重要产业发展平台，佛冈县新经济增长点，汤塘镇新型城镇化建设的展示窗口，宜业宜居的生态型综合园区。产业定位以智能装备制造、生物医药与生命健康、精细化工、现代食品为主导产业，以农产加工、商贸物流、休闲旅游为辅助产业。规划区内可提供就业岗位约4.3万个</w:t>
      </w:r>
      <w:r>
        <w:rPr>
          <w:rStyle w:val="711"/>
          <w:rFonts w:hint="eastAsia" w:ascii="宋体" w:hAnsi="宋体" w:eastAsia="宋体" w:cs="宋体"/>
          <w:color w:val="auto"/>
          <w:kern w:val="2"/>
          <w:highlight w:val="none"/>
          <w:lang w:eastAsia="zh-CN"/>
        </w:rPr>
        <w:t>，</w:t>
      </w:r>
      <w:r>
        <w:rPr>
          <w:rStyle w:val="711"/>
          <w:rFonts w:hint="eastAsia" w:ascii="宋体" w:hAnsi="宋体" w:eastAsia="宋体" w:cs="宋体"/>
          <w:color w:val="auto"/>
          <w:kern w:val="2"/>
          <w:highlight w:val="none"/>
        </w:rPr>
        <w:t>居住用地可容纳的常住人口</w:t>
      </w:r>
      <w:r>
        <w:rPr>
          <w:rStyle w:val="711"/>
          <w:rFonts w:hint="eastAsia" w:ascii="宋体" w:hAnsi="宋体" w:eastAsia="宋体" w:cs="宋体"/>
          <w:color w:val="auto"/>
          <w:kern w:val="2"/>
          <w:highlight w:val="none"/>
          <w:lang w:val="en-US" w:eastAsia="zh-CN"/>
        </w:rPr>
        <w:t>约</w:t>
      </w:r>
      <w:r>
        <w:rPr>
          <w:rStyle w:val="711"/>
          <w:rFonts w:hint="eastAsia" w:ascii="宋体" w:hAnsi="宋体" w:eastAsia="宋体" w:cs="宋体"/>
          <w:color w:val="auto"/>
          <w:kern w:val="2"/>
          <w:highlight w:val="none"/>
        </w:rPr>
        <w:t>7.2万人。</w:t>
      </w:r>
    </w:p>
    <w:p>
      <w:pPr>
        <w:pStyle w:val="712"/>
        <w:tabs>
          <w:tab w:val="left" w:pos="3960"/>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根据《关于调研广佛（佛冈）产业园的纪要》〔2019〕149 号提到园区发展正处于起步阶段，公共配套基础设施底子薄弱，请广佛（佛冈）产业园管委会精细谋划园区的配套基础设施建设，对标黄埔区、广州开发区标准，全力加快园区市政道路、110 千伏变电站等建设，抓紧解决园区临时用水、用电需求问题，同步配套燃气、供热、通讯等，以科学、超前的规划引领园区有序、健康发展。</w:t>
      </w:r>
    </w:p>
    <w:p>
      <w:pPr>
        <w:pStyle w:val="712"/>
        <w:tabs>
          <w:tab w:val="left" w:pos="3960"/>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本次建设将落实园区“七通一平”建设，提高园区4G、5G 通信设施水平，推进园区先进技术的产业化，有力推动园区4G、5G 通信设施建设租赁事业的发展，创造出巨大的经济效益和社会效益。</w:t>
      </w:r>
    </w:p>
    <w:p>
      <w:pPr>
        <w:spacing w:before="156" w:beforeLines="50" w:after="156" w:afterLines="50"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2设计</w:t>
      </w:r>
      <w:r>
        <w:rPr>
          <w:rFonts w:hint="eastAsia" w:ascii="宋体" w:hAnsi="宋体" w:eastAsia="宋体" w:cs="宋体"/>
          <w:b/>
          <w:color w:val="auto"/>
          <w:sz w:val="24"/>
          <w:highlight w:val="none"/>
          <w:lang w:val="en-US" w:eastAsia="zh-CN"/>
        </w:rPr>
        <w:t>目标及达到效果</w:t>
      </w:r>
    </w:p>
    <w:p>
      <w:pPr>
        <w:pStyle w:val="712"/>
        <w:tabs>
          <w:tab w:val="left" w:pos="3960"/>
        </w:tabs>
        <w:spacing w:line="360" w:lineRule="auto"/>
        <w:ind w:firstLine="573"/>
        <w:rPr>
          <w:rFonts w:hint="eastAsia" w:ascii="宋体" w:hAnsi="宋体" w:eastAsia="宋体" w:cs="宋体"/>
          <w:color w:val="auto"/>
          <w:highlight w:val="none"/>
        </w:rPr>
      </w:pPr>
      <w:r>
        <w:rPr>
          <w:rFonts w:hint="eastAsia" w:ascii="宋体" w:hAnsi="宋体" w:eastAsia="宋体" w:cs="宋体"/>
          <w:color w:val="auto"/>
          <w:highlight w:val="none"/>
        </w:rPr>
        <w:t>项目为</w:t>
      </w:r>
      <w:r>
        <w:rPr>
          <w:rFonts w:hint="eastAsia" w:ascii="宋体" w:hAnsi="宋体" w:eastAsia="宋体" w:cs="宋体"/>
          <w:color w:val="auto"/>
          <w:highlight w:val="none"/>
          <w:lang w:eastAsia="zh-CN"/>
        </w:rPr>
        <w:t>园区通信设施建设</w:t>
      </w:r>
      <w:r>
        <w:rPr>
          <w:rFonts w:hint="eastAsia" w:ascii="宋体" w:hAnsi="宋体" w:eastAsia="宋体" w:cs="宋体"/>
          <w:color w:val="auto"/>
          <w:highlight w:val="none"/>
        </w:rPr>
        <w:t>，建成后</w:t>
      </w:r>
      <w:r>
        <w:rPr>
          <w:rFonts w:hint="eastAsia" w:ascii="宋体" w:hAnsi="宋体" w:eastAsia="宋体" w:cs="宋体"/>
          <w:color w:val="auto"/>
          <w:highlight w:val="none"/>
          <w:lang w:val="en-US" w:eastAsia="zh-CN"/>
        </w:rPr>
        <w:t>可以</w:t>
      </w:r>
      <w:r>
        <w:rPr>
          <w:rFonts w:hint="eastAsia" w:ascii="宋体" w:hAnsi="宋体" w:eastAsia="宋体" w:cs="宋体"/>
          <w:color w:val="auto"/>
          <w:highlight w:val="none"/>
        </w:rPr>
        <w:t>极大地提升</w:t>
      </w:r>
      <w:r>
        <w:rPr>
          <w:rFonts w:hint="eastAsia" w:ascii="宋体" w:hAnsi="宋体" w:eastAsia="宋体" w:cs="宋体"/>
          <w:color w:val="auto"/>
          <w:highlight w:val="none"/>
          <w:lang w:eastAsia="zh-CN"/>
        </w:rPr>
        <w:t>园区</w:t>
      </w:r>
      <w:r>
        <w:rPr>
          <w:rFonts w:hint="eastAsia" w:ascii="宋体" w:hAnsi="宋体" w:eastAsia="宋体" w:cs="宋体"/>
          <w:color w:val="auto"/>
          <w:highlight w:val="none"/>
        </w:rPr>
        <w:t>服务水平，有力地促进</w:t>
      </w:r>
      <w:r>
        <w:rPr>
          <w:rFonts w:hint="eastAsia" w:ascii="宋体" w:hAnsi="宋体" w:eastAsia="宋体" w:cs="宋体"/>
          <w:color w:val="auto"/>
          <w:highlight w:val="none"/>
          <w:lang w:eastAsia="zh-CN"/>
        </w:rPr>
        <w:t>园区</w:t>
      </w:r>
      <w:r>
        <w:rPr>
          <w:rFonts w:hint="eastAsia" w:ascii="宋体" w:hAnsi="宋体" w:eastAsia="宋体" w:cs="宋体"/>
          <w:color w:val="auto"/>
          <w:highlight w:val="none"/>
        </w:rPr>
        <w:t>开发进程，并进一步完善区域服务体系，助力广清一体化发展。</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3总图</w:t>
      </w:r>
    </w:p>
    <w:p>
      <w:pPr>
        <w:pStyle w:val="397"/>
        <w:spacing w:line="360" w:lineRule="auto"/>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drawing>
          <wp:inline distT="0" distB="0" distL="114300" distR="114300">
            <wp:extent cx="5568315" cy="3457575"/>
            <wp:effectExtent l="0" t="0" r="9525"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9"/>
                    <a:srcRect l="4460"/>
                    <a:stretch>
                      <a:fillRect/>
                    </a:stretch>
                  </pic:blipFill>
                  <pic:spPr>
                    <a:xfrm>
                      <a:off x="0" y="0"/>
                      <a:ext cx="5568315" cy="3457575"/>
                    </a:xfrm>
                    <a:prstGeom prst="rect">
                      <a:avLst/>
                    </a:prstGeom>
                    <a:noFill/>
                    <a:ln>
                      <a:noFill/>
                    </a:ln>
                  </pic:spPr>
                </pic:pic>
              </a:graphicData>
            </a:graphic>
          </wp:inline>
        </w:drawing>
      </w:r>
    </w:p>
    <w:p>
      <w:pPr>
        <w:pStyle w:val="397"/>
        <w:spacing w:line="360" w:lineRule="auto"/>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项目总平面图</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4编制依据</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各通信单位的管容需求</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5周边环境现状</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由投标人自行收集。</w:t>
      </w:r>
    </w:p>
    <w:p>
      <w:pPr>
        <w:spacing w:before="156" w:beforeLines="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6技术标准</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（1）《城市工程管线综合规划规范》（GB50289-2016）；</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（2）《通信管道与通道工程设计规范》（YD5007-2003）；</w:t>
      </w:r>
    </w:p>
    <w:p>
      <w:pPr>
        <w:spacing w:line="360" w:lineRule="auto"/>
        <w:ind w:firstLine="420" w:firstLineChars="200"/>
        <w:textAlignment w:val="baseline"/>
        <w:rPr>
          <w:rStyle w:val="711"/>
          <w:rFonts w:hint="eastAsia" w:ascii="宋体" w:hAnsi="宋体" w:eastAsia="宋体" w:cs="宋体"/>
          <w:color w:val="auto"/>
          <w:kern w:val="2"/>
          <w:highlight w:val="none"/>
        </w:rPr>
      </w:pPr>
      <w:r>
        <w:rPr>
          <w:rStyle w:val="711"/>
          <w:rFonts w:hint="eastAsia" w:ascii="宋体" w:hAnsi="宋体" w:eastAsia="宋体" w:cs="宋体"/>
          <w:color w:val="auto"/>
          <w:kern w:val="2"/>
          <w:highlight w:val="none"/>
        </w:rPr>
        <w:t>（3）《通信管道工程施工及验收标准》（GB/T 50374-2018）；</w:t>
      </w:r>
    </w:p>
    <w:p>
      <w:pPr>
        <w:pStyle w:val="397"/>
        <w:spacing w:line="360" w:lineRule="auto"/>
        <w:ind w:firstLine="480"/>
        <w:rPr>
          <w:rFonts w:hint="eastAsia" w:ascii="宋体" w:hAnsi="宋体" w:eastAsia="宋体" w:cs="宋体"/>
          <w:color w:val="auto"/>
          <w:highlight w:val="none"/>
          <w:lang w:val="en-US" w:eastAsia="zh-CN"/>
        </w:rPr>
      </w:pP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spacing w:line="360" w:lineRule="auto"/>
        <w:jc w:val="center"/>
        <w:rPr>
          <w:rFonts w:hint="eastAsia" w:ascii="宋体" w:hAnsi="宋体" w:eastAsia="宋体" w:cs="宋体"/>
          <w:color w:val="auto"/>
          <w:sz w:val="32"/>
          <w:highlight w:val="none"/>
        </w:rPr>
      </w:pPr>
    </w:p>
    <w:p>
      <w:pPr>
        <w:pStyle w:val="375"/>
        <w:pageBreakBefore/>
        <w:framePr w:w="12701" w:wrap="around" w:vAnchor="page" w:hAnchor="page" w:y="754"/>
        <w:spacing w:line="360" w:lineRule="auto"/>
        <w:rPr>
          <w:rFonts w:hint="eastAsia" w:ascii="宋体" w:hAnsi="宋体" w:eastAsia="宋体" w:cs="宋体"/>
          <w:color w:val="auto"/>
          <w:highlight w:val="none"/>
        </w:rPr>
      </w:pPr>
    </w:p>
    <w:p>
      <w:pPr>
        <w:pStyle w:val="4"/>
        <w:spacing w:line="360" w:lineRule="auto"/>
        <w:jc w:val="center"/>
        <w:rPr>
          <w:rFonts w:hint="eastAsia" w:ascii="宋体" w:hAnsi="宋体" w:eastAsia="宋体" w:cs="宋体"/>
          <w:color w:val="auto"/>
          <w:highlight w:val="none"/>
        </w:rPr>
      </w:pPr>
      <w:bookmarkStart w:id="264" w:name="_Toc20561"/>
      <w:bookmarkStart w:id="265" w:name="_Toc22706"/>
      <w:bookmarkStart w:id="266" w:name="_Toc505152708"/>
      <w:r>
        <w:rPr>
          <w:rFonts w:hint="eastAsia" w:ascii="宋体" w:hAnsi="宋体" w:eastAsia="宋体" w:cs="宋体"/>
          <w:color w:val="auto"/>
          <w:highlight w:val="none"/>
        </w:rPr>
        <w:t>第五章  投标文件格式</w:t>
      </w:r>
      <w:bookmarkEnd w:id="264"/>
      <w:bookmarkEnd w:id="265"/>
      <w:bookmarkEnd w:id="266"/>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sectPr>
          <w:pgSz w:w="11907" w:h="16840"/>
          <w:pgMar w:top="1440" w:right="1080" w:bottom="1440" w:left="1080" w:header="851" w:footer="992" w:gutter="0"/>
          <w:cols w:space="720" w:num="1"/>
          <w:docGrid w:linePitch="312" w:charSpace="0"/>
        </w:sectPr>
      </w:pPr>
    </w:p>
    <w:p>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格式1：</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投标书</w:t>
      </w:r>
    </w:p>
    <w:tbl>
      <w:tblPr>
        <w:tblStyle w:val="5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900"/>
        <w:gridCol w:w="2489"/>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项目名称</w:t>
            </w:r>
          </w:p>
        </w:tc>
        <w:tc>
          <w:tcPr>
            <w:tcW w:w="3750" w:type="pct"/>
            <w:gridSpan w:val="2"/>
            <w:vAlign w:val="center"/>
          </w:tcPr>
          <w:p>
            <w:pPr>
              <w:spacing w:line="360" w:lineRule="auto"/>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广清经济特别合作区广佛（佛冈）产业园统建管道接入工程设计、施工（一期）总承包</w:t>
            </w:r>
            <w:r>
              <w:rPr>
                <w:rFonts w:hint="eastAsia" w:ascii="宋体" w:hAnsi="宋体" w:cs="宋体"/>
                <w:b/>
                <w:color w:val="auto"/>
                <w:szCs w:val="21"/>
                <w:highlight w:val="none"/>
                <w:lang w:val="zh-CN"/>
              </w:rPr>
              <w:t>（</w:t>
            </w:r>
            <w:r>
              <w:rPr>
                <w:rFonts w:hint="eastAsia" w:ascii="宋体" w:hAnsi="宋体" w:cs="宋体"/>
                <w:b/>
                <w:color w:val="auto"/>
                <w:szCs w:val="21"/>
                <w:highlight w:val="none"/>
                <w:lang w:val="en-US" w:eastAsia="zh-CN"/>
              </w:rPr>
              <w:t>重新招标</w:t>
            </w:r>
            <w:r>
              <w:rPr>
                <w:rFonts w:hint="eastAsia" w:ascii="宋体" w:hAnsi="宋体" w:cs="宋体"/>
                <w:b/>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投标</w:t>
            </w:r>
            <w:r>
              <w:rPr>
                <w:rFonts w:hint="eastAsia" w:ascii="宋体" w:hAnsi="宋体" w:eastAsia="宋体" w:cs="宋体"/>
                <w:b/>
                <w:color w:val="auto"/>
                <w:szCs w:val="21"/>
                <w:highlight w:val="none"/>
              </w:rPr>
              <w:t>总</w:t>
            </w:r>
            <w:r>
              <w:rPr>
                <w:rFonts w:hint="eastAsia" w:ascii="宋体" w:hAnsi="宋体" w:eastAsia="宋体" w:cs="宋体"/>
                <w:b/>
                <w:color w:val="auto"/>
                <w:szCs w:val="21"/>
                <w:highlight w:val="none"/>
                <w:lang w:val="zh-CN"/>
              </w:rPr>
              <w:t>报价（元）</w:t>
            </w:r>
          </w:p>
        </w:tc>
        <w:tc>
          <w:tcPr>
            <w:tcW w:w="3750" w:type="pct"/>
            <w:gridSpan w:val="2"/>
            <w:vAlign w:val="center"/>
          </w:tcPr>
          <w:p>
            <w:pPr>
              <w:snapToGrid w:val="0"/>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大写：</w:t>
            </w:r>
          </w:p>
          <w:p>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83" w:type="pct"/>
            <w:vMerge w:val="restart"/>
            <w:tcBorders>
              <w:right w:val="single" w:color="000000" w:sz="4" w:space="0"/>
            </w:tcBorders>
            <w:vAlign w:val="center"/>
          </w:tcPr>
          <w:p>
            <w:pPr>
              <w:spacing w:line="24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其中：</w:t>
            </w:r>
          </w:p>
        </w:tc>
        <w:tc>
          <w:tcPr>
            <w:tcW w:w="966" w:type="pct"/>
            <w:tcBorders>
              <w:left w:val="single" w:color="000000" w:sz="4" w:space="0"/>
            </w:tcBorders>
            <w:vAlign w:val="center"/>
          </w:tcPr>
          <w:p>
            <w:pPr>
              <w:numPr>
                <w:ilvl w:val="0"/>
                <w:numId w:val="6"/>
              </w:numPr>
              <w:spacing w:line="24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施工费</w:t>
            </w:r>
          </w:p>
          <w:p>
            <w:pPr>
              <w:spacing w:line="24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建安</w:t>
            </w:r>
            <w:r>
              <w:rPr>
                <w:rFonts w:hint="eastAsia" w:ascii="宋体" w:hAnsi="宋体" w:eastAsia="宋体" w:cs="宋体"/>
                <w:b/>
                <w:color w:val="auto"/>
                <w:szCs w:val="21"/>
                <w:highlight w:val="none"/>
                <w:lang w:val="zh-CN"/>
              </w:rPr>
              <w:t>工程费）</w:t>
            </w:r>
          </w:p>
        </w:tc>
        <w:tc>
          <w:tcPr>
            <w:tcW w:w="3750" w:type="pct"/>
            <w:gridSpan w:val="2"/>
            <w:vAlign w:val="center"/>
          </w:tcPr>
          <w:p>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大写：</w:t>
            </w:r>
          </w:p>
          <w:p>
            <w:pPr>
              <w:spacing w:line="24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小写： 元</w:t>
            </w:r>
          </w:p>
          <w:p>
            <w:pPr>
              <w:spacing w:line="240" w:lineRule="auto"/>
              <w:jc w:val="left"/>
              <w:rPr>
                <w:rFonts w:hint="eastAsia" w:ascii="宋体" w:hAnsi="宋体" w:eastAsia="宋体" w:cs="宋体"/>
                <w:color w:val="auto"/>
                <w:highlight w:val="none"/>
                <w:lang w:val="en-US" w:eastAsia="zh-CN"/>
              </w:rPr>
            </w:pPr>
            <w:r>
              <w:rPr>
                <w:rFonts w:hint="eastAsia" w:ascii="宋体" w:hAnsi="宋体" w:eastAsia="宋体" w:cs="宋体"/>
                <w:b/>
                <w:color w:val="auto"/>
                <w:szCs w:val="21"/>
                <w:highlight w:val="none"/>
                <w:lang w:val="en-US" w:eastAsia="zh-CN"/>
              </w:rPr>
              <w:t xml:space="preserve">下浮率： </w:t>
            </w:r>
            <w:r>
              <w:rPr>
                <w:rFonts w:hint="eastAsia" w:ascii="宋体" w:hAnsi="宋体" w:cs="宋体"/>
                <w:b/>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right w:val="single" w:color="000000" w:sz="4" w:space="0"/>
            </w:tcBorders>
            <w:vAlign w:val="center"/>
          </w:tcPr>
          <w:p>
            <w:pPr>
              <w:spacing w:line="240" w:lineRule="auto"/>
              <w:ind w:firstLine="422" w:firstLineChars="200"/>
              <w:rPr>
                <w:rFonts w:hint="eastAsia" w:ascii="宋体" w:hAnsi="宋体" w:cs="宋体"/>
                <w:b/>
                <w:color w:val="auto"/>
                <w:szCs w:val="21"/>
                <w:highlight w:val="none"/>
              </w:rPr>
            </w:pPr>
          </w:p>
        </w:tc>
        <w:tc>
          <w:tcPr>
            <w:tcW w:w="966" w:type="pct"/>
            <w:tcBorders>
              <w:left w:val="single" w:color="000000" w:sz="4" w:space="0"/>
            </w:tcBorders>
            <w:vAlign w:val="center"/>
          </w:tcPr>
          <w:p>
            <w:pPr>
              <w:spacing w:line="240" w:lineRule="auto"/>
              <w:rPr>
                <w:rFonts w:hint="eastAsia" w:ascii="宋体" w:hAnsi="宋体" w:cs="宋体"/>
                <w:b/>
                <w:color w:val="auto"/>
                <w:szCs w:val="21"/>
                <w:highlight w:val="none"/>
                <w:lang w:val="zh-CN"/>
              </w:rPr>
            </w:pPr>
            <w:r>
              <w:rPr>
                <w:rFonts w:hint="eastAsia" w:ascii="宋体" w:hAnsi="宋体" w:cs="宋体"/>
                <w:b/>
                <w:color w:val="auto"/>
                <w:szCs w:val="21"/>
                <w:highlight w:val="none"/>
              </w:rPr>
              <w:t>二</w:t>
            </w:r>
            <w:r>
              <w:rPr>
                <w:rFonts w:hint="eastAsia" w:ascii="宋体" w:hAnsi="宋体" w:cs="宋体"/>
                <w:b/>
                <w:color w:val="auto"/>
                <w:szCs w:val="21"/>
                <w:highlight w:val="none"/>
                <w:lang w:val="zh-CN"/>
              </w:rPr>
              <w:t>、工程设计费</w:t>
            </w:r>
          </w:p>
        </w:tc>
        <w:tc>
          <w:tcPr>
            <w:tcW w:w="3750" w:type="pct"/>
            <w:gridSpan w:val="2"/>
            <w:vAlign w:val="center"/>
          </w:tcPr>
          <w:p>
            <w:pPr>
              <w:snapToGrid w:val="0"/>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大写：</w:t>
            </w:r>
          </w:p>
          <w:p>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投标工期</w:t>
            </w:r>
          </w:p>
        </w:tc>
        <w:tc>
          <w:tcPr>
            <w:tcW w:w="3750" w:type="pct"/>
            <w:gridSpan w:val="2"/>
            <w:vAlign w:val="center"/>
          </w:tcPr>
          <w:p>
            <w:pPr>
              <w:spacing w:line="360" w:lineRule="auto"/>
              <w:rPr>
                <w:rFonts w:hint="eastAsia" w:ascii="宋体" w:hAnsi="宋体" w:cs="宋体"/>
                <w:b/>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49" w:type="pct"/>
            <w:gridSpan w:val="2"/>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工程质量标准</w:t>
            </w:r>
          </w:p>
        </w:tc>
        <w:tc>
          <w:tcPr>
            <w:tcW w:w="3750" w:type="pct"/>
            <w:gridSpan w:val="2"/>
            <w:vAlign w:val="center"/>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按招标文件</w:t>
            </w:r>
            <w:r>
              <w:rPr>
                <w:rFonts w:hint="eastAsia" w:ascii="宋体" w:hAnsi="宋体" w:cs="宋体"/>
                <w:b/>
                <w:color w:val="auto"/>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3750" w:type="pct"/>
            <w:gridSpan w:val="2"/>
            <w:vAlign w:val="center"/>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按招标文件</w:t>
            </w:r>
            <w:r>
              <w:rPr>
                <w:rFonts w:hint="eastAsia" w:ascii="宋体" w:hAnsi="宋体" w:cs="宋体"/>
                <w:b/>
                <w:color w:val="auto"/>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委派的项目负责人</w:t>
            </w:r>
          </w:p>
          <w:p>
            <w:pPr>
              <w:spacing w:line="360" w:lineRule="auto"/>
              <w:jc w:val="center"/>
              <w:rPr>
                <w:rFonts w:hint="eastAsia" w:ascii="宋体" w:hAnsi="宋体" w:cs="宋体"/>
                <w:color w:val="auto"/>
                <w:szCs w:val="21"/>
                <w:highlight w:val="none"/>
                <w:lang w:val="zh-CN"/>
              </w:rPr>
            </w:pPr>
            <w:r>
              <w:rPr>
                <w:rFonts w:hint="eastAsia" w:ascii="宋体" w:hAnsi="宋体" w:cs="宋体"/>
                <w:b/>
                <w:color w:val="auto"/>
                <w:szCs w:val="21"/>
                <w:highlight w:val="none"/>
                <w:lang w:val="zh-CN"/>
              </w:rPr>
              <w:t>（兼施工负责人）</w:t>
            </w:r>
          </w:p>
        </w:tc>
        <w:tc>
          <w:tcPr>
            <w:tcW w:w="1262" w:type="pct"/>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2488" w:type="pct"/>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委派的安全员</w:t>
            </w:r>
          </w:p>
        </w:tc>
        <w:tc>
          <w:tcPr>
            <w:tcW w:w="1262" w:type="pct"/>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2488" w:type="pct"/>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委派的设计负责人</w:t>
            </w:r>
          </w:p>
        </w:tc>
        <w:tc>
          <w:tcPr>
            <w:tcW w:w="1262" w:type="pct"/>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2488" w:type="pct"/>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投标有效期</w:t>
            </w:r>
          </w:p>
        </w:tc>
        <w:tc>
          <w:tcPr>
            <w:tcW w:w="3750" w:type="pct"/>
            <w:gridSpan w:val="2"/>
            <w:vAlign w:val="center"/>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法 定 代 表 人</w:t>
            </w:r>
          </w:p>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（签名或盖章）</w:t>
            </w:r>
          </w:p>
        </w:tc>
        <w:tc>
          <w:tcPr>
            <w:tcW w:w="3750" w:type="pct"/>
            <w:gridSpan w:val="2"/>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授 权 委 托 人</w:t>
            </w:r>
          </w:p>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（签名或盖章）</w:t>
            </w:r>
          </w:p>
        </w:tc>
        <w:tc>
          <w:tcPr>
            <w:tcW w:w="3750" w:type="pct"/>
            <w:gridSpan w:val="2"/>
            <w:vAlign w:val="center"/>
          </w:tcPr>
          <w:p>
            <w:pPr>
              <w:spacing w:line="360" w:lineRule="auto"/>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pct"/>
            <w:gridSpan w:val="2"/>
            <w:vAlign w:val="center"/>
          </w:tcPr>
          <w:p>
            <w:pPr>
              <w:spacing w:line="36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投标单位（盖章）</w:t>
            </w:r>
          </w:p>
        </w:tc>
        <w:tc>
          <w:tcPr>
            <w:tcW w:w="3750" w:type="pct"/>
            <w:gridSpan w:val="2"/>
            <w:vAlign w:val="center"/>
          </w:tcPr>
          <w:p>
            <w:pPr>
              <w:spacing w:line="360" w:lineRule="auto"/>
              <w:rPr>
                <w:rFonts w:hint="eastAsia" w:ascii="宋体" w:hAnsi="宋体" w:cs="宋体"/>
                <w:b/>
                <w:color w:val="auto"/>
                <w:szCs w:val="21"/>
                <w:highlight w:val="none"/>
              </w:rPr>
            </w:pPr>
          </w:p>
        </w:tc>
      </w:tr>
    </w:tbl>
    <w:p>
      <w:pPr>
        <w:snapToGrid w:val="0"/>
        <w:spacing w:line="360" w:lineRule="auto"/>
        <w:ind w:firstLine="0" w:firstLineChars="0"/>
        <w:jc w:val="left"/>
        <w:rPr>
          <w:rFonts w:hint="eastAsia" w:ascii="宋体" w:hAnsi="宋体" w:cs="宋体"/>
          <w:b/>
          <w:color w:val="auto"/>
          <w:szCs w:val="21"/>
          <w:highlight w:val="none"/>
          <w:lang w:val="zh-CN"/>
        </w:rPr>
      </w:pPr>
      <w:r>
        <w:rPr>
          <w:rFonts w:hint="eastAsia" w:ascii="宋体" w:hAnsi="宋体" w:cs="宋体"/>
          <w:b/>
          <w:color w:val="auto"/>
          <w:szCs w:val="21"/>
          <w:highlight w:val="none"/>
        </w:rPr>
        <w:t>注：1、联合体投标的，“投标单位”一栏需书写所有联合体成员的单位全称，并由联合体主办方按要求签</w:t>
      </w:r>
      <w:r>
        <w:rPr>
          <w:rFonts w:hint="eastAsia" w:ascii="宋体" w:hAnsi="宋体" w:cs="宋体"/>
          <w:b/>
          <w:color w:val="auto"/>
          <w:szCs w:val="21"/>
          <w:highlight w:val="none"/>
          <w:lang w:val="zh-CN"/>
        </w:rPr>
        <w:t>字或盖章，联合体其他成员可不签字或盖章。</w:t>
      </w:r>
    </w:p>
    <w:p>
      <w:pPr>
        <w:snapToGrid w:val="0"/>
        <w:spacing w:line="360" w:lineRule="auto"/>
        <w:ind w:firstLine="0" w:firstLineChars="0"/>
        <w:jc w:val="lef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2、施工费（工程费用）报价=施工费投标最高限价×（1-下浮率）。</w:t>
      </w:r>
    </w:p>
    <w:p>
      <w:pPr>
        <w:snapToGrid w:val="0"/>
        <w:spacing w:line="360" w:lineRule="auto"/>
        <w:ind w:firstLine="0" w:firstLineChars="0"/>
        <w:jc w:val="left"/>
        <w:rPr>
          <w:rFonts w:hint="eastAsia" w:ascii="宋体" w:hAnsi="宋体" w:cs="宋体"/>
          <w:b/>
          <w:color w:val="auto"/>
          <w:sz w:val="21"/>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val="zh-CN"/>
        </w:rPr>
        <w:t>填写数据保留两位小数。</w:t>
      </w:r>
    </w:p>
    <w:p>
      <w:pPr>
        <w:spacing w:line="360" w:lineRule="auto"/>
        <w:rPr>
          <w:rFonts w:hint="eastAsia" w:ascii="宋体" w:hAnsi="宋体" w:cs="宋体"/>
          <w:b/>
          <w:color w:val="auto"/>
          <w:sz w:val="32"/>
          <w:szCs w:val="32"/>
          <w:highlight w:val="none"/>
        </w:rPr>
      </w:pPr>
    </w:p>
    <w:p>
      <w:pPr>
        <w:spacing w:line="360" w:lineRule="auto"/>
        <w:rPr>
          <w:rFonts w:hint="eastAsia" w:ascii="宋体" w:hAnsi="宋体" w:cs="宋体"/>
          <w:b/>
          <w:color w:val="auto"/>
          <w:sz w:val="32"/>
          <w:szCs w:val="32"/>
          <w:highlight w:val="none"/>
        </w:rPr>
      </w:pPr>
    </w:p>
    <w:p>
      <w:pPr>
        <w:spacing w:line="360" w:lineRule="auto"/>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rPr>
        <w:t>格式1</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w:t>
      </w:r>
    </w:p>
    <w:p>
      <w:pPr>
        <w:autoSpaceDE w:val="0"/>
        <w:autoSpaceDN w:val="0"/>
        <w:adjustRightInd w:val="0"/>
        <w:spacing w:line="360" w:lineRule="auto"/>
        <w:ind w:firstLine="0" w:firstLineChars="0"/>
        <w:jc w:val="center"/>
        <w:rPr>
          <w:rFonts w:hint="eastAsia" w:ascii="宋体" w:hAnsi="宋体" w:eastAsia="宋体" w:cs="宋体"/>
          <w:b/>
          <w:bCs/>
          <w:snapToGrid/>
          <w:color w:val="auto"/>
          <w:sz w:val="32"/>
          <w:szCs w:val="32"/>
          <w:highlight w:val="none"/>
          <w:lang w:val="zh-CN" w:eastAsia="zh-CN"/>
        </w:rPr>
      </w:pPr>
      <w:r>
        <w:rPr>
          <w:rFonts w:hint="eastAsia" w:ascii="宋体" w:hAnsi="宋体" w:eastAsia="宋体" w:cs="宋体"/>
          <w:b/>
          <w:bCs/>
          <w:snapToGrid/>
          <w:color w:val="auto"/>
          <w:sz w:val="32"/>
          <w:szCs w:val="32"/>
          <w:highlight w:val="none"/>
          <w:lang w:val="zh-CN"/>
        </w:rPr>
        <w:t>工程</w:t>
      </w:r>
      <w:r>
        <w:rPr>
          <w:rFonts w:hint="eastAsia" w:ascii="宋体" w:hAnsi="宋体" w:eastAsia="宋体" w:cs="宋体"/>
          <w:b/>
          <w:bCs/>
          <w:snapToGrid/>
          <w:color w:val="auto"/>
          <w:sz w:val="32"/>
          <w:szCs w:val="32"/>
          <w:highlight w:val="none"/>
          <w:lang w:val="zh-CN" w:eastAsia="zh-CN"/>
        </w:rPr>
        <w:t>施工费</w:t>
      </w:r>
      <w:r>
        <w:rPr>
          <w:rFonts w:hint="eastAsia" w:ascii="宋体" w:hAnsi="宋体" w:cs="宋体"/>
          <w:b/>
          <w:bCs/>
          <w:snapToGrid/>
          <w:color w:val="auto"/>
          <w:sz w:val="32"/>
          <w:szCs w:val="32"/>
          <w:highlight w:val="none"/>
          <w:vertAlign w:val="baseline"/>
          <w:lang w:val="zh-CN" w:eastAsia="zh-CN"/>
        </w:rPr>
        <w:t>全费用</w:t>
      </w:r>
      <w:r>
        <w:rPr>
          <w:rFonts w:hint="eastAsia" w:ascii="宋体" w:hAnsi="宋体" w:eastAsia="宋体" w:cs="宋体"/>
          <w:b/>
          <w:bCs/>
          <w:snapToGrid/>
          <w:color w:val="auto"/>
          <w:sz w:val="32"/>
          <w:szCs w:val="32"/>
          <w:highlight w:val="none"/>
          <w:vertAlign w:val="baseline"/>
          <w:lang w:val="en-US" w:eastAsia="zh-CN"/>
        </w:rPr>
        <w:t>综合</w:t>
      </w:r>
      <w:r>
        <w:rPr>
          <w:rFonts w:hint="eastAsia" w:ascii="宋体" w:hAnsi="宋体" w:eastAsia="宋体" w:cs="宋体"/>
          <w:b/>
          <w:bCs/>
          <w:snapToGrid/>
          <w:color w:val="auto"/>
          <w:sz w:val="32"/>
          <w:szCs w:val="32"/>
          <w:highlight w:val="none"/>
          <w:lang w:val="zh-CN"/>
        </w:rPr>
        <w:t>单价</w:t>
      </w:r>
      <w:r>
        <w:rPr>
          <w:rFonts w:hint="eastAsia" w:ascii="宋体" w:hAnsi="宋体" w:eastAsia="宋体" w:cs="宋体"/>
          <w:b/>
          <w:bCs/>
          <w:snapToGrid/>
          <w:color w:val="auto"/>
          <w:sz w:val="32"/>
          <w:szCs w:val="32"/>
          <w:highlight w:val="none"/>
          <w:lang w:val="zh-CN" w:eastAsia="zh-CN"/>
        </w:rPr>
        <w:t>限价表</w:t>
      </w:r>
    </w:p>
    <w:p>
      <w:pPr>
        <w:spacing w:line="360" w:lineRule="auto"/>
        <w:ind w:firstLine="0" w:firstLineChars="0"/>
        <w:rPr>
          <w:rFonts w:hint="eastAsia" w:ascii="宋体" w:hAnsi="宋体" w:eastAsia="宋体" w:cs="宋体"/>
          <w:b/>
          <w:bCs w:val="0"/>
          <w:snapToGrid/>
          <w:color w:val="auto"/>
          <w:sz w:val="21"/>
          <w:szCs w:val="21"/>
          <w:highlight w:val="none"/>
          <w:lang w:val="en-US" w:eastAsia="zh-CN"/>
        </w:rPr>
      </w:pPr>
      <w:r>
        <w:rPr>
          <w:rFonts w:hint="eastAsia" w:ascii="宋体" w:hAnsi="宋体" w:eastAsia="宋体" w:cs="宋体"/>
          <w:b/>
          <w:color w:val="auto"/>
          <w:szCs w:val="21"/>
          <w:highlight w:val="none"/>
          <w:lang w:val="zh-CN"/>
        </w:rPr>
        <w:t>项目名称：广清经济特别合作区广佛（佛冈）产业园统建管道接入工程设计、施工（一期）总承包</w:t>
      </w:r>
      <w:r>
        <w:rPr>
          <w:rFonts w:hint="eastAsia" w:ascii="宋体" w:hAnsi="宋体" w:cs="宋体"/>
          <w:b/>
          <w:color w:val="auto"/>
          <w:szCs w:val="21"/>
          <w:highlight w:val="none"/>
          <w:lang w:val="zh-CN"/>
        </w:rPr>
        <w:t>（</w:t>
      </w:r>
      <w:r>
        <w:rPr>
          <w:rFonts w:hint="eastAsia" w:ascii="宋体" w:hAnsi="宋体" w:cs="宋体"/>
          <w:b/>
          <w:color w:val="auto"/>
          <w:szCs w:val="21"/>
          <w:highlight w:val="none"/>
          <w:lang w:val="en-US" w:eastAsia="zh-CN"/>
        </w:rPr>
        <w:t>重新招标</w:t>
      </w:r>
      <w:r>
        <w:rPr>
          <w:rFonts w:hint="eastAsia" w:ascii="宋体" w:hAnsi="宋体" w:cs="宋体"/>
          <w:b/>
          <w:color w:val="auto"/>
          <w:szCs w:val="21"/>
          <w:highlight w:val="none"/>
          <w:lang w:val="zh-CN"/>
        </w:rPr>
        <w:t>）</w:t>
      </w:r>
    </w:p>
    <w:tbl>
      <w:tblPr>
        <w:tblStyle w:val="5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3820"/>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序号</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费用名称</w:t>
            </w:r>
          </w:p>
        </w:tc>
        <w:tc>
          <w:tcPr>
            <w:tcW w:w="2453"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cs="宋体"/>
                <w:b/>
                <w:bCs w:val="0"/>
                <w:snapToGrid/>
                <w:color w:val="auto"/>
                <w:sz w:val="21"/>
                <w:szCs w:val="21"/>
                <w:highlight w:val="none"/>
                <w:vertAlign w:val="baseline"/>
                <w:lang w:val="en-US" w:eastAsia="zh-CN"/>
              </w:rPr>
              <w:t>全费用</w:t>
            </w:r>
            <w:r>
              <w:rPr>
                <w:rFonts w:hint="eastAsia" w:ascii="宋体" w:hAnsi="宋体" w:eastAsia="宋体" w:cs="宋体"/>
                <w:b/>
                <w:bCs w:val="0"/>
                <w:snapToGrid/>
                <w:color w:val="auto"/>
                <w:sz w:val="21"/>
                <w:szCs w:val="21"/>
                <w:highlight w:val="none"/>
                <w:vertAlign w:val="baseline"/>
                <w:lang w:val="en-US" w:eastAsia="zh-CN"/>
              </w:rPr>
              <w:t>综合单价限价（元）/单位（孔公里）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1</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管道</w:t>
            </w:r>
            <w:r>
              <w:rPr>
                <w:rFonts w:hint="eastAsia" w:ascii="宋体" w:hAnsi="宋体" w:cs="宋体"/>
                <w:b/>
                <w:bCs w:val="0"/>
                <w:snapToGrid/>
                <w:color w:val="auto"/>
                <w:sz w:val="21"/>
                <w:szCs w:val="21"/>
                <w:highlight w:val="none"/>
                <w:vertAlign w:val="baseline"/>
                <w:lang w:val="en-US" w:eastAsia="zh-CN"/>
              </w:rPr>
              <w:t>（</w:t>
            </w:r>
            <w:r>
              <w:rPr>
                <w:rFonts w:hint="eastAsia" w:ascii="宋体" w:hAnsi="宋体" w:eastAsia="宋体" w:cs="宋体"/>
                <w:b/>
                <w:bCs w:val="0"/>
                <w:snapToGrid/>
                <w:color w:val="auto"/>
                <w:sz w:val="21"/>
                <w:szCs w:val="21"/>
                <w:highlight w:val="none"/>
                <w:vertAlign w:val="baseline"/>
                <w:lang w:val="en-US" w:eastAsia="zh-CN"/>
              </w:rPr>
              <w:t>含道路恢复</w:t>
            </w:r>
            <w:r>
              <w:rPr>
                <w:rFonts w:hint="eastAsia" w:ascii="宋体" w:hAnsi="宋体" w:cs="宋体"/>
                <w:b/>
                <w:bCs w:val="0"/>
                <w:snapToGrid/>
                <w:color w:val="auto"/>
                <w:sz w:val="21"/>
                <w:szCs w:val="21"/>
                <w:highlight w:val="none"/>
                <w:vertAlign w:val="baseline"/>
                <w:lang w:val="en-US" w:eastAsia="zh-CN"/>
              </w:rPr>
              <w:t>）</w:t>
            </w:r>
          </w:p>
        </w:tc>
        <w:tc>
          <w:tcPr>
            <w:tcW w:w="2453"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56000元/孔公里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r>
              <w:rPr>
                <w:rFonts w:hint="eastAsia" w:ascii="宋体" w:hAnsi="宋体" w:eastAsia="宋体" w:cs="宋体"/>
                <w:b/>
                <w:bCs w:val="0"/>
                <w:snapToGrid/>
                <w:color w:val="auto"/>
                <w:sz w:val="21"/>
                <w:szCs w:val="21"/>
                <w:highlight w:val="none"/>
                <w:vertAlign w:val="baseline"/>
                <w:lang w:val="en-US" w:eastAsia="zh-CN"/>
              </w:rPr>
              <w:t>2</w:t>
            </w:r>
          </w:p>
        </w:tc>
        <w:tc>
          <w:tcPr>
            <w:tcW w:w="1918" w:type="pct"/>
            <w:vAlign w:val="center"/>
          </w:tcPr>
          <w:p>
            <w:pPr>
              <w:spacing w:line="360" w:lineRule="auto"/>
              <w:jc w:val="center"/>
              <w:rPr>
                <w:rFonts w:hint="eastAsia" w:ascii="宋体" w:hAnsi="宋体" w:eastAsia="宋体" w:cs="宋体"/>
                <w:b/>
                <w:bCs w:val="0"/>
                <w:snapToGrid/>
                <w:color w:val="auto"/>
                <w:sz w:val="21"/>
                <w:szCs w:val="21"/>
                <w:highlight w:val="none"/>
                <w:vertAlign w:val="baseline"/>
                <w:lang w:val="en-US" w:eastAsia="zh-CN"/>
              </w:rPr>
            </w:pPr>
            <w:bookmarkStart w:id="267" w:name="_GoBack"/>
            <w:bookmarkEnd w:id="267"/>
            <w:r>
              <w:rPr>
                <w:rFonts w:hint="eastAsia" w:ascii="宋体" w:hAnsi="宋体" w:eastAsia="宋体" w:cs="宋体"/>
                <w:b/>
                <w:bCs w:val="0"/>
                <w:snapToGrid/>
                <w:color w:val="auto"/>
                <w:sz w:val="21"/>
                <w:szCs w:val="21"/>
                <w:highlight w:val="none"/>
                <w:vertAlign w:val="baseline"/>
                <w:lang w:val="en-US" w:eastAsia="zh-CN"/>
              </w:rPr>
              <w:t>顶管</w:t>
            </w:r>
          </w:p>
        </w:tc>
        <w:tc>
          <w:tcPr>
            <w:tcW w:w="2453" w:type="pct"/>
            <w:vAlign w:val="center"/>
          </w:tcPr>
          <w:p>
            <w:pPr>
              <w:spacing w:line="360" w:lineRule="auto"/>
              <w:jc w:val="center"/>
              <w:rPr>
                <w:rFonts w:hint="eastAsia" w:ascii="宋体" w:hAnsi="宋体" w:eastAsia="宋体" w:cs="宋体"/>
                <w:b/>
                <w:bCs w:val="0"/>
                <w:snapToGrid/>
                <w:color w:val="auto"/>
                <w:kern w:val="2"/>
                <w:sz w:val="21"/>
                <w:szCs w:val="21"/>
                <w:highlight w:val="none"/>
                <w:vertAlign w:val="baseline"/>
                <w:lang w:val="en-US" w:eastAsia="zh-CN" w:bidi="ar-SA"/>
              </w:rPr>
            </w:pPr>
            <w:r>
              <w:rPr>
                <w:rFonts w:hint="eastAsia" w:ascii="宋体" w:hAnsi="宋体" w:eastAsia="宋体" w:cs="宋体"/>
                <w:b/>
                <w:bCs w:val="0"/>
                <w:snapToGrid/>
                <w:color w:val="auto"/>
                <w:sz w:val="21"/>
                <w:szCs w:val="21"/>
                <w:highlight w:val="none"/>
                <w:vertAlign w:val="baseline"/>
                <w:lang w:val="en-US" w:eastAsia="zh-CN"/>
              </w:rPr>
              <w:t>75000元/孔公里</w:t>
            </w:r>
          </w:p>
        </w:tc>
      </w:tr>
    </w:tbl>
    <w:p>
      <w:pPr>
        <w:spacing w:line="360" w:lineRule="auto"/>
        <w:ind w:firstLine="0" w:firstLineChars="0"/>
        <w:rPr>
          <w:rFonts w:hint="eastAsia" w:ascii="宋体" w:hAnsi="宋体" w:eastAsia="宋体" w:cs="宋体"/>
          <w:b/>
          <w:bCs w:val="0"/>
          <w:snapToGrid/>
          <w:color w:val="auto"/>
          <w:sz w:val="21"/>
          <w:szCs w:val="21"/>
          <w:highlight w:val="none"/>
          <w:lang w:val="en-US" w:eastAsia="zh-CN"/>
        </w:rPr>
      </w:pPr>
      <w:r>
        <w:rPr>
          <w:rFonts w:hint="eastAsia" w:ascii="宋体" w:hAnsi="宋体" w:eastAsia="宋体" w:cs="宋体"/>
          <w:b/>
          <w:bCs w:val="0"/>
          <w:snapToGrid/>
          <w:color w:val="auto"/>
          <w:sz w:val="21"/>
          <w:szCs w:val="21"/>
          <w:highlight w:val="none"/>
          <w:lang w:val="en-US" w:eastAsia="zh-CN"/>
        </w:rPr>
        <w:t>注：</w:t>
      </w:r>
    </w:p>
    <w:p>
      <w:pPr>
        <w:numPr>
          <w:ilvl w:val="0"/>
          <w:numId w:val="0"/>
        </w:numPr>
        <w:snapToGrid w:val="0"/>
        <w:spacing w:line="360" w:lineRule="auto"/>
        <w:jc w:val="left"/>
        <w:rPr>
          <w:rFonts w:hint="eastAsia" w:ascii="宋体" w:hAnsi="宋体" w:eastAsia="宋体" w:cs="宋体"/>
          <w:b/>
          <w:color w:val="auto"/>
          <w:sz w:val="21"/>
          <w:szCs w:val="21"/>
          <w:highlight w:val="none"/>
          <w:u w:val="none"/>
          <w:lang w:val="en-US"/>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zh-CN" w:eastAsia="zh-CN"/>
        </w:rPr>
        <w:t>本项目施工费（工程费用）采用</w:t>
      </w:r>
      <w:r>
        <w:rPr>
          <w:rFonts w:hint="eastAsia" w:ascii="宋体" w:hAnsi="宋体" w:eastAsia="宋体" w:cs="宋体"/>
          <w:b/>
          <w:bCs w:val="0"/>
          <w:snapToGrid/>
          <w:color w:val="auto"/>
          <w:sz w:val="21"/>
          <w:szCs w:val="21"/>
          <w:highlight w:val="none"/>
          <w:u w:val="none"/>
          <w:lang w:val="zh-CN"/>
        </w:rPr>
        <w:t>全费用固定综合单价=工程全费用综合单价限价×（1-中标下浮率）</w:t>
      </w:r>
      <w:r>
        <w:rPr>
          <w:rFonts w:hint="eastAsia" w:ascii="宋体" w:hAnsi="宋体" w:eastAsia="宋体" w:cs="宋体"/>
          <w:b/>
          <w:bCs w:val="0"/>
          <w:snapToGrid/>
          <w:color w:val="auto"/>
          <w:sz w:val="21"/>
          <w:szCs w:val="21"/>
          <w:highlight w:val="none"/>
          <w:u w:val="none"/>
          <w:lang w:val="zh-CN" w:eastAsia="zh-CN"/>
        </w:rPr>
        <w:t>（</w:t>
      </w:r>
      <w:r>
        <w:rPr>
          <w:rFonts w:hint="eastAsia" w:ascii="宋体" w:hAnsi="宋体" w:eastAsia="宋体" w:cs="宋体"/>
          <w:b/>
          <w:bCs w:val="0"/>
          <w:snapToGrid/>
          <w:color w:val="auto"/>
          <w:sz w:val="21"/>
          <w:szCs w:val="21"/>
          <w:highlight w:val="none"/>
          <w:u w:val="none"/>
          <w:lang w:val="zh-CN"/>
        </w:rPr>
        <w:t>建安工程费中标下浮率=（1-建安工程费中标价格÷建安工程费最高投标限价）×100%</w:t>
      </w:r>
      <w:r>
        <w:rPr>
          <w:rFonts w:hint="eastAsia" w:ascii="宋体" w:hAnsi="宋体" w:eastAsia="宋体" w:cs="宋体"/>
          <w:b/>
          <w:bCs w:val="0"/>
          <w:snapToGrid/>
          <w:color w:val="auto"/>
          <w:sz w:val="21"/>
          <w:szCs w:val="21"/>
          <w:highlight w:val="none"/>
          <w:u w:val="none"/>
          <w:lang w:val="zh-CN" w:eastAsia="zh-CN"/>
        </w:rPr>
        <w:t>）</w:t>
      </w:r>
      <w:r>
        <w:rPr>
          <w:rFonts w:hint="eastAsia" w:ascii="宋体" w:hAnsi="宋体" w:eastAsia="宋体" w:cs="宋体"/>
          <w:b/>
          <w:bCs w:val="0"/>
          <w:snapToGrid/>
          <w:color w:val="auto"/>
          <w:sz w:val="21"/>
          <w:szCs w:val="21"/>
          <w:highlight w:val="none"/>
          <w:u w:val="none"/>
          <w:lang w:val="zh-CN"/>
        </w:rPr>
        <w:t>，结算时全费用固定综合单价包干、工程量按实计算。</w:t>
      </w:r>
      <w:r>
        <w:rPr>
          <w:rFonts w:hint="eastAsia" w:ascii="宋体" w:hAnsi="宋体" w:eastAsia="宋体" w:cs="宋体"/>
          <w:b/>
          <w:color w:val="auto"/>
          <w:sz w:val="21"/>
          <w:szCs w:val="21"/>
          <w:highlight w:val="none"/>
          <w:u w:val="none"/>
          <w:lang w:val="zh-CN"/>
        </w:rPr>
        <w:t>全费用固定综合单价</w:t>
      </w:r>
      <w:r>
        <w:rPr>
          <w:rFonts w:hint="eastAsia" w:ascii="宋体" w:hAnsi="宋体" w:eastAsia="宋体" w:cs="宋体"/>
          <w:b/>
          <w:color w:val="auto"/>
          <w:sz w:val="21"/>
          <w:szCs w:val="21"/>
          <w:highlight w:val="none"/>
          <w:u w:val="none"/>
          <w:lang w:val="zh-CN" w:eastAsia="zh-CN"/>
        </w:rPr>
        <w:t>已</w:t>
      </w:r>
      <w:r>
        <w:rPr>
          <w:rFonts w:hint="eastAsia" w:ascii="宋体" w:hAnsi="宋体" w:eastAsia="宋体" w:cs="宋体"/>
          <w:b/>
          <w:color w:val="auto"/>
          <w:sz w:val="21"/>
          <w:szCs w:val="21"/>
          <w:highlight w:val="none"/>
          <w:u w:val="none"/>
          <w:lang w:val="zh-CN"/>
        </w:rPr>
        <w:t>包含分项工程人工费、材料费、机械费、管理费、措施项目费、安全文明</w:t>
      </w:r>
      <w:r>
        <w:rPr>
          <w:rFonts w:hint="eastAsia" w:ascii="宋体" w:hAnsi="宋体" w:eastAsia="宋体" w:cs="宋体"/>
          <w:b/>
          <w:color w:val="auto"/>
          <w:sz w:val="21"/>
          <w:szCs w:val="21"/>
          <w:highlight w:val="none"/>
          <w:u w:val="none"/>
          <w:lang w:val="zh-CN" w:eastAsia="zh-CN"/>
        </w:rPr>
        <w:t>建安工程费</w:t>
      </w:r>
      <w:r>
        <w:rPr>
          <w:rFonts w:hint="eastAsia" w:ascii="宋体" w:hAnsi="宋体" w:eastAsia="宋体" w:cs="宋体"/>
          <w:b/>
          <w:color w:val="auto"/>
          <w:sz w:val="21"/>
          <w:szCs w:val="21"/>
          <w:highlight w:val="none"/>
          <w:u w:val="none"/>
          <w:lang w:val="zh-CN"/>
        </w:rPr>
        <w:t>、措施项目费、施工围蔽费、其他项目费、利润、规费、税金</w:t>
      </w:r>
      <w:r>
        <w:rPr>
          <w:rFonts w:hint="eastAsia" w:ascii="宋体" w:hAnsi="宋体" w:eastAsia="宋体" w:cs="宋体"/>
          <w:b/>
          <w:color w:val="auto"/>
          <w:sz w:val="21"/>
          <w:szCs w:val="21"/>
          <w:highlight w:val="none"/>
          <w:u w:val="none"/>
          <w:lang w:val="zh-CN" w:eastAsia="zh-CN"/>
        </w:rPr>
        <w:t>及</w:t>
      </w:r>
      <w:r>
        <w:rPr>
          <w:rFonts w:hint="eastAsia" w:ascii="宋体" w:hAnsi="宋体" w:eastAsia="宋体" w:cs="宋体"/>
          <w:b/>
          <w:color w:val="auto"/>
          <w:sz w:val="21"/>
          <w:szCs w:val="21"/>
          <w:highlight w:val="none"/>
          <w:u w:val="none"/>
          <w:lang w:val="zh-CN"/>
        </w:rPr>
        <w:t>一定范围内的风险等，不再计算其他任何费用，后期固定</w:t>
      </w:r>
      <w:r>
        <w:rPr>
          <w:rFonts w:hint="eastAsia" w:ascii="宋体" w:hAnsi="宋体" w:eastAsia="宋体" w:cs="宋体"/>
          <w:b/>
          <w:bCs w:val="0"/>
          <w:snapToGrid/>
          <w:color w:val="auto"/>
          <w:sz w:val="21"/>
          <w:szCs w:val="21"/>
          <w:highlight w:val="none"/>
          <w:u w:val="none"/>
          <w:lang w:val="zh-CN"/>
        </w:rPr>
        <w:t>综合单价</w:t>
      </w:r>
      <w:r>
        <w:rPr>
          <w:rFonts w:hint="eastAsia" w:ascii="宋体" w:hAnsi="宋体" w:eastAsia="宋体" w:cs="宋体"/>
          <w:b/>
          <w:color w:val="auto"/>
          <w:sz w:val="21"/>
          <w:szCs w:val="21"/>
          <w:highlight w:val="none"/>
          <w:u w:val="none"/>
          <w:lang w:val="zh-CN"/>
        </w:rPr>
        <w:t>不作调整。</w:t>
      </w:r>
    </w:p>
    <w:p>
      <w:pPr>
        <w:numPr>
          <w:ilvl w:val="-1"/>
          <w:numId w:val="0"/>
        </w:numPr>
        <w:snapToGrid w:val="0"/>
        <w:spacing w:line="360" w:lineRule="auto"/>
        <w:ind w:firstLine="0" w:firstLineChars="0"/>
        <w:jc w:val="left"/>
        <w:rPr>
          <w:rFonts w:hint="eastAsia" w:ascii="宋体" w:hAnsi="宋体" w:eastAsia="宋体" w:cs="宋体"/>
          <w:b/>
          <w:color w:val="auto"/>
          <w:szCs w:val="21"/>
          <w:highlight w:val="none"/>
          <w:lang w:val="en-US" w:eastAsia="zh-CN"/>
        </w:rPr>
      </w:pPr>
    </w:p>
    <w:p>
      <w:pPr>
        <w:spacing w:line="360" w:lineRule="auto"/>
        <w:ind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（盖章）</w:t>
      </w:r>
    </w:p>
    <w:p>
      <w:pPr>
        <w:spacing w:line="360" w:lineRule="auto"/>
        <w:ind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法定代表人或其授权代理人(签名或盖章)：</w:t>
      </w:r>
    </w:p>
    <w:p>
      <w:pPr>
        <w:spacing w:line="360" w:lineRule="auto"/>
        <w:ind w:firstLine="3360" w:firstLineChars="16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b/>
          <w:color w:val="auto"/>
          <w:sz w:val="24"/>
          <w:highlight w:val="none"/>
        </w:rPr>
      </w:pPr>
    </w:p>
    <w:p>
      <w:pPr>
        <w:spacing w:line="360" w:lineRule="auto"/>
        <w:ind w:firstLine="0" w:firstLineChars="0"/>
        <w:rPr>
          <w:rFonts w:hint="eastAsia" w:ascii="宋体" w:hAnsi="宋体" w:eastAsia="宋体" w:cs="宋体"/>
          <w:color w:val="auto"/>
          <w:szCs w:val="21"/>
          <w:highlight w:val="none"/>
        </w:rPr>
      </w:pPr>
    </w:p>
    <w:p>
      <w:pPr>
        <w:wordWrap w:val="0"/>
        <w:topLinePunct/>
        <w:spacing w:line="360" w:lineRule="auto"/>
        <w:ind w:firstLine="0" w:firstLineChars="0"/>
        <w:rPr>
          <w:rFonts w:hint="eastAsia" w:ascii="宋体" w:hAnsi="宋体" w:eastAsia="宋体" w:cs="宋体"/>
          <w:b/>
          <w:bCs/>
          <w:color w:val="auto"/>
          <w:sz w:val="32"/>
          <w:szCs w:val="32"/>
          <w:highlight w:val="none"/>
          <w:lang w:val="zh-CN"/>
        </w:rPr>
      </w:pP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2</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联合体投标协议书</w:t>
      </w:r>
    </w:p>
    <w:tbl>
      <w:tblPr>
        <w:tblStyle w:val="5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634" w:type="dxa"/>
          </w:tcPr>
          <w:p>
            <w:pPr>
              <w:topLinePunct/>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（主办方单位名称、各成员名称）</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投标。现就联合体投标事宜订立如下协议。</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（施工单位名称）</w:t>
            </w:r>
            <w:r>
              <w:rPr>
                <w:rFonts w:hint="eastAsia" w:ascii="宋体" w:hAnsi="宋体" w:eastAsia="宋体" w:cs="宋体"/>
                <w:color w:val="auto"/>
                <w:szCs w:val="21"/>
                <w:highlight w:val="none"/>
              </w:rPr>
              <w:t>为联合体主办方。</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3、联合体将严格按照招标文件的各项要求，递交投标文件，履行合同，联合体各成员向招标人承担连带责任。</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：作为联合体的主办方负责本工程的施工及牵头工作。联合体其他相关方违约时，主办方应承担连带责任，具体按合同要求。联合体其他相关方违约时，主办方应承担连带责任，具体按合同要求。</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工作，具体按合同要求。</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（如有）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工作，具体按合同要求。</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360" w:lineRule="auto"/>
              <w:ind w:firstLine="420" w:firstLineChars="200"/>
              <w:rPr>
                <w:rFonts w:hint="eastAsia" w:ascii="宋体" w:hAnsi="宋体" w:eastAsia="宋体" w:cs="宋体"/>
                <w:color w:val="auto"/>
                <w:szCs w:val="21"/>
                <w:highlight w:val="none"/>
              </w:rPr>
            </w:pP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成员1名称：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topLinePunct/>
              <w:spacing w:line="360" w:lineRule="auto"/>
              <w:ind w:firstLine="420" w:firstLineChars="200"/>
              <w:rPr>
                <w:rFonts w:hint="eastAsia" w:ascii="宋体" w:hAnsi="宋体" w:eastAsia="宋体" w:cs="宋体"/>
                <w:color w:val="auto"/>
                <w:szCs w:val="21"/>
                <w:highlight w:val="none"/>
              </w:rPr>
            </w:pPr>
          </w:p>
          <w:p>
            <w:pPr>
              <w:topLinePunct/>
              <w:spacing w:line="360" w:lineRule="auto"/>
              <w:ind w:firstLine="420" w:firstLineChars="200"/>
              <w:rPr>
                <w:rFonts w:hint="eastAsia" w:ascii="宋体" w:hAnsi="宋体" w:eastAsia="宋体" w:cs="宋体"/>
                <w:color w:val="auto"/>
                <w:szCs w:val="21"/>
                <w:highlight w:val="none"/>
              </w:rPr>
            </w:pPr>
          </w:p>
          <w:p>
            <w:pPr>
              <w:autoSpaceDE w:val="0"/>
              <w:autoSpaceDN w:val="0"/>
              <w:adjustRightIn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日期：     年     月     日</w:t>
            </w:r>
          </w:p>
        </w:tc>
      </w:tr>
    </w:tbl>
    <w:p>
      <w:pPr>
        <w:topLinePunct/>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注：本</w:t>
      </w:r>
      <w:r>
        <w:rPr>
          <w:rFonts w:hint="eastAsia" w:ascii="宋体" w:hAnsi="宋体" w:eastAsia="宋体" w:cs="宋体"/>
          <w:color w:val="auto"/>
          <w:szCs w:val="21"/>
          <w:highlight w:val="none"/>
          <w:lang w:val="zh-CN"/>
        </w:rPr>
        <w:t>联合体投标协议书</w:t>
      </w:r>
      <w:r>
        <w:rPr>
          <w:rFonts w:hint="eastAsia" w:ascii="宋体" w:hAnsi="宋体" w:eastAsia="宋体" w:cs="宋体"/>
          <w:color w:val="auto"/>
          <w:szCs w:val="21"/>
          <w:highlight w:val="none"/>
        </w:rPr>
        <w:t>投标人可根据实际情况自行调整。</w:t>
      </w:r>
    </w:p>
    <w:p>
      <w:pPr>
        <w:autoSpaceDE w:val="0"/>
        <w:autoSpaceDN w:val="0"/>
        <w:adjustRightInd w:val="0"/>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b/>
          <w:color w:val="auto"/>
          <w:sz w:val="24"/>
          <w:highlight w:val="none"/>
        </w:rPr>
        <w:br w:type="page"/>
      </w: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法定代表人（负责人）证明书、法定代表人授权委托书</w:t>
      </w:r>
    </w:p>
    <w:p>
      <w:pP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法定代表人（负责人）证明书</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55"/>
        <w:tblW w:w="92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职务，为法定代表人（负责人），特此证明。</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附：法定代表人（负责人）性别：</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身份证号码：</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企业类型：</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pacing w:line="360" w:lineRule="auto"/>
              <w:ind w:firstLine="5040" w:firstLineChars="21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u w:val="single"/>
              </w:rPr>
              <w:t>（盖章）</w:t>
            </w:r>
          </w:p>
          <w:p>
            <w:pPr>
              <w:spacing w:line="360" w:lineRule="auto"/>
              <w:ind w:firstLine="5280" w:firstLineChars="2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注：1、法定代表人证明书也可以采用工商行政管理局统一印制的格式。</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2、联合体投标的，本证明书由主办方出具，仅填写主办方单位名称并由主办方盖章即可。</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法定代表人授权委托书</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55"/>
        <w:tblW w:w="92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3" w:type="dxa"/>
          </w:tcPr>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兹授权为我方委托代理人，其权限是：</w:t>
            </w:r>
          </w:p>
          <w:p>
            <w:pPr>
              <w:spacing w:line="360" w:lineRule="auto"/>
              <w:rPr>
                <w:rFonts w:hint="eastAsia" w:ascii="宋体" w:hAnsi="宋体" w:eastAsia="宋体" w:cs="宋体"/>
                <w:color w:val="auto"/>
                <w:sz w:val="24"/>
                <w:highlight w:val="none"/>
                <w:u w:val="single"/>
              </w:rPr>
            </w:pP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附：代理人性别：年龄：身份证号码：</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注册号码：企业类型：</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w:t>
            </w:r>
            <w:r>
              <w:rPr>
                <w:rFonts w:hint="eastAsia" w:ascii="宋体" w:hAnsi="宋体" w:eastAsia="宋体" w:cs="宋体"/>
                <w:color w:val="auto"/>
                <w:sz w:val="24"/>
                <w:highlight w:val="none"/>
                <w:u w:val="single"/>
              </w:rPr>
              <w:t>（签名或盖章）</w:t>
            </w:r>
          </w:p>
          <w:p>
            <w:pPr>
              <w:spacing w:line="360" w:lineRule="auto"/>
              <w:ind w:right="8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w:t>
            </w:r>
            <w:r>
              <w:rPr>
                <w:rFonts w:hint="eastAsia" w:ascii="宋体" w:hAnsi="宋体" w:eastAsia="宋体" w:cs="宋体"/>
                <w:color w:val="auto"/>
                <w:sz w:val="24"/>
                <w:highlight w:val="none"/>
                <w:u w:val="single"/>
              </w:rPr>
              <w:t>（盖章）</w:t>
            </w:r>
          </w:p>
          <w:p>
            <w:pPr>
              <w:spacing w:line="360" w:lineRule="auto"/>
              <w:ind w:right="720" w:firstLine="720" w:firstLineChars="3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注：1、法定代表人授权委托书也可以采用工商行政管理局统一印制的格式。</w:t>
      </w:r>
    </w:p>
    <w:p>
      <w:pPr>
        <w:spacing w:line="360" w:lineRule="auto"/>
        <w:rPr>
          <w:rFonts w:hint="eastAsia" w:ascii="宋体" w:hAnsi="宋体" w:eastAsia="宋体" w:cs="宋体"/>
          <w:color w:val="auto"/>
          <w:szCs w:val="21"/>
          <w:highlight w:val="none"/>
        </w:rPr>
        <w:sectPr>
          <w:footerReference r:id="rId15" w:type="default"/>
          <w:pgSz w:w="11906" w:h="16838"/>
          <w:pgMar w:top="1440" w:right="1080" w:bottom="1440" w:left="1080" w:header="851" w:footer="992" w:gutter="0"/>
          <w:cols w:space="720" w:num="1"/>
          <w:docGrid w:type="lines" w:linePitch="312" w:charSpace="0"/>
        </w:sectPr>
      </w:pPr>
      <w:r>
        <w:rPr>
          <w:rFonts w:hint="eastAsia" w:ascii="宋体" w:hAnsi="宋体" w:eastAsia="宋体" w:cs="宋体"/>
          <w:color w:val="auto"/>
          <w:szCs w:val="21"/>
          <w:highlight w:val="none"/>
        </w:rPr>
        <w:t>2、联合体投标的，本授权书由主办方出具，仅填写主办方单位名称并由主办方签字或盖章即可。</w:t>
      </w:r>
    </w:p>
    <w:p>
      <w:pPr>
        <w:autoSpaceDE w:val="0"/>
        <w:autoSpaceDN w:val="0"/>
        <w:adjustRightInd w:val="0"/>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投标承诺书</w:t>
      </w:r>
    </w:p>
    <w:p>
      <w:pPr>
        <w:spacing w:line="360" w:lineRule="auto"/>
        <w:jc w:val="center"/>
        <w:rPr>
          <w:rFonts w:hint="eastAsia" w:ascii="宋体" w:hAnsi="宋体" w:eastAsia="宋体" w:cs="宋体"/>
          <w:b/>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（招标人名称）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我司确认收到贵司提供的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招标文件的全部内容，我司：</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已作为投标人正式授权</w:t>
      </w:r>
      <w:r>
        <w:rPr>
          <w:rFonts w:hint="eastAsia" w:ascii="宋体" w:hAnsi="宋体" w:eastAsia="宋体" w:cs="宋体"/>
          <w:color w:val="auto"/>
          <w:szCs w:val="21"/>
          <w:highlight w:val="none"/>
          <w:u w:val="single"/>
        </w:rPr>
        <w:t xml:space="preserve">         (授权代表全名，职务)    </w:t>
      </w:r>
      <w:r>
        <w:rPr>
          <w:rFonts w:hint="eastAsia" w:ascii="宋体" w:hAnsi="宋体" w:eastAsia="宋体" w:cs="宋体"/>
          <w:color w:val="auto"/>
          <w:szCs w:val="21"/>
          <w:highlight w:val="none"/>
        </w:rPr>
        <w:t>代表我司进行有关本投标的一切事宜。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我司已完全明白和接受招标文件的所有条款要求，并重申以下几点：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我司已充分阅读了本项目招标文件并充分了解有关报价方式及变更、结算方式，我司完全响应招标文件的规定。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3．本投标文件的有效期为投标截止日后</w:t>
      </w:r>
      <w:r>
        <w:rPr>
          <w:rFonts w:hint="eastAsia" w:ascii="宋体" w:hAnsi="宋体" w:eastAsia="宋体" w:cs="宋体"/>
          <w:b/>
          <w:color w:val="auto"/>
          <w:szCs w:val="21"/>
          <w:highlight w:val="none"/>
          <w:u w:val="single"/>
        </w:rPr>
        <w:t>120日历天</w:t>
      </w:r>
      <w:r>
        <w:rPr>
          <w:rFonts w:hint="eastAsia" w:ascii="宋体" w:hAnsi="宋体" w:eastAsia="宋体" w:cs="宋体"/>
          <w:color w:val="auto"/>
          <w:szCs w:val="21"/>
          <w:highlight w:val="none"/>
        </w:rPr>
        <w:t>内有效；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4．我司承诺投标文件中的一切资料、数据是真实的，并承担由此引起的一切责任。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5．我司明白并愿意若在规定的投标截止时间之后至投标有效期之内撤回投标，则投标担保将被贵司没收。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6．我司同意按照贵司可能提出的要求而提供与投标有关的任何其它数据或信息。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7．我司如果中标，我司保证：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保证将我司的资质承包范围不能涵盖或不具备相应能力(该能力须保证进度和质量且须获得发包人认可)的部分专业工程（如果有），委托获得发包人批准的具备相应专业资质和能力的单位实施，确保项目质量及进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保证所完成的设计将完全符合国家相关规范要求，符合或优于招标文件、技术条件、合同条款的要求。若我司完成的设计文件未能达到发包人（或相关政府部门）的要求，我司将无条件根据要求进行修改设计文件，直至得到发包人（及相关政府部门）的认可为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7.4保证尽一切力量确保投标承诺的竣工日期，若我司未能按投标承诺的工期完成本项目，除承担合同约定的违约责任外，发包人有权解除合同，我司承担由于违约解除合同退场造成的对发包人的一切损失。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7.5保证投标所报的项目负责人、设计负责人在本项目合同签订后7日内到职，全过程服务于本项目，在过程中非不可抗力或发包人要求不得更换。我司违反以上承诺的，同意按合同条款的规定承担违约责任。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7.6保证所投入本项目的主要材料、设备质量符合或优于招标文件要求，所投入本项目的辅助设备、材料与</w:t>
      </w:r>
      <w:r>
        <w:rPr>
          <w:rFonts w:hint="eastAsia" w:ascii="宋体" w:hAnsi="宋体" w:cs="宋体"/>
          <w:color w:val="auto"/>
          <w:szCs w:val="21"/>
          <w:highlight w:val="none"/>
          <w:lang w:eastAsia="zh-CN"/>
        </w:rPr>
        <w:t>主</w:t>
      </w:r>
      <w:r>
        <w:rPr>
          <w:rFonts w:hint="eastAsia" w:ascii="宋体" w:hAnsi="宋体" w:eastAsia="宋体" w:cs="宋体"/>
          <w:color w:val="auto"/>
          <w:szCs w:val="21"/>
          <w:highlight w:val="none"/>
        </w:rPr>
        <w:t>要材料、设备质量一致并有良好的配套性。</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7.7保证按照招标文件的要求确保安全生产及文明施工，如有违反，我司愿意按合同约定承担违约责任，并为此负相关的法律责任。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7.8保证按国家的有关规定制订保证民工工资支付的方案及保证措施，否则，我司愿按合同条款规定承担违约责任并赔偿发包人的全部损失。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7.9如我方中标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我方承诺：须按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发包人有权根据建设业主已有资料进行审核并审定，审定的竣工结算合同总价视同是经我方认可的工程竣工结算合同总价。 </w:t>
      </w:r>
    </w:p>
    <w:p>
      <w:pPr>
        <w:spacing w:line="360" w:lineRule="auto"/>
        <w:ind w:firstLine="3360" w:firstLineChars="1600"/>
        <w:rPr>
          <w:rFonts w:hint="eastAsia" w:ascii="宋体" w:hAnsi="宋体" w:eastAsia="宋体" w:cs="宋体"/>
          <w:color w:val="auto"/>
          <w:szCs w:val="21"/>
          <w:highlight w:val="none"/>
        </w:rPr>
      </w:pPr>
    </w:p>
    <w:p>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（盖章）</w:t>
      </w:r>
    </w:p>
    <w:p>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法定代表人或其授权代理人(签名或盖章)：</w:t>
      </w:r>
    </w:p>
    <w:p>
      <w:pP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Style w:val="28"/>
        <w:spacing w:line="360" w:lineRule="auto"/>
        <w:ind w:firstLine="211" w:firstLineChars="100"/>
        <w:rPr>
          <w:rFonts w:hint="eastAsia" w:ascii="宋体" w:hAnsi="宋体" w:eastAsia="宋体" w:cs="宋体"/>
          <w:b/>
          <w:color w:val="auto"/>
          <w:sz w:val="21"/>
          <w:szCs w:val="21"/>
          <w:highlight w:val="none"/>
        </w:rPr>
      </w:pPr>
    </w:p>
    <w:p>
      <w:pPr>
        <w:wordWrap w:val="0"/>
        <w:topLinePunct/>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注：联合体投标的，“投标人”一栏需书写所有联合体成员的单位全称，可由主办方签署、盖章。</w:t>
      </w:r>
    </w:p>
    <w:p>
      <w:pPr>
        <w:spacing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Cs w:val="21"/>
          <w:highlight w:val="none"/>
        </w:rPr>
        <w:br w:type="page"/>
      </w: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w:t>
      </w:r>
    </w:p>
    <w:p>
      <w:pPr>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投标人基本情况表</w:t>
      </w:r>
    </w:p>
    <w:tbl>
      <w:tblPr>
        <w:tblStyle w:val="55"/>
        <w:tblW w:w="4999" w:type="pct"/>
        <w:jc w:val="center"/>
        <w:tblLayout w:type="autofit"/>
        <w:tblCellMar>
          <w:top w:w="0" w:type="dxa"/>
          <w:left w:w="0" w:type="dxa"/>
          <w:bottom w:w="0" w:type="dxa"/>
          <w:right w:w="0" w:type="dxa"/>
        </w:tblCellMar>
      </w:tblPr>
      <w:tblGrid>
        <w:gridCol w:w="2033"/>
        <w:gridCol w:w="1188"/>
        <w:gridCol w:w="1311"/>
        <w:gridCol w:w="904"/>
        <w:gridCol w:w="459"/>
        <w:gridCol w:w="232"/>
        <w:gridCol w:w="1363"/>
        <w:gridCol w:w="219"/>
        <w:gridCol w:w="904"/>
        <w:gridCol w:w="1152"/>
      </w:tblGrid>
      <w:tr>
        <w:tblPrEx>
          <w:tblCellMar>
            <w:top w:w="0" w:type="dxa"/>
            <w:left w:w="0" w:type="dxa"/>
            <w:bottom w:w="0" w:type="dxa"/>
            <w:right w:w="0" w:type="dxa"/>
          </w:tblCellMar>
        </w:tblPrEx>
        <w:trPr>
          <w:trHeight w:val="50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注册地址</w:t>
            </w:r>
          </w:p>
        </w:tc>
        <w:tc>
          <w:tcPr>
            <w:tcW w:w="2096" w:type="pct"/>
            <w:gridSpan w:val="5"/>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邮政编码</w:t>
            </w:r>
          </w:p>
        </w:tc>
        <w:tc>
          <w:tcPr>
            <w:tcW w:w="1163"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540" w:hRule="exact"/>
          <w:jc w:val="center"/>
        </w:trPr>
        <w:tc>
          <w:tcPr>
            <w:tcW w:w="1041" w:type="pct"/>
            <w:vMerge w:val="restart"/>
            <w:tcBorders>
              <w:top w:val="single" w:color="auto" w:sz="8" w:space="0"/>
              <w:left w:val="single" w:color="auto" w:sz="8" w:space="0"/>
              <w:bottom w:val="nil"/>
              <w:right w:val="single" w:color="auto" w:sz="8" w:space="0"/>
            </w:tcBorders>
            <w:vAlign w:val="center"/>
          </w:tcPr>
          <w:p>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487"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  话</w:t>
            </w:r>
          </w:p>
        </w:tc>
        <w:tc>
          <w:tcPr>
            <w:tcW w:w="1163"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520" w:hRule="exact"/>
          <w:jc w:val="center"/>
        </w:trPr>
        <w:tc>
          <w:tcPr>
            <w:tcW w:w="1041" w:type="pct"/>
            <w:vMerge w:val="continue"/>
            <w:tcBorders>
              <w:top w:val="nil"/>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kern w:val="0"/>
                <w:szCs w:val="21"/>
                <w:highlight w:val="none"/>
              </w:rPr>
            </w:pP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传  真</w:t>
            </w:r>
          </w:p>
        </w:tc>
        <w:tc>
          <w:tcPr>
            <w:tcW w:w="1487"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电子邮件</w:t>
            </w:r>
          </w:p>
        </w:tc>
        <w:tc>
          <w:tcPr>
            <w:tcW w:w="1163"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w:t>
            </w: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姓名</w:t>
            </w:r>
          </w:p>
        </w:tc>
        <w:tc>
          <w:tcPr>
            <w:tcW w:w="670"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技术职称</w:t>
            </w:r>
          </w:p>
        </w:tc>
        <w:tc>
          <w:tcPr>
            <w:tcW w:w="929"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电话</w:t>
            </w:r>
          </w:p>
        </w:tc>
        <w:tc>
          <w:tcPr>
            <w:tcW w:w="587"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技术负责人</w:t>
            </w:r>
          </w:p>
        </w:tc>
        <w:tc>
          <w:tcPr>
            <w:tcW w:w="608"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姓名</w:t>
            </w:r>
          </w:p>
        </w:tc>
        <w:tc>
          <w:tcPr>
            <w:tcW w:w="670"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698"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技术职称</w:t>
            </w:r>
          </w:p>
        </w:tc>
        <w:tc>
          <w:tcPr>
            <w:tcW w:w="929" w:type="pct"/>
            <w:gridSpan w:val="3"/>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电话</w:t>
            </w:r>
          </w:p>
        </w:tc>
        <w:tc>
          <w:tcPr>
            <w:tcW w:w="587"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4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成立时间</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679" w:type="pct"/>
            <w:gridSpan w:val="7"/>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员工总人数：</w:t>
            </w:r>
          </w:p>
        </w:tc>
      </w:tr>
      <w:tr>
        <w:tblPrEx>
          <w:tblCellMar>
            <w:top w:w="0" w:type="dxa"/>
            <w:left w:w="0" w:type="dxa"/>
            <w:bottom w:w="0" w:type="dxa"/>
            <w:right w:w="0" w:type="dxa"/>
          </w:tblCellMar>
        </w:tblPrEx>
        <w:trPr>
          <w:trHeight w:val="50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企业资质等级</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restart"/>
            <w:tcBorders>
              <w:top w:val="single" w:color="auto" w:sz="8" w:space="0"/>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其中</w:t>
            </w: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项目经理</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54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营业执照号</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高级职称人员</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2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注册资金</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中级职称人员</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782"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基本账户开户银行</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初级职称人员</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cantSplit/>
          <w:trHeight w:val="710"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基本账户账号</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463" w:type="pct"/>
            <w:vMerge w:val="continue"/>
            <w:tcBorders>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164" w:type="pct"/>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技工</w:t>
            </w:r>
          </w:p>
        </w:tc>
        <w:tc>
          <w:tcPr>
            <w:tcW w:w="1051" w:type="pct"/>
            <w:gridSpan w:val="2"/>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1676"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经营范围</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1421"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企业简介</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（本项内容可另附页）</w:t>
            </w:r>
          </w:p>
        </w:tc>
      </w:tr>
      <w:tr>
        <w:tblPrEx>
          <w:tblCellMar>
            <w:top w:w="0" w:type="dxa"/>
            <w:left w:w="0" w:type="dxa"/>
            <w:bottom w:w="0" w:type="dxa"/>
            <w:right w:w="0" w:type="dxa"/>
          </w:tblCellMar>
        </w:tblPrEx>
        <w:trPr>
          <w:trHeight w:val="1084" w:hRule="exact"/>
          <w:jc w:val="center"/>
        </w:trPr>
        <w:tc>
          <w:tcPr>
            <w:tcW w:w="1041" w:type="pct"/>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备注</w:t>
            </w:r>
          </w:p>
        </w:tc>
        <w:tc>
          <w:tcPr>
            <w:tcW w:w="3958" w:type="pct"/>
            <w:gridSpan w:val="9"/>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jc w:val="center"/>
              <w:rPr>
                <w:rFonts w:hint="eastAsia" w:ascii="宋体" w:hAnsi="宋体" w:eastAsia="宋体" w:cs="宋体"/>
                <w:color w:val="auto"/>
                <w:szCs w:val="21"/>
                <w:highlight w:val="none"/>
              </w:rPr>
            </w:pPr>
          </w:p>
        </w:tc>
      </w:tr>
    </w:tbl>
    <w:p>
      <w:pPr>
        <w:spacing w:line="360" w:lineRule="auto"/>
        <w:ind w:right="42" w:rightChars="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注：联合体投标的，由联合体主办方提交本表。</w:t>
      </w:r>
    </w:p>
    <w:p>
      <w:pPr>
        <w:autoSpaceDE w:val="0"/>
        <w:autoSpaceDN w:val="0"/>
        <w:adjustRightInd w:val="0"/>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color w:val="auto"/>
          <w:szCs w:val="21"/>
          <w:highlight w:val="none"/>
        </w:rPr>
        <w:br w:type="page"/>
      </w:r>
      <w:r>
        <w:rPr>
          <w:rFonts w:hint="eastAsia" w:ascii="宋体" w:hAnsi="宋体" w:eastAsia="宋体" w:cs="宋体"/>
          <w:b/>
          <w:color w:val="auto"/>
          <w:sz w:val="32"/>
          <w:szCs w:val="32"/>
          <w:highlight w:val="none"/>
        </w:rPr>
        <w:t>格式</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w:t>
      </w:r>
    </w:p>
    <w:p>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参与编制投标文件人员名单</w:t>
      </w:r>
    </w:p>
    <w:p>
      <w:pPr>
        <w:tabs>
          <w:tab w:val="left" w:pos="720"/>
        </w:tabs>
        <w:snapToGrid w:val="0"/>
        <w:spacing w:line="360" w:lineRule="auto"/>
        <w:rPr>
          <w:rFonts w:hint="eastAsia" w:ascii="宋体" w:hAnsi="宋体" w:eastAsia="宋体" w:cs="宋体"/>
          <w:caps/>
          <w:color w:val="auto"/>
          <w:sz w:val="24"/>
          <w:highlight w:val="none"/>
        </w:rPr>
      </w:pPr>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44"/>
        <w:gridCol w:w="1479"/>
        <w:gridCol w:w="2616"/>
        <w:gridCol w:w="2764"/>
        <w:gridCol w:w="16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831" w:type="pct"/>
            <w:vAlign w:val="center"/>
          </w:tcPr>
          <w:p>
            <w:pPr>
              <w:tabs>
                <w:tab w:val="left" w:pos="0"/>
                <w:tab w:val="left" w:pos="720"/>
              </w:tabs>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725"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742"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13"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1387"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c>
          <w:tcPr>
            <w:tcW w:w="831" w:type="pct"/>
            <w:vAlign w:val="center"/>
          </w:tcPr>
          <w:p>
            <w:pPr>
              <w:tabs>
                <w:tab w:val="left" w:pos="0"/>
                <w:tab w:val="left" w:pos="720"/>
              </w:tabs>
              <w:adjustRightInd w:val="0"/>
              <w:snapToGrid w:val="0"/>
              <w:spacing w:line="360" w:lineRule="auto"/>
              <w:jc w:val="center"/>
              <w:rPr>
                <w:rFonts w:hint="eastAsia" w:ascii="宋体" w:hAnsi="宋体" w:eastAsia="宋体" w:cs="宋体"/>
                <w:color w:val="auto"/>
                <w:szCs w:val="21"/>
                <w:highlight w:val="none"/>
              </w:rPr>
            </w:pPr>
          </w:p>
        </w:tc>
      </w:tr>
    </w:tbl>
    <w:p>
      <w:pPr>
        <w:spacing w:line="360" w:lineRule="auto"/>
        <w:ind w:left="208" w:leftChars="99" w:right="42" w:rightChars="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注：参与编制标书所有人员名单应包括如编制技术投标方案、编制投标报价、负责清样校对、负责打印及复印等所有人员在内的人员名单。</w:t>
      </w:r>
    </w:p>
    <w:p>
      <w:pPr>
        <w:spacing w:line="360" w:lineRule="auto"/>
        <w:ind w:left="-283" w:leftChars="-135" w:right="-191" w:rightChars="-91"/>
        <w:rPr>
          <w:rFonts w:hint="eastAsia" w:ascii="宋体" w:hAnsi="宋体" w:eastAsia="宋体" w:cs="宋体"/>
          <w:color w:val="auto"/>
          <w:szCs w:val="21"/>
          <w:highlight w:val="none"/>
        </w:rPr>
      </w:pPr>
    </w:p>
    <w:p>
      <w:pPr>
        <w:spacing w:line="360" w:lineRule="auto"/>
        <w:ind w:left="-283" w:leftChars="-135" w:right="-191" w:rightChars="-91"/>
        <w:rPr>
          <w:rFonts w:hint="eastAsia" w:ascii="宋体" w:hAnsi="宋体" w:eastAsia="宋体" w:cs="宋体"/>
          <w:color w:val="auto"/>
          <w:sz w:val="24"/>
          <w:highlight w:val="none"/>
        </w:rPr>
      </w:pPr>
    </w:p>
    <w:p>
      <w:pPr>
        <w:spacing w:line="360" w:lineRule="auto"/>
        <w:ind w:left="-283" w:leftChars="-135" w:right="-191" w:rightChars="-91"/>
        <w:rPr>
          <w:rFonts w:hint="eastAsia" w:ascii="宋体" w:hAnsi="宋体" w:eastAsia="宋体" w:cs="宋体"/>
          <w:color w:val="auto"/>
          <w:sz w:val="24"/>
          <w:highlight w:val="none"/>
        </w:rPr>
      </w:pPr>
    </w:p>
    <w:p>
      <w:pPr>
        <w:spacing w:line="360" w:lineRule="auto"/>
        <w:ind w:left="-283" w:leftChars="-135" w:right="-191" w:rightChars="-91"/>
        <w:rPr>
          <w:rFonts w:hint="eastAsia" w:ascii="宋体" w:hAnsi="宋体" w:eastAsia="宋体" w:cs="宋体"/>
          <w:color w:val="auto"/>
          <w:sz w:val="24"/>
          <w:highlight w:val="none"/>
        </w:rPr>
      </w:pPr>
    </w:p>
    <w:p>
      <w:pPr>
        <w:spacing w:line="360" w:lineRule="auto"/>
        <w:ind w:right="-130" w:rightChars="-62"/>
        <w:rPr>
          <w:rFonts w:hint="eastAsia" w:ascii="宋体" w:hAnsi="宋体" w:eastAsia="宋体" w:cs="宋体"/>
          <w:color w:val="auto"/>
          <w:highlight w:val="none"/>
        </w:rPr>
      </w:pPr>
    </w:p>
    <w:sectPr>
      <w:headerReference r:id="rId16" w:type="default"/>
      <w:footerReference r:id="rId17" w:type="default"/>
      <w:pgSz w:w="11907" w:h="16840"/>
      <w:pgMar w:top="1440" w:right="1080" w:bottom="1440" w:left="1080" w:header="851"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0" w:usb3="00000000" w:csb0="00100000" w:csb1="00000000"/>
  </w:font>
  <w:font w:name="MS Mincho">
    <w:altName w:val="Yu Gothic UI"/>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Beijing">
    <w:altName w:val="Arial"/>
    <w:panose1 w:val="00000000000000000000"/>
    <w:charset w:val="5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UI Gothic">
    <w:panose1 w:val="020B0600070205080204"/>
    <w:charset w:val="80"/>
    <w:family w:val="swiss"/>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Yenti EG">
    <w:altName w:val="宋体"/>
    <w:panose1 w:val="00000000000000000000"/>
    <w:charset w:val="86"/>
    <w:family w:val="roma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07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文本框 3077"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L3UTQAAAAAgEAAA8AAAAAAAAAAQAgAAAAIgAAAGRycy9k&#10;b3ducmV2LnhtbFBLAQIUABQAAAAIAIdO4kCwFCTb0QEAAJkDAAAOAAAAAAAAAAEAIAAAAB8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upright="1">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5XlUzAEAAJw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307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gexL80QEAAJoDAAAOAAAAAAAAAAEAIAAAAB8BAABk&#10;cnMvZTJvRG9jLnhtbFBLBQYAAAAABgAGAFkBAABi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28</w:t>
    </w:r>
    <w:r>
      <w:fldChar w:fldCharType="end"/>
    </w:r>
  </w:p>
  <w:p>
    <w:pPr>
      <w:pStyle w:val="3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43</w:t>
    </w:r>
    <w:r>
      <w:fldChar w:fldCharType="end"/>
    </w:r>
  </w:p>
  <w:p>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rPr>
        <w:rStyle w:val="60"/>
      </w:rPr>
      <w:t>32</w:t>
    </w:r>
    <w:r>
      <w:fldChar w:fldCharType="end"/>
    </w:r>
  </w:p>
  <w:p>
    <w:pPr>
      <w:pStyle w:val="34"/>
      <w:tabs>
        <w:tab w:val="left" w:pos="9455"/>
        <w:tab w:val="clear" w:pos="4153"/>
        <w:tab w:val="clear" w:pos="8306"/>
      </w:tabs>
    </w:pP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rPr>
        <w:rStyle w:val="60"/>
      </w:rPr>
      <w:instrText xml:space="preserve"> PAGE </w:instrText>
    </w:r>
    <w:r>
      <w:fldChar w:fldCharType="separate"/>
    </w:r>
    <w:r>
      <w:rPr>
        <w:rStyle w:val="60"/>
      </w:rPr>
      <w:t>43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jc w:val="right"/>
                          </w:pPr>
                          <w:r>
                            <w:fldChar w:fldCharType="begin"/>
                          </w:r>
                          <w:r>
                            <w:instrText xml:space="preserve">PAGE   \* MERGEFORMAT</w:instrText>
                          </w:r>
                          <w:r>
                            <w:fldChar w:fldCharType="separate"/>
                          </w:r>
                          <w:r>
                            <w:rPr>
                              <w:lang w:val="zh-CN"/>
                            </w:rPr>
                            <w:t>47</w:t>
                          </w:r>
                          <w:r>
                            <w:rPr>
                              <w:lang w:val="zh-CN"/>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pPr>
                      <w:pStyle w:val="34"/>
                      <w:jc w:val="right"/>
                    </w:pPr>
                    <w:r>
                      <w:fldChar w:fldCharType="begin"/>
                    </w:r>
                    <w:r>
                      <w:instrText xml:space="preserve">PAGE   \* MERGEFORMAT</w:instrText>
                    </w:r>
                    <w:r>
                      <w:fldChar w:fldCharType="separate"/>
                    </w:r>
                    <w:r>
                      <w:rPr>
                        <w:lang w:val="zh-CN"/>
                      </w:rPr>
                      <w:t>47</w:t>
                    </w:r>
                    <w:r>
                      <w:rPr>
                        <w:lang w:val="zh-CN"/>
                      </w:rPr>
                      <w:fldChar w:fldCharType="end"/>
                    </w:r>
                  </w:p>
                </w:txbxContent>
              </v:textbox>
            </v:shape>
          </w:pict>
        </mc:Fallback>
      </mc:AlternateContent>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7B3B2"/>
    <w:multiLevelType w:val="singleLevel"/>
    <w:tmpl w:val="9C37B3B2"/>
    <w:lvl w:ilvl="0" w:tentative="0">
      <w:start w:val="1"/>
      <w:numFmt w:val="chineseCounting"/>
      <w:suff w:val="nothing"/>
      <w:lvlText w:val="%1、"/>
      <w:lvlJc w:val="left"/>
      <w:rPr>
        <w:rFonts w:hint="eastAsia"/>
      </w:rPr>
    </w:lvl>
  </w:abstractNum>
  <w:abstractNum w:abstractNumId="1">
    <w:nsid w:val="CABCF9B8"/>
    <w:multiLevelType w:val="singleLevel"/>
    <w:tmpl w:val="CABCF9B8"/>
    <w:lvl w:ilvl="0" w:tentative="0">
      <w:start w:val="3"/>
      <w:numFmt w:val="chineseCounting"/>
      <w:suff w:val="space"/>
      <w:lvlText w:val="第%1章"/>
      <w:lvlJc w:val="left"/>
      <w:rPr>
        <w:rFonts w:hint="eastAsia"/>
      </w:rPr>
    </w:lvl>
  </w:abstractNum>
  <w:abstractNum w:abstractNumId="2">
    <w:nsid w:val="CFA3E30C"/>
    <w:multiLevelType w:val="singleLevel"/>
    <w:tmpl w:val="CFA3E30C"/>
    <w:lvl w:ilvl="0" w:tentative="0">
      <w:start w:val="1"/>
      <w:numFmt w:val="decimal"/>
      <w:suff w:val="nothing"/>
      <w:lvlText w:val="%1、"/>
      <w:lvlJc w:val="left"/>
    </w:lvl>
  </w:abstractNum>
  <w:abstractNum w:abstractNumId="3">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4">
    <w:nsid w:val="34053AFD"/>
    <w:multiLevelType w:val="singleLevel"/>
    <w:tmpl w:val="34053AFD"/>
    <w:lvl w:ilvl="0" w:tentative="0">
      <w:start w:val="1"/>
      <w:numFmt w:val="decimal"/>
      <w:suff w:val="nothing"/>
      <w:lvlText w:val="（%1）"/>
      <w:lvlJc w:val="left"/>
    </w:lvl>
  </w:abstractNum>
  <w:abstractNum w:abstractNumId="5">
    <w:nsid w:val="5E830D99"/>
    <w:multiLevelType w:val="singleLevel"/>
    <w:tmpl w:val="5E830D99"/>
    <w:lvl w:ilvl="0" w:tentative="0">
      <w:start w:val="4"/>
      <w:numFmt w:val="chineseCounting"/>
      <w:suff w:val="space"/>
      <w:lvlText w:val="第%1章"/>
      <w:lvlJc w:val="left"/>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removePersonalInformation/>
  <w:doNotDisplayPageBoundaries w:val="1"/>
  <w:bordersDoNotSurroundHeader w:val="1"/>
  <w:bordersDoNotSurroundFooter w:val="1"/>
  <w:documentProtection w:edit="trackedChanges" w:enforcement="0"/>
  <w:defaultTabStop w:val="420"/>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WYxZGFiOTg0YmFkMjhlM2Q5ZjYyMjc2ZmY1ZTcifQ=="/>
  </w:docVars>
  <w:rsids>
    <w:rsidRoot w:val="00172A27"/>
    <w:rsid w:val="0000070F"/>
    <w:rsid w:val="00000AF2"/>
    <w:rsid w:val="0000128D"/>
    <w:rsid w:val="000026B8"/>
    <w:rsid w:val="00003B78"/>
    <w:rsid w:val="00003EFF"/>
    <w:rsid w:val="00004C11"/>
    <w:rsid w:val="000074B8"/>
    <w:rsid w:val="000076F5"/>
    <w:rsid w:val="00010152"/>
    <w:rsid w:val="0001134C"/>
    <w:rsid w:val="000117B8"/>
    <w:rsid w:val="00013501"/>
    <w:rsid w:val="00014605"/>
    <w:rsid w:val="000146DD"/>
    <w:rsid w:val="00015F03"/>
    <w:rsid w:val="0001687B"/>
    <w:rsid w:val="000205D7"/>
    <w:rsid w:val="00020987"/>
    <w:rsid w:val="00021121"/>
    <w:rsid w:val="0002131C"/>
    <w:rsid w:val="000214A6"/>
    <w:rsid w:val="000252A7"/>
    <w:rsid w:val="00026DDB"/>
    <w:rsid w:val="00027B32"/>
    <w:rsid w:val="000320BD"/>
    <w:rsid w:val="000325CC"/>
    <w:rsid w:val="000344C7"/>
    <w:rsid w:val="00034529"/>
    <w:rsid w:val="00034FE3"/>
    <w:rsid w:val="00035D06"/>
    <w:rsid w:val="00040156"/>
    <w:rsid w:val="00042EE1"/>
    <w:rsid w:val="00043787"/>
    <w:rsid w:val="00043D9F"/>
    <w:rsid w:val="000470ED"/>
    <w:rsid w:val="0004730B"/>
    <w:rsid w:val="000514DC"/>
    <w:rsid w:val="0005186A"/>
    <w:rsid w:val="00051E7A"/>
    <w:rsid w:val="000522D2"/>
    <w:rsid w:val="00054A2F"/>
    <w:rsid w:val="000557A1"/>
    <w:rsid w:val="00060207"/>
    <w:rsid w:val="0006411C"/>
    <w:rsid w:val="000644C2"/>
    <w:rsid w:val="00064B75"/>
    <w:rsid w:val="00065209"/>
    <w:rsid w:val="00067419"/>
    <w:rsid w:val="00071CF6"/>
    <w:rsid w:val="000729E0"/>
    <w:rsid w:val="000747BC"/>
    <w:rsid w:val="000754D8"/>
    <w:rsid w:val="0007591F"/>
    <w:rsid w:val="000762B1"/>
    <w:rsid w:val="00076AD2"/>
    <w:rsid w:val="00076ECD"/>
    <w:rsid w:val="000772B5"/>
    <w:rsid w:val="00077D2E"/>
    <w:rsid w:val="00080193"/>
    <w:rsid w:val="00082F47"/>
    <w:rsid w:val="00084EC9"/>
    <w:rsid w:val="00085EC3"/>
    <w:rsid w:val="00085F62"/>
    <w:rsid w:val="00085FA9"/>
    <w:rsid w:val="00085FD0"/>
    <w:rsid w:val="00086168"/>
    <w:rsid w:val="000876AD"/>
    <w:rsid w:val="000878F9"/>
    <w:rsid w:val="00091FB5"/>
    <w:rsid w:val="00094A98"/>
    <w:rsid w:val="00095844"/>
    <w:rsid w:val="00096D32"/>
    <w:rsid w:val="000A1D17"/>
    <w:rsid w:val="000A2587"/>
    <w:rsid w:val="000A3336"/>
    <w:rsid w:val="000A3537"/>
    <w:rsid w:val="000A408A"/>
    <w:rsid w:val="000A4DAC"/>
    <w:rsid w:val="000A5B80"/>
    <w:rsid w:val="000A6713"/>
    <w:rsid w:val="000A7498"/>
    <w:rsid w:val="000B0013"/>
    <w:rsid w:val="000B007A"/>
    <w:rsid w:val="000B0EED"/>
    <w:rsid w:val="000B1A41"/>
    <w:rsid w:val="000B2154"/>
    <w:rsid w:val="000B5541"/>
    <w:rsid w:val="000B591A"/>
    <w:rsid w:val="000B6239"/>
    <w:rsid w:val="000B7313"/>
    <w:rsid w:val="000C0289"/>
    <w:rsid w:val="000C04E6"/>
    <w:rsid w:val="000C15BD"/>
    <w:rsid w:val="000C1AE1"/>
    <w:rsid w:val="000C208E"/>
    <w:rsid w:val="000C258A"/>
    <w:rsid w:val="000C3A1F"/>
    <w:rsid w:val="000C4DA9"/>
    <w:rsid w:val="000C51C8"/>
    <w:rsid w:val="000C51D5"/>
    <w:rsid w:val="000C59C5"/>
    <w:rsid w:val="000C696A"/>
    <w:rsid w:val="000C7234"/>
    <w:rsid w:val="000D0200"/>
    <w:rsid w:val="000D2449"/>
    <w:rsid w:val="000D2B8B"/>
    <w:rsid w:val="000D2E1A"/>
    <w:rsid w:val="000D54CF"/>
    <w:rsid w:val="000D5F8C"/>
    <w:rsid w:val="000E078D"/>
    <w:rsid w:val="000E2C74"/>
    <w:rsid w:val="000E555A"/>
    <w:rsid w:val="000E6573"/>
    <w:rsid w:val="000F12FB"/>
    <w:rsid w:val="000F1501"/>
    <w:rsid w:val="000F2586"/>
    <w:rsid w:val="000F3E18"/>
    <w:rsid w:val="000F46EE"/>
    <w:rsid w:val="000F4C83"/>
    <w:rsid w:val="000F557B"/>
    <w:rsid w:val="000F5A41"/>
    <w:rsid w:val="001015D3"/>
    <w:rsid w:val="001024D7"/>
    <w:rsid w:val="00102A14"/>
    <w:rsid w:val="001037EA"/>
    <w:rsid w:val="0010529D"/>
    <w:rsid w:val="00105544"/>
    <w:rsid w:val="00105E60"/>
    <w:rsid w:val="0010625B"/>
    <w:rsid w:val="0010648A"/>
    <w:rsid w:val="001065B8"/>
    <w:rsid w:val="00106755"/>
    <w:rsid w:val="001070CC"/>
    <w:rsid w:val="00110206"/>
    <w:rsid w:val="0011058A"/>
    <w:rsid w:val="0011082D"/>
    <w:rsid w:val="0011266D"/>
    <w:rsid w:val="00113DAF"/>
    <w:rsid w:val="00113DC9"/>
    <w:rsid w:val="00116F90"/>
    <w:rsid w:val="00117B9A"/>
    <w:rsid w:val="0012015F"/>
    <w:rsid w:val="0012205B"/>
    <w:rsid w:val="00122C47"/>
    <w:rsid w:val="001231B4"/>
    <w:rsid w:val="00127D0A"/>
    <w:rsid w:val="001326DB"/>
    <w:rsid w:val="001327FF"/>
    <w:rsid w:val="0013283E"/>
    <w:rsid w:val="00133F00"/>
    <w:rsid w:val="001369AD"/>
    <w:rsid w:val="00137070"/>
    <w:rsid w:val="00137820"/>
    <w:rsid w:val="00140273"/>
    <w:rsid w:val="00141218"/>
    <w:rsid w:val="001426F5"/>
    <w:rsid w:val="00146566"/>
    <w:rsid w:val="0015151C"/>
    <w:rsid w:val="0015393B"/>
    <w:rsid w:val="00154032"/>
    <w:rsid w:val="0015419F"/>
    <w:rsid w:val="00154CA8"/>
    <w:rsid w:val="00154F73"/>
    <w:rsid w:val="00155296"/>
    <w:rsid w:val="00156D44"/>
    <w:rsid w:val="00156F2A"/>
    <w:rsid w:val="00157D18"/>
    <w:rsid w:val="001601EC"/>
    <w:rsid w:val="001602C0"/>
    <w:rsid w:val="00161A6B"/>
    <w:rsid w:val="00162324"/>
    <w:rsid w:val="00164B71"/>
    <w:rsid w:val="00164E89"/>
    <w:rsid w:val="001652D7"/>
    <w:rsid w:val="001658A4"/>
    <w:rsid w:val="00165B7F"/>
    <w:rsid w:val="00165C91"/>
    <w:rsid w:val="00166019"/>
    <w:rsid w:val="0016612D"/>
    <w:rsid w:val="00166FDF"/>
    <w:rsid w:val="0016757A"/>
    <w:rsid w:val="00167D92"/>
    <w:rsid w:val="00170571"/>
    <w:rsid w:val="00170C9C"/>
    <w:rsid w:val="00171FCA"/>
    <w:rsid w:val="00172294"/>
    <w:rsid w:val="00172A27"/>
    <w:rsid w:val="00172D1B"/>
    <w:rsid w:val="0017335C"/>
    <w:rsid w:val="00173505"/>
    <w:rsid w:val="00173740"/>
    <w:rsid w:val="001739B7"/>
    <w:rsid w:val="00174359"/>
    <w:rsid w:val="00175520"/>
    <w:rsid w:val="0017592C"/>
    <w:rsid w:val="00175BD9"/>
    <w:rsid w:val="00176AFA"/>
    <w:rsid w:val="001771F5"/>
    <w:rsid w:val="00177D1A"/>
    <w:rsid w:val="00177ECF"/>
    <w:rsid w:val="00181A21"/>
    <w:rsid w:val="00182C23"/>
    <w:rsid w:val="00183D18"/>
    <w:rsid w:val="001844FF"/>
    <w:rsid w:val="001854BB"/>
    <w:rsid w:val="00185869"/>
    <w:rsid w:val="00185C22"/>
    <w:rsid w:val="00187095"/>
    <w:rsid w:val="0018744A"/>
    <w:rsid w:val="00187687"/>
    <w:rsid w:val="001877A6"/>
    <w:rsid w:val="001879B8"/>
    <w:rsid w:val="00187FEE"/>
    <w:rsid w:val="001907D6"/>
    <w:rsid w:val="00192072"/>
    <w:rsid w:val="001923EE"/>
    <w:rsid w:val="00192D24"/>
    <w:rsid w:val="001953C8"/>
    <w:rsid w:val="00195A5C"/>
    <w:rsid w:val="001966EB"/>
    <w:rsid w:val="00197AE7"/>
    <w:rsid w:val="001A0C0B"/>
    <w:rsid w:val="001A2524"/>
    <w:rsid w:val="001A2821"/>
    <w:rsid w:val="001A41DE"/>
    <w:rsid w:val="001A43FB"/>
    <w:rsid w:val="001A4663"/>
    <w:rsid w:val="001A5BC3"/>
    <w:rsid w:val="001A6E72"/>
    <w:rsid w:val="001A7EB9"/>
    <w:rsid w:val="001B0536"/>
    <w:rsid w:val="001B126B"/>
    <w:rsid w:val="001B337C"/>
    <w:rsid w:val="001B43E1"/>
    <w:rsid w:val="001B7E1C"/>
    <w:rsid w:val="001C12B4"/>
    <w:rsid w:val="001C1D6C"/>
    <w:rsid w:val="001C2A66"/>
    <w:rsid w:val="001C6DA6"/>
    <w:rsid w:val="001C7B36"/>
    <w:rsid w:val="001D129F"/>
    <w:rsid w:val="001D37E7"/>
    <w:rsid w:val="001D4ACC"/>
    <w:rsid w:val="001D7BC8"/>
    <w:rsid w:val="001E2685"/>
    <w:rsid w:val="001E437A"/>
    <w:rsid w:val="001E4796"/>
    <w:rsid w:val="001E4BA5"/>
    <w:rsid w:val="001E4D89"/>
    <w:rsid w:val="001E5F72"/>
    <w:rsid w:val="001E6A54"/>
    <w:rsid w:val="001E77EE"/>
    <w:rsid w:val="001F1BE2"/>
    <w:rsid w:val="001F2310"/>
    <w:rsid w:val="001F2626"/>
    <w:rsid w:val="001F2CDE"/>
    <w:rsid w:val="001F4058"/>
    <w:rsid w:val="001F4DF0"/>
    <w:rsid w:val="001F57E9"/>
    <w:rsid w:val="001F708D"/>
    <w:rsid w:val="002003F8"/>
    <w:rsid w:val="00201E49"/>
    <w:rsid w:val="0020249A"/>
    <w:rsid w:val="002036A7"/>
    <w:rsid w:val="00203BA6"/>
    <w:rsid w:val="0020686D"/>
    <w:rsid w:val="00210EED"/>
    <w:rsid w:val="0021115B"/>
    <w:rsid w:val="00211359"/>
    <w:rsid w:val="00211D81"/>
    <w:rsid w:val="00212CA9"/>
    <w:rsid w:val="00215272"/>
    <w:rsid w:val="002158CD"/>
    <w:rsid w:val="002159C0"/>
    <w:rsid w:val="00217880"/>
    <w:rsid w:val="00217AED"/>
    <w:rsid w:val="0022082D"/>
    <w:rsid w:val="0022140E"/>
    <w:rsid w:val="00225E53"/>
    <w:rsid w:val="00227ACD"/>
    <w:rsid w:val="00230085"/>
    <w:rsid w:val="002308CE"/>
    <w:rsid w:val="0023110A"/>
    <w:rsid w:val="00233C16"/>
    <w:rsid w:val="0023407E"/>
    <w:rsid w:val="0023515E"/>
    <w:rsid w:val="00235B2E"/>
    <w:rsid w:val="002366FA"/>
    <w:rsid w:val="00236939"/>
    <w:rsid w:val="00237373"/>
    <w:rsid w:val="0024112E"/>
    <w:rsid w:val="00242166"/>
    <w:rsid w:val="002434AE"/>
    <w:rsid w:val="002440F7"/>
    <w:rsid w:val="002443AA"/>
    <w:rsid w:val="00245AED"/>
    <w:rsid w:val="00245B46"/>
    <w:rsid w:val="002461C2"/>
    <w:rsid w:val="00246D38"/>
    <w:rsid w:val="002507A3"/>
    <w:rsid w:val="0025097F"/>
    <w:rsid w:val="00250A4D"/>
    <w:rsid w:val="002533C8"/>
    <w:rsid w:val="002534BB"/>
    <w:rsid w:val="00253AE2"/>
    <w:rsid w:val="00254F4C"/>
    <w:rsid w:val="00255198"/>
    <w:rsid w:val="00255FBA"/>
    <w:rsid w:val="002567CF"/>
    <w:rsid w:val="002573AA"/>
    <w:rsid w:val="00257BCF"/>
    <w:rsid w:val="002621E9"/>
    <w:rsid w:val="00262B56"/>
    <w:rsid w:val="00262B84"/>
    <w:rsid w:val="00263B24"/>
    <w:rsid w:val="00263C2D"/>
    <w:rsid w:val="00264A81"/>
    <w:rsid w:val="0027061E"/>
    <w:rsid w:val="002717AE"/>
    <w:rsid w:val="00273CCA"/>
    <w:rsid w:val="002749CC"/>
    <w:rsid w:val="00275ACD"/>
    <w:rsid w:val="00276702"/>
    <w:rsid w:val="002777BD"/>
    <w:rsid w:val="00286AB3"/>
    <w:rsid w:val="00290941"/>
    <w:rsid w:val="00291330"/>
    <w:rsid w:val="002919B5"/>
    <w:rsid w:val="00292903"/>
    <w:rsid w:val="002936E3"/>
    <w:rsid w:val="00293740"/>
    <w:rsid w:val="002952C8"/>
    <w:rsid w:val="00295369"/>
    <w:rsid w:val="002A031E"/>
    <w:rsid w:val="002A2806"/>
    <w:rsid w:val="002A2CAB"/>
    <w:rsid w:val="002A3A72"/>
    <w:rsid w:val="002A3E02"/>
    <w:rsid w:val="002A4C70"/>
    <w:rsid w:val="002A552A"/>
    <w:rsid w:val="002A7095"/>
    <w:rsid w:val="002A70C9"/>
    <w:rsid w:val="002A75A8"/>
    <w:rsid w:val="002B0F9B"/>
    <w:rsid w:val="002B17A3"/>
    <w:rsid w:val="002B255C"/>
    <w:rsid w:val="002B264E"/>
    <w:rsid w:val="002B28DD"/>
    <w:rsid w:val="002B2E7A"/>
    <w:rsid w:val="002B355C"/>
    <w:rsid w:val="002B57CA"/>
    <w:rsid w:val="002B5C53"/>
    <w:rsid w:val="002B5F72"/>
    <w:rsid w:val="002B64A5"/>
    <w:rsid w:val="002C046D"/>
    <w:rsid w:val="002C048A"/>
    <w:rsid w:val="002C05F2"/>
    <w:rsid w:val="002C1747"/>
    <w:rsid w:val="002C29AB"/>
    <w:rsid w:val="002C52BC"/>
    <w:rsid w:val="002C62D9"/>
    <w:rsid w:val="002C66FE"/>
    <w:rsid w:val="002D297B"/>
    <w:rsid w:val="002D42FA"/>
    <w:rsid w:val="002D433B"/>
    <w:rsid w:val="002D443E"/>
    <w:rsid w:val="002D6425"/>
    <w:rsid w:val="002D7F08"/>
    <w:rsid w:val="002E0628"/>
    <w:rsid w:val="002E1721"/>
    <w:rsid w:val="002E20E6"/>
    <w:rsid w:val="002E4ACC"/>
    <w:rsid w:val="002E666A"/>
    <w:rsid w:val="002E72D6"/>
    <w:rsid w:val="002E79D6"/>
    <w:rsid w:val="002F1189"/>
    <w:rsid w:val="002F12F9"/>
    <w:rsid w:val="002F1F9C"/>
    <w:rsid w:val="002F2634"/>
    <w:rsid w:val="002F2B86"/>
    <w:rsid w:val="002F3DEF"/>
    <w:rsid w:val="002F60D7"/>
    <w:rsid w:val="002F61AC"/>
    <w:rsid w:val="002F70E8"/>
    <w:rsid w:val="002F73FD"/>
    <w:rsid w:val="0030234D"/>
    <w:rsid w:val="00303647"/>
    <w:rsid w:val="00304057"/>
    <w:rsid w:val="0030472C"/>
    <w:rsid w:val="0030537D"/>
    <w:rsid w:val="00305C31"/>
    <w:rsid w:val="00310791"/>
    <w:rsid w:val="003110C6"/>
    <w:rsid w:val="00314855"/>
    <w:rsid w:val="0031531F"/>
    <w:rsid w:val="003156C2"/>
    <w:rsid w:val="00315F4A"/>
    <w:rsid w:val="00316085"/>
    <w:rsid w:val="003167D9"/>
    <w:rsid w:val="00317B82"/>
    <w:rsid w:val="00321614"/>
    <w:rsid w:val="0032304C"/>
    <w:rsid w:val="00325F72"/>
    <w:rsid w:val="003260F7"/>
    <w:rsid w:val="00327FAE"/>
    <w:rsid w:val="00330586"/>
    <w:rsid w:val="00331687"/>
    <w:rsid w:val="00332F42"/>
    <w:rsid w:val="0033364D"/>
    <w:rsid w:val="00334595"/>
    <w:rsid w:val="00336268"/>
    <w:rsid w:val="00336F6B"/>
    <w:rsid w:val="00340EB5"/>
    <w:rsid w:val="00340FFB"/>
    <w:rsid w:val="0034115B"/>
    <w:rsid w:val="003411AA"/>
    <w:rsid w:val="00342C78"/>
    <w:rsid w:val="003442B2"/>
    <w:rsid w:val="0034479F"/>
    <w:rsid w:val="00344CD2"/>
    <w:rsid w:val="00344D74"/>
    <w:rsid w:val="00345BE0"/>
    <w:rsid w:val="00346329"/>
    <w:rsid w:val="00350990"/>
    <w:rsid w:val="00351181"/>
    <w:rsid w:val="00351BB0"/>
    <w:rsid w:val="0035356B"/>
    <w:rsid w:val="003545C8"/>
    <w:rsid w:val="00355943"/>
    <w:rsid w:val="00361C48"/>
    <w:rsid w:val="003644F2"/>
    <w:rsid w:val="00364C18"/>
    <w:rsid w:val="00364FF4"/>
    <w:rsid w:val="00365191"/>
    <w:rsid w:val="003656FE"/>
    <w:rsid w:val="0036575F"/>
    <w:rsid w:val="003678EB"/>
    <w:rsid w:val="00370A3F"/>
    <w:rsid w:val="00371855"/>
    <w:rsid w:val="00374B30"/>
    <w:rsid w:val="00374B5C"/>
    <w:rsid w:val="0037541F"/>
    <w:rsid w:val="003764F6"/>
    <w:rsid w:val="00376565"/>
    <w:rsid w:val="00380673"/>
    <w:rsid w:val="003808A0"/>
    <w:rsid w:val="00380D23"/>
    <w:rsid w:val="00381280"/>
    <w:rsid w:val="00382F38"/>
    <w:rsid w:val="00383C33"/>
    <w:rsid w:val="0038663E"/>
    <w:rsid w:val="0038742A"/>
    <w:rsid w:val="00387CFB"/>
    <w:rsid w:val="003907CF"/>
    <w:rsid w:val="00390ACD"/>
    <w:rsid w:val="00391290"/>
    <w:rsid w:val="003915C0"/>
    <w:rsid w:val="0039291C"/>
    <w:rsid w:val="00393625"/>
    <w:rsid w:val="00394B82"/>
    <w:rsid w:val="003A3BD6"/>
    <w:rsid w:val="003A3F0D"/>
    <w:rsid w:val="003A4722"/>
    <w:rsid w:val="003B19BA"/>
    <w:rsid w:val="003B2F1A"/>
    <w:rsid w:val="003B35E7"/>
    <w:rsid w:val="003B38E9"/>
    <w:rsid w:val="003B4FBD"/>
    <w:rsid w:val="003B5268"/>
    <w:rsid w:val="003B629B"/>
    <w:rsid w:val="003B674C"/>
    <w:rsid w:val="003B6C46"/>
    <w:rsid w:val="003B7F2D"/>
    <w:rsid w:val="003C0820"/>
    <w:rsid w:val="003C1296"/>
    <w:rsid w:val="003C20C5"/>
    <w:rsid w:val="003C2905"/>
    <w:rsid w:val="003C3D26"/>
    <w:rsid w:val="003C4B00"/>
    <w:rsid w:val="003C61BA"/>
    <w:rsid w:val="003C6ABC"/>
    <w:rsid w:val="003C6BA4"/>
    <w:rsid w:val="003C6FD5"/>
    <w:rsid w:val="003C7C41"/>
    <w:rsid w:val="003C7C4E"/>
    <w:rsid w:val="003D097C"/>
    <w:rsid w:val="003D1FF2"/>
    <w:rsid w:val="003D46E4"/>
    <w:rsid w:val="003D4AC0"/>
    <w:rsid w:val="003D545F"/>
    <w:rsid w:val="003D6827"/>
    <w:rsid w:val="003D6929"/>
    <w:rsid w:val="003E4FCB"/>
    <w:rsid w:val="003E7C62"/>
    <w:rsid w:val="003F084D"/>
    <w:rsid w:val="003F0F6A"/>
    <w:rsid w:val="003F2017"/>
    <w:rsid w:val="003F3518"/>
    <w:rsid w:val="003F38E9"/>
    <w:rsid w:val="003F46B0"/>
    <w:rsid w:val="003F638E"/>
    <w:rsid w:val="003F71AE"/>
    <w:rsid w:val="004009E2"/>
    <w:rsid w:val="00400C4E"/>
    <w:rsid w:val="004013DC"/>
    <w:rsid w:val="00401BD3"/>
    <w:rsid w:val="00401DA4"/>
    <w:rsid w:val="004027B3"/>
    <w:rsid w:val="004042EF"/>
    <w:rsid w:val="00404C46"/>
    <w:rsid w:val="004061B5"/>
    <w:rsid w:val="0040671E"/>
    <w:rsid w:val="004067C8"/>
    <w:rsid w:val="00410CE1"/>
    <w:rsid w:val="00412F09"/>
    <w:rsid w:val="00414219"/>
    <w:rsid w:val="00416065"/>
    <w:rsid w:val="0041607C"/>
    <w:rsid w:val="00417085"/>
    <w:rsid w:val="00417CB1"/>
    <w:rsid w:val="00421596"/>
    <w:rsid w:val="00421B0A"/>
    <w:rsid w:val="00421F24"/>
    <w:rsid w:val="004234F8"/>
    <w:rsid w:val="0042358F"/>
    <w:rsid w:val="00423EB8"/>
    <w:rsid w:val="0042422D"/>
    <w:rsid w:val="00425EC4"/>
    <w:rsid w:val="004267CE"/>
    <w:rsid w:val="00430806"/>
    <w:rsid w:val="00432BB1"/>
    <w:rsid w:val="00433A29"/>
    <w:rsid w:val="004341B0"/>
    <w:rsid w:val="004342CD"/>
    <w:rsid w:val="00434417"/>
    <w:rsid w:val="00434422"/>
    <w:rsid w:val="00434477"/>
    <w:rsid w:val="00434E18"/>
    <w:rsid w:val="0043512B"/>
    <w:rsid w:val="004401A7"/>
    <w:rsid w:val="00441278"/>
    <w:rsid w:val="00443659"/>
    <w:rsid w:val="00444B85"/>
    <w:rsid w:val="00445479"/>
    <w:rsid w:val="00450493"/>
    <w:rsid w:val="00450FA2"/>
    <w:rsid w:val="0045203D"/>
    <w:rsid w:val="00454230"/>
    <w:rsid w:val="00455C66"/>
    <w:rsid w:val="004562BD"/>
    <w:rsid w:val="00456724"/>
    <w:rsid w:val="00456F49"/>
    <w:rsid w:val="00457280"/>
    <w:rsid w:val="004575AC"/>
    <w:rsid w:val="0046194F"/>
    <w:rsid w:val="00463788"/>
    <w:rsid w:val="0047230D"/>
    <w:rsid w:val="00472D04"/>
    <w:rsid w:val="0047716A"/>
    <w:rsid w:val="00480F86"/>
    <w:rsid w:val="00484243"/>
    <w:rsid w:val="004863D3"/>
    <w:rsid w:val="00490299"/>
    <w:rsid w:val="004902B8"/>
    <w:rsid w:val="004904D3"/>
    <w:rsid w:val="00491253"/>
    <w:rsid w:val="0049201E"/>
    <w:rsid w:val="00492096"/>
    <w:rsid w:val="00492746"/>
    <w:rsid w:val="004942E4"/>
    <w:rsid w:val="00495A90"/>
    <w:rsid w:val="004973CB"/>
    <w:rsid w:val="00497C84"/>
    <w:rsid w:val="004A0DE9"/>
    <w:rsid w:val="004A0FC4"/>
    <w:rsid w:val="004A201F"/>
    <w:rsid w:val="004A2DF0"/>
    <w:rsid w:val="004A32DE"/>
    <w:rsid w:val="004A4195"/>
    <w:rsid w:val="004A4D9E"/>
    <w:rsid w:val="004A5B3C"/>
    <w:rsid w:val="004A6AD9"/>
    <w:rsid w:val="004A7C11"/>
    <w:rsid w:val="004A7DDD"/>
    <w:rsid w:val="004B00DE"/>
    <w:rsid w:val="004B0A76"/>
    <w:rsid w:val="004B0D26"/>
    <w:rsid w:val="004B12EE"/>
    <w:rsid w:val="004B13A7"/>
    <w:rsid w:val="004B5E33"/>
    <w:rsid w:val="004B6D4F"/>
    <w:rsid w:val="004B70A7"/>
    <w:rsid w:val="004B79CD"/>
    <w:rsid w:val="004B7B35"/>
    <w:rsid w:val="004C141D"/>
    <w:rsid w:val="004C143C"/>
    <w:rsid w:val="004C3390"/>
    <w:rsid w:val="004C45A5"/>
    <w:rsid w:val="004C5E9D"/>
    <w:rsid w:val="004D0B47"/>
    <w:rsid w:val="004D1816"/>
    <w:rsid w:val="004D29AC"/>
    <w:rsid w:val="004D3BDF"/>
    <w:rsid w:val="004D60D6"/>
    <w:rsid w:val="004D6877"/>
    <w:rsid w:val="004D7BB1"/>
    <w:rsid w:val="004E1F89"/>
    <w:rsid w:val="004E21EF"/>
    <w:rsid w:val="004E3CDC"/>
    <w:rsid w:val="004E455F"/>
    <w:rsid w:val="004E7418"/>
    <w:rsid w:val="004E7EBF"/>
    <w:rsid w:val="004F0057"/>
    <w:rsid w:val="004F0A49"/>
    <w:rsid w:val="004F163B"/>
    <w:rsid w:val="004F2F9E"/>
    <w:rsid w:val="004F3579"/>
    <w:rsid w:val="004F3F74"/>
    <w:rsid w:val="004F520A"/>
    <w:rsid w:val="004F5932"/>
    <w:rsid w:val="004F5C7E"/>
    <w:rsid w:val="004F70CF"/>
    <w:rsid w:val="004F7D9F"/>
    <w:rsid w:val="005000AF"/>
    <w:rsid w:val="00501E06"/>
    <w:rsid w:val="00501F8B"/>
    <w:rsid w:val="00502A4B"/>
    <w:rsid w:val="005036E0"/>
    <w:rsid w:val="00505F69"/>
    <w:rsid w:val="00507558"/>
    <w:rsid w:val="00507B54"/>
    <w:rsid w:val="00507C12"/>
    <w:rsid w:val="00511DCB"/>
    <w:rsid w:val="00515F92"/>
    <w:rsid w:val="00516C4A"/>
    <w:rsid w:val="00520B4B"/>
    <w:rsid w:val="00521522"/>
    <w:rsid w:val="00521F0E"/>
    <w:rsid w:val="00525D94"/>
    <w:rsid w:val="00526E24"/>
    <w:rsid w:val="005271D9"/>
    <w:rsid w:val="00527288"/>
    <w:rsid w:val="0052776B"/>
    <w:rsid w:val="00530C4C"/>
    <w:rsid w:val="005368C8"/>
    <w:rsid w:val="00537B40"/>
    <w:rsid w:val="00540884"/>
    <w:rsid w:val="00543BE1"/>
    <w:rsid w:val="005440E2"/>
    <w:rsid w:val="00544815"/>
    <w:rsid w:val="005455BB"/>
    <w:rsid w:val="00545B07"/>
    <w:rsid w:val="005509CF"/>
    <w:rsid w:val="00551586"/>
    <w:rsid w:val="0055442C"/>
    <w:rsid w:val="005544AC"/>
    <w:rsid w:val="0055532F"/>
    <w:rsid w:val="005554B6"/>
    <w:rsid w:val="005556A5"/>
    <w:rsid w:val="00557FD9"/>
    <w:rsid w:val="005600E9"/>
    <w:rsid w:val="00562796"/>
    <w:rsid w:val="005647FA"/>
    <w:rsid w:val="0056658C"/>
    <w:rsid w:val="0056696F"/>
    <w:rsid w:val="0057065E"/>
    <w:rsid w:val="00570860"/>
    <w:rsid w:val="0057235C"/>
    <w:rsid w:val="0057280A"/>
    <w:rsid w:val="0057379F"/>
    <w:rsid w:val="005755DD"/>
    <w:rsid w:val="00575AE6"/>
    <w:rsid w:val="00576794"/>
    <w:rsid w:val="00577132"/>
    <w:rsid w:val="00580822"/>
    <w:rsid w:val="00580B0C"/>
    <w:rsid w:val="005816D4"/>
    <w:rsid w:val="00581E0D"/>
    <w:rsid w:val="00582D66"/>
    <w:rsid w:val="00584577"/>
    <w:rsid w:val="00585703"/>
    <w:rsid w:val="0058631E"/>
    <w:rsid w:val="005863FF"/>
    <w:rsid w:val="00586584"/>
    <w:rsid w:val="00587DBD"/>
    <w:rsid w:val="00587EC3"/>
    <w:rsid w:val="00592985"/>
    <w:rsid w:val="005929BD"/>
    <w:rsid w:val="00594369"/>
    <w:rsid w:val="005A0352"/>
    <w:rsid w:val="005A066B"/>
    <w:rsid w:val="005A1A38"/>
    <w:rsid w:val="005A2688"/>
    <w:rsid w:val="005A2DD9"/>
    <w:rsid w:val="005A3A42"/>
    <w:rsid w:val="005A4C00"/>
    <w:rsid w:val="005A4FF7"/>
    <w:rsid w:val="005A5309"/>
    <w:rsid w:val="005A5630"/>
    <w:rsid w:val="005A79E6"/>
    <w:rsid w:val="005A7D51"/>
    <w:rsid w:val="005A7F36"/>
    <w:rsid w:val="005B22EB"/>
    <w:rsid w:val="005B5E59"/>
    <w:rsid w:val="005B607F"/>
    <w:rsid w:val="005B7496"/>
    <w:rsid w:val="005B7BB2"/>
    <w:rsid w:val="005C0962"/>
    <w:rsid w:val="005C10C8"/>
    <w:rsid w:val="005C31AE"/>
    <w:rsid w:val="005C3902"/>
    <w:rsid w:val="005C3D28"/>
    <w:rsid w:val="005D1511"/>
    <w:rsid w:val="005D3459"/>
    <w:rsid w:val="005D50D0"/>
    <w:rsid w:val="005D5469"/>
    <w:rsid w:val="005D7EB9"/>
    <w:rsid w:val="005E006F"/>
    <w:rsid w:val="005E27A2"/>
    <w:rsid w:val="005E5C6D"/>
    <w:rsid w:val="005E6D70"/>
    <w:rsid w:val="005F2897"/>
    <w:rsid w:val="005F2C55"/>
    <w:rsid w:val="005F2E5A"/>
    <w:rsid w:val="005F3209"/>
    <w:rsid w:val="005F5EEA"/>
    <w:rsid w:val="005F6089"/>
    <w:rsid w:val="005F64C0"/>
    <w:rsid w:val="005F728E"/>
    <w:rsid w:val="00600D2D"/>
    <w:rsid w:val="006025F5"/>
    <w:rsid w:val="006026C9"/>
    <w:rsid w:val="0060679D"/>
    <w:rsid w:val="00606955"/>
    <w:rsid w:val="0060749A"/>
    <w:rsid w:val="00610988"/>
    <w:rsid w:val="0061111E"/>
    <w:rsid w:val="006165F7"/>
    <w:rsid w:val="006176B5"/>
    <w:rsid w:val="00620252"/>
    <w:rsid w:val="0062191D"/>
    <w:rsid w:val="00621A87"/>
    <w:rsid w:val="0062505F"/>
    <w:rsid w:val="00626B76"/>
    <w:rsid w:val="006307C6"/>
    <w:rsid w:val="00630A25"/>
    <w:rsid w:val="006315A5"/>
    <w:rsid w:val="006327DB"/>
    <w:rsid w:val="00632858"/>
    <w:rsid w:val="00632FEA"/>
    <w:rsid w:val="00634D26"/>
    <w:rsid w:val="00635AD0"/>
    <w:rsid w:val="006373D3"/>
    <w:rsid w:val="006402C6"/>
    <w:rsid w:val="006403F4"/>
    <w:rsid w:val="0064111F"/>
    <w:rsid w:val="0064173C"/>
    <w:rsid w:val="00641BD3"/>
    <w:rsid w:val="00642A27"/>
    <w:rsid w:val="00642DC6"/>
    <w:rsid w:val="00644BE7"/>
    <w:rsid w:val="006454AE"/>
    <w:rsid w:val="00647CE2"/>
    <w:rsid w:val="00650A12"/>
    <w:rsid w:val="00653003"/>
    <w:rsid w:val="006539E4"/>
    <w:rsid w:val="00653B0A"/>
    <w:rsid w:val="006557BE"/>
    <w:rsid w:val="006619B6"/>
    <w:rsid w:val="006622C9"/>
    <w:rsid w:val="00662E97"/>
    <w:rsid w:val="0066365D"/>
    <w:rsid w:val="006636C2"/>
    <w:rsid w:val="00663FF2"/>
    <w:rsid w:val="00665F02"/>
    <w:rsid w:val="006660D3"/>
    <w:rsid w:val="006671AD"/>
    <w:rsid w:val="00671631"/>
    <w:rsid w:val="00672F08"/>
    <w:rsid w:val="006760D0"/>
    <w:rsid w:val="00676636"/>
    <w:rsid w:val="00676E62"/>
    <w:rsid w:val="00686FBB"/>
    <w:rsid w:val="00687DF0"/>
    <w:rsid w:val="0069061C"/>
    <w:rsid w:val="006949B5"/>
    <w:rsid w:val="00694B7B"/>
    <w:rsid w:val="00695E03"/>
    <w:rsid w:val="00695EE0"/>
    <w:rsid w:val="00696102"/>
    <w:rsid w:val="00696A89"/>
    <w:rsid w:val="006A5F52"/>
    <w:rsid w:val="006A65CB"/>
    <w:rsid w:val="006A67A9"/>
    <w:rsid w:val="006A6F92"/>
    <w:rsid w:val="006A73DD"/>
    <w:rsid w:val="006A797C"/>
    <w:rsid w:val="006B1C3F"/>
    <w:rsid w:val="006B1D4B"/>
    <w:rsid w:val="006B2834"/>
    <w:rsid w:val="006B384D"/>
    <w:rsid w:val="006B6507"/>
    <w:rsid w:val="006B7164"/>
    <w:rsid w:val="006B77F9"/>
    <w:rsid w:val="006C28A0"/>
    <w:rsid w:val="006C5B41"/>
    <w:rsid w:val="006C61C5"/>
    <w:rsid w:val="006C77FE"/>
    <w:rsid w:val="006C7F40"/>
    <w:rsid w:val="006D08F9"/>
    <w:rsid w:val="006D2235"/>
    <w:rsid w:val="006D2315"/>
    <w:rsid w:val="006D3B88"/>
    <w:rsid w:val="006D4D5A"/>
    <w:rsid w:val="006D5D3F"/>
    <w:rsid w:val="006E037E"/>
    <w:rsid w:val="006E047A"/>
    <w:rsid w:val="006E047B"/>
    <w:rsid w:val="006E14ED"/>
    <w:rsid w:val="006E1530"/>
    <w:rsid w:val="006E29B1"/>
    <w:rsid w:val="006E3706"/>
    <w:rsid w:val="006E47DA"/>
    <w:rsid w:val="006E47DF"/>
    <w:rsid w:val="006E47EE"/>
    <w:rsid w:val="006E606D"/>
    <w:rsid w:val="006E7191"/>
    <w:rsid w:val="006E7CF4"/>
    <w:rsid w:val="006F1BE6"/>
    <w:rsid w:val="006F4A0A"/>
    <w:rsid w:val="006F5759"/>
    <w:rsid w:val="006F5E0E"/>
    <w:rsid w:val="006F6C83"/>
    <w:rsid w:val="006F7F76"/>
    <w:rsid w:val="00700364"/>
    <w:rsid w:val="007008F1"/>
    <w:rsid w:val="0070141B"/>
    <w:rsid w:val="0070144E"/>
    <w:rsid w:val="00701E9A"/>
    <w:rsid w:val="00701EDC"/>
    <w:rsid w:val="00703029"/>
    <w:rsid w:val="0070470E"/>
    <w:rsid w:val="00705089"/>
    <w:rsid w:val="0070511E"/>
    <w:rsid w:val="00706B8D"/>
    <w:rsid w:val="00710073"/>
    <w:rsid w:val="00710186"/>
    <w:rsid w:val="007119A7"/>
    <w:rsid w:val="00711F40"/>
    <w:rsid w:val="00712CC9"/>
    <w:rsid w:val="00714257"/>
    <w:rsid w:val="007151FB"/>
    <w:rsid w:val="0071576A"/>
    <w:rsid w:val="00715F4B"/>
    <w:rsid w:val="00720924"/>
    <w:rsid w:val="007244DC"/>
    <w:rsid w:val="00724AF1"/>
    <w:rsid w:val="00725469"/>
    <w:rsid w:val="00725591"/>
    <w:rsid w:val="00727D30"/>
    <w:rsid w:val="0073162B"/>
    <w:rsid w:val="007316AC"/>
    <w:rsid w:val="00733B28"/>
    <w:rsid w:val="00734067"/>
    <w:rsid w:val="0073431A"/>
    <w:rsid w:val="007353F2"/>
    <w:rsid w:val="007363AB"/>
    <w:rsid w:val="00740073"/>
    <w:rsid w:val="0074168C"/>
    <w:rsid w:val="00741F26"/>
    <w:rsid w:val="0074278A"/>
    <w:rsid w:val="00742D66"/>
    <w:rsid w:val="00744605"/>
    <w:rsid w:val="007449E1"/>
    <w:rsid w:val="00744AFF"/>
    <w:rsid w:val="0074783F"/>
    <w:rsid w:val="00747CAD"/>
    <w:rsid w:val="007524B2"/>
    <w:rsid w:val="007537C8"/>
    <w:rsid w:val="00754708"/>
    <w:rsid w:val="00755F66"/>
    <w:rsid w:val="00757039"/>
    <w:rsid w:val="007574CC"/>
    <w:rsid w:val="00757C2D"/>
    <w:rsid w:val="00761152"/>
    <w:rsid w:val="0076372C"/>
    <w:rsid w:val="00765C8E"/>
    <w:rsid w:val="00765D8E"/>
    <w:rsid w:val="00766E44"/>
    <w:rsid w:val="007678DE"/>
    <w:rsid w:val="00771099"/>
    <w:rsid w:val="007733E2"/>
    <w:rsid w:val="0077364D"/>
    <w:rsid w:val="007736EA"/>
    <w:rsid w:val="007744D3"/>
    <w:rsid w:val="00775A91"/>
    <w:rsid w:val="00777BCE"/>
    <w:rsid w:val="00782B7E"/>
    <w:rsid w:val="00783C25"/>
    <w:rsid w:val="00785759"/>
    <w:rsid w:val="00787981"/>
    <w:rsid w:val="00790B9B"/>
    <w:rsid w:val="00791158"/>
    <w:rsid w:val="00791CCB"/>
    <w:rsid w:val="00795B0C"/>
    <w:rsid w:val="007A155B"/>
    <w:rsid w:val="007A3011"/>
    <w:rsid w:val="007A307B"/>
    <w:rsid w:val="007A3191"/>
    <w:rsid w:val="007A442C"/>
    <w:rsid w:val="007A7FA7"/>
    <w:rsid w:val="007B00CA"/>
    <w:rsid w:val="007B016D"/>
    <w:rsid w:val="007B01E6"/>
    <w:rsid w:val="007B0DCD"/>
    <w:rsid w:val="007B1536"/>
    <w:rsid w:val="007B1FEC"/>
    <w:rsid w:val="007B25B2"/>
    <w:rsid w:val="007B28A2"/>
    <w:rsid w:val="007B4043"/>
    <w:rsid w:val="007B6231"/>
    <w:rsid w:val="007B75E4"/>
    <w:rsid w:val="007C006B"/>
    <w:rsid w:val="007C0242"/>
    <w:rsid w:val="007C3D09"/>
    <w:rsid w:val="007C3FA1"/>
    <w:rsid w:val="007C499C"/>
    <w:rsid w:val="007C5263"/>
    <w:rsid w:val="007C5E71"/>
    <w:rsid w:val="007C6DC6"/>
    <w:rsid w:val="007C7E86"/>
    <w:rsid w:val="007D437A"/>
    <w:rsid w:val="007D5BEF"/>
    <w:rsid w:val="007D6890"/>
    <w:rsid w:val="007D7740"/>
    <w:rsid w:val="007E037E"/>
    <w:rsid w:val="007E0459"/>
    <w:rsid w:val="007E0886"/>
    <w:rsid w:val="007E567A"/>
    <w:rsid w:val="007E6DB3"/>
    <w:rsid w:val="007E7712"/>
    <w:rsid w:val="007E7D93"/>
    <w:rsid w:val="007F2B4E"/>
    <w:rsid w:val="007F48C4"/>
    <w:rsid w:val="007F496F"/>
    <w:rsid w:val="007F54D9"/>
    <w:rsid w:val="007F5D51"/>
    <w:rsid w:val="008014D6"/>
    <w:rsid w:val="00805D2F"/>
    <w:rsid w:val="00806484"/>
    <w:rsid w:val="00807139"/>
    <w:rsid w:val="00807851"/>
    <w:rsid w:val="00807C81"/>
    <w:rsid w:val="00807CE4"/>
    <w:rsid w:val="0081022E"/>
    <w:rsid w:val="0081136D"/>
    <w:rsid w:val="00812B41"/>
    <w:rsid w:val="00814112"/>
    <w:rsid w:val="0081451F"/>
    <w:rsid w:val="0081457F"/>
    <w:rsid w:val="008151CF"/>
    <w:rsid w:val="008159C5"/>
    <w:rsid w:val="00817D5D"/>
    <w:rsid w:val="00817F97"/>
    <w:rsid w:val="00821853"/>
    <w:rsid w:val="00821FFC"/>
    <w:rsid w:val="0082600D"/>
    <w:rsid w:val="00826555"/>
    <w:rsid w:val="00827438"/>
    <w:rsid w:val="008274CD"/>
    <w:rsid w:val="0083072E"/>
    <w:rsid w:val="00832EDC"/>
    <w:rsid w:val="00834736"/>
    <w:rsid w:val="00834CCE"/>
    <w:rsid w:val="00834F27"/>
    <w:rsid w:val="008353DC"/>
    <w:rsid w:val="00840B0E"/>
    <w:rsid w:val="00840FD9"/>
    <w:rsid w:val="0084242B"/>
    <w:rsid w:val="00844D96"/>
    <w:rsid w:val="008453CA"/>
    <w:rsid w:val="008457DB"/>
    <w:rsid w:val="008470F0"/>
    <w:rsid w:val="0085014E"/>
    <w:rsid w:val="00852777"/>
    <w:rsid w:val="00853522"/>
    <w:rsid w:val="0085547A"/>
    <w:rsid w:val="008556E3"/>
    <w:rsid w:val="0085660E"/>
    <w:rsid w:val="0085662D"/>
    <w:rsid w:val="00857E54"/>
    <w:rsid w:val="008600F7"/>
    <w:rsid w:val="0086044F"/>
    <w:rsid w:val="00860579"/>
    <w:rsid w:val="00861866"/>
    <w:rsid w:val="0086398B"/>
    <w:rsid w:val="008639F6"/>
    <w:rsid w:val="00864117"/>
    <w:rsid w:val="008651BF"/>
    <w:rsid w:val="00866987"/>
    <w:rsid w:val="008703E1"/>
    <w:rsid w:val="008737FA"/>
    <w:rsid w:val="00873A08"/>
    <w:rsid w:val="00874438"/>
    <w:rsid w:val="008751C6"/>
    <w:rsid w:val="00875372"/>
    <w:rsid w:val="00875390"/>
    <w:rsid w:val="00875DEF"/>
    <w:rsid w:val="00876D8B"/>
    <w:rsid w:val="00880282"/>
    <w:rsid w:val="008803F7"/>
    <w:rsid w:val="00881211"/>
    <w:rsid w:val="00884839"/>
    <w:rsid w:val="0088489B"/>
    <w:rsid w:val="00884CA8"/>
    <w:rsid w:val="0088515C"/>
    <w:rsid w:val="00891F06"/>
    <w:rsid w:val="00892F92"/>
    <w:rsid w:val="00894232"/>
    <w:rsid w:val="008943B1"/>
    <w:rsid w:val="0089468D"/>
    <w:rsid w:val="008960AE"/>
    <w:rsid w:val="008962FA"/>
    <w:rsid w:val="008A1546"/>
    <w:rsid w:val="008A1568"/>
    <w:rsid w:val="008A15FF"/>
    <w:rsid w:val="008A1674"/>
    <w:rsid w:val="008A3D4F"/>
    <w:rsid w:val="008A466B"/>
    <w:rsid w:val="008A4D1A"/>
    <w:rsid w:val="008A5170"/>
    <w:rsid w:val="008A66DD"/>
    <w:rsid w:val="008A79CF"/>
    <w:rsid w:val="008A7F98"/>
    <w:rsid w:val="008B0D1F"/>
    <w:rsid w:val="008B1BDE"/>
    <w:rsid w:val="008B6CA0"/>
    <w:rsid w:val="008B6FFA"/>
    <w:rsid w:val="008B7C3D"/>
    <w:rsid w:val="008C1291"/>
    <w:rsid w:val="008C1566"/>
    <w:rsid w:val="008C2123"/>
    <w:rsid w:val="008C502E"/>
    <w:rsid w:val="008C5874"/>
    <w:rsid w:val="008C61E2"/>
    <w:rsid w:val="008D0CBC"/>
    <w:rsid w:val="008D172A"/>
    <w:rsid w:val="008D1E8A"/>
    <w:rsid w:val="008D2916"/>
    <w:rsid w:val="008D33E5"/>
    <w:rsid w:val="008D34D4"/>
    <w:rsid w:val="008D391A"/>
    <w:rsid w:val="008D4AB8"/>
    <w:rsid w:val="008D4CF0"/>
    <w:rsid w:val="008D4F81"/>
    <w:rsid w:val="008D5349"/>
    <w:rsid w:val="008E21AD"/>
    <w:rsid w:val="008E2AE3"/>
    <w:rsid w:val="008E3139"/>
    <w:rsid w:val="008E46A1"/>
    <w:rsid w:val="008E476E"/>
    <w:rsid w:val="008E4A2B"/>
    <w:rsid w:val="008E59FC"/>
    <w:rsid w:val="008E6398"/>
    <w:rsid w:val="008E720E"/>
    <w:rsid w:val="008E7288"/>
    <w:rsid w:val="008F22D8"/>
    <w:rsid w:val="008F2E57"/>
    <w:rsid w:val="008F3754"/>
    <w:rsid w:val="008F3D13"/>
    <w:rsid w:val="008F4643"/>
    <w:rsid w:val="008F4DE7"/>
    <w:rsid w:val="008F5FEA"/>
    <w:rsid w:val="009004E4"/>
    <w:rsid w:val="009010DA"/>
    <w:rsid w:val="009012D4"/>
    <w:rsid w:val="009018AB"/>
    <w:rsid w:val="00902114"/>
    <w:rsid w:val="009038D9"/>
    <w:rsid w:val="00904FF9"/>
    <w:rsid w:val="00905895"/>
    <w:rsid w:val="009061DB"/>
    <w:rsid w:val="00910785"/>
    <w:rsid w:val="00910814"/>
    <w:rsid w:val="009109BF"/>
    <w:rsid w:val="009119D6"/>
    <w:rsid w:val="00912477"/>
    <w:rsid w:val="00913DCA"/>
    <w:rsid w:val="009144AA"/>
    <w:rsid w:val="00915A95"/>
    <w:rsid w:val="00915E3C"/>
    <w:rsid w:val="009160AB"/>
    <w:rsid w:val="00917413"/>
    <w:rsid w:val="009209F7"/>
    <w:rsid w:val="00921395"/>
    <w:rsid w:val="009229EF"/>
    <w:rsid w:val="00922B49"/>
    <w:rsid w:val="00923F85"/>
    <w:rsid w:val="0092465A"/>
    <w:rsid w:val="00924902"/>
    <w:rsid w:val="00925318"/>
    <w:rsid w:val="00925512"/>
    <w:rsid w:val="009265BA"/>
    <w:rsid w:val="00927C37"/>
    <w:rsid w:val="00927F21"/>
    <w:rsid w:val="00932B15"/>
    <w:rsid w:val="00935967"/>
    <w:rsid w:val="00936DED"/>
    <w:rsid w:val="00937D40"/>
    <w:rsid w:val="0094231A"/>
    <w:rsid w:val="00943CFA"/>
    <w:rsid w:val="00944CE6"/>
    <w:rsid w:val="00945297"/>
    <w:rsid w:val="00945790"/>
    <w:rsid w:val="00945917"/>
    <w:rsid w:val="00945BAE"/>
    <w:rsid w:val="00946813"/>
    <w:rsid w:val="00950A1C"/>
    <w:rsid w:val="00950E2D"/>
    <w:rsid w:val="0095276A"/>
    <w:rsid w:val="009527D7"/>
    <w:rsid w:val="009535F2"/>
    <w:rsid w:val="0095379D"/>
    <w:rsid w:val="009542CE"/>
    <w:rsid w:val="00955592"/>
    <w:rsid w:val="009570FB"/>
    <w:rsid w:val="00960D15"/>
    <w:rsid w:val="009612D7"/>
    <w:rsid w:val="0096382C"/>
    <w:rsid w:val="00965AB9"/>
    <w:rsid w:val="0096607E"/>
    <w:rsid w:val="00966167"/>
    <w:rsid w:val="00966946"/>
    <w:rsid w:val="00967041"/>
    <w:rsid w:val="009704D2"/>
    <w:rsid w:val="00971281"/>
    <w:rsid w:val="0097178C"/>
    <w:rsid w:val="00971942"/>
    <w:rsid w:val="009749DC"/>
    <w:rsid w:val="009752CF"/>
    <w:rsid w:val="00976010"/>
    <w:rsid w:val="009762CF"/>
    <w:rsid w:val="0097689D"/>
    <w:rsid w:val="00980119"/>
    <w:rsid w:val="00980B11"/>
    <w:rsid w:val="0098161D"/>
    <w:rsid w:val="00985257"/>
    <w:rsid w:val="00985A50"/>
    <w:rsid w:val="00985DB7"/>
    <w:rsid w:val="0098797A"/>
    <w:rsid w:val="00990AA4"/>
    <w:rsid w:val="009916FF"/>
    <w:rsid w:val="009920D5"/>
    <w:rsid w:val="00992242"/>
    <w:rsid w:val="00992939"/>
    <w:rsid w:val="0099431B"/>
    <w:rsid w:val="00995CDB"/>
    <w:rsid w:val="00996730"/>
    <w:rsid w:val="00997129"/>
    <w:rsid w:val="009A0CA2"/>
    <w:rsid w:val="009A111E"/>
    <w:rsid w:val="009A224D"/>
    <w:rsid w:val="009A33E4"/>
    <w:rsid w:val="009A397D"/>
    <w:rsid w:val="009A6537"/>
    <w:rsid w:val="009A7010"/>
    <w:rsid w:val="009A79FE"/>
    <w:rsid w:val="009B3237"/>
    <w:rsid w:val="009B387B"/>
    <w:rsid w:val="009B4372"/>
    <w:rsid w:val="009B4E9A"/>
    <w:rsid w:val="009B633F"/>
    <w:rsid w:val="009B7A32"/>
    <w:rsid w:val="009C0EA1"/>
    <w:rsid w:val="009C1993"/>
    <w:rsid w:val="009C5BF8"/>
    <w:rsid w:val="009C706A"/>
    <w:rsid w:val="009D159E"/>
    <w:rsid w:val="009D1A6B"/>
    <w:rsid w:val="009D32BC"/>
    <w:rsid w:val="009D35FB"/>
    <w:rsid w:val="009D48B7"/>
    <w:rsid w:val="009D4C63"/>
    <w:rsid w:val="009D6413"/>
    <w:rsid w:val="009D68C7"/>
    <w:rsid w:val="009D7369"/>
    <w:rsid w:val="009D7AC3"/>
    <w:rsid w:val="009D7DDF"/>
    <w:rsid w:val="009E0897"/>
    <w:rsid w:val="009E105B"/>
    <w:rsid w:val="009E4336"/>
    <w:rsid w:val="009E61A9"/>
    <w:rsid w:val="009E71B9"/>
    <w:rsid w:val="009F14AD"/>
    <w:rsid w:val="009F299A"/>
    <w:rsid w:val="009F37D7"/>
    <w:rsid w:val="009F4D0B"/>
    <w:rsid w:val="009F6618"/>
    <w:rsid w:val="009F6D23"/>
    <w:rsid w:val="009F7262"/>
    <w:rsid w:val="009F740B"/>
    <w:rsid w:val="009F769B"/>
    <w:rsid w:val="009F7EFA"/>
    <w:rsid w:val="00A00004"/>
    <w:rsid w:val="00A00E58"/>
    <w:rsid w:val="00A0155D"/>
    <w:rsid w:val="00A0243A"/>
    <w:rsid w:val="00A03108"/>
    <w:rsid w:val="00A03317"/>
    <w:rsid w:val="00A03900"/>
    <w:rsid w:val="00A03D9E"/>
    <w:rsid w:val="00A06543"/>
    <w:rsid w:val="00A07386"/>
    <w:rsid w:val="00A11A81"/>
    <w:rsid w:val="00A13B34"/>
    <w:rsid w:val="00A1401C"/>
    <w:rsid w:val="00A15A12"/>
    <w:rsid w:val="00A15BAE"/>
    <w:rsid w:val="00A1693C"/>
    <w:rsid w:val="00A16A93"/>
    <w:rsid w:val="00A16B6C"/>
    <w:rsid w:val="00A20856"/>
    <w:rsid w:val="00A20AEA"/>
    <w:rsid w:val="00A25297"/>
    <w:rsid w:val="00A27A07"/>
    <w:rsid w:val="00A34C7A"/>
    <w:rsid w:val="00A355EE"/>
    <w:rsid w:val="00A35754"/>
    <w:rsid w:val="00A36F8D"/>
    <w:rsid w:val="00A4002D"/>
    <w:rsid w:val="00A406EB"/>
    <w:rsid w:val="00A4089E"/>
    <w:rsid w:val="00A4137E"/>
    <w:rsid w:val="00A41758"/>
    <w:rsid w:val="00A4336C"/>
    <w:rsid w:val="00A43CF8"/>
    <w:rsid w:val="00A447CE"/>
    <w:rsid w:val="00A45763"/>
    <w:rsid w:val="00A45A9C"/>
    <w:rsid w:val="00A47386"/>
    <w:rsid w:val="00A47479"/>
    <w:rsid w:val="00A50423"/>
    <w:rsid w:val="00A52B41"/>
    <w:rsid w:val="00A536BE"/>
    <w:rsid w:val="00A54635"/>
    <w:rsid w:val="00A54A9A"/>
    <w:rsid w:val="00A550DA"/>
    <w:rsid w:val="00A55D1B"/>
    <w:rsid w:val="00A56EA8"/>
    <w:rsid w:val="00A61BAC"/>
    <w:rsid w:val="00A62D64"/>
    <w:rsid w:val="00A65754"/>
    <w:rsid w:val="00A67DFB"/>
    <w:rsid w:val="00A73B1C"/>
    <w:rsid w:val="00A765AA"/>
    <w:rsid w:val="00A77A75"/>
    <w:rsid w:val="00A80087"/>
    <w:rsid w:val="00A80AC8"/>
    <w:rsid w:val="00A81945"/>
    <w:rsid w:val="00A81F94"/>
    <w:rsid w:val="00A82850"/>
    <w:rsid w:val="00A82AB9"/>
    <w:rsid w:val="00A83104"/>
    <w:rsid w:val="00A83ACD"/>
    <w:rsid w:val="00A83CD2"/>
    <w:rsid w:val="00A845AF"/>
    <w:rsid w:val="00A853D6"/>
    <w:rsid w:val="00A86C14"/>
    <w:rsid w:val="00A87ECA"/>
    <w:rsid w:val="00A9441B"/>
    <w:rsid w:val="00A95111"/>
    <w:rsid w:val="00A97260"/>
    <w:rsid w:val="00AA1260"/>
    <w:rsid w:val="00AA1C3E"/>
    <w:rsid w:val="00AA25F2"/>
    <w:rsid w:val="00AA2727"/>
    <w:rsid w:val="00AA3226"/>
    <w:rsid w:val="00AA335C"/>
    <w:rsid w:val="00AA4826"/>
    <w:rsid w:val="00AA55C8"/>
    <w:rsid w:val="00AA6C21"/>
    <w:rsid w:val="00AA739B"/>
    <w:rsid w:val="00AA7ED0"/>
    <w:rsid w:val="00AB139E"/>
    <w:rsid w:val="00AB2E6E"/>
    <w:rsid w:val="00AB3404"/>
    <w:rsid w:val="00AB3C15"/>
    <w:rsid w:val="00AB6935"/>
    <w:rsid w:val="00AB714A"/>
    <w:rsid w:val="00AB7FC8"/>
    <w:rsid w:val="00AC11FE"/>
    <w:rsid w:val="00AC123C"/>
    <w:rsid w:val="00AC17BE"/>
    <w:rsid w:val="00AC2228"/>
    <w:rsid w:val="00AC2385"/>
    <w:rsid w:val="00AC30AD"/>
    <w:rsid w:val="00AC5D78"/>
    <w:rsid w:val="00AC5F70"/>
    <w:rsid w:val="00AC6488"/>
    <w:rsid w:val="00AC726B"/>
    <w:rsid w:val="00AC7346"/>
    <w:rsid w:val="00AC7AEE"/>
    <w:rsid w:val="00AD06CE"/>
    <w:rsid w:val="00AD2EC7"/>
    <w:rsid w:val="00AD5217"/>
    <w:rsid w:val="00AE02F3"/>
    <w:rsid w:val="00AE17C8"/>
    <w:rsid w:val="00AE3EBF"/>
    <w:rsid w:val="00AE4122"/>
    <w:rsid w:val="00AE574F"/>
    <w:rsid w:val="00AE6A00"/>
    <w:rsid w:val="00AF02DE"/>
    <w:rsid w:val="00AF20A4"/>
    <w:rsid w:val="00AF3B58"/>
    <w:rsid w:val="00AF4C5A"/>
    <w:rsid w:val="00AF51FF"/>
    <w:rsid w:val="00AF5EE6"/>
    <w:rsid w:val="00AF6F20"/>
    <w:rsid w:val="00AF7BE3"/>
    <w:rsid w:val="00B01600"/>
    <w:rsid w:val="00B026AF"/>
    <w:rsid w:val="00B048F6"/>
    <w:rsid w:val="00B055FB"/>
    <w:rsid w:val="00B05DB6"/>
    <w:rsid w:val="00B05E0C"/>
    <w:rsid w:val="00B0632A"/>
    <w:rsid w:val="00B10AAA"/>
    <w:rsid w:val="00B10C2D"/>
    <w:rsid w:val="00B10E80"/>
    <w:rsid w:val="00B11800"/>
    <w:rsid w:val="00B13F2E"/>
    <w:rsid w:val="00B153B8"/>
    <w:rsid w:val="00B15D2F"/>
    <w:rsid w:val="00B15F5A"/>
    <w:rsid w:val="00B1645F"/>
    <w:rsid w:val="00B17447"/>
    <w:rsid w:val="00B2055D"/>
    <w:rsid w:val="00B21D41"/>
    <w:rsid w:val="00B239D6"/>
    <w:rsid w:val="00B2431C"/>
    <w:rsid w:val="00B24EF2"/>
    <w:rsid w:val="00B25183"/>
    <w:rsid w:val="00B25514"/>
    <w:rsid w:val="00B263FC"/>
    <w:rsid w:val="00B27ACB"/>
    <w:rsid w:val="00B27C19"/>
    <w:rsid w:val="00B31462"/>
    <w:rsid w:val="00B31BF1"/>
    <w:rsid w:val="00B33DE7"/>
    <w:rsid w:val="00B34994"/>
    <w:rsid w:val="00B349A9"/>
    <w:rsid w:val="00B35135"/>
    <w:rsid w:val="00B43384"/>
    <w:rsid w:val="00B43400"/>
    <w:rsid w:val="00B43CE4"/>
    <w:rsid w:val="00B440FC"/>
    <w:rsid w:val="00B44692"/>
    <w:rsid w:val="00B46A8A"/>
    <w:rsid w:val="00B506DC"/>
    <w:rsid w:val="00B526FA"/>
    <w:rsid w:val="00B5420C"/>
    <w:rsid w:val="00B55930"/>
    <w:rsid w:val="00B57422"/>
    <w:rsid w:val="00B61D6D"/>
    <w:rsid w:val="00B62485"/>
    <w:rsid w:val="00B6304D"/>
    <w:rsid w:val="00B64A49"/>
    <w:rsid w:val="00B64EAC"/>
    <w:rsid w:val="00B65AE1"/>
    <w:rsid w:val="00B67973"/>
    <w:rsid w:val="00B7004C"/>
    <w:rsid w:val="00B705A0"/>
    <w:rsid w:val="00B70FC7"/>
    <w:rsid w:val="00B725E7"/>
    <w:rsid w:val="00B7327F"/>
    <w:rsid w:val="00B741D0"/>
    <w:rsid w:val="00B747AB"/>
    <w:rsid w:val="00B770F1"/>
    <w:rsid w:val="00B77D84"/>
    <w:rsid w:val="00B77E7B"/>
    <w:rsid w:val="00B82FD8"/>
    <w:rsid w:val="00B830B0"/>
    <w:rsid w:val="00B84057"/>
    <w:rsid w:val="00B84110"/>
    <w:rsid w:val="00B850CD"/>
    <w:rsid w:val="00B91A74"/>
    <w:rsid w:val="00B9283F"/>
    <w:rsid w:val="00B9318A"/>
    <w:rsid w:val="00B93213"/>
    <w:rsid w:val="00B93426"/>
    <w:rsid w:val="00B95991"/>
    <w:rsid w:val="00BA1156"/>
    <w:rsid w:val="00BA1751"/>
    <w:rsid w:val="00BA25F8"/>
    <w:rsid w:val="00BA3CD0"/>
    <w:rsid w:val="00BA72B5"/>
    <w:rsid w:val="00BA7AA6"/>
    <w:rsid w:val="00BB58D4"/>
    <w:rsid w:val="00BB752B"/>
    <w:rsid w:val="00BB7E60"/>
    <w:rsid w:val="00BC2283"/>
    <w:rsid w:val="00BC2EDE"/>
    <w:rsid w:val="00BC4452"/>
    <w:rsid w:val="00BC61A5"/>
    <w:rsid w:val="00BD0235"/>
    <w:rsid w:val="00BD05EA"/>
    <w:rsid w:val="00BD132E"/>
    <w:rsid w:val="00BD222D"/>
    <w:rsid w:val="00BD2D0D"/>
    <w:rsid w:val="00BD43FA"/>
    <w:rsid w:val="00BD5128"/>
    <w:rsid w:val="00BD5F6C"/>
    <w:rsid w:val="00BD613C"/>
    <w:rsid w:val="00BD695A"/>
    <w:rsid w:val="00BE0489"/>
    <w:rsid w:val="00BE1320"/>
    <w:rsid w:val="00BE2E1D"/>
    <w:rsid w:val="00BE3CC9"/>
    <w:rsid w:val="00BE519E"/>
    <w:rsid w:val="00BE5CA1"/>
    <w:rsid w:val="00BE706D"/>
    <w:rsid w:val="00BE7205"/>
    <w:rsid w:val="00BF2E70"/>
    <w:rsid w:val="00BF4FC3"/>
    <w:rsid w:val="00BF53FA"/>
    <w:rsid w:val="00BF64FE"/>
    <w:rsid w:val="00BF799F"/>
    <w:rsid w:val="00C02203"/>
    <w:rsid w:val="00C02472"/>
    <w:rsid w:val="00C0538E"/>
    <w:rsid w:val="00C077EA"/>
    <w:rsid w:val="00C079AB"/>
    <w:rsid w:val="00C07AC1"/>
    <w:rsid w:val="00C10876"/>
    <w:rsid w:val="00C12DF5"/>
    <w:rsid w:val="00C14382"/>
    <w:rsid w:val="00C16F24"/>
    <w:rsid w:val="00C17102"/>
    <w:rsid w:val="00C21747"/>
    <w:rsid w:val="00C227D5"/>
    <w:rsid w:val="00C2453F"/>
    <w:rsid w:val="00C25511"/>
    <w:rsid w:val="00C261DD"/>
    <w:rsid w:val="00C2653B"/>
    <w:rsid w:val="00C26B01"/>
    <w:rsid w:val="00C279F9"/>
    <w:rsid w:val="00C27D02"/>
    <w:rsid w:val="00C3133C"/>
    <w:rsid w:val="00C31768"/>
    <w:rsid w:val="00C32810"/>
    <w:rsid w:val="00C33BA6"/>
    <w:rsid w:val="00C34CD5"/>
    <w:rsid w:val="00C36738"/>
    <w:rsid w:val="00C375BD"/>
    <w:rsid w:val="00C419F0"/>
    <w:rsid w:val="00C41A0E"/>
    <w:rsid w:val="00C42445"/>
    <w:rsid w:val="00C42E67"/>
    <w:rsid w:val="00C434F4"/>
    <w:rsid w:val="00C435DA"/>
    <w:rsid w:val="00C43B04"/>
    <w:rsid w:val="00C43ECD"/>
    <w:rsid w:val="00C44E10"/>
    <w:rsid w:val="00C47CE1"/>
    <w:rsid w:val="00C510CA"/>
    <w:rsid w:val="00C51118"/>
    <w:rsid w:val="00C5111F"/>
    <w:rsid w:val="00C535D5"/>
    <w:rsid w:val="00C558A6"/>
    <w:rsid w:val="00C5596C"/>
    <w:rsid w:val="00C57AD6"/>
    <w:rsid w:val="00C60D61"/>
    <w:rsid w:val="00C60F9A"/>
    <w:rsid w:val="00C6245B"/>
    <w:rsid w:val="00C63EED"/>
    <w:rsid w:val="00C6448A"/>
    <w:rsid w:val="00C6478B"/>
    <w:rsid w:val="00C651D8"/>
    <w:rsid w:val="00C652BA"/>
    <w:rsid w:val="00C65447"/>
    <w:rsid w:val="00C6601C"/>
    <w:rsid w:val="00C667CF"/>
    <w:rsid w:val="00C66C00"/>
    <w:rsid w:val="00C676F0"/>
    <w:rsid w:val="00C70722"/>
    <w:rsid w:val="00C728CD"/>
    <w:rsid w:val="00C76BD4"/>
    <w:rsid w:val="00C76CD4"/>
    <w:rsid w:val="00C76EED"/>
    <w:rsid w:val="00C820FA"/>
    <w:rsid w:val="00C833EF"/>
    <w:rsid w:val="00C83672"/>
    <w:rsid w:val="00C84D7F"/>
    <w:rsid w:val="00C85305"/>
    <w:rsid w:val="00C86B51"/>
    <w:rsid w:val="00C8718F"/>
    <w:rsid w:val="00C8759B"/>
    <w:rsid w:val="00C90ED7"/>
    <w:rsid w:val="00C92F2B"/>
    <w:rsid w:val="00C931FF"/>
    <w:rsid w:val="00C95F4F"/>
    <w:rsid w:val="00CA092B"/>
    <w:rsid w:val="00CA0C94"/>
    <w:rsid w:val="00CA146E"/>
    <w:rsid w:val="00CA31FF"/>
    <w:rsid w:val="00CA3908"/>
    <w:rsid w:val="00CA49A2"/>
    <w:rsid w:val="00CA4D5B"/>
    <w:rsid w:val="00CA54E5"/>
    <w:rsid w:val="00CA5853"/>
    <w:rsid w:val="00CA65D8"/>
    <w:rsid w:val="00CA6ADA"/>
    <w:rsid w:val="00CA7038"/>
    <w:rsid w:val="00CB11AB"/>
    <w:rsid w:val="00CB155B"/>
    <w:rsid w:val="00CB224B"/>
    <w:rsid w:val="00CB23E5"/>
    <w:rsid w:val="00CB36CF"/>
    <w:rsid w:val="00CB5307"/>
    <w:rsid w:val="00CB599E"/>
    <w:rsid w:val="00CB5CF9"/>
    <w:rsid w:val="00CB5D5C"/>
    <w:rsid w:val="00CB74C3"/>
    <w:rsid w:val="00CC152E"/>
    <w:rsid w:val="00CC2216"/>
    <w:rsid w:val="00CC24DD"/>
    <w:rsid w:val="00CC2E18"/>
    <w:rsid w:val="00CC2E32"/>
    <w:rsid w:val="00CC48B2"/>
    <w:rsid w:val="00CC5000"/>
    <w:rsid w:val="00CC5B11"/>
    <w:rsid w:val="00CD1823"/>
    <w:rsid w:val="00CD1E6A"/>
    <w:rsid w:val="00CD25A5"/>
    <w:rsid w:val="00CD262E"/>
    <w:rsid w:val="00CD2A43"/>
    <w:rsid w:val="00CD2CC5"/>
    <w:rsid w:val="00CD5076"/>
    <w:rsid w:val="00CD58EB"/>
    <w:rsid w:val="00CD6980"/>
    <w:rsid w:val="00CE1034"/>
    <w:rsid w:val="00CE1744"/>
    <w:rsid w:val="00CE1EED"/>
    <w:rsid w:val="00CE2EA3"/>
    <w:rsid w:val="00CE507E"/>
    <w:rsid w:val="00CE6664"/>
    <w:rsid w:val="00CE7712"/>
    <w:rsid w:val="00CF00C8"/>
    <w:rsid w:val="00CF0CCC"/>
    <w:rsid w:val="00CF0D25"/>
    <w:rsid w:val="00CF4D1B"/>
    <w:rsid w:val="00CF4F0A"/>
    <w:rsid w:val="00CF576A"/>
    <w:rsid w:val="00CF631A"/>
    <w:rsid w:val="00CF6865"/>
    <w:rsid w:val="00CF6F72"/>
    <w:rsid w:val="00CF7F71"/>
    <w:rsid w:val="00D023F0"/>
    <w:rsid w:val="00D02A47"/>
    <w:rsid w:val="00D05324"/>
    <w:rsid w:val="00D05458"/>
    <w:rsid w:val="00D05CDC"/>
    <w:rsid w:val="00D06F9F"/>
    <w:rsid w:val="00D101F6"/>
    <w:rsid w:val="00D104FF"/>
    <w:rsid w:val="00D12609"/>
    <w:rsid w:val="00D12A23"/>
    <w:rsid w:val="00D1372F"/>
    <w:rsid w:val="00D14FBB"/>
    <w:rsid w:val="00D17C1E"/>
    <w:rsid w:val="00D213B3"/>
    <w:rsid w:val="00D22659"/>
    <w:rsid w:val="00D22BF0"/>
    <w:rsid w:val="00D2339C"/>
    <w:rsid w:val="00D23D91"/>
    <w:rsid w:val="00D24CC0"/>
    <w:rsid w:val="00D24FF0"/>
    <w:rsid w:val="00D25A40"/>
    <w:rsid w:val="00D30074"/>
    <w:rsid w:val="00D325A8"/>
    <w:rsid w:val="00D33D37"/>
    <w:rsid w:val="00D36173"/>
    <w:rsid w:val="00D371A9"/>
    <w:rsid w:val="00D375C4"/>
    <w:rsid w:val="00D37678"/>
    <w:rsid w:val="00D403FF"/>
    <w:rsid w:val="00D4246B"/>
    <w:rsid w:val="00D4297E"/>
    <w:rsid w:val="00D42EF9"/>
    <w:rsid w:val="00D43079"/>
    <w:rsid w:val="00D445B4"/>
    <w:rsid w:val="00D4584A"/>
    <w:rsid w:val="00D46CBC"/>
    <w:rsid w:val="00D46D12"/>
    <w:rsid w:val="00D471F6"/>
    <w:rsid w:val="00D50DC1"/>
    <w:rsid w:val="00D516B6"/>
    <w:rsid w:val="00D51825"/>
    <w:rsid w:val="00D53F28"/>
    <w:rsid w:val="00D54271"/>
    <w:rsid w:val="00D54782"/>
    <w:rsid w:val="00D557A7"/>
    <w:rsid w:val="00D56FB5"/>
    <w:rsid w:val="00D575DC"/>
    <w:rsid w:val="00D601DC"/>
    <w:rsid w:val="00D603ED"/>
    <w:rsid w:val="00D61081"/>
    <w:rsid w:val="00D622B5"/>
    <w:rsid w:val="00D6294D"/>
    <w:rsid w:val="00D63ECC"/>
    <w:rsid w:val="00D647FB"/>
    <w:rsid w:val="00D66012"/>
    <w:rsid w:val="00D6615A"/>
    <w:rsid w:val="00D672A3"/>
    <w:rsid w:val="00D677B5"/>
    <w:rsid w:val="00D707EF"/>
    <w:rsid w:val="00D7081E"/>
    <w:rsid w:val="00D71099"/>
    <w:rsid w:val="00D726C1"/>
    <w:rsid w:val="00D72FE0"/>
    <w:rsid w:val="00D7303A"/>
    <w:rsid w:val="00D74BA9"/>
    <w:rsid w:val="00D762AD"/>
    <w:rsid w:val="00D80E4A"/>
    <w:rsid w:val="00D81417"/>
    <w:rsid w:val="00D81635"/>
    <w:rsid w:val="00D839F5"/>
    <w:rsid w:val="00D84A29"/>
    <w:rsid w:val="00D8660A"/>
    <w:rsid w:val="00D86644"/>
    <w:rsid w:val="00D8726D"/>
    <w:rsid w:val="00D87DE4"/>
    <w:rsid w:val="00D9020B"/>
    <w:rsid w:val="00D90888"/>
    <w:rsid w:val="00D91222"/>
    <w:rsid w:val="00D91340"/>
    <w:rsid w:val="00D96F36"/>
    <w:rsid w:val="00D97236"/>
    <w:rsid w:val="00D9775E"/>
    <w:rsid w:val="00DA149D"/>
    <w:rsid w:val="00DA1829"/>
    <w:rsid w:val="00DA18BF"/>
    <w:rsid w:val="00DA1F72"/>
    <w:rsid w:val="00DA242C"/>
    <w:rsid w:val="00DA2FB4"/>
    <w:rsid w:val="00DA345B"/>
    <w:rsid w:val="00DA55CE"/>
    <w:rsid w:val="00DA6248"/>
    <w:rsid w:val="00DA65B1"/>
    <w:rsid w:val="00DA6738"/>
    <w:rsid w:val="00DA7F70"/>
    <w:rsid w:val="00DB0069"/>
    <w:rsid w:val="00DB199E"/>
    <w:rsid w:val="00DB389B"/>
    <w:rsid w:val="00DB3F17"/>
    <w:rsid w:val="00DB4538"/>
    <w:rsid w:val="00DB4F04"/>
    <w:rsid w:val="00DB6187"/>
    <w:rsid w:val="00DB6CB8"/>
    <w:rsid w:val="00DC132A"/>
    <w:rsid w:val="00DC2A01"/>
    <w:rsid w:val="00DC2B98"/>
    <w:rsid w:val="00DC3BBC"/>
    <w:rsid w:val="00DC3F68"/>
    <w:rsid w:val="00DC50DC"/>
    <w:rsid w:val="00DC50EE"/>
    <w:rsid w:val="00DC5A2B"/>
    <w:rsid w:val="00DC5D99"/>
    <w:rsid w:val="00DC67CD"/>
    <w:rsid w:val="00DC6BBE"/>
    <w:rsid w:val="00DC7047"/>
    <w:rsid w:val="00DD03A1"/>
    <w:rsid w:val="00DD400E"/>
    <w:rsid w:val="00DD441E"/>
    <w:rsid w:val="00DD4616"/>
    <w:rsid w:val="00DD726D"/>
    <w:rsid w:val="00DE05FD"/>
    <w:rsid w:val="00DE1C51"/>
    <w:rsid w:val="00DE2C7D"/>
    <w:rsid w:val="00DE4A49"/>
    <w:rsid w:val="00DE72C0"/>
    <w:rsid w:val="00DE7A68"/>
    <w:rsid w:val="00DF2854"/>
    <w:rsid w:val="00DF2F6E"/>
    <w:rsid w:val="00DF4B53"/>
    <w:rsid w:val="00DF5464"/>
    <w:rsid w:val="00DF62C3"/>
    <w:rsid w:val="00DF656A"/>
    <w:rsid w:val="00DF7702"/>
    <w:rsid w:val="00DF7950"/>
    <w:rsid w:val="00E00196"/>
    <w:rsid w:val="00E01A89"/>
    <w:rsid w:val="00E02892"/>
    <w:rsid w:val="00E06941"/>
    <w:rsid w:val="00E1071B"/>
    <w:rsid w:val="00E118CE"/>
    <w:rsid w:val="00E1220D"/>
    <w:rsid w:val="00E125C9"/>
    <w:rsid w:val="00E13220"/>
    <w:rsid w:val="00E1446F"/>
    <w:rsid w:val="00E14E1F"/>
    <w:rsid w:val="00E21F0C"/>
    <w:rsid w:val="00E2202D"/>
    <w:rsid w:val="00E22668"/>
    <w:rsid w:val="00E22CE5"/>
    <w:rsid w:val="00E23581"/>
    <w:rsid w:val="00E23BC7"/>
    <w:rsid w:val="00E2567F"/>
    <w:rsid w:val="00E277E5"/>
    <w:rsid w:val="00E30FC8"/>
    <w:rsid w:val="00E31490"/>
    <w:rsid w:val="00E320E5"/>
    <w:rsid w:val="00E328BD"/>
    <w:rsid w:val="00E35D9F"/>
    <w:rsid w:val="00E40781"/>
    <w:rsid w:val="00E407BA"/>
    <w:rsid w:val="00E4083B"/>
    <w:rsid w:val="00E410C3"/>
    <w:rsid w:val="00E41350"/>
    <w:rsid w:val="00E41FF2"/>
    <w:rsid w:val="00E42392"/>
    <w:rsid w:val="00E43DF0"/>
    <w:rsid w:val="00E46714"/>
    <w:rsid w:val="00E46DA1"/>
    <w:rsid w:val="00E47038"/>
    <w:rsid w:val="00E47243"/>
    <w:rsid w:val="00E47C14"/>
    <w:rsid w:val="00E514E5"/>
    <w:rsid w:val="00E53EA1"/>
    <w:rsid w:val="00E550C5"/>
    <w:rsid w:val="00E565A1"/>
    <w:rsid w:val="00E61794"/>
    <w:rsid w:val="00E61D1D"/>
    <w:rsid w:val="00E62212"/>
    <w:rsid w:val="00E62976"/>
    <w:rsid w:val="00E62DCA"/>
    <w:rsid w:val="00E62F66"/>
    <w:rsid w:val="00E63045"/>
    <w:rsid w:val="00E638EA"/>
    <w:rsid w:val="00E65B1B"/>
    <w:rsid w:val="00E66F68"/>
    <w:rsid w:val="00E67F07"/>
    <w:rsid w:val="00E70176"/>
    <w:rsid w:val="00E71F73"/>
    <w:rsid w:val="00E72650"/>
    <w:rsid w:val="00E74FCE"/>
    <w:rsid w:val="00E75CAC"/>
    <w:rsid w:val="00E80B81"/>
    <w:rsid w:val="00E81374"/>
    <w:rsid w:val="00E82676"/>
    <w:rsid w:val="00E8392A"/>
    <w:rsid w:val="00E8588D"/>
    <w:rsid w:val="00E9031E"/>
    <w:rsid w:val="00E90DBA"/>
    <w:rsid w:val="00E917A0"/>
    <w:rsid w:val="00E92F07"/>
    <w:rsid w:val="00E943F6"/>
    <w:rsid w:val="00E95DB1"/>
    <w:rsid w:val="00EA0A8E"/>
    <w:rsid w:val="00EA19C5"/>
    <w:rsid w:val="00EA29B2"/>
    <w:rsid w:val="00EA59B4"/>
    <w:rsid w:val="00EA6D9B"/>
    <w:rsid w:val="00EA72F5"/>
    <w:rsid w:val="00EA7E61"/>
    <w:rsid w:val="00EA7E9C"/>
    <w:rsid w:val="00EB15C9"/>
    <w:rsid w:val="00EB16AF"/>
    <w:rsid w:val="00EB4550"/>
    <w:rsid w:val="00EB4552"/>
    <w:rsid w:val="00EB4DCB"/>
    <w:rsid w:val="00EC00BA"/>
    <w:rsid w:val="00EC098C"/>
    <w:rsid w:val="00EC0BFF"/>
    <w:rsid w:val="00EC3F66"/>
    <w:rsid w:val="00EC43FE"/>
    <w:rsid w:val="00EC64CD"/>
    <w:rsid w:val="00EC6D59"/>
    <w:rsid w:val="00EC6D60"/>
    <w:rsid w:val="00EC79B1"/>
    <w:rsid w:val="00ED0826"/>
    <w:rsid w:val="00ED0E54"/>
    <w:rsid w:val="00ED2FBF"/>
    <w:rsid w:val="00ED319F"/>
    <w:rsid w:val="00ED6213"/>
    <w:rsid w:val="00ED7357"/>
    <w:rsid w:val="00ED76CD"/>
    <w:rsid w:val="00ED7BE4"/>
    <w:rsid w:val="00ED7D80"/>
    <w:rsid w:val="00EE00C9"/>
    <w:rsid w:val="00EE0D84"/>
    <w:rsid w:val="00EE12B3"/>
    <w:rsid w:val="00EE15C1"/>
    <w:rsid w:val="00EE2154"/>
    <w:rsid w:val="00EE3117"/>
    <w:rsid w:val="00EE3C92"/>
    <w:rsid w:val="00EE3D32"/>
    <w:rsid w:val="00EE7864"/>
    <w:rsid w:val="00EF045E"/>
    <w:rsid w:val="00EF161E"/>
    <w:rsid w:val="00EF1CF8"/>
    <w:rsid w:val="00EF2756"/>
    <w:rsid w:val="00EF343D"/>
    <w:rsid w:val="00EF3CAF"/>
    <w:rsid w:val="00EF49A8"/>
    <w:rsid w:val="00EF6352"/>
    <w:rsid w:val="00EF64FE"/>
    <w:rsid w:val="00EF7FCD"/>
    <w:rsid w:val="00F03594"/>
    <w:rsid w:val="00F03FAC"/>
    <w:rsid w:val="00F04B6D"/>
    <w:rsid w:val="00F04C82"/>
    <w:rsid w:val="00F0545F"/>
    <w:rsid w:val="00F0693E"/>
    <w:rsid w:val="00F06D0B"/>
    <w:rsid w:val="00F06FD5"/>
    <w:rsid w:val="00F07D6C"/>
    <w:rsid w:val="00F11FA0"/>
    <w:rsid w:val="00F1237D"/>
    <w:rsid w:val="00F142E9"/>
    <w:rsid w:val="00F205C5"/>
    <w:rsid w:val="00F2171B"/>
    <w:rsid w:val="00F218E5"/>
    <w:rsid w:val="00F22D8E"/>
    <w:rsid w:val="00F240B0"/>
    <w:rsid w:val="00F253BE"/>
    <w:rsid w:val="00F26077"/>
    <w:rsid w:val="00F27224"/>
    <w:rsid w:val="00F27828"/>
    <w:rsid w:val="00F27E8F"/>
    <w:rsid w:val="00F31249"/>
    <w:rsid w:val="00F31706"/>
    <w:rsid w:val="00F330EA"/>
    <w:rsid w:val="00F33AA6"/>
    <w:rsid w:val="00F35CE4"/>
    <w:rsid w:val="00F3714D"/>
    <w:rsid w:val="00F406D3"/>
    <w:rsid w:val="00F45458"/>
    <w:rsid w:val="00F4592E"/>
    <w:rsid w:val="00F45CCA"/>
    <w:rsid w:val="00F45EE0"/>
    <w:rsid w:val="00F46BC3"/>
    <w:rsid w:val="00F4708F"/>
    <w:rsid w:val="00F50EF1"/>
    <w:rsid w:val="00F5158C"/>
    <w:rsid w:val="00F52732"/>
    <w:rsid w:val="00F52B00"/>
    <w:rsid w:val="00F5537E"/>
    <w:rsid w:val="00F5645F"/>
    <w:rsid w:val="00F60B6A"/>
    <w:rsid w:val="00F63C46"/>
    <w:rsid w:val="00F642A6"/>
    <w:rsid w:val="00F64E3C"/>
    <w:rsid w:val="00F66F5D"/>
    <w:rsid w:val="00F67076"/>
    <w:rsid w:val="00F67EDB"/>
    <w:rsid w:val="00F70046"/>
    <w:rsid w:val="00F70C25"/>
    <w:rsid w:val="00F71802"/>
    <w:rsid w:val="00F72BBD"/>
    <w:rsid w:val="00F758E3"/>
    <w:rsid w:val="00F76A93"/>
    <w:rsid w:val="00F77301"/>
    <w:rsid w:val="00F77A26"/>
    <w:rsid w:val="00F77D68"/>
    <w:rsid w:val="00F77F06"/>
    <w:rsid w:val="00F800F5"/>
    <w:rsid w:val="00F80E7B"/>
    <w:rsid w:val="00F80F72"/>
    <w:rsid w:val="00F812D3"/>
    <w:rsid w:val="00F81A5D"/>
    <w:rsid w:val="00F820B7"/>
    <w:rsid w:val="00F83194"/>
    <w:rsid w:val="00F8498D"/>
    <w:rsid w:val="00F84E06"/>
    <w:rsid w:val="00F85573"/>
    <w:rsid w:val="00F86DA7"/>
    <w:rsid w:val="00F875C1"/>
    <w:rsid w:val="00F90A53"/>
    <w:rsid w:val="00F920DA"/>
    <w:rsid w:val="00F921F2"/>
    <w:rsid w:val="00F9258C"/>
    <w:rsid w:val="00F92656"/>
    <w:rsid w:val="00F9338F"/>
    <w:rsid w:val="00F950D3"/>
    <w:rsid w:val="00F950E0"/>
    <w:rsid w:val="00F958C3"/>
    <w:rsid w:val="00F95941"/>
    <w:rsid w:val="00F97B9C"/>
    <w:rsid w:val="00FA0D61"/>
    <w:rsid w:val="00FA1BF1"/>
    <w:rsid w:val="00FA35BE"/>
    <w:rsid w:val="00FA3CC6"/>
    <w:rsid w:val="00FA5240"/>
    <w:rsid w:val="00FA5412"/>
    <w:rsid w:val="00FA55A0"/>
    <w:rsid w:val="00FA72B8"/>
    <w:rsid w:val="00FA73D6"/>
    <w:rsid w:val="00FA7730"/>
    <w:rsid w:val="00FB18B9"/>
    <w:rsid w:val="00FB2815"/>
    <w:rsid w:val="00FB3A30"/>
    <w:rsid w:val="00FB3E23"/>
    <w:rsid w:val="00FB3F47"/>
    <w:rsid w:val="00FB4223"/>
    <w:rsid w:val="00FB7AD8"/>
    <w:rsid w:val="00FC3ED2"/>
    <w:rsid w:val="00FC3FCF"/>
    <w:rsid w:val="00FC4143"/>
    <w:rsid w:val="00FC4A67"/>
    <w:rsid w:val="00FC52E1"/>
    <w:rsid w:val="00FC5C8D"/>
    <w:rsid w:val="00FC6249"/>
    <w:rsid w:val="00FC676D"/>
    <w:rsid w:val="00FC79C6"/>
    <w:rsid w:val="00FC7D8F"/>
    <w:rsid w:val="00FD2670"/>
    <w:rsid w:val="00FD6596"/>
    <w:rsid w:val="00FD6A17"/>
    <w:rsid w:val="00FD707F"/>
    <w:rsid w:val="00FD7237"/>
    <w:rsid w:val="00FD7904"/>
    <w:rsid w:val="00FE02E7"/>
    <w:rsid w:val="00FE5A0A"/>
    <w:rsid w:val="00FF1C42"/>
    <w:rsid w:val="00FF535F"/>
    <w:rsid w:val="00FF6B54"/>
    <w:rsid w:val="01BA6F73"/>
    <w:rsid w:val="01C729B1"/>
    <w:rsid w:val="02113951"/>
    <w:rsid w:val="028B5B7A"/>
    <w:rsid w:val="029562D6"/>
    <w:rsid w:val="02E72CC8"/>
    <w:rsid w:val="032064E7"/>
    <w:rsid w:val="036C2AC3"/>
    <w:rsid w:val="03D92758"/>
    <w:rsid w:val="042C7EA6"/>
    <w:rsid w:val="044707B2"/>
    <w:rsid w:val="044A7711"/>
    <w:rsid w:val="04520EED"/>
    <w:rsid w:val="052A0A99"/>
    <w:rsid w:val="05616CEF"/>
    <w:rsid w:val="05B13702"/>
    <w:rsid w:val="071E3864"/>
    <w:rsid w:val="07624570"/>
    <w:rsid w:val="07B11F40"/>
    <w:rsid w:val="081913A0"/>
    <w:rsid w:val="08525743"/>
    <w:rsid w:val="09451F7A"/>
    <w:rsid w:val="094F6025"/>
    <w:rsid w:val="095A3D9C"/>
    <w:rsid w:val="098F05E9"/>
    <w:rsid w:val="09AD745A"/>
    <w:rsid w:val="09F932FF"/>
    <w:rsid w:val="0A8109FE"/>
    <w:rsid w:val="0AC8540F"/>
    <w:rsid w:val="0AED5ECE"/>
    <w:rsid w:val="0BA856FC"/>
    <w:rsid w:val="0C191EC4"/>
    <w:rsid w:val="0C6141AA"/>
    <w:rsid w:val="0C6D7125"/>
    <w:rsid w:val="0C8867BC"/>
    <w:rsid w:val="0CAF6DF3"/>
    <w:rsid w:val="0CD066CA"/>
    <w:rsid w:val="0D20116D"/>
    <w:rsid w:val="0D681984"/>
    <w:rsid w:val="0D9B241C"/>
    <w:rsid w:val="0DB56932"/>
    <w:rsid w:val="0DFE6A58"/>
    <w:rsid w:val="0E9225D8"/>
    <w:rsid w:val="0F094AF5"/>
    <w:rsid w:val="0F3A49F6"/>
    <w:rsid w:val="0F4C0579"/>
    <w:rsid w:val="0F882CCB"/>
    <w:rsid w:val="0FBA3B3D"/>
    <w:rsid w:val="101F0E47"/>
    <w:rsid w:val="104E134C"/>
    <w:rsid w:val="1086405B"/>
    <w:rsid w:val="115715CC"/>
    <w:rsid w:val="11861D64"/>
    <w:rsid w:val="11F65BA8"/>
    <w:rsid w:val="120A76FF"/>
    <w:rsid w:val="12A72E93"/>
    <w:rsid w:val="12C46FCD"/>
    <w:rsid w:val="14164D9C"/>
    <w:rsid w:val="151C1DF4"/>
    <w:rsid w:val="154E693C"/>
    <w:rsid w:val="16034D27"/>
    <w:rsid w:val="164C5968"/>
    <w:rsid w:val="167075B4"/>
    <w:rsid w:val="16EA2D13"/>
    <w:rsid w:val="17274D2E"/>
    <w:rsid w:val="17A04556"/>
    <w:rsid w:val="17DA4F86"/>
    <w:rsid w:val="17EC6540"/>
    <w:rsid w:val="183556BB"/>
    <w:rsid w:val="185B1C49"/>
    <w:rsid w:val="18673E19"/>
    <w:rsid w:val="18E62CFA"/>
    <w:rsid w:val="18F61611"/>
    <w:rsid w:val="190430C2"/>
    <w:rsid w:val="195150C0"/>
    <w:rsid w:val="19A87491"/>
    <w:rsid w:val="1A5170F1"/>
    <w:rsid w:val="1A6C7570"/>
    <w:rsid w:val="1AD229F9"/>
    <w:rsid w:val="1AE04E51"/>
    <w:rsid w:val="1C241807"/>
    <w:rsid w:val="1C47280B"/>
    <w:rsid w:val="1C586676"/>
    <w:rsid w:val="1C901BF5"/>
    <w:rsid w:val="1CA81721"/>
    <w:rsid w:val="1D0625D0"/>
    <w:rsid w:val="1E082FBA"/>
    <w:rsid w:val="1E1A1304"/>
    <w:rsid w:val="1EA6562A"/>
    <w:rsid w:val="1EEB48C9"/>
    <w:rsid w:val="1F0444F8"/>
    <w:rsid w:val="1F7C7D11"/>
    <w:rsid w:val="1FCA4C34"/>
    <w:rsid w:val="1FD406D0"/>
    <w:rsid w:val="1FDF3477"/>
    <w:rsid w:val="1FF015EB"/>
    <w:rsid w:val="20220A34"/>
    <w:rsid w:val="20643FC2"/>
    <w:rsid w:val="20872855"/>
    <w:rsid w:val="209F4950"/>
    <w:rsid w:val="21182154"/>
    <w:rsid w:val="212668D0"/>
    <w:rsid w:val="2137144D"/>
    <w:rsid w:val="21C61947"/>
    <w:rsid w:val="21CC7E96"/>
    <w:rsid w:val="22156CB6"/>
    <w:rsid w:val="222A3393"/>
    <w:rsid w:val="23097451"/>
    <w:rsid w:val="233F7E44"/>
    <w:rsid w:val="2344603D"/>
    <w:rsid w:val="23560BA1"/>
    <w:rsid w:val="236E097E"/>
    <w:rsid w:val="2374064A"/>
    <w:rsid w:val="237A7E80"/>
    <w:rsid w:val="238F6FBB"/>
    <w:rsid w:val="23C4139F"/>
    <w:rsid w:val="24962D62"/>
    <w:rsid w:val="252A641D"/>
    <w:rsid w:val="25360853"/>
    <w:rsid w:val="255850BD"/>
    <w:rsid w:val="25864B1A"/>
    <w:rsid w:val="25BF1652"/>
    <w:rsid w:val="262A24F6"/>
    <w:rsid w:val="26714382"/>
    <w:rsid w:val="267D35AA"/>
    <w:rsid w:val="273F2837"/>
    <w:rsid w:val="27E47234"/>
    <w:rsid w:val="283F5085"/>
    <w:rsid w:val="28755F08"/>
    <w:rsid w:val="28B42CCB"/>
    <w:rsid w:val="28F141F1"/>
    <w:rsid w:val="297B3BC8"/>
    <w:rsid w:val="29BA6E20"/>
    <w:rsid w:val="29EE4900"/>
    <w:rsid w:val="29FE4E85"/>
    <w:rsid w:val="2A543139"/>
    <w:rsid w:val="2A571AF7"/>
    <w:rsid w:val="2A6B2A50"/>
    <w:rsid w:val="2A796735"/>
    <w:rsid w:val="2B24753D"/>
    <w:rsid w:val="2B261911"/>
    <w:rsid w:val="2B3705AD"/>
    <w:rsid w:val="2B9A29F6"/>
    <w:rsid w:val="2B9C468F"/>
    <w:rsid w:val="2BC63ECE"/>
    <w:rsid w:val="2C5B5355"/>
    <w:rsid w:val="2C5D4BAD"/>
    <w:rsid w:val="2C753EA3"/>
    <w:rsid w:val="2D9361FA"/>
    <w:rsid w:val="2DDA680D"/>
    <w:rsid w:val="2E890F54"/>
    <w:rsid w:val="2E8D111B"/>
    <w:rsid w:val="2E9A064C"/>
    <w:rsid w:val="2EB60DE6"/>
    <w:rsid w:val="2EB8684D"/>
    <w:rsid w:val="2F827D57"/>
    <w:rsid w:val="2FA87A62"/>
    <w:rsid w:val="2FAE7E6F"/>
    <w:rsid w:val="2FE134D2"/>
    <w:rsid w:val="301B0475"/>
    <w:rsid w:val="30966C17"/>
    <w:rsid w:val="30B61A99"/>
    <w:rsid w:val="31181417"/>
    <w:rsid w:val="31F917F8"/>
    <w:rsid w:val="32033F9F"/>
    <w:rsid w:val="326658F0"/>
    <w:rsid w:val="32F00FEE"/>
    <w:rsid w:val="331A0F72"/>
    <w:rsid w:val="331B3917"/>
    <w:rsid w:val="33967949"/>
    <w:rsid w:val="33E75D22"/>
    <w:rsid w:val="33EA19AF"/>
    <w:rsid w:val="346208E6"/>
    <w:rsid w:val="3476423A"/>
    <w:rsid w:val="34884436"/>
    <w:rsid w:val="350E4B86"/>
    <w:rsid w:val="355A3CB7"/>
    <w:rsid w:val="35FE08A0"/>
    <w:rsid w:val="35FF7F62"/>
    <w:rsid w:val="365E45FC"/>
    <w:rsid w:val="368F73D9"/>
    <w:rsid w:val="36916984"/>
    <w:rsid w:val="36D67A1B"/>
    <w:rsid w:val="370A45D5"/>
    <w:rsid w:val="373777AC"/>
    <w:rsid w:val="376D69F6"/>
    <w:rsid w:val="37AA1AC9"/>
    <w:rsid w:val="38330227"/>
    <w:rsid w:val="385629A9"/>
    <w:rsid w:val="38843D39"/>
    <w:rsid w:val="38BE762D"/>
    <w:rsid w:val="38D31F85"/>
    <w:rsid w:val="38F32999"/>
    <w:rsid w:val="38F95C4B"/>
    <w:rsid w:val="39C7718B"/>
    <w:rsid w:val="3A4153A8"/>
    <w:rsid w:val="3A571D6A"/>
    <w:rsid w:val="3A5C04DB"/>
    <w:rsid w:val="3A7C32FC"/>
    <w:rsid w:val="3A920F74"/>
    <w:rsid w:val="3AD8241D"/>
    <w:rsid w:val="3B2C2F33"/>
    <w:rsid w:val="3B4A5CED"/>
    <w:rsid w:val="3B923D97"/>
    <w:rsid w:val="3BAD7AB5"/>
    <w:rsid w:val="3BC43EEB"/>
    <w:rsid w:val="3BCB259D"/>
    <w:rsid w:val="3BCF27D5"/>
    <w:rsid w:val="3C07525C"/>
    <w:rsid w:val="3C520FFE"/>
    <w:rsid w:val="3C6207FC"/>
    <w:rsid w:val="3D093CD9"/>
    <w:rsid w:val="3D4122AE"/>
    <w:rsid w:val="3D814ED5"/>
    <w:rsid w:val="3DA356EC"/>
    <w:rsid w:val="3DBC7E68"/>
    <w:rsid w:val="3DBF3C2B"/>
    <w:rsid w:val="3DD75EFF"/>
    <w:rsid w:val="3E183178"/>
    <w:rsid w:val="3E7964D0"/>
    <w:rsid w:val="3E8C4D9E"/>
    <w:rsid w:val="3ED12DB5"/>
    <w:rsid w:val="3EEB1385"/>
    <w:rsid w:val="3F2C096F"/>
    <w:rsid w:val="3F54562D"/>
    <w:rsid w:val="4007204F"/>
    <w:rsid w:val="40522748"/>
    <w:rsid w:val="40C4433A"/>
    <w:rsid w:val="413606A8"/>
    <w:rsid w:val="41437083"/>
    <w:rsid w:val="41580644"/>
    <w:rsid w:val="41852EC6"/>
    <w:rsid w:val="41A8212B"/>
    <w:rsid w:val="41C5601F"/>
    <w:rsid w:val="423A44E1"/>
    <w:rsid w:val="423A7D24"/>
    <w:rsid w:val="423B5EA1"/>
    <w:rsid w:val="430E617A"/>
    <w:rsid w:val="43B80845"/>
    <w:rsid w:val="445656AE"/>
    <w:rsid w:val="44726792"/>
    <w:rsid w:val="44942FD9"/>
    <w:rsid w:val="4581249D"/>
    <w:rsid w:val="45AB3012"/>
    <w:rsid w:val="45AC0048"/>
    <w:rsid w:val="45DC4980"/>
    <w:rsid w:val="46215BA4"/>
    <w:rsid w:val="468E386C"/>
    <w:rsid w:val="4750410A"/>
    <w:rsid w:val="47AA3171"/>
    <w:rsid w:val="47BC632B"/>
    <w:rsid w:val="48786503"/>
    <w:rsid w:val="488311DF"/>
    <w:rsid w:val="48A837B8"/>
    <w:rsid w:val="48D51DC6"/>
    <w:rsid w:val="49085578"/>
    <w:rsid w:val="499042D4"/>
    <w:rsid w:val="49FD61F3"/>
    <w:rsid w:val="4A1D7850"/>
    <w:rsid w:val="4A2410AF"/>
    <w:rsid w:val="4A56688B"/>
    <w:rsid w:val="4AFC6378"/>
    <w:rsid w:val="4B945202"/>
    <w:rsid w:val="4BDC009E"/>
    <w:rsid w:val="4BDF73FA"/>
    <w:rsid w:val="4BE05D04"/>
    <w:rsid w:val="4BEB208F"/>
    <w:rsid w:val="4C9E0279"/>
    <w:rsid w:val="4E5346DB"/>
    <w:rsid w:val="4F7B2BAB"/>
    <w:rsid w:val="4F8F4A40"/>
    <w:rsid w:val="4FA75EED"/>
    <w:rsid w:val="4FC738EF"/>
    <w:rsid w:val="4FED4228"/>
    <w:rsid w:val="50107CC5"/>
    <w:rsid w:val="508E3FDB"/>
    <w:rsid w:val="509872FE"/>
    <w:rsid w:val="50A304D1"/>
    <w:rsid w:val="50B45F93"/>
    <w:rsid w:val="50CC0885"/>
    <w:rsid w:val="51AA02F7"/>
    <w:rsid w:val="51B762F0"/>
    <w:rsid w:val="51F66DE1"/>
    <w:rsid w:val="52D8735A"/>
    <w:rsid w:val="541F1144"/>
    <w:rsid w:val="542F24D7"/>
    <w:rsid w:val="544E3750"/>
    <w:rsid w:val="54C5284F"/>
    <w:rsid w:val="54D23F79"/>
    <w:rsid w:val="55701537"/>
    <w:rsid w:val="558F27BF"/>
    <w:rsid w:val="55AA29FC"/>
    <w:rsid w:val="55F57C24"/>
    <w:rsid w:val="56891B92"/>
    <w:rsid w:val="5690470E"/>
    <w:rsid w:val="56BE16F1"/>
    <w:rsid w:val="56F13265"/>
    <w:rsid w:val="56FE35BF"/>
    <w:rsid w:val="577A4019"/>
    <w:rsid w:val="579864E3"/>
    <w:rsid w:val="583F675A"/>
    <w:rsid w:val="58D77894"/>
    <w:rsid w:val="58DA5BAF"/>
    <w:rsid w:val="58DF6F83"/>
    <w:rsid w:val="59861649"/>
    <w:rsid w:val="598939CD"/>
    <w:rsid w:val="59A03DBA"/>
    <w:rsid w:val="59C348E2"/>
    <w:rsid w:val="5A644F5A"/>
    <w:rsid w:val="5A9900D0"/>
    <w:rsid w:val="5A9A2A00"/>
    <w:rsid w:val="5AA90D7D"/>
    <w:rsid w:val="5AE62DFC"/>
    <w:rsid w:val="5AF71638"/>
    <w:rsid w:val="5AFC22D0"/>
    <w:rsid w:val="5B024D90"/>
    <w:rsid w:val="5B9938B6"/>
    <w:rsid w:val="5D20267F"/>
    <w:rsid w:val="5D3A62C9"/>
    <w:rsid w:val="5DA068ED"/>
    <w:rsid w:val="5E156A95"/>
    <w:rsid w:val="5E546DD1"/>
    <w:rsid w:val="5EC549C2"/>
    <w:rsid w:val="5EDE5AB0"/>
    <w:rsid w:val="5EFF0E64"/>
    <w:rsid w:val="5EFF41A6"/>
    <w:rsid w:val="5F136C4F"/>
    <w:rsid w:val="5F864555"/>
    <w:rsid w:val="5F973343"/>
    <w:rsid w:val="5FB32210"/>
    <w:rsid w:val="5FBC0EDC"/>
    <w:rsid w:val="5FC01D30"/>
    <w:rsid w:val="5FE75F9A"/>
    <w:rsid w:val="60ED71C5"/>
    <w:rsid w:val="61882E3B"/>
    <w:rsid w:val="6198467D"/>
    <w:rsid w:val="61AD22FD"/>
    <w:rsid w:val="61DA2CC0"/>
    <w:rsid w:val="62242220"/>
    <w:rsid w:val="623777B1"/>
    <w:rsid w:val="62CD145F"/>
    <w:rsid w:val="635E0D4E"/>
    <w:rsid w:val="63C931DF"/>
    <w:rsid w:val="63D75ABD"/>
    <w:rsid w:val="63DF57B0"/>
    <w:rsid w:val="64C61CA6"/>
    <w:rsid w:val="6684528A"/>
    <w:rsid w:val="67407418"/>
    <w:rsid w:val="67623991"/>
    <w:rsid w:val="677C673A"/>
    <w:rsid w:val="6787315C"/>
    <w:rsid w:val="684D1CB0"/>
    <w:rsid w:val="688E4866"/>
    <w:rsid w:val="68C422C8"/>
    <w:rsid w:val="68CB0A20"/>
    <w:rsid w:val="68D0468F"/>
    <w:rsid w:val="692A27BC"/>
    <w:rsid w:val="695628A2"/>
    <w:rsid w:val="696649AA"/>
    <w:rsid w:val="69BF3094"/>
    <w:rsid w:val="69EC11F3"/>
    <w:rsid w:val="6A651371"/>
    <w:rsid w:val="6A801E0C"/>
    <w:rsid w:val="6A941878"/>
    <w:rsid w:val="6AFF3292"/>
    <w:rsid w:val="6B2A75A0"/>
    <w:rsid w:val="6BF973D9"/>
    <w:rsid w:val="6CBC6243"/>
    <w:rsid w:val="6CE97EB5"/>
    <w:rsid w:val="6DEF798C"/>
    <w:rsid w:val="6DFB3020"/>
    <w:rsid w:val="6E674073"/>
    <w:rsid w:val="6ED83287"/>
    <w:rsid w:val="6F1A3B80"/>
    <w:rsid w:val="6F1E03A7"/>
    <w:rsid w:val="6F370DFD"/>
    <w:rsid w:val="6F3C7EE3"/>
    <w:rsid w:val="700F44E7"/>
    <w:rsid w:val="703D6AFC"/>
    <w:rsid w:val="70A16F4F"/>
    <w:rsid w:val="70B24606"/>
    <w:rsid w:val="70C07638"/>
    <w:rsid w:val="712647F8"/>
    <w:rsid w:val="71682C73"/>
    <w:rsid w:val="71C973D6"/>
    <w:rsid w:val="71F82AFB"/>
    <w:rsid w:val="71FA154F"/>
    <w:rsid w:val="72BF60EE"/>
    <w:rsid w:val="73125B74"/>
    <w:rsid w:val="7338195F"/>
    <w:rsid w:val="73D31F55"/>
    <w:rsid w:val="73F963DD"/>
    <w:rsid w:val="74142127"/>
    <w:rsid w:val="742A1388"/>
    <w:rsid w:val="744F4568"/>
    <w:rsid w:val="74760217"/>
    <w:rsid w:val="748C091F"/>
    <w:rsid w:val="749649D5"/>
    <w:rsid w:val="74A33D53"/>
    <w:rsid w:val="754B77C8"/>
    <w:rsid w:val="7577036C"/>
    <w:rsid w:val="75ED1CF7"/>
    <w:rsid w:val="75F637CF"/>
    <w:rsid w:val="76582707"/>
    <w:rsid w:val="768C116F"/>
    <w:rsid w:val="769E2863"/>
    <w:rsid w:val="788764DE"/>
    <w:rsid w:val="78A6531A"/>
    <w:rsid w:val="78FF28B2"/>
    <w:rsid w:val="791A4399"/>
    <w:rsid w:val="79C125E5"/>
    <w:rsid w:val="79E9622F"/>
    <w:rsid w:val="7A052821"/>
    <w:rsid w:val="7A356D16"/>
    <w:rsid w:val="7A484054"/>
    <w:rsid w:val="7AA164A6"/>
    <w:rsid w:val="7AD03A22"/>
    <w:rsid w:val="7B4A310E"/>
    <w:rsid w:val="7B7C31B3"/>
    <w:rsid w:val="7B940FF7"/>
    <w:rsid w:val="7BA75C45"/>
    <w:rsid w:val="7C07736E"/>
    <w:rsid w:val="7CA030D8"/>
    <w:rsid w:val="7CEC03AB"/>
    <w:rsid w:val="7CF414D5"/>
    <w:rsid w:val="7D01082D"/>
    <w:rsid w:val="7D382AD7"/>
    <w:rsid w:val="7D696BA9"/>
    <w:rsid w:val="7E137724"/>
    <w:rsid w:val="7EFD68CA"/>
    <w:rsid w:val="7F215DAD"/>
    <w:rsid w:val="7F4B4D91"/>
    <w:rsid w:val="7F6A358F"/>
    <w:rsid w:val="7F9059EF"/>
    <w:rsid w:val="7FA4495C"/>
    <w:rsid w:val="7FE81ECB"/>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2"/>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74"/>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75"/>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76"/>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77"/>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7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0"/>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4"/>
    </w:rPr>
  </w:style>
  <w:style w:type="paragraph" w:styleId="12">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8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6"/>
    <w:unhideWhenUsed/>
    <w:qFormat/>
    <w:uiPriority w:val="99"/>
    <w:pPr>
      <w:spacing w:after="120"/>
    </w:pPr>
  </w:style>
  <w:style w:type="paragraph" w:styleId="3">
    <w:name w:val="macro"/>
    <w:link w:val="7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78"/>
    <w:qFormat/>
    <w:uiPriority w:val="0"/>
    <w:pPr>
      <w:ind w:firstLine="420" w:firstLineChars="200"/>
    </w:pPr>
    <w:rPr>
      <w:rFonts w:ascii="Times New Roman" w:hAnsi="Times New Roman"/>
      <w:szCs w:val="24"/>
    </w:rPr>
  </w:style>
  <w:style w:type="paragraph" w:styleId="14">
    <w:name w:val="toc 7"/>
    <w:basedOn w:val="1"/>
    <w:next w:val="1"/>
    <w:qFormat/>
    <w:uiPriority w:val="0"/>
    <w:pPr>
      <w:ind w:left="1260"/>
      <w:jc w:val="left"/>
    </w:pPr>
    <w:rPr>
      <w:rFonts w:ascii="Times New Roman" w:hAnsi="Times New Roman"/>
      <w:sz w:val="18"/>
      <w:szCs w:val="18"/>
    </w:rPr>
  </w:style>
  <w:style w:type="paragraph" w:styleId="15">
    <w:name w:val="List Number"/>
    <w:basedOn w:val="1"/>
    <w:qFormat/>
    <w:uiPriority w:val="0"/>
    <w:pPr>
      <w:tabs>
        <w:tab w:val="left" w:pos="720"/>
        <w:tab w:val="left" w:pos="1440"/>
      </w:tabs>
      <w:spacing w:after="120"/>
      <w:ind w:left="360" w:hanging="360"/>
    </w:pPr>
    <w:rPr>
      <w:rFonts w:ascii="Times New Roman" w:hAnsi="Times New Roman"/>
      <w:sz w:val="20"/>
      <w:szCs w:val="20"/>
    </w:rPr>
  </w:style>
  <w:style w:type="paragraph" w:styleId="16">
    <w:name w:val="List Bullet"/>
    <w:basedOn w:val="1"/>
    <w:qFormat/>
    <w:uiPriority w:val="0"/>
    <w:rPr>
      <w:rFonts w:ascii="Times New Roman" w:hAnsi="Times New Roman"/>
      <w:szCs w:val="20"/>
    </w:rPr>
  </w:style>
  <w:style w:type="paragraph" w:styleId="17">
    <w:name w:val="Document Map"/>
    <w:basedOn w:val="1"/>
    <w:link w:val="83"/>
    <w:qFormat/>
    <w:uiPriority w:val="0"/>
    <w:pPr>
      <w:shd w:val="clear" w:color="auto" w:fill="000080"/>
    </w:pPr>
    <w:rPr>
      <w:kern w:val="0"/>
      <w:sz w:val="20"/>
      <w:szCs w:val="24"/>
      <w:shd w:val="clear" w:color="auto" w:fill="000080"/>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84"/>
    <w:qFormat/>
    <w:uiPriority w:val="0"/>
    <w:pPr>
      <w:jc w:val="left"/>
    </w:pPr>
    <w:rPr>
      <w:rFonts w:ascii="Times New Roman" w:hAnsi="Times New Roman"/>
      <w:kern w:val="0"/>
      <w:sz w:val="20"/>
      <w:szCs w:val="24"/>
    </w:rPr>
  </w:style>
  <w:style w:type="paragraph" w:styleId="20">
    <w:name w:val="Body Text 3"/>
    <w:basedOn w:val="1"/>
    <w:link w:val="85"/>
    <w:qFormat/>
    <w:uiPriority w:val="0"/>
    <w:rPr>
      <w:rFonts w:ascii="宋体" w:hAnsi="Times New Roman"/>
      <w:kern w:val="0"/>
      <w:sz w:val="24"/>
      <w:szCs w:val="20"/>
    </w:rPr>
  </w:style>
  <w:style w:type="paragraph" w:styleId="21">
    <w:name w:val="List Bullet 3"/>
    <w:basedOn w:val="1"/>
    <w:qFormat/>
    <w:uiPriority w:val="0"/>
    <w:pPr>
      <w:tabs>
        <w:tab w:val="left" w:pos="884"/>
      </w:tabs>
      <w:spacing w:line="360" w:lineRule="auto"/>
    </w:pPr>
    <w:rPr>
      <w:rFonts w:ascii="Times New Roman" w:hAnsi="Times New Roman"/>
      <w:sz w:val="24"/>
      <w:szCs w:val="20"/>
      <w:lang w:val="en-GB"/>
    </w:rPr>
  </w:style>
  <w:style w:type="paragraph" w:styleId="22">
    <w:name w:val="Body Text Indent"/>
    <w:basedOn w:val="1"/>
    <w:link w:val="87"/>
    <w:qFormat/>
    <w:uiPriority w:val="0"/>
    <w:pPr>
      <w:spacing w:after="120"/>
      <w:ind w:left="420" w:leftChars="200"/>
    </w:pPr>
    <w:rPr>
      <w:rFonts w:ascii="Times New Roman" w:hAnsi="Times New Roman"/>
      <w:kern w:val="0"/>
      <w:sz w:val="20"/>
      <w:szCs w:val="24"/>
    </w:rPr>
  </w:style>
  <w:style w:type="paragraph" w:styleId="23">
    <w:name w:val="List 2"/>
    <w:basedOn w:val="1"/>
    <w:qFormat/>
    <w:uiPriority w:val="0"/>
    <w:pPr>
      <w:ind w:left="566" w:hanging="283"/>
    </w:pPr>
    <w:rPr>
      <w:rFonts w:ascii="Times New Roman" w:hAnsi="Times New Roman"/>
      <w:szCs w:val="20"/>
    </w:rPr>
  </w:style>
  <w:style w:type="paragraph" w:styleId="24">
    <w:name w:val="Block Text"/>
    <w:basedOn w:val="1"/>
    <w:qFormat/>
    <w:uiPriority w:val="0"/>
    <w:pPr>
      <w:spacing w:before="120" w:after="120" w:line="360" w:lineRule="auto"/>
      <w:ind w:left="57" w:right="57" w:firstLine="468"/>
    </w:pPr>
    <w:rPr>
      <w:rFonts w:ascii="Arial" w:hAnsi="Arial"/>
      <w:sz w:val="24"/>
      <w:szCs w:val="20"/>
    </w:rPr>
  </w:style>
  <w:style w:type="paragraph" w:styleId="25">
    <w:name w:val="List Bullet 2"/>
    <w:basedOn w:val="1"/>
    <w:qFormat/>
    <w:uiPriority w:val="0"/>
    <w:rPr>
      <w:rFonts w:ascii="Times New Roman" w:hAnsi="Times New Roman"/>
      <w:szCs w:val="20"/>
    </w:rPr>
  </w:style>
  <w:style w:type="paragraph" w:styleId="26">
    <w:name w:val="toc 5"/>
    <w:basedOn w:val="1"/>
    <w:next w:val="1"/>
    <w:qFormat/>
    <w:uiPriority w:val="0"/>
    <w:pPr>
      <w:ind w:left="840"/>
      <w:jc w:val="left"/>
    </w:pPr>
    <w:rPr>
      <w:rFonts w:ascii="Times New Roman" w:hAnsi="Times New Roman"/>
      <w:sz w:val="18"/>
      <w:szCs w:val="18"/>
    </w:rPr>
  </w:style>
  <w:style w:type="paragraph" w:styleId="27">
    <w:name w:val="toc 3"/>
    <w:basedOn w:val="1"/>
    <w:next w:val="1"/>
    <w:qFormat/>
    <w:uiPriority w:val="0"/>
    <w:pPr>
      <w:ind w:left="420"/>
      <w:jc w:val="left"/>
    </w:pPr>
    <w:rPr>
      <w:rFonts w:ascii="Times New Roman" w:hAnsi="Times New Roman"/>
      <w:i/>
      <w:iCs/>
      <w:sz w:val="20"/>
      <w:szCs w:val="20"/>
    </w:rPr>
  </w:style>
  <w:style w:type="paragraph" w:styleId="28">
    <w:name w:val="Plain Text"/>
    <w:basedOn w:val="1"/>
    <w:next w:val="1"/>
    <w:link w:val="88"/>
    <w:qFormat/>
    <w:uiPriority w:val="0"/>
    <w:rPr>
      <w:rFonts w:ascii="宋体" w:hAnsi="Courier New"/>
      <w:kern w:val="0"/>
      <w:sz w:val="20"/>
      <w:szCs w:val="20"/>
    </w:rPr>
  </w:style>
  <w:style w:type="paragraph" w:styleId="29">
    <w:name w:val="toc 8"/>
    <w:basedOn w:val="1"/>
    <w:next w:val="1"/>
    <w:qFormat/>
    <w:uiPriority w:val="0"/>
    <w:pPr>
      <w:ind w:left="1470"/>
      <w:jc w:val="left"/>
    </w:pPr>
    <w:rPr>
      <w:rFonts w:ascii="Times New Roman" w:hAnsi="Times New Roman"/>
      <w:sz w:val="18"/>
      <w:szCs w:val="18"/>
    </w:rPr>
  </w:style>
  <w:style w:type="paragraph" w:styleId="30">
    <w:name w:val="Date"/>
    <w:basedOn w:val="1"/>
    <w:next w:val="1"/>
    <w:link w:val="89"/>
    <w:qFormat/>
    <w:uiPriority w:val="0"/>
    <w:rPr>
      <w:rFonts w:ascii="Times New Roman" w:hAnsi="Times New Roman"/>
      <w:kern w:val="0"/>
      <w:sz w:val="24"/>
      <w:szCs w:val="20"/>
    </w:rPr>
  </w:style>
  <w:style w:type="paragraph" w:styleId="31">
    <w:name w:val="Body Text Indent 2"/>
    <w:basedOn w:val="1"/>
    <w:link w:val="90"/>
    <w:qFormat/>
    <w:uiPriority w:val="0"/>
    <w:pPr>
      <w:spacing w:after="120" w:line="480" w:lineRule="auto"/>
      <w:ind w:left="420" w:leftChars="200"/>
    </w:pPr>
    <w:rPr>
      <w:rFonts w:ascii="Times New Roman" w:hAnsi="Times New Roman"/>
      <w:kern w:val="0"/>
      <w:sz w:val="20"/>
      <w:szCs w:val="24"/>
    </w:rPr>
  </w:style>
  <w:style w:type="paragraph" w:styleId="32">
    <w:name w:val="endnote text"/>
    <w:basedOn w:val="1"/>
    <w:link w:val="91"/>
    <w:qFormat/>
    <w:uiPriority w:val="0"/>
    <w:pPr>
      <w:snapToGrid w:val="0"/>
      <w:jc w:val="left"/>
    </w:pPr>
    <w:rPr>
      <w:rFonts w:ascii="Times New Roman" w:hAnsi="Times New Roman"/>
      <w:kern w:val="0"/>
      <w:sz w:val="20"/>
      <w:szCs w:val="20"/>
    </w:rPr>
  </w:style>
  <w:style w:type="paragraph" w:styleId="33">
    <w:name w:val="Balloon Text"/>
    <w:basedOn w:val="1"/>
    <w:link w:val="92"/>
    <w:qFormat/>
    <w:uiPriority w:val="0"/>
    <w:rPr>
      <w:rFonts w:ascii="Times New Roman" w:hAnsi="Times New Roman"/>
      <w:kern w:val="0"/>
      <w:sz w:val="18"/>
      <w:szCs w:val="18"/>
    </w:rPr>
  </w:style>
  <w:style w:type="paragraph" w:styleId="34">
    <w:name w:val="footer"/>
    <w:basedOn w:val="1"/>
    <w:link w:val="93"/>
    <w:qFormat/>
    <w:uiPriority w:val="0"/>
    <w:pPr>
      <w:tabs>
        <w:tab w:val="center" w:pos="4153"/>
        <w:tab w:val="right" w:pos="8306"/>
      </w:tabs>
      <w:snapToGrid w:val="0"/>
      <w:jc w:val="left"/>
    </w:pPr>
    <w:rPr>
      <w:kern w:val="0"/>
      <w:sz w:val="18"/>
      <w:szCs w:val="18"/>
    </w:rPr>
  </w:style>
  <w:style w:type="paragraph" w:styleId="35">
    <w:name w:val="header"/>
    <w:basedOn w:val="1"/>
    <w:link w:val="94"/>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95"/>
    <w:qFormat/>
    <w:uiPriority w:val="0"/>
    <w:pPr>
      <w:ind w:left="4320"/>
    </w:pPr>
    <w:rPr>
      <w:rFonts w:eastAsia="楷体_GB2312"/>
      <w:szCs w:val="20"/>
    </w:rPr>
  </w:style>
  <w:style w:type="paragraph" w:styleId="37">
    <w:name w:val="toc 1"/>
    <w:basedOn w:val="1"/>
    <w:next w:val="1"/>
    <w:qFormat/>
    <w:uiPriority w:val="39"/>
    <w:pPr>
      <w:spacing w:before="120" w:after="120"/>
      <w:jc w:val="left"/>
    </w:pPr>
    <w:rPr>
      <w:rFonts w:ascii="Times New Roman" w:hAnsi="Times New Roman"/>
      <w:b/>
      <w:bCs/>
      <w:caps/>
      <w:sz w:val="20"/>
      <w:szCs w:val="20"/>
    </w:rPr>
  </w:style>
  <w:style w:type="paragraph" w:styleId="38">
    <w:name w:val="toc 4"/>
    <w:basedOn w:val="1"/>
    <w:next w:val="1"/>
    <w:qFormat/>
    <w:uiPriority w:val="0"/>
    <w:pPr>
      <w:ind w:left="630"/>
      <w:jc w:val="left"/>
    </w:pPr>
    <w:rPr>
      <w:rFonts w:ascii="Times New Roman" w:hAnsi="Times New Roman"/>
      <w:sz w:val="18"/>
      <w:szCs w:val="18"/>
    </w:rPr>
  </w:style>
  <w:style w:type="paragraph" w:styleId="39">
    <w:name w:val="index heading"/>
    <w:basedOn w:val="1"/>
    <w:next w:val="40"/>
    <w:qFormat/>
    <w:uiPriority w:val="0"/>
    <w:rPr>
      <w:rFonts w:ascii="Times New Roman" w:hAnsi="Times New Roman"/>
      <w:szCs w:val="24"/>
    </w:rPr>
  </w:style>
  <w:style w:type="paragraph" w:styleId="40">
    <w:name w:val="index 1"/>
    <w:basedOn w:val="1"/>
    <w:next w:val="1"/>
    <w:unhideWhenUsed/>
    <w:qFormat/>
    <w:uiPriority w:val="0"/>
  </w:style>
  <w:style w:type="paragraph" w:styleId="41">
    <w:name w:val="Subtitle"/>
    <w:basedOn w:val="1"/>
    <w:next w:val="1"/>
    <w:link w:val="96"/>
    <w:qFormat/>
    <w:uiPriority w:val="0"/>
    <w:rPr>
      <w:rFonts w:ascii="Cambria" w:hAnsi="Cambria"/>
      <w:i/>
      <w:color w:val="4F81BD"/>
      <w:spacing w:val="15"/>
      <w:sz w:val="24"/>
      <w:szCs w:val="20"/>
    </w:rPr>
  </w:style>
  <w:style w:type="paragraph" w:styleId="42">
    <w:name w:val="List"/>
    <w:basedOn w:val="1"/>
    <w:qFormat/>
    <w:uiPriority w:val="0"/>
    <w:pPr>
      <w:ind w:left="420" w:hanging="420"/>
    </w:pPr>
    <w:rPr>
      <w:rFonts w:ascii="Times New Roman" w:hAnsi="Times New Roman"/>
      <w:szCs w:val="20"/>
    </w:rPr>
  </w:style>
  <w:style w:type="paragraph" w:styleId="43">
    <w:name w:val="footnote text"/>
    <w:basedOn w:val="1"/>
    <w:link w:val="97"/>
    <w:qFormat/>
    <w:uiPriority w:val="0"/>
    <w:pPr>
      <w:snapToGrid w:val="0"/>
    </w:pPr>
    <w:rPr>
      <w:sz w:val="18"/>
      <w:szCs w:val="20"/>
    </w:rPr>
  </w:style>
  <w:style w:type="paragraph" w:styleId="44">
    <w:name w:val="toc 6"/>
    <w:basedOn w:val="1"/>
    <w:next w:val="1"/>
    <w:qFormat/>
    <w:uiPriority w:val="0"/>
    <w:pPr>
      <w:ind w:left="1050"/>
      <w:jc w:val="left"/>
    </w:pPr>
    <w:rPr>
      <w:rFonts w:ascii="Times New Roman" w:hAnsi="Times New Roman"/>
      <w:sz w:val="18"/>
      <w:szCs w:val="18"/>
    </w:rPr>
  </w:style>
  <w:style w:type="paragraph" w:styleId="45">
    <w:name w:val="Body Text Indent 3"/>
    <w:basedOn w:val="1"/>
    <w:link w:val="98"/>
    <w:qFormat/>
    <w:uiPriority w:val="0"/>
    <w:pPr>
      <w:spacing w:after="120"/>
      <w:ind w:left="420" w:leftChars="200"/>
    </w:pPr>
    <w:rPr>
      <w:rFonts w:ascii="Times New Roman" w:hAnsi="Times New Roman"/>
      <w:kern w:val="0"/>
      <w:sz w:val="16"/>
      <w:szCs w:val="16"/>
    </w:rPr>
  </w:style>
  <w:style w:type="paragraph" w:styleId="46">
    <w:name w:val="toc 2"/>
    <w:basedOn w:val="1"/>
    <w:next w:val="1"/>
    <w:qFormat/>
    <w:uiPriority w:val="39"/>
    <w:pPr>
      <w:ind w:left="210"/>
      <w:jc w:val="left"/>
    </w:pPr>
    <w:rPr>
      <w:rFonts w:ascii="Times New Roman" w:hAnsi="Times New Roman"/>
      <w:smallCaps/>
      <w:sz w:val="20"/>
      <w:szCs w:val="20"/>
    </w:rPr>
  </w:style>
  <w:style w:type="paragraph" w:styleId="47">
    <w:name w:val="toc 9"/>
    <w:basedOn w:val="1"/>
    <w:next w:val="1"/>
    <w:qFormat/>
    <w:uiPriority w:val="0"/>
    <w:pPr>
      <w:ind w:left="1680"/>
      <w:jc w:val="left"/>
    </w:pPr>
    <w:rPr>
      <w:rFonts w:ascii="Times New Roman" w:hAnsi="Times New Roman"/>
      <w:sz w:val="18"/>
      <w:szCs w:val="18"/>
    </w:rPr>
  </w:style>
  <w:style w:type="paragraph" w:styleId="48">
    <w:name w:val="Body Text 2"/>
    <w:basedOn w:val="1"/>
    <w:link w:val="99"/>
    <w:qFormat/>
    <w:uiPriority w:val="0"/>
    <w:pPr>
      <w:spacing w:after="120" w:line="480" w:lineRule="auto"/>
    </w:pPr>
    <w:rPr>
      <w:rFonts w:ascii="Times New Roman" w:hAnsi="Times New Roman"/>
      <w:kern w:val="0"/>
      <w:sz w:val="20"/>
      <w:szCs w:val="24"/>
    </w:rPr>
  </w:style>
  <w:style w:type="paragraph" w:styleId="49">
    <w:name w:val="HTML Preformatted"/>
    <w:basedOn w:val="1"/>
    <w:link w:val="100"/>
    <w:qFormat/>
    <w:uiPriority w:val="0"/>
    <w:rPr>
      <w:rFonts w:ascii="Courier New" w:hAnsi="Courier New"/>
      <w:kern w:val="0"/>
      <w:sz w:val="20"/>
      <w:szCs w:val="20"/>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Title"/>
    <w:basedOn w:val="1"/>
    <w:link w:val="10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2">
    <w:name w:val="annotation subject"/>
    <w:basedOn w:val="19"/>
    <w:next w:val="19"/>
    <w:link w:val="102"/>
    <w:qFormat/>
    <w:uiPriority w:val="0"/>
    <w:pPr>
      <w:jc w:val="both"/>
    </w:pPr>
    <w:rPr>
      <w:b/>
      <w:bCs/>
    </w:rPr>
  </w:style>
  <w:style w:type="paragraph" w:styleId="53">
    <w:name w:val="Body Text First Indent"/>
    <w:basedOn w:val="2"/>
    <w:link w:val="103"/>
    <w:qFormat/>
    <w:uiPriority w:val="0"/>
    <w:pPr>
      <w:spacing w:line="312" w:lineRule="auto"/>
      <w:ind w:firstLine="420"/>
    </w:pPr>
    <w:rPr>
      <w:kern w:val="0"/>
      <w:sz w:val="20"/>
      <w:szCs w:val="24"/>
    </w:rPr>
  </w:style>
  <w:style w:type="paragraph" w:styleId="54">
    <w:name w:val="Body Text First Indent 2"/>
    <w:basedOn w:val="22"/>
    <w:link w:val="105"/>
    <w:qFormat/>
    <w:uiPriority w:val="0"/>
    <w:pPr>
      <w:ind w:firstLine="420" w:firstLineChars="200"/>
    </w:pPr>
    <w:rPr>
      <w:kern w:val="2"/>
      <w:sz w:val="21"/>
    </w:rPr>
  </w:style>
  <w:style w:type="table" w:styleId="56">
    <w:name w:val="Table Grid"/>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endnote reference"/>
    <w:qFormat/>
    <w:uiPriority w:val="0"/>
    <w:rPr>
      <w:vertAlign w:val="superscript"/>
    </w:rPr>
  </w:style>
  <w:style w:type="character" w:styleId="60">
    <w:name w:val="page number"/>
    <w:basedOn w:val="57"/>
    <w:qFormat/>
    <w:uiPriority w:val="0"/>
  </w:style>
  <w:style w:type="character" w:styleId="61">
    <w:name w:val="FollowedHyperlink"/>
    <w:qFormat/>
    <w:uiPriority w:val="99"/>
    <w:rPr>
      <w:color w:val="6D6D6D"/>
      <w:u w:val="single"/>
    </w:rPr>
  </w:style>
  <w:style w:type="character" w:styleId="62">
    <w:name w:val="Emphasis"/>
    <w:qFormat/>
    <w:uiPriority w:val="0"/>
    <w:rPr>
      <w:rFonts w:eastAsia="宋体"/>
      <w:color w:val="CC0000"/>
      <w:kern w:val="2"/>
      <w:sz w:val="24"/>
      <w:szCs w:val="24"/>
      <w:lang w:val="en-US" w:eastAsia="zh-CN" w:bidi="ar-SA"/>
    </w:rPr>
  </w:style>
  <w:style w:type="character" w:styleId="63">
    <w:name w:val="HTML Definition"/>
    <w:basedOn w:val="57"/>
    <w:unhideWhenUsed/>
    <w:qFormat/>
    <w:uiPriority w:val="99"/>
  </w:style>
  <w:style w:type="character" w:styleId="64">
    <w:name w:val="HTML Variable"/>
    <w:basedOn w:val="57"/>
    <w:semiHidden/>
    <w:unhideWhenUsed/>
    <w:qFormat/>
    <w:uiPriority w:val="99"/>
  </w:style>
  <w:style w:type="character" w:styleId="65">
    <w:name w:val="Hyperlink"/>
    <w:qFormat/>
    <w:uiPriority w:val="0"/>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HTML Cite"/>
    <w:basedOn w:val="57"/>
    <w:semiHidden/>
    <w:unhideWhenUsed/>
    <w:qFormat/>
    <w:uiPriority w:val="99"/>
  </w:style>
  <w:style w:type="character" w:styleId="69">
    <w:name w:val="footnote reference"/>
    <w:qFormat/>
    <w:uiPriority w:val="0"/>
    <w:rPr>
      <w:vertAlign w:val="superscript"/>
    </w:rPr>
  </w:style>
  <w:style w:type="character" w:styleId="70">
    <w:name w:val="HTML Keyboard"/>
    <w:unhideWhenUsed/>
    <w:qFormat/>
    <w:uiPriority w:val="99"/>
    <w:rPr>
      <w:rFonts w:ascii="Menlo" w:hAnsi="Menlo" w:eastAsia="Menlo" w:cs="Menlo"/>
      <w:color w:val="FFFFFF"/>
      <w:sz w:val="21"/>
      <w:szCs w:val="21"/>
      <w:shd w:val="clear" w:color="auto" w:fill="333333"/>
    </w:rPr>
  </w:style>
  <w:style w:type="character" w:styleId="71">
    <w:name w:val="HTML Sample"/>
    <w:unhideWhenUsed/>
    <w:qFormat/>
    <w:uiPriority w:val="99"/>
    <w:rPr>
      <w:rFonts w:hint="default" w:ascii="Menlo" w:hAnsi="Menlo" w:eastAsia="Menlo" w:cs="Menlo"/>
      <w:sz w:val="21"/>
      <w:szCs w:val="21"/>
    </w:rPr>
  </w:style>
  <w:style w:type="character" w:customStyle="1" w:styleId="72">
    <w:name w:val="标题 1 Char2"/>
    <w:link w:val="4"/>
    <w:qFormat/>
    <w:uiPriority w:val="0"/>
    <w:rPr>
      <w:rFonts w:ascii="Times New Roman" w:hAnsi="Times New Roman"/>
      <w:b/>
      <w:bCs/>
      <w:kern w:val="44"/>
      <w:sz w:val="44"/>
      <w:szCs w:val="44"/>
    </w:rPr>
  </w:style>
  <w:style w:type="character" w:customStyle="1" w:styleId="73">
    <w:name w:val="宏文本 Char"/>
    <w:link w:val="3"/>
    <w:qFormat/>
    <w:uiPriority w:val="0"/>
    <w:rPr>
      <w:rFonts w:ascii="Courier New" w:hAnsi="Courier New"/>
      <w:kern w:val="2"/>
      <w:sz w:val="24"/>
      <w:lang w:val="en-US" w:eastAsia="zh-CN" w:bidi="ar-SA"/>
    </w:rPr>
  </w:style>
  <w:style w:type="character" w:customStyle="1" w:styleId="74">
    <w:name w:val="标题 2 Char2"/>
    <w:link w:val="5"/>
    <w:qFormat/>
    <w:uiPriority w:val="0"/>
    <w:rPr>
      <w:rFonts w:ascii="Arial" w:hAnsi="Arial" w:eastAsia="黑体"/>
      <w:b/>
      <w:bCs/>
      <w:sz w:val="32"/>
      <w:szCs w:val="32"/>
    </w:rPr>
  </w:style>
  <w:style w:type="character" w:customStyle="1" w:styleId="75">
    <w:name w:val="标题 3 Char1"/>
    <w:link w:val="6"/>
    <w:qFormat/>
    <w:uiPriority w:val="0"/>
    <w:rPr>
      <w:rFonts w:ascii="黑体" w:hAnsi="宋体" w:eastAsia="黑体"/>
      <w:bCs/>
      <w:sz w:val="28"/>
      <w:szCs w:val="28"/>
    </w:rPr>
  </w:style>
  <w:style w:type="character" w:customStyle="1" w:styleId="76">
    <w:name w:val="标题 4 Char1"/>
    <w:link w:val="7"/>
    <w:qFormat/>
    <w:uiPriority w:val="0"/>
    <w:rPr>
      <w:rFonts w:ascii="Arial" w:hAnsi="Arial" w:eastAsia="黑体"/>
      <w:b/>
      <w:bCs/>
      <w:sz w:val="28"/>
      <w:szCs w:val="28"/>
    </w:rPr>
  </w:style>
  <w:style w:type="character" w:customStyle="1" w:styleId="77">
    <w:name w:val="标题 5 Char1"/>
    <w:link w:val="8"/>
    <w:qFormat/>
    <w:uiPriority w:val="0"/>
    <w:rPr>
      <w:rFonts w:ascii="Arial" w:hAnsi="Arial"/>
      <w:b/>
      <w:bCs/>
      <w:color w:val="000000"/>
      <w:sz w:val="24"/>
      <w:szCs w:val="24"/>
    </w:rPr>
  </w:style>
  <w:style w:type="character" w:customStyle="1" w:styleId="78">
    <w:name w:val="正文缩进 Char1"/>
    <w:link w:val="9"/>
    <w:qFormat/>
    <w:uiPriority w:val="0"/>
    <w:rPr>
      <w:rFonts w:ascii="Times New Roman" w:hAnsi="Times New Roman"/>
      <w:kern w:val="2"/>
      <w:sz w:val="21"/>
      <w:szCs w:val="24"/>
    </w:rPr>
  </w:style>
  <w:style w:type="character" w:customStyle="1" w:styleId="79">
    <w:name w:val="标题 6 Char1"/>
    <w:link w:val="10"/>
    <w:qFormat/>
    <w:uiPriority w:val="0"/>
    <w:rPr>
      <w:rFonts w:ascii="Arial" w:hAnsi="Arial" w:eastAsia="黑体"/>
      <w:b/>
      <w:bCs/>
      <w:sz w:val="24"/>
      <w:szCs w:val="24"/>
    </w:rPr>
  </w:style>
  <w:style w:type="character" w:customStyle="1" w:styleId="80">
    <w:name w:val="标题 7 Char1"/>
    <w:link w:val="11"/>
    <w:qFormat/>
    <w:uiPriority w:val="0"/>
    <w:rPr>
      <w:rFonts w:ascii="Times New Roman" w:hAnsi="Times New Roman"/>
      <w:b/>
      <w:bCs/>
      <w:sz w:val="24"/>
      <w:szCs w:val="24"/>
    </w:rPr>
  </w:style>
  <w:style w:type="character" w:customStyle="1" w:styleId="81">
    <w:name w:val="标题 8 Char1"/>
    <w:link w:val="12"/>
    <w:qFormat/>
    <w:uiPriority w:val="0"/>
    <w:rPr>
      <w:rFonts w:ascii="Arial" w:hAnsi="Arial" w:eastAsia="黑体"/>
      <w:sz w:val="24"/>
      <w:szCs w:val="24"/>
    </w:rPr>
  </w:style>
  <w:style w:type="character" w:customStyle="1" w:styleId="82">
    <w:name w:val="标题 9 Char1"/>
    <w:link w:val="13"/>
    <w:qFormat/>
    <w:uiPriority w:val="0"/>
    <w:rPr>
      <w:rFonts w:ascii="Arial" w:hAnsi="Arial" w:eastAsia="黑体"/>
      <w:szCs w:val="21"/>
    </w:rPr>
  </w:style>
  <w:style w:type="character" w:customStyle="1" w:styleId="83">
    <w:name w:val="文档结构图 Char3"/>
    <w:link w:val="17"/>
    <w:qFormat/>
    <w:uiPriority w:val="0"/>
    <w:rPr>
      <w:szCs w:val="24"/>
      <w:shd w:val="clear" w:color="auto" w:fill="000080"/>
    </w:rPr>
  </w:style>
  <w:style w:type="character" w:customStyle="1" w:styleId="84">
    <w:name w:val="批注文字 Char2"/>
    <w:link w:val="19"/>
    <w:qFormat/>
    <w:uiPriority w:val="0"/>
    <w:rPr>
      <w:rFonts w:ascii="Times New Roman" w:hAnsi="Times New Roman"/>
      <w:szCs w:val="24"/>
    </w:rPr>
  </w:style>
  <w:style w:type="character" w:customStyle="1" w:styleId="85">
    <w:name w:val="正文文本 3 Char2"/>
    <w:link w:val="20"/>
    <w:qFormat/>
    <w:uiPriority w:val="0"/>
    <w:rPr>
      <w:rFonts w:ascii="宋体" w:hAnsi="Times New Roman"/>
      <w:sz w:val="24"/>
    </w:rPr>
  </w:style>
  <w:style w:type="character" w:customStyle="1" w:styleId="86">
    <w:name w:val="正文文本 Char1"/>
    <w:link w:val="2"/>
    <w:qFormat/>
    <w:uiPriority w:val="99"/>
    <w:rPr>
      <w:kern w:val="2"/>
      <w:sz w:val="21"/>
      <w:szCs w:val="22"/>
    </w:rPr>
  </w:style>
  <w:style w:type="character" w:customStyle="1" w:styleId="87">
    <w:name w:val="正文文本缩进 Char2"/>
    <w:link w:val="22"/>
    <w:qFormat/>
    <w:uiPriority w:val="0"/>
    <w:rPr>
      <w:rFonts w:ascii="Times New Roman" w:hAnsi="Times New Roman"/>
      <w:szCs w:val="24"/>
    </w:rPr>
  </w:style>
  <w:style w:type="character" w:customStyle="1" w:styleId="88">
    <w:name w:val="纯文本 Char3"/>
    <w:link w:val="28"/>
    <w:qFormat/>
    <w:uiPriority w:val="0"/>
    <w:rPr>
      <w:rFonts w:ascii="宋体" w:hAnsi="Courier New"/>
    </w:rPr>
  </w:style>
  <w:style w:type="character" w:customStyle="1" w:styleId="89">
    <w:name w:val="日期 Char2"/>
    <w:link w:val="30"/>
    <w:qFormat/>
    <w:uiPriority w:val="0"/>
    <w:rPr>
      <w:rFonts w:ascii="Times New Roman" w:hAnsi="Times New Roman"/>
      <w:sz w:val="24"/>
    </w:rPr>
  </w:style>
  <w:style w:type="character" w:customStyle="1" w:styleId="90">
    <w:name w:val="正文文本缩进 2 Char2"/>
    <w:link w:val="31"/>
    <w:qFormat/>
    <w:uiPriority w:val="0"/>
    <w:rPr>
      <w:rFonts w:ascii="Times New Roman" w:hAnsi="Times New Roman"/>
      <w:szCs w:val="24"/>
    </w:rPr>
  </w:style>
  <w:style w:type="character" w:customStyle="1" w:styleId="91">
    <w:name w:val="尾注文本 Char2"/>
    <w:link w:val="32"/>
    <w:qFormat/>
    <w:uiPriority w:val="0"/>
    <w:rPr>
      <w:rFonts w:ascii="Times New Roman" w:hAnsi="Times New Roman"/>
    </w:rPr>
  </w:style>
  <w:style w:type="character" w:customStyle="1" w:styleId="92">
    <w:name w:val="批注框文本 Char2"/>
    <w:link w:val="33"/>
    <w:qFormat/>
    <w:uiPriority w:val="0"/>
    <w:rPr>
      <w:rFonts w:ascii="Times New Roman" w:hAnsi="Times New Roman"/>
      <w:sz w:val="18"/>
      <w:szCs w:val="18"/>
    </w:rPr>
  </w:style>
  <w:style w:type="character" w:customStyle="1" w:styleId="93">
    <w:name w:val="页脚 Char2"/>
    <w:link w:val="34"/>
    <w:qFormat/>
    <w:uiPriority w:val="0"/>
    <w:rPr>
      <w:sz w:val="18"/>
      <w:szCs w:val="18"/>
    </w:rPr>
  </w:style>
  <w:style w:type="character" w:customStyle="1" w:styleId="94">
    <w:name w:val="页眉 Char2"/>
    <w:link w:val="35"/>
    <w:qFormat/>
    <w:uiPriority w:val="0"/>
    <w:rPr>
      <w:sz w:val="18"/>
      <w:szCs w:val="18"/>
    </w:rPr>
  </w:style>
  <w:style w:type="character" w:customStyle="1" w:styleId="95">
    <w:name w:val="签名 Char"/>
    <w:link w:val="36"/>
    <w:qFormat/>
    <w:uiPriority w:val="0"/>
    <w:rPr>
      <w:rFonts w:eastAsia="楷体_GB2312"/>
      <w:kern w:val="2"/>
      <w:sz w:val="21"/>
    </w:rPr>
  </w:style>
  <w:style w:type="character" w:customStyle="1" w:styleId="96">
    <w:name w:val="副标题 Char"/>
    <w:link w:val="41"/>
    <w:qFormat/>
    <w:uiPriority w:val="0"/>
    <w:rPr>
      <w:rFonts w:ascii="Cambria" w:hAnsi="Cambria"/>
      <w:i/>
      <w:color w:val="4F81BD"/>
      <w:spacing w:val="15"/>
      <w:kern w:val="2"/>
      <w:sz w:val="24"/>
    </w:rPr>
  </w:style>
  <w:style w:type="character" w:customStyle="1" w:styleId="97">
    <w:name w:val="脚注文本 Char"/>
    <w:link w:val="43"/>
    <w:qFormat/>
    <w:uiPriority w:val="0"/>
    <w:rPr>
      <w:kern w:val="2"/>
      <w:sz w:val="18"/>
    </w:rPr>
  </w:style>
  <w:style w:type="character" w:customStyle="1" w:styleId="98">
    <w:name w:val="正文文本缩进 3 Char2"/>
    <w:link w:val="45"/>
    <w:qFormat/>
    <w:uiPriority w:val="0"/>
    <w:rPr>
      <w:rFonts w:ascii="Times New Roman" w:hAnsi="Times New Roman"/>
      <w:sz w:val="16"/>
      <w:szCs w:val="16"/>
    </w:rPr>
  </w:style>
  <w:style w:type="character" w:customStyle="1" w:styleId="99">
    <w:name w:val="正文文本 2 Char2"/>
    <w:link w:val="48"/>
    <w:qFormat/>
    <w:uiPriority w:val="0"/>
    <w:rPr>
      <w:rFonts w:ascii="Times New Roman" w:hAnsi="Times New Roman"/>
      <w:szCs w:val="24"/>
    </w:rPr>
  </w:style>
  <w:style w:type="character" w:customStyle="1" w:styleId="100">
    <w:name w:val="HTML 预设格式 Char2"/>
    <w:link w:val="49"/>
    <w:qFormat/>
    <w:uiPriority w:val="0"/>
    <w:rPr>
      <w:rFonts w:ascii="Courier New" w:hAnsi="Courier New" w:cs="Courier New"/>
    </w:rPr>
  </w:style>
  <w:style w:type="character" w:customStyle="1" w:styleId="101">
    <w:name w:val="标题 Char2"/>
    <w:link w:val="51"/>
    <w:qFormat/>
    <w:uiPriority w:val="0"/>
    <w:rPr>
      <w:rFonts w:ascii="Arial" w:hAnsi="Arial"/>
      <w:b/>
      <w:sz w:val="32"/>
    </w:rPr>
  </w:style>
  <w:style w:type="character" w:customStyle="1" w:styleId="102">
    <w:name w:val="批注主题 Char3"/>
    <w:link w:val="52"/>
    <w:qFormat/>
    <w:uiPriority w:val="0"/>
    <w:rPr>
      <w:b/>
      <w:bCs/>
      <w:szCs w:val="24"/>
    </w:rPr>
  </w:style>
  <w:style w:type="character" w:customStyle="1" w:styleId="103">
    <w:name w:val="正文首行缩进 Char3"/>
    <w:basedOn w:val="104"/>
    <w:link w:val="53"/>
    <w:qFormat/>
    <w:uiPriority w:val="0"/>
    <w:rPr>
      <w:rFonts w:eastAsia="宋体"/>
      <w:szCs w:val="24"/>
    </w:rPr>
  </w:style>
  <w:style w:type="character" w:customStyle="1" w:styleId="104">
    <w:name w:val="正文文本 Char"/>
    <w:qFormat/>
    <w:uiPriority w:val="0"/>
    <w:rPr>
      <w:rFonts w:eastAsia="宋体"/>
      <w:szCs w:val="24"/>
    </w:rPr>
  </w:style>
  <w:style w:type="character" w:customStyle="1" w:styleId="105">
    <w:name w:val="正文首行缩进 2 Char"/>
    <w:link w:val="54"/>
    <w:qFormat/>
    <w:uiPriority w:val="0"/>
    <w:rPr>
      <w:rFonts w:ascii="Times New Roman" w:hAnsi="Times New Roman"/>
      <w:kern w:val="2"/>
      <w:sz w:val="21"/>
      <w:szCs w:val="24"/>
    </w:rPr>
  </w:style>
  <w:style w:type="character" w:customStyle="1" w:styleId="106">
    <w:name w:val="正文文本 Char4"/>
    <w:semiHidden/>
    <w:qFormat/>
    <w:uiPriority w:val="99"/>
  </w:style>
  <w:style w:type="character" w:customStyle="1" w:styleId="107">
    <w:name w:val="（1） Char"/>
    <w:qFormat/>
    <w:uiPriority w:val="0"/>
    <w:rPr>
      <w:rFonts w:ascii="Cambria" w:hAnsi="Cambria" w:eastAsia="宋体"/>
      <w:i/>
      <w:color w:val="404040"/>
      <w:kern w:val="0"/>
      <w:sz w:val="22"/>
      <w:lang w:eastAsia="en-US"/>
    </w:rPr>
  </w:style>
  <w:style w:type="character" w:customStyle="1" w:styleId="108">
    <w:name w:val="标题 #4 (2)_"/>
    <w:link w:val="109"/>
    <w:qFormat/>
    <w:uiPriority w:val="0"/>
    <w:rPr>
      <w:rFonts w:ascii="宋体" w:hAnsi="宋体"/>
      <w:shd w:val="clear" w:color="auto" w:fill="FFFFFF"/>
    </w:rPr>
  </w:style>
  <w:style w:type="paragraph" w:customStyle="1" w:styleId="109">
    <w:name w:val="标题 #4 (2)"/>
    <w:basedOn w:val="1"/>
    <w:link w:val="108"/>
    <w:qFormat/>
    <w:uiPriority w:val="0"/>
    <w:pPr>
      <w:shd w:val="clear" w:color="auto" w:fill="FFFFFF"/>
      <w:spacing w:line="466" w:lineRule="exact"/>
      <w:ind w:hanging="420"/>
      <w:jc w:val="distribute"/>
      <w:outlineLvl w:val="3"/>
    </w:pPr>
    <w:rPr>
      <w:rFonts w:ascii="宋体" w:hAnsi="宋体"/>
      <w:kern w:val="0"/>
      <w:sz w:val="20"/>
      <w:szCs w:val="20"/>
      <w:shd w:val="clear" w:color="auto" w:fill="FFFFFF"/>
    </w:rPr>
  </w:style>
  <w:style w:type="character" w:customStyle="1" w:styleId="110">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11">
    <w:name w:val="表格 Char"/>
    <w:link w:val="112"/>
    <w:qFormat/>
    <w:uiPriority w:val="0"/>
    <w:rPr>
      <w:rFonts w:ascii="华文细黑" w:hAnsi="华文细黑"/>
      <w:sz w:val="21"/>
    </w:rPr>
  </w:style>
  <w:style w:type="paragraph" w:customStyle="1" w:styleId="112">
    <w:name w:val="表格"/>
    <w:basedOn w:val="1"/>
    <w:link w:val="111"/>
    <w:qFormat/>
    <w:uiPriority w:val="0"/>
    <w:pPr>
      <w:jc w:val="center"/>
      <w:textAlignment w:val="center"/>
    </w:pPr>
    <w:rPr>
      <w:rFonts w:ascii="华文细黑" w:hAnsi="华文细黑"/>
      <w:kern w:val="0"/>
      <w:szCs w:val="20"/>
    </w:rPr>
  </w:style>
  <w:style w:type="character" w:customStyle="1" w:styleId="113">
    <w:name w:val="新条文 Char Char"/>
    <w:link w:val="114"/>
    <w:qFormat/>
    <w:uiPriority w:val="0"/>
    <w:rPr>
      <w:rFonts w:eastAsia="Times New Roman"/>
      <w:kern w:val="2"/>
      <w:sz w:val="24"/>
      <w:szCs w:val="22"/>
      <w:lang w:val="en-US" w:eastAsia="zh-CN" w:bidi="ar-SA"/>
    </w:rPr>
  </w:style>
  <w:style w:type="paragraph" w:customStyle="1" w:styleId="114">
    <w:name w:val="新条文"/>
    <w:link w:val="113"/>
    <w:qFormat/>
    <w:uiPriority w:val="0"/>
    <w:pPr>
      <w:tabs>
        <w:tab w:val="left" w:pos="432"/>
        <w:tab w:val="left" w:pos="735"/>
      </w:tabs>
      <w:spacing w:line="400" w:lineRule="atLeast"/>
      <w:ind w:left="735" w:hanging="735"/>
    </w:pPr>
    <w:rPr>
      <w:rFonts w:ascii="Calibri" w:hAnsi="Calibri" w:eastAsia="Times New Roman" w:cs="Times New Roman"/>
      <w:kern w:val="2"/>
      <w:sz w:val="24"/>
      <w:szCs w:val="22"/>
      <w:lang w:val="en-US" w:eastAsia="zh-CN" w:bidi="ar-SA"/>
    </w:rPr>
  </w:style>
  <w:style w:type="character" w:customStyle="1" w:styleId="115">
    <w:name w:val="文档结构图 Char5"/>
    <w:semiHidden/>
    <w:qFormat/>
    <w:uiPriority w:val="99"/>
    <w:rPr>
      <w:rFonts w:ascii="宋体" w:eastAsia="宋体"/>
      <w:sz w:val="18"/>
      <w:szCs w:val="18"/>
    </w:rPr>
  </w:style>
  <w:style w:type="character" w:customStyle="1" w:styleId="116">
    <w:name w:val="批注文字 Char Char"/>
    <w:qFormat/>
    <w:uiPriority w:val="0"/>
    <w:rPr>
      <w:rFonts w:eastAsia="宋体"/>
      <w:szCs w:val="24"/>
      <w:lang w:bidi="ar-SA"/>
    </w:rPr>
  </w:style>
  <w:style w:type="character" w:customStyle="1" w:styleId="117">
    <w:name w:val="页脚 Char3"/>
    <w:semiHidden/>
    <w:qFormat/>
    <w:uiPriority w:val="99"/>
    <w:rPr>
      <w:sz w:val="18"/>
      <w:szCs w:val="18"/>
    </w:rPr>
  </w:style>
  <w:style w:type="character" w:customStyle="1" w:styleId="118">
    <w:name w:val="明显强调11"/>
    <w:qFormat/>
    <w:uiPriority w:val="0"/>
    <w:rPr>
      <w:b/>
      <w:i/>
      <w:color w:val="4F81BD"/>
    </w:rPr>
  </w:style>
  <w:style w:type="character" w:customStyle="1" w:styleId="119">
    <w:name w:val="titleblack14px1"/>
    <w:qFormat/>
    <w:uiPriority w:val="0"/>
    <w:rPr>
      <w:b/>
      <w:color w:val="000000"/>
      <w:sz w:val="21"/>
    </w:rPr>
  </w:style>
  <w:style w:type="character" w:customStyle="1" w:styleId="120">
    <w:name w:val="文档结构图 Char4"/>
    <w:semiHidden/>
    <w:qFormat/>
    <w:uiPriority w:val="99"/>
    <w:rPr>
      <w:rFonts w:ascii="宋体" w:eastAsia="宋体"/>
      <w:sz w:val="18"/>
      <w:szCs w:val="18"/>
    </w:rPr>
  </w:style>
  <w:style w:type="character" w:customStyle="1" w:styleId="121">
    <w:name w:val="引用 Char1"/>
    <w:qFormat/>
    <w:uiPriority w:val="29"/>
    <w:rPr>
      <w:i/>
      <w:iCs/>
      <w:color w:val="000000"/>
      <w:kern w:val="2"/>
      <w:sz w:val="21"/>
      <w:szCs w:val="22"/>
    </w:rPr>
  </w:style>
  <w:style w:type="character" w:customStyle="1" w:styleId="122">
    <w:name w:val="样式3 Char Char"/>
    <w:link w:val="123"/>
    <w:qFormat/>
    <w:uiPriority w:val="0"/>
    <w:rPr>
      <w:rFonts w:ascii="宋体" w:hAnsi="宋体"/>
    </w:rPr>
  </w:style>
  <w:style w:type="paragraph" w:customStyle="1" w:styleId="123">
    <w:name w:val="样式3"/>
    <w:basedOn w:val="1"/>
    <w:link w:val="122"/>
    <w:qFormat/>
    <w:uiPriority w:val="0"/>
    <w:pPr>
      <w:ind w:firstLine="420"/>
      <w:jc w:val="left"/>
    </w:pPr>
    <w:rPr>
      <w:rFonts w:ascii="宋体" w:hAnsi="宋体"/>
      <w:kern w:val="0"/>
      <w:sz w:val="20"/>
      <w:szCs w:val="20"/>
    </w:rPr>
  </w:style>
  <w:style w:type="character" w:customStyle="1" w:styleId="124">
    <w:name w:val="style131"/>
    <w:qFormat/>
    <w:uiPriority w:val="0"/>
    <w:rPr>
      <w:rFonts w:hint="eastAsia" w:ascii="宋体" w:hAnsi="宋体" w:eastAsia="宋体"/>
      <w:color w:val="555555"/>
      <w:spacing w:val="360"/>
      <w:sz w:val="18"/>
    </w:rPr>
  </w:style>
  <w:style w:type="character" w:customStyle="1" w:styleId="125">
    <w:name w:val="表正文 Char"/>
    <w:qFormat/>
    <w:locked/>
    <w:uiPriority w:val="0"/>
    <w:rPr>
      <w:rFonts w:eastAsia="宋体"/>
      <w:kern w:val="2"/>
      <w:sz w:val="24"/>
      <w:lang w:val="en-US" w:eastAsia="zh-CN" w:bidi="ar-SA"/>
    </w:rPr>
  </w:style>
  <w:style w:type="character" w:customStyle="1" w:styleId="126">
    <w:name w:val="页眉 Char"/>
    <w:qFormat/>
    <w:uiPriority w:val="99"/>
    <w:rPr>
      <w:kern w:val="2"/>
      <w:sz w:val="18"/>
      <w:szCs w:val="18"/>
    </w:rPr>
  </w:style>
  <w:style w:type="character" w:customStyle="1" w:styleId="127">
    <w:name w:val="批注主题 Char1"/>
    <w:qFormat/>
    <w:uiPriority w:val="0"/>
    <w:rPr>
      <w:rFonts w:ascii="Times New Roman" w:hAnsi="Times New Roman" w:eastAsia="宋体" w:cs="Times New Roman"/>
      <w:b/>
      <w:bCs/>
      <w:szCs w:val="24"/>
    </w:rPr>
  </w:style>
  <w:style w:type="character" w:customStyle="1" w:styleId="128">
    <w:name w:val="分条 Char Char"/>
    <w:link w:val="129"/>
    <w:qFormat/>
    <w:uiPriority w:val="0"/>
    <w:rPr>
      <w:rFonts w:ascii="Times New Roman" w:hAnsi="Times New Roman"/>
      <w:sz w:val="24"/>
    </w:rPr>
  </w:style>
  <w:style w:type="paragraph" w:customStyle="1" w:styleId="129">
    <w:name w:val="分条"/>
    <w:basedOn w:val="1"/>
    <w:link w:val="128"/>
    <w:qFormat/>
    <w:uiPriority w:val="0"/>
    <w:pPr>
      <w:spacing w:line="360" w:lineRule="auto"/>
      <w:ind w:firstLine="200" w:firstLineChars="200"/>
    </w:pPr>
    <w:rPr>
      <w:rFonts w:ascii="Times New Roman" w:hAnsi="Times New Roman"/>
      <w:kern w:val="0"/>
      <w:sz w:val="24"/>
      <w:szCs w:val="20"/>
    </w:rPr>
  </w:style>
  <w:style w:type="character" w:customStyle="1" w:styleId="130">
    <w:name w:val="正文文本_"/>
    <w:link w:val="131"/>
    <w:qFormat/>
    <w:uiPriority w:val="0"/>
    <w:rPr>
      <w:rFonts w:ascii="Arial Unicode MS" w:hAnsi="Arial Unicode MS" w:eastAsia="Arial Unicode MS"/>
      <w:shd w:val="clear" w:color="auto" w:fill="FFFFFF"/>
    </w:rPr>
  </w:style>
  <w:style w:type="paragraph" w:customStyle="1" w:styleId="131">
    <w:name w:val="正文文本9"/>
    <w:basedOn w:val="1"/>
    <w:link w:val="130"/>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shd w:val="clear" w:color="auto" w:fill="FFFFFF"/>
    </w:rPr>
  </w:style>
  <w:style w:type="character" w:customStyle="1" w:styleId="132">
    <w:name w:val="old"/>
    <w:qFormat/>
    <w:uiPriority w:val="0"/>
    <w:rPr>
      <w:color w:val="999999"/>
    </w:rPr>
  </w:style>
  <w:style w:type="character" w:customStyle="1" w:styleId="133">
    <w:name w:val="font161"/>
    <w:qFormat/>
    <w:uiPriority w:val="0"/>
    <w:rPr>
      <w:b/>
      <w:bCs/>
      <w:sz w:val="32"/>
      <w:szCs w:val="32"/>
    </w:rPr>
  </w:style>
  <w:style w:type="character" w:customStyle="1" w:styleId="134">
    <w:name w:val="H6 Char"/>
    <w:qFormat/>
    <w:uiPriority w:val="0"/>
    <w:rPr>
      <w:rFonts w:ascii="Cambria" w:hAnsi="Cambria" w:eastAsia="宋体"/>
      <w:i/>
      <w:color w:val="243F60"/>
      <w:kern w:val="0"/>
      <w:sz w:val="22"/>
      <w:lang w:eastAsia="en-US"/>
    </w:rPr>
  </w:style>
  <w:style w:type="character" w:customStyle="1" w:styleId="135">
    <w:name w:val="正文文本 2 Char4"/>
    <w:semiHidden/>
    <w:qFormat/>
    <w:uiPriority w:val="99"/>
  </w:style>
  <w:style w:type="character" w:customStyle="1" w:styleId="136">
    <w:name w:val="Char Char12"/>
    <w:qFormat/>
    <w:uiPriority w:val="0"/>
    <w:rPr>
      <w:b/>
      <w:kern w:val="44"/>
      <w:sz w:val="44"/>
    </w:rPr>
  </w:style>
  <w:style w:type="character" w:customStyle="1" w:styleId="137">
    <w:name w:val="正文文本缩进 3 Char3"/>
    <w:semiHidden/>
    <w:qFormat/>
    <w:uiPriority w:val="0"/>
    <w:rPr>
      <w:sz w:val="16"/>
      <w:szCs w:val="16"/>
    </w:rPr>
  </w:style>
  <w:style w:type="character" w:customStyle="1" w:styleId="138">
    <w:name w:val="unnamed21"/>
    <w:qFormat/>
    <w:uiPriority w:val="0"/>
    <w:rPr>
      <w:color w:val="CC6633"/>
      <w:u w:val="none"/>
    </w:rPr>
  </w:style>
  <w:style w:type="character" w:customStyle="1" w:styleId="139">
    <w:name w:val="尾注文本 Char3"/>
    <w:semiHidden/>
    <w:qFormat/>
    <w:uiPriority w:val="99"/>
  </w:style>
  <w:style w:type="character" w:customStyle="1" w:styleId="140">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141">
    <w:name w:val="日期 Char"/>
    <w:qFormat/>
    <w:uiPriority w:val="0"/>
    <w:rPr>
      <w:kern w:val="2"/>
      <w:sz w:val="21"/>
      <w:szCs w:val="22"/>
    </w:rPr>
  </w:style>
  <w:style w:type="character" w:customStyle="1" w:styleId="142">
    <w:name w:val="H3 Char"/>
    <w:qFormat/>
    <w:uiPriority w:val="0"/>
    <w:rPr>
      <w:rFonts w:ascii="宋体" w:hAnsi="Arial"/>
      <w:b/>
      <w:kern w:val="2"/>
      <w:sz w:val="28"/>
    </w:rPr>
  </w:style>
  <w:style w:type="character" w:customStyle="1" w:styleId="143">
    <w:name w:val="testimonials-post"/>
    <w:qFormat/>
    <w:uiPriority w:val="0"/>
    <w:rPr>
      <w:color w:val="656565"/>
      <w:sz w:val="18"/>
      <w:szCs w:val="18"/>
    </w:rPr>
  </w:style>
  <w:style w:type="character" w:customStyle="1" w:styleId="144">
    <w:name w:val="apple-style-span"/>
    <w:qFormat/>
    <w:uiPriority w:val="0"/>
    <w:rPr>
      <w:rFonts w:eastAsia="宋体"/>
      <w:kern w:val="2"/>
      <w:sz w:val="24"/>
      <w:szCs w:val="24"/>
      <w:lang w:val="en-US" w:eastAsia="zh-CN" w:bidi="ar-SA"/>
    </w:rPr>
  </w:style>
  <w:style w:type="character" w:customStyle="1" w:styleId="145">
    <w:name w:val="副标题 Char2"/>
    <w:qFormat/>
    <w:uiPriority w:val="11"/>
    <w:rPr>
      <w:rFonts w:ascii="Cambria" w:hAnsi="Cambria" w:eastAsia="宋体" w:cs="Times New Roman"/>
      <w:b/>
      <w:bCs/>
      <w:kern w:val="28"/>
      <w:sz w:val="32"/>
      <w:szCs w:val="32"/>
    </w:rPr>
  </w:style>
  <w:style w:type="character" w:customStyle="1" w:styleId="146">
    <w:name w:val="页脚 Char1"/>
    <w:semiHidden/>
    <w:qFormat/>
    <w:uiPriority w:val="99"/>
    <w:rPr>
      <w:rFonts w:ascii="Times New Roman" w:hAnsi="Times New Roman" w:eastAsia="宋体" w:cs="Times New Roman"/>
      <w:sz w:val="18"/>
      <w:szCs w:val="18"/>
    </w:rPr>
  </w:style>
  <w:style w:type="character" w:customStyle="1" w:styleId="147">
    <w:name w:val="huh Char"/>
    <w:qFormat/>
    <w:uiPriority w:val="0"/>
    <w:rPr>
      <w:rFonts w:ascii="Cambria" w:hAnsi="Cambria" w:eastAsia="宋体"/>
      <w:i/>
      <w:color w:val="404040"/>
      <w:kern w:val="0"/>
      <w:sz w:val="20"/>
      <w:lang w:eastAsia="en-US"/>
    </w:rPr>
  </w:style>
  <w:style w:type="character" w:customStyle="1" w:styleId="148">
    <w:name w:val="批注框文本 Char3"/>
    <w:semiHidden/>
    <w:qFormat/>
    <w:uiPriority w:val="99"/>
    <w:rPr>
      <w:sz w:val="18"/>
      <w:szCs w:val="18"/>
    </w:rPr>
  </w:style>
  <w:style w:type="character" w:customStyle="1" w:styleId="149">
    <w:name w:val="Char Char10"/>
    <w:qFormat/>
    <w:uiPriority w:val="0"/>
    <w:rPr>
      <w:rFonts w:ascii="Arial" w:hAnsi="Arial" w:eastAsia="黑体"/>
      <w:b/>
      <w:bCs/>
      <w:kern w:val="2"/>
      <w:sz w:val="32"/>
      <w:szCs w:val="32"/>
      <w:lang w:val="en-US" w:eastAsia="zh-CN" w:bidi="ar-SA"/>
    </w:rPr>
  </w:style>
  <w:style w:type="character" w:customStyle="1" w:styleId="150">
    <w:name w:val="批注主题 Char"/>
    <w:qFormat/>
    <w:uiPriority w:val="0"/>
    <w:rPr>
      <w:b/>
      <w:bCs/>
      <w:kern w:val="2"/>
      <w:sz w:val="21"/>
      <w:szCs w:val="22"/>
    </w:rPr>
  </w:style>
  <w:style w:type="character" w:customStyle="1" w:styleId="151">
    <w:name w:val="书籍标题1"/>
    <w:qFormat/>
    <w:uiPriority w:val="0"/>
    <w:rPr>
      <w:b/>
      <w:smallCaps/>
      <w:spacing w:val="5"/>
    </w:rPr>
  </w:style>
  <w:style w:type="character" w:customStyle="1" w:styleId="152">
    <w:name w:val="small-text"/>
    <w:basedOn w:val="57"/>
    <w:qFormat/>
    <w:uiPriority w:val="0"/>
  </w:style>
  <w:style w:type="character" w:customStyle="1" w:styleId="153">
    <w:name w:val="testimonials-name1"/>
    <w:qFormat/>
    <w:uiPriority w:val="0"/>
    <w:rPr>
      <w:color w:val="E6400C"/>
      <w:sz w:val="19"/>
      <w:szCs w:val="19"/>
    </w:rPr>
  </w:style>
  <w:style w:type="character" w:customStyle="1" w:styleId="154">
    <w:name w:val="标题 32"/>
    <w:qFormat/>
    <w:uiPriority w:val="0"/>
    <w:rPr>
      <w:rFonts w:eastAsia="宋体"/>
      <w:b/>
      <w:kern w:val="2"/>
      <w:sz w:val="32"/>
      <w:lang w:val="en-US" w:eastAsia="zh-CN"/>
    </w:rPr>
  </w:style>
  <w:style w:type="character" w:customStyle="1" w:styleId="155">
    <w:name w:val="Footer-Even Char Char"/>
    <w:qFormat/>
    <w:uiPriority w:val="0"/>
    <w:rPr>
      <w:kern w:val="0"/>
      <w:sz w:val="18"/>
      <w:lang w:eastAsia="en-US"/>
    </w:rPr>
  </w:style>
  <w:style w:type="character" w:customStyle="1" w:styleId="156">
    <w:name w:val="标题 3 Char"/>
    <w:qFormat/>
    <w:uiPriority w:val="9"/>
    <w:rPr>
      <w:b/>
      <w:bCs/>
      <w:kern w:val="2"/>
      <w:sz w:val="32"/>
      <w:szCs w:val="32"/>
    </w:rPr>
  </w:style>
  <w:style w:type="character" w:customStyle="1" w:styleId="157">
    <w:name w:val="正文首行缩进1 Char Char"/>
    <w:qFormat/>
    <w:uiPriority w:val="0"/>
    <w:rPr>
      <w:kern w:val="0"/>
      <w:sz w:val="22"/>
      <w:lang w:eastAsia="en-US"/>
    </w:rPr>
  </w:style>
  <w:style w:type="character" w:customStyle="1" w:styleId="1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159">
    <w:name w:val="正文文本缩进 Char1"/>
    <w:semiHidden/>
    <w:qFormat/>
    <w:uiPriority w:val="99"/>
    <w:rPr>
      <w:rFonts w:ascii="Times New Roman" w:hAnsi="Times New Roman" w:eastAsia="宋体" w:cs="Times New Roman"/>
      <w:szCs w:val="24"/>
    </w:rPr>
  </w:style>
  <w:style w:type="character" w:customStyle="1" w:styleId="160">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161">
    <w:name w:val="日期 Char4"/>
    <w:semiHidden/>
    <w:qFormat/>
    <w:uiPriority w:val="99"/>
  </w:style>
  <w:style w:type="character" w:customStyle="1" w:styleId="162">
    <w:name w:val="testimonials-post1"/>
    <w:qFormat/>
    <w:uiPriority w:val="0"/>
    <w:rPr>
      <w:color w:val="656565"/>
      <w:sz w:val="18"/>
      <w:szCs w:val="18"/>
    </w:rPr>
  </w:style>
  <w:style w:type="character" w:customStyle="1" w:styleId="163">
    <w:name w:val="正文文本缩进 2 Char3"/>
    <w:semiHidden/>
    <w:qFormat/>
    <w:uiPriority w:val="0"/>
  </w:style>
  <w:style w:type="character" w:customStyle="1" w:styleId="164">
    <w:name w:val="明显引用 Char"/>
    <w:link w:val="165"/>
    <w:qFormat/>
    <w:uiPriority w:val="0"/>
    <w:rPr>
      <w:b/>
      <w:i/>
      <w:color w:val="4F81BD"/>
      <w:kern w:val="2"/>
      <w:sz w:val="21"/>
    </w:rPr>
  </w:style>
  <w:style w:type="paragraph" w:styleId="165">
    <w:name w:val="Intense Quote"/>
    <w:basedOn w:val="1"/>
    <w:next w:val="1"/>
    <w:link w:val="164"/>
    <w:qFormat/>
    <w:uiPriority w:val="0"/>
    <w:pPr>
      <w:pBdr>
        <w:bottom w:val="single" w:color="4F81BD" w:sz="4" w:space="4"/>
      </w:pBdr>
      <w:spacing w:before="200" w:after="280"/>
      <w:ind w:left="936" w:right="936"/>
    </w:pPr>
    <w:rPr>
      <w:b/>
      <w:i/>
      <w:color w:val="4F81BD"/>
      <w:szCs w:val="20"/>
    </w:rPr>
  </w:style>
  <w:style w:type="character" w:customStyle="1" w:styleId="166">
    <w:name w:val="注 Char Char"/>
    <w:link w:val="167"/>
    <w:qFormat/>
    <w:uiPriority w:val="0"/>
    <w:rPr>
      <w:rFonts w:ascii="Times New Roman" w:hAnsi="Times New Roman"/>
    </w:rPr>
  </w:style>
  <w:style w:type="paragraph" w:customStyle="1" w:styleId="167">
    <w:name w:val="注"/>
    <w:basedOn w:val="1"/>
    <w:link w:val="166"/>
    <w:qFormat/>
    <w:uiPriority w:val="0"/>
    <w:pPr>
      <w:ind w:left="788" w:leftChars="200" w:hanging="368" w:hangingChars="175"/>
    </w:pPr>
    <w:rPr>
      <w:rFonts w:ascii="Times New Roman" w:hAnsi="Times New Roman"/>
      <w:kern w:val="0"/>
      <w:sz w:val="20"/>
      <w:szCs w:val="20"/>
    </w:rPr>
  </w:style>
  <w:style w:type="character" w:customStyle="1" w:styleId="168">
    <w:name w:val="current"/>
    <w:qFormat/>
    <w:uiPriority w:val="0"/>
    <w:rPr>
      <w:color w:val="FFFFFF"/>
      <w:bdr w:val="single" w:color="2B55AF" w:sz="6" w:space="0"/>
      <w:shd w:val="clear" w:color="auto" w:fill="4F616C"/>
    </w:rPr>
  </w:style>
  <w:style w:type="character" w:customStyle="1" w:styleId="169">
    <w:name w:val="正文首行缩进 2 Char1"/>
    <w:semiHidden/>
    <w:qFormat/>
    <w:uiPriority w:val="99"/>
  </w:style>
  <w:style w:type="character" w:customStyle="1" w:styleId="170">
    <w:name w:val="C C"/>
    <w:qFormat/>
    <w:uiPriority w:val="0"/>
    <w:rPr>
      <w:rFonts w:eastAsia="宋体"/>
      <w:b/>
      <w:kern w:val="2"/>
      <w:sz w:val="32"/>
      <w:lang w:val="en-US" w:eastAsia="zh-CN"/>
    </w:rPr>
  </w:style>
  <w:style w:type="character" w:customStyle="1" w:styleId="17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72">
    <w:name w:val="Char2 Char1"/>
    <w:qFormat/>
    <w:uiPriority w:val="0"/>
    <w:rPr>
      <w:rFonts w:ascii="Arial" w:hAnsi="Arial" w:eastAsia="黑体"/>
      <w:b/>
      <w:bCs/>
      <w:kern w:val="2"/>
      <w:sz w:val="32"/>
      <w:szCs w:val="32"/>
      <w:lang w:val="en-US" w:eastAsia="zh-CN" w:bidi="ar-SA"/>
    </w:rPr>
  </w:style>
  <w:style w:type="character" w:customStyle="1" w:styleId="173">
    <w:name w:val="批注主题 Char2"/>
    <w:semiHidden/>
    <w:qFormat/>
    <w:uiPriority w:val="99"/>
    <w:rPr>
      <w:rFonts w:ascii="Times New Roman" w:hAnsi="Times New Roman" w:eastAsia="宋体" w:cs="Times New Roman"/>
      <w:b/>
      <w:bCs/>
      <w:szCs w:val="24"/>
    </w:rPr>
  </w:style>
  <w:style w:type="character" w:customStyle="1" w:styleId="174">
    <w:name w:val="标题 #4_"/>
    <w:link w:val="175"/>
    <w:qFormat/>
    <w:uiPriority w:val="0"/>
    <w:rPr>
      <w:rFonts w:ascii="黑体" w:hAnsi="黑体" w:eastAsia="黑体"/>
      <w:spacing w:val="40"/>
      <w:sz w:val="28"/>
      <w:szCs w:val="28"/>
      <w:shd w:val="clear" w:color="auto" w:fill="FFFFFF"/>
    </w:rPr>
  </w:style>
  <w:style w:type="paragraph" w:customStyle="1" w:styleId="175">
    <w:name w:val="标题 #4"/>
    <w:basedOn w:val="1"/>
    <w:link w:val="174"/>
    <w:qFormat/>
    <w:uiPriority w:val="0"/>
    <w:pPr>
      <w:shd w:val="clear" w:color="auto" w:fill="FFFFFF"/>
      <w:spacing w:before="120" w:after="120" w:line="0" w:lineRule="atLeast"/>
      <w:jc w:val="center"/>
      <w:outlineLvl w:val="3"/>
    </w:pPr>
    <w:rPr>
      <w:rFonts w:ascii="黑体" w:hAnsi="黑体" w:eastAsia="黑体"/>
      <w:spacing w:val="40"/>
      <w:kern w:val="0"/>
      <w:sz w:val="28"/>
      <w:szCs w:val="28"/>
      <w:shd w:val="clear" w:color="auto" w:fill="FFFFFF"/>
    </w:rPr>
  </w:style>
  <w:style w:type="character" w:customStyle="1" w:styleId="176">
    <w:name w:val="标题 1 Char1"/>
    <w:qFormat/>
    <w:uiPriority w:val="0"/>
    <w:rPr>
      <w:rFonts w:eastAsia="宋体"/>
      <w:b/>
      <w:bCs/>
      <w:kern w:val="44"/>
      <w:sz w:val="44"/>
      <w:szCs w:val="44"/>
      <w:lang w:val="en-US" w:eastAsia="zh-CN" w:bidi="ar-SA"/>
    </w:rPr>
  </w:style>
  <w:style w:type="character" w:customStyle="1" w:styleId="177">
    <w:name w:val="批注文字 Char1"/>
    <w:semiHidden/>
    <w:qFormat/>
    <w:uiPriority w:val="99"/>
    <w:rPr>
      <w:rFonts w:ascii="Times New Roman" w:hAnsi="Times New Roman" w:eastAsia="宋体" w:cs="Times New Roman"/>
      <w:szCs w:val="24"/>
    </w:rPr>
  </w:style>
  <w:style w:type="character" w:customStyle="1" w:styleId="178">
    <w:name w:val="标题 #2_"/>
    <w:link w:val="179"/>
    <w:qFormat/>
    <w:uiPriority w:val="0"/>
    <w:rPr>
      <w:rFonts w:ascii="MingLiU" w:hAnsi="MingLiU" w:eastAsia="MingLiU"/>
      <w:sz w:val="36"/>
      <w:szCs w:val="36"/>
      <w:shd w:val="clear" w:color="auto" w:fill="FFFFFF"/>
    </w:rPr>
  </w:style>
  <w:style w:type="paragraph" w:customStyle="1" w:styleId="179">
    <w:name w:val="标题 #2"/>
    <w:basedOn w:val="1"/>
    <w:link w:val="178"/>
    <w:qFormat/>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character" w:customStyle="1" w:styleId="180">
    <w:name w:val="（A） Char"/>
    <w:qFormat/>
    <w:uiPriority w:val="0"/>
    <w:rPr>
      <w:rFonts w:ascii="Cambria" w:hAnsi="Cambria" w:eastAsia="宋体"/>
      <w:color w:val="4F81BD"/>
      <w:kern w:val="0"/>
      <w:sz w:val="20"/>
      <w:lang w:eastAsia="en-US"/>
    </w:rPr>
  </w:style>
  <w:style w:type="character" w:customStyle="1" w:styleId="181">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182">
    <w:name w:val="sep"/>
    <w:qFormat/>
    <w:uiPriority w:val="0"/>
    <w:rPr>
      <w:shd w:val="clear" w:color="auto" w:fill="EAEAEA"/>
    </w:rPr>
  </w:style>
  <w:style w:type="character" w:customStyle="1" w:styleId="183">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184">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185">
    <w:name w:val="脚注文本 Char2"/>
    <w:semiHidden/>
    <w:qFormat/>
    <w:uiPriority w:val="99"/>
    <w:rPr>
      <w:sz w:val="18"/>
      <w:szCs w:val="18"/>
    </w:rPr>
  </w:style>
  <w:style w:type="character" w:customStyle="1" w:styleId="186">
    <w:name w:val="批注框文本 Char4"/>
    <w:semiHidden/>
    <w:qFormat/>
    <w:uiPriority w:val="99"/>
    <w:rPr>
      <w:sz w:val="18"/>
      <w:szCs w:val="18"/>
    </w:rPr>
  </w:style>
  <w:style w:type="character" w:customStyle="1" w:styleId="187">
    <w:name w:val="标题 2 Char"/>
    <w:qFormat/>
    <w:uiPriority w:val="0"/>
    <w:rPr>
      <w:rFonts w:ascii="Cambria" w:hAnsi="Cambria" w:eastAsia="宋体" w:cs="Times New Roman"/>
      <w:b/>
      <w:bCs/>
      <w:kern w:val="2"/>
      <w:sz w:val="32"/>
      <w:szCs w:val="32"/>
    </w:rPr>
  </w:style>
  <w:style w:type="character" w:customStyle="1" w:styleId="188">
    <w:name w:val="正文文本缩进 3 Char"/>
    <w:qFormat/>
    <w:uiPriority w:val="0"/>
    <w:rPr>
      <w:kern w:val="2"/>
      <w:sz w:val="16"/>
      <w:szCs w:val="16"/>
    </w:rPr>
  </w:style>
  <w:style w:type="character" w:customStyle="1" w:styleId="189">
    <w:name w:val="tw4winMark"/>
    <w:qFormat/>
    <w:uiPriority w:val="0"/>
    <w:rPr>
      <w:rFonts w:ascii="Courier New" w:hAnsi="Courier New"/>
      <w:vanish/>
      <w:color w:val="800080"/>
      <w:vertAlign w:val="subscript"/>
    </w:rPr>
  </w:style>
  <w:style w:type="character" w:customStyle="1" w:styleId="190">
    <w:name w:val="Char Char15"/>
    <w:qFormat/>
    <w:uiPriority w:val="0"/>
    <w:rPr>
      <w:sz w:val="18"/>
      <w:szCs w:val="18"/>
    </w:rPr>
  </w:style>
  <w:style w:type="character" w:customStyle="1" w:styleId="191">
    <w:name w:val="正文文本 (2)_"/>
    <w:link w:val="192"/>
    <w:qFormat/>
    <w:uiPriority w:val="0"/>
    <w:rPr>
      <w:rFonts w:ascii="宋体" w:hAnsi="宋体"/>
      <w:shd w:val="clear" w:color="auto" w:fill="FFFFFF"/>
    </w:rPr>
  </w:style>
  <w:style w:type="paragraph" w:customStyle="1" w:styleId="192">
    <w:name w:val="正文文本 (2)"/>
    <w:basedOn w:val="1"/>
    <w:link w:val="191"/>
    <w:qFormat/>
    <w:uiPriority w:val="0"/>
    <w:pPr>
      <w:shd w:val="clear" w:color="auto" w:fill="FFFFFF"/>
      <w:spacing w:line="0" w:lineRule="atLeast"/>
      <w:ind w:hanging="520"/>
      <w:jc w:val="left"/>
    </w:pPr>
    <w:rPr>
      <w:rFonts w:ascii="宋体" w:hAnsi="宋体"/>
      <w:kern w:val="0"/>
      <w:sz w:val="20"/>
      <w:szCs w:val="20"/>
      <w:shd w:val="clear" w:color="auto" w:fill="FFFFFF"/>
    </w:rPr>
  </w:style>
  <w:style w:type="character" w:customStyle="1" w:styleId="193">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194">
    <w:name w:val="Level 3 Head Char1"/>
    <w:qFormat/>
    <w:uiPriority w:val="0"/>
    <w:rPr>
      <w:rFonts w:ascii="Cambria" w:hAnsi="Cambria" w:eastAsia="宋体"/>
      <w:b/>
      <w:color w:val="4F81BD"/>
      <w:kern w:val="0"/>
      <w:sz w:val="22"/>
      <w:lang w:eastAsia="en-US"/>
    </w:rPr>
  </w:style>
  <w:style w:type="character" w:customStyle="1" w:styleId="195">
    <w:name w:val="正文文本 3 Char4"/>
    <w:semiHidden/>
    <w:qFormat/>
    <w:uiPriority w:val="99"/>
    <w:rPr>
      <w:sz w:val="16"/>
      <w:szCs w:val="16"/>
    </w:rPr>
  </w:style>
  <w:style w:type="character" w:customStyle="1" w:styleId="196">
    <w:name w:val="Bullet Response Char Char"/>
    <w:qFormat/>
    <w:uiPriority w:val="0"/>
    <w:rPr>
      <w:rFonts w:ascii="Arial" w:hAnsi="Arial"/>
      <w:b/>
      <w:i/>
      <w:kern w:val="0"/>
      <w:sz w:val="24"/>
      <w:lang w:eastAsia="en-US"/>
    </w:rPr>
  </w:style>
  <w:style w:type="character" w:customStyle="1" w:styleId="197">
    <w:name w:val="批注文字 Char4"/>
    <w:semiHidden/>
    <w:qFormat/>
    <w:uiPriority w:val="99"/>
  </w:style>
  <w:style w:type="character" w:customStyle="1" w:styleId="198">
    <w:name w:val="明显强调1"/>
    <w:qFormat/>
    <w:uiPriority w:val="0"/>
    <w:rPr>
      <w:b/>
      <w:i/>
      <w:color w:val="4F81BD"/>
    </w:rPr>
  </w:style>
  <w:style w:type="character" w:customStyle="1" w:styleId="199">
    <w:name w:val="H3 Char2"/>
    <w:qFormat/>
    <w:uiPriority w:val="0"/>
    <w:rPr>
      <w:rFonts w:ascii="宋体" w:hAnsi="Arial" w:eastAsia="宋体"/>
      <w:b/>
      <w:kern w:val="2"/>
      <w:sz w:val="28"/>
      <w:lang w:val="en-US" w:eastAsia="zh-CN" w:bidi="ar-SA"/>
    </w:rPr>
  </w:style>
  <w:style w:type="character" w:customStyle="1" w:styleId="200">
    <w:name w:val="cuti1"/>
    <w:qFormat/>
    <w:uiPriority w:val="0"/>
    <w:rPr>
      <w:b/>
      <w:sz w:val="21"/>
      <w:u w:val="none"/>
    </w:rPr>
  </w:style>
  <w:style w:type="character" w:customStyle="1" w:styleId="201">
    <w:name w:val="HTML 预设格式 Char1"/>
    <w:semiHidden/>
    <w:qFormat/>
    <w:uiPriority w:val="99"/>
    <w:rPr>
      <w:rFonts w:ascii="Courier New" w:hAnsi="Courier New" w:eastAsia="宋体" w:cs="Courier New"/>
      <w:sz w:val="20"/>
      <w:szCs w:val="20"/>
    </w:rPr>
  </w:style>
  <w:style w:type="character" w:customStyle="1" w:styleId="202">
    <w:name w:val="titlered1"/>
    <w:qFormat/>
    <w:uiPriority w:val="0"/>
    <w:rPr>
      <w:rFonts w:hint="default"/>
      <w:color w:val="CE0702"/>
      <w:sz w:val="18"/>
    </w:rPr>
  </w:style>
  <w:style w:type="character" w:customStyle="1" w:styleId="203">
    <w:name w:val="不明显参考111"/>
    <w:qFormat/>
    <w:uiPriority w:val="0"/>
    <w:rPr>
      <w:smallCaps/>
      <w:color w:val="C0504D"/>
      <w:u w:val="single"/>
    </w:rPr>
  </w:style>
  <w:style w:type="character" w:customStyle="1" w:styleId="204">
    <w:name w:val="正文首行缩进 Char5"/>
    <w:semiHidden/>
    <w:qFormat/>
    <w:uiPriority w:val="99"/>
  </w:style>
  <w:style w:type="character" w:customStyle="1" w:styleId="205">
    <w:name w:val="H212 C"/>
    <w:qFormat/>
    <w:uiPriority w:val="0"/>
    <w:rPr>
      <w:rFonts w:ascii="Arial" w:hAnsi="Arial" w:eastAsia="黑体"/>
      <w:b/>
      <w:kern w:val="2"/>
      <w:sz w:val="32"/>
      <w:lang w:val="en-US" w:eastAsia="zh-CN"/>
    </w:rPr>
  </w:style>
  <w:style w:type="character" w:customStyle="1" w:styleId="206">
    <w:name w:val="批注文字 Char"/>
    <w:qFormat/>
    <w:uiPriority w:val="99"/>
    <w:rPr>
      <w:kern w:val="2"/>
      <w:sz w:val="21"/>
      <w:szCs w:val="22"/>
    </w:rPr>
  </w:style>
  <w:style w:type="character" w:customStyle="1" w:styleId="207">
    <w:name w:val="书籍标题111"/>
    <w:qFormat/>
    <w:uiPriority w:val="0"/>
    <w:rPr>
      <w:b/>
      <w:smallCaps/>
      <w:spacing w:val="5"/>
    </w:rPr>
  </w:style>
  <w:style w:type="character" w:customStyle="1" w:styleId="208">
    <w:name w:val="正文文本 Char5"/>
    <w:semiHidden/>
    <w:qFormat/>
    <w:uiPriority w:val="99"/>
  </w:style>
  <w:style w:type="character" w:customStyle="1" w:styleId="209">
    <w:name w:val="正文首行缩进 Char1"/>
    <w:qFormat/>
    <w:uiPriority w:val="0"/>
    <w:rPr>
      <w:rFonts w:ascii="Times New Roman" w:hAnsi="Times New Roman" w:eastAsia="宋体" w:cs="Times New Roman"/>
      <w:kern w:val="2"/>
      <w:sz w:val="21"/>
      <w:szCs w:val="24"/>
    </w:rPr>
  </w:style>
  <w:style w:type="character" w:customStyle="1" w:styleId="210">
    <w:name w:val="testimonials-name"/>
    <w:qFormat/>
    <w:uiPriority w:val="0"/>
    <w:rPr>
      <w:color w:val="64AED9"/>
      <w:sz w:val="24"/>
      <w:szCs w:val="24"/>
    </w:rPr>
  </w:style>
  <w:style w:type="character" w:customStyle="1" w:styleId="211">
    <w:name w:val="页脚 Char"/>
    <w:qFormat/>
    <w:uiPriority w:val="99"/>
    <w:rPr>
      <w:kern w:val="2"/>
      <w:sz w:val="18"/>
      <w:szCs w:val="18"/>
    </w:rPr>
  </w:style>
  <w:style w:type="character" w:customStyle="1" w:styleId="212">
    <w:name w:val="正文文本缩进 Char"/>
    <w:qFormat/>
    <w:uiPriority w:val="0"/>
    <w:rPr>
      <w:kern w:val="2"/>
      <w:sz w:val="21"/>
      <w:szCs w:val="22"/>
    </w:rPr>
  </w:style>
  <w:style w:type="character" w:customStyle="1" w:styleId="213">
    <w:name w:val="HTML 预设格式 Char4"/>
    <w:semiHidden/>
    <w:qFormat/>
    <w:uiPriority w:val="99"/>
    <w:rPr>
      <w:rFonts w:ascii="Courier New" w:hAnsi="Courier New" w:cs="Courier New"/>
      <w:sz w:val="20"/>
      <w:szCs w:val="20"/>
    </w:rPr>
  </w:style>
  <w:style w:type="character" w:customStyle="1" w:styleId="214">
    <w:name w:val="hover27"/>
    <w:qFormat/>
    <w:uiPriority w:val="0"/>
    <w:rPr>
      <w:shd w:val="clear" w:color="auto" w:fill="EEEEEE"/>
    </w:rPr>
  </w:style>
  <w:style w:type="character" w:customStyle="1" w:styleId="215">
    <w:name w:val="文一 Char Char"/>
    <w:link w:val="216"/>
    <w:qFormat/>
    <w:uiPriority w:val="0"/>
    <w:rPr>
      <w:rFonts w:ascii="Times New Roman" w:hAnsi="Times New Roman"/>
      <w:snapToGrid w:val="0"/>
      <w:spacing w:val="4"/>
      <w:sz w:val="24"/>
      <w:szCs w:val="24"/>
    </w:rPr>
  </w:style>
  <w:style w:type="paragraph" w:customStyle="1" w:styleId="216">
    <w:name w:val="文一"/>
    <w:basedOn w:val="1"/>
    <w:link w:val="215"/>
    <w:qFormat/>
    <w:uiPriority w:val="0"/>
    <w:pPr>
      <w:topLinePunct/>
      <w:adjustRightInd w:val="0"/>
      <w:snapToGrid w:val="0"/>
      <w:spacing w:line="360" w:lineRule="auto"/>
      <w:ind w:firstLine="200" w:firstLineChars="200"/>
    </w:pPr>
    <w:rPr>
      <w:rFonts w:ascii="Times New Roman" w:hAnsi="Times New Roman"/>
      <w:snapToGrid w:val="0"/>
      <w:spacing w:val="4"/>
      <w:kern w:val="0"/>
      <w:sz w:val="24"/>
      <w:szCs w:val="24"/>
    </w:rPr>
  </w:style>
  <w:style w:type="character" w:customStyle="1" w:styleId="217">
    <w:name w:val="标题 Char3"/>
    <w:qFormat/>
    <w:uiPriority w:val="10"/>
    <w:rPr>
      <w:rFonts w:ascii="Cambria" w:hAnsi="Cambria" w:eastAsia="宋体" w:cs="Times New Roman"/>
      <w:b/>
      <w:bCs/>
      <w:sz w:val="32"/>
      <w:szCs w:val="32"/>
    </w:rPr>
  </w:style>
  <w:style w:type="character" w:customStyle="1" w:styleId="218">
    <w:name w:val="正文文本 2 Char1"/>
    <w:semiHidden/>
    <w:qFormat/>
    <w:uiPriority w:val="99"/>
    <w:rPr>
      <w:rFonts w:ascii="Times New Roman" w:hAnsi="Times New Roman" w:eastAsia="宋体" w:cs="Times New Roman"/>
      <w:szCs w:val="24"/>
    </w:rPr>
  </w:style>
  <w:style w:type="character" w:customStyle="1" w:styleId="219">
    <w:name w:val="签名 Char2"/>
    <w:semiHidden/>
    <w:qFormat/>
    <w:uiPriority w:val="99"/>
  </w:style>
  <w:style w:type="character" w:customStyle="1" w:styleId="220">
    <w:name w:val="specifications1"/>
    <w:qFormat/>
    <w:uiPriority w:val="0"/>
    <w:rPr>
      <w:rFonts w:hint="default" w:ascii="Arial" w:hAnsi="Arial"/>
      <w:i/>
      <w:color w:val="FF3300"/>
      <w:sz w:val="20"/>
      <w:u w:val="none"/>
    </w:rPr>
  </w:style>
  <w:style w:type="character" w:customStyle="1" w:styleId="221">
    <w:name w:val="批注主题 Char5"/>
    <w:semiHidden/>
    <w:qFormat/>
    <w:uiPriority w:val="99"/>
    <w:rPr>
      <w:b/>
      <w:bCs/>
    </w:rPr>
  </w:style>
  <w:style w:type="character" w:customStyle="1" w:styleId="222">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23">
    <w:name w:val="明显参考111"/>
    <w:qFormat/>
    <w:uiPriority w:val="0"/>
    <w:rPr>
      <w:b/>
      <w:smallCaps/>
      <w:color w:val="C0504D"/>
      <w:spacing w:val="5"/>
      <w:u w:val="single"/>
    </w:rPr>
  </w:style>
  <w:style w:type="character" w:customStyle="1" w:styleId="224">
    <w:name w:val="明显参考1"/>
    <w:qFormat/>
    <w:uiPriority w:val="0"/>
    <w:rPr>
      <w:b/>
      <w:smallCaps/>
      <w:color w:val="C0504D"/>
      <w:spacing w:val="5"/>
      <w:u w:val="single"/>
    </w:rPr>
  </w:style>
  <w:style w:type="character" w:customStyle="1" w:styleId="225">
    <w:name w:val="公式 Char Char"/>
    <w:link w:val="226"/>
    <w:qFormat/>
    <w:uiPriority w:val="0"/>
    <w:rPr>
      <w:rFonts w:ascii="Times New Roman" w:hAnsi="Times New Roman"/>
      <w:sz w:val="24"/>
    </w:rPr>
  </w:style>
  <w:style w:type="paragraph" w:customStyle="1" w:styleId="226">
    <w:name w:val="公式"/>
    <w:basedOn w:val="1"/>
    <w:link w:val="225"/>
    <w:qFormat/>
    <w:uiPriority w:val="0"/>
    <w:pPr>
      <w:spacing w:line="360" w:lineRule="auto"/>
      <w:jc w:val="right"/>
    </w:pPr>
    <w:rPr>
      <w:rFonts w:ascii="Times New Roman" w:hAnsi="Times New Roman"/>
      <w:kern w:val="0"/>
      <w:sz w:val="24"/>
      <w:szCs w:val="20"/>
    </w:rPr>
  </w:style>
  <w:style w:type="character" w:customStyle="1" w:styleId="227">
    <w:name w:val="段落样式 Char Char"/>
    <w:link w:val="228"/>
    <w:qFormat/>
    <w:uiPriority w:val="0"/>
    <w:rPr>
      <w:rFonts w:ascii="Times New Roman" w:hAnsi="Times New Roman"/>
      <w:sz w:val="24"/>
    </w:rPr>
  </w:style>
  <w:style w:type="paragraph" w:customStyle="1" w:styleId="228">
    <w:name w:val="段落样式"/>
    <w:basedOn w:val="1"/>
    <w:link w:val="227"/>
    <w:qFormat/>
    <w:uiPriority w:val="0"/>
    <w:pPr>
      <w:spacing w:line="400" w:lineRule="exact"/>
      <w:ind w:firstLine="480" w:firstLineChars="200"/>
    </w:pPr>
    <w:rPr>
      <w:rFonts w:ascii="Times New Roman" w:hAnsi="Times New Roman"/>
      <w:kern w:val="0"/>
      <w:sz w:val="24"/>
      <w:szCs w:val="20"/>
    </w:rPr>
  </w:style>
  <w:style w:type="character" w:customStyle="1" w:styleId="229">
    <w:name w:val="标题 9 Char"/>
    <w:qFormat/>
    <w:uiPriority w:val="0"/>
    <w:rPr>
      <w:rFonts w:ascii="Cambria" w:hAnsi="Cambria" w:eastAsia="宋体" w:cs="Times New Roman"/>
      <w:kern w:val="2"/>
      <w:sz w:val="21"/>
      <w:szCs w:val="21"/>
    </w:rPr>
  </w:style>
  <w:style w:type="character" w:customStyle="1" w:styleId="230">
    <w:name w:val="纯文本 Char"/>
    <w:link w:val="231"/>
    <w:qFormat/>
    <w:uiPriority w:val="0"/>
    <w:rPr>
      <w:rFonts w:ascii="宋体" w:hAnsi="Courier New" w:cs="Courier New"/>
      <w:kern w:val="2"/>
      <w:sz w:val="21"/>
      <w:szCs w:val="21"/>
    </w:rPr>
  </w:style>
  <w:style w:type="paragraph" w:customStyle="1" w:styleId="231">
    <w:name w:val="纯文本2"/>
    <w:basedOn w:val="1"/>
    <w:link w:val="230"/>
    <w:qFormat/>
    <w:uiPriority w:val="0"/>
    <w:rPr>
      <w:rFonts w:ascii="宋体" w:hAnsi="Courier New"/>
      <w:szCs w:val="21"/>
    </w:rPr>
  </w:style>
  <w:style w:type="character" w:customStyle="1" w:styleId="232">
    <w:name w:val="正 文 1 Char Char"/>
    <w:qFormat/>
    <w:uiPriority w:val="0"/>
    <w:rPr>
      <w:rFonts w:ascii="宋体" w:hAnsi="Courier New" w:eastAsia="宋体"/>
      <w:kern w:val="2"/>
      <w:sz w:val="21"/>
      <w:szCs w:val="24"/>
      <w:lang w:val="en-US" w:eastAsia="zh-CN" w:bidi="ar-SA"/>
    </w:rPr>
  </w:style>
  <w:style w:type="character" w:customStyle="1" w:styleId="233">
    <w:name w:val="正文文本缩进 2 Char4"/>
    <w:semiHidden/>
    <w:qFormat/>
    <w:uiPriority w:val="99"/>
  </w:style>
  <w:style w:type="character" w:customStyle="1" w:styleId="234">
    <w:name w:val="正文文本缩进 2 Char1"/>
    <w:semiHidden/>
    <w:qFormat/>
    <w:uiPriority w:val="99"/>
    <w:rPr>
      <w:rFonts w:ascii="Times New Roman" w:hAnsi="Times New Roman" w:eastAsia="宋体" w:cs="Times New Roman"/>
      <w:szCs w:val="24"/>
    </w:rPr>
  </w:style>
  <w:style w:type="character" w:customStyle="1" w:styleId="235">
    <w:name w:val="引用 Char3"/>
    <w:qFormat/>
    <w:uiPriority w:val="29"/>
    <w:rPr>
      <w:i/>
      <w:iCs/>
      <w:color w:val="000000"/>
    </w:rPr>
  </w:style>
  <w:style w:type="character" w:customStyle="1" w:styleId="236">
    <w:name w:val="正文文本 3 Char"/>
    <w:qFormat/>
    <w:uiPriority w:val="0"/>
    <w:rPr>
      <w:kern w:val="2"/>
      <w:sz w:val="16"/>
      <w:szCs w:val="16"/>
    </w:rPr>
  </w:style>
  <w:style w:type="character" w:customStyle="1" w:styleId="237">
    <w:name w:val="日期 Char1"/>
    <w:semiHidden/>
    <w:qFormat/>
    <w:uiPriority w:val="99"/>
    <w:rPr>
      <w:rFonts w:ascii="Times New Roman" w:hAnsi="Times New Roman" w:eastAsia="宋体" w:cs="Times New Roman"/>
      <w:szCs w:val="24"/>
    </w:rPr>
  </w:style>
  <w:style w:type="character" w:customStyle="1" w:styleId="238">
    <w:name w:val="new"/>
    <w:qFormat/>
    <w:uiPriority w:val="0"/>
    <w:rPr>
      <w:color w:val="999999"/>
    </w:rPr>
  </w:style>
  <w:style w:type="character" w:customStyle="1" w:styleId="239">
    <w:name w:val="书籍标题2"/>
    <w:qFormat/>
    <w:uiPriority w:val="0"/>
    <w:rPr>
      <w:b/>
      <w:smallCaps/>
      <w:spacing w:val="5"/>
    </w:rPr>
  </w:style>
  <w:style w:type="character" w:customStyle="1" w:styleId="240">
    <w:name w:val="正文文本 3 Char1"/>
    <w:semiHidden/>
    <w:qFormat/>
    <w:uiPriority w:val="99"/>
    <w:rPr>
      <w:rFonts w:ascii="Times New Roman" w:hAnsi="Times New Roman" w:eastAsia="宋体" w:cs="Times New Roman"/>
      <w:sz w:val="16"/>
      <w:szCs w:val="16"/>
    </w:rPr>
  </w:style>
  <w:style w:type="character" w:customStyle="1" w:styleId="241">
    <w:name w:val="HTML 预设格式 Char"/>
    <w:qFormat/>
    <w:uiPriority w:val="0"/>
    <w:rPr>
      <w:rFonts w:ascii="Courier New" w:hAnsi="Courier New" w:cs="Courier New"/>
      <w:kern w:val="2"/>
    </w:rPr>
  </w:style>
  <w:style w:type="character" w:customStyle="1" w:styleId="242">
    <w:name w:val="标题 8 Char"/>
    <w:qFormat/>
    <w:uiPriority w:val="0"/>
    <w:rPr>
      <w:rFonts w:ascii="Cambria" w:hAnsi="Cambria" w:eastAsia="宋体" w:cs="Times New Roman"/>
      <w:kern w:val="2"/>
      <w:sz w:val="24"/>
      <w:szCs w:val="24"/>
    </w:rPr>
  </w:style>
  <w:style w:type="character" w:customStyle="1" w:styleId="243">
    <w:name w:val="style321"/>
    <w:qFormat/>
    <w:uiPriority w:val="0"/>
    <w:rPr>
      <w:color w:val="333333"/>
    </w:rPr>
  </w:style>
  <w:style w:type="character" w:customStyle="1" w:styleId="244">
    <w:name w:val="批注主题 Char4"/>
    <w:semiHidden/>
    <w:qFormat/>
    <w:uiPriority w:val="99"/>
    <w:rPr>
      <w:rFonts w:ascii="Times New Roman" w:hAnsi="Times New Roman" w:eastAsia="宋体" w:cs="Times New Roman"/>
      <w:b/>
      <w:bCs/>
    </w:rPr>
  </w:style>
  <w:style w:type="character" w:customStyle="1" w:styleId="245">
    <w:name w:val="页眉 Char1"/>
    <w:semiHidden/>
    <w:qFormat/>
    <w:uiPriority w:val="99"/>
    <w:rPr>
      <w:rFonts w:ascii="Times New Roman" w:hAnsi="Times New Roman" w:eastAsia="宋体" w:cs="Times New Roman"/>
      <w:sz w:val="18"/>
      <w:szCs w:val="18"/>
    </w:rPr>
  </w:style>
  <w:style w:type="character" w:customStyle="1" w:styleId="246">
    <w:name w:val="HTML 预设格式 Char3"/>
    <w:semiHidden/>
    <w:qFormat/>
    <w:uiPriority w:val="99"/>
    <w:rPr>
      <w:rFonts w:ascii="Courier New" w:hAnsi="Courier New" w:cs="Courier New"/>
      <w:sz w:val="20"/>
      <w:szCs w:val="20"/>
    </w:rPr>
  </w:style>
  <w:style w:type="character" w:customStyle="1" w:styleId="247">
    <w:name w:val="页码1"/>
    <w:qFormat/>
    <w:uiPriority w:val="0"/>
  </w:style>
  <w:style w:type="character" w:customStyle="1" w:styleId="248">
    <w:name w:val="正文缩进 Char"/>
    <w:qFormat/>
    <w:uiPriority w:val="0"/>
    <w:rPr>
      <w:rFonts w:ascii="Times New Roman" w:hAnsi="Times New Roman" w:eastAsia="宋体" w:cs="Times New Roman"/>
      <w:szCs w:val="24"/>
    </w:rPr>
  </w:style>
  <w:style w:type="character" w:customStyle="1" w:styleId="249">
    <w:name w:val="书籍标题11"/>
    <w:qFormat/>
    <w:uiPriority w:val="0"/>
    <w:rPr>
      <w:b/>
      <w:smallCaps/>
      <w:spacing w:val="5"/>
    </w:rPr>
  </w:style>
  <w:style w:type="character" w:customStyle="1" w:styleId="250">
    <w:name w:val="标题 2 Char Char"/>
    <w:qFormat/>
    <w:uiPriority w:val="0"/>
    <w:rPr>
      <w:rFonts w:ascii="Arial" w:hAnsi="Arial" w:eastAsia="黑体"/>
      <w:b/>
      <w:bCs/>
      <w:kern w:val="2"/>
      <w:sz w:val="32"/>
      <w:szCs w:val="32"/>
      <w:lang w:val="en-US" w:eastAsia="zh-CN" w:bidi="ar-SA"/>
    </w:rPr>
  </w:style>
  <w:style w:type="character" w:customStyle="1" w:styleId="251">
    <w:name w:val="正文文本 Char2"/>
    <w:semiHidden/>
    <w:qFormat/>
    <w:uiPriority w:val="99"/>
    <w:rPr>
      <w:rFonts w:ascii="Times New Roman" w:hAnsi="Times New Roman" w:eastAsia="宋体" w:cs="Times New Roman"/>
      <w:szCs w:val="24"/>
    </w:rPr>
  </w:style>
  <w:style w:type="character" w:customStyle="1" w:styleId="252">
    <w:name w:val="副标题 Char1"/>
    <w:qFormat/>
    <w:uiPriority w:val="11"/>
    <w:rPr>
      <w:rFonts w:ascii="Cambria" w:hAnsi="Cambria" w:eastAsia="宋体" w:cs="Times New Roman"/>
      <w:b/>
      <w:bCs/>
      <w:kern w:val="28"/>
      <w:sz w:val="32"/>
      <w:szCs w:val="32"/>
    </w:rPr>
  </w:style>
  <w:style w:type="character" w:customStyle="1" w:styleId="253">
    <w:name w:val="特点标题 Char Char"/>
    <w:qFormat/>
    <w:uiPriority w:val="0"/>
    <w:rPr>
      <w:kern w:val="0"/>
      <w:sz w:val="22"/>
      <w:lang w:eastAsia="en-US"/>
    </w:rPr>
  </w:style>
  <w:style w:type="character" w:customStyle="1" w:styleId="254">
    <w:name w:val="明显强调2"/>
    <w:qFormat/>
    <w:uiPriority w:val="0"/>
    <w:rPr>
      <w:b/>
      <w:i/>
      <w:color w:val="4F81BD"/>
    </w:rPr>
  </w:style>
  <w:style w:type="character" w:customStyle="1" w:styleId="255">
    <w:name w:val="图片标题 Exact"/>
    <w:qFormat/>
    <w:uiPriority w:val="0"/>
    <w:rPr>
      <w:rFonts w:ascii="Arial Unicode MS" w:hAnsi="Arial Unicode MS" w:eastAsia="Arial Unicode MS" w:cs="Arial Unicode MS"/>
      <w:spacing w:val="2"/>
      <w:sz w:val="18"/>
      <w:szCs w:val="18"/>
      <w:u w:val="none"/>
    </w:rPr>
  </w:style>
  <w:style w:type="character" w:customStyle="1" w:styleId="256">
    <w:name w:val="明显引用 Char2"/>
    <w:qFormat/>
    <w:uiPriority w:val="30"/>
    <w:rPr>
      <w:b/>
      <w:bCs/>
      <w:i/>
      <w:iCs/>
      <w:color w:val="4F81BD"/>
    </w:rPr>
  </w:style>
  <w:style w:type="character" w:customStyle="1" w:styleId="257">
    <w:name w:val="页码2"/>
    <w:qFormat/>
    <w:uiPriority w:val="0"/>
  </w:style>
  <w:style w:type="character" w:customStyle="1" w:styleId="258">
    <w:name w:val="尾注文本 Char1"/>
    <w:semiHidden/>
    <w:qFormat/>
    <w:uiPriority w:val="99"/>
    <w:rPr>
      <w:rFonts w:ascii="Times New Roman" w:hAnsi="Times New Roman" w:eastAsia="宋体" w:cs="Times New Roman"/>
      <w:szCs w:val="24"/>
    </w:rPr>
  </w:style>
  <w:style w:type="character" w:customStyle="1" w:styleId="259">
    <w:name w:val="日期 Char3"/>
    <w:semiHidden/>
    <w:qFormat/>
    <w:uiPriority w:val="99"/>
  </w:style>
  <w:style w:type="character" w:customStyle="1" w:styleId="260">
    <w:name w:val="标题 #3 + SimSun"/>
    <w:qFormat/>
    <w:uiPriority w:val="0"/>
    <w:rPr>
      <w:rFonts w:ascii="宋体" w:hAnsi="宋体" w:eastAsia="宋体" w:cs="宋体"/>
      <w:color w:val="000000"/>
      <w:spacing w:val="0"/>
      <w:w w:val="100"/>
      <w:position w:val="0"/>
      <w:sz w:val="32"/>
      <w:szCs w:val="32"/>
      <w:lang w:bidi="ar-SA"/>
    </w:rPr>
  </w:style>
  <w:style w:type="character" w:customStyle="1" w:styleId="261">
    <w:name w:val="style11"/>
    <w:qFormat/>
    <w:uiPriority w:val="0"/>
    <w:rPr>
      <w:color w:val="333333"/>
    </w:rPr>
  </w:style>
  <w:style w:type="character" w:customStyle="1" w:styleId="262">
    <w:name w:val="纯文本 Char1"/>
    <w:qFormat/>
    <w:uiPriority w:val="0"/>
    <w:rPr>
      <w:rFonts w:ascii="宋体" w:hAnsi="Courier New" w:eastAsia="宋体"/>
      <w:kern w:val="2"/>
      <w:sz w:val="21"/>
      <w:lang w:val="en-US" w:eastAsia="zh-CN" w:bidi="ar-SA"/>
    </w:rPr>
  </w:style>
  <w:style w:type="character" w:customStyle="1" w:styleId="263">
    <w:name w:val="正文文本 Char3"/>
    <w:semiHidden/>
    <w:qFormat/>
    <w:uiPriority w:val="99"/>
    <w:rPr>
      <w:rFonts w:ascii="Times New Roman" w:hAnsi="Times New Roman" w:eastAsia="宋体" w:cs="Times New Roman"/>
      <w:szCs w:val="24"/>
    </w:rPr>
  </w:style>
  <w:style w:type="character" w:customStyle="1" w:styleId="264">
    <w:name w:val="引用 Char"/>
    <w:link w:val="265"/>
    <w:qFormat/>
    <w:uiPriority w:val="0"/>
    <w:rPr>
      <w:i/>
      <w:color w:val="000000"/>
      <w:kern w:val="2"/>
      <w:sz w:val="21"/>
    </w:rPr>
  </w:style>
  <w:style w:type="paragraph" w:styleId="265">
    <w:name w:val="Quote"/>
    <w:basedOn w:val="1"/>
    <w:next w:val="1"/>
    <w:link w:val="264"/>
    <w:qFormat/>
    <w:uiPriority w:val="0"/>
    <w:rPr>
      <w:i/>
      <w:color w:val="000000"/>
      <w:szCs w:val="20"/>
    </w:rPr>
  </w:style>
  <w:style w:type="character" w:customStyle="1" w:styleId="266">
    <w:name w:val="不明显强调1"/>
    <w:qFormat/>
    <w:uiPriority w:val="0"/>
    <w:rPr>
      <w:i/>
      <w:iCs/>
      <w:color w:val="808080"/>
    </w:rPr>
  </w:style>
  <w:style w:type="character" w:customStyle="1" w:styleId="267">
    <w:name w:val="页脚 Char4"/>
    <w:semiHidden/>
    <w:qFormat/>
    <w:uiPriority w:val="99"/>
    <w:rPr>
      <w:sz w:val="18"/>
      <w:szCs w:val="18"/>
    </w:rPr>
  </w:style>
  <w:style w:type="character" w:customStyle="1" w:styleId="268">
    <w:name w:val="正文首行缩进 Char4"/>
    <w:semiHidden/>
    <w:qFormat/>
    <w:uiPriority w:val="99"/>
  </w:style>
  <w:style w:type="character" w:customStyle="1" w:styleId="269">
    <w:name w:val="orange1"/>
    <w:qFormat/>
    <w:uiPriority w:val="0"/>
    <w:rPr>
      <w:rFonts w:hint="default" w:ascii="Arial" w:hAnsi="Arial"/>
      <w:b/>
      <w:color w:val="FF6600"/>
      <w:sz w:val="18"/>
    </w:rPr>
  </w:style>
  <w:style w:type="character" w:customStyle="1" w:styleId="270">
    <w:name w:val="正文首行缩进 Char2"/>
    <w:basedOn w:val="263"/>
    <w:semiHidden/>
    <w:qFormat/>
    <w:uiPriority w:val="99"/>
    <w:rPr>
      <w:rFonts w:ascii="Times New Roman" w:hAnsi="Times New Roman" w:eastAsia="宋体" w:cs="Times New Roman"/>
      <w:szCs w:val="24"/>
    </w:rPr>
  </w:style>
  <w:style w:type="character" w:customStyle="1" w:styleId="271">
    <w:name w:val="标题 2 Char1"/>
    <w:qFormat/>
    <w:uiPriority w:val="0"/>
    <w:rPr>
      <w:rFonts w:ascii="Arial" w:hAnsi="Arial" w:eastAsia="黑体"/>
      <w:b/>
      <w:bCs/>
      <w:kern w:val="2"/>
      <w:sz w:val="32"/>
      <w:szCs w:val="32"/>
      <w:lang w:val="en-US" w:eastAsia="zh-CN" w:bidi="ar-SA"/>
    </w:rPr>
  </w:style>
  <w:style w:type="character" w:customStyle="1" w:styleId="272">
    <w:name w:val="mmm"/>
    <w:basedOn w:val="57"/>
    <w:qFormat/>
    <w:uiPriority w:val="0"/>
  </w:style>
  <w:style w:type="character" w:customStyle="1" w:styleId="273">
    <w:name w:val="Heading Char"/>
    <w:qFormat/>
    <w:uiPriority w:val="0"/>
    <w:rPr>
      <w:kern w:val="0"/>
      <w:sz w:val="18"/>
      <w:lang w:eastAsia="en-US"/>
    </w:rPr>
  </w:style>
  <w:style w:type="character" w:customStyle="1" w:styleId="274">
    <w:name w:val="key_point"/>
    <w:qFormat/>
    <w:uiPriority w:val="0"/>
    <w:rPr>
      <w:rFonts w:eastAsia="宋体"/>
      <w:kern w:val="2"/>
      <w:sz w:val="24"/>
      <w:szCs w:val="24"/>
      <w:lang w:val="en-US" w:eastAsia="zh-CN" w:bidi="ar-SA"/>
    </w:rPr>
  </w:style>
  <w:style w:type="character" w:customStyle="1" w:styleId="275">
    <w:name w:val="color-mode-label"/>
    <w:basedOn w:val="57"/>
    <w:qFormat/>
    <w:uiPriority w:val="0"/>
  </w:style>
  <w:style w:type="character" w:customStyle="1" w:styleId="276">
    <w:name w:val="表正文 Char1"/>
    <w:qFormat/>
    <w:uiPriority w:val="0"/>
    <w:rPr>
      <w:rFonts w:eastAsia="宋体"/>
      <w:kern w:val="2"/>
      <w:sz w:val="24"/>
      <w:lang w:val="en-US" w:eastAsia="zh-CN" w:bidi="ar-SA"/>
    </w:rPr>
  </w:style>
  <w:style w:type="character" w:customStyle="1" w:styleId="277">
    <w:name w:val="说明 Char1"/>
    <w:link w:val="278"/>
    <w:qFormat/>
    <w:uiPriority w:val="0"/>
    <w:rPr>
      <w:rFonts w:ascii="楷体_GB2312" w:eastAsia="楷体_GB2312"/>
      <w:sz w:val="24"/>
    </w:rPr>
  </w:style>
  <w:style w:type="paragraph" w:customStyle="1" w:styleId="278">
    <w:name w:val="说明"/>
    <w:basedOn w:val="1"/>
    <w:link w:val="277"/>
    <w:qFormat/>
    <w:uiPriority w:val="0"/>
    <w:pPr>
      <w:spacing w:line="400" w:lineRule="atLeast"/>
    </w:pPr>
    <w:rPr>
      <w:rFonts w:ascii="楷体_GB2312" w:eastAsia="楷体_GB2312"/>
      <w:kern w:val="0"/>
      <w:sz w:val="24"/>
      <w:szCs w:val="20"/>
    </w:rPr>
  </w:style>
  <w:style w:type="character" w:customStyle="1" w:styleId="279">
    <w:name w:val="批注框文本 Char"/>
    <w:qFormat/>
    <w:uiPriority w:val="0"/>
    <w:rPr>
      <w:kern w:val="2"/>
      <w:sz w:val="18"/>
      <w:szCs w:val="18"/>
    </w:rPr>
  </w:style>
  <w:style w:type="character" w:customStyle="1" w:styleId="280">
    <w:name w:val="明显引用 Char1"/>
    <w:qFormat/>
    <w:uiPriority w:val="30"/>
    <w:rPr>
      <w:b/>
      <w:bCs/>
      <w:i/>
      <w:iCs/>
      <w:color w:val="4F81BD"/>
      <w:kern w:val="2"/>
      <w:sz w:val="21"/>
      <w:szCs w:val="22"/>
    </w:rPr>
  </w:style>
  <w:style w:type="character" w:customStyle="1" w:styleId="281">
    <w:name w:val="H5 Char"/>
    <w:qFormat/>
    <w:uiPriority w:val="0"/>
    <w:rPr>
      <w:rFonts w:ascii="Cambria" w:hAnsi="Cambria" w:eastAsia="宋体"/>
      <w:color w:val="243F60"/>
      <w:kern w:val="0"/>
      <w:sz w:val="22"/>
      <w:lang w:eastAsia="en-US"/>
    </w:rPr>
  </w:style>
  <w:style w:type="character" w:customStyle="1" w:styleId="282">
    <w:name w:val="正文文本缩进 Char3"/>
    <w:semiHidden/>
    <w:qFormat/>
    <w:uiPriority w:val="0"/>
  </w:style>
  <w:style w:type="character" w:customStyle="1" w:styleId="283">
    <w:name w:val="正文文本缩进 3 Char4"/>
    <w:semiHidden/>
    <w:qFormat/>
    <w:uiPriority w:val="99"/>
    <w:rPr>
      <w:sz w:val="16"/>
      <w:szCs w:val="16"/>
    </w:rPr>
  </w:style>
  <w:style w:type="character" w:customStyle="1" w:styleId="284">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85">
    <w:name w:val="Char Char9"/>
    <w:qFormat/>
    <w:uiPriority w:val="0"/>
    <w:rPr>
      <w:rFonts w:ascii="黑体" w:hAnsi="宋体" w:eastAsia="黑体"/>
      <w:bCs/>
      <w:kern w:val="2"/>
      <w:sz w:val="28"/>
      <w:szCs w:val="28"/>
      <w:lang w:val="en-US" w:eastAsia="zh-CN" w:bidi="ar-SA"/>
    </w:rPr>
  </w:style>
  <w:style w:type="character" w:customStyle="1" w:styleId="286">
    <w:name w:val="纯文本 Char4"/>
    <w:semiHidden/>
    <w:qFormat/>
    <w:uiPriority w:val="99"/>
    <w:rPr>
      <w:rFonts w:ascii="宋体" w:hAnsi="Courier New" w:eastAsia="宋体" w:cs="Courier New"/>
      <w:szCs w:val="21"/>
    </w:rPr>
  </w:style>
  <w:style w:type="character" w:customStyle="1" w:styleId="287">
    <w:name w:val="标题 4 Char"/>
    <w:qFormat/>
    <w:uiPriority w:val="0"/>
    <w:rPr>
      <w:rFonts w:ascii="Cambria" w:hAnsi="Cambria" w:eastAsia="宋体" w:cs="Times New Roman"/>
      <w:b/>
      <w:bCs/>
      <w:kern w:val="2"/>
      <w:sz w:val="28"/>
      <w:szCs w:val="28"/>
    </w:rPr>
  </w:style>
  <w:style w:type="character" w:customStyle="1" w:styleId="288">
    <w:name w:val="不明显强调11"/>
    <w:qFormat/>
    <w:uiPriority w:val="0"/>
    <w:rPr>
      <w:i/>
      <w:iCs/>
      <w:color w:val="808080"/>
    </w:rPr>
  </w:style>
  <w:style w:type="character" w:customStyle="1" w:styleId="289">
    <w:name w:val="样式 正文文本 Char"/>
    <w:link w:val="290"/>
    <w:qFormat/>
    <w:uiPriority w:val="0"/>
    <w:rPr>
      <w:rFonts w:ascii="Arial" w:hAnsi="Arial"/>
      <w:color w:val="000000"/>
      <w:sz w:val="21"/>
    </w:rPr>
  </w:style>
  <w:style w:type="paragraph" w:customStyle="1" w:styleId="290">
    <w:name w:val="样式 正文文本"/>
    <w:basedOn w:val="1"/>
    <w:link w:val="289"/>
    <w:qFormat/>
    <w:uiPriority w:val="0"/>
    <w:pPr>
      <w:adjustRightInd w:val="0"/>
      <w:snapToGrid w:val="0"/>
      <w:spacing w:line="400" w:lineRule="exact"/>
      <w:ind w:firstLine="200" w:firstLineChars="200"/>
    </w:pPr>
    <w:rPr>
      <w:rFonts w:ascii="Arial" w:hAnsi="Arial"/>
      <w:color w:val="000000"/>
      <w:kern w:val="0"/>
      <w:szCs w:val="20"/>
    </w:rPr>
  </w:style>
  <w:style w:type="character" w:customStyle="1" w:styleId="291">
    <w:name w:val="标题 Char4"/>
    <w:qFormat/>
    <w:uiPriority w:val="10"/>
    <w:rPr>
      <w:rFonts w:ascii="Cambria" w:hAnsi="Cambria" w:eastAsia="宋体" w:cs="Times New Roman"/>
      <w:b/>
      <w:bCs/>
      <w:sz w:val="32"/>
      <w:szCs w:val="32"/>
    </w:rPr>
  </w:style>
  <w:style w:type="character" w:customStyle="1" w:styleId="292">
    <w:name w:val="签名 Char1"/>
    <w:semiHidden/>
    <w:qFormat/>
    <w:uiPriority w:val="99"/>
  </w:style>
  <w:style w:type="character" w:customStyle="1" w:styleId="293">
    <w:name w:val="纯文本 Char2"/>
    <w:semiHidden/>
    <w:qFormat/>
    <w:uiPriority w:val="99"/>
    <w:rPr>
      <w:rFonts w:ascii="宋体" w:hAnsi="Courier New" w:eastAsia="宋体" w:cs="Courier New"/>
      <w:szCs w:val="21"/>
    </w:rPr>
  </w:style>
  <w:style w:type="character" w:customStyle="1" w:styleId="294">
    <w:name w:val="明显强调111"/>
    <w:qFormat/>
    <w:uiPriority w:val="0"/>
    <w:rPr>
      <w:b/>
      <w:i/>
      <w:color w:val="4F81BD"/>
    </w:rPr>
  </w:style>
  <w:style w:type="character" w:customStyle="1" w:styleId="295">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96">
    <w:name w:val="文档结构图 Char1"/>
    <w:qFormat/>
    <w:uiPriority w:val="0"/>
    <w:rPr>
      <w:rFonts w:ascii="宋体" w:hAnsi="Times New Roman" w:eastAsia="宋体" w:cs="Times New Roman"/>
      <w:sz w:val="18"/>
      <w:szCs w:val="18"/>
    </w:rPr>
  </w:style>
  <w:style w:type="character" w:customStyle="1" w:styleId="297">
    <w:name w:val="sort"/>
    <w:qFormat/>
    <w:uiPriority w:val="0"/>
    <w:rPr>
      <w:rFonts w:ascii="微软雅黑" w:hAnsi="微软雅黑" w:eastAsia="微软雅黑" w:cs="微软雅黑"/>
      <w:b/>
      <w:color w:val="6D6D6D"/>
    </w:rPr>
  </w:style>
  <w:style w:type="character" w:customStyle="1" w:styleId="298">
    <w:name w:val="二级条标题 Char"/>
    <w:link w:val="299"/>
    <w:qFormat/>
    <w:uiPriority w:val="0"/>
    <w:rPr>
      <w:rFonts w:eastAsia="黑体"/>
      <w:sz w:val="21"/>
    </w:rPr>
  </w:style>
  <w:style w:type="paragraph" w:customStyle="1" w:styleId="299">
    <w:name w:val="二级条标题"/>
    <w:basedOn w:val="1"/>
    <w:next w:val="1"/>
    <w:link w:val="298"/>
    <w:qFormat/>
    <w:uiPriority w:val="0"/>
    <w:pPr>
      <w:widowControl/>
      <w:outlineLvl w:val="3"/>
    </w:pPr>
    <w:rPr>
      <w:rFonts w:eastAsia="黑体"/>
      <w:kern w:val="0"/>
      <w:szCs w:val="20"/>
    </w:rPr>
  </w:style>
  <w:style w:type="character" w:customStyle="1" w:styleId="300">
    <w:name w:val="纯文本 Char5"/>
    <w:semiHidden/>
    <w:qFormat/>
    <w:uiPriority w:val="99"/>
    <w:rPr>
      <w:rFonts w:ascii="宋体" w:hAnsi="Courier New" w:eastAsia="宋体" w:cs="Courier New"/>
      <w:szCs w:val="21"/>
    </w:rPr>
  </w:style>
  <w:style w:type="character" w:customStyle="1" w:styleId="301">
    <w:name w:val="disabled"/>
    <w:qFormat/>
    <w:uiPriority w:val="0"/>
    <w:rPr>
      <w:vanish/>
    </w:rPr>
  </w:style>
  <w:style w:type="character" w:customStyle="1" w:styleId="302">
    <w:name w:val="不明显强调2"/>
    <w:qFormat/>
    <w:uiPriority w:val="0"/>
    <w:rPr>
      <w:i/>
      <w:iCs/>
      <w:color w:val="808080"/>
    </w:rPr>
  </w:style>
  <w:style w:type="character" w:customStyle="1" w:styleId="303">
    <w:name w:val="不明显强调111"/>
    <w:qFormat/>
    <w:uiPriority w:val="0"/>
    <w:rPr>
      <w:i/>
      <w:iCs/>
      <w:color w:val="808080"/>
    </w:rPr>
  </w:style>
  <w:style w:type="character" w:customStyle="1" w:styleId="304">
    <w:name w:val="more8"/>
    <w:qFormat/>
    <w:uiPriority w:val="0"/>
    <w:rPr>
      <w:color w:val="FFFFFF"/>
    </w:rPr>
  </w:style>
  <w:style w:type="character" w:customStyle="1" w:styleId="305">
    <w:name w:val="不明显参考1"/>
    <w:qFormat/>
    <w:uiPriority w:val="0"/>
    <w:rPr>
      <w:smallCaps/>
      <w:color w:val="C0504D"/>
      <w:u w:val="single"/>
    </w:rPr>
  </w:style>
  <w:style w:type="character" w:customStyle="1" w:styleId="306">
    <w:name w:val="font01"/>
    <w:qFormat/>
    <w:uiPriority w:val="0"/>
    <w:rPr>
      <w:rFonts w:hint="default" w:ascii="Times New Roman" w:hAnsi="Times New Roman" w:cs="Times New Roman"/>
      <w:color w:val="000000"/>
      <w:sz w:val="20"/>
      <w:szCs w:val="20"/>
    </w:rPr>
  </w:style>
  <w:style w:type="character" w:customStyle="1" w:styleId="307">
    <w:name w:val="标题 #3_"/>
    <w:link w:val="308"/>
    <w:qFormat/>
    <w:uiPriority w:val="0"/>
    <w:rPr>
      <w:rFonts w:ascii="MingLiU" w:hAnsi="MingLiU" w:eastAsia="MingLiU"/>
      <w:sz w:val="31"/>
      <w:szCs w:val="31"/>
      <w:shd w:val="clear" w:color="auto" w:fill="FFFFFF"/>
    </w:rPr>
  </w:style>
  <w:style w:type="paragraph" w:customStyle="1" w:styleId="308">
    <w:name w:val="标题 #3"/>
    <w:basedOn w:val="1"/>
    <w:link w:val="307"/>
    <w:qFormat/>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character" w:customStyle="1" w:styleId="309">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310">
    <w:name w:val="图片标题_"/>
    <w:link w:val="311"/>
    <w:qFormat/>
    <w:uiPriority w:val="0"/>
    <w:rPr>
      <w:rFonts w:ascii="Arial Unicode MS" w:hAnsi="Arial Unicode MS" w:eastAsia="Arial Unicode MS"/>
      <w:shd w:val="clear" w:color="auto" w:fill="FFFFFF"/>
    </w:rPr>
  </w:style>
  <w:style w:type="paragraph" w:customStyle="1" w:styleId="311">
    <w:name w:val="图片标题"/>
    <w:basedOn w:val="1"/>
    <w:link w:val="310"/>
    <w:qFormat/>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character" w:customStyle="1" w:styleId="312">
    <w:name w:val="小节 Cha"/>
    <w:qFormat/>
    <w:uiPriority w:val="0"/>
    <w:rPr>
      <w:rFonts w:eastAsia="宋体"/>
      <w:b/>
      <w:kern w:val="2"/>
      <w:sz w:val="32"/>
      <w:lang w:val="en-US" w:eastAsia="zh-CN"/>
    </w:rPr>
  </w:style>
  <w:style w:type="character" w:customStyle="1" w:styleId="313">
    <w:name w:val="尾注文本 Char4"/>
    <w:semiHidden/>
    <w:qFormat/>
    <w:uiPriority w:val="99"/>
  </w:style>
  <w:style w:type="character" w:customStyle="1" w:styleId="314">
    <w:name w:val="标题 7 Char"/>
    <w:qFormat/>
    <w:uiPriority w:val="0"/>
    <w:rPr>
      <w:b/>
      <w:bCs/>
      <w:kern w:val="2"/>
      <w:sz w:val="24"/>
      <w:szCs w:val="24"/>
    </w:rPr>
  </w:style>
  <w:style w:type="character" w:customStyle="1" w:styleId="315">
    <w:name w:val="页眉 Char3"/>
    <w:semiHidden/>
    <w:qFormat/>
    <w:uiPriority w:val="99"/>
    <w:rPr>
      <w:sz w:val="18"/>
      <w:szCs w:val="18"/>
    </w:rPr>
  </w:style>
  <w:style w:type="character" w:customStyle="1" w:styleId="316">
    <w:name w:val="正文文本 (7)_"/>
    <w:link w:val="317"/>
    <w:qFormat/>
    <w:uiPriority w:val="0"/>
    <w:rPr>
      <w:rFonts w:ascii="宋体" w:hAnsi="宋体"/>
      <w:b/>
      <w:bCs/>
      <w:szCs w:val="21"/>
      <w:shd w:val="clear" w:color="auto" w:fill="FFFFFF"/>
    </w:rPr>
  </w:style>
  <w:style w:type="paragraph" w:customStyle="1" w:styleId="317">
    <w:name w:val="正文文本 (7)"/>
    <w:basedOn w:val="1"/>
    <w:link w:val="316"/>
    <w:qFormat/>
    <w:uiPriority w:val="0"/>
    <w:pPr>
      <w:shd w:val="clear" w:color="auto" w:fill="FFFFFF"/>
      <w:spacing w:before="120" w:line="466" w:lineRule="exact"/>
      <w:jc w:val="center"/>
    </w:pPr>
    <w:rPr>
      <w:rFonts w:ascii="宋体" w:hAnsi="宋体"/>
      <w:b/>
      <w:bCs/>
      <w:kern w:val="0"/>
      <w:sz w:val="20"/>
      <w:szCs w:val="21"/>
      <w:shd w:val="clear" w:color="auto" w:fill="FFFFFF"/>
    </w:rPr>
  </w:style>
  <w:style w:type="character" w:customStyle="1" w:styleId="318">
    <w:name w:val="正文文本 (5) Exact"/>
    <w:link w:val="319"/>
    <w:qFormat/>
    <w:uiPriority w:val="0"/>
    <w:rPr>
      <w:rFonts w:ascii="黑体" w:hAnsi="黑体" w:eastAsia="黑体"/>
      <w:spacing w:val="-40"/>
      <w:shd w:val="clear" w:color="auto" w:fill="FFFFFF"/>
    </w:rPr>
  </w:style>
  <w:style w:type="paragraph" w:customStyle="1" w:styleId="319">
    <w:name w:val="正文文本 (5)"/>
    <w:basedOn w:val="1"/>
    <w:link w:val="318"/>
    <w:qFormat/>
    <w:uiPriority w:val="0"/>
    <w:pPr>
      <w:shd w:val="clear" w:color="auto" w:fill="FFFFFF"/>
      <w:spacing w:line="0" w:lineRule="atLeast"/>
      <w:jc w:val="left"/>
    </w:pPr>
    <w:rPr>
      <w:rFonts w:ascii="黑体" w:hAnsi="黑体" w:eastAsia="黑体"/>
      <w:spacing w:val="-40"/>
      <w:kern w:val="0"/>
      <w:sz w:val="20"/>
      <w:szCs w:val="20"/>
      <w:shd w:val="clear" w:color="auto" w:fill="FFFFFF"/>
    </w:rPr>
  </w:style>
  <w:style w:type="character" w:customStyle="1" w:styleId="320">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21">
    <w:name w:val="标题 3 Char Char"/>
    <w:qFormat/>
    <w:uiPriority w:val="0"/>
    <w:rPr>
      <w:rFonts w:ascii="宋体" w:hAnsi="宋体" w:eastAsia="宋体"/>
      <w:b/>
      <w:bCs/>
      <w:color w:val="FF0000"/>
      <w:kern w:val="2"/>
      <w:sz w:val="24"/>
      <w:szCs w:val="24"/>
      <w:lang w:val="zh-CN" w:eastAsia="zh-CN" w:bidi="ar-SA"/>
    </w:rPr>
  </w:style>
  <w:style w:type="character" w:customStyle="1" w:styleId="322">
    <w:name w:val="cnfont1"/>
    <w:basedOn w:val="57"/>
    <w:qFormat/>
    <w:uiPriority w:val="0"/>
  </w:style>
  <w:style w:type="character" w:customStyle="1" w:styleId="323">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24">
    <w:name w:val="明显参考2"/>
    <w:qFormat/>
    <w:uiPriority w:val="0"/>
    <w:rPr>
      <w:b/>
      <w:smallCaps/>
      <w:color w:val="C0504D"/>
      <w:spacing w:val="5"/>
      <w:u w:val="single"/>
    </w:rPr>
  </w:style>
  <w:style w:type="character" w:customStyle="1" w:styleId="325">
    <w:name w:val="尾注文本 Char"/>
    <w:qFormat/>
    <w:uiPriority w:val="0"/>
    <w:rPr>
      <w:kern w:val="2"/>
      <w:sz w:val="21"/>
      <w:szCs w:val="22"/>
    </w:rPr>
  </w:style>
  <w:style w:type="character" w:customStyle="1" w:styleId="326">
    <w:name w:val="正文首行缩进 2 Char2"/>
    <w:semiHidden/>
    <w:qFormat/>
    <w:uiPriority w:val="99"/>
  </w:style>
  <w:style w:type="character" w:customStyle="1" w:styleId="327">
    <w:name w:val="页眉 Char4"/>
    <w:semiHidden/>
    <w:qFormat/>
    <w:uiPriority w:val="99"/>
    <w:rPr>
      <w:sz w:val="18"/>
      <w:szCs w:val="18"/>
    </w:rPr>
  </w:style>
  <w:style w:type="character" w:customStyle="1" w:styleId="328">
    <w:name w:val="文档结构图 Char2"/>
    <w:semiHidden/>
    <w:qFormat/>
    <w:uiPriority w:val="99"/>
    <w:rPr>
      <w:rFonts w:ascii="宋体" w:hAnsi="Times New Roman" w:eastAsia="宋体" w:cs="Times New Roman"/>
      <w:sz w:val="18"/>
      <w:szCs w:val="18"/>
    </w:rPr>
  </w:style>
  <w:style w:type="character" w:customStyle="1" w:styleId="329">
    <w:name w:val="正文文本 2 Char3"/>
    <w:semiHidden/>
    <w:qFormat/>
    <w:uiPriority w:val="99"/>
  </w:style>
  <w:style w:type="character" w:customStyle="1" w:styleId="330">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331">
    <w:name w:val="宏文本 Char1"/>
    <w:semiHidden/>
    <w:qFormat/>
    <w:uiPriority w:val="99"/>
    <w:rPr>
      <w:rFonts w:ascii="Courier New" w:hAnsi="Courier New" w:eastAsia="宋体" w:cs="Courier New"/>
      <w:sz w:val="24"/>
      <w:szCs w:val="24"/>
    </w:rPr>
  </w:style>
  <w:style w:type="character" w:customStyle="1" w:styleId="332">
    <w:name w:val="批注文字 Char3"/>
    <w:qFormat/>
    <w:uiPriority w:val="0"/>
    <w:rPr>
      <w:rFonts w:ascii="Times New Roman" w:hAnsi="Times New Roman" w:eastAsia="宋体" w:cs="Times New Roman"/>
    </w:rPr>
  </w:style>
  <w:style w:type="character" w:customStyle="1" w:styleId="333">
    <w:name w:val="font11"/>
    <w:qFormat/>
    <w:uiPriority w:val="0"/>
    <w:rPr>
      <w:rFonts w:hint="eastAsia" w:ascii="宋体" w:hAnsi="宋体" w:eastAsia="宋体" w:cs="宋体"/>
      <w:color w:val="000000"/>
      <w:sz w:val="20"/>
      <w:szCs w:val="20"/>
    </w:rPr>
  </w:style>
  <w:style w:type="character" w:customStyle="1" w:styleId="334">
    <w:name w:val="line1801"/>
    <w:qFormat/>
    <w:uiPriority w:val="0"/>
    <w:rPr>
      <w:rFonts w:hint="default"/>
      <w:spacing w:val="380"/>
      <w:sz w:val="19"/>
    </w:rPr>
  </w:style>
  <w:style w:type="character" w:customStyle="1" w:styleId="335">
    <w:name w:val="标题 Char"/>
    <w:qFormat/>
    <w:uiPriority w:val="0"/>
    <w:rPr>
      <w:rFonts w:ascii="Cambria" w:hAnsi="Cambria" w:cs="Times New Roman"/>
      <w:b/>
      <w:bCs/>
      <w:kern w:val="2"/>
      <w:sz w:val="32"/>
      <w:szCs w:val="32"/>
    </w:rPr>
  </w:style>
  <w:style w:type="character" w:customStyle="1" w:styleId="336">
    <w:name w:val="正文文本 2 Char"/>
    <w:qFormat/>
    <w:uiPriority w:val="0"/>
    <w:rPr>
      <w:kern w:val="2"/>
      <w:sz w:val="21"/>
      <w:szCs w:val="22"/>
    </w:rPr>
  </w:style>
  <w:style w:type="character" w:customStyle="1" w:styleId="337">
    <w:name w:val="标题 5 Char"/>
    <w:qFormat/>
    <w:uiPriority w:val="0"/>
    <w:rPr>
      <w:b/>
      <w:bCs/>
      <w:kern w:val="2"/>
      <w:sz w:val="28"/>
      <w:szCs w:val="28"/>
    </w:rPr>
  </w:style>
  <w:style w:type="character" w:customStyle="1" w:styleId="338">
    <w:name w:val="正文首行缩进 Char"/>
    <w:basedOn w:val="86"/>
    <w:qFormat/>
    <w:uiPriority w:val="0"/>
    <w:rPr>
      <w:kern w:val="2"/>
      <w:sz w:val="21"/>
      <w:szCs w:val="22"/>
    </w:rPr>
  </w:style>
  <w:style w:type="character" w:customStyle="1" w:styleId="339">
    <w:name w:val="明显引用 Char3"/>
    <w:qFormat/>
    <w:uiPriority w:val="30"/>
    <w:rPr>
      <w:b/>
      <w:bCs/>
      <w:i/>
      <w:iCs/>
      <w:color w:val="4F81BD"/>
    </w:rPr>
  </w:style>
  <w:style w:type="character" w:customStyle="1" w:styleId="340">
    <w:name w:val="批注框文本 Char1"/>
    <w:semiHidden/>
    <w:qFormat/>
    <w:uiPriority w:val="99"/>
    <w:rPr>
      <w:rFonts w:ascii="Times New Roman" w:hAnsi="Times New Roman" w:eastAsia="宋体" w:cs="Times New Roman"/>
      <w:sz w:val="18"/>
      <w:szCs w:val="18"/>
    </w:rPr>
  </w:style>
  <w:style w:type="character" w:customStyle="1" w:styleId="341">
    <w:name w:val="标题 #7_"/>
    <w:link w:val="342"/>
    <w:qFormat/>
    <w:uiPriority w:val="0"/>
    <w:rPr>
      <w:rFonts w:ascii="Arial Unicode MS" w:hAnsi="Arial Unicode MS" w:eastAsia="Arial Unicode MS"/>
      <w:shd w:val="clear" w:color="auto" w:fill="FFFFFF"/>
    </w:rPr>
  </w:style>
  <w:style w:type="paragraph" w:customStyle="1" w:styleId="342">
    <w:name w:val="标题 #7"/>
    <w:basedOn w:val="1"/>
    <w:link w:val="341"/>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shd w:val="clear" w:color="auto" w:fill="FFFFFF"/>
    </w:rPr>
  </w:style>
  <w:style w:type="character" w:customStyle="1" w:styleId="343">
    <w:name w:val="正文文本缩进 3 Char1"/>
    <w:semiHidden/>
    <w:qFormat/>
    <w:uiPriority w:val="99"/>
    <w:rPr>
      <w:rFonts w:ascii="Times New Roman" w:hAnsi="Times New Roman" w:eastAsia="宋体" w:cs="Times New Roman"/>
      <w:sz w:val="16"/>
      <w:szCs w:val="16"/>
    </w:rPr>
  </w:style>
  <w:style w:type="character" w:customStyle="1" w:styleId="344">
    <w:name w:val="apple-converted-space"/>
    <w:basedOn w:val="57"/>
    <w:qFormat/>
    <w:uiPriority w:val="0"/>
  </w:style>
  <w:style w:type="character" w:customStyle="1" w:styleId="345">
    <w:name w:val="正文（首行缩进两字）"/>
    <w:qFormat/>
    <w:uiPriority w:val="0"/>
    <w:rPr>
      <w:rFonts w:ascii="宋体" w:eastAsia="宋体"/>
      <w:color w:val="000000"/>
      <w:kern w:val="2"/>
      <w:sz w:val="24"/>
      <w:lang w:val="en-US" w:eastAsia="zh-CN"/>
    </w:rPr>
  </w:style>
  <w:style w:type="character" w:customStyle="1" w:styleId="346">
    <w:name w:val="标题 Char1"/>
    <w:qFormat/>
    <w:uiPriority w:val="10"/>
    <w:rPr>
      <w:rFonts w:ascii="Cambria" w:hAnsi="Cambria" w:eastAsia="宋体" w:cs="Times New Roman"/>
      <w:b/>
      <w:bCs/>
      <w:sz w:val="32"/>
      <w:szCs w:val="32"/>
    </w:rPr>
  </w:style>
  <w:style w:type="character" w:customStyle="1" w:styleId="347">
    <w:name w:val="正文文本缩进 2 Char"/>
    <w:qFormat/>
    <w:uiPriority w:val="0"/>
    <w:rPr>
      <w:kern w:val="2"/>
      <w:sz w:val="21"/>
      <w:szCs w:val="22"/>
    </w:rPr>
  </w:style>
  <w:style w:type="character" w:customStyle="1" w:styleId="348">
    <w:name w:val="Char Char11"/>
    <w:qFormat/>
    <w:uiPriority w:val="0"/>
    <w:rPr>
      <w:rFonts w:eastAsia="宋体"/>
      <w:b/>
      <w:bCs/>
      <w:kern w:val="44"/>
      <w:sz w:val="44"/>
      <w:szCs w:val="44"/>
      <w:lang w:val="en-US" w:eastAsia="zh-CN" w:bidi="ar-SA"/>
    </w:rPr>
  </w:style>
  <w:style w:type="character" w:customStyle="1" w:styleId="349">
    <w:name w:val="页码11"/>
    <w:qFormat/>
    <w:uiPriority w:val="0"/>
  </w:style>
  <w:style w:type="character" w:customStyle="1" w:styleId="350">
    <w:name w:val="正文文本 3 Char3"/>
    <w:semiHidden/>
    <w:qFormat/>
    <w:uiPriority w:val="99"/>
    <w:rPr>
      <w:sz w:val="16"/>
      <w:szCs w:val="16"/>
    </w:rPr>
  </w:style>
  <w:style w:type="character" w:customStyle="1" w:styleId="351">
    <w:name w:val="不明显参考11"/>
    <w:qFormat/>
    <w:uiPriority w:val="0"/>
    <w:rPr>
      <w:smallCaps/>
      <w:color w:val="C0504D"/>
      <w:u w:val="single"/>
    </w:rPr>
  </w:style>
  <w:style w:type="character" w:customStyle="1" w:styleId="352">
    <w:name w:val="标题 1 Char"/>
    <w:qFormat/>
    <w:uiPriority w:val="0"/>
    <w:rPr>
      <w:b/>
      <w:bCs/>
      <w:kern w:val="44"/>
      <w:sz w:val="44"/>
      <w:szCs w:val="44"/>
    </w:rPr>
  </w:style>
  <w:style w:type="character" w:customStyle="1" w:styleId="353">
    <w:name w:val="明显参考11"/>
    <w:qFormat/>
    <w:uiPriority w:val="0"/>
    <w:rPr>
      <w:b/>
      <w:smallCaps/>
      <w:color w:val="C0504D"/>
      <w:spacing w:val="5"/>
      <w:u w:val="single"/>
    </w:rPr>
  </w:style>
  <w:style w:type="character" w:customStyle="1" w:styleId="35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55">
    <w:name w:val="H2 Char1"/>
    <w:qFormat/>
    <w:uiPriority w:val="0"/>
    <w:rPr>
      <w:rFonts w:ascii="Cambria" w:hAnsi="Cambria" w:eastAsia="宋体"/>
      <w:b/>
      <w:color w:val="4F81BD"/>
      <w:kern w:val="0"/>
      <w:sz w:val="26"/>
      <w:lang w:eastAsia="en-US"/>
    </w:rPr>
  </w:style>
  <w:style w:type="character" w:customStyle="1" w:styleId="356">
    <w:name w:val="宏文本 Char2"/>
    <w:semiHidden/>
    <w:qFormat/>
    <w:uiPriority w:val="99"/>
    <w:rPr>
      <w:rFonts w:ascii="Courier New" w:hAnsi="Courier New" w:eastAsia="宋体" w:cs="Courier New"/>
      <w:sz w:val="24"/>
      <w:szCs w:val="24"/>
    </w:rPr>
  </w:style>
  <w:style w:type="character" w:customStyle="1" w:styleId="357">
    <w:name w:val="text_darkgray1"/>
    <w:qFormat/>
    <w:uiPriority w:val="0"/>
    <w:rPr>
      <w:color w:val="000000"/>
      <w:spacing w:val="380"/>
      <w:sz w:val="22"/>
    </w:rPr>
  </w:style>
  <w:style w:type="character" w:customStyle="1" w:styleId="358">
    <w:name w:val="不明显参考2"/>
    <w:qFormat/>
    <w:uiPriority w:val="0"/>
    <w:rPr>
      <w:smallCaps/>
      <w:color w:val="C0504D"/>
      <w:u w:val="single"/>
    </w:rPr>
  </w:style>
  <w:style w:type="character" w:customStyle="1" w:styleId="359">
    <w:name w:val="style261"/>
    <w:qFormat/>
    <w:uiPriority w:val="0"/>
    <w:rPr>
      <w:rFonts w:eastAsia="宋体"/>
      <w:kern w:val="2"/>
      <w:sz w:val="20"/>
      <w:szCs w:val="20"/>
      <w:lang w:val="en-US" w:eastAsia="zh-CN" w:bidi="ar-SA"/>
    </w:rPr>
  </w:style>
  <w:style w:type="character" w:customStyle="1" w:styleId="360">
    <w:name w:val="引用 Char2"/>
    <w:qFormat/>
    <w:uiPriority w:val="29"/>
    <w:rPr>
      <w:i/>
      <w:iCs/>
      <w:color w:val="000000"/>
    </w:rPr>
  </w:style>
  <w:style w:type="character" w:customStyle="1" w:styleId="361">
    <w:name w:val="文档结构图 Char"/>
    <w:qFormat/>
    <w:uiPriority w:val="0"/>
    <w:rPr>
      <w:rFonts w:ascii="宋体"/>
      <w:kern w:val="2"/>
      <w:sz w:val="18"/>
      <w:szCs w:val="18"/>
    </w:rPr>
  </w:style>
  <w:style w:type="character" w:customStyle="1" w:styleId="362">
    <w:name w:val="正文文本缩进 Char4"/>
    <w:semiHidden/>
    <w:qFormat/>
    <w:uiPriority w:val="99"/>
  </w:style>
  <w:style w:type="character" w:customStyle="1" w:styleId="363">
    <w:name w:val="weby1"/>
    <w:basedOn w:val="57"/>
    <w:qFormat/>
    <w:uiPriority w:val="0"/>
  </w:style>
  <w:style w:type="character" w:customStyle="1" w:styleId="364">
    <w:name w:val="FtrF Char Char"/>
    <w:qFormat/>
    <w:uiPriority w:val="0"/>
    <w:rPr>
      <w:rFonts w:eastAsia="宋体"/>
      <w:kern w:val="2"/>
      <w:sz w:val="18"/>
      <w:lang w:val="en-US" w:eastAsia="zh-CN" w:bidi="ar-SA"/>
    </w:rPr>
  </w:style>
  <w:style w:type="character" w:customStyle="1" w:styleId="365">
    <w:name w:val="9ft1"/>
    <w:qFormat/>
    <w:uiPriority w:val="0"/>
    <w:rPr>
      <w:rFonts w:hint="eastAsia" w:ascii="宋体" w:hAnsi="宋体" w:eastAsia="宋体"/>
      <w:color w:val="000000"/>
      <w:sz w:val="18"/>
      <w:u w:val="none"/>
    </w:rPr>
  </w:style>
  <w:style w:type="character" w:customStyle="1" w:styleId="366">
    <w:name w:val="脚注文本 Char1"/>
    <w:semiHidden/>
    <w:qFormat/>
    <w:uiPriority w:val="99"/>
    <w:rPr>
      <w:sz w:val="18"/>
      <w:szCs w:val="18"/>
    </w:rPr>
  </w:style>
  <w:style w:type="character" w:customStyle="1" w:styleId="367">
    <w:name w:val="样式 正文缩进 + 首行缩进:  2 字符 Char Char"/>
    <w:qFormat/>
    <w:uiPriority w:val="0"/>
    <w:rPr>
      <w:rFonts w:eastAsia="宋体"/>
      <w:kern w:val="2"/>
      <w:sz w:val="24"/>
      <w:lang w:val="en-US" w:eastAsia="zh-CN"/>
    </w:rPr>
  </w:style>
  <w:style w:type="character" w:customStyle="1" w:styleId="368">
    <w:name w:val="标题 6 Char"/>
    <w:qFormat/>
    <w:uiPriority w:val="0"/>
    <w:rPr>
      <w:rFonts w:ascii="Cambria" w:hAnsi="Cambria" w:eastAsia="宋体" w:cs="Times New Roman"/>
      <w:b/>
      <w:bCs/>
      <w:kern w:val="2"/>
      <w:sz w:val="24"/>
      <w:szCs w:val="24"/>
    </w:rPr>
  </w:style>
  <w:style w:type="paragraph" w:customStyle="1" w:styleId="369">
    <w:name w:val="素材1"/>
    <w:basedOn w:val="1"/>
    <w:qFormat/>
    <w:uiPriority w:val="0"/>
    <w:pPr>
      <w:snapToGrid w:val="0"/>
      <w:spacing w:before="120" w:line="540" w:lineRule="atLeast"/>
      <w:ind w:firstLine="567"/>
    </w:pPr>
    <w:rPr>
      <w:rFonts w:ascii="宋体" w:hAnsi="Times New Roman"/>
      <w:kern w:val="52"/>
      <w:sz w:val="28"/>
      <w:szCs w:val="20"/>
    </w:rPr>
  </w:style>
  <w:style w:type="paragraph" w:customStyle="1" w:styleId="370">
    <w:name w:val="样式 宋体 行距: 1.5 倍行距"/>
    <w:basedOn w:val="1"/>
    <w:qFormat/>
    <w:uiPriority w:val="0"/>
    <w:pPr>
      <w:jc w:val="center"/>
    </w:pPr>
    <w:rPr>
      <w:rFonts w:ascii="Times New Roman" w:hAnsi="Times New Roman"/>
      <w:b/>
    </w:rPr>
  </w:style>
  <w:style w:type="paragraph" w:customStyle="1" w:styleId="371">
    <w:name w:val="Default Text"/>
    <w:basedOn w:val="1"/>
    <w:qFormat/>
    <w:uiPriority w:val="0"/>
    <w:pPr>
      <w:spacing w:line="360" w:lineRule="auto"/>
    </w:pPr>
    <w:rPr>
      <w:rFonts w:ascii="Times New Roman" w:hAnsi="Times New Roman"/>
      <w:snapToGrid w:val="0"/>
      <w:sz w:val="24"/>
      <w:szCs w:val="20"/>
      <w:lang w:val="en-GB"/>
    </w:rPr>
  </w:style>
  <w:style w:type="paragraph" w:customStyle="1" w:styleId="372">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373">
    <w:name w:val="2nd Subhead"/>
    <w:basedOn w:val="1"/>
    <w:qFormat/>
    <w:uiPriority w:val="0"/>
    <w:pPr>
      <w:spacing w:after="29"/>
    </w:pPr>
    <w:rPr>
      <w:rFonts w:ascii="Beijing" w:hAnsi="Times New Roman" w:eastAsia="Times New Roman"/>
      <w:sz w:val="16"/>
      <w:szCs w:val="20"/>
    </w:rPr>
  </w:style>
  <w:style w:type="paragraph" w:customStyle="1" w:styleId="37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Default"/>
    <w:next w:val="35"/>
    <w:qFormat/>
    <w:uiPriority w:val="99"/>
    <w:pPr>
      <w:widowControl w:val="0"/>
      <w:autoSpaceDE w:val="0"/>
      <w:autoSpaceDN w:val="0"/>
      <w:adjustRightInd w:val="0"/>
      <w:spacing w:after="200" w:line="276" w:lineRule="auto"/>
    </w:pPr>
    <w:rPr>
      <w:rFonts w:ascii="宋体" w:hAnsi="Calibri" w:eastAsia="宋体" w:cs="Times New Roman"/>
      <w:color w:val="000000"/>
      <w:sz w:val="24"/>
      <w:lang w:val="en-US" w:eastAsia="zh-CN" w:bidi="ar-SA"/>
    </w:rPr>
  </w:style>
  <w:style w:type="paragraph" w:customStyle="1" w:styleId="37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7">
    <w:name w:val="列出段落41"/>
    <w:basedOn w:val="1"/>
    <w:qFormat/>
    <w:uiPriority w:val="0"/>
    <w:pPr>
      <w:ind w:firstLine="420" w:firstLineChars="200"/>
    </w:pPr>
    <w:rPr>
      <w:rFonts w:ascii="Times New Roman" w:hAnsi="Times New Roman"/>
      <w:szCs w:val="20"/>
    </w:rPr>
  </w:style>
  <w:style w:type="paragraph" w:customStyle="1" w:styleId="378">
    <w:name w:val="条文"/>
    <w:basedOn w:val="1"/>
    <w:qFormat/>
    <w:uiPriority w:val="0"/>
    <w:pPr>
      <w:spacing w:line="240" w:lineRule="atLeast"/>
    </w:pPr>
    <w:rPr>
      <w:rFonts w:ascii="Times New Roman" w:hAnsi="Times New Roman"/>
      <w:sz w:val="24"/>
      <w:szCs w:val="20"/>
    </w:rPr>
  </w:style>
  <w:style w:type="paragraph" w:customStyle="1" w:styleId="379">
    <w:name w:val="正文1"/>
    <w:basedOn w:val="1"/>
    <w:qFormat/>
    <w:uiPriority w:val="0"/>
    <w:pPr>
      <w:tabs>
        <w:tab w:val="left" w:pos="4320"/>
        <w:tab w:val="left" w:pos="4680"/>
        <w:tab w:val="left" w:pos="5040"/>
        <w:tab w:val="left" w:pos="5400"/>
        <w:tab w:val="right" w:pos="10080"/>
      </w:tabs>
      <w:snapToGrid w:val="0"/>
      <w:spacing w:line="360" w:lineRule="auto"/>
    </w:pPr>
    <w:rPr>
      <w:rFonts w:ascii="宋体" w:hAnsi="Times New Roman"/>
      <w:b/>
      <w:sz w:val="24"/>
      <w:szCs w:val="20"/>
    </w:rPr>
  </w:style>
  <w:style w:type="paragraph" w:customStyle="1" w:styleId="380">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81">
    <w:name w:val="Default 123  Text1"/>
    <w:basedOn w:val="1"/>
    <w:qFormat/>
    <w:uiPriority w:val="0"/>
    <w:pPr>
      <w:autoSpaceDE w:val="0"/>
      <w:autoSpaceDN w:val="0"/>
      <w:adjustRightInd w:val="0"/>
    </w:pPr>
    <w:rPr>
      <w:rFonts w:ascii="宋体" w:hAnsi="Times New Roman"/>
      <w:sz w:val="26"/>
      <w:szCs w:val="20"/>
    </w:rPr>
  </w:style>
  <w:style w:type="paragraph" w:customStyle="1" w:styleId="382">
    <w:name w:val="样式1"/>
    <w:basedOn w:val="1"/>
    <w:next w:val="7"/>
    <w:qFormat/>
    <w:uiPriority w:val="0"/>
    <w:pPr>
      <w:spacing w:line="360" w:lineRule="auto"/>
      <w:ind w:firstLine="420" w:firstLineChars="200"/>
    </w:pPr>
    <w:rPr>
      <w:rFonts w:ascii="宋体" w:hAnsi="宋体"/>
      <w:szCs w:val="21"/>
    </w:rPr>
  </w:style>
  <w:style w:type="paragraph" w:customStyle="1" w:styleId="383">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38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385">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386">
    <w:name w:val="Char"/>
    <w:basedOn w:val="1"/>
    <w:qFormat/>
    <w:uiPriority w:val="0"/>
    <w:pPr>
      <w:tabs>
        <w:tab w:val="left" w:pos="1360"/>
      </w:tabs>
      <w:ind w:left="1360" w:hanging="720"/>
    </w:pPr>
    <w:rPr>
      <w:rFonts w:ascii="Times New Roman" w:hAnsi="Times New Roman"/>
      <w:szCs w:val="20"/>
    </w:rPr>
  </w:style>
  <w:style w:type="paragraph" w:customStyle="1" w:styleId="387">
    <w:name w:val="目录文字"/>
    <w:basedOn w:val="1"/>
    <w:qFormat/>
    <w:uiPriority w:val="0"/>
    <w:pPr>
      <w:widowControl/>
      <w:spacing w:line="480" w:lineRule="auto"/>
      <w:jc w:val="left"/>
    </w:pPr>
    <w:rPr>
      <w:rFonts w:ascii="宋体" w:hAnsi="宋体"/>
      <w:kern w:val="0"/>
      <w:sz w:val="24"/>
      <w:szCs w:val="20"/>
    </w:rPr>
  </w:style>
  <w:style w:type="paragraph" w:customStyle="1" w:styleId="388">
    <w:name w:val="标题5"/>
    <w:basedOn w:val="1"/>
    <w:qFormat/>
    <w:uiPriority w:val="0"/>
    <w:pPr>
      <w:spacing w:before="120" w:after="120"/>
    </w:pPr>
    <w:rPr>
      <w:rFonts w:ascii="宋体" w:hAnsi="Times New Roman"/>
      <w:b/>
      <w:sz w:val="28"/>
      <w:szCs w:val="20"/>
    </w:rPr>
  </w:style>
  <w:style w:type="paragraph" w:customStyle="1" w:styleId="389">
    <w:name w:val="Char1"/>
    <w:basedOn w:val="1"/>
    <w:qFormat/>
    <w:uiPriority w:val="0"/>
    <w:pPr>
      <w:tabs>
        <w:tab w:val="left" w:pos="360"/>
      </w:tabs>
    </w:pPr>
    <w:rPr>
      <w:rFonts w:ascii="Times New Roman" w:hAnsi="Times New Roman"/>
      <w:sz w:val="24"/>
      <w:szCs w:val="24"/>
    </w:rPr>
  </w:style>
  <w:style w:type="paragraph" w:customStyle="1" w:styleId="390">
    <w:name w:val="三级无标题条"/>
    <w:basedOn w:val="1"/>
    <w:qFormat/>
    <w:uiPriority w:val="0"/>
    <w:pPr>
      <w:ind w:left="2100" w:hanging="420"/>
    </w:pPr>
    <w:rPr>
      <w:rFonts w:ascii="Times New Roman" w:hAnsi="Times New Roman"/>
      <w:szCs w:val="24"/>
    </w:rPr>
  </w:style>
  <w:style w:type="paragraph" w:customStyle="1" w:styleId="391">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392">
    <w:name w:val="Response italic"/>
    <w:basedOn w:val="393"/>
    <w:qFormat/>
    <w:uiPriority w:val="0"/>
    <w:rPr>
      <w:rFonts w:eastAsia="Times New Roman"/>
      <w:i/>
    </w:rPr>
  </w:style>
  <w:style w:type="paragraph" w:customStyle="1" w:styleId="393">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394">
    <w:name w:val="五级无标题条"/>
    <w:basedOn w:val="1"/>
    <w:qFormat/>
    <w:uiPriority w:val="0"/>
    <w:pPr>
      <w:ind w:left="2940" w:hanging="420"/>
    </w:pPr>
    <w:rPr>
      <w:rFonts w:ascii="Times New Roman" w:hAnsi="Times New Roman"/>
      <w:szCs w:val="24"/>
    </w:rPr>
  </w:style>
  <w:style w:type="paragraph" w:customStyle="1" w:styleId="395">
    <w:name w:val="封三"/>
    <w:basedOn w:val="216"/>
    <w:next w:val="216"/>
    <w:qFormat/>
    <w:uiPriority w:val="0"/>
    <w:pPr>
      <w:ind w:firstLine="0" w:firstLineChars="0"/>
      <w:jc w:val="center"/>
    </w:pPr>
    <w:rPr>
      <w:sz w:val="30"/>
    </w:rPr>
  </w:style>
  <w:style w:type="paragraph" w:customStyle="1" w:styleId="39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397">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398">
    <w:name w:val="正文文本缩进 311"/>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99">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400">
    <w:name w:val="编号"/>
    <w:basedOn w:val="1"/>
    <w:qFormat/>
    <w:uiPriority w:val="0"/>
    <w:pPr>
      <w:spacing w:afterLines="50" w:line="300" w:lineRule="auto"/>
      <w:textAlignment w:val="center"/>
    </w:pPr>
    <w:rPr>
      <w:rFonts w:ascii="Times New Roman" w:hAnsi="Times New Roman" w:eastAsia="仿宋_GB2312"/>
      <w:spacing w:val="20"/>
      <w:szCs w:val="20"/>
    </w:rPr>
  </w:style>
  <w:style w:type="paragraph" w:styleId="401">
    <w:name w:val="List Paragraph"/>
    <w:basedOn w:val="1"/>
    <w:qFormat/>
    <w:uiPriority w:val="99"/>
    <w:rPr>
      <w:sz w:val="20"/>
      <w:szCs w:val="20"/>
    </w:rPr>
  </w:style>
  <w:style w:type="paragraph" w:customStyle="1" w:styleId="402">
    <w:name w:val="编号1"/>
    <w:basedOn w:val="1"/>
    <w:qFormat/>
    <w:uiPriority w:val="0"/>
    <w:pPr>
      <w:spacing w:line="360" w:lineRule="auto"/>
    </w:pPr>
    <w:rPr>
      <w:rFonts w:ascii="Arial" w:hAnsi="Arial"/>
      <w:sz w:val="24"/>
      <w:szCs w:val="20"/>
    </w:rPr>
  </w:style>
  <w:style w:type="paragraph" w:customStyle="1" w:styleId="403">
    <w:name w:val="无间隔11"/>
    <w:qFormat/>
    <w:uiPriority w:val="0"/>
    <w:pPr>
      <w:spacing w:after="200" w:line="276" w:lineRule="auto"/>
    </w:pPr>
    <w:rPr>
      <w:rFonts w:ascii="Calibri" w:hAnsi="Calibri" w:eastAsia="宋体" w:cs="Times New Roman"/>
      <w:sz w:val="22"/>
      <w:lang w:val="en-US" w:eastAsia="en-US" w:bidi="ar-SA"/>
    </w:rPr>
  </w:style>
  <w:style w:type="paragraph" w:customStyle="1" w:styleId="404">
    <w:name w:val="样式 标题 1标书1H1h11st levelSection Headl1标题一Heading 0PIM 1..."/>
    <w:basedOn w:val="1"/>
    <w:qFormat/>
    <w:uiPriority w:val="0"/>
    <w:rPr>
      <w:rFonts w:ascii="Times New Roman" w:hAnsi="Times New Roman"/>
      <w:szCs w:val="20"/>
    </w:rPr>
  </w:style>
  <w:style w:type="paragraph" w:customStyle="1" w:styleId="405">
    <w:name w:val="Plain Text1"/>
    <w:basedOn w:val="1"/>
    <w:qFormat/>
    <w:uiPriority w:val="99"/>
    <w:rPr>
      <w:rFonts w:ascii="宋体" w:hAnsi="Courier New"/>
      <w:kern w:val="0"/>
      <w:sz w:val="20"/>
      <w:szCs w:val="20"/>
    </w:rPr>
  </w:style>
  <w:style w:type="paragraph" w:customStyle="1" w:styleId="4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407">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408">
    <w:name w:val="正文文本 21"/>
    <w:basedOn w:val="1"/>
    <w:qFormat/>
    <w:uiPriority w:val="0"/>
    <w:pPr>
      <w:autoSpaceDE w:val="0"/>
      <w:autoSpaceDN w:val="0"/>
      <w:adjustRightInd w:val="0"/>
      <w:jc w:val="left"/>
    </w:pPr>
    <w:rPr>
      <w:rFonts w:ascii="宋体" w:hAnsi="Times New Roman"/>
      <w:kern w:val="0"/>
      <w:sz w:val="22"/>
      <w:szCs w:val="20"/>
    </w:rPr>
  </w:style>
  <w:style w:type="paragraph" w:customStyle="1" w:styleId="409">
    <w:name w:val="彩色列表 - 强调文字颜色 11"/>
    <w:basedOn w:val="1"/>
    <w:qFormat/>
    <w:uiPriority w:val="0"/>
    <w:pPr>
      <w:ind w:firstLine="420" w:firstLineChars="200"/>
    </w:pPr>
    <w:rPr>
      <w:rFonts w:ascii="Times New Roman" w:hAnsi="Times New Roman"/>
      <w:szCs w:val="24"/>
    </w:rPr>
  </w:style>
  <w:style w:type="paragraph" w:customStyle="1" w:styleId="410">
    <w:name w:val="封二"/>
    <w:basedOn w:val="216"/>
    <w:next w:val="216"/>
    <w:qFormat/>
    <w:uiPriority w:val="0"/>
    <w:pPr>
      <w:ind w:firstLine="0" w:firstLineChars="0"/>
      <w:jc w:val="center"/>
    </w:pPr>
    <w:rPr>
      <w:rFonts w:eastAsia="黑体"/>
      <w:b/>
      <w:sz w:val="36"/>
      <w:szCs w:val="36"/>
    </w:rPr>
  </w:style>
  <w:style w:type="paragraph" w:customStyle="1" w:styleId="411">
    <w:name w:val="表"/>
    <w:basedOn w:val="1"/>
    <w:qFormat/>
    <w:uiPriority w:val="0"/>
    <w:pPr>
      <w:spacing w:line="300" w:lineRule="auto"/>
      <w:jc w:val="center"/>
    </w:pPr>
    <w:rPr>
      <w:rFonts w:ascii="Times New Roman" w:hAnsi="Times New Roman"/>
      <w:szCs w:val="20"/>
    </w:rPr>
  </w:style>
  <w:style w:type="paragraph" w:customStyle="1" w:styleId="412">
    <w:name w:val="Char Char Char Char Char Char"/>
    <w:basedOn w:val="1"/>
    <w:qFormat/>
    <w:uiPriority w:val="0"/>
    <w:pPr>
      <w:adjustRightInd w:val="0"/>
      <w:spacing w:line="360" w:lineRule="auto"/>
    </w:pPr>
    <w:rPr>
      <w:rFonts w:ascii="Times New Roman" w:hAnsi="Times New Roman"/>
      <w:sz w:val="24"/>
      <w:szCs w:val="20"/>
    </w:rPr>
  </w:style>
  <w:style w:type="paragraph" w:customStyle="1" w:styleId="413">
    <w:name w:val="font7"/>
    <w:basedOn w:val="1"/>
    <w:qFormat/>
    <w:uiPriority w:val="0"/>
    <w:pPr>
      <w:widowControl/>
      <w:spacing w:before="100" w:beforeAutospacing="1" w:after="100" w:afterAutospacing="1"/>
      <w:jc w:val="left"/>
    </w:pPr>
    <w:rPr>
      <w:rFonts w:ascii="Times New Roman" w:hAnsi="Times New Roman"/>
      <w:kern w:val="0"/>
      <w:sz w:val="22"/>
      <w:szCs w:val="20"/>
    </w:rPr>
  </w:style>
  <w:style w:type="paragraph" w:customStyle="1" w:styleId="414">
    <w:name w:val="7"/>
    <w:basedOn w:val="1"/>
    <w:next w:val="48"/>
    <w:qFormat/>
    <w:uiPriority w:val="0"/>
    <w:pPr>
      <w:spacing w:before="120" w:after="120" w:line="480" w:lineRule="auto"/>
      <w:ind w:firstLine="454"/>
    </w:pPr>
    <w:rPr>
      <w:rFonts w:ascii="Times New Roman" w:hAnsi="Times New Roman"/>
      <w:szCs w:val="20"/>
    </w:rPr>
  </w:style>
  <w:style w:type="paragraph" w:customStyle="1" w:styleId="415">
    <w:name w:val="1"/>
    <w:basedOn w:val="1"/>
    <w:qFormat/>
    <w:uiPriority w:val="0"/>
    <w:rPr>
      <w:rFonts w:ascii="Times New Roman" w:hAnsi="Times New Roman"/>
      <w:szCs w:val="24"/>
    </w:rPr>
  </w:style>
  <w:style w:type="paragraph" w:customStyle="1" w:styleId="41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17">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418">
    <w:name w:val="Paragraph Text"/>
    <w:basedOn w:val="1"/>
    <w:qFormat/>
    <w:uiPriority w:val="0"/>
    <w:pPr>
      <w:spacing w:line="320" w:lineRule="exact"/>
    </w:pPr>
    <w:rPr>
      <w:rFonts w:ascii="Beijing" w:hAnsi="Times New Roman" w:eastAsia="Times New Roman"/>
      <w:sz w:val="18"/>
      <w:szCs w:val="20"/>
    </w:rPr>
  </w:style>
  <w:style w:type="paragraph" w:customStyle="1" w:styleId="419">
    <w:name w:val="Char Char Char1 Char"/>
    <w:basedOn w:val="17"/>
    <w:qFormat/>
    <w:uiPriority w:val="0"/>
    <w:rPr>
      <w:rFonts w:ascii="Tahoma" w:hAnsi="Tahoma"/>
      <w:sz w:val="24"/>
    </w:rPr>
  </w:style>
  <w:style w:type="paragraph" w:customStyle="1" w:styleId="420">
    <w:name w:val="正文文本 211"/>
    <w:basedOn w:val="1"/>
    <w:qFormat/>
    <w:uiPriority w:val="0"/>
    <w:pPr>
      <w:autoSpaceDE w:val="0"/>
      <w:autoSpaceDN w:val="0"/>
      <w:adjustRightInd w:val="0"/>
      <w:jc w:val="left"/>
    </w:pPr>
    <w:rPr>
      <w:rFonts w:ascii="宋体" w:hAnsi="Times New Roman"/>
      <w:kern w:val="0"/>
      <w:sz w:val="22"/>
      <w:szCs w:val="20"/>
    </w:rPr>
  </w:style>
  <w:style w:type="paragraph" w:customStyle="1" w:styleId="42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22">
    <w:name w:val="Char Char Char Char Char Char Char Char1 Char"/>
    <w:basedOn w:val="1"/>
    <w:qFormat/>
    <w:uiPriority w:val="0"/>
    <w:rPr>
      <w:rFonts w:ascii="Times New Roman" w:hAnsi="Times New Roman"/>
      <w:szCs w:val="20"/>
    </w:rPr>
  </w:style>
  <w:style w:type="paragraph" w:customStyle="1" w:styleId="423">
    <w:name w:val="图中文字"/>
    <w:basedOn w:val="1"/>
    <w:qFormat/>
    <w:uiPriority w:val="0"/>
    <w:pPr>
      <w:jc w:val="center"/>
    </w:pPr>
    <w:rPr>
      <w:rFonts w:ascii="Arial" w:hAnsi="Arial"/>
      <w:szCs w:val="20"/>
    </w:rPr>
  </w:style>
  <w:style w:type="paragraph" w:customStyle="1" w:styleId="424">
    <w:name w:val="列出段落4"/>
    <w:basedOn w:val="1"/>
    <w:qFormat/>
    <w:uiPriority w:val="0"/>
    <w:pPr>
      <w:ind w:firstLine="420" w:firstLineChars="200"/>
    </w:pPr>
    <w:rPr>
      <w:rFonts w:ascii="Times New Roman" w:hAnsi="Times New Roman"/>
      <w:szCs w:val="20"/>
    </w:rPr>
  </w:style>
  <w:style w:type="paragraph" w:customStyle="1" w:styleId="425">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426">
    <w:name w:val="修订1"/>
    <w:qFormat/>
    <w:uiPriority w:val="99"/>
    <w:rPr>
      <w:rFonts w:ascii="Calibri" w:hAnsi="Calibri" w:eastAsia="宋体" w:cs="Times New Roman"/>
      <w:kern w:val="2"/>
      <w:sz w:val="21"/>
      <w:szCs w:val="24"/>
      <w:lang w:val="en-US" w:eastAsia="zh-CN" w:bidi="ar-SA"/>
    </w:rPr>
  </w:style>
  <w:style w:type="paragraph" w:customStyle="1" w:styleId="427">
    <w:name w:val="l2"/>
    <w:basedOn w:val="1"/>
    <w:qFormat/>
    <w:uiPriority w:val="0"/>
    <w:pPr>
      <w:keepLines/>
      <w:widowControl/>
      <w:spacing w:beforeLines="50" w:afterLines="50" w:line="300" w:lineRule="auto"/>
    </w:pPr>
    <w:rPr>
      <w:rFonts w:ascii="Arial" w:hAnsi="Arial"/>
      <w:szCs w:val="20"/>
    </w:rPr>
  </w:style>
  <w:style w:type="paragraph" w:customStyle="1" w:styleId="428">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9">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430">
    <w:name w:val="标题 1 New"/>
    <w:basedOn w:val="431"/>
    <w:next w:val="431"/>
    <w:qFormat/>
    <w:uiPriority w:val="0"/>
    <w:pPr>
      <w:keepNext/>
      <w:keepLines/>
      <w:spacing w:before="340" w:after="330" w:line="576" w:lineRule="auto"/>
      <w:outlineLvl w:val="0"/>
    </w:pPr>
    <w:rPr>
      <w:b/>
      <w:bCs/>
      <w:kern w:val="44"/>
      <w:sz w:val="44"/>
      <w:szCs w:val="44"/>
    </w:rPr>
  </w:style>
  <w:style w:type="paragraph" w:customStyle="1" w:styleId="431">
    <w:name w:val="正文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432">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3">
    <w:name w:val="默认段落字体 Para Char Char Char Char Char Char Char Char Char1 Char Char Char Char Char Char Char Char Char Char Char Char Char Char Char Char Char Char"/>
    <w:basedOn w:val="17"/>
    <w:qFormat/>
    <w:uiPriority w:val="0"/>
    <w:pPr>
      <w:ind w:firstLine="540" w:firstLineChars="225"/>
    </w:pPr>
    <w:rPr>
      <w:rFonts w:ascii="Tahoma" w:hAnsi="Tahoma"/>
      <w:kern w:val="2"/>
      <w:sz w:val="24"/>
      <w:szCs w:val="20"/>
    </w:rPr>
  </w:style>
  <w:style w:type="paragraph" w:customStyle="1" w:styleId="434">
    <w:name w:val="附图居中"/>
    <w:basedOn w:val="1"/>
    <w:next w:val="372"/>
    <w:qFormat/>
    <w:uiPriority w:val="0"/>
    <w:pPr>
      <w:spacing w:afterLines="50" w:line="360" w:lineRule="auto"/>
      <w:jc w:val="center"/>
    </w:pPr>
    <w:rPr>
      <w:rFonts w:ascii="宋体" w:hAnsi="宋体"/>
      <w:szCs w:val="20"/>
    </w:rPr>
  </w:style>
  <w:style w:type="paragraph" w:customStyle="1" w:styleId="435">
    <w:name w:val="正文缩进1"/>
    <w:basedOn w:val="1"/>
    <w:qFormat/>
    <w:uiPriority w:val="0"/>
    <w:pPr>
      <w:ind w:firstLine="567"/>
    </w:pPr>
    <w:rPr>
      <w:rFonts w:ascii="Times New Roman" w:hAnsi="Times New Roman"/>
      <w:spacing w:val="20"/>
      <w:sz w:val="24"/>
      <w:szCs w:val="20"/>
    </w:rPr>
  </w:style>
  <w:style w:type="paragraph" w:customStyle="1" w:styleId="436">
    <w:name w:val="正文文字3"/>
    <w:basedOn w:val="1"/>
    <w:next w:val="22"/>
    <w:qFormat/>
    <w:uiPriority w:val="0"/>
    <w:pPr>
      <w:spacing w:after="120"/>
      <w:ind w:left="420"/>
    </w:pPr>
    <w:rPr>
      <w:rFonts w:ascii="Times New Roman" w:hAnsi="Times New Roman"/>
      <w:szCs w:val="20"/>
    </w:rPr>
  </w:style>
  <w:style w:type="paragraph" w:customStyle="1" w:styleId="437">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438">
    <w:name w:val="素材2"/>
    <w:basedOn w:val="1"/>
    <w:qFormat/>
    <w:uiPriority w:val="0"/>
    <w:pPr>
      <w:snapToGrid w:val="0"/>
      <w:spacing w:line="500" w:lineRule="atLeast"/>
      <w:ind w:firstLine="567"/>
    </w:pPr>
    <w:rPr>
      <w:rFonts w:ascii="宋体" w:hAnsi="Times New Roman"/>
      <w:sz w:val="27"/>
      <w:szCs w:val="20"/>
    </w:rPr>
  </w:style>
  <w:style w:type="paragraph" w:customStyle="1" w:styleId="439">
    <w:name w:val="列出段落21"/>
    <w:basedOn w:val="1"/>
    <w:qFormat/>
    <w:uiPriority w:val="0"/>
    <w:pPr>
      <w:ind w:firstLine="420" w:firstLineChars="200"/>
    </w:pPr>
  </w:style>
  <w:style w:type="paragraph" w:customStyle="1" w:styleId="440">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441">
    <w:name w:val="Char1 Char Char 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442">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3">
    <w:name w:val="列出段落5"/>
    <w:basedOn w:val="1"/>
    <w:qFormat/>
    <w:uiPriority w:val="34"/>
    <w:rPr>
      <w:sz w:val="20"/>
      <w:szCs w:val="20"/>
    </w:rPr>
  </w:style>
  <w:style w:type="paragraph" w:customStyle="1" w:styleId="44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45">
    <w:name w:val="样式 正文缩进 + 首行缩进:  2 字符"/>
    <w:basedOn w:val="9"/>
    <w:qFormat/>
    <w:uiPriority w:val="0"/>
    <w:pPr>
      <w:spacing w:line="360" w:lineRule="auto"/>
      <w:ind w:firstLine="480"/>
    </w:pPr>
    <w:rPr>
      <w:sz w:val="24"/>
      <w:szCs w:val="20"/>
    </w:rPr>
  </w:style>
  <w:style w:type="paragraph" w:customStyle="1" w:styleId="446">
    <w:name w:val="正文缩进2"/>
    <w:basedOn w:val="1"/>
    <w:qFormat/>
    <w:uiPriority w:val="0"/>
    <w:pPr>
      <w:ind w:firstLine="420" w:firstLineChars="200"/>
    </w:pPr>
    <w:rPr>
      <w:sz w:val="30"/>
      <w:szCs w:val="24"/>
    </w:rPr>
  </w:style>
  <w:style w:type="paragraph" w:customStyle="1" w:styleId="447">
    <w:name w:val="标题 2 New"/>
    <w:basedOn w:val="448"/>
    <w:next w:val="448"/>
    <w:qFormat/>
    <w:uiPriority w:val="0"/>
    <w:pPr>
      <w:keepNext/>
      <w:keepLines/>
      <w:spacing w:before="260" w:after="260" w:line="416" w:lineRule="auto"/>
      <w:outlineLvl w:val="1"/>
    </w:pPr>
    <w:rPr>
      <w:rFonts w:ascii="Arial" w:hAnsi="Arial" w:eastAsia="仿宋_GB2312"/>
      <w:b/>
      <w:bCs/>
      <w:sz w:val="32"/>
    </w:rPr>
  </w:style>
  <w:style w:type="paragraph" w:customStyle="1" w:styleId="44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49">
    <w:name w:val="正文列表"/>
    <w:basedOn w:val="1"/>
    <w:qFormat/>
    <w:uiPriority w:val="0"/>
    <w:pPr>
      <w:spacing w:after="120"/>
    </w:pPr>
    <w:rPr>
      <w:rFonts w:ascii="Times New Roman" w:hAnsi="Times New Roman"/>
      <w:sz w:val="24"/>
      <w:szCs w:val="20"/>
      <w:lang w:eastAsia="zh-TW"/>
    </w:rPr>
  </w:style>
  <w:style w:type="paragraph" w:customStyle="1" w:styleId="450">
    <w:name w:val="一般文字"/>
    <w:basedOn w:val="1"/>
    <w:next w:val="1"/>
    <w:qFormat/>
    <w:uiPriority w:val="0"/>
    <w:pPr>
      <w:autoSpaceDE w:val="0"/>
      <w:autoSpaceDN w:val="0"/>
      <w:adjustRightInd w:val="0"/>
    </w:pPr>
    <w:rPr>
      <w:rFonts w:ascii="Arial" w:hAnsi="Arial"/>
      <w:sz w:val="20"/>
      <w:szCs w:val="20"/>
    </w:rPr>
  </w:style>
  <w:style w:type="paragraph" w:customStyle="1" w:styleId="451">
    <w:name w:val="样式6"/>
    <w:basedOn w:val="4"/>
    <w:qFormat/>
    <w:uiPriority w:val="0"/>
    <w:pPr>
      <w:spacing w:before="260" w:after="200" w:line="360" w:lineRule="auto"/>
    </w:pPr>
    <w:rPr>
      <w:bCs w:val="0"/>
      <w:color w:val="000000"/>
      <w:kern w:val="2"/>
      <w:sz w:val="24"/>
      <w:szCs w:val="20"/>
    </w:rPr>
  </w:style>
  <w:style w:type="paragraph" w:customStyle="1" w:styleId="452">
    <w:name w:val="样式9"/>
    <w:basedOn w:val="123"/>
    <w:qFormat/>
    <w:uiPriority w:val="0"/>
    <w:pPr>
      <w:suppressAutoHyphens/>
      <w:spacing w:before="100" w:beforeAutospacing="1" w:after="100" w:afterAutospacing="1" w:line="360" w:lineRule="auto"/>
      <w:ind w:firstLine="454"/>
      <w:jc w:val="both"/>
    </w:pPr>
    <w:rPr>
      <w:kern w:val="2"/>
      <w:sz w:val="21"/>
    </w:rPr>
  </w:style>
  <w:style w:type="paragraph" w:customStyle="1" w:styleId="453">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4">
    <w:name w:val="正文 New New New New New New New New New New New New New New New New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455">
    <w:name w:val="Table Heading"/>
    <w:basedOn w:val="1"/>
    <w:qFormat/>
    <w:uiPriority w:val="0"/>
    <w:pPr>
      <w:widowControl/>
      <w:jc w:val="center"/>
    </w:pPr>
    <w:rPr>
      <w:rFonts w:ascii="Arial" w:hAnsi="Arial"/>
      <w:b/>
      <w:kern w:val="0"/>
      <w:sz w:val="18"/>
      <w:szCs w:val="20"/>
    </w:rPr>
  </w:style>
  <w:style w:type="paragraph" w:customStyle="1" w:styleId="456">
    <w:name w:val="样式12"/>
    <w:basedOn w:val="1"/>
    <w:qFormat/>
    <w:uiPriority w:val="0"/>
    <w:rPr>
      <w:rFonts w:ascii="Times New Roman" w:hAnsi="Times New Roman"/>
      <w:szCs w:val="20"/>
    </w:rPr>
  </w:style>
  <w:style w:type="paragraph" w:customStyle="1" w:styleId="457">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458">
    <w:name w:val="签名 - 公司"/>
    <w:basedOn w:val="36"/>
    <w:next w:val="45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5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60">
    <w:name w:val="文档结构图2"/>
    <w:basedOn w:val="1"/>
    <w:qFormat/>
    <w:uiPriority w:val="0"/>
    <w:pPr>
      <w:shd w:val="clear" w:color="auto" w:fill="000080"/>
    </w:pPr>
    <w:rPr>
      <w:rFonts w:ascii="Times New Roman" w:hAnsi="Times New Roman"/>
      <w:sz w:val="30"/>
      <w:szCs w:val="24"/>
    </w:rPr>
  </w:style>
  <w:style w:type="paragraph" w:customStyle="1" w:styleId="461">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2">
    <w:name w:val="纯文本 New"/>
    <w:basedOn w:val="463"/>
    <w:qFormat/>
    <w:uiPriority w:val="0"/>
    <w:rPr>
      <w:rFonts w:ascii="宋体" w:hAnsi="Courier New"/>
      <w:sz w:val="24"/>
      <w:szCs w:val="20"/>
    </w:rPr>
  </w:style>
  <w:style w:type="paragraph" w:customStyle="1" w:styleId="463">
    <w:name w:val="正文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464">
    <w:name w:val="Char Char Char Char Char Char2 Char3"/>
    <w:basedOn w:val="1"/>
    <w:qFormat/>
    <w:uiPriority w:val="0"/>
    <w:pPr>
      <w:spacing w:line="360" w:lineRule="auto"/>
      <w:ind w:firstLine="200" w:firstLineChars="200"/>
    </w:pPr>
    <w:rPr>
      <w:rFonts w:ascii="宋体" w:hAnsi="宋体" w:cs="宋体"/>
      <w:sz w:val="24"/>
      <w:szCs w:val="24"/>
    </w:rPr>
  </w:style>
  <w:style w:type="paragraph" w:customStyle="1" w:styleId="465">
    <w:name w:val="列出段落211"/>
    <w:basedOn w:val="1"/>
    <w:qFormat/>
    <w:uiPriority w:val="0"/>
    <w:pPr>
      <w:ind w:firstLine="420" w:firstLineChars="200"/>
    </w:pPr>
  </w:style>
  <w:style w:type="paragraph" w:customStyle="1" w:styleId="466">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67">
    <w:name w:val="修订2"/>
    <w:qFormat/>
    <w:uiPriority w:val="0"/>
    <w:rPr>
      <w:rFonts w:ascii="Calibri" w:hAnsi="Calibri" w:eastAsia="宋体" w:cs="Times New Roman"/>
      <w:kern w:val="2"/>
      <w:sz w:val="21"/>
      <w:szCs w:val="24"/>
      <w:lang w:val="en-US" w:eastAsia="zh-CN" w:bidi="ar-SA"/>
    </w:rPr>
  </w:style>
  <w:style w:type="paragraph" w:customStyle="1" w:styleId="46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469">
    <w:name w:val="页脚 New New New New"/>
    <w:basedOn w:val="470"/>
    <w:qFormat/>
    <w:uiPriority w:val="0"/>
    <w:pPr>
      <w:tabs>
        <w:tab w:val="center" w:pos="4153"/>
        <w:tab w:val="right" w:pos="8306"/>
      </w:tabs>
      <w:snapToGrid w:val="0"/>
      <w:jc w:val="left"/>
    </w:pPr>
    <w:rPr>
      <w:sz w:val="18"/>
      <w:szCs w:val="18"/>
    </w:rPr>
  </w:style>
  <w:style w:type="paragraph" w:customStyle="1" w:styleId="470">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1">
    <w:name w:val="正文文本缩进1"/>
    <w:basedOn w:val="1"/>
    <w:qFormat/>
    <w:uiPriority w:val="0"/>
    <w:pPr>
      <w:ind w:firstLine="480"/>
    </w:pPr>
    <w:rPr>
      <w:sz w:val="24"/>
      <w:szCs w:val="20"/>
    </w:rPr>
  </w:style>
  <w:style w:type="paragraph" w:customStyle="1" w:styleId="472">
    <w:name w:val="WW-普通文字 Char Char"/>
    <w:basedOn w:val="1"/>
    <w:qFormat/>
    <w:uiPriority w:val="0"/>
    <w:pPr>
      <w:suppressAutoHyphens/>
    </w:pPr>
    <w:rPr>
      <w:rFonts w:ascii="宋体" w:hAnsi="宋体"/>
      <w:kern w:val="1"/>
      <w:szCs w:val="20"/>
      <w:lang w:eastAsia="ar-SA"/>
    </w:rPr>
  </w:style>
  <w:style w:type="paragraph" w:customStyle="1" w:styleId="473">
    <w:name w:val="明显引用1"/>
    <w:basedOn w:val="1"/>
    <w:next w:val="1"/>
    <w:qFormat/>
    <w:uiPriority w:val="0"/>
    <w:pPr>
      <w:pBdr>
        <w:bottom w:val="single" w:color="4F81BD" w:sz="4" w:space="4"/>
      </w:pBdr>
      <w:spacing w:before="200" w:after="280"/>
      <w:ind w:left="936" w:right="936"/>
    </w:pPr>
    <w:rPr>
      <w:rFonts w:ascii="Times New Roman" w:hAnsi="Times New Roman"/>
      <w:b/>
      <w:i/>
      <w:color w:val="4F81BD"/>
      <w:kern w:val="0"/>
      <w:sz w:val="20"/>
      <w:szCs w:val="20"/>
    </w:rPr>
  </w:style>
  <w:style w:type="paragraph" w:customStyle="1" w:styleId="474">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475">
    <w:name w:val="四级无标题条"/>
    <w:basedOn w:val="1"/>
    <w:qFormat/>
    <w:uiPriority w:val="0"/>
    <w:pPr>
      <w:ind w:left="2520" w:hanging="420"/>
    </w:pPr>
    <w:rPr>
      <w:rFonts w:ascii="Times New Roman" w:hAnsi="Times New Roman"/>
      <w:szCs w:val="24"/>
    </w:rPr>
  </w:style>
  <w:style w:type="paragraph" w:customStyle="1" w:styleId="476">
    <w:name w:val="正文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77">
    <w:name w:val="0"/>
    <w:basedOn w:val="1"/>
    <w:unhideWhenUsed/>
    <w:qFormat/>
    <w:uiPriority w:val="99"/>
    <w:pPr>
      <w:widowControl/>
      <w:snapToGrid w:val="0"/>
    </w:pPr>
    <w:rPr>
      <w:rFonts w:hint="eastAsia" w:ascii="Times New Roman" w:hAnsi="Times New Roman"/>
      <w:szCs w:val="20"/>
    </w:rPr>
  </w:style>
  <w:style w:type="paragraph" w:customStyle="1" w:styleId="478">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479">
    <w:name w:val="黑"/>
    <w:basedOn w:val="1"/>
    <w:qFormat/>
    <w:uiPriority w:val="0"/>
    <w:pPr>
      <w:spacing w:line="360" w:lineRule="auto"/>
    </w:pPr>
    <w:rPr>
      <w:rFonts w:ascii="Times New Roman" w:hAnsi="Times New Roman"/>
      <w:b/>
      <w:sz w:val="24"/>
      <w:szCs w:val="20"/>
    </w:rPr>
  </w:style>
  <w:style w:type="paragraph" w:customStyle="1" w:styleId="480">
    <w:name w:val="Table Bold"/>
    <w:basedOn w:val="481"/>
    <w:qFormat/>
    <w:uiPriority w:val="0"/>
    <w:pPr>
      <w:widowControl w:val="0"/>
      <w:spacing w:before="40" w:after="40" w:line="240" w:lineRule="exact"/>
      <w:ind w:right="113"/>
      <w:jc w:val="both"/>
    </w:pPr>
    <w:rPr>
      <w:b/>
      <w:snapToGrid/>
      <w:kern w:val="2"/>
    </w:rPr>
  </w:style>
  <w:style w:type="paragraph" w:customStyle="1" w:styleId="481">
    <w:name w:val="Table Body"/>
    <w:basedOn w:val="1"/>
    <w:qFormat/>
    <w:uiPriority w:val="0"/>
    <w:pPr>
      <w:widowControl/>
      <w:jc w:val="center"/>
    </w:pPr>
    <w:rPr>
      <w:rFonts w:ascii="Arial" w:hAnsi="Arial"/>
      <w:snapToGrid w:val="0"/>
      <w:kern w:val="0"/>
      <w:sz w:val="18"/>
      <w:szCs w:val="20"/>
    </w:rPr>
  </w:style>
  <w:style w:type="paragraph" w:customStyle="1" w:styleId="482">
    <w:name w:val="标句6"/>
    <w:basedOn w:val="1"/>
    <w:qFormat/>
    <w:uiPriority w:val="0"/>
    <w:pPr>
      <w:snapToGrid w:val="0"/>
      <w:spacing w:line="500" w:lineRule="atLeast"/>
      <w:ind w:left="1418" w:hanging="284"/>
      <w:jc w:val="center"/>
    </w:pPr>
    <w:rPr>
      <w:rFonts w:ascii="宋体" w:hAnsi="Times New Roman"/>
      <w:kern w:val="52"/>
      <w:sz w:val="27"/>
      <w:szCs w:val="20"/>
    </w:rPr>
  </w:style>
  <w:style w:type="paragraph" w:customStyle="1" w:styleId="483">
    <w:name w:val="封一"/>
    <w:basedOn w:val="216"/>
    <w:next w:val="216"/>
    <w:qFormat/>
    <w:uiPriority w:val="0"/>
    <w:pPr>
      <w:ind w:firstLine="0" w:firstLineChars="0"/>
      <w:jc w:val="center"/>
    </w:pPr>
    <w:rPr>
      <w:rFonts w:eastAsia="黑体"/>
      <w:b/>
      <w:sz w:val="84"/>
      <w:szCs w:val="84"/>
    </w:rPr>
  </w:style>
  <w:style w:type="paragraph" w:customStyle="1" w:styleId="484">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5">
    <w:name w:val="正文样式 首行缩进:  0.74 厘米"/>
    <w:basedOn w:val="1"/>
    <w:qFormat/>
    <w:uiPriority w:val="0"/>
    <w:pPr>
      <w:spacing w:line="360" w:lineRule="auto"/>
      <w:ind w:left="-108" w:leftChars="-60" w:right="72" w:firstLine="200" w:firstLineChars="200"/>
    </w:pPr>
    <w:rPr>
      <w:rFonts w:ascii="Times New Roman" w:hAnsi="Times New Roman"/>
      <w:color w:val="000000"/>
      <w:sz w:val="24"/>
      <w:szCs w:val="20"/>
    </w:rPr>
  </w:style>
  <w:style w:type="paragraph" w:customStyle="1" w:styleId="486">
    <w:name w:val="纯文本1"/>
    <w:basedOn w:val="1"/>
    <w:qFormat/>
    <w:uiPriority w:val="0"/>
    <w:rPr>
      <w:rFonts w:ascii="宋体" w:hAnsi="Courier New"/>
      <w:sz w:val="24"/>
      <w:szCs w:val="20"/>
    </w:rPr>
  </w:style>
  <w:style w:type="paragraph" w:customStyle="1" w:styleId="48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88">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89">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90">
    <w:name w:val="Xie图文中"/>
    <w:qFormat/>
    <w:uiPriority w:val="0"/>
    <w:pPr>
      <w:widowControl w:val="0"/>
      <w:adjustRightInd w:val="0"/>
      <w:snapToGrid w:val="0"/>
      <w:spacing w:after="200" w:line="276" w:lineRule="auto"/>
      <w:jc w:val="center"/>
    </w:pPr>
    <w:rPr>
      <w:rFonts w:ascii="Calibri" w:hAnsi="Calibri" w:eastAsia="仿宋_GB2312" w:cs="Times New Roman"/>
      <w:sz w:val="24"/>
      <w:lang w:val="en-US" w:eastAsia="zh-CN" w:bidi="ar-SA"/>
    </w:rPr>
  </w:style>
  <w:style w:type="paragraph" w:customStyle="1" w:styleId="491">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492">
    <w:name w:val="素材6"/>
    <w:basedOn w:val="1"/>
    <w:qFormat/>
    <w:uiPriority w:val="0"/>
    <w:pPr>
      <w:snapToGrid w:val="0"/>
      <w:spacing w:line="500" w:lineRule="atLeast"/>
      <w:ind w:left="1418"/>
    </w:pPr>
    <w:rPr>
      <w:rFonts w:ascii="宋体" w:hAnsi="Times New Roman"/>
      <w:kern w:val="52"/>
      <w:sz w:val="27"/>
      <w:szCs w:val="20"/>
    </w:rPr>
  </w:style>
  <w:style w:type="paragraph" w:customStyle="1" w:styleId="493">
    <w:name w:val="素材5"/>
    <w:basedOn w:val="1"/>
    <w:qFormat/>
    <w:uiPriority w:val="0"/>
    <w:pPr>
      <w:snapToGrid w:val="0"/>
      <w:spacing w:line="500" w:lineRule="atLeast"/>
      <w:ind w:left="1111"/>
    </w:pPr>
    <w:rPr>
      <w:rFonts w:ascii="宋体" w:hAnsi="Times New Roman"/>
      <w:kern w:val="28"/>
      <w:sz w:val="27"/>
      <w:szCs w:val="20"/>
    </w:rPr>
  </w:style>
  <w:style w:type="paragraph" w:customStyle="1" w:styleId="494">
    <w:name w:val="章节三"/>
    <w:basedOn w:val="216"/>
    <w:next w:val="216"/>
    <w:qFormat/>
    <w:uiPriority w:val="0"/>
    <w:pPr>
      <w:spacing w:beforeLines="50" w:afterLines="50" w:line="240" w:lineRule="auto"/>
      <w:ind w:firstLine="0" w:firstLineChars="0"/>
      <w:jc w:val="left"/>
      <w:outlineLvl w:val="2"/>
    </w:pPr>
    <w:rPr>
      <w:rFonts w:ascii="黑体" w:hAnsi="宋体" w:eastAsia="黑体"/>
      <w:b/>
    </w:rPr>
  </w:style>
  <w:style w:type="paragraph" w:customStyle="1" w:styleId="495">
    <w:name w:val="无间隔111"/>
    <w:qFormat/>
    <w:uiPriority w:val="0"/>
    <w:pPr>
      <w:spacing w:after="200" w:line="276" w:lineRule="auto"/>
    </w:pPr>
    <w:rPr>
      <w:rFonts w:ascii="Calibri" w:hAnsi="Calibri" w:eastAsia="宋体" w:cs="Times New Roman"/>
      <w:sz w:val="22"/>
      <w:lang w:val="en-US" w:eastAsia="en-US" w:bidi="ar-SA"/>
    </w:rPr>
  </w:style>
  <w:style w:type="paragraph" w:customStyle="1" w:styleId="496">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497">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首行缩进1"/>
    <w:basedOn w:val="2"/>
    <w:qFormat/>
    <w:uiPriority w:val="0"/>
    <w:pPr>
      <w:ind w:firstLine="420" w:firstLineChars="100"/>
    </w:pPr>
    <w:rPr>
      <w:sz w:val="30"/>
      <w:szCs w:val="24"/>
    </w:rPr>
  </w:style>
  <w:style w:type="paragraph" w:customStyle="1" w:styleId="499">
    <w:name w:val="引用11"/>
    <w:basedOn w:val="1"/>
    <w:next w:val="1"/>
    <w:qFormat/>
    <w:uiPriority w:val="0"/>
    <w:rPr>
      <w:rFonts w:cs="黑体"/>
      <w:i/>
      <w:color w:val="000000"/>
    </w:rPr>
  </w:style>
  <w:style w:type="paragraph" w:customStyle="1" w:styleId="500">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501">
    <w:name w:val="样式2"/>
    <w:basedOn w:val="6"/>
    <w:qFormat/>
    <w:uiPriority w:val="0"/>
    <w:rPr>
      <w:i/>
    </w:rPr>
  </w:style>
  <w:style w:type="paragraph" w:customStyle="1" w:styleId="502">
    <w:name w:val="列出段落3"/>
    <w:basedOn w:val="1"/>
    <w:qFormat/>
    <w:uiPriority w:val="0"/>
    <w:pPr>
      <w:widowControl/>
      <w:spacing w:after="200" w:line="276" w:lineRule="auto"/>
      <w:ind w:left="720"/>
      <w:jc w:val="left"/>
    </w:pPr>
    <w:rPr>
      <w:kern w:val="0"/>
      <w:sz w:val="22"/>
      <w:lang w:eastAsia="en-US"/>
    </w:rPr>
  </w:style>
  <w:style w:type="paragraph" w:customStyle="1" w:styleId="503">
    <w:name w:val="正文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4">
    <w:name w:val="正文文本缩进 211"/>
    <w:basedOn w:val="1"/>
    <w:qFormat/>
    <w:uiPriority w:val="0"/>
    <w:pPr>
      <w:spacing w:line="420" w:lineRule="exact"/>
      <w:ind w:firstLine="480"/>
    </w:pPr>
    <w:rPr>
      <w:rFonts w:ascii="Times New Roman" w:hAnsi="Times New Roman"/>
      <w:b/>
      <w:sz w:val="24"/>
      <w:szCs w:val="20"/>
    </w:rPr>
  </w:style>
  <w:style w:type="paragraph" w:customStyle="1" w:styleId="505">
    <w:name w:val="正文首行缩进2"/>
    <w:basedOn w:val="2"/>
    <w:qFormat/>
    <w:uiPriority w:val="0"/>
    <w:pPr>
      <w:ind w:firstLine="420" w:firstLineChars="100"/>
    </w:pPr>
    <w:rPr>
      <w:sz w:val="30"/>
      <w:szCs w:val="24"/>
    </w:rPr>
  </w:style>
  <w:style w:type="paragraph" w:customStyle="1" w:styleId="506">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7">
    <w:name w:val="正文（2）"/>
    <w:qFormat/>
    <w:uiPriority w:val="0"/>
    <w:pPr>
      <w:spacing w:line="560" w:lineRule="exact"/>
      <w:ind w:firstLine="200" w:firstLineChars="200"/>
    </w:pPr>
    <w:rPr>
      <w:rFonts w:ascii="宋体" w:hAnsi="Calibri" w:eastAsia="宋体" w:cs="Times New Roman"/>
      <w:snapToGrid w:val="0"/>
      <w:spacing w:val="10"/>
      <w:sz w:val="24"/>
      <w:lang w:val="en-US" w:eastAsia="zh-CN" w:bidi="ar-SA"/>
    </w:rPr>
  </w:style>
  <w:style w:type="paragraph" w:customStyle="1" w:styleId="508">
    <w:name w:val="正文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509">
    <w:name w:val="正文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10">
    <w:name w:val="正文文本缩进2"/>
    <w:basedOn w:val="1"/>
    <w:qFormat/>
    <w:uiPriority w:val="0"/>
    <w:pPr>
      <w:ind w:firstLine="480"/>
    </w:pPr>
    <w:rPr>
      <w:sz w:val="24"/>
      <w:szCs w:val="20"/>
    </w:rPr>
  </w:style>
  <w:style w:type="paragraph" w:customStyle="1" w:styleId="511">
    <w:name w:val="正文缩进 New"/>
    <w:basedOn w:val="448"/>
    <w:qFormat/>
    <w:uiPriority w:val="0"/>
    <w:pPr>
      <w:ind w:firstLine="420"/>
    </w:pPr>
    <w:rPr>
      <w:rFonts w:ascii="Times New Roman" w:hAnsi="Times New Roman" w:cs="Times New Roman"/>
      <w:snapToGrid/>
      <w:kern w:val="2"/>
      <w:szCs w:val="20"/>
    </w:rPr>
  </w:style>
  <w:style w:type="paragraph" w:customStyle="1" w:styleId="512">
    <w:name w:val="Char Char Char Char Char Char Char Char1 Char1"/>
    <w:basedOn w:val="1"/>
    <w:qFormat/>
    <w:uiPriority w:val="0"/>
    <w:rPr>
      <w:rFonts w:ascii="Times New Roman" w:hAnsi="Times New Roman"/>
      <w:szCs w:val="20"/>
    </w:rPr>
  </w:style>
  <w:style w:type="paragraph" w:customStyle="1" w:styleId="513">
    <w:name w:val="缺省文本"/>
    <w:basedOn w:val="1"/>
    <w:qFormat/>
    <w:uiPriority w:val="0"/>
    <w:pPr>
      <w:overflowPunct w:val="0"/>
      <w:autoSpaceDE w:val="0"/>
      <w:autoSpaceDN w:val="0"/>
      <w:adjustRightInd w:val="0"/>
      <w:textAlignment w:val="baseline"/>
    </w:pPr>
    <w:rPr>
      <w:rFonts w:ascii="Times New Roman" w:hAnsi="Times New Roman"/>
      <w:sz w:val="24"/>
      <w:szCs w:val="20"/>
    </w:rPr>
  </w:style>
  <w:style w:type="paragraph" w:customStyle="1" w:styleId="514">
    <w:name w:val="Char1 Char Char Char Char Char Char1"/>
    <w:basedOn w:val="1"/>
    <w:qFormat/>
    <w:uiPriority w:val="0"/>
    <w:rPr>
      <w:rFonts w:ascii="Times New Roman" w:hAnsi="Times New Roman"/>
      <w:sz w:val="24"/>
      <w:szCs w:val="24"/>
    </w:rPr>
  </w:style>
  <w:style w:type="paragraph" w:customStyle="1" w:styleId="515">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516">
    <w:name w:val="样式4"/>
    <w:basedOn w:val="1"/>
    <w:qFormat/>
    <w:uiPriority w:val="0"/>
    <w:pPr>
      <w:tabs>
        <w:tab w:val="left" w:pos="1984"/>
      </w:tabs>
      <w:ind w:left="1984" w:hanging="708"/>
    </w:pPr>
    <w:rPr>
      <w:rFonts w:ascii="Times New Roman" w:hAnsi="Times New Roman"/>
      <w:szCs w:val="24"/>
    </w:rPr>
  </w:style>
  <w:style w:type="paragraph" w:customStyle="1" w:styleId="51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19">
    <w:name w:val="修订21"/>
    <w:semiHidden/>
    <w:qFormat/>
    <w:uiPriority w:val="99"/>
    <w:rPr>
      <w:rFonts w:ascii="Calibri" w:hAnsi="Calibri" w:eastAsia="宋体" w:cs="Times New Roman"/>
      <w:szCs w:val="24"/>
      <w:lang w:val="en-US" w:eastAsia="zh-CN" w:bidi="ar-SA"/>
    </w:rPr>
  </w:style>
  <w:style w:type="paragraph" w:customStyle="1" w:styleId="520">
    <w:name w:val="表身"/>
    <w:qFormat/>
    <w:uiPriority w:val="0"/>
    <w:pPr>
      <w:keepNext/>
      <w:spacing w:before="60" w:after="60" w:line="300" w:lineRule="auto"/>
      <w:jc w:val="both"/>
      <w:textAlignment w:val="center"/>
    </w:pPr>
    <w:rPr>
      <w:rFonts w:ascii="Calibri" w:hAnsi="Calibri" w:eastAsia="宋体" w:cs="Times New Roman"/>
      <w:sz w:val="18"/>
      <w:lang w:val="en-US" w:eastAsia="zh-CN" w:bidi="ar-SA"/>
    </w:rPr>
  </w:style>
  <w:style w:type="paragraph" w:customStyle="1" w:styleId="521">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2">
    <w:name w:val="发文落款"/>
    <w:basedOn w:val="376"/>
    <w:qFormat/>
    <w:uiPriority w:val="0"/>
    <w:pPr>
      <w:ind w:left="4094" w:right="607" w:firstLine="0"/>
      <w:jc w:val="center"/>
    </w:pPr>
  </w:style>
  <w:style w:type="paragraph" w:customStyle="1" w:styleId="523">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2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25">
    <w:name w:val="默认段落字体 Para Char Char Char Char"/>
    <w:basedOn w:val="526"/>
    <w:qFormat/>
    <w:uiPriority w:val="0"/>
    <w:rPr>
      <w:rFonts w:eastAsia="宋体"/>
    </w:rPr>
  </w:style>
  <w:style w:type="paragraph" w:customStyle="1" w:styleId="526">
    <w:name w:val="正文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527">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528">
    <w:name w:val="页眉 New New New"/>
    <w:basedOn w:val="432"/>
    <w:qFormat/>
    <w:uiPriority w:val="0"/>
    <w:pPr>
      <w:pBdr>
        <w:bottom w:val="single" w:color="auto" w:sz="6" w:space="1"/>
      </w:pBdr>
      <w:tabs>
        <w:tab w:val="center" w:pos="4153"/>
        <w:tab w:val="right" w:pos="8306"/>
      </w:tabs>
      <w:snapToGrid w:val="0"/>
      <w:jc w:val="center"/>
    </w:pPr>
    <w:rPr>
      <w:sz w:val="18"/>
      <w:szCs w:val="18"/>
    </w:rPr>
  </w:style>
  <w:style w:type="paragraph" w:customStyle="1" w:styleId="52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30">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531">
    <w:name w:val="样式 小四 首行缩进:  0.85 厘米 行距: 固定值 20 磅"/>
    <w:basedOn w:val="1"/>
    <w:qFormat/>
    <w:uiPriority w:val="0"/>
    <w:pPr>
      <w:adjustRightInd w:val="0"/>
      <w:spacing w:line="360" w:lineRule="auto"/>
      <w:ind w:firstLine="482"/>
    </w:pPr>
    <w:rPr>
      <w:rFonts w:ascii="Times New Roman" w:hAnsi="Times New Roman"/>
      <w:sz w:val="24"/>
      <w:szCs w:val="20"/>
    </w:rPr>
  </w:style>
  <w:style w:type="paragraph" w:customStyle="1" w:styleId="532">
    <w:name w:val="Char Char Char Char Char Char Char Char Char Char Char Char Char"/>
    <w:basedOn w:val="1"/>
    <w:qFormat/>
    <w:uiPriority w:val="0"/>
    <w:rPr>
      <w:rFonts w:ascii="Tahoma" w:hAnsi="Tahoma"/>
      <w:sz w:val="24"/>
      <w:szCs w:val="20"/>
    </w:rPr>
  </w:style>
  <w:style w:type="paragraph" w:customStyle="1" w:styleId="533">
    <w:name w:val="样式5"/>
    <w:basedOn w:val="516"/>
    <w:next w:val="516"/>
    <w:qFormat/>
    <w:uiPriority w:val="0"/>
    <w:pPr>
      <w:tabs>
        <w:tab w:val="right" w:leader="dot" w:pos="9458"/>
        <w:tab w:val="clear" w:pos="1984"/>
      </w:tabs>
      <w:spacing w:before="120" w:after="120"/>
      <w:ind w:left="0" w:firstLine="0"/>
      <w:jc w:val="left"/>
    </w:pPr>
    <w:rPr>
      <w:caps/>
      <w:szCs w:val="20"/>
    </w:rPr>
  </w:style>
  <w:style w:type="paragraph" w:customStyle="1" w:styleId="534">
    <w:name w:val="页脚 New New New"/>
    <w:basedOn w:val="432"/>
    <w:qFormat/>
    <w:uiPriority w:val="0"/>
    <w:pPr>
      <w:tabs>
        <w:tab w:val="center" w:pos="4153"/>
        <w:tab w:val="right" w:pos="8306"/>
      </w:tabs>
      <w:snapToGrid w:val="0"/>
      <w:jc w:val="left"/>
    </w:pPr>
    <w:rPr>
      <w:sz w:val="18"/>
      <w:szCs w:val="18"/>
    </w:rPr>
  </w:style>
  <w:style w:type="paragraph" w:customStyle="1" w:styleId="535">
    <w:name w:val="页眉 New New"/>
    <w:basedOn w:val="488"/>
    <w:qFormat/>
    <w:uiPriority w:val="0"/>
    <w:pPr>
      <w:pBdr>
        <w:bottom w:val="single" w:color="auto" w:sz="6" w:space="1"/>
      </w:pBdr>
      <w:tabs>
        <w:tab w:val="center" w:pos="4153"/>
        <w:tab w:val="right" w:pos="8306"/>
      </w:tabs>
      <w:snapToGrid w:val="0"/>
      <w:jc w:val="center"/>
    </w:pPr>
    <w:rPr>
      <w:sz w:val="18"/>
    </w:rPr>
  </w:style>
  <w:style w:type="paragraph" w:customStyle="1" w:styleId="536">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37">
    <w:name w:val="项目正文"/>
    <w:basedOn w:val="1"/>
    <w:qFormat/>
    <w:uiPriority w:val="0"/>
    <w:pPr>
      <w:tabs>
        <w:tab w:val="left" w:pos="907"/>
      </w:tabs>
      <w:spacing w:line="360" w:lineRule="auto"/>
      <w:ind w:left="907" w:hanging="397"/>
    </w:pPr>
    <w:rPr>
      <w:rFonts w:ascii="Times New Roman" w:hAnsi="Times New Roman"/>
      <w:color w:val="000000"/>
      <w:szCs w:val="20"/>
    </w:rPr>
  </w:style>
  <w:style w:type="paragraph" w:customStyle="1" w:styleId="538">
    <w:name w:val="Char3"/>
    <w:basedOn w:val="1"/>
    <w:qFormat/>
    <w:uiPriority w:val="0"/>
    <w:pPr>
      <w:tabs>
        <w:tab w:val="left" w:pos="425"/>
      </w:tabs>
      <w:ind w:left="425" w:hanging="425"/>
    </w:pPr>
    <w:rPr>
      <w:rFonts w:ascii="Times New Roman" w:hAnsi="Times New Roman"/>
      <w:sz w:val="24"/>
      <w:szCs w:val="20"/>
    </w:rPr>
  </w:style>
  <w:style w:type="paragraph" w:customStyle="1" w:styleId="53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0">
    <w:name w:val="节"/>
    <w:basedOn w:val="1"/>
    <w:qFormat/>
    <w:uiPriority w:val="0"/>
    <w:pPr>
      <w:spacing w:beforeLines="100" w:afterLines="100" w:line="300" w:lineRule="auto"/>
      <w:jc w:val="center"/>
      <w:outlineLvl w:val="1"/>
    </w:pPr>
    <w:rPr>
      <w:rFonts w:ascii="Times New Roman" w:hAnsi="Times New Roman"/>
      <w:b/>
      <w:sz w:val="24"/>
      <w:szCs w:val="20"/>
    </w:rPr>
  </w:style>
  <w:style w:type="paragraph" w:customStyle="1" w:styleId="541">
    <w:name w:val="标句5"/>
    <w:basedOn w:val="1"/>
    <w:qFormat/>
    <w:uiPriority w:val="0"/>
    <w:pPr>
      <w:snapToGrid w:val="0"/>
      <w:spacing w:line="500" w:lineRule="atLeast"/>
      <w:ind w:left="1135" w:hanging="284"/>
    </w:pPr>
    <w:rPr>
      <w:rFonts w:ascii="宋体" w:hAnsi="Times New Roman"/>
      <w:kern w:val="28"/>
      <w:sz w:val="27"/>
      <w:szCs w:val="20"/>
    </w:rPr>
  </w:style>
  <w:style w:type="paragraph" w:customStyle="1" w:styleId="542">
    <w:name w:val="文档结构图1"/>
    <w:basedOn w:val="1"/>
    <w:qFormat/>
    <w:uiPriority w:val="0"/>
    <w:pPr>
      <w:shd w:val="clear" w:color="auto" w:fill="000080"/>
    </w:pPr>
    <w:rPr>
      <w:sz w:val="30"/>
      <w:szCs w:val="24"/>
    </w:rPr>
  </w:style>
  <w:style w:type="paragraph" w:customStyle="1" w:styleId="543">
    <w:name w:val="样式 正文缩进 + 首行缩进:  2 字符 Char Char Char Char Char"/>
    <w:basedOn w:val="9"/>
    <w:qFormat/>
    <w:uiPriority w:val="0"/>
    <w:pPr>
      <w:spacing w:line="360" w:lineRule="auto"/>
      <w:ind w:firstLine="480"/>
    </w:pPr>
    <w:rPr>
      <w:sz w:val="24"/>
      <w:szCs w:val="20"/>
    </w:rPr>
  </w:style>
  <w:style w:type="paragraph" w:customStyle="1" w:styleId="54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4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46">
    <w:name w:val="页脚 New New"/>
    <w:basedOn w:val="488"/>
    <w:qFormat/>
    <w:uiPriority w:val="0"/>
    <w:pPr>
      <w:tabs>
        <w:tab w:val="center" w:pos="4153"/>
        <w:tab w:val="right" w:pos="8306"/>
      </w:tabs>
      <w:snapToGrid w:val="0"/>
      <w:jc w:val="left"/>
    </w:pPr>
    <w:rPr>
      <w:sz w:val="18"/>
    </w:rPr>
  </w:style>
  <w:style w:type="paragraph" w:customStyle="1" w:styleId="547">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48">
    <w:name w:val="Figure"/>
    <w:basedOn w:val="1"/>
    <w:next w:val="549"/>
    <w:qFormat/>
    <w:uiPriority w:val="0"/>
    <w:pPr>
      <w:keepNext/>
      <w:snapToGrid w:val="0"/>
      <w:spacing w:before="80" w:after="80" w:line="300" w:lineRule="auto"/>
      <w:ind w:left="1701"/>
      <w:jc w:val="center"/>
    </w:pPr>
    <w:rPr>
      <w:rFonts w:ascii="Arial" w:hAnsi="Arial"/>
      <w:szCs w:val="20"/>
    </w:rPr>
  </w:style>
  <w:style w:type="paragraph" w:customStyle="1" w:styleId="54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50">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551">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55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553">
    <w:name w:val="Sub Paragraph Type"/>
    <w:basedOn w:val="1"/>
    <w:qFormat/>
    <w:uiPriority w:val="0"/>
    <w:pPr>
      <w:tabs>
        <w:tab w:val="left" w:pos="360"/>
      </w:tabs>
      <w:spacing w:line="240" w:lineRule="exact"/>
    </w:pPr>
    <w:rPr>
      <w:rFonts w:ascii="Beijing" w:hAnsi="Times New Roman" w:eastAsia="Times New Roman"/>
      <w:sz w:val="18"/>
      <w:szCs w:val="20"/>
    </w:rPr>
  </w:style>
  <w:style w:type="paragraph" w:customStyle="1" w:styleId="55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55">
    <w:name w:val="contents"/>
    <w:basedOn w:val="1"/>
    <w:next w:val="9"/>
    <w:qFormat/>
    <w:uiPriority w:val="0"/>
    <w:pPr>
      <w:ind w:firstLine="420" w:firstLineChars="200"/>
    </w:pPr>
    <w:rPr>
      <w:rFonts w:ascii="Times New Roman" w:hAnsi="Times New Roman"/>
      <w:szCs w:val="20"/>
    </w:rPr>
  </w:style>
  <w:style w:type="paragraph" w:customStyle="1" w:styleId="556">
    <w:name w:val="文提"/>
    <w:basedOn w:val="216"/>
    <w:qFormat/>
    <w:uiPriority w:val="0"/>
    <w:pPr>
      <w:ind w:firstLine="0" w:firstLineChars="0"/>
    </w:pPr>
    <w:rPr>
      <w:rFonts w:eastAsia="黑体" w:cs="宋体"/>
      <w:b/>
    </w:rPr>
  </w:style>
  <w:style w:type="paragraph" w:customStyle="1" w:styleId="557">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sz w:val="24"/>
      <w:szCs w:val="20"/>
      <w:lang w:val="en-GB"/>
    </w:rPr>
  </w:style>
  <w:style w:type="paragraph" w:customStyle="1" w:styleId="55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559">
    <w:name w:val="页脚 New"/>
    <w:basedOn w:val="509"/>
    <w:qFormat/>
    <w:uiPriority w:val="0"/>
    <w:pPr>
      <w:tabs>
        <w:tab w:val="center" w:pos="4153"/>
        <w:tab w:val="right" w:pos="8306"/>
      </w:tabs>
      <w:snapToGrid w:val="0"/>
      <w:jc w:val="left"/>
    </w:pPr>
    <w:rPr>
      <w:sz w:val="18"/>
    </w:rPr>
  </w:style>
  <w:style w:type="paragraph" w:customStyle="1" w:styleId="560">
    <w:name w:val="需求书2"/>
    <w:basedOn w:val="1"/>
    <w:qFormat/>
    <w:uiPriority w:val="0"/>
    <w:pPr>
      <w:jc w:val="center"/>
    </w:pPr>
    <w:rPr>
      <w:rFonts w:ascii="宋体" w:hAnsi="宋体"/>
      <w:color w:val="FF0000"/>
      <w:sz w:val="20"/>
      <w:szCs w:val="20"/>
    </w:rPr>
  </w:style>
  <w:style w:type="paragraph" w:customStyle="1" w:styleId="561">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562">
    <w:name w:val="标句4"/>
    <w:basedOn w:val="1"/>
    <w:qFormat/>
    <w:uiPriority w:val="0"/>
    <w:pPr>
      <w:snapToGrid w:val="0"/>
      <w:spacing w:before="120" w:line="500" w:lineRule="atLeast"/>
      <w:ind w:left="851" w:hanging="284"/>
    </w:pPr>
    <w:rPr>
      <w:rFonts w:ascii="宋体" w:hAnsi="Times New Roman"/>
      <w:b/>
      <w:kern w:val="52"/>
      <w:sz w:val="27"/>
      <w:szCs w:val="20"/>
    </w:rPr>
  </w:style>
  <w:style w:type="paragraph" w:customStyle="1" w:styleId="563">
    <w:name w:val="插圖"/>
    <w:basedOn w:val="375"/>
    <w:next w:val="375"/>
    <w:qFormat/>
    <w:uiPriority w:val="0"/>
    <w:rPr>
      <w:rFonts w:ascii="Arial" w:hAnsi="Arial"/>
      <w:color w:val="auto"/>
      <w:sz w:val="20"/>
    </w:rPr>
  </w:style>
  <w:style w:type="paragraph" w:customStyle="1" w:styleId="56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565">
    <w:name w:val="正文内容"/>
    <w:basedOn w:val="1"/>
    <w:qFormat/>
    <w:uiPriority w:val="0"/>
    <w:rPr>
      <w:rFonts w:ascii="Arial" w:hAnsi="Arial"/>
      <w:spacing w:val="-12"/>
      <w:szCs w:val="20"/>
    </w:rPr>
  </w:style>
  <w:style w:type="paragraph" w:customStyle="1" w:styleId="566">
    <w:name w:val="日期1"/>
    <w:basedOn w:val="1"/>
    <w:next w:val="1"/>
    <w:qFormat/>
    <w:uiPriority w:val="0"/>
    <w:pPr>
      <w:adjustRightInd w:val="0"/>
      <w:spacing w:before="100" w:after="100" w:line="360" w:lineRule="auto"/>
      <w:ind w:firstLine="425"/>
      <w:textAlignment w:val="baseline"/>
    </w:pPr>
    <w:rPr>
      <w:rFonts w:ascii="宋体" w:hAnsi="Times New Roman"/>
      <w:spacing w:val="2"/>
      <w:sz w:val="24"/>
      <w:szCs w:val="20"/>
    </w:rPr>
  </w:style>
  <w:style w:type="paragraph" w:customStyle="1" w:styleId="567">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8">
    <w:name w:val="Table"/>
    <w:qFormat/>
    <w:uiPriority w:val="0"/>
    <w:pPr>
      <w:spacing w:after="200" w:line="276" w:lineRule="auto"/>
    </w:pPr>
    <w:rPr>
      <w:rFonts w:ascii="Calibri" w:hAnsi="Calibri" w:eastAsia="宋体" w:cs="Times New Roman"/>
      <w:sz w:val="22"/>
      <w:lang w:val="en-US" w:eastAsia="en-US" w:bidi="ar-SA"/>
    </w:rPr>
  </w:style>
  <w:style w:type="paragraph" w:customStyle="1" w:styleId="5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2"/>
      <w:szCs w:val="20"/>
    </w:rPr>
  </w:style>
  <w:style w:type="paragraph" w:customStyle="1" w:styleId="570">
    <w:name w:val="文二"/>
    <w:basedOn w:val="1"/>
    <w:qFormat/>
    <w:uiPriority w:val="0"/>
    <w:pPr>
      <w:jc w:val="left"/>
    </w:pPr>
    <w:rPr>
      <w:rFonts w:ascii="宋体" w:hAnsi="宋体"/>
      <w:szCs w:val="21"/>
    </w:rPr>
  </w:style>
  <w:style w:type="paragraph" w:customStyle="1" w:styleId="571">
    <w:name w:val="正文缩进21"/>
    <w:basedOn w:val="1"/>
    <w:qFormat/>
    <w:uiPriority w:val="0"/>
    <w:pPr>
      <w:ind w:firstLine="420" w:firstLineChars="200"/>
    </w:pPr>
    <w:rPr>
      <w:sz w:val="30"/>
      <w:szCs w:val="24"/>
    </w:rPr>
  </w:style>
  <w:style w:type="paragraph" w:customStyle="1" w:styleId="572">
    <w:name w:val="Char21"/>
    <w:basedOn w:val="1"/>
    <w:qFormat/>
    <w:uiPriority w:val="0"/>
    <w:pPr>
      <w:tabs>
        <w:tab w:val="left" w:pos="425"/>
      </w:tabs>
      <w:ind w:left="425" w:hanging="425"/>
    </w:pPr>
    <w:rPr>
      <w:rFonts w:ascii="Times New Roman" w:hAnsi="Times New Roman"/>
      <w:sz w:val="24"/>
      <w:szCs w:val="20"/>
    </w:rPr>
  </w:style>
  <w:style w:type="paragraph" w:customStyle="1" w:styleId="573">
    <w:name w:val="正文31"/>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574">
    <w:name w:val="样式11"/>
    <w:basedOn w:val="1"/>
    <w:qFormat/>
    <w:uiPriority w:val="0"/>
    <w:rPr>
      <w:rFonts w:ascii="Times New Roman" w:hAnsi="Times New Roman"/>
      <w:szCs w:val="20"/>
    </w:rPr>
  </w:style>
  <w:style w:type="paragraph" w:customStyle="1" w:styleId="575">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577">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578">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9">
    <w:name w:val="4"/>
    <w:basedOn w:val="1"/>
    <w:next w:val="1"/>
    <w:qFormat/>
    <w:uiPriority w:val="0"/>
    <w:rPr>
      <w:rFonts w:ascii="Times New Roman" w:hAnsi="Times New Roman"/>
      <w:szCs w:val="20"/>
    </w:rPr>
  </w:style>
  <w:style w:type="paragraph" w:customStyle="1" w:styleId="580">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581">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582">
    <w:name w:val="正文 New New New New New New New New New New New New New New New New New New New New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583">
    <w:name w:val="普通(网站)1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84">
    <w:name w:val="默认段落字体 Para Char Char Char Char Char Char Char Char Char1 Char Char Char Char Char Char Char Char Char"/>
    <w:basedOn w:val="17"/>
    <w:qFormat/>
    <w:uiPriority w:val="0"/>
    <w:pPr>
      <w:ind w:firstLine="540" w:firstLineChars="225"/>
    </w:pPr>
    <w:rPr>
      <w:rFonts w:ascii="Tahoma" w:hAnsi="Tahoma"/>
      <w:kern w:val="2"/>
      <w:sz w:val="24"/>
      <w:szCs w:val="20"/>
    </w:rPr>
  </w:style>
  <w:style w:type="paragraph" w:customStyle="1" w:styleId="585">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586">
    <w:name w:val="Option"/>
    <w:basedOn w:val="1"/>
    <w:qFormat/>
    <w:uiPriority w:val="0"/>
    <w:rPr>
      <w:rFonts w:ascii="Arial" w:hAnsi="Arial"/>
      <w:color w:val="000000"/>
      <w:szCs w:val="20"/>
    </w:rPr>
  </w:style>
  <w:style w:type="paragraph" w:customStyle="1" w:styleId="587">
    <w:name w:val="CM106"/>
    <w:qFormat/>
    <w:uiPriority w:val="0"/>
    <w:rPr>
      <w:rFonts w:ascii="Calibri" w:hAnsi="Calibri" w:eastAsia="宋体" w:cs="Times New Roman"/>
      <w:lang w:val="en-US" w:eastAsia="zh-CN" w:bidi="ar-SA"/>
    </w:rPr>
  </w:style>
  <w:style w:type="paragraph" w:customStyle="1" w:styleId="588">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589">
    <w:name w:val="正文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0">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1">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styleId="592">
    <w:name w:val="No Spacing"/>
    <w:qFormat/>
    <w:uiPriority w:val="0"/>
    <w:pPr>
      <w:spacing w:after="200" w:line="276" w:lineRule="auto"/>
    </w:pPr>
    <w:rPr>
      <w:rFonts w:ascii="Calibri" w:hAnsi="Calibri" w:eastAsia="宋体" w:cs="Times New Roman"/>
      <w:sz w:val="22"/>
      <w:lang w:val="en-US" w:eastAsia="en-US" w:bidi="ar-SA"/>
    </w:rPr>
  </w:style>
  <w:style w:type="paragraph" w:customStyle="1" w:styleId="593">
    <w:name w:val="正文（首行不缩进）"/>
    <w:basedOn w:val="1"/>
    <w:qFormat/>
    <w:uiPriority w:val="0"/>
    <w:pPr>
      <w:autoSpaceDE w:val="0"/>
      <w:autoSpaceDN w:val="0"/>
      <w:adjustRightInd w:val="0"/>
      <w:spacing w:line="360" w:lineRule="auto"/>
    </w:pPr>
    <w:rPr>
      <w:rFonts w:ascii="Times New Roman" w:hAnsi="Times New Roman"/>
      <w:szCs w:val="20"/>
    </w:rPr>
  </w:style>
  <w:style w:type="paragraph" w:customStyle="1" w:styleId="594">
    <w:name w:val="Char1 Char Char Char Char Char Char11"/>
    <w:basedOn w:val="1"/>
    <w:qFormat/>
    <w:uiPriority w:val="0"/>
    <w:rPr>
      <w:rFonts w:ascii="Times New Roman" w:hAnsi="Times New Roman"/>
      <w:sz w:val="30"/>
      <w:szCs w:val="24"/>
    </w:rPr>
  </w:style>
  <w:style w:type="paragraph" w:customStyle="1" w:styleId="595">
    <w:name w:val="正文文本 New"/>
    <w:basedOn w:val="463"/>
    <w:qFormat/>
    <w:uiPriority w:val="0"/>
    <w:pPr>
      <w:spacing w:after="120"/>
    </w:pPr>
  </w:style>
  <w:style w:type="paragraph" w:customStyle="1" w:styleId="596">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597">
    <w:name w:val="列出段落2"/>
    <w:basedOn w:val="1"/>
    <w:qFormat/>
    <w:uiPriority w:val="0"/>
    <w:pPr>
      <w:ind w:firstLine="420" w:firstLineChars="200"/>
    </w:pPr>
  </w:style>
  <w:style w:type="paragraph" w:customStyle="1" w:styleId="59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99">
    <w:name w:val="¶ÎÂä2"/>
    <w:basedOn w:val="1"/>
    <w:qFormat/>
    <w:uiPriority w:val="0"/>
    <w:pPr>
      <w:overflowPunct w:val="0"/>
      <w:autoSpaceDE w:val="0"/>
      <w:autoSpaceDN w:val="0"/>
      <w:adjustRightInd w:val="0"/>
      <w:spacing w:line="360" w:lineRule="auto"/>
      <w:ind w:left="360"/>
      <w:textAlignment w:val="baseline"/>
    </w:pPr>
    <w:rPr>
      <w:rFonts w:ascii="宋体" w:hAnsi="Times New Roman"/>
      <w:szCs w:val="20"/>
    </w:rPr>
  </w:style>
  <w:style w:type="paragraph" w:customStyle="1" w:styleId="6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01">
    <w:name w:val="正文文本缩进 21"/>
    <w:basedOn w:val="1"/>
    <w:qFormat/>
    <w:uiPriority w:val="0"/>
    <w:pPr>
      <w:spacing w:line="420" w:lineRule="exact"/>
      <w:ind w:firstLine="480"/>
    </w:pPr>
    <w:rPr>
      <w:b/>
      <w:sz w:val="24"/>
      <w:szCs w:val="20"/>
    </w:rPr>
  </w:style>
  <w:style w:type="paragraph" w:customStyle="1" w:styleId="602">
    <w:name w:val="五号正文（标准）"/>
    <w:basedOn w:val="1"/>
    <w:qFormat/>
    <w:uiPriority w:val="0"/>
    <w:pPr>
      <w:spacing w:line="560" w:lineRule="exact"/>
      <w:ind w:firstLine="560" w:firstLineChars="200"/>
    </w:pPr>
    <w:rPr>
      <w:rFonts w:ascii="宋体" w:hAnsi="宋体"/>
      <w:sz w:val="28"/>
      <w:szCs w:val="20"/>
    </w:rPr>
  </w:style>
  <w:style w:type="paragraph" w:customStyle="1" w:styleId="603">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04">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05">
    <w:name w:val="默认段落字体 Para Char"/>
    <w:basedOn w:val="1"/>
    <w:qFormat/>
    <w:uiPriority w:val="0"/>
    <w:pPr>
      <w:spacing w:line="360" w:lineRule="auto"/>
      <w:jc w:val="left"/>
    </w:pPr>
    <w:rPr>
      <w:rFonts w:ascii="Times New Roman" w:hAnsi="Times New Roman"/>
      <w:szCs w:val="24"/>
    </w:rPr>
  </w:style>
  <w:style w:type="paragraph" w:customStyle="1" w:styleId="606">
    <w:name w:val="页脚 New New New New New"/>
    <w:basedOn w:val="454"/>
    <w:qFormat/>
    <w:uiPriority w:val="0"/>
    <w:pPr>
      <w:tabs>
        <w:tab w:val="center" w:pos="4153"/>
        <w:tab w:val="right" w:pos="8306"/>
      </w:tabs>
      <w:snapToGrid w:val="0"/>
      <w:jc w:val="left"/>
    </w:pPr>
    <w:rPr>
      <w:sz w:val="18"/>
      <w:szCs w:val="18"/>
    </w:rPr>
  </w:style>
  <w:style w:type="paragraph" w:customStyle="1" w:styleId="607">
    <w:name w:val="正文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608">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9">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610">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611">
    <w:name w:val="普通(网站) New"/>
    <w:basedOn w:val="432"/>
    <w:qFormat/>
    <w:uiPriority w:val="0"/>
    <w:pPr>
      <w:widowControl/>
      <w:spacing w:before="100" w:beforeAutospacing="1" w:after="100" w:afterAutospacing="1"/>
      <w:jc w:val="left"/>
    </w:pPr>
    <w:rPr>
      <w:rFonts w:ascii="宋体" w:hAnsi="宋体"/>
      <w:kern w:val="0"/>
      <w:sz w:val="24"/>
    </w:rPr>
  </w:style>
  <w:style w:type="paragraph" w:customStyle="1" w:styleId="6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13">
    <w:name w:val="正文缩进11"/>
    <w:basedOn w:val="1"/>
    <w:qFormat/>
    <w:uiPriority w:val="0"/>
    <w:pPr>
      <w:ind w:firstLine="567"/>
    </w:pPr>
    <w:rPr>
      <w:rFonts w:ascii="Times New Roman" w:hAnsi="Times New Roman"/>
      <w:spacing w:val="20"/>
      <w:sz w:val="24"/>
      <w:szCs w:val="20"/>
    </w:rPr>
  </w:style>
  <w:style w:type="paragraph" w:customStyle="1" w:styleId="614">
    <w:name w:val="正文样式"/>
    <w:basedOn w:val="1"/>
    <w:qFormat/>
    <w:uiPriority w:val="0"/>
    <w:pPr>
      <w:tabs>
        <w:tab w:val="left" w:pos="1560"/>
      </w:tabs>
      <w:spacing w:before="163" w:after="163" w:line="300" w:lineRule="auto"/>
      <w:ind w:left="1560" w:hanging="360"/>
    </w:pPr>
    <w:rPr>
      <w:rFonts w:ascii="宋体" w:hAnsi="Times New Roman"/>
      <w:sz w:val="24"/>
      <w:szCs w:val="20"/>
    </w:rPr>
  </w:style>
  <w:style w:type="paragraph" w:customStyle="1" w:styleId="615">
    <w:name w:val="素材4"/>
    <w:basedOn w:val="1"/>
    <w:qFormat/>
    <w:uiPriority w:val="0"/>
    <w:pPr>
      <w:snapToGrid w:val="0"/>
      <w:spacing w:line="500" w:lineRule="atLeast"/>
      <w:ind w:left="1135" w:hanging="284"/>
    </w:pPr>
    <w:rPr>
      <w:rFonts w:ascii="宋体" w:hAnsi="Times New Roman"/>
      <w:kern w:val="28"/>
      <w:sz w:val="27"/>
      <w:szCs w:val="20"/>
    </w:rPr>
  </w:style>
  <w:style w:type="paragraph" w:customStyle="1" w:styleId="616">
    <w:name w:val="正文文本缩进 31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17">
    <w:name w:val="彩色列表 - 强调文字颜色 12"/>
    <w:basedOn w:val="1"/>
    <w:qFormat/>
    <w:uiPriority w:val="0"/>
    <w:pPr>
      <w:ind w:firstLine="420" w:firstLineChars="200"/>
    </w:pPr>
    <w:rPr>
      <w:rFonts w:ascii="Times New Roman" w:hAnsi="Times New Roman"/>
      <w:szCs w:val="24"/>
    </w:rPr>
  </w:style>
  <w:style w:type="paragraph" w:customStyle="1" w:styleId="618">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9">
    <w:name w:val="正文文本缩进 212"/>
    <w:basedOn w:val="1"/>
    <w:qFormat/>
    <w:uiPriority w:val="0"/>
    <w:pPr>
      <w:spacing w:line="420" w:lineRule="exact"/>
      <w:ind w:firstLine="480"/>
    </w:pPr>
    <w:rPr>
      <w:b/>
      <w:sz w:val="24"/>
      <w:szCs w:val="20"/>
    </w:rPr>
  </w:style>
  <w:style w:type="paragraph" w:customStyle="1" w:styleId="620">
    <w:name w:val="正文首行缩进11"/>
    <w:basedOn w:val="2"/>
    <w:qFormat/>
    <w:uiPriority w:val="0"/>
    <w:pPr>
      <w:ind w:firstLine="420" w:firstLineChars="100"/>
    </w:pPr>
    <w:rPr>
      <w:sz w:val="30"/>
      <w:szCs w:val="24"/>
    </w:rPr>
  </w:style>
  <w:style w:type="paragraph" w:customStyle="1" w:styleId="621">
    <w:name w:val="Char4"/>
    <w:basedOn w:val="1"/>
    <w:qFormat/>
    <w:uiPriority w:val="0"/>
    <w:pPr>
      <w:widowControl/>
      <w:spacing w:after="160" w:line="240" w:lineRule="exact"/>
      <w:jc w:val="left"/>
    </w:pPr>
    <w:rPr>
      <w:rFonts w:ascii="Times New Roman" w:hAnsi="Times New Roman"/>
      <w:sz w:val="30"/>
      <w:szCs w:val="24"/>
    </w:rPr>
  </w:style>
  <w:style w:type="paragraph" w:customStyle="1" w:styleId="622">
    <w:name w:val="公文抬头"/>
    <w:basedOn w:val="9"/>
    <w:qFormat/>
    <w:uiPriority w:val="0"/>
    <w:pPr>
      <w:ind w:firstLine="0" w:firstLineChars="0"/>
    </w:pPr>
    <w:rPr>
      <w:rFonts w:ascii="仿宋_GB2312" w:eastAsia="仿宋_GB2312"/>
      <w:sz w:val="30"/>
    </w:rPr>
  </w:style>
  <w:style w:type="paragraph" w:customStyle="1" w:styleId="623">
    <w:name w:val="标题 5 New"/>
    <w:basedOn w:val="432"/>
    <w:next w:val="432"/>
    <w:qFormat/>
    <w:uiPriority w:val="0"/>
    <w:pPr>
      <w:keepNext/>
      <w:keepLines/>
      <w:spacing w:before="280" w:after="290" w:line="376" w:lineRule="auto"/>
      <w:outlineLvl w:val="4"/>
    </w:pPr>
    <w:rPr>
      <w:rFonts w:eastAsia="仿宋_GB2312"/>
      <w:b/>
      <w:bCs/>
      <w:sz w:val="28"/>
      <w:szCs w:val="28"/>
    </w:rPr>
  </w:style>
  <w:style w:type="paragraph" w:customStyle="1" w:styleId="624">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625">
    <w:name w:val="正文首行缩进 New"/>
    <w:basedOn w:val="595"/>
    <w:qFormat/>
    <w:uiPriority w:val="0"/>
    <w:pPr>
      <w:ind w:firstLine="420" w:firstLineChars="100"/>
    </w:pPr>
  </w:style>
  <w:style w:type="paragraph" w:customStyle="1" w:styleId="626">
    <w:name w:val="正文2"/>
    <w:qFormat/>
    <w:uiPriority w:val="0"/>
    <w:pPr>
      <w:widowControl w:val="0"/>
      <w:adjustRightInd w:val="0"/>
      <w:spacing w:after="200" w:line="360" w:lineRule="atLeast"/>
      <w:textAlignment w:val="baseline"/>
    </w:pPr>
    <w:rPr>
      <w:rFonts w:ascii="宋体" w:hAnsi="Calibri" w:eastAsia="宋体" w:cs="Times New Roman"/>
      <w:sz w:val="24"/>
      <w:lang w:val="en-US" w:eastAsia="zh-CN" w:bidi="ar-SA"/>
    </w:rPr>
  </w:style>
  <w:style w:type="paragraph" w:customStyle="1" w:styleId="627">
    <w:name w:val="qc"/>
    <w:basedOn w:val="1"/>
    <w:qFormat/>
    <w:uiPriority w:val="0"/>
    <w:pPr>
      <w:spacing w:before="100" w:beforeAutospacing="1" w:after="100" w:afterAutospacing="1"/>
    </w:pPr>
    <w:rPr>
      <w:rFonts w:ascii="宋体" w:hAnsi="宋体"/>
      <w:color w:val="999999"/>
      <w:sz w:val="18"/>
      <w:szCs w:val="20"/>
    </w:rPr>
  </w:style>
  <w:style w:type="paragraph" w:customStyle="1" w:styleId="628">
    <w:name w:val="Char2"/>
    <w:basedOn w:val="1"/>
    <w:qFormat/>
    <w:uiPriority w:val="0"/>
    <w:pPr>
      <w:tabs>
        <w:tab w:val="left" w:pos="425"/>
      </w:tabs>
      <w:ind w:left="425" w:hanging="425"/>
    </w:pPr>
    <w:rPr>
      <w:rFonts w:ascii="Times New Roman" w:hAnsi="Times New Roman"/>
      <w:sz w:val="24"/>
      <w:szCs w:val="20"/>
    </w:rPr>
  </w:style>
  <w:style w:type="paragraph" w:customStyle="1" w:styleId="629">
    <w:name w:val="默认段落字体 Para Char Char Char Char Char Char Char"/>
    <w:basedOn w:val="17"/>
    <w:qFormat/>
    <w:uiPriority w:val="0"/>
    <w:pPr>
      <w:adjustRightInd w:val="0"/>
      <w:spacing w:line="436" w:lineRule="exact"/>
      <w:ind w:left="357"/>
      <w:jc w:val="left"/>
      <w:outlineLvl w:val="3"/>
    </w:pPr>
    <w:rPr>
      <w:rFonts w:ascii="Tahoma" w:hAnsi="Tahoma"/>
      <w:b/>
      <w:sz w:val="24"/>
    </w:rPr>
  </w:style>
  <w:style w:type="paragraph" w:customStyle="1" w:styleId="630">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631">
    <w:name w:val="正文文本缩进21"/>
    <w:basedOn w:val="1"/>
    <w:qFormat/>
    <w:uiPriority w:val="0"/>
    <w:pPr>
      <w:ind w:firstLine="480"/>
    </w:pPr>
    <w:rPr>
      <w:rFonts w:ascii="Times New Roman" w:hAnsi="Times New Roman"/>
      <w:sz w:val="24"/>
      <w:szCs w:val="20"/>
    </w:rPr>
  </w:style>
  <w:style w:type="paragraph" w:customStyle="1" w:styleId="632">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633">
    <w:name w:val="标句3"/>
    <w:basedOn w:val="1"/>
    <w:qFormat/>
    <w:uiPriority w:val="0"/>
    <w:pPr>
      <w:snapToGrid w:val="0"/>
      <w:spacing w:before="120" w:line="500" w:lineRule="atLeast"/>
      <w:ind w:left="568" w:hanging="284"/>
    </w:pPr>
    <w:rPr>
      <w:rFonts w:ascii="宋体" w:hAnsi="Times New Roman"/>
      <w:b/>
      <w:kern w:val="52"/>
      <w:sz w:val="28"/>
      <w:szCs w:val="20"/>
    </w:rPr>
  </w:style>
  <w:style w:type="paragraph" w:customStyle="1" w:styleId="634">
    <w:name w:val="引用111"/>
    <w:basedOn w:val="1"/>
    <w:next w:val="1"/>
    <w:qFormat/>
    <w:uiPriority w:val="0"/>
    <w:rPr>
      <w:rFonts w:cs="黑体"/>
      <w:i/>
      <w:color w:val="000000"/>
    </w:rPr>
  </w:style>
  <w:style w:type="paragraph" w:customStyle="1" w:styleId="635">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636">
    <w:name w:val="一级无标题条"/>
    <w:basedOn w:val="1"/>
    <w:qFormat/>
    <w:uiPriority w:val="0"/>
    <w:pPr>
      <w:ind w:left="1260" w:hanging="420"/>
    </w:pPr>
    <w:rPr>
      <w:rFonts w:ascii="Times New Roman" w:hAnsi="Times New Roman"/>
      <w:szCs w:val="24"/>
    </w:rPr>
  </w:style>
  <w:style w:type="paragraph" w:customStyle="1" w:styleId="637">
    <w:name w:val="纯文本11"/>
    <w:basedOn w:val="1"/>
    <w:qFormat/>
    <w:uiPriority w:val="0"/>
    <w:pPr>
      <w:suppressAutoHyphens/>
    </w:pPr>
    <w:rPr>
      <w:rFonts w:ascii="宋体" w:hAnsi="宋体"/>
      <w:szCs w:val="20"/>
      <w:lang w:eastAsia="ar-SA"/>
    </w:rPr>
  </w:style>
  <w:style w:type="paragraph" w:customStyle="1" w:styleId="638">
    <w:name w:val="修订111"/>
    <w:qFormat/>
    <w:uiPriority w:val="0"/>
    <w:rPr>
      <w:rFonts w:ascii="Calibri" w:hAnsi="Calibri" w:eastAsia="宋体" w:cs="Times New Roman"/>
      <w:kern w:val="2"/>
      <w:sz w:val="21"/>
      <w:szCs w:val="24"/>
      <w:lang w:val="en-US" w:eastAsia="zh-CN" w:bidi="ar-SA"/>
    </w:rPr>
  </w:style>
  <w:style w:type="paragraph" w:customStyle="1" w:styleId="639">
    <w:name w:val="Char Char Char Char Char Char Char Char1 Char11"/>
    <w:basedOn w:val="1"/>
    <w:qFormat/>
    <w:uiPriority w:val="0"/>
    <w:rPr>
      <w:rFonts w:ascii="Times New Roman" w:hAnsi="Times New Roman"/>
      <w:szCs w:val="20"/>
    </w:rPr>
  </w:style>
  <w:style w:type="paragraph" w:customStyle="1" w:styleId="64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41">
    <w:name w:val="我的正文"/>
    <w:basedOn w:val="1"/>
    <w:qFormat/>
    <w:uiPriority w:val="0"/>
    <w:pPr>
      <w:spacing w:line="288" w:lineRule="auto"/>
      <w:ind w:firstLine="567"/>
    </w:pPr>
    <w:rPr>
      <w:rFonts w:ascii="Times New Roman" w:hAnsi="Times New Roman"/>
      <w:spacing w:val="6"/>
      <w:sz w:val="24"/>
      <w:szCs w:val="20"/>
    </w:rPr>
  </w:style>
  <w:style w:type="paragraph" w:customStyle="1" w:styleId="64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4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4">
    <w:name w:val="样式16"/>
    <w:basedOn w:val="37"/>
    <w:next w:val="37"/>
    <w:qFormat/>
    <w:uiPriority w:val="0"/>
    <w:pPr>
      <w:spacing w:before="0" w:after="0"/>
      <w:jc w:val="both"/>
    </w:pPr>
    <w:rPr>
      <w:b w:val="0"/>
      <w:bCs w:val="0"/>
      <w:caps w:val="0"/>
      <w:sz w:val="21"/>
    </w:rPr>
  </w:style>
  <w:style w:type="paragraph" w:customStyle="1" w:styleId="645">
    <w:name w:val="列出段落1"/>
    <w:basedOn w:val="1"/>
    <w:qFormat/>
    <w:uiPriority w:val="0"/>
    <w:pPr>
      <w:ind w:firstLine="420" w:firstLineChars="200"/>
    </w:pPr>
  </w:style>
  <w:style w:type="paragraph" w:customStyle="1" w:styleId="646">
    <w:name w:val="修订11"/>
    <w:qFormat/>
    <w:uiPriority w:val="0"/>
    <w:rPr>
      <w:rFonts w:ascii="Calibri" w:hAnsi="Calibri" w:eastAsia="宋体" w:cs="Times New Roman"/>
      <w:kern w:val="2"/>
      <w:sz w:val="21"/>
      <w:szCs w:val="24"/>
      <w:lang w:val="en-US" w:eastAsia="zh-CN" w:bidi="ar-SA"/>
    </w:rPr>
  </w:style>
  <w:style w:type="paragraph" w:customStyle="1" w:styleId="64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48">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649">
    <w:name w:val="封四"/>
    <w:basedOn w:val="216"/>
    <w:next w:val="216"/>
    <w:qFormat/>
    <w:uiPriority w:val="0"/>
    <w:pPr>
      <w:jc w:val="left"/>
    </w:pPr>
    <w:rPr>
      <w:sz w:val="30"/>
      <w:szCs w:val="30"/>
    </w:rPr>
  </w:style>
  <w:style w:type="paragraph" w:customStyle="1" w:styleId="650">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5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652">
    <w:name w:val="Char5"/>
    <w:basedOn w:val="1"/>
    <w:qFormat/>
    <w:uiPriority w:val="0"/>
    <w:pPr>
      <w:widowControl/>
      <w:spacing w:after="160" w:line="240" w:lineRule="exact"/>
      <w:jc w:val="left"/>
    </w:pPr>
    <w:rPr>
      <w:sz w:val="30"/>
      <w:szCs w:val="24"/>
    </w:rPr>
  </w:style>
  <w:style w:type="paragraph" w:customStyle="1" w:styleId="653">
    <w:name w:val="报告正文"/>
    <w:basedOn w:val="1"/>
    <w:qFormat/>
    <w:uiPriority w:val="0"/>
    <w:pPr>
      <w:snapToGrid w:val="0"/>
      <w:spacing w:line="400" w:lineRule="exact"/>
      <w:ind w:firstLine="482"/>
    </w:pPr>
    <w:rPr>
      <w:rFonts w:ascii="Times New Roman" w:hAnsi="Times New Roman"/>
      <w:sz w:val="24"/>
      <w:szCs w:val="20"/>
    </w:rPr>
  </w:style>
  <w:style w:type="paragraph" w:customStyle="1" w:styleId="654">
    <w:name w:val="Char Char Char Char"/>
    <w:basedOn w:val="1"/>
    <w:qFormat/>
    <w:uiPriority w:val="0"/>
    <w:rPr>
      <w:rFonts w:ascii="Times New Roman" w:hAnsi="Times New Roman"/>
      <w:szCs w:val="24"/>
    </w:rPr>
  </w:style>
  <w:style w:type="paragraph" w:customStyle="1" w:styleId="655">
    <w:name w:val="3 Char Char Char Char Char Char Char"/>
    <w:basedOn w:val="1"/>
    <w:qFormat/>
    <w:uiPriority w:val="0"/>
    <w:pPr>
      <w:adjustRightInd w:val="0"/>
      <w:snapToGrid w:val="0"/>
      <w:spacing w:line="400" w:lineRule="exact"/>
      <w:ind w:firstLine="200" w:firstLineChars="200"/>
    </w:pPr>
    <w:rPr>
      <w:rFonts w:ascii="Times New Roman" w:hAnsi="Times New Roman"/>
      <w:sz w:val="24"/>
      <w:szCs w:val="20"/>
    </w:rPr>
  </w:style>
  <w:style w:type="paragraph" w:customStyle="1" w:styleId="656">
    <w:name w:val="正文段"/>
    <w:basedOn w:val="1"/>
    <w:qFormat/>
    <w:uiPriority w:val="0"/>
    <w:pPr>
      <w:adjustRightInd w:val="0"/>
      <w:spacing w:after="240" w:line="360" w:lineRule="atLeast"/>
      <w:ind w:firstLine="454"/>
      <w:textAlignment w:val="bottom"/>
    </w:pPr>
    <w:rPr>
      <w:rFonts w:ascii="宋体" w:hAnsi="Times New Roman"/>
      <w:sz w:val="24"/>
      <w:szCs w:val="20"/>
    </w:rPr>
  </w:style>
  <w:style w:type="paragraph" w:customStyle="1" w:styleId="657">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658">
    <w:name w:val="无间隔1"/>
    <w:qFormat/>
    <w:uiPriority w:val="0"/>
    <w:pPr>
      <w:spacing w:after="200" w:line="276" w:lineRule="auto"/>
    </w:pPr>
    <w:rPr>
      <w:rFonts w:ascii="Calibri" w:hAnsi="Calibri" w:eastAsia="宋体" w:cs="Times New Roman"/>
      <w:sz w:val="22"/>
      <w:lang w:val="en-US" w:eastAsia="en-US" w:bidi="ar-SA"/>
    </w:rPr>
  </w:style>
  <w:style w:type="paragraph" w:customStyle="1" w:styleId="65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660">
    <w:name w:val="二级无标题条"/>
    <w:basedOn w:val="1"/>
    <w:qFormat/>
    <w:uiPriority w:val="0"/>
    <w:pPr>
      <w:ind w:left="1680" w:hanging="420"/>
    </w:pPr>
    <w:rPr>
      <w:rFonts w:ascii="Times New Roman" w:hAnsi="Times New Roman"/>
      <w:szCs w:val="24"/>
    </w:rPr>
  </w:style>
  <w:style w:type="paragraph" w:customStyle="1" w:styleId="661">
    <w:name w:val="引用1"/>
    <w:basedOn w:val="1"/>
    <w:next w:val="1"/>
    <w:qFormat/>
    <w:uiPriority w:val="0"/>
    <w:rPr>
      <w:rFonts w:ascii="Times New Roman" w:hAnsi="Times New Roman"/>
      <w:i/>
      <w:color w:val="000000"/>
      <w:kern w:val="0"/>
      <w:sz w:val="20"/>
      <w:szCs w:val="20"/>
    </w:rPr>
  </w:style>
  <w:style w:type="paragraph" w:customStyle="1" w:styleId="662">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63">
    <w:name w:val="正文3"/>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664">
    <w:name w:val="二级项目符号"/>
    <w:basedOn w:val="1"/>
    <w:qFormat/>
    <w:uiPriority w:val="0"/>
    <w:pPr>
      <w:spacing w:line="360" w:lineRule="auto"/>
    </w:pPr>
    <w:rPr>
      <w:rFonts w:ascii="Times New Roman" w:hAnsi="Times New Roman"/>
      <w:sz w:val="24"/>
      <w:szCs w:val="20"/>
    </w:rPr>
  </w:style>
  <w:style w:type="paragraph" w:customStyle="1" w:styleId="665">
    <w:name w:val="正题"/>
    <w:basedOn w:val="216"/>
    <w:next w:val="216"/>
    <w:qFormat/>
    <w:uiPriority w:val="0"/>
    <w:pPr>
      <w:ind w:firstLine="0" w:firstLineChars="0"/>
      <w:jc w:val="center"/>
    </w:pPr>
    <w:rPr>
      <w:rFonts w:eastAsia="黑体"/>
      <w:b/>
      <w:sz w:val="36"/>
      <w:szCs w:val="36"/>
    </w:rPr>
  </w:style>
  <w:style w:type="paragraph" w:customStyle="1" w:styleId="666">
    <w:name w:val="小标题 1"/>
    <w:basedOn w:val="1"/>
    <w:qFormat/>
    <w:uiPriority w:val="0"/>
    <w:pPr>
      <w:autoSpaceDE w:val="0"/>
      <w:autoSpaceDN w:val="0"/>
      <w:adjustRightInd w:val="0"/>
      <w:spacing w:line="360" w:lineRule="atLeast"/>
    </w:pPr>
    <w:rPr>
      <w:rFonts w:ascii="文鼎粗黑" w:hAnsi="Times New Roman" w:eastAsia="文鼎粗黑"/>
      <w:szCs w:val="20"/>
    </w:rPr>
  </w:style>
  <w:style w:type="paragraph" w:customStyle="1" w:styleId="667">
    <w:name w:val="图表标题"/>
    <w:basedOn w:val="1"/>
    <w:next w:val="1"/>
    <w:qFormat/>
    <w:uiPriority w:val="0"/>
    <w:pPr>
      <w:spacing w:before="120"/>
      <w:jc w:val="center"/>
      <w:textAlignment w:val="baseline"/>
    </w:pPr>
    <w:rPr>
      <w:rFonts w:ascii="Arial" w:hAnsi="Arial" w:eastAsia="黑体"/>
      <w:szCs w:val="20"/>
    </w:rPr>
  </w:style>
  <w:style w:type="paragraph" w:customStyle="1" w:styleId="668">
    <w:name w:val="页眉 New"/>
    <w:basedOn w:val="509"/>
    <w:qFormat/>
    <w:uiPriority w:val="0"/>
    <w:pPr>
      <w:pBdr>
        <w:bottom w:val="single" w:color="auto" w:sz="6" w:space="1"/>
      </w:pBdr>
      <w:tabs>
        <w:tab w:val="center" w:pos="4153"/>
        <w:tab w:val="right" w:pos="8306"/>
      </w:tabs>
      <w:snapToGrid w:val="0"/>
      <w:jc w:val="center"/>
    </w:pPr>
    <w:rPr>
      <w:sz w:val="18"/>
    </w:rPr>
  </w:style>
  <w:style w:type="paragraph" w:customStyle="1" w:styleId="669">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0">
    <w:name w:val="样式7"/>
    <w:basedOn w:val="1"/>
    <w:qFormat/>
    <w:uiPriority w:val="0"/>
    <w:pPr>
      <w:ind w:firstLine="420"/>
    </w:pPr>
    <w:rPr>
      <w:rFonts w:ascii="Times New Roman" w:hAnsi="Times New Roman"/>
      <w:szCs w:val="20"/>
    </w:rPr>
  </w:style>
  <w:style w:type="paragraph" w:customStyle="1" w:styleId="671">
    <w:name w:val="IBM bullets 2"/>
    <w:basedOn w:val="609"/>
    <w:qFormat/>
    <w:uiPriority w:val="0"/>
    <w:pPr>
      <w:ind w:left="1080"/>
    </w:pPr>
  </w:style>
  <w:style w:type="paragraph" w:customStyle="1" w:styleId="672">
    <w:name w:val="纯文本3"/>
    <w:basedOn w:val="1"/>
    <w:qFormat/>
    <w:uiPriority w:val="0"/>
    <w:rPr>
      <w:rFonts w:ascii="宋体" w:hAnsi="Courier New"/>
      <w:sz w:val="24"/>
      <w:szCs w:val="20"/>
    </w:rPr>
  </w:style>
  <w:style w:type="paragraph" w:customStyle="1" w:styleId="673">
    <w:name w:val="CM11"/>
    <w:basedOn w:val="375"/>
    <w:next w:val="375"/>
    <w:qFormat/>
    <w:uiPriority w:val="0"/>
    <w:pPr>
      <w:spacing w:after="295"/>
    </w:pPr>
    <w:rPr>
      <w:rFonts w:ascii="Yenti EG" w:eastAsia="Yenti EG"/>
      <w:color w:val="auto"/>
      <w:sz w:val="20"/>
    </w:rPr>
  </w:style>
  <w:style w:type="paragraph" w:customStyle="1" w:styleId="674">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675">
    <w:name w:val="p0"/>
    <w:basedOn w:val="1"/>
    <w:qFormat/>
    <w:uiPriority w:val="0"/>
    <w:pPr>
      <w:widowControl/>
    </w:pPr>
    <w:rPr>
      <w:rFonts w:ascii="Times New Roman" w:hAnsi="Times New Roman"/>
      <w:kern w:val="0"/>
      <w:szCs w:val="21"/>
    </w:rPr>
  </w:style>
  <w:style w:type="paragraph" w:customStyle="1" w:styleId="676">
    <w:name w:val="Char1 Char Char Char Char Char Char12"/>
    <w:basedOn w:val="1"/>
    <w:qFormat/>
    <w:uiPriority w:val="0"/>
    <w:rPr>
      <w:sz w:val="30"/>
      <w:szCs w:val="24"/>
    </w:rPr>
  </w:style>
  <w:style w:type="paragraph" w:customStyle="1" w:styleId="677">
    <w:name w:val="list1"/>
    <w:basedOn w:val="1"/>
    <w:qFormat/>
    <w:uiPriority w:val="0"/>
    <w:pPr>
      <w:tabs>
        <w:tab w:val="left" w:pos="1265"/>
      </w:tabs>
      <w:adjustRightInd w:val="0"/>
      <w:spacing w:line="360" w:lineRule="auto"/>
      <w:ind w:left="1265" w:hanging="420"/>
      <w:textAlignment w:val="baseline"/>
    </w:pPr>
    <w:rPr>
      <w:rFonts w:ascii="宋体" w:hAnsi="Times New Roman"/>
      <w:color w:val="000000"/>
      <w:sz w:val="24"/>
      <w:szCs w:val="20"/>
    </w:rPr>
  </w:style>
  <w:style w:type="paragraph" w:customStyle="1" w:styleId="678">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9">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6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szCs w:val="20"/>
    </w:rPr>
  </w:style>
  <w:style w:type="paragraph" w:customStyle="1" w:styleId="681">
    <w:name w:val="标题3"/>
    <w:basedOn w:val="1"/>
    <w:qFormat/>
    <w:uiPriority w:val="0"/>
    <w:pPr>
      <w:adjustRightInd w:val="0"/>
      <w:spacing w:before="120" w:after="120"/>
      <w:jc w:val="center"/>
      <w:textAlignment w:val="baseline"/>
    </w:pPr>
    <w:rPr>
      <w:rFonts w:ascii="Times New Roman" w:hAnsi="Times New Roman"/>
      <w:b/>
      <w:kern w:val="0"/>
      <w:sz w:val="18"/>
      <w:szCs w:val="20"/>
    </w:rPr>
  </w:style>
  <w:style w:type="paragraph" w:customStyle="1" w:styleId="682">
    <w:name w:val="p15"/>
    <w:basedOn w:val="1"/>
    <w:qFormat/>
    <w:uiPriority w:val="0"/>
    <w:pPr>
      <w:widowControl/>
    </w:pPr>
    <w:rPr>
      <w:rFonts w:ascii="宋体" w:hAnsi="宋体" w:cs="宋体"/>
      <w:kern w:val="0"/>
      <w:szCs w:val="21"/>
    </w:rPr>
  </w:style>
  <w:style w:type="paragraph" w:customStyle="1" w:styleId="683">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4">
    <w:name w:val="Char1 Char Char Char Char Char Char1 Char Char Char"/>
    <w:basedOn w:val="1"/>
    <w:qFormat/>
    <w:uiPriority w:val="0"/>
    <w:rPr>
      <w:sz w:val="30"/>
      <w:szCs w:val="24"/>
    </w:rPr>
  </w:style>
  <w:style w:type="paragraph" w:customStyle="1" w:styleId="68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686">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87">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88">
    <w:name w:val="Char Char Char Char Char Char Char Char1 Char2"/>
    <w:basedOn w:val="1"/>
    <w:qFormat/>
    <w:uiPriority w:val="0"/>
    <w:rPr>
      <w:rFonts w:ascii="Times New Roman" w:hAnsi="Times New Roman"/>
      <w:szCs w:val="20"/>
    </w:rPr>
  </w:style>
  <w:style w:type="paragraph" w:customStyle="1" w:styleId="689">
    <w:name w:val="Char Char1 Char Char Char Char Char Char Char Char"/>
    <w:basedOn w:val="1"/>
    <w:qFormat/>
    <w:uiPriority w:val="0"/>
    <w:pPr>
      <w:spacing w:after="160" w:line="240" w:lineRule="exact"/>
    </w:pPr>
    <w:rPr>
      <w:rFonts w:ascii="Verdana" w:hAnsi="Verdana"/>
      <w:sz w:val="20"/>
      <w:szCs w:val="20"/>
    </w:rPr>
  </w:style>
  <w:style w:type="paragraph" w:customStyle="1" w:styleId="69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91">
    <w:name w:val="文档正文"/>
    <w:basedOn w:val="1"/>
    <w:qFormat/>
    <w:uiPriority w:val="0"/>
    <w:rPr>
      <w:rFonts w:ascii="Arial" w:hAnsi="Arial"/>
      <w:sz w:val="24"/>
      <w:szCs w:val="20"/>
    </w:rPr>
  </w:style>
  <w:style w:type="paragraph" w:customStyle="1" w:styleId="692">
    <w:name w:val="文档结构图3"/>
    <w:basedOn w:val="1"/>
    <w:qFormat/>
    <w:uiPriority w:val="0"/>
    <w:pPr>
      <w:shd w:val="clear" w:color="auto" w:fill="000080"/>
    </w:pPr>
    <w:rPr>
      <w:sz w:val="30"/>
      <w:szCs w:val="24"/>
    </w:rPr>
  </w:style>
  <w:style w:type="paragraph" w:customStyle="1" w:styleId="693">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4">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695">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96">
    <w:name w:val="样式8"/>
    <w:basedOn w:val="501"/>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697">
    <w:name w:val="表头"/>
    <w:basedOn w:val="1"/>
    <w:qFormat/>
    <w:uiPriority w:val="0"/>
    <w:pPr>
      <w:spacing w:line="360" w:lineRule="auto"/>
      <w:jc w:val="center"/>
    </w:pPr>
    <w:rPr>
      <w:rFonts w:ascii="黑体" w:hAnsi="Times New Roman" w:eastAsia="黑体"/>
      <w:kern w:val="0"/>
      <w:sz w:val="24"/>
      <w:szCs w:val="20"/>
    </w:rPr>
  </w:style>
  <w:style w:type="paragraph" w:customStyle="1" w:styleId="698">
    <w:name w:val="_Style 41"/>
    <w:basedOn w:val="1"/>
    <w:qFormat/>
    <w:uiPriority w:val="0"/>
    <w:rPr>
      <w:rFonts w:ascii="宋体" w:hAnsi="CG Times (W1)"/>
      <w:kern w:val="0"/>
      <w:szCs w:val="20"/>
    </w:rPr>
  </w:style>
  <w:style w:type="table" w:customStyle="1" w:styleId="699">
    <w:name w:val="网格型2"/>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0">
    <w:name w:val="网格型11"/>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1">
    <w:name w:val="网格型1"/>
    <w:basedOn w:val="5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2">
    <w:name w:val="_Style 3"/>
    <w:basedOn w:val="1"/>
    <w:qFormat/>
    <w:uiPriority w:val="34"/>
    <w:pPr>
      <w:adjustRightInd w:val="0"/>
      <w:snapToGrid w:val="0"/>
      <w:spacing w:line="312" w:lineRule="auto"/>
      <w:ind w:firstLine="420" w:firstLineChars="200"/>
    </w:pPr>
    <w:rPr>
      <w:sz w:val="20"/>
      <w:szCs w:val="20"/>
    </w:rPr>
  </w:style>
  <w:style w:type="character" w:customStyle="1" w:styleId="703">
    <w:name w:val="trumbowyg-msg-error"/>
    <w:basedOn w:val="57"/>
    <w:qFormat/>
    <w:uiPriority w:val="0"/>
    <w:rPr>
      <w:color w:val="E74C3C"/>
    </w:rPr>
  </w:style>
  <w:style w:type="character" w:customStyle="1" w:styleId="704">
    <w:name w:val="trumbowyg-msg-error1"/>
    <w:basedOn w:val="57"/>
    <w:qFormat/>
    <w:uiPriority w:val="0"/>
    <w:rPr>
      <w:color w:val="E74C3C"/>
    </w:rPr>
  </w:style>
  <w:style w:type="character" w:customStyle="1" w:styleId="705">
    <w:name w:val="nth-child(1)"/>
    <w:basedOn w:val="57"/>
    <w:qFormat/>
    <w:uiPriority w:val="0"/>
  </w:style>
  <w:style w:type="character" w:customStyle="1" w:styleId="706">
    <w:name w:val="nth-child(1)1"/>
    <w:basedOn w:val="57"/>
    <w:qFormat/>
    <w:uiPriority w:val="0"/>
  </w:style>
  <w:style w:type="character" w:customStyle="1" w:styleId="707">
    <w:name w:val="two-lines"/>
    <w:basedOn w:val="57"/>
    <w:qFormat/>
    <w:uiPriority w:val="0"/>
  </w:style>
  <w:style w:type="character" w:customStyle="1" w:styleId="708">
    <w:name w:val="hidden"/>
    <w:basedOn w:val="57"/>
    <w:qFormat/>
    <w:uiPriority w:val="0"/>
    <w:rPr>
      <w:vanish/>
    </w:rPr>
  </w:style>
  <w:style w:type="character" w:customStyle="1" w:styleId="709">
    <w:name w:val="one-lines"/>
    <w:basedOn w:val="57"/>
    <w:qFormat/>
    <w:uiPriority w:val="0"/>
  </w:style>
  <w:style w:type="paragraph" w:customStyle="1" w:styleId="710">
    <w:name w:val="Revision"/>
    <w:hidden/>
    <w:unhideWhenUsed/>
    <w:qFormat/>
    <w:uiPriority w:val="99"/>
    <w:rPr>
      <w:rFonts w:ascii="Calibri" w:hAnsi="Calibri" w:eastAsia="宋体" w:cs="Times New Roman"/>
      <w:kern w:val="2"/>
      <w:sz w:val="21"/>
      <w:szCs w:val="22"/>
      <w:lang w:val="en-US" w:eastAsia="zh-CN" w:bidi="ar-SA"/>
    </w:rPr>
  </w:style>
  <w:style w:type="character" w:customStyle="1" w:styleId="711">
    <w:name w:val="NormalCharacter"/>
    <w:qFormat/>
    <w:uiPriority w:val="0"/>
  </w:style>
  <w:style w:type="paragraph" w:customStyle="1" w:styleId="712">
    <w:name w:val="正文(仿)首缩"/>
    <w:basedOn w:val="1"/>
    <w:qFormat/>
    <w:uiPriority w:val="0"/>
    <w:pPr>
      <w:ind w:firstLine="554" w:firstLineChars="200"/>
    </w:pPr>
    <w:rPr>
      <w:rFonts w:ascii="仿宋_GB2312" w:hAnsi="Times New Roman" w:cs="Times New Roman"/>
      <w:snapToGrid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27883</Words>
  <Characters>29138</Characters>
  <DocSecurity>0</DocSecurity>
  <Lines>228</Lines>
  <Paragraphs>64</Paragraphs>
  <ScaleCrop>false</ScaleCrop>
  <LinksUpToDate>false</LinksUpToDate>
  <CharactersWithSpaces>29974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2021-12-16T05:40:00Z</cp:lastPrinted>
  <dcterms:created xsi:type="dcterms:W3CDTF">2023-02-21T03:40:00Z</dcterms:created>
  <dcterms:modified xsi:type="dcterms:W3CDTF">2023-06-01T06:17:05Z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1FE3958EA5E4403880910B8B10ACEAB8_13</vt:lpwstr>
  </property>
</Properties>
</file>