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000000"/>
          <w:sz w:val="52"/>
          <w:szCs w:val="52"/>
          <w:lang w:eastAsia="zh-CN"/>
        </w:rPr>
      </w:pPr>
    </w:p>
    <w:p>
      <w:pPr>
        <w:jc w:val="center"/>
        <w:rPr>
          <w:rFonts w:hint="eastAsia" w:ascii="宋体" w:hAnsi="宋体"/>
          <w:b/>
          <w:color w:val="000000"/>
          <w:sz w:val="52"/>
          <w:szCs w:val="52"/>
          <w:lang w:eastAsia="zh-CN"/>
        </w:rPr>
      </w:pPr>
    </w:p>
    <w:p>
      <w:pPr>
        <w:jc w:val="center"/>
        <w:rPr>
          <w:rFonts w:hint="eastAsia" w:ascii="宋体" w:hAnsi="宋体"/>
          <w:b/>
          <w:color w:val="000000"/>
          <w:sz w:val="52"/>
          <w:szCs w:val="52"/>
          <w:lang w:eastAsia="zh-CN"/>
        </w:rPr>
      </w:pPr>
      <w:r>
        <w:rPr>
          <w:rFonts w:hint="eastAsia" w:ascii="宋体" w:hAnsi="宋体"/>
          <w:b/>
          <w:color w:val="000000"/>
          <w:sz w:val="52"/>
          <w:szCs w:val="52"/>
          <w:lang w:eastAsia="zh-CN"/>
        </w:rPr>
        <w:t>广州农行大厦项目办公区精装修设计</w:t>
      </w:r>
    </w:p>
    <w:p>
      <w:pPr>
        <w:jc w:val="both"/>
        <w:rPr>
          <w:rFonts w:hint="eastAsia" w:ascii="宋体" w:hAnsi="宋体"/>
          <w:b/>
          <w:color w:val="000000"/>
          <w:sz w:val="52"/>
          <w:szCs w:val="52"/>
          <w:lang w:eastAsia="zh-CN"/>
        </w:rPr>
      </w:pPr>
    </w:p>
    <w:p>
      <w:pPr>
        <w:jc w:val="center"/>
        <w:rPr>
          <w:rFonts w:hint="eastAsia" w:ascii="宋体" w:hAnsi="宋体"/>
          <w:b/>
          <w:color w:val="000000"/>
          <w:sz w:val="52"/>
          <w:szCs w:val="52"/>
        </w:rPr>
      </w:pPr>
      <w:r>
        <w:rPr>
          <w:rFonts w:hint="eastAsia" w:ascii="宋体" w:hAnsi="宋体"/>
          <w:b/>
          <w:color w:val="000000"/>
          <w:sz w:val="52"/>
          <w:szCs w:val="52"/>
        </w:rPr>
        <w:t>招标文件</w:t>
      </w: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r>
        <w:rPr>
          <w:rFonts w:hint="eastAsia" w:ascii="宋体" w:hAnsi="宋体"/>
          <w:color w:val="000000"/>
        </w:rPr>
        <w:t>------------------------------------------------------------------------------------</w:t>
      </w:r>
    </w:p>
    <w:p>
      <w:pPr>
        <w:rPr>
          <w:rFonts w:hint="eastAsia" w:ascii="宋体" w:hAnsi="宋体"/>
          <w:color w:val="000000"/>
        </w:rPr>
      </w:pPr>
    </w:p>
    <w:p>
      <w:pPr>
        <w:rPr>
          <w:rFonts w:ascii="宋体" w:hAnsi="宋体"/>
          <w:color w:val="000000"/>
        </w:rPr>
        <w:sectPr>
          <w:headerReference r:id="rId3" w:type="default"/>
          <w:footerReference r:id="rId4" w:type="default"/>
          <w:footerReference r:id="rId5" w:type="even"/>
          <w:type w:val="continuous"/>
          <w:pgSz w:w="11906" w:h="16838"/>
          <w:pgMar w:top="1440" w:right="1466" w:bottom="1440" w:left="1440" w:header="851" w:footer="992" w:gutter="0"/>
          <w:cols w:space="720" w:num="1"/>
          <w:docGrid w:type="linesAndChars" w:linePitch="312" w:charSpace="0"/>
        </w:sectPr>
      </w:pPr>
    </w:p>
    <w:p>
      <w:pPr>
        <w:rPr>
          <w:rFonts w:hint="eastAsia" w:ascii="宋体" w:hAnsi="宋体"/>
          <w:color w:val="auto"/>
          <w:sz w:val="18"/>
          <w:szCs w:val="18"/>
        </w:rPr>
      </w:pPr>
      <w:r>
        <w:rPr>
          <w:rFonts w:hint="eastAsia" w:ascii="宋体" w:hAnsi="宋体"/>
          <w:color w:val="000000"/>
          <w:sz w:val="18"/>
          <w:szCs w:val="18"/>
        </w:rPr>
        <w:t>招标人（章）：中</w:t>
      </w:r>
      <w:r>
        <w:rPr>
          <w:rFonts w:hint="eastAsia" w:ascii="宋体" w:hAnsi="宋体"/>
          <w:color w:val="auto"/>
          <w:sz w:val="18"/>
          <w:szCs w:val="18"/>
        </w:rPr>
        <w:t>海企业发展集团有限公司</w:t>
      </w:r>
    </w:p>
    <w:p>
      <w:pPr>
        <w:rPr>
          <w:rFonts w:hint="eastAsia" w:ascii="宋体" w:hAnsi="宋体"/>
          <w:color w:val="auto"/>
          <w:sz w:val="18"/>
          <w:szCs w:val="18"/>
        </w:rPr>
      </w:pPr>
      <w:r>
        <w:rPr>
          <w:rFonts w:hint="eastAsia" w:ascii="宋体" w:hAnsi="宋体"/>
          <w:color w:val="auto"/>
          <w:sz w:val="18"/>
          <w:szCs w:val="18"/>
        </w:rPr>
        <w:t>授权代表：朱工</w:t>
      </w:r>
    </w:p>
    <w:p>
      <w:pPr>
        <w:rPr>
          <w:rFonts w:hint="eastAsia" w:ascii="宋体" w:hAnsi="宋体"/>
          <w:color w:val="auto"/>
          <w:sz w:val="18"/>
          <w:szCs w:val="18"/>
        </w:rPr>
      </w:pPr>
      <w:r>
        <w:rPr>
          <w:rFonts w:hint="eastAsia" w:ascii="宋体" w:hAnsi="宋体"/>
          <w:color w:val="auto"/>
          <w:sz w:val="18"/>
          <w:szCs w:val="18"/>
        </w:rPr>
        <w:t>地址：深圳市罗湖区清水河三路7号中海慧智大厦1A栋2307</w:t>
      </w:r>
    </w:p>
    <w:p>
      <w:pPr>
        <w:rPr>
          <w:rFonts w:hint="eastAsia" w:ascii="宋体" w:hAnsi="宋体"/>
          <w:color w:val="auto"/>
          <w:sz w:val="18"/>
          <w:szCs w:val="18"/>
        </w:rPr>
      </w:pPr>
      <w:r>
        <w:rPr>
          <w:rFonts w:hint="eastAsia" w:ascii="宋体" w:hAnsi="宋体"/>
          <w:color w:val="auto"/>
          <w:sz w:val="18"/>
          <w:szCs w:val="18"/>
        </w:rPr>
        <w:t>邮政编码：518000</w:t>
      </w:r>
    </w:p>
    <w:p>
      <w:pPr>
        <w:rPr>
          <w:rFonts w:ascii="宋体" w:hAnsi="宋体"/>
          <w:color w:val="auto"/>
          <w:sz w:val="18"/>
          <w:szCs w:val="18"/>
        </w:rPr>
      </w:pPr>
      <w:r>
        <w:rPr>
          <w:rFonts w:hint="eastAsia" w:ascii="宋体" w:hAnsi="宋体"/>
          <w:color w:val="auto"/>
          <w:sz w:val="18"/>
          <w:szCs w:val="18"/>
        </w:rPr>
        <w:t>电话：0755-82337035</w:t>
      </w:r>
    </w:p>
    <w:p>
      <w:pPr>
        <w:rPr>
          <w:rFonts w:hint="eastAsia" w:ascii="宋体" w:hAnsi="宋体"/>
          <w:color w:val="auto"/>
          <w:sz w:val="18"/>
          <w:szCs w:val="18"/>
        </w:rPr>
      </w:pPr>
      <w:r>
        <w:rPr>
          <w:rFonts w:hint="eastAsia" w:ascii="宋体" w:hAnsi="宋体"/>
          <w:color w:val="auto"/>
          <w:sz w:val="18"/>
          <w:szCs w:val="18"/>
        </w:rPr>
        <w:t>传真：/</w:t>
      </w:r>
    </w:p>
    <w:p>
      <w:pPr>
        <w:rPr>
          <w:rFonts w:ascii="宋体" w:hAnsi="宋体"/>
          <w:color w:val="auto"/>
          <w:sz w:val="18"/>
          <w:szCs w:val="18"/>
        </w:rPr>
      </w:pPr>
      <w:r>
        <w:rPr>
          <w:rFonts w:hint="eastAsia" w:ascii="宋体" w:hAnsi="宋体"/>
          <w:color w:val="auto"/>
          <w:sz w:val="18"/>
          <w:szCs w:val="18"/>
        </w:rPr>
        <w:t>电子邮箱：</w:t>
      </w:r>
      <w:r>
        <w:rPr>
          <w:rFonts w:hint="eastAsia" w:ascii="宋体" w:hAnsi="宋体"/>
          <w:color w:val="auto"/>
          <w:sz w:val="18"/>
          <w:szCs w:val="18"/>
          <w:u w:val="single"/>
        </w:rPr>
        <w:t>979101949@qq.com</w:t>
      </w:r>
    </w:p>
    <w:p>
      <w:pPr>
        <w:rPr>
          <w:rFonts w:hint="eastAsia" w:ascii="宋体" w:hAnsi="宋体"/>
          <w:color w:val="auto"/>
          <w:sz w:val="18"/>
          <w:szCs w:val="18"/>
        </w:rPr>
      </w:pPr>
    </w:p>
    <w:p>
      <w:pPr>
        <w:rPr>
          <w:rFonts w:hint="eastAsia" w:ascii="宋体" w:hAnsi="宋体"/>
          <w:color w:val="auto"/>
          <w:sz w:val="18"/>
          <w:szCs w:val="18"/>
        </w:rPr>
      </w:pPr>
      <w:r>
        <w:rPr>
          <w:rFonts w:hint="eastAsia" w:ascii="宋体" w:hAnsi="宋体"/>
          <w:color w:val="auto"/>
          <w:sz w:val="18"/>
          <w:szCs w:val="18"/>
        </w:rPr>
        <w:t>招标代理（章）：中捷通信有限公司</w:t>
      </w:r>
    </w:p>
    <w:p>
      <w:pPr>
        <w:rPr>
          <w:rFonts w:hint="eastAsia" w:ascii="宋体" w:hAnsi="宋体" w:eastAsia="宋体"/>
          <w:color w:val="auto"/>
          <w:sz w:val="18"/>
          <w:szCs w:val="18"/>
          <w:lang w:eastAsia="zh-CN"/>
        </w:rPr>
      </w:pPr>
      <w:r>
        <w:rPr>
          <w:rFonts w:hint="eastAsia" w:ascii="宋体" w:hAnsi="宋体"/>
          <w:color w:val="auto"/>
          <w:sz w:val="18"/>
          <w:szCs w:val="18"/>
        </w:rPr>
        <w:t>授权代表：</w:t>
      </w:r>
      <w:r>
        <w:rPr>
          <w:rFonts w:hint="eastAsia" w:ascii="宋体" w:hAnsi="宋体"/>
          <w:color w:val="auto"/>
          <w:sz w:val="18"/>
          <w:szCs w:val="18"/>
          <w:lang w:eastAsia="zh-CN"/>
        </w:rPr>
        <w:t>刘涛</w:t>
      </w:r>
    </w:p>
    <w:p>
      <w:pPr>
        <w:rPr>
          <w:rFonts w:hint="eastAsia" w:ascii="宋体" w:hAnsi="宋体"/>
          <w:color w:val="auto"/>
          <w:sz w:val="18"/>
          <w:szCs w:val="18"/>
        </w:rPr>
      </w:pPr>
      <w:r>
        <w:rPr>
          <w:rFonts w:hint="eastAsia" w:ascii="宋体" w:hAnsi="宋体"/>
          <w:color w:val="auto"/>
          <w:sz w:val="18"/>
          <w:szCs w:val="18"/>
        </w:rPr>
        <w:t>地址：广州市越秀区较场西路21号</w:t>
      </w:r>
    </w:p>
    <w:p>
      <w:pPr>
        <w:rPr>
          <w:rFonts w:hint="eastAsia" w:ascii="宋体" w:hAnsi="宋体"/>
          <w:color w:val="auto"/>
          <w:sz w:val="18"/>
          <w:szCs w:val="18"/>
        </w:rPr>
      </w:pPr>
      <w:r>
        <w:rPr>
          <w:rFonts w:hint="eastAsia" w:ascii="宋体" w:hAnsi="宋体"/>
          <w:color w:val="auto"/>
          <w:sz w:val="18"/>
          <w:szCs w:val="18"/>
        </w:rPr>
        <w:t>邮政编码：510000</w:t>
      </w:r>
    </w:p>
    <w:p>
      <w:pPr>
        <w:rPr>
          <w:rFonts w:hint="eastAsia" w:ascii="宋体" w:hAnsi="宋体" w:eastAsia="宋体"/>
          <w:color w:val="auto"/>
          <w:sz w:val="18"/>
          <w:szCs w:val="18"/>
          <w:lang w:eastAsia="zh-CN"/>
        </w:rPr>
      </w:pPr>
      <w:r>
        <w:rPr>
          <w:rFonts w:hint="eastAsia" w:ascii="宋体" w:hAnsi="宋体"/>
          <w:color w:val="auto"/>
          <w:sz w:val="18"/>
          <w:szCs w:val="18"/>
        </w:rPr>
        <w:t>电话：</w:t>
      </w:r>
      <w:r>
        <w:rPr>
          <w:rFonts w:hint="eastAsia" w:ascii="宋体" w:hAnsi="宋体"/>
          <w:color w:val="auto"/>
          <w:sz w:val="18"/>
          <w:szCs w:val="18"/>
          <w:lang w:eastAsia="zh-CN"/>
        </w:rPr>
        <w:t>18819120641</w:t>
      </w:r>
    </w:p>
    <w:p>
      <w:pPr>
        <w:rPr>
          <w:rFonts w:hint="eastAsia" w:ascii="宋体" w:hAnsi="宋体"/>
          <w:color w:val="auto"/>
          <w:sz w:val="18"/>
          <w:szCs w:val="18"/>
        </w:rPr>
      </w:pPr>
      <w:r>
        <w:rPr>
          <w:rFonts w:hint="eastAsia" w:ascii="宋体" w:hAnsi="宋体"/>
          <w:color w:val="auto"/>
          <w:sz w:val="18"/>
          <w:szCs w:val="18"/>
        </w:rPr>
        <w:t>传真：/</w:t>
      </w:r>
    </w:p>
    <w:p>
      <w:pPr>
        <w:rPr>
          <w:rFonts w:hint="eastAsia" w:ascii="宋体" w:hAnsi="宋体" w:eastAsia="宋体"/>
          <w:color w:val="auto"/>
          <w:sz w:val="18"/>
          <w:szCs w:val="18"/>
          <w:lang w:eastAsia="zh-CN"/>
        </w:rPr>
      </w:pPr>
      <w:r>
        <w:rPr>
          <w:rFonts w:hint="eastAsia" w:ascii="宋体" w:hAnsi="宋体"/>
          <w:color w:val="auto"/>
          <w:sz w:val="18"/>
          <w:szCs w:val="18"/>
        </w:rPr>
        <w:t>电子邮箱：</w:t>
      </w:r>
      <w:r>
        <w:rPr>
          <w:rFonts w:hint="eastAsia" w:ascii="宋体" w:hAnsi="宋体"/>
          <w:color w:val="auto"/>
          <w:sz w:val="18"/>
          <w:szCs w:val="18"/>
          <w:lang w:eastAsia="zh-CN"/>
        </w:rPr>
        <w:t>liutao2.gyl@chinaccs.cn</w:t>
      </w:r>
    </w:p>
    <w:p>
      <w:pPr>
        <w:rPr>
          <w:rFonts w:hint="eastAsia" w:ascii="宋体" w:hAnsi="宋体"/>
          <w:color w:val="auto"/>
        </w:rPr>
      </w:pPr>
    </w:p>
    <w:p>
      <w:pPr>
        <w:rPr>
          <w:rFonts w:ascii="宋体" w:hAnsi="宋体"/>
          <w:color w:val="auto"/>
        </w:rPr>
        <w:sectPr>
          <w:type w:val="continuous"/>
          <w:pgSz w:w="11906" w:h="16838"/>
          <w:pgMar w:top="1440" w:right="1466" w:bottom="1440" w:left="1440" w:header="851" w:footer="992" w:gutter="0"/>
          <w:cols w:equalWidth="0" w:num="2">
            <w:col w:w="4287" w:space="425"/>
            <w:col w:w="4287"/>
          </w:cols>
          <w:docGrid w:type="linesAndChars" w:linePitch="312" w:charSpace="0"/>
        </w:sectPr>
      </w:pPr>
    </w:p>
    <w:p>
      <w:pPr>
        <w:rPr>
          <w:rFonts w:ascii="宋体" w:hAnsi="宋体"/>
          <w:color w:val="auto"/>
          <w:highlight w:val="none"/>
        </w:rPr>
      </w:pPr>
    </w:p>
    <w:p>
      <w:pPr>
        <w:rPr>
          <w:rFonts w:ascii="宋体" w:hAnsi="宋体"/>
          <w:color w:val="auto"/>
          <w:highlight w:val="none"/>
        </w:rPr>
        <w:sectPr>
          <w:headerReference r:id="rId6" w:type="default"/>
          <w:footerReference r:id="rId7" w:type="default"/>
          <w:type w:val="continuous"/>
          <w:pgSz w:w="11906" w:h="16838"/>
          <w:pgMar w:top="1440" w:right="1274" w:bottom="1440" w:left="1276" w:header="851" w:footer="992" w:gutter="0"/>
          <w:pgBorders>
            <w:top w:val="none" w:sz="0" w:space="0"/>
            <w:left w:val="none" w:sz="0" w:space="0"/>
            <w:bottom w:val="none" w:sz="0" w:space="0"/>
            <w:right w:val="none" w:sz="0" w:space="0"/>
          </w:pgBorders>
          <w:cols w:equalWidth="0" w:num="2">
            <w:col w:w="4451" w:space="425"/>
            <w:col w:w="4480"/>
          </w:cols>
          <w:docGrid w:type="linesAndChars" w:linePitch="312" w:charSpace="0"/>
        </w:sectPr>
      </w:pPr>
    </w:p>
    <w:p>
      <w:pPr>
        <w:rPr>
          <w:rFonts w:ascii="宋体" w:hAnsi="宋体"/>
          <w:color w:val="auto"/>
          <w:highlight w:val="none"/>
        </w:rPr>
        <w:sectPr>
          <w:type w:val="continuous"/>
          <w:pgSz w:w="11906" w:h="16838"/>
          <w:pgMar w:top="1440" w:right="1466" w:bottom="1440" w:left="1440" w:header="851" w:footer="992" w:gutter="0"/>
          <w:pgBorders>
            <w:top w:val="none" w:sz="0" w:space="0"/>
            <w:left w:val="none" w:sz="0" w:space="0"/>
            <w:bottom w:val="none" w:sz="0" w:space="0"/>
            <w:right w:val="none" w:sz="0" w:space="0"/>
          </w:pgBorders>
          <w:cols w:space="720" w:num="1"/>
          <w:docGrid w:type="linesAndChars" w:linePitch="312" w:charSpace="0"/>
        </w:sectPr>
      </w:pPr>
    </w:p>
    <w:p>
      <w:pPr>
        <w:jc w:val="center"/>
        <w:outlineLvl w:val="0"/>
        <w:rPr>
          <w:rFonts w:ascii="宋体" w:hAnsi="宋体"/>
          <w:b/>
          <w:color w:val="auto"/>
          <w:sz w:val="32"/>
          <w:szCs w:val="32"/>
          <w:highlight w:val="none"/>
        </w:rPr>
      </w:pPr>
      <w:bookmarkStart w:id="0" w:name="_Toc6612"/>
      <w:r>
        <w:rPr>
          <w:rFonts w:hint="eastAsia" w:ascii="宋体" w:hAnsi="宋体"/>
          <w:b/>
          <w:color w:val="auto"/>
          <w:sz w:val="32"/>
          <w:szCs w:val="32"/>
          <w:highlight w:val="none"/>
        </w:rPr>
        <w:t>招标文件修改表</w:t>
      </w:r>
      <w:bookmarkEnd w:id="0"/>
    </w:p>
    <w:p>
      <w:pPr>
        <w:ind w:firstLine="420"/>
        <w:rPr>
          <w:color w:val="auto"/>
          <w:szCs w:val="21"/>
          <w:highlight w:val="none"/>
        </w:rPr>
      </w:pPr>
      <w:r>
        <w:rPr>
          <w:rFonts w:hint="eastAsia" w:ascii="宋体" w:hAnsi="宋体"/>
          <w:color w:val="auto"/>
          <w:highlight w:val="none"/>
        </w:rPr>
        <w:t>招标人（招标代理机构）一般应按照全过程电子化范本（房建类）格式编制招标文件。如果修改，范本被删除的内容应标注删除线，新增内容应标注下划线。需要修改的内容</w:t>
      </w:r>
      <w:r>
        <w:rPr>
          <w:rFonts w:hint="eastAsia"/>
          <w:color w:val="auto"/>
          <w:szCs w:val="21"/>
          <w:highlight w:val="none"/>
        </w:rPr>
        <w:t>均在本表中列明，并以现文为准，原文不再有效。本招标文件中不再转录范本条款，请投标人自行到广州市住房和城乡建设局网站（网址：</w:t>
      </w:r>
      <w:r>
        <w:rPr>
          <w:color w:val="auto"/>
          <w:szCs w:val="21"/>
          <w:highlight w:val="none"/>
        </w:rPr>
        <w:t>http://zfcj.gz.gov.cn/</w:t>
      </w:r>
      <w:r>
        <w:rPr>
          <w:rFonts w:hint="eastAsia"/>
          <w:color w:val="auto"/>
          <w:szCs w:val="21"/>
          <w:highlight w:val="none"/>
        </w:rPr>
        <w:t>）下载查阅。</w:t>
      </w:r>
    </w:p>
    <w:p>
      <w:pPr>
        <w:ind w:firstLine="420"/>
        <w:rPr>
          <w:color w:val="auto"/>
          <w:szCs w:val="21"/>
          <w:highlight w:val="none"/>
        </w:rPr>
      </w:pPr>
    </w:p>
    <w:tbl>
      <w:tblPr>
        <w:tblStyle w:val="4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600"/>
        <w:gridCol w:w="3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60" w:type="dxa"/>
          </w:tcPr>
          <w:p>
            <w:pPr>
              <w:jc w:val="center"/>
              <w:rPr>
                <w:rFonts w:ascii="宋体" w:hAnsi="宋体" w:cs="宋体"/>
                <w:color w:val="auto"/>
                <w:szCs w:val="21"/>
                <w:highlight w:val="none"/>
              </w:rPr>
            </w:pPr>
            <w:r>
              <w:rPr>
                <w:rFonts w:hint="eastAsia" w:ascii="宋体" w:hAnsi="宋体" w:cs="宋体"/>
                <w:color w:val="auto"/>
                <w:szCs w:val="21"/>
                <w:highlight w:val="none"/>
              </w:rPr>
              <w:t>章节、条目</w:t>
            </w:r>
          </w:p>
        </w:tc>
        <w:tc>
          <w:tcPr>
            <w:tcW w:w="3600" w:type="dxa"/>
          </w:tcPr>
          <w:p>
            <w:pPr>
              <w:jc w:val="center"/>
              <w:rPr>
                <w:rFonts w:ascii="宋体" w:hAnsi="宋体" w:cs="宋体"/>
                <w:color w:val="auto"/>
                <w:szCs w:val="21"/>
                <w:highlight w:val="none"/>
              </w:rPr>
            </w:pPr>
            <w:r>
              <w:rPr>
                <w:rFonts w:hint="eastAsia" w:ascii="宋体" w:hAnsi="宋体" w:cs="宋体"/>
                <w:color w:val="auto"/>
                <w:szCs w:val="21"/>
                <w:highlight w:val="none"/>
              </w:rPr>
              <w:t>范本原文</w:t>
            </w:r>
          </w:p>
        </w:tc>
        <w:tc>
          <w:tcPr>
            <w:tcW w:w="3708" w:type="dxa"/>
          </w:tcPr>
          <w:p>
            <w:pPr>
              <w:jc w:val="center"/>
              <w:rPr>
                <w:rFonts w:ascii="宋体" w:hAnsi="宋体" w:cs="宋体"/>
                <w:color w:val="auto"/>
                <w:szCs w:val="21"/>
                <w:highlight w:val="none"/>
              </w:rPr>
            </w:pPr>
            <w:r>
              <w:rPr>
                <w:rFonts w:hint="eastAsia" w:ascii="宋体" w:hAnsi="宋体" w:cs="宋体"/>
                <w:color w:val="auto"/>
                <w:szCs w:val="21"/>
                <w:highlight w:val="none"/>
              </w:rPr>
              <w:t>拟删改的内容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第一章</w:t>
            </w:r>
          </w:p>
        </w:tc>
        <w:tc>
          <w:tcPr>
            <w:tcW w:w="36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招标公告</w:t>
            </w:r>
          </w:p>
        </w:tc>
        <w:tc>
          <w:tcPr>
            <w:tcW w:w="3708" w:type="dxa"/>
            <w:vAlign w:val="center"/>
          </w:tcPr>
          <w:p>
            <w:pPr>
              <w:jc w:val="center"/>
              <w:rPr>
                <w:rFonts w:ascii="宋体" w:hAnsi="宋体" w:cs="宋体"/>
                <w:color w:val="auto"/>
                <w:szCs w:val="21"/>
                <w:highlight w:val="none"/>
              </w:rPr>
            </w:pPr>
            <w:r>
              <w:rPr>
                <w:rFonts w:hint="eastAsia" w:ascii="宋体" w:hAnsi="宋体"/>
                <w:color w:val="auto"/>
                <w:szCs w:val="21"/>
                <w:highlight w:val="none"/>
                <w:u w:val="single"/>
              </w:rPr>
              <w:t>修改详见《招标公告》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3.1</w:t>
            </w:r>
          </w:p>
        </w:tc>
        <w:tc>
          <w:tcPr>
            <w:tcW w:w="3600" w:type="dxa"/>
          </w:tcPr>
          <w:p>
            <w:pPr>
              <w:rPr>
                <w:rFonts w:ascii="宋体" w:hAnsi="宋体" w:cs="宋体"/>
                <w:color w:val="auto"/>
                <w:szCs w:val="21"/>
                <w:highlight w:val="none"/>
              </w:rPr>
            </w:pPr>
            <w:r>
              <w:rPr>
                <w:rFonts w:hint="eastAsia" w:ascii="宋体" w:hAnsi="宋体" w:cs="宋体"/>
                <w:color w:val="auto"/>
                <w:szCs w:val="21"/>
                <w:highlight w:val="none"/>
              </w:rPr>
              <w:t>3.1    现场考察</w:t>
            </w:r>
          </w:p>
          <w:p>
            <w:pPr>
              <w:rPr>
                <w:rFonts w:ascii="宋体" w:hAnsi="宋体" w:cs="宋体"/>
                <w:color w:val="auto"/>
                <w:szCs w:val="21"/>
                <w:highlight w:val="none"/>
              </w:rPr>
            </w:pPr>
            <w:r>
              <w:rPr>
                <w:rFonts w:hint="eastAsia" w:ascii="宋体" w:hAnsi="宋体" w:cs="宋体"/>
                <w:color w:val="auto"/>
                <w:szCs w:val="21"/>
                <w:highlight w:val="none"/>
              </w:rPr>
              <w:t>3.1.1  招标人安排投标人代表对工程现场进行考察，目的是使每个投标人查看现场并获得编制投标文件所需要的一切资料。</w:t>
            </w:r>
          </w:p>
          <w:p>
            <w:pPr>
              <w:rPr>
                <w:rFonts w:ascii="宋体" w:hAnsi="宋体" w:cs="宋体"/>
                <w:color w:val="auto"/>
                <w:szCs w:val="21"/>
                <w:highlight w:val="none"/>
              </w:rPr>
            </w:pPr>
            <w:r>
              <w:rPr>
                <w:rFonts w:hint="eastAsia" w:ascii="宋体" w:hAnsi="宋体" w:cs="宋体"/>
                <w:color w:val="auto"/>
                <w:szCs w:val="21"/>
                <w:highlight w:val="none"/>
              </w:rPr>
              <w:t>3.1.2  每个投标人参加现场考察的人数不宜超过3人，外国投标人代表应自带中文翻译。</w:t>
            </w:r>
          </w:p>
          <w:p>
            <w:pPr>
              <w:rPr>
                <w:rFonts w:ascii="宋体" w:hAnsi="宋体" w:cs="宋体"/>
                <w:color w:val="auto"/>
                <w:szCs w:val="21"/>
                <w:highlight w:val="none"/>
              </w:rPr>
            </w:pPr>
            <w:r>
              <w:rPr>
                <w:rFonts w:hint="eastAsia" w:ascii="宋体" w:hAnsi="宋体" w:cs="宋体"/>
                <w:color w:val="auto"/>
                <w:szCs w:val="21"/>
                <w:highlight w:val="none"/>
              </w:rPr>
              <w:t>3.1.3  现场考察期间招标人接受投标人代表的提问。</w:t>
            </w:r>
          </w:p>
        </w:tc>
        <w:tc>
          <w:tcPr>
            <w:tcW w:w="3708" w:type="dxa"/>
          </w:tcPr>
          <w:p>
            <w:pPr>
              <w:rPr>
                <w:rFonts w:ascii="宋体" w:hAnsi="宋体" w:cs="宋体"/>
                <w:color w:val="auto"/>
                <w:szCs w:val="21"/>
                <w:highlight w:val="none"/>
              </w:rPr>
            </w:pPr>
            <w:r>
              <w:rPr>
                <w:rFonts w:hint="eastAsia" w:ascii="宋体" w:hAnsi="宋体" w:cs="宋体"/>
                <w:color w:val="auto"/>
                <w:szCs w:val="21"/>
                <w:highlight w:val="none"/>
              </w:rPr>
              <w:t>3.1    现场考察</w:t>
            </w:r>
          </w:p>
          <w:p>
            <w:pPr>
              <w:rPr>
                <w:rFonts w:ascii="宋体" w:hAnsi="宋体" w:cs="宋体"/>
                <w:color w:val="auto"/>
                <w:szCs w:val="21"/>
                <w:highlight w:val="none"/>
              </w:rPr>
            </w:pPr>
            <w:r>
              <w:rPr>
                <w:rFonts w:hint="eastAsia" w:ascii="宋体" w:hAnsi="宋体" w:cs="宋体"/>
                <w:color w:val="auto"/>
                <w:szCs w:val="21"/>
                <w:highlight w:val="none"/>
              </w:rPr>
              <w:t xml:space="preserve">3.1.1  </w:t>
            </w:r>
            <w:r>
              <w:rPr>
                <w:rFonts w:hint="eastAsia" w:ascii="宋体" w:hAnsi="宋体" w:cs="宋体"/>
                <w:color w:val="auto"/>
                <w:szCs w:val="21"/>
                <w:highlight w:val="none"/>
                <w:u w:val="single"/>
              </w:rPr>
              <w:t>现场考察由投标人自行考察，招标人不统一安排现场考察。</w:t>
            </w:r>
          </w:p>
          <w:p>
            <w:pPr>
              <w:rPr>
                <w:rFonts w:ascii="宋体" w:hAnsi="宋体" w:cs="宋体"/>
                <w:color w:val="auto"/>
                <w:szCs w:val="21"/>
                <w:highlight w:val="none"/>
              </w:rPr>
            </w:pPr>
            <w:r>
              <w:rPr>
                <w:rFonts w:hint="eastAsia" w:ascii="宋体" w:hAnsi="宋体" w:cs="宋体"/>
                <w:color w:val="auto"/>
                <w:szCs w:val="21"/>
                <w:highlight w:val="none"/>
                <w:u w:val="single"/>
              </w:rPr>
              <w:t>3.1.2  投标人及其代表必须承担那些进入现场后，由于自身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3.2.1</w:t>
            </w:r>
          </w:p>
        </w:tc>
        <w:tc>
          <w:tcPr>
            <w:tcW w:w="3600" w:type="dxa"/>
            <w:vAlign w:val="center"/>
          </w:tcPr>
          <w:p>
            <w:pPr>
              <w:rPr>
                <w:rFonts w:ascii="宋体" w:hAnsi="宋体" w:cs="宋体"/>
                <w:color w:val="auto"/>
                <w:szCs w:val="21"/>
                <w:highlight w:val="none"/>
              </w:rPr>
            </w:pPr>
            <w:r>
              <w:rPr>
                <w:rFonts w:hint="eastAsia" w:ascii="宋体" w:hAnsi="宋体" w:cs="宋体"/>
                <w:color w:val="auto"/>
                <w:szCs w:val="21"/>
                <w:highlight w:val="none"/>
              </w:rPr>
              <w:t>投标人应认真审阅招标文件和有关资料，尽力澄清一切疑点，对工程现场和周围环境进行勘察，以获取编制投标文件和签署合同所需的所有资料。</w:t>
            </w:r>
          </w:p>
        </w:tc>
        <w:tc>
          <w:tcPr>
            <w:tcW w:w="3708" w:type="dxa"/>
            <w:vAlign w:val="center"/>
          </w:tcPr>
          <w:p>
            <w:pPr>
              <w:rPr>
                <w:rFonts w:ascii="宋体" w:hAnsi="宋体" w:cs="宋体"/>
                <w:color w:val="auto"/>
                <w:szCs w:val="21"/>
                <w:highlight w:val="none"/>
                <w:u w:val="single"/>
              </w:rPr>
            </w:pPr>
            <w:r>
              <w:rPr>
                <w:rFonts w:hint="eastAsia" w:ascii="宋体" w:hAnsi="宋体" w:cs="宋体"/>
                <w:b/>
                <w:color w:val="auto"/>
                <w:szCs w:val="21"/>
                <w:highlight w:val="none"/>
              </w:rPr>
              <w:t>修改：</w:t>
            </w:r>
            <w:r>
              <w:rPr>
                <w:rFonts w:hint="eastAsia" w:ascii="宋体" w:hAnsi="宋体" w:cs="宋体"/>
                <w:color w:val="auto"/>
                <w:szCs w:val="21"/>
                <w:highlight w:val="none"/>
              </w:rPr>
              <w:t>投标人应认真审阅招标文件和有关资料，尽力澄清一切疑点，</w:t>
            </w:r>
            <w:r>
              <w:rPr>
                <w:rFonts w:hint="eastAsia" w:ascii="宋体" w:hAnsi="宋体" w:cs="宋体"/>
                <w:b/>
                <w:color w:val="auto"/>
                <w:szCs w:val="21"/>
                <w:highlight w:val="none"/>
                <w:u w:val="single"/>
              </w:rPr>
              <w:t>自行</w:t>
            </w:r>
            <w:r>
              <w:rPr>
                <w:rFonts w:hint="eastAsia" w:ascii="宋体" w:hAnsi="宋体" w:cs="宋体"/>
                <w:color w:val="auto"/>
                <w:szCs w:val="21"/>
                <w:highlight w:val="none"/>
              </w:rPr>
              <w:t>对工程现场和周围环境进行勘察，以获取编制投标文件和签署合同所需的所有资料。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3.2.3</w:t>
            </w:r>
          </w:p>
        </w:tc>
        <w:tc>
          <w:tcPr>
            <w:tcW w:w="3600" w:type="dxa"/>
            <w:vAlign w:val="center"/>
          </w:tcPr>
          <w:p>
            <w:pPr>
              <w:rPr>
                <w:rFonts w:ascii="宋体" w:hAnsi="宋体" w:cs="宋体"/>
                <w:color w:val="auto"/>
                <w:szCs w:val="21"/>
                <w:highlight w:val="none"/>
              </w:rPr>
            </w:pPr>
            <w:r>
              <w:rPr>
                <w:rFonts w:hint="eastAsia" w:ascii="宋体" w:hAnsi="宋体" w:cs="宋体"/>
                <w:color w:val="auto"/>
                <w:szCs w:val="21"/>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3708" w:type="dxa"/>
            <w:vAlign w:val="center"/>
          </w:tcPr>
          <w:p>
            <w:pPr>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w:t>
            </w:r>
            <w:r>
              <w:rPr>
                <w:rFonts w:hint="eastAsia" w:ascii="宋体" w:hAnsi="宋体"/>
                <w:color w:val="auto"/>
                <w:highlight w:val="none"/>
              </w:rPr>
              <w:t>投标人需要澄清的问题应</w:t>
            </w:r>
            <w:r>
              <w:rPr>
                <w:rFonts w:hint="eastAsia" w:ascii="宋体" w:hAnsi="宋体" w:cs="宋体"/>
                <w:color w:val="auto"/>
                <w:szCs w:val="21"/>
                <w:highlight w:val="none"/>
                <w:u w:val="single"/>
              </w:rPr>
              <w:t>在投标截止时间18个日历天前</w:t>
            </w:r>
            <w:r>
              <w:rPr>
                <w:rFonts w:hint="eastAsia" w:ascii="宋体" w:hAnsi="宋体"/>
                <w:color w:val="auto"/>
                <w:highlight w:val="none"/>
              </w:rPr>
              <w:t>，按交易平台的操作指引上传至交易平台网站。招标人应在递交投标文件截止时间</w:t>
            </w:r>
            <w:r>
              <w:rPr>
                <w:rFonts w:hint="eastAsia" w:ascii="宋体" w:hAnsi="宋体" w:cs="宋体"/>
                <w:color w:val="auto"/>
                <w:szCs w:val="21"/>
                <w:highlight w:val="none"/>
                <w:u w:val="single"/>
              </w:rPr>
              <w:t>15个日历天前</w:t>
            </w:r>
            <w:r>
              <w:rPr>
                <w:rFonts w:hint="eastAsia" w:ascii="宋体" w:hAnsi="宋体"/>
                <w:color w:val="auto"/>
                <w:highlight w:val="none"/>
              </w:rPr>
              <w:t>解答投标人对招标文件提出的疑问，</w:t>
            </w:r>
            <w:r>
              <w:rPr>
                <w:rFonts w:hint="eastAsia" w:ascii="宋体" w:hAnsi="宋体" w:cs="宋体"/>
                <w:color w:val="auto"/>
                <w:szCs w:val="21"/>
                <w:highlight w:val="none"/>
                <w:u w:val="single"/>
              </w:rPr>
              <w:t>形成答疑纪要，在广州公共资源交易中心网站项目查询中本项目详情页里面发布。</w:t>
            </w:r>
            <w:r>
              <w:rPr>
                <w:rFonts w:hint="eastAsia" w:ascii="宋体" w:hAnsi="宋体"/>
                <w:color w:val="auto"/>
                <w:highlight w:val="none"/>
              </w:rPr>
              <w:t>不足15日的，招标人应当顺延投标文件的截止时间。</w:t>
            </w:r>
            <w:r>
              <w:rPr>
                <w:rFonts w:hint="eastAsia" w:ascii="宋体" w:hAnsi="宋体"/>
                <w:color w:val="auto"/>
                <w:highlight w:val="none"/>
                <w:u w:val="single"/>
              </w:rPr>
              <w:t>投标人的疑问通过广州公共资源交易中心数字交易平台提交。具体操作方法详见广州公共资源交易中心网站发布的《房建市政全流程电子化项目操作专章》。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spacing w:line="360" w:lineRule="auto"/>
              <w:jc w:val="center"/>
              <w:rPr>
                <w:rFonts w:ascii="宋体" w:hAnsi="宋体" w:cs="宋体"/>
                <w:color w:val="auto"/>
                <w:szCs w:val="21"/>
                <w:highlight w:val="none"/>
              </w:rPr>
            </w:pPr>
            <w:r>
              <w:rPr>
                <w:rFonts w:ascii="宋体" w:hAnsi="宋体"/>
                <w:color w:val="auto"/>
                <w:highlight w:val="none"/>
              </w:rPr>
              <w:t>3.2.5</w:t>
            </w:r>
          </w:p>
        </w:tc>
        <w:tc>
          <w:tcPr>
            <w:tcW w:w="3600" w:type="dxa"/>
            <w:vAlign w:val="center"/>
          </w:tcPr>
          <w:p>
            <w:pPr>
              <w:spacing w:line="360" w:lineRule="auto"/>
              <w:rPr>
                <w:rFonts w:ascii="宋体" w:hAnsi="宋体" w:cs="宋体"/>
                <w:color w:val="auto"/>
                <w:szCs w:val="21"/>
                <w:highlight w:val="none"/>
              </w:rPr>
            </w:pPr>
            <w:r>
              <w:rPr>
                <w:rFonts w:hint="eastAsia" w:ascii="宋体" w:hAnsi="宋体"/>
                <w:color w:val="auto"/>
                <w:highlight w:val="none"/>
              </w:rPr>
              <w:t>网上答疑的具体操作详见交易平台发布的相关操作指引。</w:t>
            </w:r>
          </w:p>
        </w:tc>
        <w:tc>
          <w:tcPr>
            <w:tcW w:w="3708" w:type="dxa"/>
            <w:vAlign w:val="center"/>
          </w:tcPr>
          <w:p>
            <w:pPr>
              <w:spacing w:line="360" w:lineRule="auto"/>
              <w:ind w:firstLine="210" w:firstLineChars="100"/>
              <w:rPr>
                <w:rFonts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w:t>
            </w:r>
            <w:r>
              <w:rPr>
                <w:rFonts w:hint="eastAsia" w:ascii="宋体" w:hAnsi="宋体"/>
                <w:color w:val="auto"/>
                <w:highlight w:val="none"/>
              </w:rPr>
              <w:t>网上答疑的具体操作详见交易平台发布的相关操作指引。</w:t>
            </w:r>
            <w:r>
              <w:rPr>
                <w:rFonts w:hint="eastAsia" w:ascii="宋体" w:hAnsi="宋体"/>
                <w:color w:val="auto"/>
                <w:szCs w:val="21"/>
                <w:highlight w:val="none"/>
                <w:u w:val="single"/>
              </w:rPr>
              <w:t>招标答疑纪要一经在广州公共资源交易中心网站发布，视作已发放给所有投标人。招标答疑纪要为招标文件的一部分。投标人可在广州公共资源交易中心网站浏览、下载招标答疑纪要。若招标答疑纪要与招标文件有矛盾时，以广州公共资源交易中心网站最后发布的答疑纪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spacing w:line="360" w:lineRule="auto"/>
              <w:jc w:val="center"/>
              <w:rPr>
                <w:rFonts w:ascii="宋体" w:hAnsi="宋体"/>
                <w:color w:val="auto"/>
                <w:highlight w:val="none"/>
              </w:rPr>
            </w:pPr>
            <w:r>
              <w:rPr>
                <w:rFonts w:ascii="宋体" w:hAnsi="宋体"/>
                <w:color w:val="auto"/>
                <w:highlight w:val="none"/>
              </w:rPr>
              <w:t>3.3.3</w:t>
            </w:r>
          </w:p>
        </w:tc>
        <w:tc>
          <w:tcPr>
            <w:tcW w:w="3600" w:type="dxa"/>
            <w:vAlign w:val="center"/>
          </w:tcPr>
          <w:p>
            <w:pPr>
              <w:spacing w:line="360" w:lineRule="auto"/>
              <w:rPr>
                <w:rFonts w:ascii="宋体" w:hAnsi="宋体"/>
                <w:color w:val="auto"/>
                <w:highlight w:val="none"/>
              </w:rPr>
            </w:pPr>
            <w:r>
              <w:rPr>
                <w:rFonts w:hint="eastAsia" w:ascii="宋体" w:hAnsi="宋体"/>
                <w:color w:val="auto"/>
                <w:highlight w:val="none"/>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3708" w:type="dxa"/>
            <w:vAlign w:val="center"/>
          </w:tcPr>
          <w:p>
            <w:pPr>
              <w:spacing w:line="360" w:lineRule="auto"/>
              <w:rPr>
                <w:rFonts w:ascii="宋体" w:hAnsi="宋体" w:cs="宋体"/>
                <w:b/>
                <w:color w:val="auto"/>
                <w:szCs w:val="21"/>
                <w:highlight w:val="none"/>
              </w:rPr>
            </w:pPr>
            <w:r>
              <w:rPr>
                <w:rFonts w:hint="eastAsia" w:ascii="宋体" w:hAnsi="宋体"/>
                <w:color w:val="auto"/>
                <w:highlight w:val="none"/>
              </w:rPr>
              <w:t>投标文件全部采用电子文档，投标文件所附证书证件均为原件扫描件或电子证书，并采用单位数字证书，按招标文件要求在相应位置加盖电子印章，投标文件中需个人签字或盖章的，</w:t>
            </w:r>
            <w:r>
              <w:rPr>
                <w:rFonts w:hint="eastAsia" w:ascii="宋体" w:hAnsi="宋体"/>
                <w:color w:val="auto"/>
                <w:highlight w:val="none"/>
                <w:u w:val="single"/>
              </w:rPr>
              <w:t>应加盖个人电子印章或在线下完成后扫描上传。相关操作详见附件《房屋建筑和市政基础设施工程全流程电子化项目专章》。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spacing w:line="360" w:lineRule="auto"/>
              <w:jc w:val="center"/>
              <w:rPr>
                <w:rFonts w:ascii="宋体" w:hAnsi="宋体"/>
                <w:color w:val="auto"/>
                <w:highlight w:val="none"/>
              </w:rPr>
            </w:pPr>
            <w:r>
              <w:rPr>
                <w:rFonts w:hint="eastAsia" w:ascii="宋体" w:hAnsi="宋体"/>
                <w:color w:val="auto"/>
                <w:highlight w:val="none"/>
              </w:rPr>
              <w:t>3.6.1</w:t>
            </w:r>
          </w:p>
        </w:tc>
        <w:tc>
          <w:tcPr>
            <w:tcW w:w="3600" w:type="dxa"/>
            <w:vAlign w:val="center"/>
          </w:tcPr>
          <w:p>
            <w:pPr>
              <w:spacing w:line="360" w:lineRule="auto"/>
              <w:rPr>
                <w:rFonts w:ascii="宋体" w:hAnsi="宋体"/>
                <w:color w:val="auto"/>
                <w:highlight w:val="none"/>
              </w:rPr>
            </w:pPr>
            <w:r>
              <w:rPr>
                <w:rFonts w:hint="eastAsia" w:ascii="宋体" w:hAnsi="宋体"/>
                <w:color w:val="auto"/>
                <w:highlight w:val="none"/>
              </w:rPr>
              <w:t>投标人通过下载招标文件的交易平台递交电子投标文件。</w:t>
            </w:r>
          </w:p>
        </w:tc>
        <w:tc>
          <w:tcPr>
            <w:tcW w:w="3708" w:type="dxa"/>
            <w:vAlign w:val="center"/>
          </w:tcPr>
          <w:p>
            <w:pPr>
              <w:spacing w:line="360" w:lineRule="auto"/>
              <w:rPr>
                <w:rFonts w:ascii="宋体" w:hAnsi="宋体"/>
                <w:color w:val="auto"/>
                <w:highlight w:val="none"/>
              </w:rPr>
            </w:pPr>
            <w:r>
              <w:rPr>
                <w:rFonts w:hint="eastAsia" w:ascii="宋体" w:hAnsi="宋体"/>
                <w:b/>
                <w:color w:val="auto"/>
                <w:highlight w:val="none"/>
              </w:rPr>
              <w:t>修改</w:t>
            </w:r>
            <w:r>
              <w:rPr>
                <w:rFonts w:hint="eastAsia" w:ascii="宋体" w:hAnsi="宋体"/>
                <w:color w:val="auto"/>
                <w:highlight w:val="none"/>
              </w:rPr>
              <w:t>：投标人通过下载招标文件的</w:t>
            </w:r>
            <w:r>
              <w:rPr>
                <w:rFonts w:hint="eastAsia" w:ascii="宋体" w:hAnsi="宋体"/>
                <w:color w:val="auto"/>
                <w:highlight w:val="none"/>
                <w:u w:val="single"/>
              </w:rPr>
              <w:t>广州公共资源交易中心</w:t>
            </w:r>
            <w:r>
              <w:rPr>
                <w:rFonts w:hint="eastAsia" w:ascii="宋体" w:hAnsi="宋体"/>
                <w:color w:val="auto"/>
                <w:highlight w:val="none"/>
              </w:rPr>
              <w:t>交易平台递交电子投标文件。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spacing w:line="360" w:lineRule="auto"/>
              <w:jc w:val="center"/>
              <w:rPr>
                <w:rFonts w:hint="eastAsia" w:ascii="宋体" w:hAnsi="宋体"/>
                <w:color w:val="auto"/>
                <w:highlight w:val="none"/>
              </w:rPr>
            </w:pPr>
            <w:r>
              <w:rPr>
                <w:rFonts w:hint="eastAsia" w:ascii="宋体" w:hAnsi="宋体"/>
                <w:color w:val="auto"/>
                <w:szCs w:val="21"/>
                <w:highlight w:val="none"/>
              </w:rPr>
              <w:t>3</w:t>
            </w:r>
            <w:r>
              <w:rPr>
                <w:rFonts w:ascii="宋体" w:hAnsi="宋体"/>
                <w:color w:val="auto"/>
                <w:szCs w:val="21"/>
                <w:highlight w:val="none"/>
              </w:rPr>
              <w:t>.8.1</w:t>
            </w:r>
          </w:p>
        </w:tc>
        <w:tc>
          <w:tcPr>
            <w:tcW w:w="3600" w:type="dxa"/>
            <w:vAlign w:val="top"/>
          </w:tcPr>
          <w:p>
            <w:pPr>
              <w:spacing w:line="360" w:lineRule="auto"/>
              <w:ind w:left="743" w:hanging="743" w:hangingChars="354"/>
              <w:jc w:val="left"/>
              <w:rPr>
                <w:rFonts w:ascii="宋体" w:hAnsi="宋体"/>
                <w:color w:val="auto"/>
                <w:szCs w:val="21"/>
                <w:highlight w:val="none"/>
              </w:rPr>
            </w:pPr>
            <w:r>
              <w:rPr>
                <w:rFonts w:hint="eastAsia" w:ascii="宋体" w:hAnsi="宋体"/>
                <w:color w:val="auto"/>
                <w:szCs w:val="21"/>
                <w:highlight w:val="none"/>
              </w:rPr>
              <w:t>提交投标文件光盘备用</w:t>
            </w:r>
          </w:p>
          <w:p>
            <w:pPr>
              <w:spacing w:line="360" w:lineRule="auto"/>
              <w:jc w:val="left"/>
              <w:rPr>
                <w:rFonts w:hint="eastAsia" w:ascii="宋体" w:hAnsi="宋体"/>
                <w:color w:val="auto"/>
                <w:highlight w:val="none"/>
              </w:rPr>
            </w:pPr>
            <w:r>
              <w:rPr>
                <w:rFonts w:hint="eastAsia" w:ascii="宋体" w:hAnsi="宋体" w:cs="宋体"/>
                <w:color w:val="auto"/>
                <w:szCs w:val="21"/>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3708" w:type="dxa"/>
            <w:vAlign w:val="top"/>
          </w:tcPr>
          <w:p>
            <w:pPr>
              <w:spacing w:line="360" w:lineRule="auto"/>
              <w:ind w:left="746" w:hanging="743" w:hangingChars="354"/>
              <w:jc w:val="left"/>
              <w:rPr>
                <w:rFonts w:ascii="宋体" w:hAnsi="宋体"/>
                <w:color w:val="auto"/>
                <w:szCs w:val="21"/>
                <w:highlight w:val="none"/>
              </w:rPr>
            </w:pPr>
            <w:r>
              <w:rPr>
                <w:rFonts w:hint="eastAsia" w:ascii="宋体" w:hAnsi="宋体"/>
                <w:b/>
                <w:color w:val="auto"/>
                <w:highlight w:val="none"/>
              </w:rPr>
              <w:t>修改</w:t>
            </w:r>
            <w:r>
              <w:rPr>
                <w:rFonts w:hint="eastAsia" w:ascii="宋体" w:hAnsi="宋体"/>
                <w:color w:val="auto"/>
                <w:highlight w:val="none"/>
              </w:rPr>
              <w:t>：</w:t>
            </w:r>
            <w:r>
              <w:rPr>
                <w:rFonts w:hint="eastAsia" w:ascii="宋体" w:hAnsi="宋体"/>
                <w:color w:val="auto"/>
                <w:szCs w:val="21"/>
                <w:highlight w:val="none"/>
              </w:rPr>
              <w:t>提交投标文件光盘备用</w:t>
            </w:r>
          </w:p>
          <w:p>
            <w:pPr>
              <w:spacing w:line="360" w:lineRule="auto"/>
              <w:rPr>
                <w:rFonts w:hint="eastAsia" w:ascii="宋体" w:hAnsi="宋体"/>
                <w:b/>
                <w:color w:val="auto"/>
                <w:highlight w:val="none"/>
              </w:rPr>
            </w:pPr>
            <w:r>
              <w:rPr>
                <w:rFonts w:hint="eastAsia" w:ascii="宋体" w:hAnsi="宋体" w:cs="宋体"/>
                <w:color w:val="000000" w:themeColor="text1"/>
                <w:szCs w:val="21"/>
                <w14:textFill>
                  <w14:solidFill>
                    <w14:schemeClr w14:val="tx1"/>
                  </w14:solidFill>
                </w14:textFill>
              </w:rPr>
              <w:t>投标人可制作非加密的电子投标文件刻入光盘（1份</w:t>
            </w:r>
            <w:r>
              <w:rPr>
                <w:rFonts w:hint="eastAsia" w:ascii="宋体" w:hAnsi="宋体" w:cs="宋体"/>
                <w:color w:val="000000" w:themeColor="text1"/>
                <w:szCs w:val="21"/>
                <w:u w:val="single"/>
                <w14:textFill>
                  <w14:solidFill>
                    <w14:schemeClr w14:val="tx1"/>
                  </w14:solidFill>
                </w14:textFill>
              </w:rPr>
              <w:t>，内含</w:t>
            </w:r>
            <w:r>
              <w:rPr>
                <w:rFonts w:ascii="宋体" w:hAnsi="宋体" w:cs="宋体"/>
                <w:color w:val="000000" w:themeColor="text1"/>
                <w:szCs w:val="21"/>
                <w:u w:val="single"/>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个光盘）：①设计方案（暗标，单独密封在密封袋中，不得标注或做任何可以辨认投标人及专业技术人员身份的名称、印章、商标、图形等），②用于揭晓设计方案的可识别投标人身份的文件，③开标信封、资格审查文件及其他文件（如有），④定标文件。</w:t>
            </w:r>
            <w:r>
              <w:rPr>
                <w:rFonts w:hint="eastAsia" w:ascii="宋体" w:hAnsi="宋体" w:cs="宋体"/>
                <w:color w:val="000000" w:themeColor="text1"/>
                <w:szCs w:val="21"/>
                <w14:textFill>
                  <w14:solidFill>
                    <w14:schemeClr w14:val="tx1"/>
                  </w14:solidFill>
                </w14:textFill>
              </w:rPr>
              <w:t>在招标公告规定的时间、地点提交备用。刻录好的投标文件光盘密封在密封袋中，并在封口处加盖投标人单位公章</w:t>
            </w:r>
            <w:r>
              <w:rPr>
                <w:rFonts w:hint="eastAsia" w:ascii="宋体" w:hAnsi="宋体" w:cs="宋体"/>
                <w:color w:val="000000" w:themeColor="text1"/>
                <w:szCs w:val="21"/>
                <w:u w:val="single"/>
                <w14:textFill>
                  <w14:solidFill>
                    <w14:schemeClr w14:val="tx1"/>
                  </w14:solidFill>
                </w14:textFill>
              </w:rPr>
              <w:t>（设计方案光盘除外）</w:t>
            </w:r>
            <w:r>
              <w:rPr>
                <w:rFonts w:hint="eastAsia" w:ascii="宋体" w:hAnsi="宋体" w:cs="宋体"/>
                <w:color w:val="000000" w:themeColor="text1"/>
                <w:szCs w:val="21"/>
                <w14:textFill>
                  <w14:solidFill>
                    <w14:schemeClr w14:val="tx1"/>
                  </w14:solidFill>
                </w14:textFill>
              </w:rPr>
              <w:t>。密封袋上应写明项目名称和招标人名称</w:t>
            </w:r>
            <w:r>
              <w:rPr>
                <w:rFonts w:hint="eastAsia" w:ascii="宋体" w:hAnsi="宋体" w:cs="宋体"/>
                <w:color w:val="000000" w:themeColor="text1"/>
                <w:szCs w:val="21"/>
                <w:u w:val="single"/>
                <w14:textFill>
                  <w14:solidFill>
                    <w14:schemeClr w14:val="tx1"/>
                  </w14:solidFill>
                </w14:textFill>
              </w:rPr>
              <w:t>（设计方案光盘除外）</w:t>
            </w:r>
            <w:r>
              <w:rPr>
                <w:rFonts w:hint="eastAsia" w:ascii="宋体" w:hAnsi="宋体" w:cs="宋体"/>
                <w:color w:val="000000" w:themeColor="text1"/>
                <w:szCs w:val="21"/>
                <w14:textFill>
                  <w14:solidFill>
                    <w14:schemeClr w14:val="tx1"/>
                  </w14:solidFill>
                </w14:textFill>
              </w:rPr>
              <w:t>。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3.10.1</w:t>
            </w:r>
          </w:p>
        </w:tc>
        <w:tc>
          <w:tcPr>
            <w:tcW w:w="3600" w:type="dxa"/>
            <w:vAlign w:val="center"/>
          </w:tcPr>
          <w:p>
            <w:pPr>
              <w:spacing w:line="360" w:lineRule="auto"/>
              <w:rPr>
                <w:rFonts w:ascii="宋体" w:hAnsi="宋体" w:cs="宋体"/>
                <w:color w:val="auto"/>
                <w:szCs w:val="21"/>
                <w:highlight w:val="none"/>
              </w:rPr>
            </w:pPr>
            <w:r>
              <w:rPr>
                <w:rFonts w:hint="eastAsia" w:ascii="宋体" w:hAnsi="宋体"/>
                <w:color w:val="auto"/>
                <w:highlight w:val="none"/>
              </w:rPr>
              <w:t>投标人不需要提交投标保证金，评标结果揭晓后，中标候选人所得投标补偿转作</w:t>
            </w:r>
            <w:r>
              <w:rPr>
                <w:rFonts w:hint="eastAsia" w:ascii="宋体" w:hAnsi="宋体"/>
                <w:color w:val="auto"/>
                <w:szCs w:val="21"/>
                <w:highlight w:val="none"/>
              </w:rPr>
              <w:t>保证金，</w:t>
            </w:r>
            <w:r>
              <w:rPr>
                <w:rFonts w:hint="eastAsia" w:ascii="宋体" w:hAnsi="宋体"/>
                <w:color w:val="auto"/>
                <w:highlight w:val="none"/>
              </w:rPr>
              <w:t>确定中标人后立即返还，其中中标人的保证金待</w:t>
            </w:r>
            <w:r>
              <w:rPr>
                <w:rFonts w:hint="eastAsia" w:ascii="宋体" w:hAnsi="宋体"/>
                <w:color w:val="auto"/>
                <w:szCs w:val="21"/>
                <w:highlight w:val="none"/>
              </w:rPr>
              <w:t>签订合同后</w:t>
            </w:r>
            <w:r>
              <w:rPr>
                <w:rFonts w:hint="eastAsia" w:ascii="宋体" w:hAnsi="宋体"/>
                <w:color w:val="auto"/>
                <w:highlight w:val="none"/>
              </w:rPr>
              <w:t>立即返还</w:t>
            </w:r>
            <w:r>
              <w:rPr>
                <w:rFonts w:hint="eastAsia" w:ascii="宋体" w:hAnsi="宋体"/>
                <w:color w:val="auto"/>
                <w:szCs w:val="21"/>
                <w:highlight w:val="none"/>
              </w:rPr>
              <w:t>。如果重新招标，</w:t>
            </w:r>
            <w:r>
              <w:rPr>
                <w:rFonts w:hint="eastAsia" w:ascii="宋体" w:hAnsi="宋体"/>
                <w:color w:val="auto"/>
                <w:highlight w:val="none"/>
              </w:rPr>
              <w:t>保证金立即返还。</w:t>
            </w:r>
          </w:p>
        </w:tc>
        <w:tc>
          <w:tcPr>
            <w:tcW w:w="3708" w:type="dxa"/>
            <w:vAlign w:val="center"/>
          </w:tcPr>
          <w:p>
            <w:pPr>
              <w:spacing w:line="360" w:lineRule="auto"/>
              <w:rPr>
                <w:rFonts w:hint="eastAsia" w:ascii="宋体" w:hAnsi="宋体"/>
                <w:color w:val="auto"/>
                <w:highlight w:val="none"/>
              </w:rPr>
            </w:pPr>
            <w:r>
              <w:rPr>
                <w:rFonts w:hint="eastAsia" w:ascii="宋体" w:hAnsi="宋体"/>
                <w:b/>
                <w:color w:val="auto"/>
                <w:highlight w:val="none"/>
              </w:rPr>
              <w:t>修改</w:t>
            </w:r>
            <w:r>
              <w:rPr>
                <w:rFonts w:hint="eastAsia" w:ascii="宋体" w:hAnsi="宋体"/>
                <w:color w:val="auto"/>
                <w:highlight w:val="none"/>
              </w:rPr>
              <w:t>：3.10.1 投标人需要提交投标保证金。</w:t>
            </w:r>
          </w:p>
          <w:p>
            <w:pPr>
              <w:spacing w:line="360" w:lineRule="auto"/>
              <w:rPr>
                <w:rFonts w:hint="eastAsia" w:ascii="宋体" w:hAnsi="宋体"/>
                <w:color w:val="auto"/>
                <w:highlight w:val="none"/>
              </w:rPr>
            </w:pPr>
            <w:r>
              <w:rPr>
                <w:rFonts w:hint="eastAsia" w:ascii="宋体" w:hAnsi="宋体"/>
                <w:color w:val="auto"/>
                <w:highlight w:val="none"/>
              </w:rPr>
              <w:t>投标保证金可采用现金、支票、投标保函、投标保证保险的形式递交，须在递交投标文件截止时间前完成缴纳。</w:t>
            </w:r>
          </w:p>
          <w:p>
            <w:pPr>
              <w:spacing w:line="360" w:lineRule="auto"/>
              <w:rPr>
                <w:rFonts w:hint="eastAsia" w:ascii="宋体" w:hAnsi="宋体"/>
                <w:color w:val="auto"/>
                <w:highlight w:val="none"/>
              </w:rPr>
            </w:pPr>
            <w:r>
              <w:rPr>
                <w:rFonts w:hint="eastAsia" w:ascii="宋体" w:hAnsi="宋体"/>
                <w:color w:val="auto"/>
                <w:highlight w:val="non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pacing w:line="360" w:lineRule="auto"/>
              <w:rPr>
                <w:rFonts w:hint="eastAsia" w:ascii="宋体" w:hAnsi="宋体"/>
                <w:color w:val="auto"/>
                <w:highlight w:val="none"/>
              </w:rPr>
            </w:pPr>
            <w:r>
              <w:rPr>
                <w:rFonts w:hint="eastAsia" w:ascii="宋体" w:hAnsi="宋体"/>
                <w:color w:val="auto"/>
                <w:highlight w:val="none"/>
              </w:rPr>
              <w:t>（2）依法必须招标的房屋建筑工程如采用非电子形式的投标保函或投标保证保险提交投标保证金的，在开标前不强制要求投标人提交纸质原件，由中标候选人在中标候选人公示前提交并在网上公示，投标人应在投标文件中提交投标保函或投标保证保险扫描件并加盖投标人电子印章。</w:t>
            </w:r>
          </w:p>
          <w:p>
            <w:pPr>
              <w:spacing w:line="360" w:lineRule="auto"/>
              <w:rPr>
                <w:rFonts w:hint="eastAsia" w:ascii="宋体" w:hAnsi="宋体"/>
                <w:color w:val="auto"/>
                <w:highlight w:val="none"/>
              </w:rPr>
            </w:pPr>
            <w:r>
              <w:rPr>
                <w:rFonts w:hint="eastAsia" w:ascii="宋体" w:hAnsi="宋体"/>
                <w:color w:val="auto"/>
                <w:highlight w:val="none"/>
              </w:rPr>
              <w:t>（3）采用电子保函提交投标保证金的，具体操作要求详见广州公共资源交易中心有关指引，递交事宜请自行咨询交易中心。</w:t>
            </w:r>
          </w:p>
          <w:p>
            <w:pPr>
              <w:spacing w:line="360" w:lineRule="auto"/>
              <w:rPr>
                <w:rFonts w:ascii="宋体" w:hAnsi="宋体" w:cs="宋体"/>
                <w:color w:val="auto"/>
                <w:szCs w:val="21"/>
                <w:highlight w:val="none"/>
              </w:rPr>
            </w:pPr>
            <w:r>
              <w:rPr>
                <w:rFonts w:hint="eastAsia" w:ascii="宋体" w:hAnsi="宋体"/>
                <w:color w:val="auto"/>
                <w:highlight w:val="none"/>
              </w:rPr>
              <w:t xml:space="preserve">投标保证金的金额： </w:t>
            </w:r>
            <w:r>
              <w:rPr>
                <w:rFonts w:hint="eastAsia" w:ascii="宋体" w:hAnsi="宋体"/>
                <w:color w:val="auto"/>
                <w:highlight w:val="none"/>
                <w:lang w:val="en-US" w:eastAsia="zh-CN"/>
              </w:rPr>
              <w:t>4</w:t>
            </w:r>
            <w:r>
              <w:rPr>
                <w:rFonts w:hint="eastAsia" w:ascii="宋体" w:hAnsi="宋体"/>
                <w:color w:val="auto"/>
                <w:highlight w:val="none"/>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snapToGrid w:val="0"/>
              <w:spacing w:line="360" w:lineRule="auto"/>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3.10.2</w:t>
            </w:r>
          </w:p>
        </w:tc>
        <w:tc>
          <w:tcPr>
            <w:tcW w:w="3600" w:type="dxa"/>
            <w:vAlign w:val="center"/>
          </w:tcPr>
          <w:p>
            <w:pPr>
              <w:snapToGrid w:val="0"/>
              <w:spacing w:line="360" w:lineRule="auto"/>
              <w:rPr>
                <w:rFonts w:ascii="宋体" w:hAnsi="宋体"/>
                <w:color w:val="auto"/>
                <w:highlight w:val="none"/>
              </w:rPr>
            </w:pPr>
            <w:r>
              <w:rPr>
                <w:rFonts w:hint="eastAsia" w:ascii="宋体" w:hAnsi="宋体"/>
                <w:color w:val="auto"/>
                <w:kern w:val="0"/>
                <w:highlight w:val="none"/>
              </w:rPr>
              <w:t>投标有效期90天，</w:t>
            </w:r>
            <w:r>
              <w:rPr>
                <w:rFonts w:hint="eastAsia" w:ascii="宋体" w:hAnsi="宋体"/>
                <w:color w:val="auto"/>
                <w:szCs w:val="21"/>
                <w:highlight w:val="none"/>
              </w:rPr>
              <w:t>从提交投标文件截止日起计算。在提交投标文件截止时间后到招标文件规定的投标有效期终止之前，投标人不得补充、修改或者撤回其投标文件，否则其保证金将被没收。</w:t>
            </w:r>
          </w:p>
        </w:tc>
        <w:tc>
          <w:tcPr>
            <w:tcW w:w="3708" w:type="dxa"/>
            <w:vAlign w:val="center"/>
          </w:tcPr>
          <w:p>
            <w:pPr>
              <w:snapToGrid w:val="0"/>
              <w:spacing w:line="360" w:lineRule="auto"/>
              <w:rPr>
                <w:rFonts w:ascii="宋体" w:hAnsi="宋体"/>
                <w:b/>
                <w:color w:val="auto"/>
                <w:highlight w:val="none"/>
              </w:rPr>
            </w:pPr>
            <w:r>
              <w:rPr>
                <w:rFonts w:hint="eastAsia" w:ascii="宋体" w:hAnsi="宋体"/>
                <w:b/>
                <w:color w:val="auto"/>
                <w:highlight w:val="none"/>
              </w:rPr>
              <w:t>修改</w:t>
            </w:r>
            <w:r>
              <w:rPr>
                <w:rFonts w:hint="eastAsia" w:ascii="宋体" w:hAnsi="宋体"/>
                <w:color w:val="auto"/>
                <w:highlight w:val="none"/>
              </w:rPr>
              <w:t>：</w:t>
            </w:r>
            <w:r>
              <w:rPr>
                <w:rFonts w:hint="eastAsia" w:ascii="宋体" w:hAnsi="宋体"/>
                <w:color w:val="auto"/>
                <w:szCs w:val="21"/>
                <w:highlight w:val="none"/>
              </w:rPr>
              <w:t>投标有效期90日历天，从提交投标文件截止日起计算</w:t>
            </w:r>
            <w:r>
              <w:rPr>
                <w:rFonts w:hint="eastAsia" w:ascii="宋体" w:hAnsi="宋体"/>
                <w:color w:val="auto"/>
                <w:szCs w:val="21"/>
                <w:highlight w:val="none"/>
                <w:u w:val="single"/>
              </w:rPr>
              <w:t>，如出现异议或投诉，则投标有效期自动延长至异议或投诉处理结束。</w:t>
            </w:r>
            <w:r>
              <w:rPr>
                <w:rFonts w:hint="eastAsia" w:ascii="宋体" w:hAnsi="宋体"/>
                <w:color w:val="auto"/>
                <w:szCs w:val="21"/>
                <w:highlight w:val="none"/>
              </w:rPr>
              <w:t>在提交投标文件截止时间后到招标文件规定的投标有效期终止之前，投标人不得补充、修改或者撤回其投标文件。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snapToGrid w:val="0"/>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4.2.1</w:t>
            </w:r>
          </w:p>
        </w:tc>
        <w:tc>
          <w:tcPr>
            <w:tcW w:w="3600" w:type="dxa"/>
            <w:vAlign w:val="center"/>
          </w:tcPr>
          <w:p>
            <w:pPr>
              <w:spacing w:line="360" w:lineRule="auto"/>
              <w:rPr>
                <w:rFonts w:ascii="宋体" w:hAnsi="宋体"/>
                <w:color w:val="auto"/>
                <w:kern w:val="0"/>
                <w:highlight w:val="none"/>
              </w:rPr>
            </w:pPr>
            <w:r>
              <w:rPr>
                <w:rFonts w:hint="eastAsia" w:ascii="宋体" w:hAnsi="宋体"/>
                <w:color w:val="auto"/>
                <w:highlight w:val="none"/>
              </w:rPr>
              <w:t>评标委员会由</w:t>
            </w:r>
            <w:r>
              <w:rPr>
                <w:rFonts w:hint="eastAsia" w:ascii="宋体" w:hAnsi="宋体"/>
                <w:color w:val="auto"/>
                <w:szCs w:val="21"/>
                <w:highlight w:val="none"/>
              </w:rPr>
              <w:t>专家和业主代表组成</w:t>
            </w:r>
            <w:r>
              <w:rPr>
                <w:rFonts w:hint="eastAsia" w:ascii="宋体" w:hAnsi="宋体"/>
                <w:color w:val="auto"/>
                <w:highlight w:val="none"/>
              </w:rPr>
              <w:t>，专家不得少于</w:t>
            </w:r>
            <w:r>
              <w:rPr>
                <w:rFonts w:hint="eastAsia" w:ascii="宋体" w:hAnsi="宋体"/>
                <w:color w:val="auto"/>
                <w:szCs w:val="21"/>
                <w:highlight w:val="none"/>
              </w:rPr>
              <w:t>评标委员会成员</w:t>
            </w:r>
            <w:r>
              <w:rPr>
                <w:rFonts w:hint="eastAsia" w:ascii="宋体" w:hAnsi="宋体"/>
                <w:color w:val="auto"/>
                <w:highlight w:val="none"/>
              </w:rPr>
              <w:t>总数的三分之二。专家一般从政府评标专家库随机抽取，技术特别复杂、专业性要求特别高或者国家有特别要求的项目，采取随机抽取方式确定的专家难以胜任的，经审批部门核准可以由招标人直接确定。</w:t>
            </w:r>
          </w:p>
        </w:tc>
        <w:tc>
          <w:tcPr>
            <w:tcW w:w="3708" w:type="dxa"/>
            <w:vAlign w:val="center"/>
          </w:tcPr>
          <w:p>
            <w:pPr>
              <w:spacing w:line="360" w:lineRule="auto"/>
              <w:rPr>
                <w:rFonts w:ascii="宋体" w:hAnsi="宋体"/>
                <w:b/>
                <w:color w:val="auto"/>
                <w:highlight w:val="none"/>
              </w:rPr>
            </w:pPr>
            <w:r>
              <w:rPr>
                <w:rFonts w:hint="eastAsia" w:ascii="宋体" w:hAnsi="宋体"/>
                <w:b/>
                <w:color w:val="auto"/>
                <w:highlight w:val="none"/>
              </w:rPr>
              <w:t>修改</w:t>
            </w:r>
            <w:r>
              <w:rPr>
                <w:rFonts w:hint="eastAsia" w:ascii="宋体" w:hAnsi="宋体"/>
                <w:color w:val="auto"/>
                <w:highlight w:val="none"/>
              </w:rPr>
              <w:t>：</w:t>
            </w:r>
            <w:r>
              <w:rPr>
                <w:rFonts w:ascii="宋体" w:hAnsi="宋体"/>
                <w:color w:val="auto"/>
                <w:highlight w:val="none"/>
                <w:u w:val="single"/>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hint="default" w:ascii="宋体" w:hAnsi="宋体" w:eastAsia="宋体" w:cs="宋体"/>
                <w:color w:val="auto"/>
                <w:szCs w:val="21"/>
                <w:highlight w:val="none"/>
                <w:lang w:val="en-US" w:eastAsia="zh-CN"/>
              </w:rPr>
            </w:pPr>
          </w:p>
        </w:tc>
        <w:tc>
          <w:tcPr>
            <w:tcW w:w="1260"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4.4.2</w:t>
            </w:r>
          </w:p>
        </w:tc>
        <w:tc>
          <w:tcPr>
            <w:tcW w:w="3600" w:type="dxa"/>
            <w:vAlign w:val="center"/>
          </w:tcPr>
          <w:p>
            <w:pPr>
              <w:jc w:val="both"/>
              <w:rPr>
                <w:rFonts w:hint="eastAsia" w:ascii="宋体" w:hAnsi="宋体"/>
                <w:color w:val="auto"/>
                <w:highlight w:val="none"/>
              </w:rPr>
            </w:pPr>
            <w:r>
              <w:rPr>
                <w:rFonts w:hint="eastAsia" w:ascii="宋体" w:hAnsi="宋体" w:cs="宋体"/>
                <w:color w:val="auto"/>
                <w:szCs w:val="21"/>
                <w:highlight w:val="none"/>
              </w:rPr>
              <w:t>在符合招标文件规定的前提下，评标委员会主要对投标方案的经济性、独创性、优越性、功能和造型、运行和维护费用、对环境的影响等进行比选、评价和裁定，确定方案的优劣。</w:t>
            </w:r>
          </w:p>
        </w:tc>
        <w:tc>
          <w:tcPr>
            <w:tcW w:w="3708" w:type="dxa"/>
            <w:vAlign w:val="center"/>
          </w:tcPr>
          <w:p>
            <w:pPr>
              <w:jc w:val="center"/>
              <w:rPr>
                <w:rFonts w:hint="eastAsia" w:ascii="宋体" w:hAnsi="宋体"/>
                <w:b/>
                <w:color w:val="auto"/>
                <w:highlight w:val="none"/>
              </w:rPr>
            </w:pPr>
            <w:r>
              <w:rPr>
                <w:rFonts w:hint="eastAsia" w:ascii="宋体" w:hAnsi="宋体" w:cs="宋体"/>
                <w:b/>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4.5.1</w:t>
            </w:r>
          </w:p>
        </w:tc>
        <w:tc>
          <w:tcPr>
            <w:tcW w:w="3600" w:type="dxa"/>
            <w:vAlign w:val="center"/>
          </w:tcPr>
          <w:p>
            <w:pPr>
              <w:spacing w:line="276" w:lineRule="auto"/>
              <w:ind w:left="743" w:hanging="743" w:hangingChars="354"/>
              <w:jc w:val="left"/>
              <w:rPr>
                <w:rFonts w:ascii="宋体" w:hAnsi="宋体" w:cs="宋体"/>
                <w:color w:val="auto"/>
                <w:szCs w:val="21"/>
                <w:highlight w:val="none"/>
              </w:rPr>
            </w:pPr>
            <w:r>
              <w:rPr>
                <w:rFonts w:hint="eastAsia" w:ascii="宋体" w:hAnsi="宋体" w:cs="宋体"/>
                <w:color w:val="auto"/>
                <w:szCs w:val="21"/>
                <w:highlight w:val="none"/>
              </w:rPr>
              <w:t>4.5.1  是否采用评定分离：</w:t>
            </w:r>
          </w:p>
          <w:p>
            <w:pPr>
              <w:spacing w:line="276" w:lineRule="auto"/>
              <w:ind w:left="743" w:hanging="743" w:hangingChars="354"/>
              <w:jc w:val="left"/>
              <w:rPr>
                <w:rFonts w:ascii="宋体" w:hAnsi="宋体" w:cs="宋体"/>
                <w:color w:val="auto"/>
                <w:szCs w:val="21"/>
                <w:highlight w:val="none"/>
              </w:rPr>
            </w:pPr>
            <w:r>
              <w:rPr>
                <w:rFonts w:hint="eastAsia" w:ascii="宋体" w:hAnsi="宋体" w:cs="宋体"/>
                <w:color w:val="auto"/>
                <w:szCs w:val="21"/>
                <w:highlight w:val="none"/>
              </w:rPr>
              <w:t>□是，入围定标环节的投标人家数：</w:t>
            </w:r>
          </w:p>
          <w:p>
            <w:pPr>
              <w:spacing w:line="276" w:lineRule="auto"/>
              <w:ind w:left="743" w:hanging="743" w:hangingChars="354"/>
              <w:jc w:val="lef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名；</w:t>
            </w:r>
          </w:p>
          <w:p>
            <w:pPr>
              <w:spacing w:line="276" w:lineRule="auto"/>
              <w:ind w:left="743" w:hanging="743" w:hangingChars="354"/>
              <w:jc w:val="left"/>
              <w:rPr>
                <w:rFonts w:ascii="宋体" w:hAnsi="宋体" w:cs="宋体"/>
                <w:color w:val="auto"/>
                <w:szCs w:val="21"/>
                <w:highlight w:val="none"/>
              </w:rPr>
            </w:pPr>
            <w:r>
              <w:rPr>
                <w:rFonts w:hint="eastAsia" w:ascii="宋体" w:hAnsi="宋体" w:cs="宋体"/>
                <w:color w:val="auto"/>
                <w:szCs w:val="21"/>
                <w:highlight w:val="none"/>
              </w:rPr>
              <w:t>□否。</w:t>
            </w:r>
          </w:p>
        </w:tc>
        <w:tc>
          <w:tcPr>
            <w:tcW w:w="3708" w:type="dxa"/>
            <w:vAlign w:val="center"/>
          </w:tcPr>
          <w:p>
            <w:pPr>
              <w:spacing w:line="276" w:lineRule="auto"/>
              <w:ind w:left="743" w:hanging="743" w:hangingChars="354"/>
              <w:jc w:val="left"/>
              <w:rPr>
                <w:rFonts w:ascii="宋体" w:hAnsi="宋体" w:cs="宋体"/>
                <w:color w:val="auto"/>
                <w:szCs w:val="21"/>
                <w:highlight w:val="none"/>
              </w:rPr>
            </w:pPr>
            <w:r>
              <w:rPr>
                <w:rFonts w:hint="eastAsia" w:ascii="宋体" w:hAnsi="宋体" w:cs="宋体"/>
                <w:color w:val="auto"/>
                <w:szCs w:val="21"/>
                <w:highlight w:val="none"/>
              </w:rPr>
              <w:t>4.5.1  是否采用评定分离：</w:t>
            </w:r>
          </w:p>
          <w:p>
            <w:pPr>
              <w:spacing w:line="276" w:lineRule="auto"/>
              <w:ind w:left="743" w:hanging="743" w:hangingChars="354"/>
              <w:jc w:val="left"/>
              <w:rPr>
                <w:rFonts w:ascii="宋体" w:hAnsi="宋体" w:cs="宋体"/>
                <w:color w:val="auto"/>
                <w:szCs w:val="21"/>
                <w:highlight w:val="none"/>
              </w:rPr>
            </w:pPr>
            <w:r>
              <w:rPr>
                <w:rFonts w:hint="eastAsia" w:ascii="宋体" w:hAnsi="宋体" w:cs="宋体"/>
                <w:color w:val="auto"/>
                <w:szCs w:val="21"/>
                <w:highlight w:val="none"/>
              </w:rPr>
              <w:t>☑是，入围定标环节的投标人家数：</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名</w:t>
            </w:r>
            <w:r>
              <w:rPr>
                <w:rFonts w:hint="eastAsia" w:ascii="宋体" w:hAnsi="宋体" w:cs="宋体"/>
                <w:sz w:val="21"/>
                <w:szCs w:val="21"/>
                <w:highlight w:val="none"/>
                <w:u w:val="single"/>
                <w:lang w:val="en-US" w:eastAsia="zh-CN"/>
              </w:rPr>
              <w:t>（注：若通过</w:t>
            </w:r>
            <w:r>
              <w:rPr>
                <w:rFonts w:hint="eastAsia" w:ascii="宋体" w:hAnsi="宋体" w:cs="宋体"/>
                <w:sz w:val="21"/>
                <w:szCs w:val="21"/>
                <w:highlight w:val="none"/>
                <w:u w:val="single"/>
              </w:rPr>
              <w:t>资格审查及有效性审查</w:t>
            </w:r>
            <w:r>
              <w:rPr>
                <w:rFonts w:hint="eastAsia" w:ascii="宋体" w:hAnsi="宋体" w:cs="宋体"/>
                <w:sz w:val="21"/>
                <w:szCs w:val="21"/>
                <w:highlight w:val="none"/>
                <w:u w:val="single"/>
                <w:lang w:val="en-US" w:eastAsia="zh-CN"/>
              </w:rPr>
              <w:t>的投标人等于3名，则通过</w:t>
            </w:r>
            <w:r>
              <w:rPr>
                <w:rFonts w:hint="eastAsia" w:ascii="宋体" w:hAnsi="宋体" w:cs="宋体"/>
                <w:sz w:val="21"/>
                <w:szCs w:val="21"/>
                <w:highlight w:val="none"/>
                <w:u w:val="single"/>
              </w:rPr>
              <w:t>资格审查及有效性审查</w:t>
            </w:r>
            <w:r>
              <w:rPr>
                <w:rFonts w:hint="eastAsia" w:ascii="宋体" w:hAnsi="宋体" w:cs="宋体"/>
                <w:sz w:val="21"/>
                <w:szCs w:val="21"/>
                <w:highlight w:val="none"/>
                <w:u w:val="single"/>
                <w:lang w:val="en-US" w:eastAsia="zh-CN"/>
              </w:rPr>
              <w:t>的投标人全部入围定标环节。若通过</w:t>
            </w:r>
            <w:r>
              <w:rPr>
                <w:rFonts w:hint="eastAsia" w:ascii="宋体" w:hAnsi="宋体" w:cs="宋体"/>
                <w:sz w:val="21"/>
                <w:szCs w:val="21"/>
                <w:highlight w:val="none"/>
                <w:u w:val="single"/>
              </w:rPr>
              <w:t>资格审查及有效性审查</w:t>
            </w:r>
            <w:r>
              <w:rPr>
                <w:rFonts w:hint="eastAsia" w:ascii="宋体" w:hAnsi="宋体" w:cs="宋体"/>
                <w:sz w:val="21"/>
                <w:szCs w:val="21"/>
                <w:highlight w:val="none"/>
                <w:u w:val="single"/>
                <w:lang w:val="en-US" w:eastAsia="zh-CN"/>
              </w:rPr>
              <w:t>的投标人大于3名则评标委员会按招标文件《综合评分表》进行打分，并按得分由高到低顺序推荐前3名入围定标环节，若综合评分相等的，以设计方案分高的优先；设计方案得分也相等的，以资信因素得分高的优先；如果资信因素得分也相等，则由评委以投票方式进行表决，确定相等得分的入围单位的排序。）。</w:t>
            </w:r>
          </w:p>
          <w:p>
            <w:pPr>
              <w:spacing w:line="276" w:lineRule="auto"/>
              <w:ind w:left="743" w:hanging="743" w:hangingChars="354"/>
              <w:jc w:val="left"/>
              <w:rPr>
                <w:rFonts w:ascii="宋体" w:hAnsi="宋体" w:cs="宋体"/>
                <w:color w:val="auto"/>
                <w:szCs w:val="21"/>
                <w:highlight w:val="none"/>
              </w:rPr>
            </w:pPr>
            <w:r>
              <w:rPr>
                <w:rFonts w:hint="eastAsia" w:ascii="宋体" w:hAnsi="宋体" w:cs="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4.5.2</w:t>
            </w:r>
          </w:p>
        </w:tc>
        <w:tc>
          <w:tcPr>
            <w:tcW w:w="3600" w:type="dxa"/>
            <w:vAlign w:val="center"/>
          </w:tcPr>
          <w:p>
            <w:pPr>
              <w:rPr>
                <w:rFonts w:ascii="宋体" w:hAnsi="宋体" w:cs="宋体"/>
                <w:color w:val="auto"/>
                <w:szCs w:val="21"/>
                <w:highlight w:val="none"/>
              </w:rPr>
            </w:pPr>
            <w:r>
              <w:rPr>
                <w:rFonts w:hint="eastAsia" w:ascii="宋体" w:hAnsi="宋体" w:cs="宋体"/>
                <w:color w:val="auto"/>
                <w:szCs w:val="21"/>
                <w:highlight w:val="none"/>
              </w:rPr>
              <w:t>4.5.2  不采用评定分离项目的评标办法</w:t>
            </w:r>
          </w:p>
          <w:p>
            <w:pPr>
              <w:rPr>
                <w:rFonts w:ascii="宋体" w:hAnsi="宋体" w:cs="宋体"/>
                <w:color w:val="auto"/>
                <w:szCs w:val="21"/>
                <w:highlight w:val="none"/>
              </w:rPr>
            </w:pPr>
            <w:r>
              <w:rPr>
                <w:rFonts w:hint="eastAsia" w:ascii="宋体" w:hAnsi="宋体" w:cs="宋体"/>
                <w:color w:val="auto"/>
                <w:szCs w:val="21"/>
                <w:highlight w:val="none"/>
              </w:rPr>
              <w:t>4.5.2.1招标人（招标代理机构）在不透露投标人身份的前提下（资格审查文件除外）将投标文件交给评标委员会，除4.5.2.2(g)中规定，不需要投标人派代表介绍投标方案。</w:t>
            </w:r>
          </w:p>
          <w:p>
            <w:pPr>
              <w:rPr>
                <w:rFonts w:ascii="宋体" w:hAnsi="宋体" w:cs="宋体"/>
                <w:color w:val="auto"/>
                <w:szCs w:val="21"/>
                <w:highlight w:val="none"/>
              </w:rPr>
            </w:pPr>
            <w:r>
              <w:rPr>
                <w:rFonts w:hint="eastAsia" w:ascii="宋体" w:hAnsi="宋体" w:cs="宋体"/>
                <w:color w:val="auto"/>
                <w:szCs w:val="21"/>
                <w:highlight w:val="none"/>
              </w:rPr>
              <w:t>4.5.2.2如果评标委员会成员在交易服务机构评标，将按方法    规定的步骤进行：</w:t>
            </w:r>
          </w:p>
          <w:p>
            <w:pPr>
              <w:rPr>
                <w:rFonts w:ascii="宋体" w:hAnsi="宋体" w:cs="宋体"/>
                <w:color w:val="auto"/>
                <w:szCs w:val="21"/>
                <w:highlight w:val="none"/>
              </w:rPr>
            </w:pPr>
            <w:r>
              <w:rPr>
                <w:rFonts w:hint="eastAsia" w:ascii="宋体" w:hAnsi="宋体" w:cs="宋体"/>
                <w:color w:val="auto"/>
                <w:szCs w:val="21"/>
                <w:highlight w:val="none"/>
              </w:rPr>
              <w:t xml:space="preserve">       方法一（设有资格审查环节的一阶段评标法）：a、b、c、d、e、f、h、i、j</w:t>
            </w:r>
          </w:p>
          <w:p>
            <w:pPr>
              <w:rPr>
                <w:rFonts w:ascii="宋体" w:hAnsi="宋体" w:cs="宋体"/>
                <w:color w:val="auto"/>
                <w:szCs w:val="21"/>
                <w:highlight w:val="none"/>
              </w:rPr>
            </w:pPr>
            <w:r>
              <w:rPr>
                <w:rFonts w:hint="eastAsia" w:ascii="宋体" w:hAnsi="宋体" w:cs="宋体"/>
                <w:color w:val="auto"/>
                <w:szCs w:val="21"/>
                <w:highlight w:val="none"/>
              </w:rPr>
              <w:t xml:space="preserve">       方法二（设有资格审查环节的二阶段评标法）：a、b、c、d、e、f、g、h、i、j</w:t>
            </w:r>
          </w:p>
          <w:p>
            <w:pPr>
              <w:rPr>
                <w:rFonts w:ascii="宋体" w:hAnsi="宋体" w:cs="宋体"/>
                <w:color w:val="auto"/>
                <w:szCs w:val="21"/>
                <w:highlight w:val="none"/>
              </w:rPr>
            </w:pPr>
            <w:r>
              <w:rPr>
                <w:rFonts w:hint="eastAsia" w:ascii="宋体" w:hAnsi="宋体" w:cs="宋体"/>
                <w:color w:val="auto"/>
                <w:szCs w:val="21"/>
                <w:highlight w:val="none"/>
              </w:rPr>
              <w:t xml:space="preserve">       方法三（未设资格审查环节的一阶段评标法）：a、d、e、f、h、i、j</w:t>
            </w:r>
          </w:p>
          <w:p>
            <w:pPr>
              <w:rPr>
                <w:rFonts w:ascii="宋体" w:hAnsi="宋体" w:cs="宋体"/>
                <w:color w:val="auto"/>
                <w:szCs w:val="21"/>
                <w:highlight w:val="none"/>
              </w:rPr>
            </w:pPr>
            <w:r>
              <w:rPr>
                <w:rFonts w:hint="eastAsia" w:ascii="宋体" w:hAnsi="宋体" w:cs="宋体"/>
                <w:color w:val="auto"/>
                <w:szCs w:val="21"/>
                <w:highlight w:val="none"/>
              </w:rPr>
              <w:t xml:space="preserve">       方法四（未设资格审查环节的二阶段评标法）：a、d、e、f、g、h、i、j</w:t>
            </w:r>
          </w:p>
          <w:p>
            <w:pPr>
              <w:rPr>
                <w:rFonts w:ascii="宋体" w:hAnsi="宋体" w:cs="宋体"/>
                <w:color w:val="auto"/>
                <w:szCs w:val="21"/>
                <w:highlight w:val="none"/>
              </w:rPr>
            </w:pPr>
            <w:r>
              <w:rPr>
                <w:rFonts w:hint="eastAsia" w:ascii="宋体" w:hAnsi="宋体" w:cs="宋体"/>
                <w:color w:val="auto"/>
                <w:szCs w:val="21"/>
                <w:highlight w:val="none"/>
              </w:rPr>
              <w:t>(a) 评标委员会成员依据招标文件规定，否决两个（含两个）以上的加密打包投标文件电脑机器特征码一致的投标人，不参与下一阶段评审。</w:t>
            </w:r>
          </w:p>
          <w:p>
            <w:pPr>
              <w:rPr>
                <w:rFonts w:ascii="宋体" w:hAnsi="宋体" w:cs="宋体"/>
                <w:color w:val="auto"/>
                <w:szCs w:val="21"/>
                <w:highlight w:val="none"/>
              </w:rPr>
            </w:pPr>
            <w:r>
              <w:rPr>
                <w:rFonts w:hint="eastAsia" w:ascii="宋体" w:hAnsi="宋体" w:cs="宋体"/>
                <w:color w:val="auto"/>
                <w:szCs w:val="21"/>
                <w:highlight w:val="none"/>
              </w:rPr>
              <w:t>(b) 评标委员会成员依据招标文件规定，按附录12《资格审查表》对各投标人递交的投标文件进行资格审查。</w:t>
            </w:r>
          </w:p>
          <w:p>
            <w:pPr>
              <w:rPr>
                <w:rFonts w:ascii="宋体" w:hAnsi="宋体" w:cs="宋体"/>
                <w:color w:val="auto"/>
                <w:szCs w:val="21"/>
                <w:highlight w:val="none"/>
              </w:rPr>
            </w:pPr>
            <w:r>
              <w:rPr>
                <w:rFonts w:hint="eastAsia" w:ascii="宋体" w:hAnsi="宋体" w:cs="宋体"/>
                <w:color w:val="auto"/>
                <w:szCs w:val="21"/>
                <w:highlight w:val="none"/>
              </w:rPr>
              <w:t>(c) 评标委员会成员汇总资格审查结果，编写资格审查报告。</w:t>
            </w:r>
          </w:p>
          <w:p>
            <w:pPr>
              <w:rPr>
                <w:rFonts w:ascii="宋体" w:hAnsi="宋体" w:cs="宋体"/>
                <w:color w:val="auto"/>
                <w:szCs w:val="21"/>
                <w:highlight w:val="none"/>
              </w:rPr>
            </w:pPr>
            <w:r>
              <w:rPr>
                <w:rFonts w:hint="eastAsia" w:ascii="宋体" w:hAnsi="宋体" w:cs="宋体"/>
                <w:color w:val="auto"/>
                <w:szCs w:val="21"/>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pPr>
              <w:rPr>
                <w:rFonts w:ascii="宋体" w:hAnsi="宋体" w:cs="宋体"/>
                <w:color w:val="auto"/>
                <w:szCs w:val="21"/>
                <w:highlight w:val="none"/>
              </w:rPr>
            </w:pPr>
            <w:r>
              <w:rPr>
                <w:rFonts w:hint="eastAsia" w:ascii="宋体" w:hAnsi="宋体" w:cs="宋体"/>
                <w:color w:val="auto"/>
                <w:szCs w:val="21"/>
                <w:highlight w:val="none"/>
              </w:rPr>
              <w:t>(e) 以差额选举逐轮淘汰的记名投票方式选出所有投标方案的排序。（方案补偿费按(h)步骤确定的最终排序进行补偿）。</w:t>
            </w:r>
          </w:p>
          <w:p>
            <w:pPr>
              <w:rPr>
                <w:rFonts w:ascii="宋体" w:hAnsi="宋体" w:cs="宋体"/>
                <w:color w:val="auto"/>
                <w:szCs w:val="21"/>
                <w:highlight w:val="none"/>
              </w:rPr>
            </w:pPr>
            <w:r>
              <w:rPr>
                <w:rFonts w:hint="eastAsia" w:ascii="宋体" w:hAnsi="宋体" w:cs="宋体"/>
                <w:color w:val="auto"/>
                <w:szCs w:val="21"/>
                <w:highlight w:val="none"/>
              </w:rPr>
              <w:t>(f) 评标委员会揭晓投标人身份。</w:t>
            </w:r>
          </w:p>
          <w:p>
            <w:pPr>
              <w:rPr>
                <w:rFonts w:ascii="宋体" w:hAnsi="宋体" w:cs="宋体"/>
                <w:color w:val="auto"/>
                <w:szCs w:val="21"/>
                <w:highlight w:val="none"/>
              </w:rPr>
            </w:pPr>
            <w:r>
              <w:rPr>
                <w:rFonts w:hint="eastAsia" w:ascii="宋体" w:hAnsi="宋体" w:cs="宋体"/>
                <w:color w:val="auto"/>
                <w:szCs w:val="21"/>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pPr>
              <w:rPr>
                <w:rFonts w:ascii="宋体" w:hAnsi="宋体" w:cs="宋体"/>
                <w:color w:val="auto"/>
                <w:szCs w:val="21"/>
                <w:highlight w:val="none"/>
              </w:rPr>
            </w:pPr>
            <w:r>
              <w:rPr>
                <w:rFonts w:hint="eastAsia" w:ascii="宋体" w:hAnsi="宋体" w:cs="宋体"/>
                <w:color w:val="auto"/>
                <w:szCs w:val="21"/>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pPr>
              <w:rPr>
                <w:rFonts w:ascii="宋体" w:hAnsi="宋体" w:cs="宋体"/>
                <w:color w:val="auto"/>
                <w:szCs w:val="21"/>
                <w:highlight w:val="none"/>
              </w:rPr>
            </w:pPr>
            <w:r>
              <w:rPr>
                <w:rFonts w:hint="eastAsia" w:ascii="宋体" w:hAnsi="宋体" w:cs="宋体"/>
                <w:color w:val="auto"/>
                <w:szCs w:val="21"/>
                <w:highlight w:val="none"/>
              </w:rPr>
              <w:t>(i) 编写、签署评标报告，并标明最终中标候选人的排列顺序，评标报告由评标委员会全体成员签字，对评标结论持有异议的评标委员会成员可以书面方式阐述其不同意见和理由。</w:t>
            </w:r>
          </w:p>
          <w:p>
            <w:pPr>
              <w:rPr>
                <w:rFonts w:ascii="宋体" w:hAnsi="宋体" w:cs="宋体"/>
                <w:color w:val="auto"/>
                <w:szCs w:val="21"/>
                <w:highlight w:val="none"/>
              </w:rPr>
            </w:pPr>
            <w:r>
              <w:rPr>
                <w:rFonts w:hint="eastAsia" w:ascii="宋体" w:hAnsi="宋体" w:cs="宋体"/>
                <w:color w:val="auto"/>
                <w:szCs w:val="21"/>
                <w:highlight w:val="none"/>
              </w:rPr>
              <w:t>(j) 评标委员会向招标人提交书面评标报告后即告解散，评标过程中使用的文件、表格以及其他资料应当即时归还招标人（招标代理机构）。</w:t>
            </w:r>
          </w:p>
        </w:tc>
        <w:tc>
          <w:tcPr>
            <w:tcW w:w="3708" w:type="dxa"/>
            <w:vAlign w:val="center"/>
          </w:tcPr>
          <w:p>
            <w:pPr>
              <w:jc w:val="center"/>
              <w:rPr>
                <w:rFonts w:ascii="宋体" w:hAnsi="宋体" w:cs="宋体"/>
                <w:color w:val="auto"/>
                <w:szCs w:val="21"/>
                <w:highlight w:val="none"/>
              </w:rPr>
            </w:pPr>
            <w:r>
              <w:rPr>
                <w:rFonts w:hint="eastAsia" w:ascii="宋体" w:hAnsi="宋体" w:cs="宋体"/>
                <w:b/>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4.5.3</w:t>
            </w:r>
          </w:p>
        </w:tc>
        <w:tc>
          <w:tcPr>
            <w:tcW w:w="3600" w:type="dxa"/>
            <w:vAlign w:val="center"/>
          </w:tcPr>
          <w:p>
            <w:pPr>
              <w:rPr>
                <w:rFonts w:ascii="宋体" w:hAnsi="宋体" w:cs="宋体"/>
                <w:color w:val="auto"/>
                <w:szCs w:val="21"/>
                <w:highlight w:val="none"/>
              </w:rPr>
            </w:pPr>
            <w:r>
              <w:rPr>
                <w:rFonts w:hint="eastAsia" w:ascii="宋体" w:hAnsi="宋体" w:cs="宋体"/>
                <w:color w:val="auto"/>
                <w:szCs w:val="21"/>
                <w:highlight w:val="none"/>
              </w:rPr>
              <w:t>4.5.3    采用评定分离项目的评标及定标办法</w:t>
            </w:r>
          </w:p>
          <w:p>
            <w:pPr>
              <w:rPr>
                <w:rFonts w:ascii="宋体" w:hAnsi="宋体" w:cs="宋体"/>
                <w:color w:val="auto"/>
                <w:szCs w:val="21"/>
                <w:highlight w:val="none"/>
              </w:rPr>
            </w:pPr>
            <w:r>
              <w:rPr>
                <w:rFonts w:hint="eastAsia" w:ascii="宋体" w:hAnsi="宋体" w:cs="宋体"/>
                <w:color w:val="auto"/>
                <w:szCs w:val="21"/>
                <w:highlight w:val="none"/>
              </w:rPr>
              <w:t>4.5.3.1招标人（招标代理机构）在不透露投标人身份的前提下（资格审查文件除外）将投标文件交给评标委员会，不需要投标人派代表介绍投标方案。</w:t>
            </w:r>
          </w:p>
          <w:p>
            <w:pPr>
              <w:rPr>
                <w:rFonts w:ascii="宋体" w:hAnsi="宋体" w:cs="宋体"/>
                <w:color w:val="auto"/>
                <w:szCs w:val="21"/>
                <w:highlight w:val="none"/>
              </w:rPr>
            </w:pPr>
            <w:r>
              <w:rPr>
                <w:rFonts w:hint="eastAsia" w:ascii="宋体" w:hAnsi="宋体" w:cs="宋体"/>
                <w:color w:val="auto"/>
                <w:szCs w:val="21"/>
                <w:highlight w:val="none"/>
              </w:rPr>
              <w:t>4.5.3.2如果评标委员会成员在交易服务机构评标，将按方法    规定的步骤进行：</w:t>
            </w:r>
          </w:p>
          <w:p>
            <w:pPr>
              <w:rPr>
                <w:rFonts w:ascii="宋体" w:hAnsi="宋体" w:cs="宋体"/>
                <w:color w:val="auto"/>
                <w:szCs w:val="21"/>
                <w:highlight w:val="none"/>
              </w:rPr>
            </w:pPr>
            <w:r>
              <w:rPr>
                <w:rFonts w:hint="eastAsia" w:ascii="宋体" w:hAnsi="宋体" w:cs="宋体"/>
                <w:color w:val="auto"/>
                <w:szCs w:val="21"/>
                <w:highlight w:val="none"/>
              </w:rPr>
              <w:t xml:space="preserve">       方法一（设有资格审查环节的一阶段评标法）：a、b、c、d、e、f、g、h、i、j</w:t>
            </w:r>
          </w:p>
          <w:p>
            <w:pPr>
              <w:rPr>
                <w:rFonts w:ascii="宋体" w:hAnsi="宋体" w:cs="宋体"/>
                <w:color w:val="auto"/>
                <w:szCs w:val="21"/>
                <w:highlight w:val="none"/>
              </w:rPr>
            </w:pPr>
            <w:r>
              <w:rPr>
                <w:rFonts w:hint="eastAsia" w:ascii="宋体" w:hAnsi="宋体" w:cs="宋体"/>
                <w:color w:val="auto"/>
                <w:szCs w:val="21"/>
                <w:highlight w:val="none"/>
              </w:rPr>
              <w:t xml:space="preserve">       方法二（未设资格审查环节的一阶段评标法）：a、d、e、f、g、h、i、j</w:t>
            </w:r>
          </w:p>
          <w:p>
            <w:pPr>
              <w:rPr>
                <w:rFonts w:ascii="宋体" w:hAnsi="宋体" w:cs="宋体"/>
                <w:color w:val="auto"/>
                <w:szCs w:val="21"/>
                <w:highlight w:val="none"/>
              </w:rPr>
            </w:pPr>
            <w:r>
              <w:rPr>
                <w:rFonts w:hint="eastAsia" w:ascii="宋体" w:hAnsi="宋体" w:cs="宋体"/>
                <w:color w:val="auto"/>
                <w:szCs w:val="21"/>
                <w:highlight w:val="none"/>
              </w:rPr>
              <w:t xml:space="preserve">(a)评标委员会成员依据招标文件规定，否决两个（含两个）以上的加密打包投标文件电脑机器特征码一致的投标人，不参与下一阶段评审。 </w:t>
            </w:r>
          </w:p>
          <w:p>
            <w:pPr>
              <w:rPr>
                <w:rFonts w:ascii="宋体" w:hAnsi="宋体" w:cs="宋体"/>
                <w:color w:val="auto"/>
                <w:szCs w:val="21"/>
                <w:highlight w:val="none"/>
              </w:rPr>
            </w:pPr>
            <w:r>
              <w:rPr>
                <w:rFonts w:hint="eastAsia" w:ascii="宋体" w:hAnsi="宋体" w:cs="宋体"/>
                <w:color w:val="auto"/>
                <w:szCs w:val="21"/>
                <w:highlight w:val="none"/>
              </w:rPr>
              <w:t>(b)评标委员会成员业主代表及专家依据招标文件规定，按附录12《资格审查表》对各投标人递交的投标文件进行资格审查。</w:t>
            </w:r>
          </w:p>
          <w:p>
            <w:pPr>
              <w:rPr>
                <w:rFonts w:ascii="宋体" w:hAnsi="宋体" w:cs="宋体"/>
                <w:color w:val="auto"/>
                <w:szCs w:val="21"/>
                <w:highlight w:val="none"/>
              </w:rPr>
            </w:pPr>
            <w:r>
              <w:rPr>
                <w:rFonts w:hint="eastAsia" w:ascii="宋体" w:hAnsi="宋体" w:cs="宋体"/>
                <w:color w:val="auto"/>
                <w:szCs w:val="21"/>
                <w:highlight w:val="none"/>
              </w:rPr>
              <w:t>(c) 评标委员会成员汇总资格审查结果，编写资格审查报告。</w:t>
            </w:r>
          </w:p>
          <w:p>
            <w:pPr>
              <w:rPr>
                <w:rFonts w:ascii="宋体" w:hAnsi="宋体" w:cs="宋体"/>
                <w:color w:val="auto"/>
                <w:szCs w:val="21"/>
                <w:highlight w:val="none"/>
              </w:rPr>
            </w:pPr>
            <w:r>
              <w:rPr>
                <w:rFonts w:hint="eastAsia" w:ascii="宋体" w:hAnsi="宋体" w:cs="宋体"/>
                <w:color w:val="auto"/>
                <w:szCs w:val="21"/>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pPr>
              <w:rPr>
                <w:rFonts w:ascii="宋体" w:hAnsi="宋体" w:cs="宋体"/>
                <w:color w:val="auto"/>
                <w:szCs w:val="21"/>
                <w:highlight w:val="none"/>
              </w:rPr>
            </w:pPr>
            <w:r>
              <w:rPr>
                <w:rFonts w:hint="eastAsia" w:ascii="宋体" w:hAnsi="宋体" w:cs="宋体"/>
                <w:color w:val="auto"/>
                <w:szCs w:val="21"/>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pPr>
              <w:rPr>
                <w:rFonts w:ascii="宋体" w:hAnsi="宋体" w:cs="宋体"/>
                <w:color w:val="auto"/>
                <w:szCs w:val="21"/>
                <w:highlight w:val="none"/>
              </w:rPr>
            </w:pPr>
            <w:r>
              <w:rPr>
                <w:rFonts w:hint="eastAsia" w:ascii="宋体" w:hAnsi="宋体" w:cs="宋体"/>
                <w:color w:val="auto"/>
                <w:szCs w:val="21"/>
                <w:highlight w:val="none"/>
              </w:rPr>
              <w:t xml:space="preserve">(f) 评标委员会揭晓投标人身份。 </w:t>
            </w:r>
          </w:p>
          <w:p>
            <w:pPr>
              <w:rPr>
                <w:rFonts w:ascii="宋体" w:hAnsi="宋体" w:cs="宋体"/>
                <w:color w:val="auto"/>
                <w:szCs w:val="21"/>
                <w:highlight w:val="none"/>
              </w:rPr>
            </w:pPr>
            <w:r>
              <w:rPr>
                <w:rFonts w:hint="eastAsia" w:ascii="宋体" w:hAnsi="宋体" w:cs="宋体"/>
                <w:color w:val="auto"/>
                <w:szCs w:val="21"/>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              。评标委员会按上述方式推荐入围定标阶段的投标人。投标经济补偿费按投标方案的最终排序（采取排序方式的）或             （采取直接确定入围方式的）确定进行补偿。</w:t>
            </w:r>
          </w:p>
          <w:p>
            <w:pPr>
              <w:rPr>
                <w:rFonts w:ascii="宋体" w:hAnsi="宋体" w:cs="宋体"/>
                <w:color w:val="auto"/>
                <w:szCs w:val="21"/>
                <w:highlight w:val="none"/>
              </w:rPr>
            </w:pPr>
            <w:r>
              <w:rPr>
                <w:rFonts w:hint="eastAsia" w:ascii="宋体" w:hAnsi="宋体" w:cs="宋体"/>
                <w:color w:val="auto"/>
                <w:szCs w:val="21"/>
                <w:highlight w:val="none"/>
              </w:rPr>
              <w:t>(h) 编写、签署评标报告，评标报告由评标委员会全体成员签字，对评标结论持有异议的评标委员会成员可以书面方式阐述其不同意见和理由。</w:t>
            </w:r>
          </w:p>
          <w:p>
            <w:pPr>
              <w:rPr>
                <w:rFonts w:ascii="宋体" w:hAnsi="宋体" w:cs="宋体"/>
                <w:color w:val="auto"/>
                <w:szCs w:val="21"/>
                <w:highlight w:val="none"/>
              </w:rPr>
            </w:pPr>
            <w:r>
              <w:rPr>
                <w:rFonts w:hint="eastAsia" w:ascii="宋体" w:hAnsi="宋体" w:cs="宋体"/>
                <w:color w:val="auto"/>
                <w:szCs w:val="21"/>
                <w:highlight w:val="none"/>
              </w:rPr>
              <w:t>(i) 评标委员会向招标人提交书面评标报告后即告解散，评标过程中使用的文件、表格以及其他资料应当即时归还招标人（招标代理机构）。</w:t>
            </w:r>
          </w:p>
          <w:p>
            <w:pPr>
              <w:rPr>
                <w:rFonts w:ascii="宋体" w:hAnsi="宋体" w:cs="宋体"/>
                <w:color w:val="auto"/>
                <w:szCs w:val="21"/>
                <w:highlight w:val="none"/>
              </w:rPr>
            </w:pPr>
            <w:r>
              <w:rPr>
                <w:rFonts w:hint="eastAsia" w:ascii="宋体" w:hAnsi="宋体" w:cs="宋体"/>
                <w:color w:val="auto"/>
                <w:szCs w:val="21"/>
                <w:highlight w:val="none"/>
              </w:rPr>
              <w:t>（j）定标委员会定标。定标委员会按附录16《定标原则》确定    名（不多于3名）中标候选人（排序），也可直接确定中标人。</w:t>
            </w:r>
          </w:p>
          <w:p>
            <w:pPr>
              <w:jc w:val="center"/>
              <w:rPr>
                <w:rFonts w:ascii="宋体" w:hAnsi="宋体" w:cs="宋体"/>
                <w:color w:val="auto"/>
                <w:szCs w:val="21"/>
                <w:highlight w:val="none"/>
              </w:rPr>
            </w:pPr>
          </w:p>
        </w:tc>
        <w:tc>
          <w:tcPr>
            <w:tcW w:w="3708" w:type="dxa"/>
          </w:tcPr>
          <w:p>
            <w:pPr>
              <w:rPr>
                <w:rFonts w:ascii="宋体" w:hAnsi="宋体" w:cs="宋体"/>
                <w:color w:val="auto"/>
                <w:szCs w:val="21"/>
                <w:highlight w:val="none"/>
              </w:rPr>
            </w:pPr>
            <w:r>
              <w:rPr>
                <w:rFonts w:hint="eastAsia" w:ascii="宋体" w:hAnsi="宋体" w:cs="宋体"/>
                <w:color w:val="auto"/>
                <w:szCs w:val="21"/>
                <w:highlight w:val="none"/>
              </w:rPr>
              <w:t>4.5.3    采用评定分离项目的评标及定标办法</w:t>
            </w:r>
          </w:p>
          <w:p>
            <w:pPr>
              <w:rPr>
                <w:rFonts w:ascii="宋体" w:hAnsi="宋体" w:cs="宋体"/>
                <w:color w:val="auto"/>
                <w:szCs w:val="21"/>
                <w:highlight w:val="none"/>
              </w:rPr>
            </w:pPr>
            <w:r>
              <w:rPr>
                <w:rFonts w:hint="eastAsia" w:ascii="宋体" w:hAnsi="宋体" w:cs="宋体"/>
                <w:color w:val="auto"/>
                <w:szCs w:val="21"/>
                <w:highlight w:val="none"/>
              </w:rPr>
              <w:t>4.5.3.1招标人（招标代理机构）在不透露投标人身份的前提下（资格审查文件除外）将投标文件交给评标委员会，不需要投标人派代表介绍投标方案。</w:t>
            </w:r>
          </w:p>
          <w:p>
            <w:pPr>
              <w:rPr>
                <w:rFonts w:ascii="宋体" w:hAnsi="宋体" w:cs="宋体"/>
                <w:color w:val="auto"/>
                <w:szCs w:val="21"/>
                <w:highlight w:val="none"/>
              </w:rPr>
            </w:pPr>
            <w:r>
              <w:rPr>
                <w:rFonts w:hint="eastAsia" w:ascii="宋体" w:hAnsi="宋体" w:cs="宋体"/>
                <w:color w:val="auto"/>
                <w:szCs w:val="21"/>
                <w:highlight w:val="none"/>
              </w:rPr>
              <w:t>4.5.3.2如果评标委员会成员在交易服务机构评标，将按方法</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u w:val="single"/>
              </w:rPr>
              <w:t xml:space="preserve">一 </w:t>
            </w:r>
            <w:r>
              <w:rPr>
                <w:rFonts w:hint="eastAsia" w:ascii="宋体" w:hAnsi="宋体" w:cs="宋体"/>
                <w:color w:val="auto"/>
                <w:szCs w:val="21"/>
                <w:highlight w:val="none"/>
              </w:rPr>
              <w:t>规定的步骤进行：</w:t>
            </w:r>
          </w:p>
          <w:p>
            <w:pPr>
              <w:rPr>
                <w:rFonts w:ascii="宋体" w:hAnsi="宋体" w:cs="宋体"/>
                <w:color w:val="auto"/>
                <w:szCs w:val="21"/>
                <w:highlight w:val="none"/>
              </w:rPr>
            </w:pPr>
            <w:r>
              <w:rPr>
                <w:rFonts w:hint="eastAsia" w:ascii="宋体" w:hAnsi="宋体" w:cs="宋体"/>
                <w:color w:val="auto"/>
                <w:szCs w:val="21"/>
                <w:highlight w:val="none"/>
              </w:rPr>
              <w:t xml:space="preserve">       方法一（设有资格审查环节的一阶段评标法）：a、b、c、d、e、f、g、h、i、j</w:t>
            </w:r>
          </w:p>
          <w:p>
            <w:pPr>
              <w:rPr>
                <w:rFonts w:ascii="宋体" w:hAnsi="宋体" w:cs="宋体"/>
                <w:strike/>
                <w:color w:val="auto"/>
                <w:szCs w:val="21"/>
                <w:highlight w:val="none"/>
              </w:rPr>
            </w:pPr>
            <w:r>
              <w:rPr>
                <w:rFonts w:hint="eastAsia" w:ascii="宋体" w:hAnsi="宋体" w:cs="宋体"/>
                <w:color w:val="auto"/>
                <w:szCs w:val="21"/>
                <w:highlight w:val="none"/>
              </w:rPr>
              <w:t xml:space="preserve">    </w:t>
            </w:r>
            <w:r>
              <w:rPr>
                <w:rFonts w:hint="eastAsia" w:ascii="宋体" w:hAnsi="宋体" w:cs="宋体"/>
                <w:strike/>
                <w:color w:val="auto"/>
                <w:szCs w:val="21"/>
                <w:highlight w:val="none"/>
              </w:rPr>
              <w:t xml:space="preserve">   方法二（未设资格审查环节的一阶段评标法）：a、d、e、f、g、h、i、j</w:t>
            </w:r>
          </w:p>
          <w:p>
            <w:pPr>
              <w:rPr>
                <w:rFonts w:ascii="宋体" w:hAnsi="宋体" w:cs="宋体"/>
                <w:color w:val="auto"/>
                <w:szCs w:val="21"/>
                <w:highlight w:val="none"/>
              </w:rPr>
            </w:pPr>
            <w:r>
              <w:rPr>
                <w:rFonts w:hint="eastAsia" w:ascii="宋体" w:hAnsi="宋体" w:cs="宋体"/>
                <w:color w:val="auto"/>
                <w:szCs w:val="21"/>
                <w:highlight w:val="none"/>
              </w:rPr>
              <w:t xml:space="preserve">       </w:t>
            </w:r>
          </w:p>
          <w:p>
            <w:pPr>
              <w:rPr>
                <w:rFonts w:ascii="宋体" w:hAnsi="宋体" w:cs="宋体"/>
                <w:color w:val="auto"/>
                <w:szCs w:val="21"/>
                <w:highlight w:val="none"/>
              </w:rPr>
            </w:pPr>
            <w:r>
              <w:rPr>
                <w:rFonts w:hint="eastAsia" w:ascii="宋体" w:hAnsi="宋体" w:cs="宋体"/>
                <w:color w:val="auto"/>
                <w:szCs w:val="21"/>
                <w:highlight w:val="none"/>
              </w:rPr>
              <w:t xml:space="preserve">(a)评标委员会成员依据招标文件规定，否决两个（含两个）以上的加密打包投标文件电脑机器特征码一致的投标人，不参与下一阶段评审。 </w:t>
            </w:r>
          </w:p>
          <w:p>
            <w:pPr>
              <w:rPr>
                <w:rFonts w:ascii="宋体" w:hAnsi="宋体" w:cs="宋体"/>
                <w:color w:val="auto"/>
                <w:szCs w:val="21"/>
                <w:highlight w:val="none"/>
              </w:rPr>
            </w:pPr>
            <w:r>
              <w:rPr>
                <w:rFonts w:hint="eastAsia" w:ascii="宋体" w:hAnsi="宋体" w:cs="宋体"/>
                <w:color w:val="auto"/>
                <w:szCs w:val="21"/>
                <w:highlight w:val="none"/>
              </w:rPr>
              <w:t>(b)评标委员会成员业主代表及专家依据招标文件规定，按</w:t>
            </w:r>
            <w:r>
              <w:rPr>
                <w:rFonts w:hint="eastAsia" w:ascii="宋体" w:hAnsi="宋体" w:cs="宋体"/>
                <w:color w:val="auto"/>
                <w:szCs w:val="21"/>
                <w:highlight w:val="none"/>
                <w:u w:val="single"/>
              </w:rPr>
              <w:t>附录9《资格审查表》</w:t>
            </w:r>
            <w:r>
              <w:rPr>
                <w:rFonts w:hint="eastAsia" w:ascii="宋体" w:hAnsi="宋体" w:cs="宋体"/>
                <w:color w:val="auto"/>
                <w:szCs w:val="21"/>
                <w:highlight w:val="none"/>
              </w:rPr>
              <w:t>对各投标人递交的投标文件进行资格审查。</w:t>
            </w:r>
          </w:p>
          <w:p>
            <w:pPr>
              <w:rPr>
                <w:rFonts w:ascii="宋体" w:hAnsi="宋体" w:cs="宋体"/>
                <w:color w:val="auto"/>
                <w:szCs w:val="21"/>
                <w:highlight w:val="none"/>
              </w:rPr>
            </w:pPr>
            <w:r>
              <w:rPr>
                <w:rFonts w:hint="eastAsia" w:ascii="宋体" w:hAnsi="宋体" w:cs="宋体"/>
                <w:color w:val="auto"/>
                <w:szCs w:val="21"/>
                <w:highlight w:val="none"/>
              </w:rPr>
              <w:t>(c) 评标委员会成员汇总资格审查结果，编写资格审查报告。</w:t>
            </w:r>
          </w:p>
          <w:p>
            <w:pPr>
              <w:rPr>
                <w:rFonts w:ascii="宋体" w:hAnsi="宋体" w:cs="宋体"/>
                <w:color w:val="auto"/>
                <w:szCs w:val="21"/>
                <w:highlight w:val="none"/>
              </w:rPr>
            </w:pPr>
            <w:r>
              <w:rPr>
                <w:rFonts w:hint="eastAsia" w:ascii="宋体" w:hAnsi="宋体" w:cs="宋体"/>
                <w:color w:val="auto"/>
                <w:szCs w:val="21"/>
                <w:highlight w:val="none"/>
              </w:rPr>
              <w:t>(d)评标委员会专家依据招标文件规定，</w:t>
            </w:r>
            <w:r>
              <w:rPr>
                <w:rFonts w:hint="eastAsia" w:ascii="宋体" w:hAnsi="宋体" w:cs="宋体"/>
                <w:color w:val="auto"/>
                <w:szCs w:val="21"/>
                <w:highlight w:val="none"/>
                <w:u w:val="single"/>
              </w:rPr>
              <w:t>按附录12</w:t>
            </w:r>
            <w:r>
              <w:rPr>
                <w:rFonts w:hint="eastAsia" w:ascii="宋体"/>
                <w:color w:val="auto"/>
                <w:highlight w:val="none"/>
                <w:u w:val="single"/>
              </w:rPr>
              <w:t>《有效性</w:t>
            </w:r>
            <w:r>
              <w:rPr>
                <w:rFonts w:hint="eastAsia" w:ascii="宋体"/>
                <w:color w:val="auto"/>
                <w:highlight w:val="none"/>
                <w:u w:val="single"/>
                <w:lang w:eastAsia="zh-CN"/>
              </w:rPr>
              <w:t>（</w:t>
            </w:r>
            <w:r>
              <w:rPr>
                <w:rFonts w:hint="eastAsia" w:ascii="宋体"/>
                <w:color w:val="auto"/>
                <w:highlight w:val="none"/>
                <w:u w:val="single"/>
                <w:lang w:val="en-US" w:eastAsia="zh-CN"/>
              </w:rPr>
              <w:t>设计方案</w:t>
            </w:r>
            <w:r>
              <w:rPr>
                <w:rFonts w:hint="eastAsia" w:ascii="宋体"/>
                <w:color w:val="auto"/>
                <w:highlight w:val="none"/>
                <w:u w:val="single"/>
                <w:lang w:eastAsia="zh-CN"/>
              </w:rPr>
              <w:t>）</w:t>
            </w:r>
            <w:r>
              <w:rPr>
                <w:rFonts w:hint="eastAsia" w:ascii="宋体"/>
                <w:color w:val="auto"/>
                <w:highlight w:val="none"/>
                <w:u w:val="single"/>
              </w:rPr>
              <w:t>审查表》</w:t>
            </w:r>
            <w:r>
              <w:rPr>
                <w:rFonts w:hint="eastAsia" w:ascii="宋体" w:hAnsi="宋体" w:cs="宋体"/>
                <w:color w:val="auto"/>
                <w:szCs w:val="21"/>
                <w:highlight w:val="none"/>
                <w:u w:val="single"/>
              </w:rPr>
              <w:t>、附录1</w:t>
            </w:r>
            <w:r>
              <w:rPr>
                <w:rFonts w:hint="eastAsia" w:ascii="宋体" w:hAnsi="宋体" w:cs="宋体"/>
                <w:color w:val="auto"/>
                <w:szCs w:val="21"/>
                <w:highlight w:val="none"/>
                <w:u w:val="single"/>
                <w:lang w:val="en-US" w:eastAsia="zh-CN"/>
              </w:rPr>
              <w:t>3</w:t>
            </w:r>
            <w:r>
              <w:rPr>
                <w:rFonts w:hint="eastAsia" w:ascii="宋体"/>
                <w:color w:val="auto"/>
                <w:highlight w:val="none"/>
                <w:u w:val="single"/>
              </w:rPr>
              <w:t>《有效性</w:t>
            </w:r>
            <w:r>
              <w:rPr>
                <w:rFonts w:hint="eastAsia" w:ascii="宋体"/>
                <w:color w:val="auto"/>
                <w:highlight w:val="none"/>
                <w:u w:val="single"/>
                <w:lang w:eastAsia="zh-CN"/>
              </w:rPr>
              <w:t>（</w:t>
            </w:r>
            <w:r>
              <w:rPr>
                <w:rFonts w:hint="eastAsia" w:ascii="宋体"/>
                <w:color w:val="auto"/>
                <w:highlight w:val="none"/>
                <w:u w:val="single"/>
                <w:lang w:val="en-US" w:eastAsia="zh-CN"/>
              </w:rPr>
              <w:t>非设计方案</w:t>
            </w:r>
            <w:r>
              <w:rPr>
                <w:rFonts w:hint="eastAsia" w:ascii="宋体"/>
                <w:color w:val="auto"/>
                <w:highlight w:val="none"/>
                <w:u w:val="single"/>
                <w:lang w:eastAsia="zh-CN"/>
              </w:rPr>
              <w:t>）</w:t>
            </w:r>
            <w:r>
              <w:rPr>
                <w:rFonts w:hint="eastAsia" w:ascii="宋体"/>
                <w:color w:val="auto"/>
                <w:highlight w:val="none"/>
                <w:u w:val="single"/>
              </w:rPr>
              <w:t>审查表》</w:t>
            </w:r>
            <w:r>
              <w:rPr>
                <w:rFonts w:hint="eastAsia" w:ascii="宋体" w:hAnsi="宋体" w:cs="宋体"/>
                <w:color w:val="auto"/>
                <w:szCs w:val="21"/>
                <w:highlight w:val="none"/>
                <w:u w:val="single"/>
              </w:rPr>
              <w:t>、</w:t>
            </w:r>
            <w:r>
              <w:rPr>
                <w:rFonts w:hint="eastAsia" w:ascii="宋体"/>
                <w:color w:val="auto"/>
                <w:highlight w:val="none"/>
                <w:u w:val="single"/>
                <w:lang w:val="en-US" w:eastAsia="zh-CN"/>
              </w:rPr>
              <w:t>附录14《</w:t>
            </w:r>
            <w:r>
              <w:rPr>
                <w:rFonts w:hint="eastAsia" w:ascii="宋体" w:hAnsi="宋体" w:cs="宋体"/>
                <w:sz w:val="21"/>
                <w:szCs w:val="21"/>
                <w:highlight w:val="none"/>
                <w:u w:val="single"/>
                <w:lang w:val="en-US" w:eastAsia="zh-CN"/>
              </w:rPr>
              <w:t>综合评分表</w:t>
            </w:r>
            <w:r>
              <w:rPr>
                <w:rFonts w:hint="eastAsia" w:ascii="宋体"/>
                <w:color w:val="auto"/>
                <w:highlight w:val="none"/>
                <w:u w:val="single"/>
                <w:lang w:val="en-US" w:eastAsia="zh-CN"/>
              </w:rPr>
              <w:t>》</w:t>
            </w:r>
            <w:r>
              <w:rPr>
                <w:rFonts w:hint="eastAsia" w:ascii="宋体" w:hAnsi="宋体" w:cs="宋体"/>
                <w:color w:val="auto"/>
                <w:szCs w:val="21"/>
                <w:highlight w:val="none"/>
                <w:u w:val="single"/>
              </w:rPr>
              <w:t>对各投标人递交的投标文件进行评审。</w:t>
            </w:r>
            <w:r>
              <w:rPr>
                <w:rFonts w:hint="eastAsia" w:ascii="宋体" w:hAnsi="宋体" w:cs="宋体"/>
                <w:color w:val="auto"/>
                <w:szCs w:val="21"/>
                <w:highlight w:val="none"/>
              </w:rPr>
              <w:t xml:space="preserve">如果有否决投标提议，则评标委员会成员共同表决，按照少数服从多数的原则决定是否否决。 </w:t>
            </w:r>
          </w:p>
          <w:p>
            <w:pPr>
              <w:rPr>
                <w:rFonts w:ascii="宋体" w:hAnsi="宋体" w:cs="宋体"/>
                <w:color w:val="auto"/>
                <w:szCs w:val="21"/>
                <w:highlight w:val="none"/>
                <w:u w:val="single"/>
              </w:rPr>
            </w:pPr>
            <w:r>
              <w:rPr>
                <w:rFonts w:hint="eastAsia" w:ascii="宋体" w:hAnsi="宋体" w:cs="宋体"/>
                <w:color w:val="auto"/>
                <w:szCs w:val="21"/>
                <w:highlight w:val="none"/>
              </w:rPr>
              <w:t xml:space="preserve">(e) </w:t>
            </w:r>
            <w:r>
              <w:rPr>
                <w:rFonts w:hint="eastAsia" w:ascii="宋体" w:hAnsi="宋体"/>
                <w:color w:val="auto"/>
                <w:highlight w:val="none"/>
                <w:u w:val="single"/>
              </w:rPr>
              <w:t>按照4.5.1约定推荐入围定标阶段中标候选人</w:t>
            </w:r>
            <w:r>
              <w:rPr>
                <w:rFonts w:hint="eastAsia" w:ascii="宋体" w:hAnsi="宋体" w:cs="宋体"/>
                <w:color w:val="auto"/>
                <w:szCs w:val="21"/>
                <w:highlight w:val="none"/>
                <w:u w:val="single"/>
              </w:rPr>
              <w:t>。</w:t>
            </w:r>
          </w:p>
          <w:p>
            <w:pPr>
              <w:pStyle w:val="8"/>
              <w:ind w:firstLine="0" w:firstLineChars="0"/>
              <w:rPr>
                <w:strike w:val="0"/>
                <w:dstrike w:val="0"/>
                <w:color w:val="auto"/>
                <w:kern w:val="2"/>
                <w:sz w:val="21"/>
                <w:szCs w:val="24"/>
                <w:highlight w:val="none"/>
              </w:rPr>
            </w:pPr>
            <w:r>
              <w:rPr>
                <w:rFonts w:hint="eastAsia" w:ascii="宋体" w:hAnsi="宋体" w:cs="宋体"/>
                <w:strike w:val="0"/>
                <w:dstrike w:val="0"/>
                <w:color w:val="auto"/>
                <w:kern w:val="2"/>
                <w:sz w:val="21"/>
                <w:szCs w:val="21"/>
                <w:highlight w:val="none"/>
              </w:rPr>
              <w:t>(f)评标委员会揭晓投标人身份。</w:t>
            </w:r>
          </w:p>
          <w:p>
            <w:pPr>
              <w:rPr>
                <w:rFonts w:ascii="宋体" w:hAnsi="宋体"/>
                <w:color w:val="auto"/>
                <w:szCs w:val="21"/>
                <w:highlight w:val="none"/>
              </w:rPr>
            </w:pPr>
            <w:r>
              <w:rPr>
                <w:rFonts w:hint="eastAsia" w:ascii="宋体" w:hAnsi="宋体" w:cs="宋体"/>
                <w:color w:val="auto"/>
                <w:szCs w:val="21"/>
                <w:highlight w:val="none"/>
              </w:rPr>
              <w:t xml:space="preserve">(g) </w:t>
            </w:r>
            <w:r>
              <w:rPr>
                <w:rFonts w:hint="eastAsia" w:ascii="宋体" w:hAnsi="宋体"/>
                <w:sz w:val="21"/>
                <w:szCs w:val="21"/>
              </w:rPr>
              <w:t>评标委员会按只有通过资格审查及有效性审查的投标人的投标文件方可进入下一阶段评审的评审原则，在揭晓投标人身份后，根据资格审查及有效性审查结果，取消被否决投标及未通过资格审查的投标人的投标。</w:t>
            </w:r>
            <w:r>
              <w:rPr>
                <w:rFonts w:hint="eastAsia" w:ascii="宋体" w:hAnsi="宋体"/>
                <w:sz w:val="21"/>
                <w:szCs w:val="21"/>
                <w:u w:val="single"/>
              </w:rPr>
              <w:t>合格的中标候选人按其统一社会信用代码后4位（除校验码外）大小排位，不排序。合格的中标候选人少于3家的，应当重新招标。</w:t>
            </w:r>
          </w:p>
          <w:p>
            <w:pPr>
              <w:rPr>
                <w:rFonts w:ascii="宋体" w:hAnsi="宋体" w:cs="宋体"/>
                <w:color w:val="auto"/>
                <w:szCs w:val="21"/>
                <w:highlight w:val="none"/>
              </w:rPr>
            </w:pPr>
            <w:r>
              <w:rPr>
                <w:rFonts w:hint="eastAsia" w:ascii="宋体" w:hAnsi="宋体" w:cs="宋体"/>
                <w:color w:val="auto"/>
                <w:szCs w:val="21"/>
                <w:highlight w:val="none"/>
              </w:rPr>
              <w:t>（h）编写、签署评标报告，评标报告由评标委员会全体成员签字，对评标结论持有异议的评标委员会成员可以书面方式阐述其不同意见和理由。</w:t>
            </w:r>
          </w:p>
          <w:p>
            <w:pPr>
              <w:rPr>
                <w:rFonts w:ascii="宋体" w:hAnsi="宋体" w:cs="宋体"/>
                <w:color w:val="auto"/>
                <w:szCs w:val="21"/>
                <w:highlight w:val="none"/>
              </w:rPr>
            </w:pPr>
            <w:r>
              <w:rPr>
                <w:rFonts w:hint="eastAsia" w:ascii="宋体" w:hAnsi="宋体" w:cs="宋体"/>
                <w:color w:val="auto"/>
                <w:szCs w:val="21"/>
                <w:highlight w:val="none"/>
              </w:rPr>
              <w:t>(i) 评标委员会向招标人提交书面评标报告后即告解散，评标过程中使用的文件、表格以及其他资料应当即时归还招标人（招标代理机构）。</w:t>
            </w:r>
          </w:p>
          <w:p>
            <w:pPr>
              <w:rPr>
                <w:rFonts w:ascii="宋体" w:hAnsi="宋体" w:cs="宋体"/>
                <w:color w:val="auto"/>
                <w:szCs w:val="21"/>
                <w:highlight w:val="none"/>
                <w:u w:val="single"/>
              </w:rPr>
            </w:pPr>
            <w:r>
              <w:rPr>
                <w:rFonts w:hint="eastAsia" w:ascii="宋体" w:hAnsi="宋体" w:cs="宋体"/>
                <w:color w:val="auto"/>
                <w:szCs w:val="21"/>
                <w:highlight w:val="none"/>
              </w:rPr>
              <w:t>（j）定标委员会定标。</w:t>
            </w:r>
            <w:r>
              <w:rPr>
                <w:rFonts w:hint="eastAsia" w:ascii="宋体" w:hAnsi="宋体" w:cs="宋体"/>
                <w:color w:val="auto"/>
                <w:szCs w:val="21"/>
                <w:highlight w:val="none"/>
                <w:u w:val="single"/>
              </w:rPr>
              <w:t>定标委员会按附录1</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《定标原则》确定中标人。</w:t>
            </w:r>
          </w:p>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5.1</w:t>
            </w:r>
          </w:p>
        </w:tc>
        <w:tc>
          <w:tcPr>
            <w:tcW w:w="3600" w:type="dxa"/>
            <w:vAlign w:val="center"/>
          </w:tcPr>
          <w:p>
            <w:pPr>
              <w:spacing w:line="276" w:lineRule="auto"/>
              <w:jc w:val="left"/>
              <w:rPr>
                <w:rFonts w:ascii="宋体" w:hAnsi="宋体" w:cs="宋体"/>
                <w:b/>
                <w:color w:val="auto"/>
                <w:szCs w:val="21"/>
                <w:highlight w:val="none"/>
              </w:rPr>
            </w:pPr>
            <w:r>
              <w:rPr>
                <w:rFonts w:hint="eastAsia" w:ascii="宋体" w:hAnsi="宋体" w:cs="宋体"/>
                <w:b/>
                <w:color w:val="auto"/>
                <w:szCs w:val="21"/>
                <w:highlight w:val="none"/>
              </w:rPr>
              <w:t>5.1    确定中标人</w:t>
            </w:r>
          </w:p>
          <w:p>
            <w:pPr>
              <w:spacing w:line="276" w:lineRule="auto"/>
              <w:jc w:val="left"/>
              <w:rPr>
                <w:rFonts w:ascii="宋体" w:hAnsi="宋体" w:cs="宋体"/>
                <w:color w:val="auto"/>
                <w:szCs w:val="21"/>
                <w:highlight w:val="none"/>
              </w:rPr>
            </w:pPr>
            <w:r>
              <w:rPr>
                <w:rFonts w:hint="eastAsia" w:ascii="宋体" w:hAnsi="宋体" w:cs="宋体"/>
                <w:color w:val="auto"/>
                <w:szCs w:val="21"/>
                <w:highlight w:val="none"/>
              </w:rPr>
              <w:t>采用方式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确定中标人：</w:t>
            </w:r>
          </w:p>
        </w:tc>
        <w:tc>
          <w:tcPr>
            <w:tcW w:w="3708" w:type="dxa"/>
            <w:vAlign w:val="center"/>
          </w:tcPr>
          <w:p>
            <w:pPr>
              <w:spacing w:line="276" w:lineRule="auto"/>
              <w:jc w:val="left"/>
              <w:rPr>
                <w:rFonts w:ascii="宋体" w:hAnsi="宋体" w:cs="宋体"/>
                <w:b/>
                <w:color w:val="auto"/>
                <w:szCs w:val="21"/>
                <w:highlight w:val="none"/>
              </w:rPr>
            </w:pPr>
            <w:r>
              <w:rPr>
                <w:rFonts w:hint="eastAsia" w:ascii="宋体" w:hAnsi="宋体" w:cs="宋体"/>
                <w:b/>
                <w:color w:val="auto"/>
                <w:szCs w:val="21"/>
                <w:highlight w:val="none"/>
              </w:rPr>
              <w:t>5.1    确定中标人</w:t>
            </w:r>
          </w:p>
          <w:p>
            <w:pPr>
              <w:spacing w:line="276" w:lineRule="auto"/>
              <w:jc w:val="left"/>
              <w:rPr>
                <w:rFonts w:ascii="宋体" w:hAnsi="宋体" w:cs="宋体"/>
                <w:color w:val="auto"/>
                <w:szCs w:val="21"/>
                <w:highlight w:val="none"/>
              </w:rPr>
            </w:pPr>
            <w:r>
              <w:rPr>
                <w:rFonts w:hint="eastAsia" w:ascii="宋体" w:hAnsi="宋体" w:cs="宋体"/>
                <w:color w:val="auto"/>
                <w:szCs w:val="21"/>
                <w:highlight w:val="none"/>
              </w:rPr>
              <w:t>采用方式</w:t>
            </w:r>
            <w:r>
              <w:rPr>
                <w:rFonts w:hint="eastAsia" w:ascii="宋体" w:hAnsi="宋体" w:cs="宋体"/>
                <w:color w:val="auto"/>
                <w:szCs w:val="21"/>
                <w:highlight w:val="none"/>
                <w:u w:val="single"/>
              </w:rPr>
              <w:t>一</w:t>
            </w:r>
            <w:r>
              <w:rPr>
                <w:rFonts w:hint="eastAsia" w:ascii="宋体" w:hAnsi="宋体" w:cs="宋体"/>
                <w:color w:val="auto"/>
                <w:szCs w:val="21"/>
                <w:highlight w:val="none"/>
              </w:rPr>
              <w:t>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p>
        </w:tc>
        <w:tc>
          <w:tcPr>
            <w:tcW w:w="3600" w:type="dxa"/>
            <w:vAlign w:val="center"/>
          </w:tcPr>
          <w:p>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方式一（适用于设置资格审查环节的项目）：</w:t>
            </w:r>
          </w:p>
          <w:p>
            <w:pPr>
              <w:rPr>
                <w:rFonts w:ascii="宋体" w:hAnsi="宋体" w:cs="宋体"/>
                <w:color w:val="auto"/>
                <w:szCs w:val="21"/>
                <w:highlight w:val="none"/>
              </w:rPr>
            </w:pPr>
            <w:r>
              <w:rPr>
                <w:rFonts w:hint="eastAsia" w:ascii="宋体" w:hAnsi="宋体" w:cs="宋体"/>
                <w:color w:val="auto"/>
                <w:szCs w:val="21"/>
                <w:highlight w:val="none"/>
              </w:rPr>
              <w:t>5.1.1  招标人在评标委员会或定标委员会推荐的中标候选人中确定中标人。</w:t>
            </w:r>
          </w:p>
          <w:p>
            <w:pPr>
              <w:rPr>
                <w:rFonts w:ascii="宋体" w:hAnsi="宋体" w:cs="宋体"/>
                <w:color w:val="auto"/>
                <w:szCs w:val="21"/>
                <w:highlight w:val="none"/>
              </w:rPr>
            </w:pPr>
            <w:r>
              <w:rPr>
                <w:rFonts w:hint="eastAsia" w:ascii="宋体" w:hAnsi="宋体" w:cs="宋体"/>
                <w:color w:val="auto"/>
                <w:szCs w:val="21"/>
                <w:highlight w:val="none"/>
              </w:rPr>
              <w:t>5.1.2  招标人确定中标人：</w:t>
            </w:r>
          </w:p>
          <w:p>
            <w:pPr>
              <w:rPr>
                <w:rFonts w:ascii="宋体" w:hAnsi="宋体" w:cs="宋体"/>
                <w:color w:val="auto"/>
                <w:szCs w:val="21"/>
                <w:highlight w:val="none"/>
              </w:rPr>
            </w:pPr>
            <w:r>
              <w:rPr>
                <w:rFonts w:hint="eastAsia" w:ascii="宋体" w:hAnsi="宋体" w:cs="宋体"/>
                <w:color w:val="auto"/>
                <w:szCs w:val="21"/>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pPr>
              <w:rPr>
                <w:rFonts w:ascii="宋体" w:hAnsi="宋体" w:cs="宋体"/>
                <w:b/>
                <w:color w:val="auto"/>
                <w:szCs w:val="21"/>
                <w:highlight w:val="none"/>
              </w:rPr>
            </w:pPr>
            <w:r>
              <w:rPr>
                <w:rFonts w:hint="eastAsia" w:ascii="宋体" w:hAnsi="宋体" w:cs="宋体"/>
                <w:color w:val="auto"/>
                <w:szCs w:val="21"/>
                <w:highlight w:val="none"/>
              </w:rPr>
              <w:t>5.1.3 在产生中标候选人后，招标人将中标候选人的投标文件商务部分（包括报价清单、人员、业绩、奖项等资料）在交易平台和广东省招标投标监管网公开。</w:t>
            </w:r>
          </w:p>
        </w:tc>
        <w:tc>
          <w:tcPr>
            <w:tcW w:w="3708" w:type="dxa"/>
            <w:vAlign w:val="center"/>
          </w:tcPr>
          <w:p>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方式一（适用于设置资格审查环节的项目）：</w:t>
            </w:r>
          </w:p>
          <w:p>
            <w:pPr>
              <w:pStyle w:val="8"/>
              <w:ind w:firstLine="21" w:firstLineChars="10"/>
              <w:rPr>
                <w:rFonts w:ascii="宋体" w:hAnsi="宋体" w:cs="宋体"/>
                <w:color w:val="auto"/>
                <w:sz w:val="21"/>
                <w:szCs w:val="21"/>
                <w:highlight w:val="none"/>
              </w:rPr>
            </w:pPr>
            <w:r>
              <w:rPr>
                <w:rFonts w:hint="eastAsia" w:ascii="宋体" w:hAnsi="宋体" w:cs="宋体"/>
                <w:color w:val="auto"/>
                <w:sz w:val="21"/>
                <w:szCs w:val="21"/>
                <w:highlight w:val="none"/>
              </w:rPr>
              <w:t>5.1.1  评标委员会按照4.5.1约定推荐入围定标阶段中标候选人；定标委员会直接确定中标人。</w:t>
            </w:r>
          </w:p>
          <w:p>
            <w:pPr>
              <w:pStyle w:val="8"/>
              <w:ind w:firstLine="21" w:firstLineChars="10"/>
              <w:rPr>
                <w:rFonts w:ascii="宋体" w:hAnsi="宋体" w:cs="宋体"/>
                <w:color w:val="auto"/>
                <w:sz w:val="21"/>
                <w:szCs w:val="21"/>
                <w:highlight w:val="none"/>
              </w:rPr>
            </w:pPr>
            <w:r>
              <w:rPr>
                <w:rFonts w:hint="eastAsia" w:ascii="宋体" w:hAnsi="宋体" w:cs="宋体"/>
                <w:color w:val="auto"/>
                <w:sz w:val="21"/>
                <w:szCs w:val="21"/>
                <w:highlight w:val="none"/>
              </w:rPr>
              <w:t>5.1.2 （删除）</w:t>
            </w:r>
          </w:p>
          <w:p>
            <w:pPr>
              <w:pStyle w:val="8"/>
              <w:ind w:firstLine="21" w:firstLineChars="10"/>
              <w:rPr>
                <w:color w:val="auto"/>
                <w:highlight w:val="none"/>
              </w:rPr>
            </w:pPr>
            <w:r>
              <w:rPr>
                <w:rFonts w:hint="eastAsia" w:ascii="宋体" w:hAnsi="宋体" w:cs="宋体"/>
                <w:color w:val="auto"/>
                <w:sz w:val="21"/>
                <w:szCs w:val="21"/>
                <w:highlight w:val="none"/>
              </w:rPr>
              <w:t>5.1.3 在产生中标</w:t>
            </w:r>
            <w:r>
              <w:rPr>
                <w:rFonts w:hint="eastAsia" w:ascii="宋体" w:hAnsi="宋体" w:cs="宋体"/>
                <w:color w:val="auto"/>
                <w:kern w:val="2"/>
                <w:sz w:val="21"/>
                <w:szCs w:val="21"/>
                <w:highlight w:val="none"/>
              </w:rPr>
              <w:t>候选人</w:t>
            </w:r>
            <w:r>
              <w:rPr>
                <w:rFonts w:hint="eastAsia" w:ascii="宋体" w:hAnsi="宋体" w:cs="宋体"/>
                <w:color w:val="auto"/>
                <w:sz w:val="21"/>
                <w:szCs w:val="21"/>
                <w:highlight w:val="none"/>
              </w:rPr>
              <w:t>后，招标人将中标候选人的投标文件商务部分（包括人员、业绩、奖项等资料）在交易平台和广东省招标投标监管网公开。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5.1方式二</w:t>
            </w:r>
          </w:p>
        </w:tc>
        <w:tc>
          <w:tcPr>
            <w:tcW w:w="3600" w:type="dxa"/>
            <w:vAlign w:val="center"/>
          </w:tcPr>
          <w:p>
            <w:pPr>
              <w:spacing w:line="276" w:lineRule="auto"/>
              <w:rPr>
                <w:rFonts w:ascii="宋体" w:hAnsi="宋体" w:cs="宋体"/>
                <w:b/>
                <w:color w:val="auto"/>
                <w:szCs w:val="21"/>
                <w:highlight w:val="none"/>
              </w:rPr>
            </w:pPr>
            <w:r>
              <w:rPr>
                <w:rFonts w:hint="eastAsia" w:ascii="宋体" w:hAnsi="宋体" w:cs="宋体"/>
                <w:b/>
                <w:color w:val="auto"/>
                <w:szCs w:val="21"/>
                <w:highlight w:val="none"/>
              </w:rPr>
              <w:t>方式二（适用于未设资格审查环节的项目）：</w:t>
            </w:r>
          </w:p>
          <w:p>
            <w:pPr>
              <w:rPr>
                <w:rFonts w:ascii="宋体" w:hAnsi="宋体" w:cs="宋体"/>
                <w:color w:val="auto"/>
                <w:szCs w:val="21"/>
                <w:highlight w:val="none"/>
              </w:rPr>
            </w:pPr>
            <w:r>
              <w:rPr>
                <w:rFonts w:hint="eastAsia" w:ascii="宋体" w:hAnsi="宋体" w:cs="宋体"/>
                <w:color w:val="auto"/>
                <w:szCs w:val="21"/>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pPr>
              <w:rPr>
                <w:rFonts w:ascii="宋体" w:hAnsi="宋体" w:cs="宋体"/>
                <w:color w:val="auto"/>
                <w:szCs w:val="21"/>
                <w:highlight w:val="none"/>
              </w:rPr>
            </w:pPr>
            <w:r>
              <w:rPr>
                <w:rFonts w:hint="eastAsia" w:ascii="宋体" w:hAnsi="宋体" w:cs="宋体"/>
                <w:color w:val="auto"/>
                <w:szCs w:val="21"/>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pPr>
              <w:rPr>
                <w:rFonts w:ascii="宋体" w:hAnsi="宋体" w:cs="宋体"/>
                <w:color w:val="auto"/>
                <w:szCs w:val="21"/>
                <w:highlight w:val="none"/>
              </w:rPr>
            </w:pPr>
            <w:r>
              <w:rPr>
                <w:rFonts w:hint="eastAsia" w:ascii="宋体" w:hAnsi="宋体" w:cs="宋体"/>
                <w:color w:val="auto"/>
                <w:szCs w:val="21"/>
                <w:highlight w:val="none"/>
              </w:rPr>
              <w:t>5.1.3  定标委员会直接确定中标人，中标人未能通过资格复核的，招标失败。招标人应重新组织招标。</w:t>
            </w:r>
          </w:p>
          <w:p>
            <w:pPr>
              <w:rPr>
                <w:rFonts w:ascii="宋体" w:hAnsi="宋体" w:cs="宋体"/>
                <w:color w:val="auto"/>
                <w:szCs w:val="21"/>
                <w:highlight w:val="none"/>
              </w:rPr>
            </w:pPr>
            <w:r>
              <w:rPr>
                <w:rFonts w:hint="eastAsia" w:ascii="宋体" w:hAnsi="宋体" w:cs="宋体"/>
                <w:color w:val="auto"/>
                <w:szCs w:val="21"/>
                <w:highlight w:val="none"/>
              </w:rPr>
              <w:t>5.1.4  在产生中标候选人后，招标人将中标候选人的投标文件商务部分（包括报价清单、人员、业绩、奖项等资料）在交易平台和广东省招标投标监管网公开。</w:t>
            </w:r>
          </w:p>
        </w:tc>
        <w:tc>
          <w:tcPr>
            <w:tcW w:w="3708" w:type="dxa"/>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ascii="宋体" w:hAnsi="宋体" w:cs="宋体"/>
                <w:color w:val="auto"/>
                <w:szCs w:val="21"/>
                <w:highlight w:val="none"/>
              </w:rPr>
              <w:t>5.2.6</w:t>
            </w:r>
          </w:p>
        </w:tc>
        <w:tc>
          <w:tcPr>
            <w:tcW w:w="3600" w:type="dxa"/>
            <w:vAlign w:val="center"/>
          </w:tcPr>
          <w:p>
            <w:pPr>
              <w:spacing w:line="276" w:lineRule="auto"/>
              <w:rPr>
                <w:rFonts w:ascii="宋体" w:hAnsi="宋体" w:cs="宋体"/>
                <w:b/>
                <w:color w:val="auto"/>
                <w:szCs w:val="21"/>
                <w:highlight w:val="none"/>
              </w:rPr>
            </w:pPr>
            <w:r>
              <w:rPr>
                <w:rFonts w:hint="eastAsia" w:ascii="宋体" w:hAnsi="宋体" w:cs="宋体"/>
                <w:b/>
                <w:color w:val="auto"/>
                <w:szCs w:val="21"/>
                <w:highlight w:val="none"/>
              </w:rPr>
              <w:t>新增</w:t>
            </w:r>
          </w:p>
        </w:tc>
        <w:tc>
          <w:tcPr>
            <w:tcW w:w="3708" w:type="dxa"/>
            <w:vAlign w:val="center"/>
          </w:tcPr>
          <w:p>
            <w:pPr>
              <w:spacing w:line="276" w:lineRule="auto"/>
              <w:jc w:val="left"/>
              <w:rPr>
                <w:rFonts w:ascii="宋体" w:hAnsi="宋体" w:cs="宋体"/>
                <w:color w:val="auto"/>
                <w:szCs w:val="21"/>
                <w:highlight w:val="none"/>
              </w:rPr>
            </w:pPr>
            <w:r>
              <w:rPr>
                <w:rFonts w:hint="eastAsia" w:ascii="宋体" w:hAnsi="宋体"/>
                <w:color w:val="auto"/>
                <w:highlight w:val="none"/>
              </w:rPr>
              <w:t>5.2.6</w:t>
            </w:r>
            <w:r>
              <w:rPr>
                <w:rFonts w:hint="eastAsia" w:ascii="宋体" w:hAnsi="宋体"/>
                <w:color w:val="auto"/>
                <w:highlight w:val="none"/>
                <w:u w:val="single"/>
              </w:rPr>
              <w:t>中标人在中标公示后，签订合同前，须提供与所递交投标电子标书内容一致且加盖单位公章的纸质文件五套及电子文件二套（包括所递交投标电子标书内容一致的设计方案A3版及设计图纸、资格审查文件、定标文件等投标文件；补齐遗漏表格及相关内容或者无条件接受招标人给出的表格及相关内容。电子文件介质使用CD-R光盘，所有电子文件不能采用压缩处理）给招标人</w:t>
            </w:r>
            <w:r>
              <w:rPr>
                <w:rFonts w:hint="eastAsia"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5.3.5</w:t>
            </w:r>
          </w:p>
        </w:tc>
        <w:tc>
          <w:tcPr>
            <w:tcW w:w="3600" w:type="dxa"/>
            <w:vAlign w:val="center"/>
          </w:tcPr>
          <w:p>
            <w:pPr>
              <w:spacing w:line="276" w:lineRule="auto"/>
              <w:rPr>
                <w:rFonts w:hint="eastAsia" w:ascii="宋体" w:hAnsi="宋体" w:cs="宋体"/>
                <w:b/>
                <w:color w:val="auto"/>
                <w:szCs w:val="21"/>
                <w:highlight w:val="none"/>
              </w:rPr>
            </w:pPr>
            <w:r>
              <w:rPr>
                <w:rFonts w:hint="eastAsia" w:ascii="宋体" w:hAnsi="宋体" w:cs="宋体"/>
                <w:b/>
                <w:color w:val="auto"/>
                <w:szCs w:val="21"/>
                <w:highlight w:val="none"/>
              </w:rPr>
              <w:t>新增</w:t>
            </w:r>
          </w:p>
        </w:tc>
        <w:tc>
          <w:tcPr>
            <w:tcW w:w="3708" w:type="dxa"/>
            <w:vAlign w:val="center"/>
          </w:tcPr>
          <w:p>
            <w:pPr>
              <w:spacing w:line="276" w:lineRule="auto"/>
              <w:jc w:val="left"/>
              <w:rPr>
                <w:rFonts w:hint="eastAsia" w:ascii="宋体" w:hAnsi="宋体"/>
                <w:color w:val="auto"/>
                <w:highlight w:val="none"/>
              </w:rPr>
            </w:pPr>
            <w:r>
              <w:rPr>
                <w:rFonts w:hint="eastAsia" w:ascii="宋体" w:hAnsi="宋体"/>
                <w:color w:val="auto"/>
                <w:highlight w:val="none"/>
              </w:rPr>
              <w:t>5.3.5  中标人应根据有关规定，向广州公共资源交易中心交纳交易服务费。服务费不在投标报价中单列。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olor w:val="auto"/>
                <w:highlight w:val="none"/>
              </w:rPr>
            </w:pPr>
            <w:r>
              <w:rPr>
                <w:rFonts w:hint="eastAsia" w:ascii="宋体" w:hAnsi="宋体"/>
                <w:color w:val="auto"/>
                <w:highlight w:val="none"/>
              </w:rPr>
              <w:t>6.1.6</w:t>
            </w:r>
          </w:p>
        </w:tc>
        <w:tc>
          <w:tcPr>
            <w:tcW w:w="3600" w:type="dxa"/>
            <w:vAlign w:val="center"/>
          </w:tcPr>
          <w:p>
            <w:pPr>
              <w:spacing w:line="276" w:lineRule="auto"/>
              <w:rPr>
                <w:rFonts w:ascii="宋体" w:hAnsi="宋体" w:cs="宋体"/>
                <w:b/>
                <w:color w:val="auto"/>
                <w:szCs w:val="21"/>
                <w:highlight w:val="none"/>
              </w:rPr>
            </w:pPr>
            <w:r>
              <w:rPr>
                <w:rFonts w:hint="eastAsia" w:ascii="宋体" w:hAnsi="宋体" w:cs="宋体"/>
                <w:b/>
                <w:color w:val="auto"/>
                <w:szCs w:val="21"/>
                <w:highlight w:val="none"/>
              </w:rPr>
              <w:t>新增</w:t>
            </w:r>
          </w:p>
        </w:tc>
        <w:tc>
          <w:tcPr>
            <w:tcW w:w="3708" w:type="dxa"/>
            <w:vAlign w:val="center"/>
          </w:tcPr>
          <w:p>
            <w:pPr>
              <w:spacing w:line="276" w:lineRule="auto"/>
              <w:jc w:val="left"/>
              <w:rPr>
                <w:rFonts w:ascii="宋体" w:hAnsi="宋体"/>
                <w:color w:val="auto"/>
                <w:highlight w:val="none"/>
              </w:rPr>
            </w:pPr>
            <w:r>
              <w:rPr>
                <w:rFonts w:hint="eastAsia" w:ascii="宋体" w:hAnsi="宋体"/>
                <w:color w:val="auto"/>
                <w:highlight w:val="none"/>
              </w:rPr>
              <w:t>6.1.6</w:t>
            </w:r>
            <w:r>
              <w:rPr>
                <w:rFonts w:hint="eastAsia" w:ascii="宋体" w:hAnsi="宋体"/>
                <w:color w:val="auto"/>
                <w:highlight w:val="none"/>
                <w:u w:val="single"/>
              </w:rPr>
              <w:t xml:space="preserve"> 中标通知书发出之日起30日内，中标人应按照招标文件和中标人的投标文件积极配合招标人完成合同签订工作。中标通知书发出之日起30日后，中标人无正当理由不与招标人订立合同的，招标人有权解除中标通知书，并根据</w:t>
            </w:r>
            <w:r>
              <w:rPr>
                <w:rFonts w:hint="eastAsia" w:ascii="宋体" w:hAnsi="宋体" w:cs="宋体"/>
                <w:color w:val="auto"/>
                <w:kern w:val="0"/>
                <w:szCs w:val="21"/>
                <w:highlight w:val="none"/>
                <w:u w:val="single"/>
              </w:rPr>
              <w:t>定标委员会确定的定标综合排序依序</w:t>
            </w:r>
            <w:r>
              <w:rPr>
                <w:rFonts w:hint="eastAsia" w:ascii="宋体" w:hAnsi="宋体"/>
                <w:color w:val="auto"/>
                <w:highlight w:val="none"/>
                <w:u w:val="single"/>
              </w:rPr>
              <w:t>确定中标人或重新招标。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spacing w:line="360" w:lineRule="auto"/>
              <w:jc w:val="center"/>
              <w:rPr>
                <w:rFonts w:ascii="宋体" w:hAnsi="宋体" w:cs="宋体"/>
                <w:color w:val="auto"/>
                <w:szCs w:val="21"/>
                <w:highlight w:val="none"/>
              </w:rPr>
            </w:pPr>
            <w:r>
              <w:rPr>
                <w:rFonts w:hint="eastAsia" w:ascii="宋体" w:hAnsi="宋体"/>
                <w:color w:val="auto"/>
                <w:szCs w:val="21"/>
                <w:highlight w:val="none"/>
              </w:rPr>
              <w:t>7.2.1</w:t>
            </w:r>
          </w:p>
        </w:tc>
        <w:tc>
          <w:tcPr>
            <w:tcW w:w="3600" w:type="dxa"/>
            <w:vAlign w:val="center"/>
          </w:tcPr>
          <w:p>
            <w:pPr>
              <w:rPr>
                <w:rFonts w:ascii="宋体" w:hAnsi="宋体" w:cs="宋体"/>
                <w:color w:val="auto"/>
                <w:szCs w:val="21"/>
                <w:highlight w:val="none"/>
              </w:rPr>
            </w:pPr>
            <w:r>
              <w:rPr>
                <w:rFonts w:hint="eastAsia" w:ascii="宋体" w:hAnsi="宋体" w:cs="宋体"/>
                <w:color w:val="auto"/>
                <w:szCs w:val="21"/>
                <w:highlight w:val="none"/>
              </w:rPr>
              <w:t>7.2.1  授予合同并支付定金后，中标方案的发表权、展览权、使用权归招标人和中标人共有。</w:t>
            </w:r>
          </w:p>
        </w:tc>
        <w:tc>
          <w:tcPr>
            <w:tcW w:w="3708" w:type="dxa"/>
            <w:vAlign w:val="center"/>
          </w:tcPr>
          <w:p>
            <w:pPr>
              <w:rPr>
                <w:rFonts w:ascii="宋体" w:hAnsi="宋体" w:cs="宋体"/>
                <w:color w:val="auto"/>
                <w:szCs w:val="21"/>
                <w:highlight w:val="none"/>
              </w:rPr>
            </w:pPr>
            <w:r>
              <w:rPr>
                <w:rFonts w:hint="eastAsia" w:ascii="宋体" w:hAnsi="宋体" w:cs="宋体"/>
                <w:b/>
                <w:bCs/>
                <w:color w:val="auto"/>
                <w:szCs w:val="21"/>
                <w:highlight w:val="none"/>
              </w:rPr>
              <w:t>修改：</w:t>
            </w:r>
            <w:r>
              <w:rPr>
                <w:rFonts w:hint="eastAsia" w:ascii="宋体" w:hAnsi="宋体" w:cs="宋体"/>
                <w:color w:val="auto"/>
                <w:szCs w:val="21"/>
                <w:highlight w:val="none"/>
              </w:rPr>
              <w:t>7.2.1  授予合同并支付</w:t>
            </w:r>
            <w:r>
              <w:rPr>
                <w:rFonts w:hint="eastAsia" w:ascii="宋体" w:hAnsi="宋体" w:cs="宋体"/>
                <w:color w:val="auto"/>
                <w:szCs w:val="21"/>
                <w:highlight w:val="none"/>
                <w:u w:val="single"/>
              </w:rPr>
              <w:t>预付款</w:t>
            </w:r>
            <w:r>
              <w:rPr>
                <w:rFonts w:hint="eastAsia" w:ascii="宋体" w:hAnsi="宋体" w:cs="宋体"/>
                <w:color w:val="auto"/>
                <w:szCs w:val="21"/>
                <w:highlight w:val="none"/>
              </w:rPr>
              <w:t>后，中标方案的发表权、展览权、使用权归招标人和中标人共有。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spacing w:line="360" w:lineRule="auto"/>
              <w:ind w:left="2"/>
              <w:jc w:val="center"/>
              <w:rPr>
                <w:rFonts w:ascii="宋体" w:hAnsi="宋体"/>
                <w:color w:val="auto"/>
                <w:szCs w:val="21"/>
                <w:highlight w:val="none"/>
              </w:rPr>
            </w:pPr>
            <w:r>
              <w:rPr>
                <w:rFonts w:hint="eastAsia" w:ascii="宋体" w:hAnsi="宋体" w:cs="宋体"/>
                <w:color w:val="auto"/>
                <w:szCs w:val="21"/>
                <w:highlight w:val="none"/>
              </w:rPr>
              <w:t>第八章</w:t>
            </w:r>
          </w:p>
        </w:tc>
        <w:tc>
          <w:tcPr>
            <w:tcW w:w="3600" w:type="dxa"/>
            <w:vAlign w:val="center"/>
          </w:tcPr>
          <w:p>
            <w:pPr>
              <w:spacing w:line="360" w:lineRule="auto"/>
              <w:ind w:left="2"/>
              <w:jc w:val="center"/>
              <w:rPr>
                <w:rFonts w:ascii="宋体" w:hAnsi="宋体"/>
                <w:color w:val="auto"/>
                <w:szCs w:val="21"/>
                <w:highlight w:val="none"/>
              </w:rPr>
            </w:pPr>
            <w:r>
              <w:rPr>
                <w:rFonts w:hint="eastAsia" w:ascii="宋体" w:hAnsi="宋体" w:cs="宋体"/>
                <w:color w:val="auto"/>
                <w:szCs w:val="21"/>
                <w:highlight w:val="none"/>
              </w:rPr>
              <w:t>合同条款</w:t>
            </w:r>
          </w:p>
        </w:tc>
        <w:tc>
          <w:tcPr>
            <w:tcW w:w="3708" w:type="dxa"/>
            <w:vAlign w:val="center"/>
          </w:tcPr>
          <w:p>
            <w:pPr>
              <w:spacing w:line="360" w:lineRule="auto"/>
              <w:ind w:left="2"/>
              <w:rPr>
                <w:rFonts w:ascii="宋体" w:hAnsi="宋体"/>
                <w:b/>
                <w:color w:val="auto"/>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合同条款（另册）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bCs/>
                <w:color w:val="auto"/>
                <w:szCs w:val="21"/>
                <w:highlight w:val="none"/>
              </w:rPr>
              <w:t>附录1</w:t>
            </w:r>
          </w:p>
        </w:tc>
        <w:tc>
          <w:tcPr>
            <w:tcW w:w="36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投标申请表（投入人员承诺）</w:t>
            </w:r>
          </w:p>
        </w:tc>
        <w:tc>
          <w:tcPr>
            <w:tcW w:w="3708" w:type="dxa"/>
            <w:vAlign w:val="center"/>
          </w:tcPr>
          <w:p>
            <w:pPr>
              <w:jc w:val="left"/>
              <w:rPr>
                <w:rFonts w:ascii="宋体" w:hAnsi="宋体" w:cs="宋体"/>
                <w:color w:val="auto"/>
                <w:szCs w:val="21"/>
                <w:highlight w:val="none"/>
              </w:rPr>
            </w:pPr>
            <w:r>
              <w:rPr>
                <w:rFonts w:hint="eastAsia" w:ascii="宋体" w:hAnsi="宋体"/>
                <w:b/>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bCs/>
                <w:color w:val="auto"/>
                <w:szCs w:val="21"/>
                <w:highlight w:val="none"/>
              </w:rPr>
              <w:t>附录</w:t>
            </w:r>
            <w:r>
              <w:rPr>
                <w:rFonts w:hint="eastAsia" w:ascii="宋体" w:hAnsi="宋体" w:cs="宋体"/>
                <w:color w:val="auto"/>
                <w:szCs w:val="21"/>
                <w:highlight w:val="none"/>
              </w:rPr>
              <w:t>2</w:t>
            </w:r>
          </w:p>
        </w:tc>
        <w:tc>
          <w:tcPr>
            <w:tcW w:w="36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设计投标文件编制要求（见范本）</w:t>
            </w:r>
          </w:p>
        </w:tc>
        <w:tc>
          <w:tcPr>
            <w:tcW w:w="3708" w:type="dxa"/>
            <w:vAlign w:val="center"/>
          </w:tcPr>
          <w:p>
            <w:pPr>
              <w:jc w:val="left"/>
              <w:rPr>
                <w:rFonts w:ascii="宋体" w:hAnsi="宋体" w:cs="宋体"/>
                <w:color w:val="auto"/>
                <w:szCs w:val="21"/>
                <w:highlight w:val="none"/>
              </w:rPr>
            </w:pPr>
            <w:r>
              <w:rPr>
                <w:rFonts w:hint="eastAsia" w:ascii="宋体" w:hAnsi="宋体"/>
                <w:b/>
                <w:color w:val="auto"/>
                <w:szCs w:val="21"/>
                <w:highlight w:val="none"/>
              </w:rPr>
              <w:t>修改：</w:t>
            </w:r>
            <w:r>
              <w:rPr>
                <w:rFonts w:hint="eastAsia" w:ascii="宋体" w:hAnsi="宋体"/>
                <w:color w:val="auto"/>
                <w:szCs w:val="21"/>
                <w:highlight w:val="none"/>
              </w:rPr>
              <w:t>设计投标文件编制要求</w:t>
            </w:r>
            <w:r>
              <w:rPr>
                <w:rFonts w:hint="eastAsia" w:ascii="宋体" w:hAnsi="宋体" w:cs="宋体"/>
                <w:color w:val="auto"/>
                <w:szCs w:val="21"/>
                <w:highlight w:val="none"/>
                <w:u w:val="single"/>
              </w:rPr>
              <w:t>（详见附件2）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bCs/>
                <w:color w:val="auto"/>
                <w:szCs w:val="21"/>
                <w:highlight w:val="none"/>
              </w:rPr>
              <w:t>附录</w:t>
            </w:r>
            <w:r>
              <w:rPr>
                <w:rFonts w:hint="eastAsia" w:ascii="宋体" w:hAnsi="宋体" w:cs="宋体"/>
                <w:color w:val="auto"/>
                <w:szCs w:val="21"/>
                <w:highlight w:val="none"/>
              </w:rPr>
              <w:t>3</w:t>
            </w:r>
          </w:p>
        </w:tc>
        <w:tc>
          <w:tcPr>
            <w:tcW w:w="3600" w:type="dxa"/>
            <w:vAlign w:val="center"/>
          </w:tcPr>
          <w:p>
            <w:pPr>
              <w:jc w:val="center"/>
              <w:rPr>
                <w:rFonts w:ascii="宋体" w:hAnsi="宋体" w:cs="宋体"/>
                <w:color w:val="auto"/>
                <w:szCs w:val="21"/>
                <w:highlight w:val="none"/>
              </w:rPr>
            </w:pPr>
            <w:r>
              <w:rPr>
                <w:rFonts w:hint="eastAsia" w:ascii="宋体" w:hAnsi="宋体"/>
                <w:sz w:val="21"/>
                <w:szCs w:val="21"/>
              </w:rPr>
              <w:t>勘察设计费报价表</w:t>
            </w:r>
          </w:p>
        </w:tc>
        <w:tc>
          <w:tcPr>
            <w:tcW w:w="3708" w:type="dxa"/>
            <w:vAlign w:val="center"/>
          </w:tcPr>
          <w:p>
            <w:pPr>
              <w:rPr>
                <w:rFonts w:ascii="宋体" w:hAnsi="宋体" w:cs="宋体"/>
                <w:color w:val="auto"/>
                <w:szCs w:val="21"/>
                <w:highlight w:val="none"/>
              </w:rPr>
            </w:pPr>
            <w:r>
              <w:rPr>
                <w:rFonts w:hint="eastAsia" w:ascii="宋体" w:hAnsi="宋体" w:cs="Times New Roman"/>
                <w:b/>
                <w:bCs/>
                <w:color w:val="auto"/>
                <w:szCs w:val="21"/>
                <w:highlight w:val="none"/>
                <w:lang w:val="en-US" w:eastAsia="zh-CN"/>
              </w:rPr>
              <w:t>附录3：</w:t>
            </w:r>
            <w:r>
              <w:rPr>
                <w:rFonts w:hint="eastAsia" w:ascii="宋体" w:hAnsi="宋体" w:cs="Times New Roman"/>
                <w:b/>
                <w:bCs/>
                <w:color w:val="auto"/>
                <w:szCs w:val="21"/>
                <w:highlight w:val="none"/>
              </w:rPr>
              <w:t>工程设计费报价汇总表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附录4</w:t>
            </w:r>
          </w:p>
        </w:tc>
        <w:tc>
          <w:tcPr>
            <w:tcW w:w="36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建筑工程设计方案测试记录表</w:t>
            </w:r>
          </w:p>
        </w:tc>
        <w:tc>
          <w:tcPr>
            <w:tcW w:w="3708" w:type="dxa"/>
            <w:vAlign w:val="center"/>
          </w:tcPr>
          <w:p>
            <w:pPr>
              <w:jc w:val="center"/>
              <w:rPr>
                <w:rFonts w:ascii="宋体" w:hAnsi="宋体"/>
                <w:b/>
                <w:bCs/>
                <w:color w:val="auto"/>
                <w:szCs w:val="21"/>
                <w:highlight w:val="none"/>
              </w:rPr>
            </w:pPr>
            <w:r>
              <w:rPr>
                <w:rFonts w:hint="eastAsia" w:ascii="宋体" w:hAnsi="宋体"/>
                <w:b/>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附件5</w:t>
            </w:r>
          </w:p>
        </w:tc>
        <w:tc>
          <w:tcPr>
            <w:tcW w:w="36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勘察投标文件编制要求（见范本）</w:t>
            </w:r>
          </w:p>
        </w:tc>
        <w:tc>
          <w:tcPr>
            <w:tcW w:w="3708" w:type="dxa"/>
            <w:vAlign w:val="center"/>
          </w:tcPr>
          <w:p>
            <w:pPr>
              <w:jc w:val="center"/>
              <w:rPr>
                <w:rFonts w:ascii="宋体" w:hAnsi="宋体" w:cs="宋体"/>
                <w:color w:val="auto"/>
                <w:szCs w:val="21"/>
                <w:highlight w:val="none"/>
              </w:rPr>
            </w:pPr>
            <w:r>
              <w:rPr>
                <w:rFonts w:hint="eastAsia" w:ascii="宋体" w:hAnsi="宋体"/>
                <w:b/>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附录6</w:t>
            </w:r>
          </w:p>
        </w:tc>
        <w:tc>
          <w:tcPr>
            <w:tcW w:w="36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投标书（见范本）</w:t>
            </w:r>
          </w:p>
        </w:tc>
        <w:tc>
          <w:tcPr>
            <w:tcW w:w="3708" w:type="dxa"/>
            <w:vAlign w:val="center"/>
          </w:tcPr>
          <w:p>
            <w:pPr>
              <w:rPr>
                <w:rFonts w:ascii="宋体" w:hAnsi="宋体" w:cs="宋体"/>
                <w:color w:val="auto"/>
                <w:szCs w:val="21"/>
                <w:highlight w:val="none"/>
              </w:rPr>
            </w:pPr>
            <w:r>
              <w:rPr>
                <w:rFonts w:hint="eastAsia" w:ascii="宋体" w:hAnsi="宋体"/>
                <w:b/>
                <w:bCs/>
                <w:color w:val="auto"/>
                <w:szCs w:val="21"/>
                <w:highlight w:val="none"/>
              </w:rPr>
              <w:t>修改：</w:t>
            </w:r>
            <w:r>
              <w:rPr>
                <w:rFonts w:hint="eastAsia" w:ascii="宋体" w:hAnsi="宋体"/>
                <w:color w:val="auto"/>
                <w:szCs w:val="21"/>
                <w:highlight w:val="none"/>
              </w:rPr>
              <w:t>附录6 投标书</w:t>
            </w:r>
            <w:r>
              <w:rPr>
                <w:rFonts w:hint="eastAsia" w:ascii="宋体" w:hAnsi="宋体"/>
                <w:color w:val="auto"/>
                <w:szCs w:val="21"/>
                <w:highlight w:val="none"/>
                <w:u w:val="single"/>
              </w:rPr>
              <w:t>（详见附录6）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附录</w:t>
            </w:r>
            <w:r>
              <w:rPr>
                <w:rFonts w:ascii="宋体" w:hAnsi="宋体" w:cs="宋体"/>
                <w:color w:val="auto"/>
                <w:szCs w:val="21"/>
                <w:highlight w:val="none"/>
              </w:rPr>
              <w:t>7</w:t>
            </w:r>
          </w:p>
        </w:tc>
        <w:tc>
          <w:tcPr>
            <w:tcW w:w="3600" w:type="dxa"/>
            <w:vAlign w:val="center"/>
          </w:tcPr>
          <w:p>
            <w:pPr>
              <w:jc w:val="center"/>
              <w:rPr>
                <w:rFonts w:ascii="宋体" w:hAnsi="宋体" w:cs="宋体"/>
                <w:color w:val="auto"/>
                <w:szCs w:val="21"/>
                <w:highlight w:val="none"/>
              </w:rPr>
            </w:pPr>
            <w:r>
              <w:rPr>
                <w:rFonts w:hint="eastAsia" w:ascii="宋体" w:hAnsi="宋体"/>
                <w:color w:val="auto"/>
                <w:szCs w:val="21"/>
                <w:highlight w:val="none"/>
              </w:rPr>
              <w:t>联合体共同投标协议（见范本）</w:t>
            </w:r>
          </w:p>
        </w:tc>
        <w:tc>
          <w:tcPr>
            <w:tcW w:w="3708" w:type="dxa"/>
            <w:vAlign w:val="center"/>
          </w:tcPr>
          <w:p>
            <w:pPr>
              <w:jc w:val="center"/>
              <w:rPr>
                <w:rFonts w:ascii="宋体" w:hAnsi="宋体" w:cs="宋体"/>
                <w:color w:val="auto"/>
                <w:szCs w:val="21"/>
                <w:highlight w:val="none"/>
              </w:rPr>
            </w:pPr>
            <w:r>
              <w:rPr>
                <w:rFonts w:hint="eastAsia" w:ascii="宋体" w:hAnsi="宋体"/>
                <w:b/>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附录8</w:t>
            </w:r>
          </w:p>
        </w:tc>
        <w:tc>
          <w:tcPr>
            <w:tcW w:w="36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投标人声明（见范本）</w:t>
            </w:r>
          </w:p>
        </w:tc>
        <w:tc>
          <w:tcPr>
            <w:tcW w:w="3708" w:type="dxa"/>
            <w:vAlign w:val="center"/>
          </w:tcPr>
          <w:p>
            <w:pPr>
              <w:jc w:val="center"/>
              <w:rPr>
                <w:rFonts w:ascii="宋体" w:hAnsi="宋体"/>
                <w:b/>
                <w:bCs/>
                <w:color w:val="auto"/>
                <w:szCs w:val="21"/>
                <w:highlight w:val="none"/>
              </w:rPr>
            </w:pPr>
            <w:r>
              <w:rPr>
                <w:rFonts w:hint="eastAsia" w:ascii="宋体" w:hAnsi="宋体"/>
                <w:b/>
                <w:bCs/>
                <w:color w:val="auto"/>
                <w:szCs w:val="21"/>
                <w:highlight w:val="none"/>
              </w:rPr>
              <w:t>修改：</w:t>
            </w:r>
            <w:r>
              <w:rPr>
                <w:rFonts w:hint="eastAsia" w:ascii="宋体" w:hAnsi="宋体"/>
                <w:color w:val="auto"/>
                <w:szCs w:val="21"/>
                <w:highlight w:val="none"/>
              </w:rPr>
              <w:t>附录8 投标人声明</w:t>
            </w:r>
            <w:r>
              <w:rPr>
                <w:rFonts w:hint="eastAsia" w:ascii="宋体" w:hAnsi="宋体"/>
                <w:color w:val="auto"/>
                <w:szCs w:val="21"/>
                <w:highlight w:val="none"/>
                <w:u w:val="single"/>
              </w:rPr>
              <w:t>（详见附录8）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附录9</w:t>
            </w:r>
          </w:p>
        </w:tc>
        <w:tc>
          <w:tcPr>
            <w:tcW w:w="36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资格审查表（见范本）</w:t>
            </w:r>
          </w:p>
        </w:tc>
        <w:tc>
          <w:tcPr>
            <w:tcW w:w="3708" w:type="dxa"/>
            <w:vAlign w:val="center"/>
          </w:tcPr>
          <w:p>
            <w:pPr>
              <w:jc w:val="center"/>
              <w:rPr>
                <w:rFonts w:ascii="宋体" w:hAnsi="宋体" w:cs="宋体"/>
                <w:color w:val="auto"/>
                <w:szCs w:val="21"/>
                <w:highlight w:val="none"/>
              </w:rPr>
            </w:pPr>
            <w:r>
              <w:rPr>
                <w:rFonts w:hint="eastAsia" w:ascii="宋体" w:hAnsi="宋体"/>
                <w:b/>
                <w:bCs/>
                <w:color w:val="auto"/>
                <w:szCs w:val="21"/>
                <w:highlight w:val="none"/>
              </w:rPr>
              <w:t>修改：</w:t>
            </w:r>
            <w:r>
              <w:rPr>
                <w:rFonts w:hint="eastAsia" w:ascii="宋体" w:hAnsi="宋体"/>
                <w:color w:val="auto"/>
                <w:szCs w:val="21"/>
                <w:highlight w:val="none"/>
              </w:rPr>
              <w:t>附录9 资格审查表</w:t>
            </w:r>
            <w:r>
              <w:rPr>
                <w:rFonts w:hint="eastAsia" w:ascii="宋体" w:hAnsi="宋体"/>
                <w:color w:val="auto"/>
                <w:szCs w:val="21"/>
                <w:highlight w:val="none"/>
                <w:u w:val="single"/>
              </w:rPr>
              <w:t>（详见附录9）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附录10</w:t>
            </w:r>
          </w:p>
        </w:tc>
        <w:tc>
          <w:tcPr>
            <w:tcW w:w="3600" w:type="dxa"/>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附录10 投票表格</w:t>
            </w:r>
          </w:p>
        </w:tc>
        <w:tc>
          <w:tcPr>
            <w:tcW w:w="3708" w:type="dxa"/>
            <w:vAlign w:val="center"/>
          </w:tcPr>
          <w:p>
            <w:pPr>
              <w:spacing w:line="276" w:lineRule="auto"/>
              <w:jc w:val="center"/>
              <w:rPr>
                <w:rFonts w:ascii="宋体" w:hAnsi="宋体" w:cs="宋体"/>
                <w:color w:val="auto"/>
                <w:szCs w:val="21"/>
                <w:highlight w:val="none"/>
              </w:rPr>
            </w:pPr>
            <w:r>
              <w:rPr>
                <w:rFonts w:hint="eastAsia" w:ascii="宋体" w:hAnsi="宋体"/>
                <w:b/>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附录11</w:t>
            </w:r>
          </w:p>
        </w:tc>
        <w:tc>
          <w:tcPr>
            <w:tcW w:w="3600" w:type="dxa"/>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附录11投标汇总表格</w:t>
            </w:r>
          </w:p>
        </w:tc>
        <w:tc>
          <w:tcPr>
            <w:tcW w:w="3708" w:type="dxa"/>
            <w:vAlign w:val="center"/>
          </w:tcPr>
          <w:p>
            <w:pPr>
              <w:spacing w:line="276" w:lineRule="auto"/>
              <w:jc w:val="center"/>
              <w:rPr>
                <w:rFonts w:ascii="宋体" w:hAnsi="宋体" w:cs="宋体"/>
                <w:color w:val="auto"/>
                <w:szCs w:val="21"/>
                <w:highlight w:val="none"/>
              </w:rPr>
            </w:pPr>
            <w:r>
              <w:rPr>
                <w:rFonts w:hint="eastAsia" w:ascii="宋体" w:hAnsi="宋体"/>
                <w:b/>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附录12</w:t>
            </w:r>
          </w:p>
        </w:tc>
        <w:tc>
          <w:tcPr>
            <w:tcW w:w="3600" w:type="dxa"/>
            <w:vAlign w:val="center"/>
          </w:tcPr>
          <w:p>
            <w:pPr>
              <w:spacing w:line="276" w:lineRule="auto"/>
              <w:jc w:val="center"/>
              <w:rPr>
                <w:rFonts w:ascii="宋体" w:hAnsi="宋体" w:cs="宋体"/>
                <w:b w:val="0"/>
                <w:bCs w:val="0"/>
                <w:color w:val="auto"/>
                <w:szCs w:val="21"/>
                <w:highlight w:val="none"/>
              </w:rPr>
            </w:pPr>
            <w:r>
              <w:rPr>
                <w:rFonts w:hint="eastAsia" w:ascii="宋体" w:hAnsi="宋体"/>
                <w:b w:val="0"/>
                <w:bCs w:val="0"/>
                <w:color w:val="auto"/>
                <w:szCs w:val="21"/>
                <w:highlight w:val="none"/>
              </w:rPr>
              <w:t>增加</w:t>
            </w:r>
          </w:p>
        </w:tc>
        <w:tc>
          <w:tcPr>
            <w:tcW w:w="3708" w:type="dxa"/>
            <w:vAlign w:val="center"/>
          </w:tcPr>
          <w:p>
            <w:pPr>
              <w:spacing w:line="276" w:lineRule="auto"/>
              <w:jc w:val="left"/>
              <w:rPr>
                <w:rFonts w:ascii="宋体" w:hAnsi="宋体" w:cs="宋体"/>
                <w:b/>
                <w:bCs/>
                <w:color w:val="auto"/>
                <w:szCs w:val="21"/>
                <w:highlight w:val="none"/>
                <w:u w:val="single"/>
              </w:rPr>
            </w:pPr>
            <w:r>
              <w:rPr>
                <w:rFonts w:hint="eastAsia" w:ascii="宋体" w:hAnsi="宋体" w:cs="宋体"/>
                <w:b/>
                <w:bCs/>
                <w:color w:val="auto"/>
                <w:szCs w:val="21"/>
                <w:highlight w:val="none"/>
                <w:u w:val="single"/>
              </w:rPr>
              <w:t>附录12有效性</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设计方案</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rPr>
              <w:t>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附录1</w:t>
            </w:r>
            <w:r>
              <w:rPr>
                <w:rFonts w:hint="eastAsia" w:ascii="宋体" w:hAnsi="宋体" w:cs="宋体"/>
                <w:b/>
                <w:bCs/>
                <w:color w:val="auto"/>
                <w:szCs w:val="21"/>
                <w:highlight w:val="none"/>
                <w:lang w:val="en-US" w:eastAsia="zh-CN"/>
              </w:rPr>
              <w:t>3</w:t>
            </w:r>
          </w:p>
        </w:tc>
        <w:tc>
          <w:tcPr>
            <w:tcW w:w="3600" w:type="dxa"/>
            <w:vAlign w:val="center"/>
          </w:tcPr>
          <w:p>
            <w:pPr>
              <w:spacing w:line="276" w:lineRule="auto"/>
              <w:jc w:val="center"/>
              <w:rPr>
                <w:rFonts w:hint="eastAsia" w:ascii="宋体" w:hAnsi="宋体" w:eastAsia="宋体"/>
                <w:b w:val="0"/>
                <w:bCs w:val="0"/>
                <w:color w:val="auto"/>
                <w:szCs w:val="21"/>
                <w:highlight w:val="none"/>
                <w:lang w:val="en-US" w:eastAsia="zh-CN"/>
              </w:rPr>
            </w:pPr>
            <w:r>
              <w:rPr>
                <w:rFonts w:hint="eastAsia" w:ascii="宋体" w:hAnsi="宋体"/>
                <w:b w:val="0"/>
                <w:bCs w:val="0"/>
                <w:color w:val="auto"/>
                <w:szCs w:val="21"/>
                <w:highlight w:val="none"/>
                <w:lang w:val="en-US" w:eastAsia="zh-CN"/>
              </w:rPr>
              <w:t>增加</w:t>
            </w:r>
          </w:p>
        </w:tc>
        <w:tc>
          <w:tcPr>
            <w:tcW w:w="3708" w:type="dxa"/>
            <w:vAlign w:val="center"/>
          </w:tcPr>
          <w:p>
            <w:pPr>
              <w:spacing w:line="276"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附录1</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有效性</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非设计方案</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rPr>
              <w:t>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pStyle w:val="40"/>
              <w:snapToGrid w:val="0"/>
              <w:spacing w:before="0" w:beforeAutospacing="0" w:after="0" w:afterAutospacing="0" w:line="360" w:lineRule="auto"/>
              <w:jc w:val="center"/>
              <w:rPr>
                <w:rFonts w:hint="eastAsia" w:ascii="宋体" w:hAnsi="宋体" w:cs="宋体"/>
                <w:b/>
                <w:bCs/>
                <w:color w:val="auto"/>
                <w:szCs w:val="21"/>
                <w:highlight w:val="none"/>
              </w:rPr>
            </w:pPr>
            <w:r>
              <w:rPr>
                <w:rFonts w:hint="eastAsia"/>
                <w:b/>
                <w:bCs/>
                <w:color w:val="auto"/>
                <w:sz w:val="21"/>
                <w:szCs w:val="21"/>
                <w:highlight w:val="none"/>
              </w:rPr>
              <w:t>附录</w:t>
            </w:r>
            <w:r>
              <w:rPr>
                <w:b/>
                <w:bCs/>
                <w:color w:val="auto"/>
                <w:sz w:val="21"/>
                <w:szCs w:val="21"/>
                <w:highlight w:val="none"/>
              </w:rPr>
              <w:t>1</w:t>
            </w:r>
            <w:r>
              <w:rPr>
                <w:rFonts w:hint="eastAsia"/>
                <w:b/>
                <w:bCs/>
                <w:color w:val="auto"/>
                <w:sz w:val="21"/>
                <w:szCs w:val="21"/>
                <w:highlight w:val="none"/>
                <w:lang w:val="en-US" w:eastAsia="zh-CN"/>
              </w:rPr>
              <w:t>4</w:t>
            </w:r>
          </w:p>
        </w:tc>
        <w:tc>
          <w:tcPr>
            <w:tcW w:w="3600" w:type="dxa"/>
            <w:vAlign w:val="center"/>
          </w:tcPr>
          <w:p>
            <w:pPr>
              <w:spacing w:line="276" w:lineRule="auto"/>
              <w:jc w:val="center"/>
              <w:rPr>
                <w:rFonts w:hint="eastAsia" w:ascii="宋体" w:hAnsi="宋体"/>
                <w:b w:val="0"/>
                <w:bCs w:val="0"/>
                <w:color w:val="auto"/>
                <w:szCs w:val="21"/>
                <w:highlight w:val="none"/>
              </w:rPr>
            </w:pPr>
            <w:r>
              <w:rPr>
                <w:rFonts w:hint="eastAsia" w:ascii="宋体" w:hAnsi="宋体"/>
                <w:color w:val="auto"/>
                <w:szCs w:val="21"/>
                <w:highlight w:val="none"/>
              </w:rPr>
              <w:t>增加</w:t>
            </w:r>
          </w:p>
        </w:tc>
        <w:tc>
          <w:tcPr>
            <w:tcW w:w="3708" w:type="dxa"/>
            <w:vAlign w:val="center"/>
          </w:tcPr>
          <w:p>
            <w:pPr>
              <w:spacing w:line="276" w:lineRule="auto"/>
              <w:jc w:val="left"/>
              <w:rPr>
                <w:rFonts w:hint="eastAsia" w:ascii="宋体" w:hAnsi="宋体" w:cs="宋体"/>
                <w:b/>
                <w:bCs/>
                <w:color w:val="auto"/>
                <w:szCs w:val="21"/>
                <w:highlight w:val="none"/>
                <w:u w:val="single"/>
              </w:rPr>
            </w:pPr>
            <w:r>
              <w:rPr>
                <w:rFonts w:hint="eastAsia" w:ascii="宋体"/>
                <w:b/>
                <w:bCs/>
                <w:color w:val="auto"/>
                <w:highlight w:val="none"/>
                <w:u w:val="single"/>
                <w:lang w:val="en-US" w:eastAsia="zh-CN"/>
              </w:rPr>
              <w:t>附录14</w:t>
            </w:r>
            <w:r>
              <w:rPr>
                <w:rFonts w:hint="eastAsia" w:ascii="宋体" w:hAnsi="宋体" w:cs="宋体"/>
                <w:b/>
                <w:bCs/>
                <w:sz w:val="21"/>
                <w:szCs w:val="21"/>
                <w:highlight w:val="none"/>
                <w:u w:val="single"/>
                <w:lang w:val="en-US" w:eastAsia="zh-CN"/>
              </w:rPr>
              <w:t>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pStyle w:val="40"/>
              <w:snapToGrid w:val="0"/>
              <w:spacing w:before="0" w:beforeAutospacing="0" w:after="0" w:afterAutospacing="0" w:line="360" w:lineRule="auto"/>
              <w:jc w:val="center"/>
              <w:rPr>
                <w:rFonts w:hint="eastAsia" w:ascii="宋体" w:hAnsi="宋体" w:eastAsia="宋体" w:cs="宋体"/>
                <w:b/>
                <w:bCs/>
                <w:color w:val="auto"/>
                <w:szCs w:val="21"/>
                <w:highlight w:val="none"/>
                <w:lang w:val="en-US" w:eastAsia="zh-CN"/>
              </w:rPr>
            </w:pPr>
            <w:r>
              <w:rPr>
                <w:rFonts w:hint="eastAsia"/>
                <w:b/>
                <w:bCs/>
                <w:color w:val="auto"/>
                <w:sz w:val="21"/>
                <w:szCs w:val="21"/>
                <w:highlight w:val="none"/>
              </w:rPr>
              <w:t>附录</w:t>
            </w:r>
            <w:r>
              <w:rPr>
                <w:b/>
                <w:bCs/>
                <w:color w:val="auto"/>
                <w:sz w:val="21"/>
                <w:szCs w:val="21"/>
                <w:highlight w:val="none"/>
              </w:rPr>
              <w:t>1</w:t>
            </w:r>
            <w:r>
              <w:rPr>
                <w:rFonts w:hint="eastAsia"/>
                <w:b/>
                <w:bCs/>
                <w:color w:val="auto"/>
                <w:sz w:val="21"/>
                <w:szCs w:val="21"/>
                <w:highlight w:val="none"/>
                <w:lang w:val="en-US" w:eastAsia="zh-CN"/>
              </w:rPr>
              <w:t>5</w:t>
            </w:r>
          </w:p>
        </w:tc>
        <w:tc>
          <w:tcPr>
            <w:tcW w:w="3600" w:type="dxa"/>
            <w:vAlign w:val="center"/>
          </w:tcPr>
          <w:p>
            <w:pPr>
              <w:spacing w:line="276" w:lineRule="auto"/>
              <w:jc w:val="center"/>
              <w:rPr>
                <w:rFonts w:hint="eastAsia" w:ascii="宋体" w:hAnsi="宋体"/>
                <w:b w:val="0"/>
                <w:bCs w:val="0"/>
                <w:color w:val="auto"/>
                <w:szCs w:val="21"/>
                <w:highlight w:val="none"/>
              </w:rPr>
            </w:pPr>
            <w:r>
              <w:rPr>
                <w:rFonts w:hint="eastAsia" w:ascii="宋体" w:hAnsi="宋体"/>
                <w:color w:val="auto"/>
                <w:szCs w:val="21"/>
                <w:highlight w:val="none"/>
              </w:rPr>
              <w:t>增加</w:t>
            </w:r>
          </w:p>
        </w:tc>
        <w:tc>
          <w:tcPr>
            <w:tcW w:w="3708" w:type="dxa"/>
            <w:vAlign w:val="center"/>
          </w:tcPr>
          <w:p>
            <w:pPr>
              <w:spacing w:line="276" w:lineRule="auto"/>
              <w:jc w:val="left"/>
              <w:rPr>
                <w:rFonts w:hint="default" w:ascii="宋体" w:hAnsi="宋体" w:cs="宋体"/>
                <w:b/>
                <w:bCs/>
                <w:color w:val="auto"/>
                <w:szCs w:val="21"/>
                <w:highlight w:val="none"/>
                <w:u w:val="single"/>
                <w:lang w:val="en-US"/>
              </w:rPr>
            </w:pPr>
            <w:r>
              <w:rPr>
                <w:rFonts w:hint="eastAsia" w:ascii="宋体" w:hAnsi="宋体"/>
                <w:b/>
                <w:bCs/>
                <w:color w:val="auto"/>
                <w:szCs w:val="21"/>
                <w:highlight w:val="none"/>
                <w:u w:val="single"/>
              </w:rPr>
              <w:t>附录1</w:t>
            </w:r>
            <w:r>
              <w:rPr>
                <w:rFonts w:hint="eastAsia" w:ascii="宋体" w:hAnsi="宋体"/>
                <w:b/>
                <w:bCs/>
                <w:color w:val="auto"/>
                <w:szCs w:val="21"/>
                <w:highlight w:val="none"/>
                <w:u w:val="single"/>
                <w:lang w:val="en-US" w:eastAsia="zh-CN"/>
              </w:rPr>
              <w:t>5类似业绩一览表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pStyle w:val="40"/>
              <w:snapToGrid w:val="0"/>
              <w:spacing w:before="0" w:beforeAutospacing="0" w:after="0" w:afterAutospacing="0" w:line="360" w:lineRule="auto"/>
              <w:jc w:val="center"/>
              <w:rPr>
                <w:rFonts w:hint="eastAsia"/>
                <w:b/>
                <w:bCs/>
                <w:color w:val="auto"/>
                <w:sz w:val="21"/>
                <w:szCs w:val="21"/>
                <w:highlight w:val="none"/>
              </w:rPr>
            </w:pPr>
            <w:r>
              <w:rPr>
                <w:rFonts w:hint="eastAsia"/>
                <w:b/>
                <w:bCs/>
                <w:color w:val="auto"/>
                <w:sz w:val="21"/>
                <w:szCs w:val="21"/>
                <w:highlight w:val="none"/>
              </w:rPr>
              <w:t>附录</w:t>
            </w:r>
            <w:r>
              <w:rPr>
                <w:b/>
                <w:bCs/>
                <w:color w:val="auto"/>
                <w:sz w:val="21"/>
                <w:szCs w:val="21"/>
                <w:highlight w:val="none"/>
              </w:rPr>
              <w:t>1</w:t>
            </w:r>
            <w:r>
              <w:rPr>
                <w:rFonts w:hint="eastAsia"/>
                <w:b/>
                <w:bCs/>
                <w:color w:val="auto"/>
                <w:sz w:val="21"/>
                <w:szCs w:val="21"/>
                <w:highlight w:val="none"/>
                <w:lang w:val="en-US" w:eastAsia="zh-CN"/>
              </w:rPr>
              <w:t>6</w:t>
            </w:r>
          </w:p>
        </w:tc>
        <w:tc>
          <w:tcPr>
            <w:tcW w:w="3600"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增加</w:t>
            </w:r>
          </w:p>
        </w:tc>
        <w:tc>
          <w:tcPr>
            <w:tcW w:w="3708" w:type="dxa"/>
            <w:vAlign w:val="center"/>
          </w:tcPr>
          <w:p>
            <w:pPr>
              <w:spacing w:line="276" w:lineRule="auto"/>
              <w:jc w:val="left"/>
              <w:rPr>
                <w:rFonts w:hint="eastAsia" w:ascii="宋体" w:hAnsi="宋体"/>
                <w:b/>
                <w:bCs/>
                <w:color w:val="auto"/>
                <w:szCs w:val="21"/>
                <w:highlight w:val="none"/>
                <w:u w:val="single"/>
              </w:rPr>
            </w:pPr>
            <w:r>
              <w:rPr>
                <w:rFonts w:hint="eastAsia"/>
                <w:b/>
                <w:bCs/>
                <w:color w:val="auto"/>
                <w:sz w:val="21"/>
                <w:szCs w:val="21"/>
                <w:highlight w:val="none"/>
                <w:u w:val="single"/>
              </w:rPr>
              <w:t>附录</w:t>
            </w:r>
            <w:r>
              <w:rPr>
                <w:b/>
                <w:bCs/>
                <w:color w:val="auto"/>
                <w:sz w:val="21"/>
                <w:szCs w:val="21"/>
                <w:highlight w:val="none"/>
                <w:u w:val="single"/>
              </w:rPr>
              <w:t>1</w:t>
            </w:r>
            <w:r>
              <w:rPr>
                <w:rFonts w:hint="eastAsia"/>
                <w:b/>
                <w:bCs/>
                <w:color w:val="auto"/>
                <w:sz w:val="21"/>
                <w:szCs w:val="21"/>
                <w:highlight w:val="none"/>
                <w:u w:val="single"/>
                <w:lang w:val="en-US" w:eastAsia="zh-CN"/>
              </w:rPr>
              <w:t>6</w:t>
            </w:r>
            <w:r>
              <w:rPr>
                <w:rFonts w:hint="eastAsia" w:ascii="宋体" w:hAnsi="宋体"/>
                <w:b/>
                <w:bCs/>
                <w:color w:val="auto"/>
                <w:szCs w:val="21"/>
                <w:highlight w:val="none"/>
                <w:u w:val="single"/>
              </w:rPr>
              <w:t>拟投入的人员基本情况</w:t>
            </w:r>
            <w:r>
              <w:rPr>
                <w:rFonts w:hint="eastAsia" w:ascii="宋体" w:hAnsi="宋体"/>
                <w:b/>
                <w:bCs/>
                <w:color w:val="auto"/>
                <w:szCs w:val="21"/>
                <w:highlight w:val="none"/>
                <w:u w:val="single"/>
                <w:lang w:val="en-US" w:eastAsia="zh-CN"/>
              </w:rPr>
              <w:t>汇总</w:t>
            </w:r>
            <w:r>
              <w:rPr>
                <w:rFonts w:hint="eastAsia" w:ascii="宋体" w:hAnsi="宋体"/>
                <w:b/>
                <w:bCs/>
                <w:color w:val="auto"/>
                <w:szCs w:val="21"/>
                <w:highlight w:val="none"/>
                <w:u w:val="single"/>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附录1</w:t>
            </w:r>
            <w:r>
              <w:rPr>
                <w:rFonts w:hint="eastAsia" w:ascii="宋体" w:hAnsi="宋体" w:cs="宋体"/>
                <w:color w:val="auto"/>
                <w:szCs w:val="21"/>
                <w:highlight w:val="none"/>
                <w:lang w:val="en-US" w:eastAsia="zh-CN"/>
              </w:rPr>
              <w:t>7</w:t>
            </w:r>
          </w:p>
        </w:tc>
        <w:tc>
          <w:tcPr>
            <w:tcW w:w="3600" w:type="dxa"/>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定标委员会的组成</w:t>
            </w:r>
          </w:p>
        </w:tc>
        <w:tc>
          <w:tcPr>
            <w:tcW w:w="3708" w:type="dxa"/>
            <w:vAlign w:val="center"/>
          </w:tcPr>
          <w:p>
            <w:pPr>
              <w:spacing w:line="276" w:lineRule="auto"/>
              <w:jc w:val="center"/>
              <w:rPr>
                <w:rFonts w:ascii="宋体" w:hAnsi="宋体" w:cs="宋体"/>
                <w:color w:val="auto"/>
                <w:szCs w:val="21"/>
                <w:highlight w:val="none"/>
              </w:rPr>
            </w:pPr>
            <w:r>
              <w:rPr>
                <w:rFonts w:hint="eastAsia" w:ascii="宋体" w:hAnsi="宋体"/>
                <w:b/>
                <w:bCs/>
                <w:color w:val="auto"/>
                <w:szCs w:val="21"/>
                <w:highlight w:val="none"/>
              </w:rPr>
              <w:t>修改：</w:t>
            </w:r>
            <w:r>
              <w:rPr>
                <w:rFonts w:hint="eastAsia" w:ascii="宋体" w:hAnsi="宋体" w:cs="宋体"/>
                <w:color w:val="auto"/>
                <w:szCs w:val="21"/>
                <w:highlight w:val="none"/>
              </w:rPr>
              <w:t>附录1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定标委员会的组成</w:t>
            </w:r>
          </w:p>
          <w:p>
            <w:pPr>
              <w:spacing w:line="276" w:lineRule="auto"/>
              <w:jc w:val="left"/>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u w:val="single"/>
              </w:rPr>
              <w:t>详见附录1</w:t>
            </w:r>
            <w:r>
              <w:rPr>
                <w:rFonts w:hint="eastAsia" w:ascii="宋体" w:hAnsi="宋体"/>
                <w:color w:val="auto"/>
                <w:szCs w:val="21"/>
                <w:highlight w:val="none"/>
                <w:u w:val="single"/>
                <w:lang w:val="en-US" w:eastAsia="zh-CN"/>
              </w:rPr>
              <w:t>7</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附录1</w:t>
            </w:r>
            <w:r>
              <w:rPr>
                <w:rFonts w:hint="eastAsia" w:ascii="宋体" w:hAnsi="宋体" w:cs="宋体"/>
                <w:color w:val="auto"/>
                <w:szCs w:val="21"/>
                <w:highlight w:val="none"/>
                <w:lang w:val="en-US" w:eastAsia="zh-CN"/>
              </w:rPr>
              <w:t>8</w:t>
            </w:r>
          </w:p>
        </w:tc>
        <w:tc>
          <w:tcPr>
            <w:tcW w:w="3600" w:type="dxa"/>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定标原则</w:t>
            </w:r>
          </w:p>
        </w:tc>
        <w:tc>
          <w:tcPr>
            <w:tcW w:w="3708" w:type="dxa"/>
            <w:vAlign w:val="center"/>
          </w:tcPr>
          <w:p>
            <w:pPr>
              <w:spacing w:line="276" w:lineRule="auto"/>
              <w:jc w:val="both"/>
              <w:rPr>
                <w:rFonts w:hint="eastAsia" w:ascii="宋体" w:hAnsi="宋体" w:cs="宋体"/>
                <w:color w:val="auto"/>
                <w:szCs w:val="21"/>
                <w:highlight w:val="none"/>
              </w:rPr>
            </w:pPr>
            <w:r>
              <w:rPr>
                <w:rFonts w:hint="eastAsia" w:ascii="宋体" w:hAnsi="宋体" w:cs="宋体"/>
                <w:b/>
                <w:bCs/>
                <w:color w:val="auto"/>
                <w:szCs w:val="21"/>
                <w:highlight w:val="none"/>
              </w:rPr>
              <w:t>修改</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附录1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定标原则</w:t>
            </w:r>
          </w:p>
          <w:p>
            <w:pPr>
              <w:spacing w:line="276" w:lineRule="auto"/>
              <w:jc w:val="left"/>
              <w:rPr>
                <w:rFonts w:ascii="宋体" w:hAnsi="宋体" w:cs="宋体"/>
                <w:color w:val="auto"/>
                <w:szCs w:val="21"/>
                <w:highlight w:val="none"/>
              </w:rPr>
            </w:pPr>
            <w:r>
              <w:rPr>
                <w:rFonts w:hint="eastAsia" w:ascii="宋体" w:hAnsi="宋体" w:cs="宋体"/>
                <w:color w:val="auto"/>
                <w:szCs w:val="21"/>
                <w:highlight w:val="none"/>
              </w:rPr>
              <w:t>（见</w:t>
            </w:r>
            <w:r>
              <w:rPr>
                <w:rFonts w:hint="eastAsia" w:ascii="宋体" w:hAnsi="宋体"/>
                <w:color w:val="auto"/>
                <w:szCs w:val="21"/>
                <w:highlight w:val="none"/>
                <w:u w:val="single"/>
              </w:rPr>
              <w:t>详见附录1</w:t>
            </w:r>
            <w:r>
              <w:rPr>
                <w:rFonts w:hint="eastAsia" w:ascii="宋体" w:hAnsi="宋体"/>
                <w:color w:val="auto"/>
                <w:szCs w:val="21"/>
                <w:highlight w:val="none"/>
                <w:u w:val="single"/>
                <w:lang w:val="en-US" w:eastAsia="zh-CN"/>
              </w:rPr>
              <w:t>8</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numPr>
                <w:ilvl w:val="0"/>
                <w:numId w:val="2"/>
              </w:numPr>
              <w:ind w:left="425" w:leftChars="0" w:hanging="425" w:firstLineChars="0"/>
              <w:jc w:val="center"/>
              <w:rPr>
                <w:rFonts w:ascii="宋体" w:hAnsi="宋体" w:cs="宋体"/>
                <w:color w:val="auto"/>
                <w:szCs w:val="21"/>
                <w:highlight w:val="none"/>
              </w:rPr>
            </w:pPr>
          </w:p>
        </w:tc>
        <w:tc>
          <w:tcPr>
            <w:tcW w:w="1260" w:type="dxa"/>
            <w:vAlign w:val="center"/>
          </w:tcPr>
          <w:p>
            <w:pPr>
              <w:pStyle w:val="40"/>
              <w:snapToGrid w:val="0"/>
              <w:spacing w:before="0" w:beforeAutospacing="0" w:after="0" w:afterAutospacing="0" w:line="360" w:lineRule="auto"/>
              <w:jc w:val="center"/>
              <w:rPr>
                <w:rFonts w:hint="default" w:eastAsia="宋体"/>
                <w:color w:val="auto"/>
                <w:sz w:val="21"/>
                <w:szCs w:val="21"/>
                <w:highlight w:val="none"/>
                <w:lang w:val="en-US" w:eastAsia="zh-CN"/>
              </w:rPr>
            </w:pPr>
            <w:r>
              <w:rPr>
                <w:rFonts w:hint="eastAsia"/>
                <w:b/>
                <w:bCs/>
                <w:color w:val="auto"/>
                <w:sz w:val="21"/>
                <w:szCs w:val="21"/>
                <w:highlight w:val="none"/>
              </w:rPr>
              <w:t>附录</w:t>
            </w:r>
            <w:r>
              <w:rPr>
                <w:rFonts w:hint="eastAsia"/>
                <w:b/>
                <w:bCs/>
                <w:color w:val="auto"/>
                <w:sz w:val="21"/>
                <w:szCs w:val="21"/>
                <w:highlight w:val="none"/>
                <w:lang w:val="en-US" w:eastAsia="zh-CN"/>
              </w:rPr>
              <w:t>19</w:t>
            </w:r>
          </w:p>
        </w:tc>
        <w:tc>
          <w:tcPr>
            <w:tcW w:w="3600"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增加</w:t>
            </w:r>
          </w:p>
        </w:tc>
        <w:tc>
          <w:tcPr>
            <w:tcW w:w="3708" w:type="dxa"/>
            <w:vAlign w:val="center"/>
          </w:tcPr>
          <w:p>
            <w:pPr>
              <w:spacing w:line="276" w:lineRule="auto"/>
              <w:jc w:val="left"/>
              <w:rPr>
                <w:rFonts w:ascii="宋体" w:hAnsi="宋体"/>
                <w:b/>
                <w:bCs/>
                <w:color w:val="auto"/>
                <w:szCs w:val="21"/>
                <w:highlight w:val="none"/>
              </w:rPr>
            </w:pPr>
            <w:r>
              <w:rPr>
                <w:rFonts w:hint="eastAsia" w:ascii="宋体" w:hAnsi="宋体"/>
                <w:b/>
                <w:bCs/>
                <w:color w:val="auto"/>
                <w:szCs w:val="21"/>
                <w:highlight w:val="none"/>
                <w:u w:val="single"/>
              </w:rPr>
              <w:t>附录</w:t>
            </w:r>
            <w:r>
              <w:rPr>
                <w:rFonts w:hint="eastAsia" w:ascii="宋体" w:hAnsi="宋体"/>
                <w:b/>
                <w:bCs/>
                <w:color w:val="auto"/>
                <w:szCs w:val="21"/>
                <w:highlight w:val="none"/>
                <w:u w:val="single"/>
                <w:lang w:val="en-US" w:eastAsia="zh-CN"/>
              </w:rPr>
              <w:t>19</w:t>
            </w:r>
            <w:r>
              <w:rPr>
                <w:rFonts w:hint="eastAsia" w:ascii="宋体" w:hAnsi="宋体"/>
                <w:b/>
                <w:bCs/>
                <w:color w:val="auto"/>
                <w:szCs w:val="21"/>
                <w:highlight w:val="none"/>
                <w:u w:val="single"/>
              </w:rPr>
              <w:t>设计任务书</w:t>
            </w:r>
          </w:p>
        </w:tc>
      </w:tr>
    </w:tbl>
    <w:p>
      <w:pPr>
        <w:rPr>
          <w:rFonts w:ascii="宋体" w:hAnsi="宋体"/>
          <w:color w:val="auto"/>
          <w:highlight w:val="none"/>
        </w:rPr>
      </w:pPr>
    </w:p>
    <w:p>
      <w:pPr>
        <w:jc w:val="center"/>
        <w:outlineLvl w:val="0"/>
        <w:rPr>
          <w:b/>
          <w:color w:val="auto"/>
          <w:sz w:val="32"/>
          <w:szCs w:val="32"/>
          <w:highlight w:val="none"/>
          <w:lang w:val="zh-CN"/>
        </w:rPr>
      </w:pPr>
      <w:r>
        <w:rPr>
          <w:rFonts w:ascii="宋体" w:hAnsi="宋体"/>
          <w:color w:val="auto"/>
          <w:highlight w:val="none"/>
        </w:rPr>
        <w:br w:type="page"/>
      </w:r>
    </w:p>
    <w:p>
      <w:pPr>
        <w:jc w:val="center"/>
        <w:outlineLvl w:val="0"/>
        <w:rPr>
          <w:b/>
          <w:color w:val="auto"/>
          <w:sz w:val="32"/>
          <w:szCs w:val="32"/>
          <w:highlight w:val="none"/>
          <w:lang w:val="zh-CN"/>
        </w:rPr>
      </w:pPr>
      <w:bookmarkStart w:id="1" w:name="_Toc2963"/>
      <w:r>
        <w:rPr>
          <w:b/>
          <w:color w:val="auto"/>
          <w:sz w:val="24"/>
          <w:highlight w:val="none"/>
          <w:lang w:val="zh-CN"/>
        </w:rPr>
        <w:t>目</w:t>
      </w:r>
      <w:r>
        <w:rPr>
          <w:rFonts w:hint="eastAsia"/>
          <w:b/>
          <w:color w:val="auto"/>
          <w:sz w:val="24"/>
          <w:highlight w:val="none"/>
          <w:lang w:val="zh-CN"/>
        </w:rPr>
        <w:t xml:space="preserve"> </w:t>
      </w:r>
      <w:r>
        <w:rPr>
          <w:b/>
          <w:color w:val="auto"/>
          <w:sz w:val="24"/>
          <w:highlight w:val="none"/>
          <w:lang w:val="zh-CN"/>
        </w:rPr>
        <w:t>录</w:t>
      </w:r>
      <w:bookmarkEnd w:id="1"/>
    </w:p>
    <w:p>
      <w:pPr>
        <w:pStyle w:val="32"/>
        <w:tabs>
          <w:tab w:val="right" w:leader="dot" w:pos="9000"/>
          <w:tab w:val="clear" w:pos="8990"/>
        </w:tabs>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highlight w:val="none"/>
        </w:rPr>
        <w:instrText xml:space="preserve"> HYPERLINK \l _Toc6612 </w:instrText>
      </w:r>
      <w:r>
        <w:rPr>
          <w:highlight w:val="none"/>
        </w:rPr>
        <w:fldChar w:fldCharType="separate"/>
      </w:r>
      <w:r>
        <w:rPr>
          <w:rFonts w:hint="eastAsia" w:ascii="宋体" w:hAnsi="宋体"/>
          <w:szCs w:val="32"/>
          <w:highlight w:val="none"/>
        </w:rPr>
        <w:t>招标文件修改表</w:t>
      </w:r>
      <w:r>
        <w:tab/>
      </w:r>
      <w:r>
        <w:fldChar w:fldCharType="begin"/>
      </w:r>
      <w:r>
        <w:instrText xml:space="preserve"> PAGEREF _Toc6612 \h </w:instrText>
      </w:r>
      <w:r>
        <w:fldChar w:fldCharType="separate"/>
      </w:r>
      <w:r>
        <w:t>2</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_Toc2963 </w:instrText>
      </w:r>
      <w:r>
        <w:rPr>
          <w:highlight w:val="none"/>
        </w:rPr>
        <w:fldChar w:fldCharType="separate"/>
      </w:r>
      <w:r>
        <w:rPr>
          <w:highlight w:val="none"/>
          <w:lang w:val="zh-CN"/>
        </w:rPr>
        <w:t>目</w:t>
      </w:r>
      <w:r>
        <w:rPr>
          <w:rFonts w:hint="eastAsia"/>
          <w:highlight w:val="none"/>
          <w:lang w:val="zh-CN"/>
        </w:rPr>
        <w:t xml:space="preserve"> </w:t>
      </w:r>
      <w:r>
        <w:rPr>
          <w:highlight w:val="none"/>
          <w:lang w:val="zh-CN"/>
        </w:rPr>
        <w:t>录</w:t>
      </w:r>
      <w:r>
        <w:tab/>
      </w:r>
      <w:r>
        <w:fldChar w:fldCharType="begin"/>
      </w:r>
      <w:r>
        <w:instrText xml:space="preserve"> PAGEREF _Toc2963 \h </w:instrText>
      </w:r>
      <w:r>
        <w:fldChar w:fldCharType="separate"/>
      </w:r>
      <w:r>
        <w:t>13</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_Toc4446 </w:instrText>
      </w:r>
      <w:r>
        <w:rPr>
          <w:highlight w:val="none"/>
        </w:rPr>
        <w:fldChar w:fldCharType="separate"/>
      </w:r>
      <w:r>
        <w:rPr>
          <w:rFonts w:hint="eastAsia"/>
          <w:szCs w:val="36"/>
          <w:highlight w:val="none"/>
        </w:rPr>
        <w:t>第一章  招标公告</w:t>
      </w:r>
      <w:r>
        <w:tab/>
      </w:r>
      <w:r>
        <w:fldChar w:fldCharType="begin"/>
      </w:r>
      <w:r>
        <w:instrText xml:space="preserve"> PAGEREF _Toc4446 \h </w:instrText>
      </w:r>
      <w:r>
        <w:fldChar w:fldCharType="separate"/>
      </w:r>
      <w:r>
        <w:t>15</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_Toc22548 </w:instrText>
      </w:r>
      <w:r>
        <w:rPr>
          <w:highlight w:val="none"/>
        </w:rPr>
        <w:fldChar w:fldCharType="separate"/>
      </w:r>
      <w:r>
        <w:rPr>
          <w:rFonts w:hint="eastAsia" w:ascii="宋体" w:hAnsi="宋体" w:cs="宋体"/>
          <w:bCs/>
          <w:kern w:val="44"/>
          <w:szCs w:val="36"/>
          <w:highlight w:val="none"/>
        </w:rPr>
        <w:t>第二章  招标（范本原文）</w:t>
      </w:r>
      <w:r>
        <w:tab/>
      </w:r>
      <w:r>
        <w:fldChar w:fldCharType="begin"/>
      </w:r>
      <w:r>
        <w:instrText xml:space="preserve"> PAGEREF _Toc22548 \h </w:instrText>
      </w:r>
      <w:r>
        <w:fldChar w:fldCharType="separate"/>
      </w:r>
      <w:r>
        <w:t>16</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_Toc32 </w:instrText>
      </w:r>
      <w:r>
        <w:rPr>
          <w:highlight w:val="none"/>
        </w:rPr>
        <w:fldChar w:fldCharType="separate"/>
      </w:r>
      <w:r>
        <w:rPr>
          <w:rFonts w:hint="eastAsia" w:ascii="宋体" w:hAnsi="宋体" w:cs="宋体"/>
          <w:bCs/>
          <w:kern w:val="44"/>
          <w:szCs w:val="36"/>
          <w:highlight w:val="none"/>
        </w:rPr>
        <w:t>第三章  投标（范本原文）</w:t>
      </w:r>
      <w:r>
        <w:tab/>
      </w:r>
      <w:r>
        <w:fldChar w:fldCharType="begin"/>
      </w:r>
      <w:r>
        <w:instrText xml:space="preserve"> PAGEREF _Toc32 \h </w:instrText>
      </w:r>
      <w:r>
        <w:fldChar w:fldCharType="separate"/>
      </w:r>
      <w:r>
        <w:t>18</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_Toc17956 </w:instrText>
      </w:r>
      <w:r>
        <w:rPr>
          <w:highlight w:val="none"/>
        </w:rPr>
        <w:fldChar w:fldCharType="separate"/>
      </w:r>
      <w:r>
        <w:rPr>
          <w:rFonts w:hint="eastAsia" w:ascii="宋体" w:hAnsi="宋体" w:cs="宋体"/>
          <w:bCs/>
          <w:kern w:val="44"/>
          <w:szCs w:val="36"/>
          <w:highlight w:val="none"/>
        </w:rPr>
        <w:t>第四章  评标（范本原文）</w:t>
      </w:r>
      <w:r>
        <w:tab/>
      </w:r>
      <w:r>
        <w:fldChar w:fldCharType="begin"/>
      </w:r>
      <w:r>
        <w:instrText xml:space="preserve"> PAGEREF _Toc17956 \h </w:instrText>
      </w:r>
      <w:r>
        <w:fldChar w:fldCharType="separate"/>
      </w:r>
      <w:r>
        <w:t>24</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_Toc24974 </w:instrText>
      </w:r>
      <w:r>
        <w:rPr>
          <w:highlight w:val="none"/>
        </w:rPr>
        <w:fldChar w:fldCharType="separate"/>
      </w:r>
      <w:r>
        <w:rPr>
          <w:rFonts w:hint="eastAsia" w:ascii="宋体" w:hAnsi="宋体" w:cs="宋体"/>
          <w:bCs/>
          <w:kern w:val="44"/>
          <w:szCs w:val="36"/>
          <w:highlight w:val="none"/>
        </w:rPr>
        <w:t>第五章  定标（范本原文）</w:t>
      </w:r>
      <w:r>
        <w:tab/>
      </w:r>
      <w:r>
        <w:fldChar w:fldCharType="begin"/>
      </w:r>
      <w:r>
        <w:instrText xml:space="preserve"> PAGEREF _Toc24974 \h </w:instrText>
      </w:r>
      <w:r>
        <w:fldChar w:fldCharType="separate"/>
      </w:r>
      <w:r>
        <w:t>30</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_Toc3874 </w:instrText>
      </w:r>
      <w:r>
        <w:rPr>
          <w:highlight w:val="none"/>
        </w:rPr>
        <w:fldChar w:fldCharType="separate"/>
      </w:r>
      <w:r>
        <w:rPr>
          <w:rFonts w:hint="eastAsia" w:ascii="宋体" w:hAnsi="宋体" w:cs="宋体"/>
          <w:bCs/>
          <w:kern w:val="44"/>
          <w:szCs w:val="36"/>
          <w:highlight w:val="none"/>
        </w:rPr>
        <w:t>第六章  授予合同（范本原文）</w:t>
      </w:r>
      <w:r>
        <w:tab/>
      </w:r>
      <w:r>
        <w:fldChar w:fldCharType="begin"/>
      </w:r>
      <w:r>
        <w:instrText xml:space="preserve"> PAGEREF _Toc3874 \h </w:instrText>
      </w:r>
      <w:r>
        <w:fldChar w:fldCharType="separate"/>
      </w:r>
      <w:r>
        <w:t>33</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_Toc28252 </w:instrText>
      </w:r>
      <w:r>
        <w:rPr>
          <w:highlight w:val="none"/>
        </w:rPr>
        <w:fldChar w:fldCharType="separate"/>
      </w:r>
      <w:r>
        <w:rPr>
          <w:rFonts w:hint="eastAsia" w:ascii="宋体" w:hAnsi="宋体" w:cs="宋体"/>
          <w:bCs/>
          <w:kern w:val="44"/>
          <w:szCs w:val="36"/>
          <w:highlight w:val="none"/>
        </w:rPr>
        <w:t>第七章  知识产权（范本原文）</w:t>
      </w:r>
      <w:r>
        <w:tab/>
      </w:r>
      <w:r>
        <w:fldChar w:fldCharType="begin"/>
      </w:r>
      <w:r>
        <w:instrText xml:space="preserve"> PAGEREF _Toc28252 \h </w:instrText>
      </w:r>
      <w:r>
        <w:fldChar w:fldCharType="separate"/>
      </w:r>
      <w:r>
        <w:t>34</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_Toc8827 </w:instrText>
      </w:r>
      <w:r>
        <w:rPr>
          <w:highlight w:val="none"/>
        </w:rPr>
        <w:fldChar w:fldCharType="separate"/>
      </w:r>
      <w:r>
        <w:rPr>
          <w:rFonts w:hint="eastAsia"/>
          <w:bCs/>
          <w:kern w:val="44"/>
          <w:szCs w:val="36"/>
          <w:highlight w:val="none"/>
        </w:rPr>
        <w:t>第八章  合同条款</w:t>
      </w:r>
      <w:r>
        <w:tab/>
      </w:r>
      <w:r>
        <w:fldChar w:fldCharType="begin"/>
      </w:r>
      <w:r>
        <w:instrText xml:space="preserve"> PAGEREF _Toc8827 \h </w:instrText>
      </w:r>
      <w:r>
        <w:fldChar w:fldCharType="separate"/>
      </w:r>
      <w:r>
        <w:t>36</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_Toc13226 </w:instrText>
      </w:r>
      <w:r>
        <w:rPr>
          <w:highlight w:val="none"/>
        </w:rPr>
        <w:fldChar w:fldCharType="separate"/>
      </w:r>
      <w:r>
        <w:rPr>
          <w:rFonts w:hint="eastAsia" w:ascii="宋体" w:hAnsi="宋体" w:eastAsia="宋体" w:cs="宋体"/>
          <w:bCs/>
          <w:strike/>
          <w:kern w:val="44"/>
          <w:szCs w:val="21"/>
          <w:highlight w:val="none"/>
        </w:rPr>
        <w:t>附录1 投标申请表（投入人员承诺）</w:t>
      </w:r>
      <w:r>
        <w:tab/>
      </w:r>
      <w:r>
        <w:fldChar w:fldCharType="begin"/>
      </w:r>
      <w:r>
        <w:instrText xml:space="preserve"> PAGEREF _Toc13226 \h </w:instrText>
      </w:r>
      <w:r>
        <w:fldChar w:fldCharType="separate"/>
      </w:r>
      <w:r>
        <w:t>37</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_Toc20137 </w:instrText>
      </w:r>
      <w:r>
        <w:rPr>
          <w:highlight w:val="none"/>
        </w:rPr>
        <w:fldChar w:fldCharType="separate"/>
      </w:r>
      <w:r>
        <w:rPr>
          <w:rFonts w:hint="eastAsia" w:ascii="宋体" w:hAnsi="宋体" w:eastAsia="宋体" w:cs="宋体"/>
          <w:szCs w:val="21"/>
          <w:highlight w:val="none"/>
          <w:lang w:val="en-US" w:eastAsia="zh-CN"/>
        </w:rPr>
        <w:t>附录</w:t>
      </w:r>
      <w:r>
        <w:rPr>
          <w:rFonts w:hint="eastAsia" w:ascii="宋体" w:hAnsi="宋体" w:eastAsia="宋体" w:cs="宋体"/>
          <w:szCs w:val="21"/>
          <w:highlight w:val="none"/>
        </w:rPr>
        <w:t>2设计投标文件编制要求</w:t>
      </w:r>
      <w:r>
        <w:tab/>
      </w:r>
      <w:r>
        <w:fldChar w:fldCharType="begin"/>
      </w:r>
      <w:r>
        <w:instrText xml:space="preserve"> PAGEREF _Toc20137 \h </w:instrText>
      </w:r>
      <w:r>
        <w:fldChar w:fldCharType="separate"/>
      </w:r>
      <w:r>
        <w:t>38</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_Toc19577 </w:instrText>
      </w:r>
      <w:r>
        <w:rPr>
          <w:highlight w:val="none"/>
        </w:rPr>
        <w:fldChar w:fldCharType="separate"/>
      </w:r>
      <w:r>
        <w:rPr>
          <w:rFonts w:hint="eastAsia" w:ascii="宋体" w:hAnsi="宋体" w:eastAsia="宋体" w:cs="宋体"/>
          <w:szCs w:val="21"/>
          <w:highlight w:val="none"/>
          <w:lang w:val="en-US" w:eastAsia="zh-CN"/>
        </w:rPr>
        <w:t>附录3工程设计费报价汇总表</w:t>
      </w:r>
      <w:r>
        <w:tab/>
      </w:r>
      <w:r>
        <w:fldChar w:fldCharType="begin"/>
      </w:r>
      <w:r>
        <w:instrText xml:space="preserve"> PAGEREF _Toc19577 \h </w:instrText>
      </w:r>
      <w:r>
        <w:fldChar w:fldCharType="separate"/>
      </w:r>
      <w:r>
        <w:t>42</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_Toc30546 </w:instrText>
      </w:r>
      <w:r>
        <w:rPr>
          <w:highlight w:val="none"/>
        </w:rPr>
        <w:fldChar w:fldCharType="separate"/>
      </w:r>
      <w:r>
        <w:rPr>
          <w:rFonts w:hint="eastAsia" w:ascii="宋体" w:hAnsi="宋体" w:eastAsia="宋体" w:cs="宋体"/>
          <w:strike/>
          <w:szCs w:val="21"/>
          <w:highlight w:val="none"/>
        </w:rPr>
        <w:t>附录4建筑工程设计方案测试记录表</w:t>
      </w:r>
      <w:r>
        <w:tab/>
      </w:r>
      <w:r>
        <w:fldChar w:fldCharType="begin"/>
      </w:r>
      <w:r>
        <w:instrText xml:space="preserve"> PAGEREF _Toc30546 \h </w:instrText>
      </w:r>
      <w:r>
        <w:fldChar w:fldCharType="separate"/>
      </w:r>
      <w:r>
        <w:t>43</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_Toc6104 </w:instrText>
      </w:r>
      <w:r>
        <w:rPr>
          <w:highlight w:val="none"/>
        </w:rPr>
        <w:fldChar w:fldCharType="separate"/>
      </w:r>
      <w:r>
        <w:rPr>
          <w:rFonts w:hint="eastAsia" w:ascii="宋体" w:hAnsi="宋体" w:eastAsia="宋体" w:cs="宋体"/>
          <w:strike/>
          <w:szCs w:val="21"/>
          <w:highlight w:val="none"/>
        </w:rPr>
        <w:t>附件5勘察投标文件编制要求</w:t>
      </w:r>
      <w:r>
        <w:tab/>
      </w:r>
      <w:r>
        <w:fldChar w:fldCharType="begin"/>
      </w:r>
      <w:r>
        <w:instrText xml:space="preserve"> PAGEREF _Toc6104 \h </w:instrText>
      </w:r>
      <w:r>
        <w:fldChar w:fldCharType="separate"/>
      </w:r>
      <w:r>
        <w:t>44</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_Toc26950 </w:instrText>
      </w:r>
      <w:r>
        <w:rPr>
          <w:highlight w:val="none"/>
        </w:rPr>
        <w:fldChar w:fldCharType="separate"/>
      </w:r>
      <w:r>
        <w:rPr>
          <w:rFonts w:hint="eastAsia" w:ascii="宋体" w:hAnsi="宋体" w:eastAsia="宋体" w:cs="宋体"/>
          <w:bCs/>
          <w:kern w:val="44"/>
          <w:szCs w:val="21"/>
          <w:highlight w:val="none"/>
        </w:rPr>
        <w:t>附录6 投标书</w:t>
      </w:r>
      <w:r>
        <w:tab/>
      </w:r>
      <w:r>
        <w:fldChar w:fldCharType="begin"/>
      </w:r>
      <w:r>
        <w:instrText xml:space="preserve"> PAGEREF _Toc26950 \h </w:instrText>
      </w:r>
      <w:r>
        <w:fldChar w:fldCharType="separate"/>
      </w:r>
      <w:r>
        <w:t>47</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_Toc22890 </w:instrText>
      </w:r>
      <w:r>
        <w:rPr>
          <w:highlight w:val="none"/>
        </w:rPr>
        <w:fldChar w:fldCharType="separate"/>
      </w:r>
      <w:r>
        <w:rPr>
          <w:rFonts w:hint="eastAsia" w:ascii="宋体" w:hAnsi="宋体" w:eastAsia="宋体" w:cs="宋体"/>
          <w:strike/>
          <w:dstrike w:val="0"/>
          <w:szCs w:val="21"/>
          <w:highlight w:val="none"/>
        </w:rPr>
        <w:t>附录7 联合体共同投标协议</w:t>
      </w:r>
      <w:r>
        <w:tab/>
      </w:r>
      <w:r>
        <w:fldChar w:fldCharType="begin"/>
      </w:r>
      <w:r>
        <w:instrText xml:space="preserve"> PAGEREF _Toc22890 \h </w:instrText>
      </w:r>
      <w:r>
        <w:fldChar w:fldCharType="separate"/>
      </w:r>
      <w:r>
        <w:t>49</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_Toc9060 </w:instrText>
      </w:r>
      <w:r>
        <w:rPr>
          <w:highlight w:val="none"/>
        </w:rPr>
        <w:fldChar w:fldCharType="separate"/>
      </w:r>
      <w:r>
        <w:rPr>
          <w:rFonts w:hint="eastAsia" w:ascii="宋体" w:hAnsi="宋体" w:eastAsia="宋体" w:cs="宋体"/>
          <w:szCs w:val="21"/>
          <w:highlight w:val="none"/>
        </w:rPr>
        <w:t>附录8 投标人声明</w:t>
      </w:r>
      <w:r>
        <w:tab/>
      </w:r>
      <w:r>
        <w:fldChar w:fldCharType="begin"/>
      </w:r>
      <w:r>
        <w:instrText xml:space="preserve"> PAGEREF _Toc9060 \h </w:instrText>
      </w:r>
      <w:r>
        <w:fldChar w:fldCharType="separate"/>
      </w:r>
      <w:r>
        <w:t>51</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_Toc24375 </w:instrText>
      </w:r>
      <w:r>
        <w:rPr>
          <w:highlight w:val="none"/>
        </w:rPr>
        <w:fldChar w:fldCharType="separate"/>
      </w:r>
      <w:r>
        <w:rPr>
          <w:rFonts w:hint="eastAsia" w:ascii="宋体" w:hAnsi="宋体" w:eastAsia="宋体" w:cs="宋体"/>
          <w:bCs/>
          <w:kern w:val="44"/>
          <w:szCs w:val="21"/>
          <w:highlight w:val="none"/>
        </w:rPr>
        <w:t>附录9 资格审查表</w:t>
      </w:r>
      <w:r>
        <w:tab/>
      </w:r>
      <w:r>
        <w:fldChar w:fldCharType="begin"/>
      </w:r>
      <w:r>
        <w:instrText xml:space="preserve"> PAGEREF _Toc24375 \h </w:instrText>
      </w:r>
      <w:r>
        <w:fldChar w:fldCharType="separate"/>
      </w:r>
      <w:r>
        <w:t>53</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_Toc25519 </w:instrText>
      </w:r>
      <w:r>
        <w:rPr>
          <w:highlight w:val="none"/>
        </w:rPr>
        <w:fldChar w:fldCharType="separate"/>
      </w:r>
      <w:r>
        <w:rPr>
          <w:rFonts w:hint="eastAsia" w:ascii="宋体" w:hAnsi="宋体" w:eastAsia="宋体" w:cs="宋体"/>
          <w:strike/>
          <w:szCs w:val="21"/>
          <w:highlight w:val="none"/>
          <w:lang w:val="en-US" w:eastAsia="zh-CN"/>
        </w:rPr>
        <w:t>附录</w:t>
      </w:r>
      <w:r>
        <w:rPr>
          <w:rFonts w:hint="eastAsia" w:ascii="宋体" w:hAnsi="宋体" w:eastAsia="宋体" w:cs="宋体"/>
          <w:strike/>
          <w:szCs w:val="21"/>
          <w:highlight w:val="none"/>
        </w:rPr>
        <w:t>10 投票表格</w:t>
      </w:r>
      <w:r>
        <w:tab/>
      </w:r>
      <w:r>
        <w:fldChar w:fldCharType="begin"/>
      </w:r>
      <w:r>
        <w:instrText xml:space="preserve"> PAGEREF _Toc25519 \h </w:instrText>
      </w:r>
      <w:r>
        <w:fldChar w:fldCharType="separate"/>
      </w:r>
      <w:r>
        <w:t>55</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_Toc24291 </w:instrText>
      </w:r>
      <w:r>
        <w:rPr>
          <w:highlight w:val="none"/>
        </w:rPr>
        <w:fldChar w:fldCharType="separate"/>
      </w:r>
      <w:r>
        <w:rPr>
          <w:rFonts w:hint="eastAsia" w:ascii="宋体" w:hAnsi="宋体" w:eastAsia="宋体" w:cs="宋体"/>
          <w:strike/>
          <w:szCs w:val="21"/>
          <w:highlight w:val="none"/>
        </w:rPr>
        <w:t>附录11 投标汇总表格</w:t>
      </w:r>
      <w:r>
        <w:tab/>
      </w:r>
      <w:r>
        <w:fldChar w:fldCharType="begin"/>
      </w:r>
      <w:r>
        <w:instrText xml:space="preserve"> PAGEREF _Toc24291 \h </w:instrText>
      </w:r>
      <w:r>
        <w:fldChar w:fldCharType="separate"/>
      </w:r>
      <w:r>
        <w:t>56</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_Toc545 </w:instrText>
      </w:r>
      <w:r>
        <w:rPr>
          <w:highlight w:val="none"/>
        </w:rPr>
        <w:fldChar w:fldCharType="separate"/>
      </w:r>
      <w:r>
        <w:rPr>
          <w:rFonts w:hint="eastAsia" w:ascii="宋体" w:hAnsi="宋体" w:eastAsia="宋体" w:cs="宋体"/>
          <w:szCs w:val="21"/>
          <w:highlight w:val="none"/>
        </w:rPr>
        <w:t>附录12有效性</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设计方案</w:t>
      </w:r>
      <w:r>
        <w:rPr>
          <w:rFonts w:hint="eastAsia" w:ascii="宋体" w:hAnsi="宋体" w:eastAsia="宋体" w:cs="宋体"/>
          <w:szCs w:val="21"/>
          <w:highlight w:val="none"/>
          <w:lang w:eastAsia="zh-CN"/>
        </w:rPr>
        <w:t>）</w:t>
      </w:r>
      <w:r>
        <w:rPr>
          <w:rFonts w:hint="eastAsia" w:ascii="宋体" w:hAnsi="宋体" w:eastAsia="宋体" w:cs="宋体"/>
          <w:szCs w:val="21"/>
          <w:highlight w:val="none"/>
        </w:rPr>
        <w:t>审查表</w:t>
      </w:r>
      <w:r>
        <w:tab/>
      </w:r>
      <w:r>
        <w:fldChar w:fldCharType="begin"/>
      </w:r>
      <w:r>
        <w:instrText xml:space="preserve"> PAGEREF _Toc545 \h </w:instrText>
      </w:r>
      <w:r>
        <w:fldChar w:fldCharType="separate"/>
      </w:r>
      <w:r>
        <w:t>57</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_Toc3522 </w:instrText>
      </w:r>
      <w:r>
        <w:rPr>
          <w:highlight w:val="none"/>
        </w:rPr>
        <w:fldChar w:fldCharType="separate"/>
      </w:r>
      <w:r>
        <w:rPr>
          <w:rFonts w:hint="eastAsia" w:ascii="宋体" w:hAnsi="宋体" w:eastAsia="宋体" w:cs="宋体"/>
          <w:szCs w:val="21"/>
          <w:highlight w:val="none"/>
        </w:rPr>
        <w:t>附录1</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有效性</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非设计方案</w:t>
      </w:r>
      <w:r>
        <w:rPr>
          <w:rFonts w:hint="eastAsia" w:ascii="宋体" w:hAnsi="宋体" w:eastAsia="宋体" w:cs="宋体"/>
          <w:szCs w:val="21"/>
          <w:highlight w:val="none"/>
          <w:lang w:eastAsia="zh-CN"/>
        </w:rPr>
        <w:t>）</w:t>
      </w:r>
      <w:r>
        <w:rPr>
          <w:rFonts w:hint="eastAsia" w:ascii="宋体" w:hAnsi="宋体" w:eastAsia="宋体" w:cs="宋体"/>
          <w:szCs w:val="21"/>
          <w:highlight w:val="none"/>
        </w:rPr>
        <w:t>审查表</w:t>
      </w:r>
      <w:r>
        <w:tab/>
      </w:r>
      <w:r>
        <w:fldChar w:fldCharType="begin"/>
      </w:r>
      <w:r>
        <w:instrText xml:space="preserve"> PAGEREF _Toc3522 \h </w:instrText>
      </w:r>
      <w:r>
        <w:fldChar w:fldCharType="separate"/>
      </w:r>
      <w:r>
        <w:t>58</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_Toc12030 </w:instrText>
      </w:r>
      <w:r>
        <w:rPr>
          <w:highlight w:val="none"/>
        </w:rPr>
        <w:fldChar w:fldCharType="separate"/>
      </w:r>
      <w:r>
        <w:rPr>
          <w:rFonts w:hint="eastAsia" w:ascii="宋体" w:hAnsi="宋体" w:eastAsia="宋体" w:cs="宋体"/>
          <w:szCs w:val="21"/>
        </w:rPr>
        <w:t>附录1</w:t>
      </w:r>
      <w:r>
        <w:rPr>
          <w:rFonts w:hint="eastAsia" w:ascii="宋体" w:hAnsi="宋体" w:eastAsia="宋体" w:cs="宋体"/>
          <w:szCs w:val="21"/>
          <w:lang w:val="en-US" w:eastAsia="zh-CN"/>
        </w:rPr>
        <w:t>4</w:t>
      </w:r>
      <w:r>
        <w:rPr>
          <w:rFonts w:hint="eastAsia" w:ascii="宋体" w:hAnsi="宋体" w:eastAsia="宋体" w:cs="宋体"/>
          <w:szCs w:val="21"/>
        </w:rPr>
        <w:t xml:space="preserve"> </w:t>
      </w:r>
      <w:r>
        <w:rPr>
          <w:rFonts w:hint="eastAsia" w:ascii="宋体" w:hAnsi="宋体" w:eastAsia="宋体" w:cs="宋体"/>
          <w:szCs w:val="21"/>
          <w:lang w:eastAsia="zh-CN"/>
        </w:rPr>
        <w:t>综合评分表</w:t>
      </w:r>
      <w:r>
        <w:tab/>
      </w:r>
      <w:r>
        <w:fldChar w:fldCharType="begin"/>
      </w:r>
      <w:r>
        <w:instrText xml:space="preserve"> PAGEREF _Toc12030 \h </w:instrText>
      </w:r>
      <w:r>
        <w:fldChar w:fldCharType="separate"/>
      </w:r>
      <w:r>
        <w:t>59</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_Toc21089 </w:instrText>
      </w:r>
      <w:r>
        <w:rPr>
          <w:highlight w:val="none"/>
        </w:rPr>
        <w:fldChar w:fldCharType="separate"/>
      </w:r>
      <w:r>
        <w:rPr>
          <w:rFonts w:hint="eastAsia" w:ascii="宋体" w:hAnsi="宋体" w:eastAsia="宋体" w:cs="宋体"/>
          <w:szCs w:val="21"/>
        </w:rPr>
        <w:t>附录</w:t>
      </w:r>
      <w:r>
        <w:rPr>
          <w:rFonts w:hint="eastAsia" w:ascii="宋体" w:hAnsi="宋体" w:eastAsia="宋体" w:cs="宋体"/>
          <w:szCs w:val="21"/>
          <w:lang w:val="en-US" w:eastAsia="zh-CN"/>
        </w:rPr>
        <w:t>15 类似</w:t>
      </w:r>
      <w:r>
        <w:rPr>
          <w:rFonts w:hint="eastAsia" w:ascii="宋体" w:hAnsi="宋体" w:eastAsia="宋体" w:cs="宋体"/>
          <w:szCs w:val="21"/>
        </w:rPr>
        <w:t>业绩</w:t>
      </w:r>
      <w:r>
        <w:rPr>
          <w:rFonts w:hint="eastAsia" w:ascii="宋体" w:hAnsi="宋体" w:eastAsia="宋体" w:cs="宋体"/>
          <w:szCs w:val="21"/>
          <w:lang w:val="en-US" w:eastAsia="zh-CN"/>
        </w:rPr>
        <w:t>一览表</w:t>
      </w:r>
      <w:r>
        <w:tab/>
      </w:r>
      <w:r>
        <w:fldChar w:fldCharType="begin"/>
      </w:r>
      <w:r>
        <w:instrText xml:space="preserve"> PAGEREF _Toc21089 \h </w:instrText>
      </w:r>
      <w:r>
        <w:fldChar w:fldCharType="separate"/>
      </w:r>
      <w:r>
        <w:t>61</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_Toc6311 </w:instrText>
      </w:r>
      <w:r>
        <w:rPr>
          <w:highlight w:val="none"/>
        </w:rPr>
        <w:fldChar w:fldCharType="separate"/>
      </w:r>
      <w:r>
        <w:rPr>
          <w:rFonts w:hint="eastAsia" w:ascii="宋体" w:hAnsi="宋体" w:eastAsia="宋体" w:cs="宋体"/>
          <w:szCs w:val="21"/>
          <w:highlight w:val="none"/>
        </w:rPr>
        <w:t>附录1</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拟投入的人员基本情况</w:t>
      </w:r>
      <w:r>
        <w:rPr>
          <w:rFonts w:hint="eastAsia" w:ascii="宋体" w:hAnsi="宋体" w:eastAsia="宋体" w:cs="宋体"/>
          <w:szCs w:val="21"/>
          <w:highlight w:val="none"/>
          <w:lang w:val="en-US" w:eastAsia="zh-CN"/>
        </w:rPr>
        <w:t>汇总</w:t>
      </w:r>
      <w:r>
        <w:rPr>
          <w:rFonts w:hint="eastAsia" w:ascii="宋体" w:hAnsi="宋体" w:eastAsia="宋体" w:cs="宋体"/>
          <w:szCs w:val="21"/>
          <w:highlight w:val="none"/>
        </w:rPr>
        <w:t>表</w:t>
      </w:r>
      <w:r>
        <w:tab/>
      </w:r>
      <w:r>
        <w:fldChar w:fldCharType="begin"/>
      </w:r>
      <w:r>
        <w:instrText xml:space="preserve"> PAGEREF _Toc6311 \h </w:instrText>
      </w:r>
      <w:r>
        <w:fldChar w:fldCharType="separate"/>
      </w:r>
      <w:r>
        <w:t>62</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_Toc9080 </w:instrText>
      </w:r>
      <w:r>
        <w:rPr>
          <w:highlight w:val="none"/>
        </w:rPr>
        <w:fldChar w:fldCharType="separate"/>
      </w:r>
      <w:r>
        <w:rPr>
          <w:rFonts w:hint="eastAsia" w:ascii="宋体" w:hAnsi="宋体" w:eastAsia="宋体" w:cs="宋体"/>
          <w:szCs w:val="21"/>
          <w:highlight w:val="none"/>
        </w:rPr>
        <w:t>附录1</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定标委员会的组成</w:t>
      </w:r>
      <w:r>
        <w:tab/>
      </w:r>
      <w:r>
        <w:fldChar w:fldCharType="begin"/>
      </w:r>
      <w:r>
        <w:instrText xml:space="preserve"> PAGEREF _Toc9080 \h </w:instrText>
      </w:r>
      <w:r>
        <w:fldChar w:fldCharType="separate"/>
      </w:r>
      <w:r>
        <w:t>63</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_Toc23884 </w:instrText>
      </w:r>
      <w:r>
        <w:rPr>
          <w:highlight w:val="none"/>
        </w:rPr>
        <w:fldChar w:fldCharType="separate"/>
      </w:r>
      <w:r>
        <w:rPr>
          <w:rFonts w:hint="eastAsia" w:ascii="宋体" w:hAnsi="宋体" w:eastAsia="宋体" w:cs="宋体"/>
          <w:szCs w:val="21"/>
          <w:highlight w:val="none"/>
        </w:rPr>
        <w:t>附录1</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 xml:space="preserve"> 定标原则</w:t>
      </w:r>
      <w:r>
        <w:tab/>
      </w:r>
      <w:r>
        <w:fldChar w:fldCharType="begin"/>
      </w:r>
      <w:r>
        <w:instrText xml:space="preserve"> PAGEREF _Toc23884 \h </w:instrText>
      </w:r>
      <w:r>
        <w:fldChar w:fldCharType="separate"/>
      </w:r>
      <w:r>
        <w:t>64</w:t>
      </w:r>
      <w:r>
        <w:fldChar w:fldCharType="end"/>
      </w:r>
      <w:r>
        <w:rPr>
          <w:color w:val="auto"/>
          <w:highlight w:val="none"/>
        </w:rPr>
        <w:fldChar w:fldCharType="end"/>
      </w:r>
    </w:p>
    <w:p>
      <w:pPr>
        <w:pStyle w:val="24"/>
        <w:tabs>
          <w:tab w:val="right" w:leader="dot" w:pos="9000"/>
        </w:tabs>
      </w:pPr>
      <w:r>
        <w:rPr>
          <w:color w:val="auto"/>
          <w:highlight w:val="none"/>
        </w:rPr>
        <w:fldChar w:fldCharType="begin"/>
      </w:r>
      <w:r>
        <w:rPr>
          <w:highlight w:val="none"/>
        </w:rPr>
        <w:instrText xml:space="preserve"> HYPERLINK \l _Toc1898 </w:instrText>
      </w:r>
      <w:r>
        <w:rPr>
          <w:highlight w:val="none"/>
        </w:rPr>
        <w:fldChar w:fldCharType="separate"/>
      </w:r>
      <w:r>
        <w:rPr>
          <w:rFonts w:hint="eastAsia" w:ascii="宋体" w:hAnsi="宋体" w:eastAsia="宋体" w:cs="宋体"/>
          <w:szCs w:val="21"/>
          <w:highlight w:val="none"/>
        </w:rPr>
        <w:t>定标原则-附表1</w:t>
      </w:r>
      <w:r>
        <w:tab/>
      </w:r>
      <w:r>
        <w:fldChar w:fldCharType="begin"/>
      </w:r>
      <w:r>
        <w:instrText xml:space="preserve"> PAGEREF _Toc1898 \h </w:instrText>
      </w:r>
      <w:r>
        <w:fldChar w:fldCharType="separate"/>
      </w:r>
      <w:r>
        <w:t>66</w:t>
      </w:r>
      <w:r>
        <w:fldChar w:fldCharType="end"/>
      </w:r>
      <w:r>
        <w:rPr>
          <w:color w:val="auto"/>
          <w:highlight w:val="none"/>
        </w:rPr>
        <w:fldChar w:fldCharType="end"/>
      </w:r>
    </w:p>
    <w:p>
      <w:pPr>
        <w:pStyle w:val="24"/>
        <w:tabs>
          <w:tab w:val="right" w:leader="dot" w:pos="9000"/>
        </w:tabs>
      </w:pPr>
      <w:r>
        <w:rPr>
          <w:color w:val="auto"/>
          <w:highlight w:val="none"/>
        </w:rPr>
        <w:fldChar w:fldCharType="begin"/>
      </w:r>
      <w:r>
        <w:rPr>
          <w:highlight w:val="none"/>
        </w:rPr>
        <w:instrText xml:space="preserve"> HYPERLINK \l _Toc3822 </w:instrText>
      </w:r>
      <w:r>
        <w:rPr>
          <w:highlight w:val="none"/>
        </w:rPr>
        <w:fldChar w:fldCharType="separate"/>
      </w:r>
      <w:r>
        <w:rPr>
          <w:rFonts w:hint="eastAsia" w:ascii="宋体" w:hAnsi="宋体" w:eastAsia="宋体" w:cs="宋体"/>
          <w:szCs w:val="21"/>
          <w:highlight w:val="none"/>
        </w:rPr>
        <w:t>定标原则-附表2</w:t>
      </w:r>
      <w:r>
        <w:tab/>
      </w:r>
      <w:r>
        <w:fldChar w:fldCharType="begin"/>
      </w:r>
      <w:r>
        <w:instrText xml:space="preserve"> PAGEREF _Toc3822 \h </w:instrText>
      </w:r>
      <w:r>
        <w:fldChar w:fldCharType="separate"/>
      </w:r>
      <w:r>
        <w:t>67</w:t>
      </w:r>
      <w:r>
        <w:fldChar w:fldCharType="end"/>
      </w:r>
      <w:r>
        <w:rPr>
          <w:color w:val="auto"/>
          <w:highlight w:val="none"/>
        </w:rPr>
        <w:fldChar w:fldCharType="end"/>
      </w:r>
    </w:p>
    <w:p>
      <w:pPr>
        <w:pStyle w:val="24"/>
        <w:tabs>
          <w:tab w:val="right" w:leader="dot" w:pos="9000"/>
        </w:tabs>
      </w:pPr>
      <w:r>
        <w:rPr>
          <w:color w:val="auto"/>
          <w:highlight w:val="none"/>
        </w:rPr>
        <w:fldChar w:fldCharType="begin"/>
      </w:r>
      <w:r>
        <w:rPr>
          <w:highlight w:val="none"/>
        </w:rPr>
        <w:instrText xml:space="preserve"> HYPERLINK \l _Toc186 </w:instrText>
      </w:r>
      <w:r>
        <w:rPr>
          <w:highlight w:val="none"/>
        </w:rPr>
        <w:fldChar w:fldCharType="separate"/>
      </w:r>
      <w:r>
        <w:rPr>
          <w:rFonts w:hint="eastAsia" w:ascii="宋体" w:hAnsi="宋体" w:eastAsia="宋体" w:cs="宋体"/>
          <w:szCs w:val="21"/>
          <w:highlight w:val="none"/>
        </w:rPr>
        <w:t>定标原则-附表3</w:t>
      </w:r>
      <w:r>
        <w:tab/>
      </w:r>
      <w:r>
        <w:fldChar w:fldCharType="begin"/>
      </w:r>
      <w:r>
        <w:instrText xml:space="preserve"> PAGEREF _Toc186 \h </w:instrText>
      </w:r>
      <w:r>
        <w:fldChar w:fldCharType="separate"/>
      </w:r>
      <w:r>
        <w:t>68</w:t>
      </w:r>
      <w:r>
        <w:fldChar w:fldCharType="end"/>
      </w:r>
      <w:r>
        <w:rPr>
          <w:color w:val="auto"/>
          <w:highlight w:val="none"/>
        </w:rPr>
        <w:fldChar w:fldCharType="end"/>
      </w:r>
    </w:p>
    <w:p>
      <w:pPr>
        <w:pStyle w:val="24"/>
        <w:tabs>
          <w:tab w:val="right" w:leader="dot" w:pos="9000"/>
        </w:tabs>
      </w:pPr>
      <w:r>
        <w:rPr>
          <w:color w:val="auto"/>
          <w:highlight w:val="none"/>
        </w:rPr>
        <w:fldChar w:fldCharType="begin"/>
      </w:r>
      <w:r>
        <w:rPr>
          <w:highlight w:val="none"/>
        </w:rPr>
        <w:instrText xml:space="preserve"> HYPERLINK \l _Toc1154 </w:instrText>
      </w:r>
      <w:r>
        <w:rPr>
          <w:highlight w:val="none"/>
        </w:rPr>
        <w:fldChar w:fldCharType="separate"/>
      </w:r>
      <w:r>
        <w:rPr>
          <w:rFonts w:hint="eastAsia" w:ascii="宋体" w:hAnsi="宋体" w:eastAsia="宋体" w:cs="宋体"/>
          <w:szCs w:val="21"/>
          <w:highlight w:val="none"/>
        </w:rPr>
        <w:t>定标原则-附表4</w:t>
      </w:r>
      <w:r>
        <w:tab/>
      </w:r>
      <w:r>
        <w:fldChar w:fldCharType="begin"/>
      </w:r>
      <w:r>
        <w:instrText xml:space="preserve"> PAGEREF _Toc1154 \h </w:instrText>
      </w:r>
      <w:r>
        <w:fldChar w:fldCharType="separate"/>
      </w:r>
      <w:r>
        <w:t>69</w:t>
      </w:r>
      <w:r>
        <w:fldChar w:fldCharType="end"/>
      </w:r>
      <w:r>
        <w:rPr>
          <w:color w:val="auto"/>
          <w:highlight w:val="none"/>
        </w:rPr>
        <w:fldChar w:fldCharType="end"/>
      </w:r>
    </w:p>
    <w:p>
      <w:pPr>
        <w:pStyle w:val="24"/>
        <w:tabs>
          <w:tab w:val="right" w:leader="dot" w:pos="9000"/>
        </w:tabs>
      </w:pPr>
      <w:r>
        <w:rPr>
          <w:color w:val="auto"/>
          <w:highlight w:val="none"/>
        </w:rPr>
        <w:fldChar w:fldCharType="begin"/>
      </w:r>
      <w:r>
        <w:rPr>
          <w:highlight w:val="none"/>
        </w:rPr>
        <w:instrText xml:space="preserve"> HYPERLINK \l _Toc22294 </w:instrText>
      </w:r>
      <w:r>
        <w:rPr>
          <w:highlight w:val="none"/>
        </w:rPr>
        <w:fldChar w:fldCharType="separate"/>
      </w:r>
      <w:r>
        <w:rPr>
          <w:rFonts w:hint="eastAsia" w:ascii="宋体" w:hAnsi="宋体" w:eastAsia="宋体" w:cs="宋体"/>
          <w:szCs w:val="21"/>
          <w:highlight w:val="none"/>
        </w:rPr>
        <w:t>定标原则-附表5</w:t>
      </w:r>
      <w:r>
        <w:tab/>
      </w:r>
      <w:r>
        <w:fldChar w:fldCharType="begin"/>
      </w:r>
      <w:r>
        <w:instrText xml:space="preserve"> PAGEREF _Toc22294 \h </w:instrText>
      </w:r>
      <w:r>
        <w:fldChar w:fldCharType="separate"/>
      </w:r>
      <w:r>
        <w:t>70</w:t>
      </w:r>
      <w:r>
        <w:fldChar w:fldCharType="end"/>
      </w:r>
      <w:r>
        <w:rPr>
          <w:color w:val="auto"/>
          <w:highlight w:val="none"/>
        </w:rPr>
        <w:fldChar w:fldCharType="end"/>
      </w:r>
    </w:p>
    <w:p>
      <w:pPr>
        <w:pStyle w:val="24"/>
        <w:tabs>
          <w:tab w:val="right" w:leader="dot" w:pos="9000"/>
        </w:tabs>
      </w:pPr>
      <w:r>
        <w:rPr>
          <w:color w:val="auto"/>
          <w:highlight w:val="none"/>
        </w:rPr>
        <w:fldChar w:fldCharType="begin"/>
      </w:r>
      <w:r>
        <w:rPr>
          <w:highlight w:val="none"/>
        </w:rPr>
        <w:instrText xml:space="preserve"> HYPERLINK \l _Toc18754 </w:instrText>
      </w:r>
      <w:r>
        <w:rPr>
          <w:highlight w:val="none"/>
        </w:rPr>
        <w:fldChar w:fldCharType="separate"/>
      </w:r>
      <w:r>
        <w:rPr>
          <w:rFonts w:hint="eastAsia" w:ascii="宋体" w:hAnsi="宋体" w:eastAsia="宋体" w:cs="宋体"/>
          <w:szCs w:val="21"/>
          <w:highlight w:val="none"/>
        </w:rPr>
        <w:t>定标原则-附表6</w:t>
      </w:r>
      <w:r>
        <w:tab/>
      </w:r>
      <w:r>
        <w:fldChar w:fldCharType="begin"/>
      </w:r>
      <w:r>
        <w:instrText xml:space="preserve"> PAGEREF _Toc18754 \h </w:instrText>
      </w:r>
      <w:r>
        <w:fldChar w:fldCharType="separate"/>
      </w:r>
      <w:r>
        <w:t>71</w:t>
      </w:r>
      <w:r>
        <w:fldChar w:fldCharType="end"/>
      </w:r>
      <w:r>
        <w:rPr>
          <w:color w:val="auto"/>
          <w:highlight w:val="none"/>
        </w:rPr>
        <w:fldChar w:fldCharType="end"/>
      </w:r>
    </w:p>
    <w:p>
      <w:pPr>
        <w:pStyle w:val="32"/>
        <w:tabs>
          <w:tab w:val="right" w:leader="dot" w:pos="9000"/>
          <w:tab w:val="clear" w:pos="8990"/>
        </w:tabs>
      </w:pPr>
      <w:r>
        <w:rPr>
          <w:color w:val="auto"/>
          <w:highlight w:val="none"/>
        </w:rPr>
        <w:fldChar w:fldCharType="begin"/>
      </w:r>
      <w:r>
        <w:rPr>
          <w:highlight w:val="none"/>
        </w:rPr>
        <w:instrText xml:space="preserve"> HYPERLINK \l _Toc27124 </w:instrText>
      </w:r>
      <w:r>
        <w:rPr>
          <w:highlight w:val="none"/>
        </w:rPr>
        <w:fldChar w:fldCharType="separate"/>
      </w:r>
      <w:r>
        <w:rPr>
          <w:rFonts w:hint="eastAsia" w:ascii="宋体" w:hAnsi="宋体" w:eastAsia="宋体" w:cs="宋体"/>
          <w:szCs w:val="21"/>
          <w:highlight w:val="none"/>
        </w:rPr>
        <w:t>附录</w:t>
      </w:r>
      <w:r>
        <w:rPr>
          <w:rFonts w:hint="eastAsia" w:ascii="宋体" w:hAnsi="宋体" w:eastAsia="宋体" w:cs="宋体"/>
          <w:szCs w:val="21"/>
          <w:highlight w:val="none"/>
          <w:lang w:val="en-US" w:eastAsia="zh-CN"/>
        </w:rPr>
        <w:t>19</w:t>
      </w:r>
      <w:r>
        <w:rPr>
          <w:rFonts w:hint="eastAsia" w:ascii="宋体" w:hAnsi="宋体" w:eastAsia="宋体" w:cs="宋体"/>
          <w:szCs w:val="21"/>
          <w:highlight w:val="none"/>
        </w:rPr>
        <w:t xml:space="preserve"> 设计任务书</w:t>
      </w:r>
      <w:r>
        <w:tab/>
      </w:r>
      <w:r>
        <w:fldChar w:fldCharType="begin"/>
      </w:r>
      <w:r>
        <w:instrText xml:space="preserve"> PAGEREF _Toc27124 \h </w:instrText>
      </w:r>
      <w:r>
        <w:fldChar w:fldCharType="separate"/>
      </w:r>
      <w:r>
        <w:t>72</w:t>
      </w:r>
      <w:r>
        <w:fldChar w:fldCharType="end"/>
      </w:r>
      <w:r>
        <w:rPr>
          <w:color w:val="auto"/>
          <w:highlight w:val="none"/>
        </w:rPr>
        <w:fldChar w:fldCharType="end"/>
      </w:r>
    </w:p>
    <w:p>
      <w:pPr>
        <w:pStyle w:val="32"/>
        <w:rPr>
          <w:color w:val="auto"/>
          <w:highlight w:val="none"/>
        </w:rPr>
      </w:pPr>
      <w:r>
        <w:rPr>
          <w:color w:val="auto"/>
          <w:highlight w:val="none"/>
        </w:rPr>
        <w:fldChar w:fldCharType="end"/>
      </w:r>
      <w:r>
        <w:rPr>
          <w:color w:val="auto"/>
          <w:highlight w:val="none"/>
        </w:rPr>
        <w:t xml:space="preserve"> </w:t>
      </w:r>
    </w:p>
    <w:p>
      <w:pPr>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pStyle w:val="8"/>
        <w:ind w:firstLine="400"/>
        <w:rPr>
          <w:color w:val="auto"/>
          <w:highlight w:val="none"/>
        </w:rPr>
      </w:pPr>
    </w:p>
    <w:p>
      <w:pPr>
        <w:rPr>
          <w:rFonts w:hint="eastAsia"/>
          <w:color w:val="auto"/>
          <w:sz w:val="36"/>
          <w:szCs w:val="36"/>
          <w:highlight w:val="none"/>
        </w:rPr>
      </w:pPr>
      <w:r>
        <w:rPr>
          <w:rFonts w:hint="eastAsia"/>
          <w:color w:val="auto"/>
          <w:sz w:val="36"/>
          <w:szCs w:val="36"/>
          <w:highlight w:val="none"/>
        </w:rPr>
        <w:br w:type="page"/>
      </w:r>
    </w:p>
    <w:p>
      <w:pPr>
        <w:pStyle w:val="3"/>
        <w:jc w:val="center"/>
        <w:rPr>
          <w:color w:val="auto"/>
          <w:sz w:val="36"/>
          <w:szCs w:val="36"/>
          <w:highlight w:val="none"/>
        </w:rPr>
      </w:pPr>
      <w:bookmarkStart w:id="2" w:name="_Toc4446"/>
      <w:r>
        <w:rPr>
          <w:rFonts w:hint="eastAsia"/>
          <w:color w:val="auto"/>
          <w:sz w:val="36"/>
          <w:szCs w:val="36"/>
          <w:highlight w:val="none"/>
        </w:rPr>
        <w:t>第一章  招标公告</w:t>
      </w:r>
      <w:bookmarkEnd w:id="2"/>
    </w:p>
    <w:p>
      <w:pPr>
        <w:spacing w:line="360" w:lineRule="auto"/>
        <w:rPr>
          <w:rFonts w:ascii="宋体" w:hAnsi="宋体"/>
          <w:color w:val="auto"/>
          <w:sz w:val="24"/>
          <w:highlight w:val="none"/>
        </w:rPr>
      </w:pPr>
    </w:p>
    <w:p>
      <w:pPr>
        <w:jc w:val="center"/>
        <w:rPr>
          <w:rFonts w:hint="eastAsia" w:eastAsia="宋体"/>
          <w:color w:val="auto"/>
          <w:sz w:val="28"/>
          <w:szCs w:val="32"/>
          <w:highlight w:val="none"/>
          <w:lang w:eastAsia="zh-CN"/>
        </w:rPr>
      </w:pPr>
      <w:r>
        <w:rPr>
          <w:rFonts w:hint="eastAsia"/>
          <w:color w:val="auto"/>
          <w:sz w:val="28"/>
          <w:szCs w:val="32"/>
          <w:highlight w:val="none"/>
          <w:lang w:eastAsia="zh-CN"/>
        </w:rPr>
        <w:t>（</w:t>
      </w:r>
      <w:r>
        <w:rPr>
          <w:rFonts w:hint="eastAsia"/>
          <w:color w:val="auto"/>
          <w:sz w:val="28"/>
          <w:szCs w:val="32"/>
          <w:highlight w:val="none"/>
          <w:lang w:val="en-US" w:eastAsia="zh-CN"/>
        </w:rPr>
        <w:t>另册</w:t>
      </w:r>
      <w:r>
        <w:rPr>
          <w:rFonts w:hint="eastAsia"/>
          <w:color w:val="auto"/>
          <w:sz w:val="28"/>
          <w:szCs w:val="32"/>
          <w:highlight w:val="none"/>
          <w:lang w:eastAsia="zh-CN"/>
        </w:rPr>
        <w:t>）</w:t>
      </w:r>
    </w:p>
    <w:p>
      <w:pPr>
        <w:spacing w:line="360" w:lineRule="auto"/>
        <w:jc w:val="left"/>
        <w:rPr>
          <w:rFonts w:ascii="宋体" w:hAnsi="宋体"/>
          <w:color w:val="auto"/>
          <w:szCs w:val="21"/>
          <w:highlight w:val="none"/>
        </w:rPr>
      </w:pPr>
      <w:r>
        <w:rPr>
          <w:rFonts w:hint="eastAsia" w:ascii="宋体" w:hAnsi="宋体"/>
          <w:color w:val="auto"/>
          <w:szCs w:val="21"/>
          <w:highlight w:val="none"/>
        </w:rPr>
        <w:t xml:space="preserve">                </w:t>
      </w:r>
    </w:p>
    <w:p>
      <w:pPr>
        <w:jc w:val="left"/>
        <w:rPr>
          <w:rFonts w:ascii="宋体" w:hAnsi="宋体"/>
          <w:color w:val="auto"/>
          <w:szCs w:val="21"/>
          <w:highlight w:val="none"/>
        </w:rPr>
      </w:pPr>
      <w:r>
        <w:rPr>
          <w:rFonts w:hint="eastAsia" w:ascii="宋体" w:hAnsi="宋体"/>
          <w:color w:val="auto"/>
          <w:szCs w:val="21"/>
          <w:highlight w:val="none"/>
        </w:rPr>
        <w:t xml:space="preserve">   </w:t>
      </w:r>
    </w:p>
    <w:p>
      <w:pPr>
        <w:keepNext/>
        <w:keepLines/>
        <w:spacing w:before="340" w:after="330" w:line="578" w:lineRule="auto"/>
        <w:jc w:val="center"/>
        <w:outlineLvl w:val="0"/>
        <w:rPr>
          <w:rFonts w:ascii="宋体" w:hAnsi="宋体" w:cs="宋体"/>
          <w:bCs/>
          <w:color w:val="auto"/>
          <w:kern w:val="44"/>
          <w:sz w:val="24"/>
          <w:highlight w:val="none"/>
        </w:rPr>
      </w:pPr>
      <w:r>
        <w:rPr>
          <w:rFonts w:ascii="宋体" w:hAnsi="宋体"/>
          <w:b/>
          <w:color w:val="auto"/>
          <w:sz w:val="36"/>
          <w:szCs w:val="36"/>
          <w:highlight w:val="none"/>
        </w:rPr>
        <w:br w:type="page"/>
      </w:r>
      <w:bookmarkStart w:id="3" w:name="_Toc22548"/>
      <w:bookmarkStart w:id="4" w:name="_Toc97803958"/>
      <w:r>
        <w:rPr>
          <w:rFonts w:hint="eastAsia" w:ascii="宋体" w:hAnsi="宋体" w:cs="宋体"/>
          <w:b/>
          <w:bCs/>
          <w:color w:val="auto"/>
          <w:kern w:val="44"/>
          <w:sz w:val="36"/>
          <w:szCs w:val="36"/>
          <w:highlight w:val="none"/>
        </w:rPr>
        <w:t>第二章  招标</w:t>
      </w:r>
      <w:bookmarkStart w:id="5" w:name="_Hlk114498133"/>
      <w:r>
        <w:rPr>
          <w:rFonts w:hint="eastAsia" w:ascii="宋体" w:hAnsi="宋体" w:cs="宋体"/>
          <w:b/>
          <w:bCs/>
          <w:color w:val="auto"/>
          <w:kern w:val="44"/>
          <w:sz w:val="36"/>
          <w:szCs w:val="36"/>
          <w:highlight w:val="none"/>
          <w:u w:val="single"/>
        </w:rPr>
        <w:t>（范本原文）</w:t>
      </w:r>
      <w:bookmarkEnd w:id="3"/>
      <w:bookmarkEnd w:id="4"/>
    </w:p>
    <w:bookmarkEnd w:id="5"/>
    <w:p>
      <w:pPr>
        <w:rPr>
          <w:rFonts w:ascii="宋体" w:hAnsi="宋体" w:cs="宋体"/>
          <w:color w:val="auto"/>
          <w:sz w:val="24"/>
          <w:highlight w:val="none"/>
        </w:rPr>
      </w:pPr>
    </w:p>
    <w:p>
      <w:pPr>
        <w:spacing w:line="360" w:lineRule="auto"/>
        <w:ind w:left="824" w:hanging="820" w:hangingChars="342"/>
        <w:rPr>
          <w:rFonts w:ascii="宋体" w:hAnsi="宋体" w:cs="宋体"/>
          <w:b/>
          <w:color w:val="auto"/>
          <w:sz w:val="24"/>
          <w:highlight w:val="none"/>
        </w:rPr>
      </w:pPr>
      <w:r>
        <w:rPr>
          <w:rFonts w:hint="eastAsia" w:ascii="宋体" w:hAnsi="宋体" w:cs="宋体"/>
          <w:b/>
          <w:color w:val="auto"/>
          <w:sz w:val="24"/>
          <w:highlight w:val="none"/>
        </w:rPr>
        <w:t>2.1    释义</w:t>
      </w:r>
    </w:p>
    <w:p>
      <w:pPr>
        <w:spacing w:line="360" w:lineRule="auto"/>
        <w:ind w:left="821" w:hanging="820" w:hangingChars="342"/>
        <w:rPr>
          <w:rFonts w:ascii="宋体" w:hAnsi="宋体" w:cs="宋体"/>
          <w:color w:val="auto"/>
          <w:sz w:val="24"/>
          <w:highlight w:val="none"/>
        </w:rPr>
      </w:pP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2.1.1  “设计”是指根据建设工程的要求，对建设工程所需的技术、经济、资源、环境等条件进行综合分析、论证，编制建设工程设计文件的活动。</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2.1.2  “勘察”是指根据建设工程的要求，查明、分析、评价建设场地的地质地理环境特征和岩土工程条件，编制建设工程勘察文件的活动。</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2.1.3  “招标”是指</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通过建设工程的勘察、设计等方案招标，将工程相应的任务发包给符合勘察设计资质条件的建设工程承包单位的行为。</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2.1.4  “招标人”是指提出招标项目、进行招标的法人或者其他组织。</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2.1.5  “招标代理机构”是指从事招标代理业务并提供相关服务的社会中介组织。</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2.1.6  “投标人”是指响应招标、参加投标竞争的法人或者其他组织。</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2.1.7  “监督机构”是指招标活动的监督机构。</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2.1.8 “招标管理机构”是指受监督机构委托管理招标活动的机构。</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2.1.9 “交易服务机构”是指为招标人和投标人提供场所、信息和咨询服务，见证招标过程，确认中标通知书的服务机构。</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2.1.10 “招标文件”是指招标人（招标代理机构）发出的包括招标预告、招标公告、招标程序和规则、技术规范、合同条件、附件、图表、说明、投资立项批准文件、建设用地批准文件及其它一切补充资料的书面文件和电子文件。</w:t>
      </w:r>
    </w:p>
    <w:p>
      <w:pPr>
        <w:spacing w:line="360" w:lineRule="auto"/>
        <w:rPr>
          <w:rFonts w:ascii="宋体" w:hAnsi="宋体" w:cs="宋体"/>
          <w:color w:val="auto"/>
          <w:sz w:val="24"/>
          <w:highlight w:val="none"/>
        </w:rPr>
      </w:pPr>
    </w:p>
    <w:p>
      <w:pPr>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2.2    免责条款</w:t>
      </w:r>
    </w:p>
    <w:p>
      <w:pPr>
        <w:spacing w:line="360" w:lineRule="auto"/>
        <w:rPr>
          <w:rFonts w:ascii="宋体" w:hAnsi="宋体" w:cs="宋体"/>
          <w:color w:val="auto"/>
          <w:sz w:val="24"/>
          <w:highlight w:val="none"/>
        </w:rPr>
      </w:pPr>
    </w:p>
    <w:p>
      <w:pPr>
        <w:spacing w:line="360" w:lineRule="auto"/>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2.2.1  招标文件的解释权归招标人所有，招标人有权在法律允许范围内调整本次招标活动的细节及保留最终解释权。</w:t>
      </w:r>
    </w:p>
    <w:p>
      <w:pPr>
        <w:spacing w:line="360" w:lineRule="auto"/>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2.2.2  招标人不受将合同授予任何投标人的约束，招标人有权接受任何一份投标文件的全部或部分内容。</w:t>
      </w:r>
    </w:p>
    <w:p>
      <w:pPr>
        <w:spacing w:line="360" w:lineRule="auto"/>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2.2.3  招标人向投标人提供的资料和数据，是招标人现有的能使投标人利用的资料，招标人对投标人由此而作出的推论、理解和结论概不负责。</w:t>
      </w:r>
    </w:p>
    <w:p>
      <w:pPr>
        <w:spacing w:line="360" w:lineRule="auto"/>
        <w:ind w:left="821" w:hanging="820" w:hangingChars="342"/>
        <w:jc w:val="left"/>
        <w:rPr>
          <w:rFonts w:ascii="宋体" w:hAnsi="宋体" w:cs="宋体"/>
          <w:color w:val="auto"/>
          <w:kern w:val="0"/>
          <w:sz w:val="24"/>
          <w:highlight w:val="none"/>
        </w:rPr>
      </w:pPr>
      <w:r>
        <w:rPr>
          <w:rFonts w:hint="eastAsia" w:ascii="宋体" w:hAnsi="宋体" w:cs="宋体"/>
          <w:color w:val="auto"/>
          <w:kern w:val="0"/>
          <w:sz w:val="24"/>
          <w:highlight w:val="none"/>
        </w:rPr>
        <w:t>2.2.4  投标人应承担其现场考察、编制和提交投标文件有关的一切费用、损害和人身伤亡事故责任，不管投标结果如何，招标人对上述费用不负任何责任。</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2.2.5  招标人对投标人的失误不负任何责任，投标人应指定一名投标事务负责人，专门负责跟踪、接收、阅读和理解招标文件及随后收到的有关资料，向招标人发出质疑，检查投标文件，协助有关人员尽力克服各种投标失误。</w:t>
      </w:r>
    </w:p>
    <w:p>
      <w:pPr>
        <w:spacing w:line="360" w:lineRule="auto"/>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2.2.6  评标委员会成员应承担其参加评标有关的一切费用、损害和人身伤亡事故责任，招标人除提供评标酬金和差旅费用外，对其他费用不负任何责任。</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2.2.7  如果投标人实质上不符合投标资格，即使已购买招标文件、参加投标并缴纳各种费用，招标人可以随时取消其投标或中标资格，招标人对该投标人的一切损失不负任何责任。</w:t>
      </w:r>
    </w:p>
    <w:p>
      <w:pPr>
        <w:spacing w:line="360" w:lineRule="auto"/>
        <w:ind w:left="821" w:hanging="820" w:hangingChars="342"/>
        <w:rPr>
          <w:rFonts w:ascii="宋体" w:hAnsi="宋体" w:cs="宋体"/>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2.3    招标文件效力</w:t>
      </w:r>
    </w:p>
    <w:p>
      <w:pPr>
        <w:spacing w:line="360" w:lineRule="auto"/>
        <w:rPr>
          <w:rFonts w:ascii="宋体" w:hAnsi="宋体" w:cs="宋体"/>
          <w:color w:val="auto"/>
          <w:sz w:val="24"/>
          <w:highlight w:val="none"/>
        </w:rPr>
      </w:pPr>
    </w:p>
    <w:p>
      <w:pPr>
        <w:spacing w:line="360" w:lineRule="auto"/>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2.3.1  招标文件是招标人发出的要约寻求，投标人参加投标均视为承认招标公告、招标文件及附件的所有条款,并承诺一旦中标将按招标文件、投标文件、合同条款、技术规范要求的质量和进度完成全部委托任务。</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2.3.2  招标人或招标代理机构与投标人之间使用电子邮箱传送的文件，与公开登载的文件或者盖章发出的文件一样具有同等效力。</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2.3.3  招标人通过交易服务机构公开登载的文件，与盖章发出的文件一样具有同等效力。</w:t>
      </w:r>
    </w:p>
    <w:p>
      <w:pPr>
        <w:keepNext/>
        <w:keepLines/>
        <w:spacing w:before="340" w:after="330" w:line="578" w:lineRule="auto"/>
        <w:jc w:val="center"/>
        <w:outlineLvl w:val="0"/>
        <w:rPr>
          <w:rFonts w:ascii="宋体" w:hAnsi="宋体" w:cs="宋体"/>
          <w:bCs/>
          <w:color w:val="auto"/>
          <w:kern w:val="44"/>
          <w:sz w:val="24"/>
          <w:highlight w:val="none"/>
        </w:rPr>
      </w:pPr>
      <w:r>
        <w:rPr>
          <w:rFonts w:hint="eastAsia" w:ascii="宋体" w:hAnsi="宋体" w:cs="宋体"/>
          <w:b/>
          <w:bCs/>
          <w:color w:val="auto"/>
          <w:kern w:val="44"/>
          <w:sz w:val="24"/>
          <w:highlight w:val="none"/>
        </w:rPr>
        <w:br w:type="page"/>
      </w:r>
      <w:bookmarkStart w:id="6" w:name="_Toc97803959"/>
      <w:bookmarkStart w:id="7" w:name="_Toc32"/>
      <w:r>
        <w:rPr>
          <w:rFonts w:hint="eastAsia" w:ascii="宋体" w:hAnsi="宋体" w:cs="宋体"/>
          <w:b/>
          <w:bCs/>
          <w:color w:val="auto"/>
          <w:kern w:val="44"/>
          <w:sz w:val="36"/>
          <w:szCs w:val="36"/>
          <w:highlight w:val="none"/>
        </w:rPr>
        <w:t>第三章  投标</w:t>
      </w:r>
      <w:bookmarkEnd w:id="6"/>
      <w:r>
        <w:rPr>
          <w:rFonts w:hint="eastAsia" w:ascii="宋体" w:hAnsi="宋体" w:cs="宋体"/>
          <w:b/>
          <w:bCs/>
          <w:color w:val="auto"/>
          <w:kern w:val="44"/>
          <w:sz w:val="36"/>
          <w:szCs w:val="36"/>
          <w:highlight w:val="none"/>
          <w:u w:val="single"/>
        </w:rPr>
        <w:t>（范本原文）</w:t>
      </w:r>
      <w:bookmarkEnd w:id="7"/>
    </w:p>
    <w:p>
      <w:pPr>
        <w:spacing w:line="360" w:lineRule="auto"/>
        <w:ind w:left="850" w:hanging="849" w:hangingChars="354"/>
        <w:rPr>
          <w:rFonts w:ascii="宋体" w:hAnsi="宋体" w:cs="宋体"/>
          <w:color w:val="auto"/>
          <w:sz w:val="24"/>
          <w:highlight w:val="none"/>
        </w:rPr>
      </w:pPr>
    </w:p>
    <w:p>
      <w:pPr>
        <w:spacing w:line="360" w:lineRule="auto"/>
        <w:ind w:left="853" w:hanging="849" w:hangingChars="354"/>
        <w:jc w:val="left"/>
        <w:rPr>
          <w:rFonts w:ascii="宋体" w:hAnsi="宋体" w:cs="宋体"/>
          <w:b/>
          <w:color w:val="auto"/>
          <w:sz w:val="24"/>
          <w:highlight w:val="none"/>
        </w:rPr>
      </w:pPr>
      <w:r>
        <w:rPr>
          <w:rFonts w:hint="eastAsia" w:ascii="宋体" w:hAnsi="宋体" w:cs="宋体"/>
          <w:b/>
          <w:color w:val="auto"/>
          <w:sz w:val="24"/>
          <w:highlight w:val="none"/>
        </w:rPr>
        <w:t>3.1    现场考察</w:t>
      </w:r>
    </w:p>
    <w:p>
      <w:pPr>
        <w:spacing w:line="360" w:lineRule="auto"/>
        <w:ind w:left="850" w:hanging="849" w:hangingChars="354"/>
        <w:jc w:val="left"/>
        <w:rPr>
          <w:rFonts w:ascii="宋体" w:hAnsi="宋体" w:cs="宋体"/>
          <w:color w:val="auto"/>
          <w:sz w:val="24"/>
          <w:highlight w:val="none"/>
        </w:rPr>
      </w:pP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3.1.1  招标人安排投标人代表对工程现场进行考察，目的是使每个投标人查看现场并获得编制投标文件所需要的一切资料。</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3.1.2  每个投标人参加现场考察的人数不宜超过3人，外国投标人代表应自带中文翻译。</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3.1.3  现场考察期间招标人将召开一次会议，接受投标人代表的提问。</w:t>
      </w:r>
    </w:p>
    <w:p>
      <w:pPr>
        <w:spacing w:line="360" w:lineRule="auto"/>
        <w:ind w:left="850" w:hanging="849" w:hangingChars="354"/>
        <w:jc w:val="left"/>
        <w:rPr>
          <w:rFonts w:ascii="宋体" w:hAnsi="宋体" w:cs="宋体"/>
          <w:color w:val="auto"/>
          <w:sz w:val="24"/>
          <w:highlight w:val="none"/>
        </w:rPr>
      </w:pPr>
    </w:p>
    <w:p>
      <w:pPr>
        <w:spacing w:line="360" w:lineRule="auto"/>
        <w:ind w:left="853" w:hanging="849" w:hangingChars="354"/>
        <w:rPr>
          <w:rFonts w:ascii="宋体" w:hAnsi="宋体" w:cs="宋体"/>
          <w:color w:val="auto"/>
          <w:sz w:val="24"/>
          <w:highlight w:val="none"/>
        </w:rPr>
      </w:pPr>
      <w:r>
        <w:rPr>
          <w:rFonts w:hint="eastAsia" w:ascii="宋体" w:hAnsi="宋体" w:cs="宋体"/>
          <w:b/>
          <w:bCs/>
          <w:color w:val="auto"/>
          <w:sz w:val="24"/>
          <w:highlight w:val="none"/>
        </w:rPr>
        <w:t>3.2    质疑和澄清</w:t>
      </w:r>
    </w:p>
    <w:p>
      <w:pPr>
        <w:spacing w:line="360" w:lineRule="auto"/>
        <w:ind w:left="850" w:hanging="849" w:hangingChars="354"/>
        <w:jc w:val="left"/>
        <w:rPr>
          <w:rFonts w:ascii="宋体" w:hAnsi="宋体" w:cs="宋体"/>
          <w:color w:val="auto"/>
          <w:sz w:val="24"/>
          <w:highlight w:val="none"/>
        </w:rPr>
      </w:pP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3.2.1  投标人应认真审阅招标文件和有关资料，尽力澄清一切疑点，对工程现场和周围环境进行勘察，以获取编制投标文件和签署合同所需的所有资料。</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3.2.2  投标人和其他利害关系人如对招标文件及随后收到的有关资料有任何异议的，应当在投标截止时间10日前向招标人提出。招标人应当自收到异议之日起3日内作出答复；作出答复前，应当暂停招标投标活动。</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3.2.4  澄清或答疑纪要是招标文件的组成部分，对投标人起约束作用。若招标答疑纪要或澄清与招标文件有矛盾时，以交易平台网站最后发布的答疑纪要或澄清为准。</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3.2.5  网上答疑的具体操作详见交易平台发布的相关操作指引。</w:t>
      </w:r>
    </w:p>
    <w:p>
      <w:pPr>
        <w:spacing w:line="360" w:lineRule="auto"/>
        <w:ind w:left="850" w:hanging="849" w:hangingChars="354"/>
        <w:rPr>
          <w:rFonts w:ascii="宋体" w:hAnsi="宋体" w:cs="宋体"/>
          <w:color w:val="auto"/>
          <w:sz w:val="24"/>
          <w:highlight w:val="none"/>
        </w:rPr>
      </w:pPr>
    </w:p>
    <w:p>
      <w:pPr>
        <w:spacing w:line="360" w:lineRule="auto"/>
        <w:ind w:left="853" w:hanging="849" w:hangingChars="354"/>
        <w:rPr>
          <w:rFonts w:ascii="宋体" w:hAnsi="宋体" w:cs="宋体"/>
          <w:color w:val="auto"/>
          <w:sz w:val="24"/>
          <w:highlight w:val="none"/>
        </w:rPr>
      </w:pPr>
      <w:r>
        <w:rPr>
          <w:rFonts w:hint="eastAsia" w:ascii="宋体" w:hAnsi="宋体" w:cs="宋体"/>
          <w:b/>
          <w:bCs/>
          <w:color w:val="auto"/>
          <w:sz w:val="24"/>
          <w:highlight w:val="none"/>
        </w:rPr>
        <w:t>3.3    投标文件编制要求</w:t>
      </w:r>
    </w:p>
    <w:p>
      <w:pPr>
        <w:spacing w:line="360" w:lineRule="auto"/>
        <w:ind w:left="850" w:hanging="849" w:hangingChars="354"/>
        <w:rPr>
          <w:rFonts w:ascii="宋体" w:hAnsi="宋体" w:cs="宋体"/>
          <w:color w:val="auto"/>
          <w:sz w:val="24"/>
          <w:highlight w:val="none"/>
        </w:rPr>
      </w:pP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3.3.1  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3.3.2  每个投标人报送一个投标方案，投标文件应达到招标文件规定的深度，满足评审需要。不响应招标文件要求的投标文件可能被拒绝，责任由投标人自负。</w:t>
      </w:r>
    </w:p>
    <w:p>
      <w:pPr>
        <w:spacing w:line="360" w:lineRule="auto"/>
        <w:ind w:left="850" w:hanging="849" w:hangingChars="354"/>
        <w:jc w:val="left"/>
        <w:rPr>
          <w:rFonts w:ascii="宋体" w:hAnsi="宋体" w:cs="宋体"/>
          <w:color w:val="auto"/>
          <w:kern w:val="0"/>
          <w:sz w:val="24"/>
          <w:highlight w:val="none"/>
        </w:rPr>
      </w:pPr>
      <w:r>
        <w:rPr>
          <w:rFonts w:hint="eastAsia" w:ascii="宋体" w:hAnsi="宋体" w:cs="宋体"/>
          <w:color w:val="auto"/>
          <w:sz w:val="24"/>
          <w:highlight w:val="none"/>
        </w:rPr>
        <w:t>3.3.3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3.3.4  投标文件加密要求</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3.3.4.1递交的电子投标文件必须进行加密。具体操作详见交易平台发布的相关操作指引。</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3.3.4.2 未按要求加密的投标文件，交易平台将予以拒收。</w:t>
      </w:r>
    </w:p>
    <w:p>
      <w:pPr>
        <w:spacing w:line="360" w:lineRule="auto"/>
        <w:ind w:left="850" w:hanging="849" w:hangingChars="354"/>
        <w:rPr>
          <w:rFonts w:ascii="宋体" w:hAnsi="宋体" w:cs="宋体"/>
          <w:color w:val="auto"/>
          <w:sz w:val="24"/>
          <w:highlight w:val="none"/>
        </w:rPr>
      </w:pPr>
    </w:p>
    <w:p>
      <w:pPr>
        <w:spacing w:line="360" w:lineRule="auto"/>
        <w:ind w:left="853" w:hanging="849" w:hangingChars="354"/>
        <w:rPr>
          <w:rFonts w:ascii="宋体" w:hAnsi="宋体" w:cs="宋体"/>
          <w:b/>
          <w:bCs/>
          <w:color w:val="auto"/>
          <w:kern w:val="0"/>
          <w:sz w:val="24"/>
          <w:highlight w:val="none"/>
        </w:rPr>
      </w:pPr>
      <w:r>
        <w:rPr>
          <w:rFonts w:hint="eastAsia" w:ascii="宋体" w:hAnsi="宋体" w:cs="宋体"/>
          <w:b/>
          <w:bCs/>
          <w:color w:val="auto"/>
          <w:kern w:val="0"/>
          <w:sz w:val="24"/>
          <w:highlight w:val="none"/>
        </w:rPr>
        <w:t>3.4    延期</w:t>
      </w:r>
    </w:p>
    <w:p>
      <w:pPr>
        <w:spacing w:line="360" w:lineRule="auto"/>
        <w:ind w:left="850" w:hanging="849" w:hangingChars="354"/>
        <w:rPr>
          <w:rFonts w:ascii="宋体" w:hAnsi="宋体" w:cs="宋体"/>
          <w:color w:val="auto"/>
          <w:sz w:val="24"/>
          <w:highlight w:val="none"/>
        </w:rPr>
      </w:pP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3.4.1  如果招标过程出现监督机构、招标管理机构要求暂停、重新评标等意外情形，招标投标各项期限相应延长。</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3.4.2  为使投标人在编制投标文件时把</w:t>
      </w:r>
      <w:r>
        <w:rPr>
          <w:rFonts w:hint="eastAsia" w:ascii="宋体" w:hAnsi="宋体" w:cs="宋体"/>
          <w:color w:val="auto"/>
          <w:kern w:val="0"/>
          <w:sz w:val="24"/>
          <w:highlight w:val="none"/>
        </w:rPr>
        <w:t>招标人对招标文件的澄清、修改和</w:t>
      </w:r>
      <w:r>
        <w:rPr>
          <w:rFonts w:hint="eastAsia" w:ascii="宋体" w:hAnsi="宋体" w:cs="宋体"/>
          <w:color w:val="auto"/>
          <w:sz w:val="24"/>
          <w:highlight w:val="none"/>
        </w:rPr>
        <w:t>补充内容考虑进去，招标人可以酌情延长提交投标文件的截止日期。</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3.4.3  某几个投标人因无法控制的原因不能如期提交投标文件，影响到提交投标文件的人数少于三人，招标人可以决定展延截止日期。延长提交投标文件截标日期和截止时间的决定由招标人作出。</w:t>
      </w:r>
    </w:p>
    <w:p>
      <w:pPr>
        <w:spacing w:line="360" w:lineRule="auto"/>
        <w:ind w:left="850" w:hanging="849" w:hangingChars="354"/>
        <w:rPr>
          <w:rFonts w:ascii="宋体" w:hAnsi="宋体" w:cs="宋体"/>
          <w:color w:val="auto"/>
          <w:sz w:val="24"/>
          <w:highlight w:val="none"/>
        </w:rPr>
      </w:pPr>
    </w:p>
    <w:p>
      <w:pPr>
        <w:spacing w:line="360" w:lineRule="auto"/>
        <w:ind w:left="853" w:hanging="849" w:hangingChars="354"/>
        <w:rPr>
          <w:rFonts w:ascii="宋体" w:hAnsi="宋体" w:cs="宋体"/>
          <w:b/>
          <w:bCs/>
          <w:color w:val="auto"/>
          <w:sz w:val="24"/>
          <w:highlight w:val="none"/>
        </w:rPr>
      </w:pPr>
      <w:r>
        <w:rPr>
          <w:rFonts w:hint="eastAsia" w:ascii="宋体" w:hAnsi="宋体" w:cs="宋体"/>
          <w:b/>
          <w:bCs/>
          <w:color w:val="auto"/>
          <w:sz w:val="24"/>
          <w:highlight w:val="none"/>
        </w:rPr>
        <w:t>3.5    投标时间</w:t>
      </w:r>
    </w:p>
    <w:p>
      <w:pPr>
        <w:spacing w:line="360" w:lineRule="auto"/>
        <w:ind w:left="850" w:hanging="849" w:hangingChars="354"/>
        <w:rPr>
          <w:rFonts w:ascii="宋体" w:hAnsi="宋体" w:cs="宋体"/>
          <w:color w:val="auto"/>
          <w:sz w:val="24"/>
          <w:highlight w:val="none"/>
        </w:rPr>
      </w:pP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3.5.1  投标截止时间自本工程招标公告发布之日起计。</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3.5.2  具体投标截止时间以招标人（招标代理机构）的最新通知为准，请各投标人留意交易平台网站发布的本工程相关信息。</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3.5.3  到投标截止时间止，招标人收到的投标文件少于3家的，招标人将重新组织招标（当N个标段同时招标且不允许兼中时，若有效投标人不足N+2家，则重新组织招标）。</w:t>
      </w:r>
    </w:p>
    <w:p>
      <w:pPr>
        <w:spacing w:line="360" w:lineRule="auto"/>
        <w:ind w:left="850" w:hanging="849" w:hangingChars="354"/>
        <w:rPr>
          <w:rFonts w:ascii="宋体" w:hAnsi="宋体" w:cs="宋体"/>
          <w:color w:val="auto"/>
          <w:sz w:val="24"/>
          <w:highlight w:val="none"/>
        </w:rPr>
      </w:pPr>
    </w:p>
    <w:p>
      <w:pPr>
        <w:spacing w:line="360" w:lineRule="auto"/>
        <w:ind w:left="853" w:hanging="849" w:hangingChars="354"/>
        <w:rPr>
          <w:rFonts w:ascii="宋体" w:hAnsi="宋体" w:cs="宋体"/>
          <w:b/>
          <w:bCs/>
          <w:color w:val="auto"/>
          <w:sz w:val="24"/>
          <w:highlight w:val="none"/>
        </w:rPr>
      </w:pPr>
      <w:r>
        <w:rPr>
          <w:rFonts w:hint="eastAsia" w:ascii="宋体" w:hAnsi="宋体" w:cs="宋体"/>
          <w:b/>
          <w:bCs/>
          <w:color w:val="auto"/>
          <w:sz w:val="24"/>
          <w:highlight w:val="none"/>
        </w:rPr>
        <w:t>3.6    投标文件的递交和接受</w:t>
      </w:r>
    </w:p>
    <w:p>
      <w:pPr>
        <w:spacing w:line="360" w:lineRule="auto"/>
        <w:ind w:left="850" w:hanging="849" w:hangingChars="354"/>
        <w:rPr>
          <w:rFonts w:ascii="宋体" w:hAnsi="宋体" w:cs="宋体"/>
          <w:color w:val="auto"/>
          <w:sz w:val="24"/>
          <w:highlight w:val="none"/>
        </w:rPr>
      </w:pP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3.6.1  投标人通过下载招标文件的交易平台递交电子投标文件。</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3.6.2  投标人完成电子投标文件上传后，交易平台即时向投标人发出递交回执通知。递交时间以递交回执通知载明的传输完成时间为准。</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3.6.3  如按招标公告要求需要提交投标文件光盘（备用），备用光盘不得加密。如使用投标文件光盘（备用）时无法读取或导入的，则视为未提交投标文件。</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3.6.4  逾期送达的投标文件，交易平台将予以拒收。</w:t>
      </w:r>
    </w:p>
    <w:p>
      <w:pPr>
        <w:spacing w:line="360" w:lineRule="auto"/>
        <w:ind w:left="850" w:hanging="849" w:hangingChars="354"/>
        <w:jc w:val="left"/>
        <w:rPr>
          <w:rFonts w:ascii="宋体" w:hAnsi="宋体" w:cs="宋体"/>
          <w:color w:val="auto"/>
          <w:sz w:val="24"/>
          <w:highlight w:val="none"/>
        </w:rPr>
      </w:pPr>
    </w:p>
    <w:p>
      <w:pPr>
        <w:spacing w:line="360" w:lineRule="auto"/>
        <w:ind w:left="853" w:hanging="849" w:hangingChars="354"/>
        <w:jc w:val="left"/>
        <w:rPr>
          <w:rFonts w:ascii="宋体" w:hAnsi="宋体" w:cs="宋体"/>
          <w:b/>
          <w:color w:val="auto"/>
          <w:sz w:val="24"/>
          <w:highlight w:val="none"/>
        </w:rPr>
      </w:pPr>
      <w:r>
        <w:rPr>
          <w:rFonts w:hint="eastAsia" w:ascii="宋体" w:hAnsi="宋体" w:cs="宋体"/>
          <w:b/>
          <w:color w:val="auto"/>
          <w:sz w:val="24"/>
          <w:highlight w:val="none"/>
        </w:rPr>
        <w:t>3.7    投标文件的修改与撤回</w:t>
      </w:r>
    </w:p>
    <w:p>
      <w:pPr>
        <w:spacing w:line="360" w:lineRule="auto"/>
        <w:ind w:left="853" w:hanging="849" w:hangingChars="354"/>
        <w:jc w:val="left"/>
        <w:rPr>
          <w:rFonts w:ascii="宋体" w:hAnsi="宋体" w:cs="宋体"/>
          <w:b/>
          <w:color w:val="auto"/>
          <w:sz w:val="24"/>
          <w:highlight w:val="none"/>
        </w:rPr>
      </w:pP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3.7.1  在规定的投标截止时间前，投标人可以修改或撤回已递交的投标文件。</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3.7.2  投标人修改或撤回已递交的投标文件，需在交易平台发出撤回通知，并按要求加盖电子印章。电子招标投标交易平台收到通知后，即时向投标人发布确认回执通知。</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3.7.3  修改后再次递交的，按3.6的规定执行。</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3.7.4  在投标截止时间后，投标人不得补充、修改或更换投标文件。</w:t>
      </w:r>
    </w:p>
    <w:p>
      <w:pPr>
        <w:spacing w:line="360" w:lineRule="auto"/>
        <w:ind w:left="850" w:hanging="849" w:hangingChars="354"/>
        <w:jc w:val="left"/>
        <w:rPr>
          <w:rFonts w:ascii="宋体" w:hAnsi="宋体" w:cs="宋体"/>
          <w:color w:val="auto"/>
          <w:sz w:val="24"/>
          <w:highlight w:val="none"/>
        </w:rPr>
      </w:pPr>
    </w:p>
    <w:p>
      <w:pPr>
        <w:spacing w:line="360" w:lineRule="auto"/>
        <w:ind w:left="853" w:hanging="849" w:hangingChars="354"/>
        <w:jc w:val="left"/>
        <w:rPr>
          <w:rFonts w:ascii="宋体" w:hAnsi="宋体" w:cs="宋体"/>
          <w:b/>
          <w:color w:val="auto"/>
          <w:sz w:val="24"/>
          <w:highlight w:val="none"/>
        </w:rPr>
      </w:pPr>
      <w:r>
        <w:rPr>
          <w:rFonts w:hint="eastAsia" w:ascii="宋体" w:hAnsi="宋体" w:cs="宋体"/>
          <w:b/>
          <w:color w:val="auto"/>
          <w:sz w:val="24"/>
          <w:highlight w:val="none"/>
        </w:rPr>
        <w:t>3.8    电子招标投标解密失败及突发状况的补救</w:t>
      </w:r>
    </w:p>
    <w:p>
      <w:pPr>
        <w:spacing w:line="360" w:lineRule="auto"/>
        <w:ind w:left="853" w:hanging="849" w:hangingChars="354"/>
        <w:jc w:val="left"/>
        <w:rPr>
          <w:rFonts w:ascii="宋体" w:hAnsi="宋体" w:cs="宋体"/>
          <w:b/>
          <w:color w:val="auto"/>
          <w:sz w:val="24"/>
          <w:highlight w:val="none"/>
        </w:rPr>
      </w:pP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3.8.1  提交投标文件光盘备用</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3.8.2  补救方案</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3.8.2.1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3.8.2.2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3.8.2.3除发生上述情况外，开标评标均以投标人通过交易平台网上递交的电子投标文件为准。</w:t>
      </w:r>
    </w:p>
    <w:p>
      <w:pPr>
        <w:spacing w:line="360" w:lineRule="auto"/>
        <w:ind w:left="850" w:hanging="849" w:hangingChars="354"/>
        <w:jc w:val="left"/>
        <w:rPr>
          <w:rFonts w:ascii="宋体" w:hAnsi="宋体" w:cs="宋体"/>
          <w:color w:val="auto"/>
          <w:sz w:val="24"/>
          <w:highlight w:val="none"/>
        </w:rPr>
      </w:pPr>
    </w:p>
    <w:p>
      <w:pPr>
        <w:spacing w:line="360" w:lineRule="auto"/>
        <w:ind w:left="853" w:hanging="849" w:hangingChars="354"/>
        <w:rPr>
          <w:rFonts w:ascii="宋体" w:hAnsi="宋体" w:cs="宋体"/>
          <w:b/>
          <w:bCs/>
          <w:color w:val="auto"/>
          <w:sz w:val="24"/>
          <w:highlight w:val="none"/>
        </w:rPr>
      </w:pPr>
      <w:r>
        <w:rPr>
          <w:rFonts w:hint="eastAsia" w:ascii="宋体" w:hAnsi="宋体" w:cs="宋体"/>
          <w:b/>
          <w:bCs/>
          <w:color w:val="auto"/>
          <w:sz w:val="24"/>
          <w:highlight w:val="none"/>
        </w:rPr>
        <w:t>3.9    开标及投标文件编号</w:t>
      </w:r>
    </w:p>
    <w:p>
      <w:pPr>
        <w:spacing w:line="360" w:lineRule="auto"/>
        <w:ind w:left="850" w:hanging="849" w:hangingChars="354"/>
        <w:jc w:val="left"/>
        <w:rPr>
          <w:rFonts w:ascii="宋体" w:hAnsi="宋体" w:cs="宋体"/>
          <w:color w:val="auto"/>
          <w:sz w:val="24"/>
          <w:highlight w:val="none"/>
        </w:rPr>
      </w:pP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3.9.1  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3.9.2  截标后，开标开始时间因故推迟的，相关评标信息仍以原定的开标开始时间的信息为准。</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3.9.3  备用光盘的读取按3.8.2的规定执行。</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3.9.4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3.9.5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3.9.6  参加现场开标的投标人对开标结果有异议的，应当在开标现场提出，招标人应当当场作出答复，并制作记录。</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3.9.7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3.9.8  投标人未参加开标或在规定的时间内未提出异议的，视为对开标无异议。</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3.9.9  开标时，两个（含两个）以上的投标人加密打包投标文件电脑机器特征码一致的，不参与下一程序，并由评标委员会否决其投标。</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3.9.10 投标文件（设计方案）开标时不得开启，在评标时由交易平台随机编号后开启，交由评标委员会进行评审。编号所对应的投标人在投票结束前不得告知评标委员会、交易平台工作人员、招标人或招标代理机构。</w:t>
      </w:r>
    </w:p>
    <w:p>
      <w:pPr>
        <w:spacing w:line="360" w:lineRule="auto"/>
        <w:ind w:left="850" w:hanging="849" w:hangingChars="354"/>
        <w:jc w:val="left"/>
        <w:rPr>
          <w:rFonts w:ascii="宋体" w:hAnsi="宋体" w:cs="宋体"/>
          <w:color w:val="auto"/>
          <w:sz w:val="24"/>
          <w:highlight w:val="none"/>
        </w:rPr>
      </w:pPr>
    </w:p>
    <w:p>
      <w:pPr>
        <w:spacing w:line="360" w:lineRule="auto"/>
        <w:ind w:left="853" w:hanging="849" w:hangingChars="354"/>
        <w:rPr>
          <w:rFonts w:ascii="宋体" w:hAnsi="宋体" w:cs="宋体"/>
          <w:b/>
          <w:bCs/>
          <w:color w:val="auto"/>
          <w:sz w:val="24"/>
          <w:highlight w:val="none"/>
        </w:rPr>
      </w:pPr>
      <w:r>
        <w:rPr>
          <w:rFonts w:hint="eastAsia" w:ascii="宋体" w:hAnsi="宋体" w:cs="宋体"/>
          <w:b/>
          <w:bCs/>
          <w:color w:val="auto"/>
          <w:sz w:val="24"/>
          <w:highlight w:val="none"/>
        </w:rPr>
        <w:t>3.10   投标保证</w:t>
      </w:r>
    </w:p>
    <w:p>
      <w:pPr>
        <w:spacing w:line="360" w:lineRule="auto"/>
        <w:ind w:left="850" w:hanging="849" w:hangingChars="354"/>
        <w:rPr>
          <w:rFonts w:ascii="宋体" w:hAnsi="宋体" w:cs="宋体"/>
          <w:color w:val="auto"/>
          <w:sz w:val="24"/>
          <w:highlight w:val="none"/>
        </w:rPr>
      </w:pP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3.10.1 投标人不需要提交投标保证金，评标结果揭晓后，中标候选人所得投标补偿转作保证金，确定中标人后立即返还，其中中标人的保证金待签订合同后立即返还。如果重新招标，保证金立即返还。</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 xml:space="preserve">3.10.2 </w:t>
      </w:r>
      <w:r>
        <w:rPr>
          <w:rFonts w:hint="eastAsia" w:ascii="宋体" w:hAnsi="宋体" w:cs="宋体"/>
          <w:color w:val="auto"/>
          <w:kern w:val="0"/>
          <w:sz w:val="24"/>
          <w:highlight w:val="none"/>
        </w:rPr>
        <w:t>投标有效期90天，</w:t>
      </w:r>
      <w:r>
        <w:rPr>
          <w:rFonts w:hint="eastAsia" w:ascii="宋体" w:hAnsi="宋体" w:cs="宋体"/>
          <w:color w:val="auto"/>
          <w:sz w:val="24"/>
          <w:highlight w:val="none"/>
        </w:rPr>
        <w:t>从提交投标文件截止日起计算。在提交投标文件截止时间后到招标文件规定的投标有效期终止之前，投标人不得补充、修改或者撤回其投标文件，否则其保证金将被没收。</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3.10.3 招标人因特殊情况需要延长提交投标文件截止时间，投标人可以拒绝投标，招标人对退出的投标人不作任何经济补偿。同意延长投标有效期的投标人，在延长期内本招标文件的规定仍然适用。</w:t>
      </w:r>
    </w:p>
    <w:p>
      <w:pPr>
        <w:spacing w:line="360" w:lineRule="auto"/>
        <w:ind w:left="850" w:hanging="849" w:hangingChars="354"/>
        <w:rPr>
          <w:rFonts w:ascii="宋体" w:hAnsi="宋体" w:cs="宋体"/>
          <w:color w:val="auto"/>
          <w:kern w:val="0"/>
          <w:sz w:val="24"/>
          <w:highlight w:val="none"/>
        </w:rPr>
      </w:pPr>
    </w:p>
    <w:p>
      <w:pPr>
        <w:spacing w:line="360" w:lineRule="auto"/>
        <w:ind w:left="853" w:hanging="849" w:hangingChars="354"/>
        <w:rPr>
          <w:rFonts w:ascii="宋体" w:hAnsi="宋体" w:cs="宋体"/>
          <w:b/>
          <w:bCs/>
          <w:color w:val="auto"/>
          <w:kern w:val="0"/>
          <w:sz w:val="24"/>
          <w:highlight w:val="none"/>
        </w:rPr>
      </w:pPr>
      <w:r>
        <w:rPr>
          <w:rFonts w:hint="eastAsia" w:ascii="宋体" w:hAnsi="宋体" w:cs="宋体"/>
          <w:b/>
          <w:bCs/>
          <w:color w:val="auto"/>
          <w:kern w:val="0"/>
          <w:sz w:val="24"/>
          <w:highlight w:val="none"/>
        </w:rPr>
        <w:t>3.11    投标人不得存在下列情形之一：</w:t>
      </w:r>
    </w:p>
    <w:p>
      <w:pPr>
        <w:spacing w:line="360" w:lineRule="auto"/>
        <w:ind w:left="850" w:hanging="849" w:hangingChars="354"/>
        <w:rPr>
          <w:rFonts w:ascii="宋体" w:hAnsi="宋体" w:cs="宋体"/>
          <w:color w:val="auto"/>
          <w:kern w:val="0"/>
          <w:sz w:val="24"/>
          <w:highlight w:val="none"/>
        </w:rPr>
      </w:pP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（1）为招标人不具有独立法人资格的附属机构（单位）；</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（2）与招标人存在利害关系且可能影响招标公正性；</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（3）与本招标项目的其他投标人为同一个单位负责人；</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（4）与本招标项目的其他投标人存在控股、管理关系；</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（5）为本招标项目的代建人；</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（6）为本招标项目的招标代理机构；</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（7）与本招标项目的代建人或招标代理机构同为一个法定代表人；</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（8）与本招标项目的代建人或招标代理机构存在控股或参股关系；</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（9）被依法暂停或者取消投标资格；</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（10）被责令停产停业、暂扣或者吊销许可证、暂扣或者吊销执照；</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（11）进入清算程序，或被宣告破产，或其他丧失履约能力的情形；</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（12）在最近三年内发生重大设计质量问题（以相关行业主管部门的行政处罚决定或司法机关出具的有关法律文书为准）；</w:t>
      </w:r>
    </w:p>
    <w:p>
      <w:pPr>
        <w:numPr>
          <w:ilvl w:val="0"/>
          <w:numId w:val="3"/>
        </w:num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被工商行政管理机关在全国企业信用信息公示系统中列入严重违法失信企业名单；</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（14）被最高人民法院在“信用中国”网站（www.creditchina.gov.cn）或各级信用信息共享平台中列入失信被执行人名单；</w:t>
      </w:r>
    </w:p>
    <w:p>
      <w:pPr>
        <w:spacing w:line="360" w:lineRule="auto"/>
        <w:ind w:left="850" w:hanging="849" w:hangingChars="354"/>
        <w:jc w:val="center"/>
        <w:rPr>
          <w:rFonts w:ascii="宋体" w:hAnsi="宋体" w:cs="宋体"/>
          <w:color w:val="auto"/>
          <w:kern w:val="0"/>
          <w:sz w:val="24"/>
          <w:highlight w:val="none"/>
        </w:rPr>
      </w:pPr>
      <w:r>
        <w:rPr>
          <w:rFonts w:hint="eastAsia" w:ascii="宋体" w:hAnsi="宋体" w:cs="宋体"/>
          <w:color w:val="auto"/>
          <w:kern w:val="0"/>
          <w:sz w:val="24"/>
          <w:highlight w:val="none"/>
        </w:rPr>
        <w:t>（15）在近三年内投标人或其法定代表人、拟委任的项目负责人有行贿犯罪行为的。</w:t>
      </w:r>
    </w:p>
    <w:p>
      <w:pPr>
        <w:keepNext/>
        <w:keepLines/>
        <w:spacing w:before="340" w:after="330" w:line="578" w:lineRule="auto"/>
        <w:jc w:val="center"/>
        <w:outlineLvl w:val="0"/>
        <w:rPr>
          <w:rFonts w:ascii="宋体" w:hAnsi="宋体" w:cs="宋体"/>
          <w:b/>
          <w:bCs/>
          <w:color w:val="auto"/>
          <w:kern w:val="44"/>
          <w:sz w:val="24"/>
          <w:highlight w:val="none"/>
        </w:rPr>
      </w:pPr>
      <w:r>
        <w:rPr>
          <w:rFonts w:hint="eastAsia" w:ascii="宋体" w:hAnsi="宋体" w:cs="宋体"/>
          <w:b/>
          <w:bCs/>
          <w:color w:val="auto"/>
          <w:kern w:val="44"/>
          <w:sz w:val="24"/>
          <w:highlight w:val="none"/>
        </w:rPr>
        <w:br w:type="page"/>
      </w:r>
      <w:bookmarkStart w:id="8" w:name="_Toc97803960"/>
      <w:bookmarkStart w:id="9" w:name="_Toc17956"/>
      <w:r>
        <w:rPr>
          <w:rFonts w:hint="eastAsia" w:ascii="宋体" w:hAnsi="宋体" w:cs="宋体"/>
          <w:b/>
          <w:bCs/>
          <w:color w:val="auto"/>
          <w:kern w:val="44"/>
          <w:sz w:val="36"/>
          <w:szCs w:val="36"/>
          <w:highlight w:val="none"/>
        </w:rPr>
        <w:t>第四章  评标</w:t>
      </w:r>
      <w:bookmarkEnd w:id="8"/>
      <w:r>
        <w:rPr>
          <w:rFonts w:hint="eastAsia" w:ascii="宋体" w:hAnsi="宋体" w:cs="宋体"/>
          <w:b/>
          <w:bCs/>
          <w:color w:val="auto"/>
          <w:kern w:val="44"/>
          <w:sz w:val="36"/>
          <w:szCs w:val="36"/>
          <w:highlight w:val="none"/>
          <w:u w:val="single"/>
        </w:rPr>
        <w:t>（范本原文）</w:t>
      </w:r>
      <w:bookmarkEnd w:id="9"/>
    </w:p>
    <w:p>
      <w:pPr>
        <w:spacing w:line="360" w:lineRule="auto"/>
        <w:ind w:left="425" w:hanging="424" w:hangingChars="177"/>
        <w:rPr>
          <w:rFonts w:ascii="宋体" w:hAnsi="宋体" w:cs="宋体"/>
          <w:color w:val="auto"/>
          <w:kern w:val="0"/>
          <w:sz w:val="24"/>
          <w:highlight w:val="none"/>
        </w:rPr>
      </w:pPr>
    </w:p>
    <w:p>
      <w:pPr>
        <w:spacing w:line="360" w:lineRule="auto"/>
        <w:ind w:left="426" w:hanging="424" w:hangingChars="177"/>
        <w:rPr>
          <w:rFonts w:ascii="宋体" w:hAnsi="宋体" w:cs="宋体"/>
          <w:b/>
          <w:bCs/>
          <w:color w:val="auto"/>
          <w:sz w:val="24"/>
          <w:highlight w:val="none"/>
        </w:rPr>
      </w:pPr>
      <w:r>
        <w:rPr>
          <w:rFonts w:hint="eastAsia" w:ascii="宋体" w:hAnsi="宋体" w:cs="宋体"/>
          <w:b/>
          <w:bCs/>
          <w:color w:val="auto"/>
          <w:sz w:val="24"/>
          <w:highlight w:val="none"/>
        </w:rPr>
        <w:t>4.1    否决投标</w:t>
      </w:r>
    </w:p>
    <w:p>
      <w:pPr>
        <w:spacing w:line="360" w:lineRule="auto"/>
        <w:ind w:left="425" w:hanging="424" w:hangingChars="177"/>
        <w:rPr>
          <w:rFonts w:ascii="宋体" w:hAnsi="宋体" w:cs="宋体"/>
          <w:color w:val="auto"/>
          <w:sz w:val="24"/>
          <w:highlight w:val="none"/>
        </w:rPr>
      </w:pP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4.1.1  投标人有下列情况之一的，评标委员会应当否决其投标：</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 xml:space="preserve">   (a) 投标人与招标人、评标委员会成员或者其他投标人串通投标；</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 xml:space="preserve">   (b) 投标人之间存在《广东省实施&lt;中华人民共和国招标投标法&gt;》第十六条所禁止的情形的；</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4.1.2  有下列情况之一的，评标委员会应当否决其投标：</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 xml:space="preserve">   (a) 《投标书》未加盖投标人公章，也未经法定代表人或者其授权代表签字；</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 xml:space="preserve">   (b) 《投标书》包含有招标人不能接受的偏差，并且投标人拒绝书面撤回偏差；</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 xml:space="preserve">   (c) 《投标人声明》未按规定格式填写或未加盖投标人公章（适用于未设资格审查环节的项目）；</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4.1.3  投标文件有下列情况之一的，评标委员会应当否决其投标：</w:t>
      </w:r>
    </w:p>
    <w:p>
      <w:pPr>
        <w:spacing w:line="360" w:lineRule="auto"/>
        <w:ind w:left="425" w:hanging="424" w:hangingChars="177"/>
        <w:jc w:val="left"/>
        <w:rPr>
          <w:rFonts w:ascii="宋体" w:hAnsi="宋体" w:cs="宋体"/>
          <w:color w:val="auto"/>
          <w:sz w:val="24"/>
          <w:highlight w:val="none"/>
        </w:rPr>
      </w:pPr>
      <w:r>
        <w:rPr>
          <w:rFonts w:hint="eastAsia" w:ascii="宋体" w:hAnsi="宋体" w:cs="宋体"/>
          <w:color w:val="auto"/>
          <w:sz w:val="24"/>
          <w:highlight w:val="none"/>
        </w:rPr>
        <w:t xml:space="preserve">   (a) 投标人与其他投标人加密打包投标文件电脑机器特征码一致的；</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 xml:space="preserve">   (b) 投标人在设计方案内标注名称、印章、商标、图形等记认符号，使人辨认出投标人或其专业技术人员的身份；</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 xml:space="preserve">   (c)投标人之间存在《广东省实施&lt;中华人民共和国招标投标法&gt;》第十六条所禁止的情形的；</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 xml:space="preserve">  （d）投标报价高于最高投标限价的。</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4.1.4  投标人有下列情况之一的，视为串通投标：</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 xml:space="preserve">   (a) 递交投标文件前，投标人私下向招标人或其雇员出示或告知投标文件内容；</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 xml:space="preserve">   (b) 评标表决结束前，投标人私下向评标委员会成员出示或告知投标文件内容；</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 xml:space="preserve">   (c) 评标结果揭晓前，投标人与招标人就投标价格、投标方案等实质性内容进行谈判。</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4.1.5  发生下列情形之一的，招标人应当重新组织招标：</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 xml:space="preserve">   (a) 递交投标文件或通过资格审查的投标人不足三人；</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 xml:space="preserve">   (b) 所有投标被否决，或者经评议有效投标的投标人少于三人；</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 xml:space="preserve">   (c) 经项目审批部门会同行业主管部门裁定招标投标结果无效；</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4.1.6  否决投标的决定由评标委员会作出，其他投标人无权干涉。</w:t>
      </w:r>
    </w:p>
    <w:p>
      <w:pPr>
        <w:spacing w:line="360" w:lineRule="auto"/>
        <w:ind w:left="425" w:hanging="424" w:hangingChars="177"/>
        <w:rPr>
          <w:rFonts w:ascii="宋体" w:hAnsi="宋体" w:cs="宋体"/>
          <w:color w:val="auto"/>
          <w:sz w:val="24"/>
          <w:highlight w:val="none"/>
        </w:rPr>
      </w:pPr>
      <w:r>
        <w:rPr>
          <w:rFonts w:hint="eastAsia" w:ascii="宋体" w:hAnsi="宋体" w:cs="宋体"/>
          <w:color w:val="auto"/>
          <w:sz w:val="24"/>
          <w:highlight w:val="none"/>
        </w:rPr>
        <w:t>4.1.7  投标文件如果隐瞒不符合评审标准的事实，一切法律责任由投标人承担。</w:t>
      </w:r>
    </w:p>
    <w:p>
      <w:pPr>
        <w:spacing w:line="360" w:lineRule="auto"/>
        <w:ind w:left="425" w:hanging="424" w:hangingChars="177"/>
        <w:rPr>
          <w:rFonts w:ascii="宋体" w:hAnsi="宋体" w:cs="宋体"/>
          <w:color w:val="auto"/>
          <w:sz w:val="24"/>
          <w:highlight w:val="none"/>
        </w:rPr>
      </w:pPr>
    </w:p>
    <w:p>
      <w:pPr>
        <w:spacing w:line="360" w:lineRule="auto"/>
        <w:ind w:left="426" w:hanging="424" w:hangingChars="177"/>
        <w:rPr>
          <w:rFonts w:ascii="宋体" w:hAnsi="宋体" w:cs="宋体"/>
          <w:b/>
          <w:bCs/>
          <w:color w:val="auto"/>
          <w:kern w:val="0"/>
          <w:sz w:val="24"/>
          <w:highlight w:val="none"/>
        </w:rPr>
      </w:pPr>
      <w:r>
        <w:rPr>
          <w:rFonts w:hint="eastAsia" w:ascii="宋体" w:hAnsi="宋体" w:cs="宋体"/>
          <w:b/>
          <w:bCs/>
          <w:color w:val="auto"/>
          <w:kern w:val="0"/>
          <w:sz w:val="24"/>
          <w:highlight w:val="none"/>
        </w:rPr>
        <w:t>4.2    评标委员会</w:t>
      </w:r>
    </w:p>
    <w:p>
      <w:pPr>
        <w:spacing w:line="360" w:lineRule="auto"/>
        <w:ind w:left="425" w:hanging="424" w:hangingChars="177"/>
        <w:rPr>
          <w:rFonts w:ascii="宋体" w:hAnsi="宋体" w:cs="宋体"/>
          <w:color w:val="auto"/>
          <w:kern w:val="0"/>
          <w:sz w:val="24"/>
          <w:highlight w:val="none"/>
        </w:rPr>
      </w:pP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4.2.1  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4.2.2  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4.2.3  评标委员会成员至少应了解和熟悉招标的目标、范围、性质、主要技术要求和标准、商务条款、评标标准、评标方法和在评标过程中考虑的相关因素，并对所提出的评审意见承担个人责任。</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4.2.4  下列人员不得担任评标委员会成员：</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 xml:space="preserve">   (a) 从事相关领域工作不满八年（招标人代表除外）；</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 xml:space="preserve">   (b) 不具有高级职称或者同等专业水平（招标人代表除外）；</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 xml:space="preserve">   (c) 不熟悉评审本项目所必须的专业知识（招标人代表除外）；</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 xml:space="preserve">   (d) 评标前浏览过本项目的某个投标文件；</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 xml:space="preserve">   (e) 与投标人有利害关系；</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 xml:space="preserve">   (f) 招标代理机构的工作人员。</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4.2.5  如果评标专家到达评标地点后发现不符合本项目评标资格，酬金或交通费用按相关规定执行。</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4.2.6  评标委员会成员不得私下接触投标人，不得收受投标人的财物或者其他好处。</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4.2.7  评标委员会开展工作期间发生的费用和劳务报酬由招标人承担，若招标人与招标代理机构另有协议，按协议执行。</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4.2.8  评标结果在评标结束后公示，接受公众监督。</w:t>
      </w:r>
    </w:p>
    <w:p>
      <w:pPr>
        <w:spacing w:line="360" w:lineRule="auto"/>
        <w:ind w:left="850" w:hanging="849" w:hangingChars="354"/>
        <w:rPr>
          <w:rFonts w:ascii="宋体" w:hAnsi="宋体" w:cs="宋体"/>
          <w:color w:val="auto"/>
          <w:kern w:val="0"/>
          <w:sz w:val="24"/>
          <w:highlight w:val="none"/>
        </w:rPr>
      </w:pPr>
    </w:p>
    <w:p>
      <w:pPr>
        <w:spacing w:line="360" w:lineRule="auto"/>
        <w:ind w:left="853" w:hanging="849" w:hangingChars="354"/>
        <w:rPr>
          <w:rFonts w:ascii="宋体" w:hAnsi="宋体" w:cs="宋体"/>
          <w:b/>
          <w:color w:val="auto"/>
          <w:kern w:val="0"/>
          <w:sz w:val="24"/>
          <w:highlight w:val="none"/>
        </w:rPr>
      </w:pPr>
      <w:r>
        <w:rPr>
          <w:rFonts w:hint="eastAsia" w:ascii="宋体" w:hAnsi="宋体" w:cs="宋体"/>
          <w:b/>
          <w:color w:val="auto"/>
          <w:kern w:val="0"/>
          <w:sz w:val="24"/>
          <w:highlight w:val="none"/>
        </w:rPr>
        <w:t>4.3    定标委员会（如有）</w:t>
      </w:r>
    </w:p>
    <w:p>
      <w:pPr>
        <w:spacing w:line="360" w:lineRule="auto"/>
        <w:ind w:left="850" w:hanging="849" w:hangingChars="354"/>
        <w:rPr>
          <w:rFonts w:ascii="宋体" w:hAnsi="宋体" w:cs="宋体"/>
          <w:color w:val="auto"/>
          <w:kern w:val="0"/>
          <w:sz w:val="24"/>
          <w:highlight w:val="none"/>
        </w:rPr>
      </w:pPr>
      <w:r>
        <w:rPr>
          <w:rFonts w:hint="eastAsia" w:ascii="宋体" w:hAnsi="宋体" w:cs="宋体"/>
          <w:color w:val="auto"/>
          <w:kern w:val="0"/>
          <w:sz w:val="24"/>
          <w:highlight w:val="none"/>
        </w:rPr>
        <w:t>4.3.1  定标委员会由招标人组建。组建办法详见附表15《定标委员会的组成》</w:t>
      </w:r>
    </w:p>
    <w:p>
      <w:pPr>
        <w:spacing w:line="360" w:lineRule="auto"/>
        <w:ind w:left="850" w:hanging="849" w:hangingChars="354"/>
        <w:rPr>
          <w:rFonts w:ascii="宋体" w:hAnsi="宋体" w:cs="宋体"/>
          <w:color w:val="auto"/>
          <w:kern w:val="0"/>
          <w:sz w:val="24"/>
          <w:highlight w:val="none"/>
        </w:rPr>
      </w:pPr>
    </w:p>
    <w:p>
      <w:pPr>
        <w:spacing w:line="360" w:lineRule="auto"/>
        <w:ind w:left="853" w:hanging="849" w:hangingChars="354"/>
        <w:rPr>
          <w:rFonts w:ascii="宋体" w:hAnsi="宋体" w:cs="宋体"/>
          <w:b/>
          <w:bCs/>
          <w:color w:val="auto"/>
          <w:sz w:val="24"/>
          <w:highlight w:val="none"/>
        </w:rPr>
      </w:pPr>
      <w:r>
        <w:rPr>
          <w:rFonts w:hint="eastAsia" w:ascii="宋体" w:hAnsi="宋体" w:cs="宋体"/>
          <w:b/>
          <w:bCs/>
          <w:color w:val="auto"/>
          <w:sz w:val="24"/>
          <w:highlight w:val="none"/>
        </w:rPr>
        <w:t>4.4    评标原则</w:t>
      </w:r>
    </w:p>
    <w:p>
      <w:pPr>
        <w:spacing w:line="360" w:lineRule="auto"/>
        <w:ind w:left="850" w:hanging="849" w:hangingChars="354"/>
        <w:rPr>
          <w:rFonts w:ascii="宋体" w:hAnsi="宋体" w:cs="宋体"/>
          <w:color w:val="auto"/>
          <w:sz w:val="24"/>
          <w:highlight w:val="none"/>
        </w:rPr>
      </w:pP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4.4.1  评标委员会根据招标文件规定的评标标准和方法，对投标文件进行评审和比较，招标文件中没有规定的标准和方法不得作为评标的依据。</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4.4.2  在符合招标文件规定的前提下，评标委员会主要对投标方案的经济性、独创性、优越性、功能和造型、运行和维护费用、对环境的影响等进行比选、评价和裁定，确定方案的优劣。</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4.4.3  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pPr>
        <w:spacing w:line="360" w:lineRule="auto"/>
        <w:ind w:left="850" w:hanging="849" w:hangingChars="354"/>
        <w:rPr>
          <w:rFonts w:ascii="宋体" w:hAnsi="宋体" w:cs="宋体"/>
          <w:bCs/>
          <w:color w:val="auto"/>
          <w:sz w:val="24"/>
          <w:highlight w:val="none"/>
        </w:rPr>
      </w:pPr>
      <w:r>
        <w:rPr>
          <w:rFonts w:hint="eastAsia" w:ascii="宋体" w:hAnsi="宋体" w:cs="宋体"/>
          <w:color w:val="auto"/>
          <w:sz w:val="24"/>
          <w:highlight w:val="none"/>
        </w:rPr>
        <w:t xml:space="preserve">4.4.4  </w:t>
      </w:r>
      <w:r>
        <w:rPr>
          <w:rFonts w:hint="eastAsia" w:ascii="宋体" w:hAnsi="宋体" w:cs="宋体"/>
          <w:bCs/>
          <w:color w:val="auto"/>
          <w:sz w:val="24"/>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4.4.5  如果少数投标人超越招标文件要求提交了模型、演示动画或发生其他特殊情况，评标委员会对超越招标文件要求的内容不进行评审，只评审该投标文件符合要求的内容。</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4.4.6  评标委员会经评审，认为所有投标都不符合招标文件要求的，可以否决所有投标。如果所有投标被否决而重新招标，评标委员会成员及其从业机构不得参加投标。</w:t>
      </w:r>
    </w:p>
    <w:p>
      <w:pPr>
        <w:spacing w:line="360" w:lineRule="auto"/>
        <w:ind w:left="850" w:hanging="849" w:hangingChars="354"/>
        <w:rPr>
          <w:rFonts w:ascii="宋体" w:hAnsi="宋体" w:cs="宋体"/>
          <w:color w:val="auto"/>
          <w:sz w:val="24"/>
          <w:highlight w:val="none"/>
        </w:rPr>
      </w:pPr>
    </w:p>
    <w:p>
      <w:pPr>
        <w:spacing w:line="360" w:lineRule="auto"/>
        <w:ind w:left="853" w:hanging="849" w:hangingChars="354"/>
        <w:rPr>
          <w:rFonts w:ascii="宋体" w:hAnsi="宋体" w:cs="宋体"/>
          <w:b/>
          <w:bCs/>
          <w:color w:val="auto"/>
          <w:sz w:val="24"/>
          <w:highlight w:val="none"/>
        </w:rPr>
      </w:pPr>
      <w:r>
        <w:rPr>
          <w:rFonts w:hint="eastAsia" w:ascii="宋体" w:hAnsi="宋体" w:cs="宋体"/>
          <w:b/>
          <w:bCs/>
          <w:color w:val="auto"/>
          <w:sz w:val="24"/>
          <w:highlight w:val="none"/>
        </w:rPr>
        <w:t>4.5    评标办法</w:t>
      </w:r>
    </w:p>
    <w:p>
      <w:pPr>
        <w:spacing w:line="360" w:lineRule="auto"/>
        <w:ind w:left="850" w:hanging="849" w:hangingChars="354"/>
        <w:rPr>
          <w:rFonts w:ascii="宋体" w:hAnsi="宋体" w:cs="宋体"/>
          <w:b/>
          <w:bCs/>
          <w:color w:val="auto"/>
          <w:sz w:val="24"/>
          <w:highlight w:val="none"/>
        </w:rPr>
      </w:pPr>
      <w:r>
        <w:rPr>
          <w:rFonts w:hint="eastAsia" w:ascii="宋体" w:hAnsi="宋体" w:cs="宋体"/>
          <w:color w:val="auto"/>
          <w:sz w:val="24"/>
          <w:highlight w:val="none"/>
        </w:rPr>
        <w:t>[注释] 招标人应在招标文件修改表中明确适用于本项目的评标方法。</w:t>
      </w:r>
    </w:p>
    <w:p>
      <w:pPr>
        <w:spacing w:line="360" w:lineRule="auto"/>
        <w:ind w:left="850" w:hanging="849" w:hangingChars="354"/>
        <w:rPr>
          <w:rFonts w:ascii="宋体" w:hAnsi="宋体" w:cs="宋体"/>
          <w:color w:val="auto"/>
          <w:sz w:val="24"/>
          <w:highlight w:val="none"/>
        </w:rPr>
      </w:pP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4.5.1  是否采用评定分离：□是，入围定标环节的投标人家数：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名； </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 xml:space="preserve">                         □否。</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4.5.2  不采用评定分离项目的评标办法</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4.5.2.1招标人（招标代理机构）在不透露投标人身份的前提下（资格审查文件除外）将投标文件交给评标委员会，除4.5.2.2(g)中规定，不需要投标人派代表介绍投标方案。</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4.5.2.2如果评标委员会成员在交易服务机构评标，将按方法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规定的步骤进行：</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 xml:space="preserve">       方法一（设有资格审查环节的一阶段评标法）：a、b、c、d、e、f、h、i、j</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 xml:space="preserve">       方法二（设有资格审查环节的二阶段评标法）：a、b、c、d、e、f、g、h、i、j</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 xml:space="preserve">       方法三（未设资格审查环节的一阶段评标法）：a、d、e、f、h、i、j</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 xml:space="preserve">       方法四（未设资格审查环节的二阶段评标法）：a、d、e、f、g、h、i、j</w:t>
      </w:r>
    </w:p>
    <w:p>
      <w:pPr>
        <w:spacing w:line="360" w:lineRule="auto"/>
        <w:ind w:left="846" w:leftChars="202" w:hanging="422" w:hangingChars="176"/>
        <w:jc w:val="left"/>
        <w:rPr>
          <w:rFonts w:ascii="宋体" w:hAnsi="宋体" w:cs="宋体"/>
          <w:color w:val="auto"/>
          <w:sz w:val="24"/>
          <w:highlight w:val="none"/>
        </w:rPr>
      </w:pPr>
      <w:r>
        <w:rPr>
          <w:rFonts w:hint="eastAsia" w:ascii="宋体" w:hAnsi="宋体" w:cs="宋体"/>
          <w:color w:val="auto"/>
          <w:sz w:val="24"/>
          <w:highlight w:val="none"/>
        </w:rPr>
        <w:t>(a) 评标委员会成员依据招标文件规定，否决两个（含两个）以上的加密打包投标文件电脑机器特征码一致的投标人，不参与下一阶段评审。</w:t>
      </w:r>
    </w:p>
    <w:p>
      <w:pPr>
        <w:spacing w:line="360" w:lineRule="auto"/>
        <w:ind w:left="846" w:leftChars="202" w:hanging="422" w:hangingChars="176"/>
        <w:jc w:val="left"/>
        <w:rPr>
          <w:rFonts w:ascii="宋体" w:hAnsi="宋体" w:cs="宋体"/>
          <w:color w:val="auto"/>
          <w:sz w:val="24"/>
          <w:highlight w:val="none"/>
        </w:rPr>
      </w:pPr>
      <w:r>
        <w:rPr>
          <w:rFonts w:hint="eastAsia" w:ascii="宋体" w:hAnsi="宋体" w:cs="宋体"/>
          <w:color w:val="auto"/>
          <w:sz w:val="24"/>
          <w:highlight w:val="none"/>
        </w:rPr>
        <w:t>(b) 评标委员会成员依据招标文件规定，按附录12《资格审查表》对各投标人递交的投标文件进行资格审查。</w:t>
      </w:r>
    </w:p>
    <w:p>
      <w:pPr>
        <w:spacing w:line="360" w:lineRule="auto"/>
        <w:ind w:left="846" w:leftChars="202" w:hanging="422" w:hangingChars="176"/>
        <w:jc w:val="left"/>
        <w:rPr>
          <w:rFonts w:ascii="宋体" w:hAnsi="宋体" w:cs="宋体"/>
          <w:color w:val="auto"/>
          <w:sz w:val="24"/>
          <w:highlight w:val="none"/>
        </w:rPr>
      </w:pPr>
      <w:r>
        <w:rPr>
          <w:rFonts w:hint="eastAsia" w:ascii="宋体" w:hAnsi="宋体" w:cs="宋体"/>
          <w:color w:val="auto"/>
          <w:sz w:val="24"/>
          <w:highlight w:val="none"/>
        </w:rPr>
        <w:t>(c) 评标委员会成员汇总资格审查结果，编写资格审查报告。</w:t>
      </w:r>
    </w:p>
    <w:p>
      <w:pPr>
        <w:spacing w:line="360" w:lineRule="auto"/>
        <w:ind w:left="846" w:leftChars="202" w:hanging="422" w:hangingChars="176"/>
        <w:jc w:val="left"/>
        <w:rPr>
          <w:rFonts w:ascii="宋体" w:hAnsi="宋体" w:cs="宋体"/>
          <w:color w:val="auto"/>
          <w:sz w:val="24"/>
          <w:highlight w:val="none"/>
        </w:rPr>
      </w:pPr>
      <w:r>
        <w:rPr>
          <w:rFonts w:hint="eastAsia" w:ascii="宋体" w:hAnsi="宋体" w:cs="宋体"/>
          <w:color w:val="auto"/>
          <w:sz w:val="24"/>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pPr>
        <w:spacing w:line="360" w:lineRule="auto"/>
        <w:ind w:left="846" w:leftChars="202" w:hanging="422" w:hangingChars="176"/>
        <w:jc w:val="left"/>
        <w:rPr>
          <w:rFonts w:ascii="宋体" w:hAnsi="宋体" w:cs="宋体"/>
          <w:color w:val="auto"/>
          <w:sz w:val="24"/>
          <w:highlight w:val="none"/>
        </w:rPr>
      </w:pPr>
      <w:r>
        <w:rPr>
          <w:rFonts w:hint="eastAsia" w:ascii="宋体" w:hAnsi="宋体" w:cs="宋体"/>
          <w:color w:val="auto"/>
          <w:sz w:val="24"/>
          <w:highlight w:val="none"/>
        </w:rPr>
        <w:t>(e) 以差额选举逐轮淘汰的记名投票方式选出所有投标方案的排序。（方案补偿费按(h)步骤确定的最终排序进行补偿）。</w:t>
      </w:r>
    </w:p>
    <w:p>
      <w:pPr>
        <w:spacing w:line="360" w:lineRule="auto"/>
        <w:ind w:left="846" w:leftChars="202" w:hanging="422" w:hangingChars="176"/>
        <w:jc w:val="left"/>
        <w:rPr>
          <w:rFonts w:ascii="宋体" w:hAnsi="宋体" w:cs="宋体"/>
          <w:color w:val="auto"/>
          <w:sz w:val="24"/>
          <w:highlight w:val="none"/>
        </w:rPr>
      </w:pPr>
      <w:r>
        <w:rPr>
          <w:rFonts w:hint="eastAsia" w:ascii="宋体" w:hAnsi="宋体" w:cs="宋体"/>
          <w:color w:val="auto"/>
          <w:sz w:val="24"/>
          <w:highlight w:val="none"/>
        </w:rPr>
        <w:t>(f) 评标委员会揭晓投标人身份。</w:t>
      </w:r>
    </w:p>
    <w:p>
      <w:pPr>
        <w:spacing w:line="360" w:lineRule="auto"/>
        <w:ind w:left="846" w:leftChars="202" w:hanging="422" w:hangingChars="176"/>
        <w:jc w:val="left"/>
        <w:rPr>
          <w:rFonts w:ascii="宋体" w:hAnsi="宋体" w:cs="宋体"/>
          <w:color w:val="auto"/>
          <w:sz w:val="24"/>
          <w:highlight w:val="none"/>
        </w:rPr>
      </w:pPr>
      <w:r>
        <w:rPr>
          <w:rFonts w:hint="eastAsia" w:ascii="宋体" w:hAnsi="宋体" w:cs="宋体"/>
          <w:color w:val="auto"/>
          <w:sz w:val="24"/>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pPr>
        <w:spacing w:line="360" w:lineRule="auto"/>
        <w:ind w:left="846" w:leftChars="202" w:hanging="422" w:hangingChars="176"/>
        <w:jc w:val="left"/>
        <w:rPr>
          <w:rFonts w:ascii="宋体" w:hAnsi="宋体" w:cs="宋体"/>
          <w:color w:val="auto"/>
          <w:sz w:val="24"/>
          <w:highlight w:val="none"/>
        </w:rPr>
      </w:pPr>
      <w:r>
        <w:rPr>
          <w:rFonts w:hint="eastAsia" w:ascii="宋体" w:hAnsi="宋体" w:cs="宋体"/>
          <w:color w:val="auto"/>
          <w:sz w:val="24"/>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pPr>
        <w:spacing w:line="360" w:lineRule="auto"/>
        <w:ind w:left="846" w:leftChars="202" w:hanging="422" w:hangingChars="176"/>
        <w:jc w:val="left"/>
        <w:rPr>
          <w:rFonts w:ascii="宋体" w:hAnsi="宋体" w:cs="宋体"/>
          <w:color w:val="auto"/>
          <w:sz w:val="24"/>
          <w:highlight w:val="none"/>
        </w:rPr>
      </w:pPr>
      <w:r>
        <w:rPr>
          <w:rFonts w:hint="eastAsia" w:ascii="宋体" w:hAnsi="宋体" w:cs="宋体"/>
          <w:color w:val="auto"/>
          <w:sz w:val="24"/>
          <w:highlight w:val="none"/>
        </w:rPr>
        <w:t>(i) 编写、签署评标报告，并标明最终中标候选人的排列顺序，评标报告由评标委员会全体成员签字，对评标结论持有异议的评标委员会成员可以书面方式阐述其不同意见和理由。</w:t>
      </w:r>
    </w:p>
    <w:p>
      <w:pPr>
        <w:spacing w:line="360" w:lineRule="auto"/>
        <w:ind w:left="846" w:leftChars="202" w:hanging="422" w:hangingChars="176"/>
        <w:jc w:val="left"/>
        <w:rPr>
          <w:rFonts w:ascii="宋体" w:hAnsi="宋体" w:cs="宋体"/>
          <w:color w:val="auto"/>
          <w:sz w:val="24"/>
          <w:highlight w:val="none"/>
        </w:rPr>
      </w:pPr>
      <w:r>
        <w:rPr>
          <w:rFonts w:hint="eastAsia" w:ascii="宋体" w:hAnsi="宋体" w:cs="宋体"/>
          <w:color w:val="auto"/>
          <w:sz w:val="24"/>
          <w:highlight w:val="none"/>
        </w:rPr>
        <w:t>(j) 评标委员会向招标人提交书面评标报告后即告解散，评标过程中使用的文件、表格以及其他资料应当即时归还招标人（招标代理机构）。</w:t>
      </w:r>
    </w:p>
    <w:p>
      <w:pPr>
        <w:spacing w:line="360" w:lineRule="auto"/>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left="850" w:hanging="849" w:hangingChars="354"/>
        <w:rPr>
          <w:rFonts w:ascii="宋体" w:hAnsi="宋体" w:cs="宋体"/>
          <w:b/>
          <w:bCs/>
          <w:color w:val="auto"/>
          <w:sz w:val="24"/>
          <w:highlight w:val="none"/>
        </w:rPr>
      </w:pPr>
      <w:r>
        <w:rPr>
          <w:rFonts w:hint="eastAsia" w:ascii="宋体" w:hAnsi="宋体" w:cs="宋体"/>
          <w:bCs/>
          <w:color w:val="auto"/>
          <w:sz w:val="24"/>
          <w:highlight w:val="none"/>
        </w:rPr>
        <w:t>4.5.3</w:t>
      </w:r>
      <w:r>
        <w:rPr>
          <w:rFonts w:hint="eastAsia" w:ascii="宋体" w:hAnsi="宋体" w:cs="宋体"/>
          <w:b/>
          <w:bCs/>
          <w:color w:val="auto"/>
          <w:sz w:val="24"/>
          <w:highlight w:val="none"/>
        </w:rPr>
        <w:t xml:space="preserve">    </w:t>
      </w:r>
      <w:r>
        <w:rPr>
          <w:rFonts w:hint="eastAsia" w:ascii="宋体" w:hAnsi="宋体" w:cs="宋体"/>
          <w:color w:val="auto"/>
          <w:sz w:val="24"/>
          <w:highlight w:val="none"/>
        </w:rPr>
        <w:t>采用评定分离项目的评标及定标办法</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4.5.3.1招标人（招标代理机构）在不透露投标人身份的前提下（资格审查文件除外）将投标文件交给评标委员会，不需要投标人派代表介绍投标方案。</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4.5.3.2如果评标委员会成员在交易服务机构评标，将按方法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规定的步骤进行：</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 xml:space="preserve">       方法一（设有资格审查环节的一阶段评标法）：a、b、c、d、e、f、g、h、i、j</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 xml:space="preserve">       方法二（未设资格审查环节的一阶段评标法）：a、d、e、f、g、h、i、j</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 xml:space="preserve">   (a)评标委员会成员依据招标文件规定，否决两个（含两个）以上的加密打包投标文件电脑机器特征码一致的投标人，不参与下一阶段评审。 </w:t>
      </w:r>
    </w:p>
    <w:p>
      <w:pPr>
        <w:spacing w:line="360" w:lineRule="auto"/>
        <w:ind w:left="844" w:leftChars="201" w:hanging="422" w:hangingChars="176"/>
        <w:rPr>
          <w:rFonts w:ascii="宋体" w:hAnsi="宋体" w:cs="宋体"/>
          <w:color w:val="auto"/>
          <w:sz w:val="24"/>
          <w:highlight w:val="none"/>
        </w:rPr>
      </w:pPr>
      <w:r>
        <w:rPr>
          <w:rFonts w:hint="eastAsia" w:ascii="宋体" w:hAnsi="宋体" w:cs="宋体"/>
          <w:color w:val="auto"/>
          <w:sz w:val="24"/>
          <w:highlight w:val="none"/>
        </w:rPr>
        <w:t>(b)评标委员会成员业主代表及专家依据招标文件规定，按附录12《资格审查表》对各投标人递交的投标文件进行资格审查。</w:t>
      </w:r>
    </w:p>
    <w:p>
      <w:pPr>
        <w:spacing w:line="360" w:lineRule="auto"/>
        <w:ind w:left="844" w:leftChars="201" w:hanging="422" w:hangingChars="176"/>
        <w:rPr>
          <w:rFonts w:ascii="宋体" w:hAnsi="宋体" w:cs="宋体"/>
          <w:color w:val="auto"/>
          <w:sz w:val="24"/>
          <w:highlight w:val="none"/>
        </w:rPr>
      </w:pPr>
      <w:r>
        <w:rPr>
          <w:rFonts w:hint="eastAsia" w:ascii="宋体" w:hAnsi="宋体" w:cs="宋体"/>
          <w:color w:val="auto"/>
          <w:sz w:val="24"/>
          <w:highlight w:val="none"/>
        </w:rPr>
        <w:t>(c) 评标委员会成员汇总资格审查结果，编写资格审查报告。</w:t>
      </w:r>
    </w:p>
    <w:p>
      <w:pPr>
        <w:spacing w:line="360" w:lineRule="auto"/>
        <w:ind w:left="844" w:leftChars="201" w:hanging="422" w:hangingChars="176"/>
        <w:rPr>
          <w:rFonts w:ascii="宋体" w:hAnsi="宋体" w:cs="宋体"/>
          <w:color w:val="auto"/>
          <w:sz w:val="24"/>
          <w:highlight w:val="none"/>
        </w:rPr>
      </w:pPr>
      <w:r>
        <w:rPr>
          <w:rFonts w:hint="eastAsia" w:ascii="宋体" w:hAnsi="宋体" w:cs="宋体"/>
          <w:color w:val="auto"/>
          <w:sz w:val="24"/>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pPr>
        <w:spacing w:line="360" w:lineRule="auto"/>
        <w:ind w:left="844" w:leftChars="201" w:hanging="422" w:hangingChars="176"/>
        <w:rPr>
          <w:rFonts w:ascii="宋体" w:hAnsi="宋体" w:cs="宋体"/>
          <w:color w:val="auto"/>
          <w:sz w:val="24"/>
          <w:highlight w:val="none"/>
        </w:rPr>
      </w:pPr>
      <w:r>
        <w:rPr>
          <w:rFonts w:hint="eastAsia" w:ascii="宋体" w:hAnsi="宋体" w:cs="宋体"/>
          <w:color w:val="auto"/>
          <w:sz w:val="24"/>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pPr>
        <w:spacing w:line="360" w:lineRule="auto"/>
        <w:ind w:left="844" w:leftChars="201" w:hanging="422" w:hangingChars="176"/>
        <w:rPr>
          <w:rFonts w:ascii="宋体" w:hAnsi="宋体" w:cs="宋体"/>
          <w:color w:val="auto"/>
          <w:sz w:val="24"/>
          <w:highlight w:val="none"/>
        </w:rPr>
      </w:pPr>
      <w:r>
        <w:rPr>
          <w:rFonts w:hint="eastAsia" w:ascii="宋体" w:hAnsi="宋体" w:cs="宋体"/>
          <w:color w:val="auto"/>
          <w:sz w:val="24"/>
          <w:highlight w:val="none"/>
        </w:rPr>
        <w:t xml:space="preserve">(f) 评标委员会揭晓投标人身份。 </w:t>
      </w:r>
    </w:p>
    <w:p>
      <w:pPr>
        <w:spacing w:line="360" w:lineRule="auto"/>
        <w:ind w:left="844" w:leftChars="201" w:hanging="422" w:hangingChars="176"/>
        <w:rPr>
          <w:rFonts w:ascii="宋体" w:hAnsi="宋体" w:cs="宋体"/>
          <w:color w:val="auto"/>
          <w:sz w:val="24"/>
          <w:highlight w:val="none"/>
        </w:rPr>
      </w:pPr>
      <w:r>
        <w:rPr>
          <w:rFonts w:hint="eastAsia" w:ascii="宋体" w:hAnsi="宋体" w:cs="宋体"/>
          <w:color w:val="auto"/>
          <w:sz w:val="24"/>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。评标委员会按上述方式推荐入围定标阶段的投标人。投标经济补偿费按投标方案的最终排序（采取排序方式的）或</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（采取直接确定入围方式的）确定进行补偿。</w:t>
      </w:r>
    </w:p>
    <w:p>
      <w:pPr>
        <w:spacing w:line="360" w:lineRule="auto"/>
        <w:ind w:left="844" w:leftChars="201" w:hanging="422" w:hangingChars="176"/>
        <w:rPr>
          <w:rFonts w:ascii="宋体" w:hAnsi="宋体" w:cs="宋体"/>
          <w:color w:val="auto"/>
          <w:sz w:val="24"/>
          <w:highlight w:val="none"/>
        </w:rPr>
      </w:pPr>
      <w:r>
        <w:rPr>
          <w:rFonts w:hint="eastAsia" w:ascii="宋体" w:hAnsi="宋体" w:cs="宋体"/>
          <w:color w:val="auto"/>
          <w:sz w:val="24"/>
          <w:highlight w:val="none"/>
        </w:rPr>
        <w:t>(h) 编写、签署评标报告，评标报告由评标委员会全体成员签字，对评标结论持有异议的评标委员会成员可以书面方式阐述其不同意见和理由。</w:t>
      </w:r>
    </w:p>
    <w:p>
      <w:pPr>
        <w:spacing w:line="360" w:lineRule="auto"/>
        <w:ind w:left="844" w:leftChars="201" w:hanging="422" w:hangingChars="176"/>
        <w:rPr>
          <w:rFonts w:ascii="宋体" w:hAnsi="宋体" w:cs="宋体"/>
          <w:color w:val="auto"/>
          <w:sz w:val="24"/>
          <w:highlight w:val="none"/>
        </w:rPr>
      </w:pPr>
      <w:r>
        <w:rPr>
          <w:rFonts w:hint="eastAsia" w:ascii="宋体" w:hAnsi="宋体" w:cs="宋体"/>
          <w:color w:val="auto"/>
          <w:sz w:val="24"/>
          <w:highlight w:val="none"/>
        </w:rPr>
        <w:t>(i) 评标委员会向招标人提交书面评标报告后即告解散，评标过程中使用的文件、表格以及其他资料应当即时归还招标人（招标代理机构）。</w:t>
      </w:r>
    </w:p>
    <w:p>
      <w:pPr>
        <w:spacing w:line="360" w:lineRule="auto"/>
        <w:ind w:left="844" w:leftChars="201" w:hanging="422" w:hangingChars="176"/>
        <w:rPr>
          <w:rFonts w:ascii="宋体" w:hAnsi="宋体" w:cs="宋体"/>
          <w:color w:val="auto"/>
          <w:sz w:val="24"/>
          <w:highlight w:val="none"/>
        </w:rPr>
      </w:pPr>
      <w:r>
        <w:rPr>
          <w:rFonts w:hint="eastAsia" w:ascii="宋体" w:hAnsi="宋体" w:cs="宋体"/>
          <w:color w:val="auto"/>
          <w:sz w:val="24"/>
          <w:highlight w:val="none"/>
        </w:rPr>
        <w:t>（j）定标委员会定标。定标委员会按附录16《定标原则》确定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名（不多于3名）中标候选人（排序），也可直接确定中标人。</w:t>
      </w:r>
    </w:p>
    <w:p>
      <w:pPr>
        <w:spacing w:line="360" w:lineRule="auto"/>
        <w:ind w:left="844" w:leftChars="201" w:hanging="422" w:hangingChars="176"/>
        <w:rPr>
          <w:rFonts w:ascii="宋体" w:hAnsi="宋体" w:cs="宋体"/>
          <w:color w:val="auto"/>
          <w:sz w:val="24"/>
          <w:highlight w:val="none"/>
        </w:rPr>
      </w:pPr>
      <w:r>
        <w:rPr>
          <w:rFonts w:hint="eastAsia" w:ascii="宋体" w:hAnsi="宋体" w:cs="宋体"/>
          <w:color w:val="auto"/>
          <w:sz w:val="24"/>
          <w:highlight w:val="none"/>
        </w:rPr>
        <w:t xml:space="preserve"> </w:t>
      </w:r>
    </w:p>
    <w:p>
      <w:pPr>
        <w:keepNext/>
        <w:keepLines/>
        <w:spacing w:before="340" w:after="330" w:line="360" w:lineRule="auto"/>
        <w:ind w:left="844" w:leftChars="201" w:hanging="422" w:hangingChars="176"/>
        <w:jc w:val="center"/>
        <w:outlineLvl w:val="0"/>
        <w:rPr>
          <w:rFonts w:ascii="宋体" w:hAnsi="宋体" w:cs="宋体"/>
          <w:b/>
          <w:bCs/>
          <w:color w:val="auto"/>
          <w:kern w:val="44"/>
          <w:sz w:val="24"/>
          <w:highlight w:val="none"/>
        </w:rPr>
      </w:pPr>
      <w:r>
        <w:rPr>
          <w:rFonts w:hint="eastAsia" w:ascii="宋体" w:hAnsi="宋体" w:cs="宋体"/>
          <w:b/>
          <w:bCs/>
          <w:color w:val="auto"/>
          <w:kern w:val="44"/>
          <w:sz w:val="24"/>
          <w:highlight w:val="none"/>
        </w:rPr>
        <w:br w:type="page"/>
      </w:r>
      <w:bookmarkStart w:id="10" w:name="_Toc97803961"/>
      <w:bookmarkStart w:id="11" w:name="_Toc24974"/>
      <w:r>
        <w:rPr>
          <w:rFonts w:hint="eastAsia" w:ascii="宋体" w:hAnsi="宋体" w:cs="宋体"/>
          <w:b/>
          <w:bCs/>
          <w:color w:val="auto"/>
          <w:kern w:val="44"/>
          <w:sz w:val="36"/>
          <w:szCs w:val="36"/>
          <w:highlight w:val="none"/>
        </w:rPr>
        <w:t>第五章  定标</w:t>
      </w:r>
      <w:r>
        <w:rPr>
          <w:rFonts w:hint="eastAsia" w:ascii="宋体" w:hAnsi="宋体" w:cs="宋体"/>
          <w:b/>
          <w:bCs/>
          <w:color w:val="auto"/>
          <w:kern w:val="44"/>
          <w:sz w:val="36"/>
          <w:szCs w:val="36"/>
          <w:highlight w:val="none"/>
          <w:u w:val="single"/>
        </w:rPr>
        <w:t>（范本原文）</w:t>
      </w:r>
      <w:bookmarkEnd w:id="10"/>
      <w:bookmarkEnd w:id="11"/>
    </w:p>
    <w:p>
      <w:pPr>
        <w:rPr>
          <w:rFonts w:ascii="宋体" w:hAnsi="宋体" w:cs="宋体"/>
          <w:color w:val="auto"/>
          <w:sz w:val="24"/>
          <w:highlight w:val="none"/>
        </w:rPr>
      </w:pPr>
    </w:p>
    <w:p>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5.1    确定中标人</w:t>
      </w: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采用方式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确定中标人：</w:t>
      </w:r>
    </w:p>
    <w:p>
      <w:pPr>
        <w:spacing w:line="360" w:lineRule="auto"/>
        <w:jc w:val="left"/>
        <w:rPr>
          <w:rFonts w:ascii="宋体" w:hAnsi="宋体" w:cs="宋体"/>
          <w:color w:val="auto"/>
          <w:sz w:val="24"/>
          <w:highlight w:val="none"/>
        </w:rPr>
      </w:pPr>
    </w:p>
    <w:p>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方式一（适用于设置资格审查环节的项目）：</w:t>
      </w:r>
    </w:p>
    <w:p>
      <w:pPr>
        <w:spacing w:line="360" w:lineRule="auto"/>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5.1.1  招标人在评标委员会或定标委员会推荐的中标候选人中确定中标人。</w:t>
      </w:r>
    </w:p>
    <w:p>
      <w:pPr>
        <w:spacing w:line="360" w:lineRule="auto"/>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5.1.2  招标人确定中标人：</w:t>
      </w:r>
    </w:p>
    <w:p>
      <w:pPr>
        <w:spacing w:line="360" w:lineRule="auto"/>
        <w:ind w:left="735" w:leftChars="350"/>
        <w:jc w:val="left"/>
        <w:rPr>
          <w:rFonts w:ascii="宋体" w:hAnsi="宋体" w:cs="宋体"/>
          <w:color w:val="auto"/>
          <w:sz w:val="24"/>
          <w:highlight w:val="none"/>
        </w:rPr>
      </w:pPr>
      <w:r>
        <w:rPr>
          <w:rFonts w:hint="eastAsia" w:ascii="宋体" w:hAnsi="宋体" w:cs="宋体"/>
          <w:color w:val="auto"/>
          <w:sz w:val="24"/>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pPr>
        <w:spacing w:line="360" w:lineRule="auto"/>
        <w:ind w:left="720" w:hanging="720" w:hangingChars="300"/>
        <w:rPr>
          <w:rFonts w:ascii="宋体" w:hAnsi="宋体" w:cs="宋体"/>
          <w:color w:val="auto"/>
          <w:sz w:val="24"/>
          <w:highlight w:val="none"/>
        </w:rPr>
      </w:pPr>
      <w:r>
        <w:rPr>
          <w:rFonts w:hint="eastAsia" w:ascii="宋体" w:hAnsi="宋体" w:cs="宋体"/>
          <w:color w:val="auto"/>
          <w:sz w:val="24"/>
          <w:highlight w:val="none"/>
        </w:rPr>
        <w:t>5.1.3 在产生中标候选人后，招标人将中标候选人的投标文件商务部分（包括报价清单、人员、业绩、奖项等资料）在交易平台和广东省招标投标监管网公开。</w:t>
      </w:r>
    </w:p>
    <w:p>
      <w:pPr>
        <w:spacing w:line="360" w:lineRule="auto"/>
        <w:jc w:val="left"/>
        <w:rPr>
          <w:rFonts w:ascii="宋体" w:hAnsi="宋体" w:cs="宋体"/>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方式二（适用于未设资格审查环节的项目）：</w:t>
      </w:r>
    </w:p>
    <w:p>
      <w:pPr>
        <w:spacing w:line="360" w:lineRule="auto"/>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pPr>
        <w:spacing w:line="360" w:lineRule="auto"/>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pPr>
        <w:spacing w:line="360" w:lineRule="auto"/>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5.1.3  定标委员会直接确定中标人，中标人未能通过资格复核的，招标失败。招标人应重新组织招标。</w:t>
      </w:r>
    </w:p>
    <w:p>
      <w:pPr>
        <w:spacing w:line="360" w:lineRule="auto"/>
        <w:ind w:left="840" w:hanging="840" w:hangingChars="350"/>
        <w:rPr>
          <w:rFonts w:ascii="宋体" w:hAnsi="宋体" w:cs="宋体"/>
          <w:color w:val="auto"/>
          <w:sz w:val="24"/>
          <w:highlight w:val="none"/>
        </w:rPr>
      </w:pPr>
      <w:r>
        <w:rPr>
          <w:rFonts w:hint="eastAsia" w:ascii="宋体" w:hAnsi="宋体" w:cs="宋体"/>
          <w:color w:val="auto"/>
          <w:sz w:val="24"/>
          <w:highlight w:val="none"/>
        </w:rPr>
        <w:t>5.1.4  在产生中标候选人后，招标人将中标候选人的投标文件商务部分（包括报价清单、人员、业绩、奖项等资料）在交易平台和广东省招标投标监管网公开。</w:t>
      </w:r>
    </w:p>
    <w:p>
      <w:pPr>
        <w:spacing w:line="360" w:lineRule="auto"/>
        <w:ind w:left="840" w:hanging="840" w:hangingChars="350"/>
        <w:rPr>
          <w:rFonts w:ascii="宋体" w:hAnsi="宋体" w:cs="宋体"/>
          <w:color w:val="auto"/>
          <w:sz w:val="24"/>
          <w:highlight w:val="none"/>
        </w:rPr>
      </w:pPr>
    </w:p>
    <w:p>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5.2    中标资格审核及中标通知</w:t>
      </w:r>
    </w:p>
    <w:p>
      <w:pPr>
        <w:spacing w:line="360" w:lineRule="auto"/>
        <w:rPr>
          <w:rFonts w:ascii="宋体" w:hAnsi="宋体" w:cs="宋体"/>
          <w:color w:val="auto"/>
          <w:sz w:val="24"/>
          <w:highlight w:val="none"/>
        </w:rPr>
      </w:pPr>
    </w:p>
    <w:p>
      <w:pPr>
        <w:spacing w:line="360" w:lineRule="auto"/>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5.2.1  招标人发出中标通知书前，与中标人落实以下事项：</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(a) 投标文件是否有明显抄袭行为；</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(b) 投标文件是否有侵犯他人著作权和特许权；</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(c) 投标文件是否有参加过其他竞赛，或在其他竞赛中获奖的作品。</w:t>
      </w:r>
    </w:p>
    <w:p>
      <w:pPr>
        <w:spacing w:line="360" w:lineRule="auto"/>
        <w:ind w:left="849" w:leftChars="404" w:hanging="1"/>
        <w:rPr>
          <w:rFonts w:ascii="宋体" w:hAnsi="宋体" w:cs="宋体"/>
          <w:color w:val="auto"/>
          <w:sz w:val="24"/>
          <w:highlight w:val="none"/>
        </w:rPr>
      </w:pPr>
      <w:r>
        <w:rPr>
          <w:rFonts w:hint="eastAsia" w:ascii="宋体" w:hAnsi="宋体" w:cs="宋体"/>
          <w:color w:val="auto"/>
          <w:sz w:val="24"/>
          <w:highlight w:val="none"/>
        </w:rPr>
        <w:t>中标人出现以上情形的，中标无效。招标人按照《中华人民共和国招标投标法实施条例》第五十五条的规定依次确定中标人或重新招标。</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5.2.2  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分包单位必须经招标人认可。</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5.2.3  如果中标候选人的报价不符合招标文件规定，招标人有权作出修正，招标人的修正备忘录在得到中标候选人的同意后向其颁发中标通知书。</w:t>
      </w:r>
    </w:p>
    <w:p>
      <w:pPr>
        <w:spacing w:line="360" w:lineRule="auto"/>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5.2.4  中标人确定后，招标人（招标代理机构）通过交易平台和广东省招标投标监管网公示中标结果。</w:t>
      </w:r>
    </w:p>
    <w:p>
      <w:pPr>
        <w:spacing w:line="360" w:lineRule="auto"/>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5.2.5  招标人自确定中标人之日起十五日内向招标管理机构提交招标投标情况的书面报告。</w:t>
      </w:r>
    </w:p>
    <w:p>
      <w:pPr>
        <w:spacing w:line="360" w:lineRule="auto"/>
        <w:rPr>
          <w:rFonts w:ascii="宋体" w:hAnsi="宋体" w:cs="宋体"/>
          <w:color w:val="auto"/>
          <w:sz w:val="24"/>
          <w:highlight w:val="none"/>
        </w:rPr>
      </w:pP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5.3    其他</w:t>
      </w:r>
    </w:p>
    <w:p>
      <w:pPr>
        <w:spacing w:line="360" w:lineRule="auto"/>
        <w:rPr>
          <w:rFonts w:ascii="宋体" w:hAnsi="宋体" w:cs="宋体"/>
          <w:color w:val="auto"/>
          <w:sz w:val="24"/>
          <w:highlight w:val="none"/>
        </w:rPr>
      </w:pP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5.3.1  凡是以他人名义投标，或者投标人允许其他单位或者个人以投标人的名义投标承揽业务的，均属违法行为，招标人对这些单位或个人的损失概不负责，对这些单位或个人的投诉概不受理。</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5.3.2  本次招标由交易服务机构对各投标人提交的成果和评标过程、评标结果予以见证，若有纠纷，将按现行法律、法规通过友好协商或诉讼程序解决。</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5.3.3  腐败与欺诈行为</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 xml:space="preserve">       在招标和合同实施期间，招标人要求投标人和承包人遵守最高的道德标准。</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5.3.3.1对本条款的规定，特定义如下词汇：</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 xml:space="preserve">       1）、“腐败行为”是指在招标或合同执行期间，通过提供、给予、接受或索要任何有价值的东西，从而影响招标人有关人员工作的行为；</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5.3.3.2如果投标人被认定在本招标的竞争中有腐败或欺诈行为，则会被取消投标资格。</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5.3.3.3投标人如在本项目中存在串通投标、弄虚作假、行贿情形的，中标无效，行政监督部门将对其违法行为进行政处罚并通报。该投标人将被招标人列入黑名单并限制其参与招标人后续项目的投标。</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5.3.4  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pPr>
        <w:keepNext/>
        <w:keepLines/>
        <w:spacing w:before="340" w:after="330" w:line="360" w:lineRule="auto"/>
        <w:jc w:val="center"/>
        <w:outlineLvl w:val="0"/>
        <w:rPr>
          <w:rFonts w:ascii="宋体" w:hAnsi="宋体" w:cs="宋体"/>
          <w:b/>
          <w:bCs/>
          <w:color w:val="auto"/>
          <w:kern w:val="44"/>
          <w:sz w:val="24"/>
          <w:highlight w:val="none"/>
        </w:rPr>
      </w:pPr>
      <w:r>
        <w:rPr>
          <w:rFonts w:hint="eastAsia" w:ascii="宋体" w:hAnsi="宋体" w:cs="宋体"/>
          <w:b/>
          <w:bCs/>
          <w:color w:val="auto"/>
          <w:kern w:val="44"/>
          <w:sz w:val="24"/>
          <w:highlight w:val="none"/>
        </w:rPr>
        <w:br w:type="page"/>
      </w:r>
      <w:bookmarkStart w:id="12" w:name="_Toc97803962"/>
      <w:bookmarkStart w:id="13" w:name="_Toc3874"/>
      <w:r>
        <w:rPr>
          <w:rFonts w:hint="eastAsia" w:ascii="宋体" w:hAnsi="宋体" w:cs="宋体"/>
          <w:b/>
          <w:bCs/>
          <w:color w:val="auto"/>
          <w:kern w:val="44"/>
          <w:sz w:val="36"/>
          <w:szCs w:val="36"/>
          <w:highlight w:val="none"/>
        </w:rPr>
        <w:t>第六章  授予合同</w:t>
      </w:r>
      <w:r>
        <w:rPr>
          <w:rFonts w:hint="eastAsia" w:ascii="宋体" w:hAnsi="宋体" w:cs="宋体"/>
          <w:b/>
          <w:bCs/>
          <w:color w:val="auto"/>
          <w:kern w:val="44"/>
          <w:sz w:val="36"/>
          <w:szCs w:val="36"/>
          <w:highlight w:val="none"/>
          <w:u w:val="single"/>
        </w:rPr>
        <w:t>（范本原文）</w:t>
      </w:r>
      <w:bookmarkEnd w:id="12"/>
      <w:bookmarkEnd w:id="13"/>
    </w:p>
    <w:p>
      <w:pPr>
        <w:spacing w:line="360" w:lineRule="auto"/>
        <w:rPr>
          <w:rFonts w:ascii="宋体" w:hAnsi="宋体" w:cs="宋体"/>
          <w:color w:val="auto"/>
          <w:sz w:val="24"/>
          <w:highlight w:val="none"/>
        </w:rPr>
      </w:pP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6.1    授予合同</w:t>
      </w:r>
    </w:p>
    <w:p>
      <w:pPr>
        <w:spacing w:line="360" w:lineRule="auto"/>
        <w:rPr>
          <w:rFonts w:ascii="宋体" w:hAnsi="宋体" w:cs="宋体"/>
          <w:color w:val="auto"/>
          <w:sz w:val="24"/>
          <w:highlight w:val="none"/>
        </w:rPr>
      </w:pPr>
    </w:p>
    <w:p>
      <w:pPr>
        <w:spacing w:line="360" w:lineRule="auto"/>
        <w:ind w:left="821" w:hanging="820" w:hangingChars="342"/>
        <w:jc w:val="left"/>
        <w:rPr>
          <w:rFonts w:ascii="宋体" w:hAnsi="宋体" w:cs="宋体"/>
          <w:color w:val="auto"/>
          <w:kern w:val="0"/>
          <w:sz w:val="24"/>
          <w:highlight w:val="none"/>
        </w:rPr>
      </w:pPr>
      <w:r>
        <w:rPr>
          <w:rFonts w:hint="eastAsia" w:ascii="宋体" w:hAnsi="宋体" w:cs="宋体"/>
          <w:color w:val="auto"/>
          <w:kern w:val="0"/>
          <w:sz w:val="24"/>
          <w:highlight w:val="none"/>
        </w:rPr>
        <w:t>6.1.1  招标人一般将合同授予中标人，合同必须在投标有效期或投标人接受的延长期内授出。</w:t>
      </w:r>
    </w:p>
    <w:p>
      <w:pPr>
        <w:spacing w:line="360" w:lineRule="auto"/>
        <w:ind w:left="821" w:hanging="820" w:hangingChars="342"/>
        <w:jc w:val="left"/>
        <w:rPr>
          <w:rFonts w:ascii="宋体" w:hAnsi="宋体" w:cs="宋体"/>
          <w:color w:val="auto"/>
          <w:kern w:val="0"/>
          <w:sz w:val="24"/>
          <w:highlight w:val="none"/>
        </w:rPr>
      </w:pPr>
      <w:r>
        <w:rPr>
          <w:rFonts w:hint="eastAsia" w:ascii="宋体" w:hAnsi="宋体" w:cs="宋体"/>
          <w:color w:val="auto"/>
          <w:kern w:val="0"/>
          <w:sz w:val="24"/>
          <w:highlight w:val="none"/>
        </w:rPr>
        <w:t>6.1.2  中标通知书是合同的组成部分，任何单位和个人不得采取有碍合同生效或履行的行动。</w:t>
      </w:r>
    </w:p>
    <w:p>
      <w:pPr>
        <w:spacing w:line="360" w:lineRule="auto"/>
        <w:ind w:left="821" w:hanging="820" w:hangingChars="342"/>
        <w:jc w:val="left"/>
        <w:rPr>
          <w:rFonts w:ascii="宋体" w:hAnsi="宋体" w:cs="宋体"/>
          <w:color w:val="auto"/>
          <w:kern w:val="0"/>
          <w:sz w:val="24"/>
          <w:highlight w:val="none"/>
        </w:rPr>
      </w:pPr>
      <w:r>
        <w:rPr>
          <w:rFonts w:hint="eastAsia" w:ascii="宋体" w:hAnsi="宋体" w:cs="宋体"/>
          <w:color w:val="auto"/>
          <w:kern w:val="0"/>
          <w:sz w:val="24"/>
          <w:highlight w:val="none"/>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pPr>
        <w:spacing w:line="360" w:lineRule="auto"/>
        <w:ind w:left="821" w:hanging="820" w:hangingChars="342"/>
        <w:jc w:val="left"/>
        <w:rPr>
          <w:rFonts w:ascii="宋体" w:hAnsi="宋体" w:cs="宋体"/>
          <w:color w:val="auto"/>
          <w:kern w:val="0"/>
          <w:sz w:val="24"/>
          <w:highlight w:val="none"/>
        </w:rPr>
      </w:pPr>
      <w:r>
        <w:rPr>
          <w:rFonts w:hint="eastAsia" w:ascii="宋体" w:hAnsi="宋体" w:cs="宋体"/>
          <w:color w:val="auto"/>
          <w:kern w:val="0"/>
          <w:sz w:val="24"/>
          <w:highlight w:val="none"/>
        </w:rPr>
        <w:t>6.1.4  中标人必须签署并执行招标文件规定的合同条件，如中标人所提供的投标条件（报价、工期、估算工程造价）比其他投标异常低，招标人可要求中标人对遵守参加投标的各项条件和履行合同的能力作出保证。</w:t>
      </w:r>
    </w:p>
    <w:p>
      <w:pPr>
        <w:spacing w:line="360" w:lineRule="auto"/>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6.1.5  招标人提供证据证明中标人有下列行为之一的，经有关行政监督部门确认，该中标无效，招标人不与中标人签订合同：</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(a) 不能兑现投标承诺；</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(b) 弄虚作假骗取中标；</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 xml:space="preserve">     （c）在招标、投标、评标、定标以及授予合同过程中，对招标人、代理机构、其他投标人、评标委员会成员、</w:t>
      </w:r>
      <w:r>
        <w:rPr>
          <w:rFonts w:hint="eastAsia" w:ascii="宋体" w:hAnsi="宋体" w:cs="宋体"/>
          <w:color w:val="auto"/>
          <w:kern w:val="0"/>
          <w:sz w:val="24"/>
          <w:highlight w:val="none"/>
        </w:rPr>
        <w:t>交易服务机构的</w:t>
      </w:r>
      <w:r>
        <w:rPr>
          <w:rFonts w:hint="eastAsia" w:ascii="宋体" w:hAnsi="宋体" w:cs="宋体"/>
          <w:color w:val="auto"/>
          <w:sz w:val="24"/>
          <w:highlight w:val="none"/>
        </w:rPr>
        <w:t>工作人员行贿、</w:t>
      </w:r>
      <w:r>
        <w:rPr>
          <w:rFonts w:hint="eastAsia" w:ascii="宋体" w:hAnsi="宋体" w:cs="宋体"/>
          <w:color w:val="auto"/>
          <w:kern w:val="0"/>
          <w:sz w:val="24"/>
          <w:highlight w:val="none"/>
        </w:rPr>
        <w:t>利诱、</w:t>
      </w:r>
      <w:r>
        <w:rPr>
          <w:rFonts w:hint="eastAsia" w:ascii="宋体" w:hAnsi="宋体" w:cs="宋体"/>
          <w:color w:val="auto"/>
          <w:sz w:val="24"/>
          <w:highlight w:val="none"/>
        </w:rPr>
        <w:t>欺诈或者施加影响；</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(d) 擅自将任务转包其他单位；</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(e) 中标人实质上不符合投标资格；</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(f) 法律、法规规定的其他损害招标人利益和社会公共利益的情形。</w:t>
      </w:r>
    </w:p>
    <w:p>
      <w:pPr>
        <w:keepNext/>
        <w:keepLines/>
        <w:spacing w:before="340" w:after="330" w:line="360" w:lineRule="auto"/>
        <w:jc w:val="center"/>
        <w:outlineLvl w:val="0"/>
        <w:rPr>
          <w:rFonts w:ascii="宋体" w:hAnsi="宋体" w:cs="宋体"/>
          <w:b/>
          <w:bCs/>
          <w:color w:val="auto"/>
          <w:kern w:val="44"/>
          <w:sz w:val="24"/>
          <w:highlight w:val="none"/>
        </w:rPr>
      </w:pPr>
      <w:r>
        <w:rPr>
          <w:rFonts w:hint="eastAsia" w:ascii="宋体" w:hAnsi="宋体" w:cs="宋体"/>
          <w:b/>
          <w:bCs/>
          <w:color w:val="auto"/>
          <w:kern w:val="44"/>
          <w:sz w:val="24"/>
          <w:highlight w:val="none"/>
        </w:rPr>
        <w:br w:type="page"/>
      </w:r>
      <w:bookmarkStart w:id="14" w:name="_Toc28252"/>
      <w:bookmarkStart w:id="15" w:name="_Toc97803963"/>
      <w:r>
        <w:rPr>
          <w:rFonts w:hint="eastAsia" w:ascii="宋体" w:hAnsi="宋体" w:cs="宋体"/>
          <w:b/>
          <w:bCs/>
          <w:color w:val="auto"/>
          <w:kern w:val="44"/>
          <w:sz w:val="36"/>
          <w:szCs w:val="36"/>
          <w:highlight w:val="none"/>
        </w:rPr>
        <w:t>第七章  知识产权</w:t>
      </w:r>
      <w:r>
        <w:rPr>
          <w:rFonts w:hint="eastAsia" w:ascii="宋体" w:hAnsi="宋体" w:cs="宋体"/>
          <w:b/>
          <w:bCs/>
          <w:color w:val="auto"/>
          <w:kern w:val="44"/>
          <w:sz w:val="36"/>
          <w:szCs w:val="36"/>
          <w:highlight w:val="none"/>
          <w:u w:val="single"/>
        </w:rPr>
        <w:t>（范本原文）</w:t>
      </w:r>
      <w:bookmarkEnd w:id="14"/>
      <w:bookmarkEnd w:id="15"/>
    </w:p>
    <w:p>
      <w:pPr>
        <w:spacing w:line="360" w:lineRule="auto"/>
        <w:rPr>
          <w:rFonts w:ascii="宋体" w:hAnsi="宋体" w:cs="宋体"/>
          <w:color w:val="auto"/>
          <w:sz w:val="24"/>
          <w:highlight w:val="none"/>
        </w:rPr>
      </w:pP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7.1    公开展示</w:t>
      </w:r>
    </w:p>
    <w:p>
      <w:pPr>
        <w:spacing w:line="360" w:lineRule="auto"/>
        <w:rPr>
          <w:rFonts w:ascii="宋体" w:hAnsi="宋体" w:cs="宋体"/>
          <w:color w:val="auto"/>
          <w:sz w:val="24"/>
          <w:highlight w:val="none"/>
        </w:rPr>
      </w:pP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7.1.1  按招标文件规定获得补偿的投标文件，评标后不予退回。</w:t>
      </w:r>
    </w:p>
    <w:p>
      <w:pPr>
        <w:spacing w:line="360" w:lineRule="auto"/>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7.1.2  招标人有权在评标结束后公开展示获得补偿费用的所有投标方案成果，并通过传播媒介、杂志、书刊或其它形式介绍、展示及评价该方案成果，所有展示、推介、广告均不再向投标人支付费用。</w:t>
      </w:r>
    </w:p>
    <w:p>
      <w:pPr>
        <w:spacing w:line="360" w:lineRule="auto"/>
        <w:ind w:left="821" w:hanging="820" w:hangingChars="342"/>
        <w:jc w:val="left"/>
        <w:rPr>
          <w:rFonts w:ascii="宋体" w:hAnsi="宋体" w:cs="宋体"/>
          <w:color w:val="auto"/>
          <w:sz w:val="24"/>
          <w:highlight w:val="none"/>
        </w:rPr>
      </w:pP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7.2    知识产权转移</w:t>
      </w:r>
    </w:p>
    <w:p>
      <w:pPr>
        <w:spacing w:line="360" w:lineRule="auto"/>
        <w:ind w:left="821" w:hanging="820" w:hangingChars="342"/>
        <w:jc w:val="left"/>
        <w:rPr>
          <w:rFonts w:ascii="宋体" w:hAnsi="宋体" w:cs="宋体"/>
          <w:color w:val="auto"/>
          <w:sz w:val="24"/>
          <w:highlight w:val="none"/>
        </w:rPr>
      </w:pPr>
    </w:p>
    <w:p>
      <w:pPr>
        <w:spacing w:line="360" w:lineRule="auto"/>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7.2.1  授予合同并支付定金后，中标方案的发表权、展览权、使用权归招标人和中标人共有。</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7.2.2  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p>
      <w:pPr>
        <w:spacing w:line="360" w:lineRule="auto"/>
        <w:ind w:left="821" w:hanging="820" w:hangingChars="342"/>
        <w:rPr>
          <w:rFonts w:ascii="宋体" w:hAnsi="宋体" w:cs="宋体"/>
          <w:color w:val="auto"/>
          <w:sz w:val="24"/>
          <w:highlight w:val="none"/>
        </w:rPr>
      </w:pP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7.3    其他</w:t>
      </w:r>
    </w:p>
    <w:p>
      <w:pPr>
        <w:spacing w:line="360" w:lineRule="auto"/>
        <w:ind w:left="821" w:hanging="820" w:hangingChars="342"/>
        <w:rPr>
          <w:rFonts w:ascii="宋体" w:hAnsi="宋体" w:cs="宋体"/>
          <w:color w:val="auto"/>
          <w:sz w:val="24"/>
          <w:highlight w:val="none"/>
        </w:rPr>
      </w:pP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7.3.1  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7.3.2  投标人保证投标文件及资料均未侵犯他人的知识产权，否则必须承担全部责任。若投标人使用了他人的专利、专有技术，涉及的费用由投标人负责。</w:t>
      </w:r>
    </w:p>
    <w:p>
      <w:pPr>
        <w:spacing w:line="360" w:lineRule="auto"/>
        <w:ind w:left="821" w:hanging="820" w:hangingChars="342"/>
        <w:rPr>
          <w:rFonts w:ascii="宋体" w:hAnsi="宋体" w:cs="宋体"/>
          <w:color w:val="auto"/>
          <w:sz w:val="24"/>
          <w:highlight w:val="none"/>
        </w:rPr>
      </w:pPr>
      <w:r>
        <w:rPr>
          <w:rFonts w:hint="eastAsia" w:ascii="宋体" w:hAnsi="宋体" w:cs="宋体"/>
          <w:color w:val="auto"/>
          <w:sz w:val="24"/>
          <w:highlight w:val="none"/>
        </w:rPr>
        <w:t>7.3.3  中标人未经招标人许可，不得将中标方案成果整体用于其他相同或类似项目的投标和设计（专利权除外）。</w:t>
      </w:r>
    </w:p>
    <w:p>
      <w:pPr>
        <w:spacing w:line="360" w:lineRule="auto"/>
        <w:ind w:left="840" w:hanging="840" w:hangingChars="350"/>
        <w:rPr>
          <w:rFonts w:ascii="宋体" w:hAnsi="宋体" w:cs="宋体"/>
          <w:color w:val="auto"/>
          <w:sz w:val="24"/>
          <w:highlight w:val="none"/>
        </w:rPr>
      </w:pPr>
      <w:r>
        <w:rPr>
          <w:rFonts w:hint="eastAsia" w:ascii="宋体" w:hAnsi="宋体" w:cs="宋体"/>
          <w:color w:val="auto"/>
          <w:sz w:val="24"/>
          <w:highlight w:val="none"/>
        </w:rPr>
        <w:t>7.3.4  招标人有权无须事先征求中标人的同意而披露关于中标人的名称、地址、合同条款。</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rPr>
          <w:rFonts w:ascii="宋体" w:hAnsi="宋体"/>
          <w:color w:val="auto"/>
          <w:highlight w:val="none"/>
        </w:rPr>
      </w:pPr>
    </w:p>
    <w:p>
      <w:pPr>
        <w:keepNext/>
        <w:keepLines/>
        <w:spacing w:line="360" w:lineRule="auto"/>
        <w:jc w:val="center"/>
        <w:outlineLvl w:val="0"/>
        <w:rPr>
          <w:b/>
          <w:bCs/>
          <w:color w:val="auto"/>
          <w:kern w:val="44"/>
          <w:sz w:val="36"/>
          <w:szCs w:val="36"/>
          <w:highlight w:val="none"/>
        </w:rPr>
      </w:pPr>
      <w:r>
        <w:rPr>
          <w:color w:val="auto"/>
          <w:highlight w:val="none"/>
        </w:rPr>
        <w:br w:type="page"/>
      </w:r>
      <w:bookmarkStart w:id="16" w:name="_Toc8827"/>
      <w:bookmarkStart w:id="17" w:name="_Toc27067"/>
      <w:r>
        <w:rPr>
          <w:rFonts w:hint="eastAsia"/>
          <w:b/>
          <w:bCs/>
          <w:color w:val="auto"/>
          <w:kern w:val="44"/>
          <w:sz w:val="36"/>
          <w:szCs w:val="36"/>
          <w:highlight w:val="none"/>
        </w:rPr>
        <w:t>第八章  合同条款</w:t>
      </w:r>
      <w:bookmarkEnd w:id="16"/>
      <w:bookmarkEnd w:id="17"/>
    </w:p>
    <w:p>
      <w:pPr>
        <w:spacing w:line="360" w:lineRule="auto"/>
        <w:jc w:val="center"/>
        <w:rPr>
          <w:rFonts w:ascii="宋体" w:hAnsi="宋体"/>
          <w:color w:val="auto"/>
          <w:szCs w:val="21"/>
          <w:highlight w:val="none"/>
        </w:rPr>
        <w:sectPr>
          <w:pgSz w:w="11906" w:h="16838"/>
          <w:pgMar w:top="1440" w:right="1466" w:bottom="1440" w:left="1440"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宋体" w:hAnsi="宋体" w:cs="宋体"/>
          <w:color w:val="auto"/>
          <w:szCs w:val="21"/>
          <w:highlight w:val="none"/>
        </w:rPr>
        <w:t>（另册）</w:t>
      </w:r>
    </w:p>
    <w:p>
      <w:pPr>
        <w:keepNext/>
        <w:keepLines/>
        <w:spacing w:line="360" w:lineRule="auto"/>
        <w:outlineLvl w:val="0"/>
        <w:rPr>
          <w:rFonts w:hint="eastAsia" w:ascii="宋体" w:hAnsi="宋体" w:eastAsia="宋体" w:cs="宋体"/>
          <w:b/>
          <w:bCs/>
          <w:strike/>
          <w:color w:val="auto"/>
          <w:kern w:val="44"/>
          <w:sz w:val="21"/>
          <w:szCs w:val="21"/>
          <w:highlight w:val="none"/>
        </w:rPr>
      </w:pPr>
      <w:bookmarkStart w:id="18" w:name="_Toc13226"/>
      <w:bookmarkStart w:id="19" w:name="_Toc9307"/>
      <w:r>
        <w:rPr>
          <w:rFonts w:hint="eastAsia" w:ascii="宋体" w:hAnsi="宋体" w:eastAsia="宋体" w:cs="宋体"/>
          <w:b/>
          <w:bCs/>
          <w:strike/>
          <w:color w:val="auto"/>
          <w:kern w:val="44"/>
          <w:sz w:val="21"/>
          <w:szCs w:val="21"/>
          <w:highlight w:val="none"/>
        </w:rPr>
        <w:t>附录1 投标申请表（投入人员承诺）</w:t>
      </w:r>
      <w:bookmarkEnd w:id="18"/>
      <w:bookmarkEnd w:id="19"/>
    </w:p>
    <w:p>
      <w:pPr>
        <w:spacing w:line="360" w:lineRule="auto"/>
        <w:jc w:val="center"/>
        <w:rPr>
          <w:rFonts w:hint="eastAsia" w:ascii="宋体" w:hAnsi="宋体" w:eastAsia="宋体" w:cs="宋体"/>
          <w:b/>
          <w:strike/>
          <w:color w:val="auto"/>
          <w:sz w:val="21"/>
          <w:szCs w:val="21"/>
          <w:highlight w:val="none"/>
        </w:rPr>
      </w:pPr>
      <w:r>
        <w:rPr>
          <w:rFonts w:hint="eastAsia" w:ascii="宋体" w:hAnsi="宋体" w:eastAsia="宋体" w:cs="宋体"/>
          <w:b/>
          <w:strike/>
          <w:color w:val="auto"/>
          <w:sz w:val="21"/>
          <w:szCs w:val="21"/>
          <w:highlight w:val="none"/>
        </w:rPr>
        <w:t>投标申请表</w:t>
      </w:r>
      <w:r>
        <w:rPr>
          <w:rFonts w:hint="eastAsia" w:ascii="宋体" w:hAnsi="宋体" w:eastAsia="宋体" w:cs="宋体"/>
          <w:b/>
          <w:bCs/>
          <w:strike/>
          <w:color w:val="auto"/>
          <w:sz w:val="21"/>
          <w:szCs w:val="21"/>
          <w:highlight w:val="none"/>
        </w:rPr>
        <w:t>（投入人员承诺）</w:t>
      </w:r>
    </w:p>
    <w:tbl>
      <w:tblPr>
        <w:tblStyle w:val="45"/>
        <w:tblW w:w="14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74"/>
        <w:gridCol w:w="2748"/>
        <w:gridCol w:w="3013"/>
        <w:gridCol w:w="1221"/>
        <w:gridCol w:w="5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序号</w:t>
            </w:r>
          </w:p>
        </w:tc>
        <w:tc>
          <w:tcPr>
            <w:tcW w:w="1074" w:type="dxa"/>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姓名</w:t>
            </w:r>
          </w:p>
        </w:tc>
        <w:tc>
          <w:tcPr>
            <w:tcW w:w="2748" w:type="dxa"/>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专业分工</w:t>
            </w:r>
          </w:p>
        </w:tc>
        <w:tc>
          <w:tcPr>
            <w:tcW w:w="3013" w:type="dxa"/>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专业职称</w:t>
            </w:r>
          </w:p>
        </w:tc>
        <w:tc>
          <w:tcPr>
            <w:tcW w:w="1221" w:type="dxa"/>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工龄（年）</w:t>
            </w:r>
          </w:p>
        </w:tc>
        <w:tc>
          <w:tcPr>
            <w:tcW w:w="5397" w:type="dxa"/>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主要作品、业绩、著作名称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spacing w:line="360" w:lineRule="auto"/>
              <w:jc w:val="center"/>
              <w:rPr>
                <w:rFonts w:hint="eastAsia" w:ascii="宋体" w:hAnsi="宋体" w:eastAsia="宋体" w:cs="宋体"/>
                <w:strike/>
                <w:color w:val="auto"/>
                <w:sz w:val="21"/>
                <w:szCs w:val="21"/>
                <w:highlight w:val="none"/>
              </w:rPr>
            </w:pPr>
          </w:p>
        </w:tc>
        <w:tc>
          <w:tcPr>
            <w:tcW w:w="1074" w:type="dxa"/>
            <w:vAlign w:val="center"/>
          </w:tcPr>
          <w:p>
            <w:pPr>
              <w:spacing w:line="360" w:lineRule="auto"/>
              <w:jc w:val="center"/>
              <w:rPr>
                <w:rFonts w:hint="eastAsia" w:ascii="宋体" w:hAnsi="宋体" w:eastAsia="宋体" w:cs="宋体"/>
                <w:strike/>
                <w:color w:val="auto"/>
                <w:sz w:val="21"/>
                <w:szCs w:val="21"/>
                <w:highlight w:val="none"/>
              </w:rPr>
            </w:pPr>
          </w:p>
        </w:tc>
        <w:tc>
          <w:tcPr>
            <w:tcW w:w="2748" w:type="dxa"/>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总负责人</w:t>
            </w:r>
          </w:p>
        </w:tc>
        <w:tc>
          <w:tcPr>
            <w:tcW w:w="3013" w:type="dxa"/>
            <w:vAlign w:val="center"/>
          </w:tcPr>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职务：</w:t>
            </w:r>
          </w:p>
        </w:tc>
        <w:tc>
          <w:tcPr>
            <w:tcW w:w="1221" w:type="dxa"/>
            <w:vAlign w:val="center"/>
          </w:tcPr>
          <w:p>
            <w:pPr>
              <w:spacing w:line="360" w:lineRule="auto"/>
              <w:jc w:val="center"/>
              <w:rPr>
                <w:rFonts w:hint="eastAsia" w:ascii="宋体" w:hAnsi="宋体" w:eastAsia="宋体" w:cs="宋体"/>
                <w:strike/>
                <w:color w:val="auto"/>
                <w:sz w:val="21"/>
                <w:szCs w:val="21"/>
                <w:highlight w:val="none"/>
              </w:rPr>
            </w:pPr>
          </w:p>
        </w:tc>
        <w:tc>
          <w:tcPr>
            <w:tcW w:w="5397" w:type="dxa"/>
            <w:vAlign w:val="center"/>
          </w:tcPr>
          <w:p>
            <w:pPr>
              <w:spacing w:line="360" w:lineRule="auto"/>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spacing w:line="360" w:lineRule="auto"/>
              <w:jc w:val="center"/>
              <w:rPr>
                <w:rFonts w:hint="eastAsia" w:ascii="宋体" w:hAnsi="宋体" w:eastAsia="宋体" w:cs="宋体"/>
                <w:strike/>
                <w:color w:val="auto"/>
                <w:sz w:val="21"/>
                <w:szCs w:val="21"/>
                <w:highlight w:val="none"/>
              </w:rPr>
            </w:pPr>
          </w:p>
        </w:tc>
        <w:tc>
          <w:tcPr>
            <w:tcW w:w="1074" w:type="dxa"/>
            <w:vAlign w:val="center"/>
          </w:tcPr>
          <w:p>
            <w:pPr>
              <w:spacing w:line="360" w:lineRule="auto"/>
              <w:jc w:val="center"/>
              <w:rPr>
                <w:rFonts w:hint="eastAsia" w:ascii="宋体" w:hAnsi="宋体" w:eastAsia="宋体" w:cs="宋体"/>
                <w:strike/>
                <w:color w:val="auto"/>
                <w:sz w:val="21"/>
                <w:szCs w:val="21"/>
                <w:highlight w:val="none"/>
              </w:rPr>
            </w:pPr>
          </w:p>
        </w:tc>
        <w:tc>
          <w:tcPr>
            <w:tcW w:w="2748" w:type="dxa"/>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项目负责人</w:t>
            </w:r>
          </w:p>
        </w:tc>
        <w:tc>
          <w:tcPr>
            <w:tcW w:w="3013" w:type="dxa"/>
            <w:vAlign w:val="center"/>
          </w:tcPr>
          <w:p>
            <w:pPr>
              <w:spacing w:line="360" w:lineRule="auto"/>
              <w:jc w:val="center"/>
              <w:rPr>
                <w:rFonts w:hint="eastAsia" w:ascii="宋体" w:hAnsi="宋体" w:eastAsia="宋体" w:cs="宋体"/>
                <w:strike/>
                <w:color w:val="auto"/>
                <w:sz w:val="21"/>
                <w:szCs w:val="21"/>
                <w:highlight w:val="none"/>
              </w:rPr>
            </w:pPr>
          </w:p>
        </w:tc>
        <w:tc>
          <w:tcPr>
            <w:tcW w:w="1221" w:type="dxa"/>
            <w:vAlign w:val="center"/>
          </w:tcPr>
          <w:p>
            <w:pPr>
              <w:spacing w:line="360" w:lineRule="auto"/>
              <w:jc w:val="center"/>
              <w:rPr>
                <w:rFonts w:hint="eastAsia" w:ascii="宋体" w:hAnsi="宋体" w:eastAsia="宋体" w:cs="宋体"/>
                <w:strike/>
                <w:color w:val="auto"/>
                <w:sz w:val="21"/>
                <w:szCs w:val="21"/>
                <w:highlight w:val="none"/>
              </w:rPr>
            </w:pPr>
          </w:p>
        </w:tc>
        <w:tc>
          <w:tcPr>
            <w:tcW w:w="5397" w:type="dxa"/>
            <w:vAlign w:val="center"/>
          </w:tcPr>
          <w:p>
            <w:pPr>
              <w:spacing w:line="360" w:lineRule="auto"/>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spacing w:line="360" w:lineRule="auto"/>
              <w:jc w:val="center"/>
              <w:rPr>
                <w:rFonts w:hint="eastAsia" w:ascii="宋体" w:hAnsi="宋体" w:eastAsia="宋体" w:cs="宋体"/>
                <w:strike/>
                <w:color w:val="auto"/>
                <w:sz w:val="21"/>
                <w:szCs w:val="21"/>
                <w:highlight w:val="none"/>
              </w:rPr>
            </w:pPr>
          </w:p>
        </w:tc>
        <w:tc>
          <w:tcPr>
            <w:tcW w:w="1074" w:type="dxa"/>
            <w:vAlign w:val="center"/>
          </w:tcPr>
          <w:p>
            <w:pPr>
              <w:spacing w:line="360" w:lineRule="auto"/>
              <w:jc w:val="center"/>
              <w:rPr>
                <w:rFonts w:hint="eastAsia" w:ascii="宋体" w:hAnsi="宋体" w:eastAsia="宋体" w:cs="宋体"/>
                <w:strike/>
                <w:color w:val="auto"/>
                <w:sz w:val="21"/>
                <w:szCs w:val="21"/>
                <w:highlight w:val="none"/>
              </w:rPr>
            </w:pPr>
          </w:p>
        </w:tc>
        <w:tc>
          <w:tcPr>
            <w:tcW w:w="2748" w:type="dxa"/>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结构专业负责人</w:t>
            </w:r>
          </w:p>
        </w:tc>
        <w:tc>
          <w:tcPr>
            <w:tcW w:w="3013" w:type="dxa"/>
            <w:vAlign w:val="center"/>
          </w:tcPr>
          <w:p>
            <w:pPr>
              <w:spacing w:line="360" w:lineRule="auto"/>
              <w:jc w:val="center"/>
              <w:rPr>
                <w:rFonts w:hint="eastAsia" w:ascii="宋体" w:hAnsi="宋体" w:eastAsia="宋体" w:cs="宋体"/>
                <w:strike/>
                <w:color w:val="auto"/>
                <w:sz w:val="21"/>
                <w:szCs w:val="21"/>
                <w:highlight w:val="none"/>
              </w:rPr>
            </w:pPr>
          </w:p>
        </w:tc>
        <w:tc>
          <w:tcPr>
            <w:tcW w:w="1221" w:type="dxa"/>
            <w:vAlign w:val="center"/>
          </w:tcPr>
          <w:p>
            <w:pPr>
              <w:spacing w:line="360" w:lineRule="auto"/>
              <w:jc w:val="center"/>
              <w:rPr>
                <w:rFonts w:hint="eastAsia" w:ascii="宋体" w:hAnsi="宋体" w:eastAsia="宋体" w:cs="宋体"/>
                <w:strike/>
                <w:color w:val="auto"/>
                <w:sz w:val="21"/>
                <w:szCs w:val="21"/>
                <w:highlight w:val="none"/>
              </w:rPr>
            </w:pPr>
          </w:p>
        </w:tc>
        <w:tc>
          <w:tcPr>
            <w:tcW w:w="5397" w:type="dxa"/>
            <w:vAlign w:val="center"/>
          </w:tcPr>
          <w:p>
            <w:pPr>
              <w:spacing w:line="360" w:lineRule="auto"/>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spacing w:line="360" w:lineRule="auto"/>
              <w:jc w:val="center"/>
              <w:rPr>
                <w:rFonts w:hint="eastAsia" w:ascii="宋体" w:hAnsi="宋体" w:eastAsia="宋体" w:cs="宋体"/>
                <w:strike/>
                <w:color w:val="auto"/>
                <w:sz w:val="21"/>
                <w:szCs w:val="21"/>
                <w:highlight w:val="none"/>
              </w:rPr>
            </w:pPr>
          </w:p>
        </w:tc>
        <w:tc>
          <w:tcPr>
            <w:tcW w:w="1074" w:type="dxa"/>
            <w:vAlign w:val="center"/>
          </w:tcPr>
          <w:p>
            <w:pPr>
              <w:spacing w:line="360" w:lineRule="auto"/>
              <w:jc w:val="center"/>
              <w:rPr>
                <w:rFonts w:hint="eastAsia" w:ascii="宋体" w:hAnsi="宋体" w:eastAsia="宋体" w:cs="宋体"/>
                <w:strike/>
                <w:color w:val="auto"/>
                <w:sz w:val="21"/>
                <w:szCs w:val="21"/>
                <w:highlight w:val="none"/>
              </w:rPr>
            </w:pPr>
          </w:p>
        </w:tc>
        <w:tc>
          <w:tcPr>
            <w:tcW w:w="2748" w:type="dxa"/>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建筑专业负责人</w:t>
            </w:r>
          </w:p>
        </w:tc>
        <w:tc>
          <w:tcPr>
            <w:tcW w:w="3013" w:type="dxa"/>
            <w:vAlign w:val="center"/>
          </w:tcPr>
          <w:p>
            <w:pPr>
              <w:spacing w:line="360" w:lineRule="auto"/>
              <w:jc w:val="center"/>
              <w:rPr>
                <w:rFonts w:hint="eastAsia" w:ascii="宋体" w:hAnsi="宋体" w:eastAsia="宋体" w:cs="宋体"/>
                <w:strike/>
                <w:color w:val="auto"/>
                <w:sz w:val="21"/>
                <w:szCs w:val="21"/>
                <w:highlight w:val="none"/>
              </w:rPr>
            </w:pPr>
          </w:p>
        </w:tc>
        <w:tc>
          <w:tcPr>
            <w:tcW w:w="1221" w:type="dxa"/>
            <w:vAlign w:val="center"/>
          </w:tcPr>
          <w:p>
            <w:pPr>
              <w:spacing w:line="360" w:lineRule="auto"/>
              <w:jc w:val="center"/>
              <w:rPr>
                <w:rFonts w:hint="eastAsia" w:ascii="宋体" w:hAnsi="宋体" w:eastAsia="宋体" w:cs="宋体"/>
                <w:strike/>
                <w:color w:val="auto"/>
                <w:sz w:val="21"/>
                <w:szCs w:val="21"/>
                <w:highlight w:val="none"/>
              </w:rPr>
            </w:pPr>
          </w:p>
        </w:tc>
        <w:tc>
          <w:tcPr>
            <w:tcW w:w="5397" w:type="dxa"/>
            <w:vAlign w:val="center"/>
          </w:tcPr>
          <w:p>
            <w:pPr>
              <w:spacing w:line="360" w:lineRule="auto"/>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spacing w:line="360" w:lineRule="auto"/>
              <w:jc w:val="center"/>
              <w:rPr>
                <w:rFonts w:hint="eastAsia" w:ascii="宋体" w:hAnsi="宋体" w:eastAsia="宋体" w:cs="宋体"/>
                <w:strike/>
                <w:color w:val="auto"/>
                <w:sz w:val="21"/>
                <w:szCs w:val="21"/>
                <w:highlight w:val="none"/>
              </w:rPr>
            </w:pPr>
          </w:p>
        </w:tc>
        <w:tc>
          <w:tcPr>
            <w:tcW w:w="1074" w:type="dxa"/>
            <w:vAlign w:val="center"/>
          </w:tcPr>
          <w:p>
            <w:pPr>
              <w:spacing w:line="360" w:lineRule="auto"/>
              <w:jc w:val="center"/>
              <w:rPr>
                <w:rFonts w:hint="eastAsia" w:ascii="宋体" w:hAnsi="宋体" w:eastAsia="宋体" w:cs="宋体"/>
                <w:strike/>
                <w:color w:val="auto"/>
                <w:sz w:val="21"/>
                <w:szCs w:val="21"/>
                <w:highlight w:val="none"/>
              </w:rPr>
            </w:pPr>
          </w:p>
        </w:tc>
        <w:tc>
          <w:tcPr>
            <w:tcW w:w="2748" w:type="dxa"/>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暖通专业负责人</w:t>
            </w:r>
          </w:p>
        </w:tc>
        <w:tc>
          <w:tcPr>
            <w:tcW w:w="3013" w:type="dxa"/>
            <w:vAlign w:val="center"/>
          </w:tcPr>
          <w:p>
            <w:pPr>
              <w:spacing w:line="360" w:lineRule="auto"/>
              <w:jc w:val="center"/>
              <w:rPr>
                <w:rFonts w:hint="eastAsia" w:ascii="宋体" w:hAnsi="宋体" w:eastAsia="宋体" w:cs="宋体"/>
                <w:strike/>
                <w:color w:val="auto"/>
                <w:sz w:val="21"/>
                <w:szCs w:val="21"/>
                <w:highlight w:val="none"/>
              </w:rPr>
            </w:pPr>
          </w:p>
        </w:tc>
        <w:tc>
          <w:tcPr>
            <w:tcW w:w="1221" w:type="dxa"/>
            <w:vAlign w:val="center"/>
          </w:tcPr>
          <w:p>
            <w:pPr>
              <w:spacing w:line="360" w:lineRule="auto"/>
              <w:jc w:val="center"/>
              <w:rPr>
                <w:rFonts w:hint="eastAsia" w:ascii="宋体" w:hAnsi="宋体" w:eastAsia="宋体" w:cs="宋体"/>
                <w:strike/>
                <w:color w:val="auto"/>
                <w:sz w:val="21"/>
                <w:szCs w:val="21"/>
                <w:highlight w:val="none"/>
              </w:rPr>
            </w:pPr>
          </w:p>
        </w:tc>
        <w:tc>
          <w:tcPr>
            <w:tcW w:w="5397" w:type="dxa"/>
            <w:vAlign w:val="center"/>
          </w:tcPr>
          <w:p>
            <w:pPr>
              <w:spacing w:line="360" w:lineRule="auto"/>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spacing w:line="360" w:lineRule="auto"/>
              <w:jc w:val="center"/>
              <w:rPr>
                <w:rFonts w:hint="eastAsia" w:ascii="宋体" w:hAnsi="宋体" w:eastAsia="宋体" w:cs="宋体"/>
                <w:strike/>
                <w:color w:val="auto"/>
                <w:sz w:val="21"/>
                <w:szCs w:val="21"/>
                <w:highlight w:val="none"/>
              </w:rPr>
            </w:pPr>
          </w:p>
        </w:tc>
        <w:tc>
          <w:tcPr>
            <w:tcW w:w="1074" w:type="dxa"/>
            <w:vAlign w:val="center"/>
          </w:tcPr>
          <w:p>
            <w:pPr>
              <w:spacing w:line="360" w:lineRule="auto"/>
              <w:jc w:val="center"/>
              <w:rPr>
                <w:rFonts w:hint="eastAsia" w:ascii="宋体" w:hAnsi="宋体" w:eastAsia="宋体" w:cs="宋体"/>
                <w:strike/>
                <w:color w:val="auto"/>
                <w:sz w:val="21"/>
                <w:szCs w:val="21"/>
                <w:highlight w:val="none"/>
              </w:rPr>
            </w:pPr>
          </w:p>
        </w:tc>
        <w:tc>
          <w:tcPr>
            <w:tcW w:w="2748" w:type="dxa"/>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园林专业负责人</w:t>
            </w:r>
          </w:p>
        </w:tc>
        <w:tc>
          <w:tcPr>
            <w:tcW w:w="3013" w:type="dxa"/>
            <w:vAlign w:val="center"/>
          </w:tcPr>
          <w:p>
            <w:pPr>
              <w:spacing w:line="360" w:lineRule="auto"/>
              <w:jc w:val="center"/>
              <w:rPr>
                <w:rFonts w:hint="eastAsia" w:ascii="宋体" w:hAnsi="宋体" w:eastAsia="宋体" w:cs="宋体"/>
                <w:strike/>
                <w:color w:val="auto"/>
                <w:sz w:val="21"/>
                <w:szCs w:val="21"/>
                <w:highlight w:val="none"/>
              </w:rPr>
            </w:pPr>
          </w:p>
        </w:tc>
        <w:tc>
          <w:tcPr>
            <w:tcW w:w="1221" w:type="dxa"/>
            <w:vAlign w:val="center"/>
          </w:tcPr>
          <w:p>
            <w:pPr>
              <w:spacing w:line="360" w:lineRule="auto"/>
              <w:jc w:val="center"/>
              <w:rPr>
                <w:rFonts w:hint="eastAsia" w:ascii="宋体" w:hAnsi="宋体" w:eastAsia="宋体" w:cs="宋体"/>
                <w:strike/>
                <w:color w:val="auto"/>
                <w:sz w:val="21"/>
                <w:szCs w:val="21"/>
                <w:highlight w:val="none"/>
              </w:rPr>
            </w:pPr>
          </w:p>
        </w:tc>
        <w:tc>
          <w:tcPr>
            <w:tcW w:w="5397" w:type="dxa"/>
            <w:vAlign w:val="center"/>
          </w:tcPr>
          <w:p>
            <w:pPr>
              <w:spacing w:line="360" w:lineRule="auto"/>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spacing w:line="360" w:lineRule="auto"/>
              <w:jc w:val="center"/>
              <w:rPr>
                <w:rFonts w:hint="eastAsia" w:ascii="宋体" w:hAnsi="宋体" w:eastAsia="宋体" w:cs="宋体"/>
                <w:strike/>
                <w:color w:val="auto"/>
                <w:sz w:val="21"/>
                <w:szCs w:val="21"/>
                <w:highlight w:val="none"/>
              </w:rPr>
            </w:pPr>
          </w:p>
        </w:tc>
        <w:tc>
          <w:tcPr>
            <w:tcW w:w="1074" w:type="dxa"/>
            <w:vAlign w:val="center"/>
          </w:tcPr>
          <w:p>
            <w:pPr>
              <w:spacing w:line="360" w:lineRule="auto"/>
              <w:jc w:val="center"/>
              <w:rPr>
                <w:rFonts w:hint="eastAsia" w:ascii="宋体" w:hAnsi="宋体" w:eastAsia="宋体" w:cs="宋体"/>
                <w:strike/>
                <w:color w:val="auto"/>
                <w:sz w:val="21"/>
                <w:szCs w:val="21"/>
                <w:highlight w:val="none"/>
              </w:rPr>
            </w:pPr>
          </w:p>
        </w:tc>
        <w:tc>
          <w:tcPr>
            <w:tcW w:w="2748" w:type="dxa"/>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电气专业负责人</w:t>
            </w:r>
          </w:p>
        </w:tc>
        <w:tc>
          <w:tcPr>
            <w:tcW w:w="3013" w:type="dxa"/>
            <w:vAlign w:val="center"/>
          </w:tcPr>
          <w:p>
            <w:pPr>
              <w:spacing w:line="360" w:lineRule="auto"/>
              <w:jc w:val="center"/>
              <w:rPr>
                <w:rFonts w:hint="eastAsia" w:ascii="宋体" w:hAnsi="宋体" w:eastAsia="宋体" w:cs="宋体"/>
                <w:strike/>
                <w:color w:val="auto"/>
                <w:sz w:val="21"/>
                <w:szCs w:val="21"/>
                <w:highlight w:val="none"/>
              </w:rPr>
            </w:pPr>
          </w:p>
        </w:tc>
        <w:tc>
          <w:tcPr>
            <w:tcW w:w="1221" w:type="dxa"/>
            <w:vAlign w:val="center"/>
          </w:tcPr>
          <w:p>
            <w:pPr>
              <w:spacing w:line="360" w:lineRule="auto"/>
              <w:jc w:val="center"/>
              <w:rPr>
                <w:rFonts w:hint="eastAsia" w:ascii="宋体" w:hAnsi="宋体" w:eastAsia="宋体" w:cs="宋体"/>
                <w:strike/>
                <w:color w:val="auto"/>
                <w:sz w:val="21"/>
                <w:szCs w:val="21"/>
                <w:highlight w:val="none"/>
              </w:rPr>
            </w:pPr>
          </w:p>
        </w:tc>
        <w:tc>
          <w:tcPr>
            <w:tcW w:w="5397" w:type="dxa"/>
            <w:vAlign w:val="center"/>
          </w:tcPr>
          <w:p>
            <w:pPr>
              <w:spacing w:line="360" w:lineRule="auto"/>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spacing w:line="360" w:lineRule="auto"/>
              <w:jc w:val="center"/>
              <w:rPr>
                <w:rFonts w:hint="eastAsia" w:ascii="宋体" w:hAnsi="宋体" w:eastAsia="宋体" w:cs="宋体"/>
                <w:strike/>
                <w:color w:val="auto"/>
                <w:sz w:val="21"/>
                <w:szCs w:val="21"/>
                <w:highlight w:val="none"/>
              </w:rPr>
            </w:pPr>
          </w:p>
        </w:tc>
        <w:tc>
          <w:tcPr>
            <w:tcW w:w="1074" w:type="dxa"/>
            <w:vAlign w:val="center"/>
          </w:tcPr>
          <w:p>
            <w:pPr>
              <w:spacing w:line="360" w:lineRule="auto"/>
              <w:jc w:val="center"/>
              <w:rPr>
                <w:rFonts w:hint="eastAsia" w:ascii="宋体" w:hAnsi="宋体" w:eastAsia="宋体" w:cs="宋体"/>
                <w:strike/>
                <w:color w:val="auto"/>
                <w:sz w:val="21"/>
                <w:szCs w:val="21"/>
                <w:highlight w:val="none"/>
              </w:rPr>
            </w:pPr>
          </w:p>
        </w:tc>
        <w:tc>
          <w:tcPr>
            <w:tcW w:w="2748" w:type="dxa"/>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智能化专业负责人</w:t>
            </w:r>
          </w:p>
        </w:tc>
        <w:tc>
          <w:tcPr>
            <w:tcW w:w="3013" w:type="dxa"/>
            <w:vAlign w:val="center"/>
          </w:tcPr>
          <w:p>
            <w:pPr>
              <w:spacing w:line="360" w:lineRule="auto"/>
              <w:jc w:val="center"/>
              <w:rPr>
                <w:rFonts w:hint="eastAsia" w:ascii="宋体" w:hAnsi="宋体" w:eastAsia="宋体" w:cs="宋体"/>
                <w:strike/>
                <w:color w:val="auto"/>
                <w:sz w:val="21"/>
                <w:szCs w:val="21"/>
                <w:highlight w:val="none"/>
              </w:rPr>
            </w:pPr>
          </w:p>
        </w:tc>
        <w:tc>
          <w:tcPr>
            <w:tcW w:w="1221" w:type="dxa"/>
            <w:vAlign w:val="center"/>
          </w:tcPr>
          <w:p>
            <w:pPr>
              <w:spacing w:line="360" w:lineRule="auto"/>
              <w:jc w:val="center"/>
              <w:rPr>
                <w:rFonts w:hint="eastAsia" w:ascii="宋体" w:hAnsi="宋体" w:eastAsia="宋体" w:cs="宋体"/>
                <w:strike/>
                <w:color w:val="auto"/>
                <w:sz w:val="21"/>
                <w:szCs w:val="21"/>
                <w:highlight w:val="none"/>
              </w:rPr>
            </w:pPr>
          </w:p>
        </w:tc>
        <w:tc>
          <w:tcPr>
            <w:tcW w:w="5397" w:type="dxa"/>
            <w:vAlign w:val="center"/>
          </w:tcPr>
          <w:p>
            <w:pPr>
              <w:spacing w:line="360" w:lineRule="auto"/>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spacing w:line="360" w:lineRule="auto"/>
              <w:jc w:val="center"/>
              <w:rPr>
                <w:rFonts w:hint="eastAsia" w:ascii="宋体" w:hAnsi="宋体" w:eastAsia="宋体" w:cs="宋体"/>
                <w:strike/>
                <w:color w:val="auto"/>
                <w:sz w:val="21"/>
                <w:szCs w:val="21"/>
                <w:highlight w:val="none"/>
              </w:rPr>
            </w:pPr>
          </w:p>
        </w:tc>
        <w:tc>
          <w:tcPr>
            <w:tcW w:w="1074" w:type="dxa"/>
            <w:vAlign w:val="center"/>
          </w:tcPr>
          <w:p>
            <w:pPr>
              <w:spacing w:line="360" w:lineRule="auto"/>
              <w:jc w:val="center"/>
              <w:rPr>
                <w:rFonts w:hint="eastAsia" w:ascii="宋体" w:hAnsi="宋体" w:eastAsia="宋体" w:cs="宋体"/>
                <w:strike/>
                <w:color w:val="auto"/>
                <w:sz w:val="21"/>
                <w:szCs w:val="21"/>
                <w:highlight w:val="none"/>
              </w:rPr>
            </w:pPr>
          </w:p>
        </w:tc>
        <w:tc>
          <w:tcPr>
            <w:tcW w:w="2748" w:type="dxa"/>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给排水专业负责人</w:t>
            </w:r>
          </w:p>
        </w:tc>
        <w:tc>
          <w:tcPr>
            <w:tcW w:w="3013" w:type="dxa"/>
            <w:vAlign w:val="center"/>
          </w:tcPr>
          <w:p>
            <w:pPr>
              <w:spacing w:line="360" w:lineRule="auto"/>
              <w:jc w:val="center"/>
              <w:rPr>
                <w:rFonts w:hint="eastAsia" w:ascii="宋体" w:hAnsi="宋体" w:eastAsia="宋体" w:cs="宋体"/>
                <w:strike/>
                <w:color w:val="auto"/>
                <w:sz w:val="21"/>
                <w:szCs w:val="21"/>
                <w:highlight w:val="none"/>
              </w:rPr>
            </w:pPr>
          </w:p>
        </w:tc>
        <w:tc>
          <w:tcPr>
            <w:tcW w:w="1221" w:type="dxa"/>
            <w:vAlign w:val="center"/>
          </w:tcPr>
          <w:p>
            <w:pPr>
              <w:spacing w:line="360" w:lineRule="auto"/>
              <w:jc w:val="center"/>
              <w:rPr>
                <w:rFonts w:hint="eastAsia" w:ascii="宋体" w:hAnsi="宋体" w:eastAsia="宋体" w:cs="宋体"/>
                <w:strike/>
                <w:color w:val="auto"/>
                <w:sz w:val="21"/>
                <w:szCs w:val="21"/>
                <w:highlight w:val="none"/>
              </w:rPr>
            </w:pPr>
          </w:p>
        </w:tc>
        <w:tc>
          <w:tcPr>
            <w:tcW w:w="5397" w:type="dxa"/>
            <w:vAlign w:val="center"/>
          </w:tcPr>
          <w:p>
            <w:pPr>
              <w:spacing w:line="360" w:lineRule="auto"/>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spacing w:line="360" w:lineRule="auto"/>
              <w:jc w:val="center"/>
              <w:rPr>
                <w:rFonts w:hint="eastAsia" w:ascii="宋体" w:hAnsi="宋体" w:eastAsia="宋体" w:cs="宋体"/>
                <w:strike/>
                <w:color w:val="auto"/>
                <w:sz w:val="21"/>
                <w:szCs w:val="21"/>
                <w:highlight w:val="none"/>
              </w:rPr>
            </w:pPr>
          </w:p>
        </w:tc>
        <w:tc>
          <w:tcPr>
            <w:tcW w:w="1074" w:type="dxa"/>
            <w:vAlign w:val="center"/>
          </w:tcPr>
          <w:p>
            <w:pPr>
              <w:spacing w:line="360" w:lineRule="auto"/>
              <w:jc w:val="center"/>
              <w:rPr>
                <w:rFonts w:hint="eastAsia" w:ascii="宋体" w:hAnsi="宋体" w:eastAsia="宋体" w:cs="宋体"/>
                <w:strike/>
                <w:color w:val="auto"/>
                <w:sz w:val="21"/>
                <w:szCs w:val="21"/>
                <w:highlight w:val="none"/>
              </w:rPr>
            </w:pPr>
          </w:p>
        </w:tc>
        <w:tc>
          <w:tcPr>
            <w:tcW w:w="2748" w:type="dxa"/>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概预算专业负责人</w:t>
            </w:r>
          </w:p>
        </w:tc>
        <w:tc>
          <w:tcPr>
            <w:tcW w:w="3013" w:type="dxa"/>
            <w:vAlign w:val="center"/>
          </w:tcPr>
          <w:p>
            <w:pPr>
              <w:spacing w:line="360" w:lineRule="auto"/>
              <w:jc w:val="center"/>
              <w:rPr>
                <w:rFonts w:hint="eastAsia" w:ascii="宋体" w:hAnsi="宋体" w:eastAsia="宋体" w:cs="宋体"/>
                <w:strike/>
                <w:color w:val="auto"/>
                <w:sz w:val="21"/>
                <w:szCs w:val="21"/>
                <w:highlight w:val="none"/>
              </w:rPr>
            </w:pPr>
          </w:p>
        </w:tc>
        <w:tc>
          <w:tcPr>
            <w:tcW w:w="1221" w:type="dxa"/>
            <w:vAlign w:val="center"/>
          </w:tcPr>
          <w:p>
            <w:pPr>
              <w:spacing w:line="360" w:lineRule="auto"/>
              <w:jc w:val="center"/>
              <w:rPr>
                <w:rFonts w:hint="eastAsia" w:ascii="宋体" w:hAnsi="宋体" w:eastAsia="宋体" w:cs="宋体"/>
                <w:strike/>
                <w:color w:val="auto"/>
                <w:sz w:val="21"/>
                <w:szCs w:val="21"/>
                <w:highlight w:val="none"/>
              </w:rPr>
            </w:pPr>
          </w:p>
        </w:tc>
        <w:tc>
          <w:tcPr>
            <w:tcW w:w="5397" w:type="dxa"/>
            <w:vAlign w:val="center"/>
          </w:tcPr>
          <w:p>
            <w:pPr>
              <w:spacing w:line="360" w:lineRule="auto"/>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spacing w:line="360" w:lineRule="auto"/>
              <w:jc w:val="center"/>
              <w:rPr>
                <w:rFonts w:hint="eastAsia" w:ascii="宋体" w:hAnsi="宋体" w:eastAsia="宋体" w:cs="宋体"/>
                <w:strike/>
                <w:color w:val="auto"/>
                <w:sz w:val="21"/>
                <w:szCs w:val="21"/>
                <w:highlight w:val="none"/>
              </w:rPr>
            </w:pPr>
          </w:p>
        </w:tc>
        <w:tc>
          <w:tcPr>
            <w:tcW w:w="1074" w:type="dxa"/>
            <w:vAlign w:val="center"/>
          </w:tcPr>
          <w:p>
            <w:pPr>
              <w:spacing w:line="360" w:lineRule="auto"/>
              <w:jc w:val="center"/>
              <w:rPr>
                <w:rFonts w:hint="eastAsia" w:ascii="宋体" w:hAnsi="宋体" w:eastAsia="宋体" w:cs="宋体"/>
                <w:strike/>
                <w:color w:val="auto"/>
                <w:sz w:val="21"/>
                <w:szCs w:val="21"/>
                <w:highlight w:val="none"/>
              </w:rPr>
            </w:pPr>
          </w:p>
        </w:tc>
        <w:tc>
          <w:tcPr>
            <w:tcW w:w="2748" w:type="dxa"/>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勘察专业负责人</w:t>
            </w:r>
          </w:p>
        </w:tc>
        <w:tc>
          <w:tcPr>
            <w:tcW w:w="3013" w:type="dxa"/>
            <w:vAlign w:val="center"/>
          </w:tcPr>
          <w:p>
            <w:pPr>
              <w:spacing w:line="360" w:lineRule="auto"/>
              <w:jc w:val="center"/>
              <w:rPr>
                <w:rFonts w:hint="eastAsia" w:ascii="宋体" w:hAnsi="宋体" w:eastAsia="宋体" w:cs="宋体"/>
                <w:strike/>
                <w:color w:val="auto"/>
                <w:sz w:val="21"/>
                <w:szCs w:val="21"/>
                <w:highlight w:val="none"/>
              </w:rPr>
            </w:pPr>
          </w:p>
        </w:tc>
        <w:tc>
          <w:tcPr>
            <w:tcW w:w="1221" w:type="dxa"/>
            <w:vAlign w:val="center"/>
          </w:tcPr>
          <w:p>
            <w:pPr>
              <w:spacing w:line="360" w:lineRule="auto"/>
              <w:jc w:val="center"/>
              <w:rPr>
                <w:rFonts w:hint="eastAsia" w:ascii="宋体" w:hAnsi="宋体" w:eastAsia="宋体" w:cs="宋体"/>
                <w:strike/>
                <w:color w:val="auto"/>
                <w:sz w:val="21"/>
                <w:szCs w:val="21"/>
                <w:highlight w:val="none"/>
              </w:rPr>
            </w:pPr>
          </w:p>
        </w:tc>
        <w:tc>
          <w:tcPr>
            <w:tcW w:w="5397" w:type="dxa"/>
            <w:vAlign w:val="center"/>
          </w:tcPr>
          <w:p>
            <w:pPr>
              <w:spacing w:line="360" w:lineRule="auto"/>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spacing w:line="360" w:lineRule="auto"/>
              <w:jc w:val="center"/>
              <w:rPr>
                <w:rFonts w:hint="eastAsia" w:ascii="宋体" w:hAnsi="宋体" w:eastAsia="宋体" w:cs="宋体"/>
                <w:strike/>
                <w:color w:val="auto"/>
                <w:sz w:val="21"/>
                <w:szCs w:val="21"/>
                <w:highlight w:val="none"/>
              </w:rPr>
            </w:pPr>
          </w:p>
        </w:tc>
        <w:tc>
          <w:tcPr>
            <w:tcW w:w="1074" w:type="dxa"/>
            <w:vAlign w:val="center"/>
          </w:tcPr>
          <w:p>
            <w:pPr>
              <w:spacing w:line="360" w:lineRule="auto"/>
              <w:jc w:val="center"/>
              <w:rPr>
                <w:rFonts w:hint="eastAsia" w:ascii="宋体" w:hAnsi="宋体" w:eastAsia="宋体" w:cs="宋体"/>
                <w:strike/>
                <w:color w:val="auto"/>
                <w:sz w:val="21"/>
                <w:szCs w:val="21"/>
                <w:highlight w:val="none"/>
              </w:rPr>
            </w:pPr>
          </w:p>
        </w:tc>
        <w:tc>
          <w:tcPr>
            <w:tcW w:w="2748" w:type="dxa"/>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w:t>
            </w:r>
          </w:p>
        </w:tc>
        <w:tc>
          <w:tcPr>
            <w:tcW w:w="3013" w:type="dxa"/>
            <w:vAlign w:val="center"/>
          </w:tcPr>
          <w:p>
            <w:pPr>
              <w:spacing w:line="360" w:lineRule="auto"/>
              <w:jc w:val="center"/>
              <w:rPr>
                <w:rFonts w:hint="eastAsia" w:ascii="宋体" w:hAnsi="宋体" w:eastAsia="宋体" w:cs="宋体"/>
                <w:strike/>
                <w:color w:val="auto"/>
                <w:sz w:val="21"/>
                <w:szCs w:val="21"/>
                <w:highlight w:val="none"/>
              </w:rPr>
            </w:pPr>
          </w:p>
        </w:tc>
        <w:tc>
          <w:tcPr>
            <w:tcW w:w="1221" w:type="dxa"/>
            <w:vAlign w:val="center"/>
          </w:tcPr>
          <w:p>
            <w:pPr>
              <w:spacing w:line="360" w:lineRule="auto"/>
              <w:jc w:val="center"/>
              <w:rPr>
                <w:rFonts w:hint="eastAsia" w:ascii="宋体" w:hAnsi="宋体" w:eastAsia="宋体" w:cs="宋体"/>
                <w:strike/>
                <w:color w:val="auto"/>
                <w:sz w:val="21"/>
                <w:szCs w:val="21"/>
                <w:highlight w:val="none"/>
              </w:rPr>
            </w:pPr>
          </w:p>
        </w:tc>
        <w:tc>
          <w:tcPr>
            <w:tcW w:w="5397" w:type="dxa"/>
            <w:vAlign w:val="center"/>
          </w:tcPr>
          <w:p>
            <w:pPr>
              <w:spacing w:line="360" w:lineRule="auto"/>
              <w:jc w:val="center"/>
              <w:rPr>
                <w:rFonts w:hint="eastAsia" w:ascii="宋体" w:hAnsi="宋体" w:eastAsia="宋体" w:cs="宋体"/>
                <w:strike/>
                <w:color w:val="auto"/>
                <w:sz w:val="21"/>
                <w:szCs w:val="21"/>
                <w:highlight w:val="none"/>
              </w:rPr>
            </w:pPr>
          </w:p>
        </w:tc>
      </w:tr>
    </w:tbl>
    <w:p>
      <w:pPr>
        <w:spacing w:line="360" w:lineRule="auto"/>
        <w:jc w:val="left"/>
        <w:rPr>
          <w:rFonts w:hint="eastAsia" w:ascii="宋体" w:hAnsi="宋体" w:eastAsia="宋体" w:cs="宋体"/>
          <w:color w:val="auto"/>
          <w:sz w:val="21"/>
          <w:szCs w:val="21"/>
          <w:highlight w:val="none"/>
        </w:rPr>
        <w:sectPr>
          <w:pgSz w:w="16838" w:h="11906" w:orient="landscape"/>
          <w:pgMar w:top="1440" w:right="1440" w:bottom="1466" w:left="1440"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宋体" w:hAnsi="宋体" w:eastAsia="宋体" w:cs="宋体"/>
          <w:strike/>
          <w:color w:val="auto"/>
          <w:sz w:val="21"/>
          <w:szCs w:val="21"/>
          <w:highlight w:val="none"/>
        </w:rPr>
        <w:t>注：按“勘察设计任务书”表《各专业设计人员投入要求》要求进行配备；本表除项目负责人外，其他人员均不作为资格审查的条件。</w:t>
      </w:r>
      <w:r>
        <w:rPr>
          <w:rFonts w:hint="eastAsia" w:ascii="宋体" w:hAnsi="宋体" w:eastAsia="宋体" w:cs="宋体"/>
          <w:color w:val="auto"/>
          <w:sz w:val="21"/>
          <w:szCs w:val="21"/>
          <w:highlight w:val="none"/>
        </w:rPr>
        <w:t xml:space="preserve">                                                     </w:t>
      </w:r>
    </w:p>
    <w:p>
      <w:pPr>
        <w:pStyle w:val="3"/>
        <w:rPr>
          <w:rFonts w:hint="eastAsia" w:ascii="宋体" w:hAnsi="宋体" w:eastAsia="宋体" w:cs="宋体"/>
          <w:color w:val="auto"/>
          <w:sz w:val="21"/>
          <w:szCs w:val="21"/>
          <w:highlight w:val="none"/>
        </w:rPr>
      </w:pPr>
      <w:bookmarkStart w:id="20" w:name="_Toc20137"/>
      <w:r>
        <w:rPr>
          <w:rFonts w:hint="eastAsia" w:ascii="宋体" w:hAnsi="宋体" w:eastAsia="宋体" w:cs="宋体"/>
          <w:color w:val="auto"/>
          <w:sz w:val="21"/>
          <w:szCs w:val="21"/>
          <w:highlight w:val="none"/>
          <w:lang w:val="en-US" w:eastAsia="zh-CN"/>
        </w:rPr>
        <w:t>附录</w:t>
      </w:r>
      <w:r>
        <w:rPr>
          <w:rFonts w:hint="eastAsia" w:ascii="宋体" w:hAnsi="宋体" w:eastAsia="宋体" w:cs="宋体"/>
          <w:color w:val="auto"/>
          <w:sz w:val="21"/>
          <w:szCs w:val="21"/>
          <w:highlight w:val="none"/>
        </w:rPr>
        <w:t>2设计投标文件编制要求</w:t>
      </w:r>
      <w:bookmarkEnd w:id="20"/>
    </w:p>
    <w:p>
      <w:pPr>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设计</w:t>
      </w:r>
      <w:r>
        <w:rPr>
          <w:rFonts w:hint="eastAsia" w:ascii="宋体" w:hAnsi="宋体" w:eastAsia="宋体" w:cs="宋体"/>
          <w:b/>
          <w:bCs/>
          <w:color w:val="auto"/>
          <w:sz w:val="21"/>
          <w:szCs w:val="21"/>
          <w:highlight w:val="none"/>
        </w:rPr>
        <w:t>投标文件编制要求</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（适用于设计和勘察设计投标）</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   投标文件</w:t>
      </w:r>
    </w:p>
    <w:p>
      <w:pPr>
        <w:spacing w:line="360" w:lineRule="auto"/>
        <w:jc w:val="left"/>
        <w:rPr>
          <w:rFonts w:hint="eastAsia" w:ascii="宋体" w:hAnsi="宋体" w:eastAsia="宋体" w:cs="宋体"/>
          <w:color w:val="auto"/>
          <w:sz w:val="21"/>
          <w:szCs w:val="21"/>
          <w:highlight w:val="none"/>
        </w:rPr>
      </w:pPr>
    </w:p>
    <w:p>
      <w:pPr>
        <w:spacing w:line="360" w:lineRule="auto"/>
        <w:ind w:left="821" w:hanging="718" w:hangingChars="3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投标文件由下列资料组成。</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(a) 开标信封。   </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(b) 设计方案。</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(c) 资格审查文件</w:t>
      </w:r>
      <w:r>
        <w:rPr>
          <w:rFonts w:hint="eastAsia" w:ascii="宋体" w:hAnsi="宋体" w:eastAsia="宋体" w:cs="宋体"/>
          <w:strike/>
          <w:color w:val="auto"/>
          <w:sz w:val="21"/>
          <w:szCs w:val="21"/>
          <w:highlight w:val="none"/>
        </w:rPr>
        <w:t>（如果招标人要求提供）</w:t>
      </w:r>
      <w:r>
        <w:rPr>
          <w:rFonts w:hint="eastAsia" w:ascii="宋体" w:hAnsi="宋体" w:eastAsia="宋体" w:cs="宋体"/>
          <w:color w:val="auto"/>
          <w:sz w:val="21"/>
          <w:szCs w:val="21"/>
          <w:highlight w:val="none"/>
        </w:rPr>
        <w:t>。</w:t>
      </w:r>
    </w:p>
    <w:p>
      <w:pPr>
        <w:spacing w:line="360" w:lineRule="auto"/>
        <w:ind w:firstLine="247" w:firstLineChars="118"/>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(d) 商务文件</w:t>
      </w:r>
    </w:p>
    <w:p>
      <w:pPr>
        <w:spacing w:line="360" w:lineRule="auto"/>
        <w:ind w:firstLine="247" w:firstLineChars="118"/>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（e）</w:t>
      </w:r>
      <w:r>
        <w:rPr>
          <w:rFonts w:hint="eastAsia" w:ascii="宋体" w:hAnsi="宋体" w:eastAsia="宋体" w:cs="宋体"/>
          <w:color w:val="auto"/>
          <w:sz w:val="21"/>
          <w:szCs w:val="21"/>
          <w:highlight w:val="none"/>
          <w:u w:val="single"/>
        </w:rPr>
        <w:t>定标文件。</w:t>
      </w:r>
    </w:p>
    <w:p>
      <w:pPr>
        <w:spacing w:line="360" w:lineRule="auto"/>
        <w:jc w:val="left"/>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    保密要求</w:t>
      </w:r>
    </w:p>
    <w:p>
      <w:pPr>
        <w:spacing w:line="360" w:lineRule="auto"/>
        <w:rPr>
          <w:rFonts w:hint="eastAsia" w:ascii="宋体" w:hAnsi="宋体" w:eastAsia="宋体" w:cs="宋体"/>
          <w:color w:val="auto"/>
          <w:sz w:val="21"/>
          <w:szCs w:val="21"/>
          <w:highlight w:val="none"/>
        </w:rPr>
      </w:pPr>
    </w:p>
    <w:p>
      <w:pPr>
        <w:spacing w:line="360" w:lineRule="auto"/>
        <w:ind w:left="498" w:leftChars="-5" w:hanging="508" w:hangingChars="24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投标文件必须隐匿投标人及专业技术人员的名称，除了《投标书》（格式见附录6）、</w:t>
      </w:r>
      <w:r>
        <w:rPr>
          <w:rFonts w:hint="eastAsia" w:ascii="宋体" w:hAnsi="宋体" w:eastAsia="宋体" w:cs="宋体"/>
          <w:strike/>
          <w:dstrike w:val="0"/>
          <w:color w:val="auto"/>
          <w:sz w:val="21"/>
          <w:szCs w:val="21"/>
          <w:highlight w:val="none"/>
          <w:u w:val="single"/>
        </w:rPr>
        <w:t>《联合体共同投标协议》</w:t>
      </w:r>
      <w:r>
        <w:rPr>
          <w:rFonts w:hint="eastAsia" w:ascii="宋体" w:hAnsi="宋体" w:eastAsia="宋体" w:cs="宋体"/>
          <w:strike/>
          <w:dstrike w:val="0"/>
          <w:color w:val="auto"/>
          <w:sz w:val="21"/>
          <w:szCs w:val="21"/>
          <w:highlight w:val="none"/>
        </w:rPr>
        <w:t>（格式见附录7）</w:t>
      </w:r>
      <w:r>
        <w:rPr>
          <w:rFonts w:hint="eastAsia" w:ascii="宋体" w:hAnsi="宋体" w:eastAsia="宋体" w:cs="宋体"/>
          <w:color w:val="auto"/>
          <w:sz w:val="21"/>
          <w:szCs w:val="21"/>
          <w:highlight w:val="none"/>
        </w:rPr>
        <w:t>、《投标人声明》（格式见附录8）和资格审查文件（如有）、</w:t>
      </w:r>
      <w:r>
        <w:rPr>
          <w:rFonts w:hint="eastAsia" w:ascii="宋体" w:hAnsi="宋体" w:eastAsia="宋体" w:cs="宋体"/>
          <w:color w:val="auto"/>
          <w:sz w:val="21"/>
          <w:szCs w:val="21"/>
          <w:highlight w:val="none"/>
          <w:u w:val="single"/>
          <w:lang w:val="en-US" w:eastAsia="zh-CN"/>
        </w:rPr>
        <w:t>商务文件、</w:t>
      </w:r>
      <w:r>
        <w:rPr>
          <w:rFonts w:hint="eastAsia" w:ascii="宋体" w:hAnsi="宋体" w:eastAsia="宋体" w:cs="宋体"/>
          <w:color w:val="auto"/>
          <w:sz w:val="21"/>
          <w:szCs w:val="21"/>
          <w:highlight w:val="none"/>
          <w:u w:val="single"/>
        </w:rPr>
        <w:t>定标文件</w:t>
      </w:r>
      <w:r>
        <w:rPr>
          <w:rFonts w:hint="eastAsia" w:ascii="宋体" w:hAnsi="宋体" w:eastAsia="宋体" w:cs="宋体"/>
          <w:color w:val="auto"/>
          <w:sz w:val="21"/>
          <w:szCs w:val="21"/>
          <w:highlight w:val="none"/>
        </w:rPr>
        <w:t>外，投标人不得在设计方案上标注或做任何可以辨认投标人及专业技术人员身份的名称、印章、商标、图形等。</w:t>
      </w:r>
    </w:p>
    <w:p>
      <w:pPr>
        <w:spacing w:line="360" w:lineRule="auto"/>
        <w:ind w:left="410" w:hanging="359" w:hangingChars="171"/>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开标信封</w:t>
      </w:r>
    </w:p>
    <w:p>
      <w:pPr>
        <w:spacing w:line="360" w:lineRule="auto"/>
        <w:rPr>
          <w:rFonts w:hint="eastAsia" w:ascii="宋体" w:hAnsi="宋体" w:eastAsia="宋体" w:cs="宋体"/>
          <w:color w:val="auto"/>
          <w:sz w:val="21"/>
          <w:szCs w:val="21"/>
          <w:highlight w:val="none"/>
        </w:rPr>
      </w:pPr>
    </w:p>
    <w:p>
      <w:pPr>
        <w:spacing w:line="360" w:lineRule="auto"/>
        <w:ind w:left="821" w:hanging="718" w:hangingChars="3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开标信封内附填妥并签字盖章的《投标书》（格式见附录6）</w:t>
      </w:r>
      <w:r>
        <w:rPr>
          <w:rFonts w:hint="eastAsia" w:ascii="宋体" w:hAnsi="宋体" w:eastAsia="宋体" w:cs="宋体"/>
          <w:strike/>
          <w:dstrike w:val="0"/>
          <w:color w:val="auto"/>
          <w:sz w:val="21"/>
          <w:szCs w:val="21"/>
          <w:highlight w:val="none"/>
        </w:rPr>
        <w:t>，联合体同时附填妥并签字盖章的</w:t>
      </w:r>
      <w:r>
        <w:rPr>
          <w:rFonts w:hint="eastAsia" w:ascii="宋体" w:hAnsi="宋体" w:eastAsia="宋体" w:cs="宋体"/>
          <w:strike/>
          <w:dstrike w:val="0"/>
          <w:color w:val="auto"/>
          <w:sz w:val="21"/>
          <w:szCs w:val="21"/>
          <w:highlight w:val="none"/>
          <w:u w:val="single"/>
        </w:rPr>
        <w:t>《联合体共同投标协议》</w:t>
      </w:r>
      <w:r>
        <w:rPr>
          <w:rFonts w:hint="eastAsia" w:ascii="宋体" w:hAnsi="宋体" w:eastAsia="宋体" w:cs="宋体"/>
          <w:strike/>
          <w:dstrike w:val="0"/>
          <w:color w:val="auto"/>
          <w:sz w:val="21"/>
          <w:szCs w:val="21"/>
          <w:highlight w:val="none"/>
        </w:rPr>
        <w:t>（格式见附录7）</w:t>
      </w:r>
      <w:r>
        <w:rPr>
          <w:rFonts w:hint="eastAsia" w:ascii="宋体" w:hAnsi="宋体" w:eastAsia="宋体" w:cs="宋体"/>
          <w:color w:val="auto"/>
          <w:sz w:val="21"/>
          <w:szCs w:val="21"/>
          <w:highlight w:val="none"/>
        </w:rPr>
        <w:t>。未设资格审查环节的项目，还应提供填妥并盖章的《投标人声明》（格式见附录8）。</w:t>
      </w:r>
    </w:p>
    <w:p>
      <w:pPr>
        <w:spacing w:line="360" w:lineRule="auto"/>
        <w:rPr>
          <w:rFonts w:hint="eastAsia" w:ascii="宋体" w:hAnsi="宋体" w:eastAsia="宋体" w:cs="宋体"/>
          <w:color w:val="auto"/>
          <w:sz w:val="21"/>
          <w:szCs w:val="21"/>
          <w:highlight w:val="none"/>
        </w:rPr>
      </w:pPr>
    </w:p>
    <w:p>
      <w:pPr>
        <w:spacing w:line="360" w:lineRule="auto"/>
        <w:ind w:left="964" w:hanging="843" w:hangingChars="400"/>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rPr>
        <w:t>4      设计方案（暗标，不得标注或做任何可以辨认投标人及专业技术人员身份的名称、印章、商标、图形等，上传交易平台网站</w:t>
      </w:r>
      <w:r>
        <w:rPr>
          <w:rFonts w:hint="eastAsia" w:ascii="宋体" w:hAnsi="宋体" w:eastAsia="宋体" w:cs="宋体"/>
          <w:b/>
          <w:color w:val="auto"/>
          <w:sz w:val="21"/>
          <w:szCs w:val="21"/>
          <w:highlight w:val="none"/>
          <w:lang w:eastAsia="zh-CN"/>
        </w:rPr>
        <w:t>）</w:t>
      </w:r>
    </w:p>
    <w:p>
      <w:pPr>
        <w:pStyle w:val="21"/>
        <w:spacing w:line="360" w:lineRule="auto"/>
        <w:ind w:firstLine="0" w:firstLineChars="0"/>
        <w:rPr>
          <w:rFonts w:hint="eastAsia" w:ascii="宋体" w:hAnsi="宋体" w:eastAsia="宋体" w:cs="宋体"/>
          <w:color w:val="auto"/>
          <w:sz w:val="21"/>
          <w:szCs w:val="21"/>
          <w:highlight w:val="none"/>
        </w:rPr>
      </w:pPr>
    </w:p>
    <w:p>
      <w:pPr>
        <w:pStyle w:val="21"/>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设计方案内容（文件大小不得超过500M）：</w:t>
      </w:r>
    </w:p>
    <w:p>
      <w:pPr>
        <w:pStyle w:val="21"/>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(a)封面：写明项目名称、设计作品主题（不宜超过20个字）、编制年月。</w:t>
      </w:r>
    </w:p>
    <w:p>
      <w:pPr>
        <w:pStyle w:val="21"/>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(b) 目录；</w:t>
      </w:r>
    </w:p>
    <w:p>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strike/>
          <w:dstrike w:val="0"/>
          <w:color w:val="auto"/>
          <w:sz w:val="21"/>
          <w:szCs w:val="21"/>
          <w:highlight w:val="none"/>
        </w:rPr>
        <w:t>勘察</w:t>
      </w:r>
      <w:r>
        <w:rPr>
          <w:rFonts w:hint="eastAsia" w:ascii="宋体" w:hAnsi="宋体" w:eastAsia="宋体" w:cs="宋体"/>
          <w:color w:val="auto"/>
          <w:sz w:val="21"/>
          <w:szCs w:val="21"/>
          <w:highlight w:val="none"/>
        </w:rPr>
        <w:t>设计文件：</w:t>
      </w:r>
    </w:p>
    <w:p>
      <w:pPr>
        <w:spacing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①设计说明书</w:t>
      </w:r>
      <w:r>
        <w:rPr>
          <w:rFonts w:hint="eastAsia" w:ascii="宋体" w:hAnsi="宋体" w:eastAsia="宋体" w:cs="宋体"/>
          <w:color w:val="auto"/>
          <w:sz w:val="21"/>
          <w:szCs w:val="21"/>
          <w:highlight w:val="none"/>
          <w:lang w:eastAsia="zh-CN"/>
        </w:rPr>
        <w:t>；</w:t>
      </w:r>
    </w:p>
    <w:p>
      <w:pPr>
        <w:pStyle w:val="21"/>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d</w:t>
      </w:r>
      <w:r>
        <w:rPr>
          <w:rFonts w:hint="eastAsia" w:ascii="宋体" w:hAnsi="宋体" w:eastAsia="宋体" w:cs="宋体"/>
          <w:color w:val="auto"/>
          <w:sz w:val="21"/>
          <w:szCs w:val="21"/>
          <w:highlight w:val="none"/>
          <w:u w:val="single"/>
        </w:rPr>
        <w:t>)设计方案及图纸中的内容应包括</w:t>
      </w:r>
      <w:r>
        <w:rPr>
          <w:rFonts w:hint="eastAsia" w:ascii="宋体" w:hAnsi="宋体" w:eastAsia="宋体" w:cs="宋体"/>
          <w:color w:val="auto"/>
          <w:sz w:val="21"/>
          <w:szCs w:val="21"/>
          <w:highlight w:val="none"/>
          <w:u w:val="single"/>
          <w:lang w:val="en-US" w:eastAsia="zh-CN"/>
        </w:rPr>
        <w:t>招标文件评审</w:t>
      </w:r>
      <w:r>
        <w:rPr>
          <w:rFonts w:hint="eastAsia" w:ascii="宋体" w:hAnsi="宋体" w:eastAsia="宋体" w:cs="宋体"/>
          <w:color w:val="auto"/>
          <w:sz w:val="21"/>
          <w:szCs w:val="21"/>
          <w:highlight w:val="none"/>
          <w:u w:val="single"/>
        </w:rPr>
        <w:t>所要求的内容（设计图纸应充分考虑可实施性）</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p>
    <w:p>
      <w:pPr>
        <w:pStyle w:val="2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 《工期计划表》（方案修改、施工图设计的总工时和工期）；</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(f) 投标人提出的建议、工程创新和替代方案（如果有）；</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(g) 完成本项目的难点，保障工期、质量的主要措施；</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h</w:t>
      </w:r>
      <w:r>
        <w:rPr>
          <w:rFonts w:hint="eastAsia" w:ascii="宋体" w:hAnsi="宋体" w:eastAsia="宋体" w:cs="宋体"/>
          <w:color w:val="auto"/>
          <w:sz w:val="21"/>
          <w:szCs w:val="21"/>
          <w:highlight w:val="none"/>
        </w:rPr>
        <w:t>) 投标人认为有必要提供的其他资料；</w:t>
      </w:r>
    </w:p>
    <w:p>
      <w:pPr>
        <w:spacing w:line="360" w:lineRule="auto"/>
        <w:rPr>
          <w:rFonts w:hint="eastAsia" w:ascii="宋体" w:hAnsi="宋体" w:eastAsia="宋体" w:cs="宋体"/>
          <w:b/>
          <w:strike/>
          <w:dstrike w:val="0"/>
          <w:color w:val="auto"/>
          <w:sz w:val="21"/>
          <w:szCs w:val="21"/>
          <w:highlight w:val="none"/>
        </w:rPr>
      </w:pPr>
      <w:r>
        <w:rPr>
          <w:rFonts w:hint="eastAsia" w:ascii="宋体" w:hAnsi="宋体" w:eastAsia="宋体" w:cs="宋体"/>
          <w:b/>
          <w:strike/>
          <w:dstrike w:val="0"/>
          <w:color w:val="auto"/>
          <w:sz w:val="21"/>
          <w:szCs w:val="21"/>
          <w:highlight w:val="none"/>
        </w:rPr>
        <w:t xml:space="preserve">5      </w:t>
      </w:r>
      <w:r>
        <w:rPr>
          <w:rFonts w:hint="eastAsia" w:ascii="宋体" w:hAnsi="宋体" w:eastAsia="宋体" w:cs="宋体"/>
          <w:b/>
          <w:bCs/>
          <w:strike/>
          <w:dstrike w:val="0"/>
          <w:color w:val="auto"/>
          <w:sz w:val="21"/>
          <w:szCs w:val="21"/>
          <w:highlight w:val="none"/>
        </w:rPr>
        <w:t>深度要求</w:t>
      </w:r>
    </w:p>
    <w:p>
      <w:pPr>
        <w:spacing w:line="360" w:lineRule="auto"/>
        <w:ind w:left="821" w:hanging="718" w:hangingChars="342"/>
        <w:jc w:val="left"/>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5.1    投标深度要求：</w:t>
      </w:r>
    </w:p>
    <w:p>
      <w:pPr>
        <w:spacing w:line="360" w:lineRule="auto"/>
        <w:ind w:left="821" w:hanging="718" w:hangingChars="342"/>
        <w:jc w:val="lef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(a) 建筑工程设计投标文件宜达到建设部《建筑工程设计文件编制深度规定》（2016年版）相应设计阶段的要求。</w:t>
      </w:r>
    </w:p>
    <w:p>
      <w:pPr>
        <w:spacing w:line="360" w:lineRule="auto"/>
        <w:ind w:left="821" w:hanging="718" w:hangingChars="342"/>
        <w:jc w:val="lef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b）装饰工程设计投标文件，应提供效果图、平面布置图、天花平面图、立面图，以及《材料表》和《投资估算表》。《投资估算表》应列出明细表，豪华灯具、地毯、洁具、重要设备应列出品牌、型号、数量和价格，所有活动家具不包括在工程造价估算以内。</w:t>
      </w:r>
    </w:p>
    <w:p>
      <w:pPr>
        <w:spacing w:line="360" w:lineRule="auto"/>
        <w:jc w:val="lef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(c) 设计独特具有独创性的节点位置，应该提供示意图。</w:t>
      </w: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    资格审查文件</w:t>
      </w:r>
      <w:r>
        <w:rPr>
          <w:rFonts w:hint="eastAsia" w:ascii="宋体" w:hAnsi="宋体" w:eastAsia="宋体" w:cs="宋体"/>
          <w:b/>
          <w:bCs/>
          <w:strike/>
          <w:color w:val="auto"/>
          <w:sz w:val="21"/>
          <w:szCs w:val="21"/>
          <w:highlight w:val="none"/>
        </w:rPr>
        <w:t>（如有）</w:t>
      </w:r>
    </w:p>
    <w:p>
      <w:pPr>
        <w:pStyle w:val="21"/>
        <w:spacing w:line="360" w:lineRule="auto"/>
        <w:ind w:firstLine="0" w:firstLineChars="0"/>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bookmarkStart w:id="21" w:name="_Hlk114219858"/>
      <w:r>
        <w:rPr>
          <w:rFonts w:hint="eastAsia" w:ascii="宋体" w:hAnsi="宋体" w:eastAsia="宋体" w:cs="宋体"/>
          <w:color w:val="auto"/>
          <w:sz w:val="21"/>
          <w:szCs w:val="21"/>
          <w:highlight w:val="none"/>
        </w:rPr>
        <w:t>6.1   资格审查文件内容：</w:t>
      </w:r>
    </w:p>
    <w:bookmarkEnd w:id="21"/>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(a) 目录；</w:t>
      </w:r>
    </w:p>
    <w:p>
      <w:pPr>
        <w:spacing w:line="360" w:lineRule="auto"/>
        <w:ind w:left="733" w:leftChars="-51" w:hanging="840" w:hanging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(b) 填妥并签字盖章的《投标书》（投标人无需提供，评标委员会根据“开标信封”中的《投标书》进行评审。投标人再次提供且不一致的，以“开标信封”中的《投标书》为准）；</w:t>
      </w:r>
    </w:p>
    <w:p>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 填妥并盖章的《投标人声明》（格式见附录8）；</w:t>
      </w:r>
    </w:p>
    <w:p>
      <w:pPr>
        <w:spacing w:line="360" w:lineRule="auto"/>
        <w:ind w:left="821" w:hanging="718" w:hangingChars="342"/>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 xml:space="preserve">   (d) 填妥并签字盖章的《联合体共同投标协议》（联合体投标人提供）（投标人无需提供，评标委员会根据“开标信封”中的《联合体共同投标协议》进行评审。投标人再次提供且不一致的，以“开标信封”中的《联合体共同投标协议》为准）；</w:t>
      </w:r>
    </w:p>
    <w:p>
      <w:pPr>
        <w:spacing w:line="360" w:lineRule="auto"/>
        <w:ind w:left="821" w:hanging="718" w:hangingChars="3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(e) 填妥并签字盖章的《合作设计协议》（外国或香港、澳门、台湾的设计企业提供）（格式见附录 7-1）；</w:t>
      </w:r>
    </w:p>
    <w:p>
      <w:pPr>
        <w:spacing w:line="360" w:lineRule="auto"/>
        <w:ind w:left="821" w:hanging="718" w:hangingChars="3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(f)投标人资质证书；</w:t>
      </w:r>
    </w:p>
    <w:p>
      <w:pPr>
        <w:spacing w:line="360" w:lineRule="auto"/>
        <w:ind w:left="708" w:leftChars="67" w:hanging="567" w:hanging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(g) 申请人已在广州市住房和城乡建设局建立企业</w:t>
      </w:r>
      <w:r>
        <w:rPr>
          <w:rFonts w:hint="eastAsia" w:ascii="宋体" w:hAnsi="宋体" w:eastAsia="宋体" w:cs="宋体"/>
          <w:color w:val="auto"/>
          <w:sz w:val="21"/>
          <w:szCs w:val="21"/>
          <w:highlight w:val="none"/>
          <w:lang w:val="en-US" w:eastAsia="zh-CN"/>
        </w:rPr>
        <w:t>诚信</w:t>
      </w:r>
      <w:r>
        <w:rPr>
          <w:rFonts w:hint="eastAsia" w:ascii="宋体" w:hAnsi="宋体" w:eastAsia="宋体" w:cs="宋体"/>
          <w:color w:val="auto"/>
          <w:sz w:val="21"/>
          <w:szCs w:val="21"/>
          <w:highlight w:val="none"/>
        </w:rPr>
        <w:t>档案，拟委派的项目负责人须是本企业信用档案中的在册人员。</w:t>
      </w:r>
    </w:p>
    <w:p>
      <w:pPr>
        <w:spacing w:line="360" w:lineRule="auto"/>
        <w:ind w:left="708" w:leftChars="167" w:hanging="357" w:hangingChars="170"/>
        <w:rPr>
          <w:rFonts w:hint="eastAsia" w:ascii="宋体" w:hAnsi="宋体" w:eastAsia="宋体" w:cs="宋体"/>
          <w:dstrike/>
          <w:color w:val="auto"/>
          <w:sz w:val="21"/>
          <w:szCs w:val="21"/>
          <w:highlight w:val="none"/>
        </w:rPr>
      </w:pPr>
      <w:r>
        <w:rPr>
          <w:rFonts w:hint="eastAsia" w:ascii="宋体" w:hAnsi="宋体" w:eastAsia="宋体" w:cs="宋体"/>
          <w:dstrike/>
          <w:color w:val="auto"/>
          <w:sz w:val="21"/>
          <w:szCs w:val="21"/>
          <w:highlight w:val="none"/>
        </w:rPr>
        <w:t>(h) 投标申请表（附录1）；</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(i) 拟派项目负责人注册执业资格证书</w:t>
      </w:r>
      <w:r>
        <w:rPr>
          <w:rFonts w:hint="eastAsia" w:ascii="宋体" w:hAnsi="宋体" w:eastAsia="宋体" w:cs="宋体"/>
          <w:strike/>
          <w:color w:val="auto"/>
          <w:sz w:val="21"/>
          <w:szCs w:val="21"/>
          <w:highlight w:val="none"/>
        </w:rPr>
        <w:t>或职称证书</w:t>
      </w:r>
      <w:r>
        <w:rPr>
          <w:rFonts w:hint="eastAsia" w:ascii="宋体" w:hAnsi="宋体" w:eastAsia="宋体" w:cs="宋体"/>
          <w:color w:val="auto"/>
          <w:sz w:val="21"/>
          <w:szCs w:val="21"/>
          <w:highlight w:val="none"/>
        </w:rPr>
        <w:t>或符合本招标项目对项目负责人要求的香港专业人士的相关证书；</w:t>
      </w:r>
    </w:p>
    <w:p>
      <w:pPr>
        <w:spacing w:line="360" w:lineRule="auto"/>
        <w:ind w:firstLine="420" w:firstLineChars="200"/>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(j) 拟派各专业负责人注册执业资格证书或职称证书及工作简历；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(k) 投标人认为有必要提供的其他资料。</w:t>
      </w:r>
    </w:p>
    <w:p>
      <w:pPr>
        <w:spacing w:line="360" w:lineRule="auto"/>
        <w:ind w:left="539" w:leftChars="15" w:hanging="508" w:hangingChars="2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注：资格审查文件中的(f)、(g)取自</w:t>
      </w:r>
      <w:r>
        <w:rPr>
          <w:rFonts w:hint="eastAsia" w:ascii="宋体" w:hAnsi="宋体" w:eastAsia="宋体" w:cs="宋体"/>
          <w:color w:val="auto"/>
          <w:sz w:val="21"/>
          <w:szCs w:val="21"/>
          <w:highlight w:val="none"/>
          <w:u w:val="single"/>
        </w:rPr>
        <w:t>广州市住建行业信用管理平台</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广州市住建行业信用管理平台</w:t>
      </w:r>
      <w:r>
        <w:rPr>
          <w:rFonts w:hint="eastAsia" w:ascii="宋体" w:hAnsi="宋体" w:eastAsia="宋体" w:cs="宋体"/>
          <w:color w:val="auto"/>
          <w:sz w:val="21"/>
          <w:szCs w:val="21"/>
          <w:highlight w:val="none"/>
        </w:rPr>
        <w:t>记录的该部分上传件将被视为投标人递交投标文件的一部分，不需重复提交。评标委员会对该部分资料的审查将以投标截止时间在</w:t>
      </w:r>
      <w:r>
        <w:rPr>
          <w:rFonts w:hint="eastAsia" w:ascii="宋体" w:hAnsi="宋体" w:eastAsia="宋体" w:cs="宋体"/>
          <w:color w:val="auto"/>
          <w:sz w:val="21"/>
          <w:szCs w:val="21"/>
          <w:highlight w:val="none"/>
          <w:u w:val="single"/>
        </w:rPr>
        <w:t>广州市住建行业信用管理平台</w:t>
      </w:r>
      <w:r>
        <w:rPr>
          <w:rFonts w:hint="eastAsia" w:ascii="宋体" w:hAnsi="宋体" w:eastAsia="宋体" w:cs="宋体"/>
          <w:color w:val="auto"/>
          <w:sz w:val="21"/>
          <w:szCs w:val="21"/>
          <w:highlight w:val="none"/>
        </w:rPr>
        <w:t>上传件为依据。若招标人延长投标截止时间的，以上资料的评审时点也相应延长。投标人应及时维护其在</w:t>
      </w:r>
      <w:r>
        <w:rPr>
          <w:rFonts w:hint="eastAsia" w:ascii="宋体" w:hAnsi="宋体" w:eastAsia="宋体" w:cs="宋体"/>
          <w:color w:val="auto"/>
          <w:sz w:val="21"/>
          <w:szCs w:val="21"/>
          <w:highlight w:val="none"/>
          <w:u w:val="single"/>
        </w:rPr>
        <w:t>广州市住建行业信用管理平台</w:t>
      </w:r>
      <w:r>
        <w:rPr>
          <w:rFonts w:hint="eastAsia" w:ascii="宋体" w:hAnsi="宋体" w:eastAsia="宋体" w:cs="宋体"/>
          <w:color w:val="auto"/>
          <w:sz w:val="21"/>
          <w:szCs w:val="21"/>
          <w:highlight w:val="none"/>
        </w:rPr>
        <w:t>登记的信息及上传件，确保各项信息及上传件在有效期内。</w:t>
      </w:r>
    </w:p>
    <w:p>
      <w:pPr>
        <w:spacing w:line="360" w:lineRule="auto"/>
        <w:ind w:left="360" w:hanging="315" w:hangingChars="150"/>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7    商务文件</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7.1  </w:t>
      </w:r>
      <w:r>
        <w:rPr>
          <w:rFonts w:hint="eastAsia" w:ascii="宋体" w:hAnsi="宋体" w:eastAsia="宋体" w:cs="宋体"/>
          <w:color w:val="auto"/>
          <w:sz w:val="21"/>
          <w:szCs w:val="21"/>
          <w:highlight w:val="none"/>
          <w:u w:val="single"/>
          <w:lang w:val="en-US" w:eastAsia="zh-CN"/>
        </w:rPr>
        <w:t>商务</w:t>
      </w:r>
      <w:r>
        <w:rPr>
          <w:rFonts w:hint="eastAsia" w:ascii="宋体" w:hAnsi="宋体" w:eastAsia="宋体" w:cs="宋体"/>
          <w:color w:val="auto"/>
          <w:sz w:val="21"/>
          <w:szCs w:val="21"/>
          <w:highlight w:val="none"/>
          <w:u w:val="single"/>
        </w:rPr>
        <w:t>文件内容：</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(a)目录；</w:t>
      </w:r>
    </w:p>
    <w:p>
      <w:pPr>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rPr>
        <w:t>(b)</w:t>
      </w:r>
      <w:r>
        <w:rPr>
          <w:rFonts w:hint="eastAsia" w:ascii="宋体" w:hAnsi="宋体" w:eastAsia="宋体" w:cs="宋体"/>
          <w:color w:val="auto"/>
          <w:sz w:val="21"/>
          <w:szCs w:val="21"/>
          <w:highlight w:val="none"/>
          <w:u w:val="single"/>
          <w:lang w:val="en-US" w:eastAsia="zh-CN"/>
        </w:rPr>
        <w:t>类似</w:t>
      </w:r>
      <w:r>
        <w:rPr>
          <w:rFonts w:hint="eastAsia" w:ascii="宋体" w:hAnsi="宋体" w:eastAsia="宋体" w:cs="宋体"/>
          <w:color w:val="auto"/>
          <w:sz w:val="21"/>
          <w:szCs w:val="21"/>
          <w:highlight w:val="none"/>
          <w:u w:val="single"/>
        </w:rPr>
        <w:t>业绩</w:t>
      </w:r>
      <w:r>
        <w:rPr>
          <w:rFonts w:hint="eastAsia" w:ascii="宋体" w:hAnsi="宋体" w:eastAsia="宋体" w:cs="宋体"/>
          <w:color w:val="auto"/>
          <w:sz w:val="21"/>
          <w:szCs w:val="21"/>
          <w:highlight w:val="none"/>
          <w:u w:val="single"/>
          <w:lang w:val="en-US" w:eastAsia="zh-CN"/>
        </w:rPr>
        <w:t>一览表</w:t>
      </w:r>
      <w:r>
        <w:rPr>
          <w:rFonts w:hint="eastAsia" w:ascii="宋体" w:hAnsi="宋体" w:eastAsia="宋体" w:cs="宋体"/>
          <w:sz w:val="21"/>
          <w:szCs w:val="21"/>
          <w:u w:val="single"/>
        </w:rPr>
        <w:t>（按招标文件要求的格式填写）</w:t>
      </w:r>
      <w:r>
        <w:rPr>
          <w:rFonts w:hint="eastAsia" w:ascii="宋体" w:hAnsi="宋体" w:eastAsia="宋体" w:cs="宋体"/>
          <w:color w:val="auto"/>
          <w:sz w:val="21"/>
          <w:szCs w:val="21"/>
          <w:highlight w:val="none"/>
          <w:u w:val="single"/>
          <w:lang w:val="en-US" w:eastAsia="zh-CN"/>
        </w:rPr>
        <w:t>；</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(c)拟投入的人员基本情况</w:t>
      </w:r>
      <w:r>
        <w:rPr>
          <w:rFonts w:hint="eastAsia" w:ascii="宋体" w:hAnsi="宋体" w:eastAsia="宋体" w:cs="宋体"/>
          <w:color w:val="auto"/>
          <w:sz w:val="21"/>
          <w:szCs w:val="21"/>
          <w:highlight w:val="none"/>
          <w:u w:val="single"/>
          <w:lang w:val="en-US" w:eastAsia="zh-CN"/>
        </w:rPr>
        <w:t>汇总</w:t>
      </w:r>
      <w:r>
        <w:rPr>
          <w:rFonts w:hint="eastAsia" w:ascii="宋体" w:hAnsi="宋体" w:eastAsia="宋体" w:cs="宋体"/>
          <w:color w:val="auto"/>
          <w:sz w:val="21"/>
          <w:szCs w:val="21"/>
          <w:highlight w:val="none"/>
          <w:u w:val="single"/>
        </w:rPr>
        <w:t>表</w:t>
      </w:r>
      <w:r>
        <w:rPr>
          <w:rFonts w:hint="eastAsia" w:ascii="宋体" w:hAnsi="宋体" w:eastAsia="宋体" w:cs="宋体"/>
          <w:sz w:val="21"/>
          <w:szCs w:val="21"/>
          <w:u w:val="single"/>
        </w:rPr>
        <w:t>（按招标文件要求的格式填写）</w:t>
      </w:r>
      <w:r>
        <w:rPr>
          <w:rFonts w:hint="eastAsia" w:ascii="宋体" w:hAnsi="宋体" w:eastAsia="宋体" w:cs="宋体"/>
          <w:color w:val="auto"/>
          <w:sz w:val="21"/>
          <w:szCs w:val="21"/>
          <w:highlight w:val="none"/>
          <w:u w:val="single"/>
        </w:rPr>
        <w:t>；</w:t>
      </w:r>
    </w:p>
    <w:p>
      <w:pPr>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rPr>
        <w:t xml:space="preserve">(d) </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工程设计费报价汇总表</w:t>
      </w:r>
      <w:r>
        <w:rPr>
          <w:rFonts w:hint="eastAsia" w:ascii="宋体" w:hAnsi="宋体" w:eastAsia="宋体" w:cs="宋体"/>
          <w:sz w:val="21"/>
          <w:szCs w:val="21"/>
          <w:u w:val="single"/>
        </w:rPr>
        <w:t>》</w:t>
      </w:r>
      <w:r>
        <w:rPr>
          <w:rFonts w:hint="eastAsia" w:ascii="宋体" w:hAnsi="宋体" w:eastAsia="宋体" w:cs="宋体"/>
          <w:sz w:val="21"/>
          <w:szCs w:val="21"/>
          <w:u w:val="single"/>
          <w:lang w:eastAsia="zh-CN"/>
        </w:rPr>
        <w:t>、《工程设计费计算表》</w:t>
      </w:r>
      <w:r>
        <w:rPr>
          <w:rFonts w:hint="eastAsia" w:ascii="宋体" w:hAnsi="宋体" w:eastAsia="宋体" w:cs="宋体"/>
          <w:sz w:val="21"/>
          <w:szCs w:val="21"/>
          <w:u w:val="single"/>
        </w:rPr>
        <w:t>（按招标文件要求的格式填写）</w:t>
      </w:r>
      <w:r>
        <w:rPr>
          <w:rFonts w:hint="eastAsia" w:ascii="宋体" w:hAnsi="宋体" w:eastAsia="宋体" w:cs="宋体"/>
          <w:color w:val="auto"/>
          <w:sz w:val="21"/>
          <w:szCs w:val="21"/>
          <w:highlight w:val="none"/>
          <w:u w:val="single"/>
          <w:lang w:val="en-US" w:eastAsia="zh-CN"/>
        </w:rPr>
        <w:t>；</w:t>
      </w:r>
    </w:p>
    <w:p>
      <w:pPr>
        <w:spacing w:line="360" w:lineRule="auto"/>
        <w:ind w:firstLine="420" w:firstLineChars="200"/>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e</w:t>
      </w:r>
      <w:r>
        <w:rPr>
          <w:rFonts w:hint="eastAsia" w:ascii="宋体" w:hAnsi="宋体" w:eastAsia="宋体" w:cs="宋体"/>
          <w:sz w:val="21"/>
          <w:szCs w:val="21"/>
          <w:u w:val="single"/>
          <w:lang w:eastAsia="zh-CN"/>
        </w:rPr>
        <w:t>）</w:t>
      </w:r>
      <w:r>
        <w:rPr>
          <w:rFonts w:hint="eastAsia" w:ascii="宋体" w:hAnsi="宋体" w:eastAsia="宋体" w:cs="宋体"/>
          <w:color w:val="auto"/>
          <w:sz w:val="21"/>
          <w:szCs w:val="21"/>
          <w:highlight w:val="none"/>
          <w:u w:val="single"/>
        </w:rPr>
        <w:t>投标人认为有必要提供的其他资料</w:t>
      </w:r>
      <w:r>
        <w:rPr>
          <w:rFonts w:hint="eastAsia" w:ascii="宋体" w:hAnsi="宋体" w:eastAsia="宋体" w:cs="宋体"/>
          <w:color w:val="auto"/>
          <w:sz w:val="21"/>
          <w:szCs w:val="21"/>
          <w:highlight w:val="none"/>
          <w:u w:val="single"/>
          <w:lang w:eastAsia="zh-CN"/>
        </w:rPr>
        <w:t>。</w:t>
      </w:r>
    </w:p>
    <w:p>
      <w:pPr>
        <w:spacing w:line="360" w:lineRule="auto"/>
        <w:ind w:left="361" w:hanging="316" w:hangingChars="1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定标</w:t>
      </w:r>
      <w:r>
        <w:rPr>
          <w:rFonts w:hint="eastAsia" w:ascii="宋体" w:hAnsi="宋体" w:eastAsia="宋体" w:cs="宋体"/>
          <w:b/>
          <w:bCs/>
          <w:color w:val="auto"/>
          <w:sz w:val="21"/>
          <w:szCs w:val="21"/>
          <w:highlight w:val="none"/>
          <w:u w:val="single"/>
        </w:rPr>
        <w:t>文件</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rPr>
        <w:t>定标文件内容：</w:t>
      </w:r>
    </w:p>
    <w:p>
      <w:pPr>
        <w:spacing w:line="400" w:lineRule="exact"/>
        <w:ind w:firstLine="420" w:firstLineChars="200"/>
        <w:rPr>
          <w:rFonts w:hint="eastAsia" w:ascii="宋体" w:hAnsi="宋体" w:eastAsia="宋体" w:cs="宋体"/>
          <w:sz w:val="21"/>
          <w:szCs w:val="21"/>
          <w:u w:val="single"/>
          <w:lang w:val="en-US" w:eastAsia="zh-CN"/>
        </w:rPr>
      </w:pPr>
      <w:r>
        <w:rPr>
          <w:rFonts w:hint="eastAsia" w:ascii="宋体" w:hAnsi="宋体" w:eastAsia="宋体" w:cs="宋体"/>
          <w:sz w:val="21"/>
          <w:szCs w:val="21"/>
          <w:u w:val="single"/>
        </w:rPr>
        <w:t>（1）</w:t>
      </w:r>
      <w:r>
        <w:rPr>
          <w:rFonts w:hint="eastAsia" w:ascii="宋体" w:hAnsi="宋体" w:eastAsia="宋体" w:cs="宋体"/>
          <w:sz w:val="21"/>
          <w:szCs w:val="21"/>
          <w:u w:val="single"/>
          <w:lang w:val="en-US" w:eastAsia="zh-CN"/>
        </w:rPr>
        <w:t>目录</w:t>
      </w:r>
    </w:p>
    <w:p>
      <w:pPr>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（2）投标人的企业单位简介；</w:t>
      </w:r>
    </w:p>
    <w:p>
      <w:pPr>
        <w:spacing w:line="400" w:lineRule="exact"/>
        <w:ind w:firstLine="420" w:firstLineChars="200"/>
        <w:rPr>
          <w:rFonts w:hint="eastAsia" w:ascii="宋体" w:hAnsi="宋体" w:eastAsia="宋体" w:cs="宋体"/>
          <w:sz w:val="21"/>
          <w:szCs w:val="21"/>
          <w:u w:val="single"/>
          <w:lang w:val="en-US" w:eastAsia="zh-CN"/>
        </w:rPr>
      </w:pPr>
      <w:r>
        <w:rPr>
          <w:rFonts w:hint="eastAsia" w:ascii="宋体" w:hAnsi="宋体" w:eastAsia="宋体" w:cs="宋体"/>
          <w:sz w:val="21"/>
          <w:szCs w:val="21"/>
          <w:u w:val="single"/>
        </w:rPr>
        <w:t>（3）</w:t>
      </w:r>
      <w:r>
        <w:rPr>
          <w:rFonts w:hint="eastAsia" w:ascii="宋体" w:hAnsi="宋体" w:eastAsia="宋体" w:cs="宋体"/>
          <w:sz w:val="21"/>
          <w:szCs w:val="21"/>
          <w:u w:val="single"/>
          <w:lang w:val="en-US" w:eastAsia="zh-CN"/>
        </w:rPr>
        <w:t>设计方案（包括但不限于满足限额设计以及安全、绿色、节能、环保要求的前提下重点对功能、技术、经济和美观等）</w:t>
      </w:r>
      <w:r>
        <w:rPr>
          <w:rFonts w:hint="eastAsia" w:ascii="宋体" w:hAnsi="宋体" w:eastAsia="宋体" w:cs="宋体"/>
          <w:b/>
          <w:bCs/>
          <w:sz w:val="21"/>
          <w:szCs w:val="21"/>
          <w:u w:val="single"/>
          <w:lang w:val="en-US" w:eastAsia="zh-CN"/>
        </w:rPr>
        <w:t>【本项资料投标人无需单独放在定标文件中，仅需在暗标部分的设计方案中体现】</w:t>
      </w:r>
    </w:p>
    <w:p>
      <w:pPr>
        <w:spacing w:line="400" w:lineRule="exact"/>
        <w:ind w:firstLine="420" w:firstLineChars="200"/>
        <w:rPr>
          <w:rFonts w:hint="eastAsia" w:ascii="宋体" w:hAnsi="宋体" w:eastAsia="宋体" w:cs="宋体"/>
          <w:sz w:val="21"/>
          <w:szCs w:val="21"/>
          <w:u w:val="single"/>
          <w:lang w:eastAsia="zh-CN"/>
        </w:rPr>
      </w:pP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4</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工程设计费报价汇总表</w:t>
      </w:r>
      <w:r>
        <w:rPr>
          <w:rFonts w:hint="eastAsia" w:ascii="宋体" w:hAnsi="宋体" w:eastAsia="宋体" w:cs="宋体"/>
          <w:sz w:val="21"/>
          <w:szCs w:val="21"/>
          <w:u w:val="single"/>
        </w:rPr>
        <w:t>》</w:t>
      </w:r>
      <w:r>
        <w:rPr>
          <w:rFonts w:hint="eastAsia" w:ascii="宋体" w:hAnsi="宋体" w:eastAsia="宋体" w:cs="宋体"/>
          <w:sz w:val="21"/>
          <w:szCs w:val="21"/>
          <w:u w:val="single"/>
          <w:lang w:eastAsia="zh-CN"/>
        </w:rPr>
        <w:t>、《工程设计费计算表》</w:t>
      </w:r>
      <w:r>
        <w:rPr>
          <w:rFonts w:hint="eastAsia" w:ascii="宋体" w:hAnsi="宋体" w:eastAsia="宋体" w:cs="宋体"/>
          <w:sz w:val="21"/>
          <w:szCs w:val="21"/>
          <w:u w:val="single"/>
        </w:rPr>
        <w:t>（按招标文件要求的格式填写）</w:t>
      </w:r>
      <w:r>
        <w:rPr>
          <w:rFonts w:hint="eastAsia" w:ascii="宋体" w:hAnsi="宋体" w:eastAsia="宋体" w:cs="宋体"/>
          <w:sz w:val="21"/>
          <w:szCs w:val="21"/>
          <w:u w:val="single"/>
          <w:lang w:eastAsia="zh-CN"/>
        </w:rPr>
        <w:t>；</w:t>
      </w:r>
    </w:p>
    <w:p>
      <w:pPr>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5</w:t>
      </w:r>
      <w:r>
        <w:rPr>
          <w:rFonts w:hint="eastAsia" w:ascii="宋体" w:hAnsi="宋体" w:eastAsia="宋体" w:cs="宋体"/>
          <w:sz w:val="21"/>
          <w:szCs w:val="21"/>
          <w:u w:val="single"/>
        </w:rPr>
        <w:t>）投标人认为需要提交的其它资料。</w:t>
      </w: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3"/>
        <w:rPr>
          <w:rFonts w:hint="eastAsia" w:ascii="宋体" w:hAnsi="宋体" w:eastAsia="宋体" w:cs="宋体"/>
          <w:color w:val="auto"/>
          <w:sz w:val="21"/>
          <w:szCs w:val="21"/>
          <w:highlight w:val="none"/>
          <w:lang w:val="en-US" w:eastAsia="zh-CN"/>
        </w:rPr>
      </w:pPr>
      <w:bookmarkStart w:id="22" w:name="_Toc19577"/>
      <w:r>
        <w:rPr>
          <w:rFonts w:hint="eastAsia" w:ascii="宋体" w:hAnsi="宋体" w:eastAsia="宋体" w:cs="宋体"/>
          <w:color w:val="auto"/>
          <w:sz w:val="21"/>
          <w:szCs w:val="21"/>
          <w:highlight w:val="none"/>
          <w:lang w:val="en-US" w:eastAsia="zh-CN"/>
        </w:rPr>
        <w:t>附录3工程设计费报价汇总表</w:t>
      </w:r>
      <w:bookmarkEnd w:id="22"/>
    </w:p>
    <w:p>
      <w:pPr>
        <w:spacing w:line="360" w:lineRule="auto"/>
        <w:jc w:val="center"/>
        <w:rPr>
          <w:rFonts w:hint="eastAsia" w:ascii="宋体" w:hAnsi="宋体" w:eastAsia="宋体" w:cs="宋体"/>
          <w:b/>
          <w:bCs/>
          <w:color w:val="auto"/>
          <w:sz w:val="21"/>
          <w:szCs w:val="21"/>
          <w:highlight w:val="none"/>
          <w:lang w:val="en-US" w:eastAsia="zh-CN"/>
        </w:rPr>
      </w:pPr>
      <w:bookmarkStart w:id="23" w:name="_Toc1493"/>
      <w:r>
        <w:rPr>
          <w:rFonts w:hint="eastAsia" w:ascii="宋体" w:hAnsi="宋体" w:eastAsia="宋体" w:cs="宋体"/>
          <w:b/>
          <w:bCs/>
          <w:color w:val="auto"/>
          <w:sz w:val="21"/>
          <w:szCs w:val="21"/>
          <w:highlight w:val="none"/>
          <w:lang w:val="en-US" w:eastAsia="zh-CN"/>
        </w:rPr>
        <w:t>工程设计费报价汇总表</w:t>
      </w:r>
      <w:bookmarkEnd w:id="23"/>
    </w:p>
    <w:p>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项目名称：</w:t>
      </w:r>
    </w:p>
    <w:tbl>
      <w:tblPr>
        <w:tblStyle w:val="45"/>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701"/>
        <w:gridCol w:w="1786"/>
        <w:gridCol w:w="2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30" w:type="dxa"/>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701" w:type="dxa"/>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计费项目</w:t>
            </w:r>
          </w:p>
        </w:tc>
        <w:tc>
          <w:tcPr>
            <w:tcW w:w="1786" w:type="dxa"/>
            <w:vAlign w:val="center"/>
          </w:tcPr>
          <w:p>
            <w:pPr>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下浮率（%）</w:t>
            </w:r>
          </w:p>
        </w:tc>
        <w:tc>
          <w:tcPr>
            <w:tcW w:w="2201" w:type="dxa"/>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30"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p>
        </w:tc>
        <w:tc>
          <w:tcPr>
            <w:tcW w:w="3701"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工程设计费投标总报价</w:t>
            </w:r>
          </w:p>
        </w:tc>
        <w:tc>
          <w:tcPr>
            <w:tcW w:w="1786" w:type="dxa"/>
            <w:vAlign w:val="center"/>
          </w:tcPr>
          <w:p>
            <w:pPr>
              <w:spacing w:line="360" w:lineRule="auto"/>
              <w:jc w:val="center"/>
              <w:rPr>
                <w:rFonts w:hint="eastAsia" w:ascii="宋体" w:hAnsi="宋体" w:eastAsia="宋体" w:cs="宋体"/>
                <w:color w:val="auto"/>
                <w:sz w:val="21"/>
                <w:szCs w:val="21"/>
                <w:highlight w:val="none"/>
              </w:rPr>
            </w:pPr>
          </w:p>
        </w:tc>
        <w:tc>
          <w:tcPr>
            <w:tcW w:w="2201" w:type="dxa"/>
            <w:vAlign w:val="center"/>
          </w:tcPr>
          <w:p>
            <w:pPr>
              <w:spacing w:line="360" w:lineRule="auto"/>
              <w:jc w:val="center"/>
              <w:rPr>
                <w:rFonts w:hint="eastAsia" w:ascii="宋体" w:hAnsi="宋体" w:eastAsia="宋体" w:cs="宋体"/>
                <w:bCs/>
                <w:color w:val="auto"/>
                <w:sz w:val="21"/>
                <w:szCs w:val="21"/>
                <w:highlight w:val="none"/>
              </w:rPr>
            </w:pPr>
          </w:p>
        </w:tc>
      </w:tr>
    </w:tbl>
    <w:p>
      <w:pPr>
        <w:spacing w:line="360" w:lineRule="auto"/>
        <w:ind w:firstLine="422" w:firstLineChars="200"/>
        <w:rPr>
          <w:rFonts w:hint="eastAsia" w:ascii="宋体" w:hAnsi="宋体" w:eastAsia="宋体" w:cs="宋体"/>
          <w:b/>
          <w:color w:val="auto"/>
          <w:sz w:val="21"/>
          <w:szCs w:val="21"/>
          <w:highlight w:val="none"/>
        </w:rPr>
      </w:pPr>
    </w:p>
    <w:p>
      <w:pPr>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注：</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.以上投标报价中的“下浮率”均以“最高投标限价”（</w:t>
      </w:r>
      <w:r>
        <w:rPr>
          <w:rFonts w:hint="eastAsia" w:ascii="宋体" w:hAnsi="宋体" w:eastAsia="宋体" w:cs="宋体"/>
          <w:color w:val="auto"/>
          <w:sz w:val="21"/>
          <w:szCs w:val="21"/>
          <w:highlight w:val="none"/>
        </w:rPr>
        <w:t>精装修设计费最高投标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智能化设计费最高投标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智能化设计费最高投标</w:t>
      </w:r>
      <w:r>
        <w:rPr>
          <w:rFonts w:hint="eastAsia" w:ascii="宋体" w:hAnsi="宋体" w:cs="宋体"/>
          <w:color w:val="auto"/>
          <w:sz w:val="21"/>
          <w:szCs w:val="21"/>
          <w:highlight w:val="none"/>
          <w:lang w:val="en-US" w:eastAsia="zh-CN"/>
        </w:rPr>
        <w:t>）为基础下浮且均需保持一致。“设计费投标总报价”</w:t>
      </w:r>
      <w:r>
        <w:rPr>
          <w:rFonts w:hint="eastAsia" w:ascii="宋体" w:hAnsi="宋体" w:eastAsia="宋体" w:cs="宋体"/>
          <w:color w:val="auto"/>
          <w:sz w:val="21"/>
          <w:szCs w:val="21"/>
          <w:highlight w:val="none"/>
        </w:rPr>
        <w:t>不得超过最高投标限价</w:t>
      </w:r>
      <w:r>
        <w:rPr>
          <w:rFonts w:hint="eastAsia" w:ascii="宋体" w:hAnsi="宋体" w:cs="宋体"/>
          <w:snapToGrid/>
          <w:color w:val="auto"/>
          <w:kern w:val="2"/>
          <w:sz w:val="21"/>
          <w:szCs w:val="21"/>
          <w:highlight w:val="none"/>
          <w:u w:val="none"/>
          <w:lang w:val="en-US" w:eastAsia="zh-CN"/>
        </w:rPr>
        <w:t xml:space="preserve"> 449 </w:t>
      </w:r>
      <w:r>
        <w:rPr>
          <w:rFonts w:hint="eastAsia" w:ascii="宋体" w:hAnsi="宋体" w:eastAsia="宋体" w:cs="宋体"/>
          <w:color w:val="auto"/>
          <w:sz w:val="21"/>
          <w:szCs w:val="21"/>
          <w:highlight w:val="none"/>
          <w:u w:val="none"/>
          <w:lang w:val="en-US" w:eastAsia="zh-CN"/>
        </w:rPr>
        <w:t>万</w:t>
      </w:r>
      <w:r>
        <w:rPr>
          <w:rFonts w:hint="eastAsia" w:ascii="宋体" w:hAnsi="宋体" w:eastAsia="宋体" w:cs="宋体"/>
          <w:bCs w:val="0"/>
          <w:color w:val="auto"/>
          <w:sz w:val="21"/>
          <w:szCs w:val="21"/>
          <w:highlight w:val="none"/>
          <w:u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w:t>
      </w:r>
      <w:r>
        <w:rPr>
          <w:rFonts w:hint="eastAsia" w:ascii="宋体" w:hAnsi="宋体" w:eastAsia="宋体" w:cs="宋体"/>
          <w:color w:val="auto"/>
          <w:sz w:val="21"/>
          <w:szCs w:val="21"/>
          <w:highlight w:val="none"/>
        </w:rPr>
        <w:t>精装修设计费</w:t>
      </w:r>
      <w:r>
        <w:rPr>
          <w:rFonts w:hint="eastAsia" w:ascii="宋体" w:hAnsi="宋体" w:cs="宋体"/>
          <w:color w:val="auto"/>
          <w:sz w:val="21"/>
          <w:szCs w:val="21"/>
          <w:highlight w:val="none"/>
          <w:lang w:val="en-US" w:eastAsia="zh-CN"/>
        </w:rPr>
        <w:t>不得超过</w:t>
      </w:r>
      <w:r>
        <w:rPr>
          <w:rFonts w:hint="eastAsia" w:ascii="宋体" w:hAnsi="宋体" w:eastAsia="宋体" w:cs="宋体"/>
          <w:color w:val="auto"/>
          <w:sz w:val="21"/>
          <w:szCs w:val="21"/>
          <w:highlight w:val="none"/>
        </w:rPr>
        <w:t>最高投标限价</w:t>
      </w:r>
      <w:r>
        <w:rPr>
          <w:rFonts w:hint="eastAsia" w:ascii="宋体" w:hAnsi="宋体" w:cs="宋体"/>
          <w:color w:val="auto"/>
          <w:sz w:val="21"/>
          <w:szCs w:val="21"/>
          <w:highlight w:val="none"/>
          <w:lang w:val="en-US" w:eastAsia="zh-CN"/>
        </w:rPr>
        <w:t>327</w:t>
      </w:r>
      <w:r>
        <w:rPr>
          <w:rFonts w:hint="eastAsia" w:ascii="宋体" w:hAnsi="宋体" w:eastAsia="宋体" w:cs="宋体"/>
          <w:color w:val="auto"/>
          <w:sz w:val="21"/>
          <w:szCs w:val="21"/>
          <w:highlight w:val="none"/>
        </w:rPr>
        <w:t>万元；智能化设计费</w:t>
      </w:r>
      <w:r>
        <w:rPr>
          <w:rFonts w:hint="eastAsia" w:ascii="宋体" w:hAnsi="宋体" w:cs="宋体"/>
          <w:color w:val="auto"/>
          <w:sz w:val="21"/>
          <w:szCs w:val="21"/>
          <w:highlight w:val="none"/>
          <w:lang w:val="en-US" w:eastAsia="zh-CN"/>
        </w:rPr>
        <w:t>不得超过</w:t>
      </w:r>
      <w:r>
        <w:rPr>
          <w:rFonts w:hint="eastAsia" w:ascii="宋体" w:hAnsi="宋体" w:eastAsia="宋体" w:cs="宋体"/>
          <w:color w:val="auto"/>
          <w:sz w:val="21"/>
          <w:szCs w:val="21"/>
          <w:highlight w:val="none"/>
        </w:rPr>
        <w:t>最高投标限价</w:t>
      </w:r>
      <w:r>
        <w:rPr>
          <w:rFonts w:hint="eastAsia" w:ascii="宋体" w:hAnsi="宋体" w:cs="宋体"/>
          <w:color w:val="auto"/>
          <w:sz w:val="21"/>
          <w:szCs w:val="21"/>
          <w:highlight w:val="none"/>
          <w:lang w:val="en-US" w:eastAsia="zh-CN"/>
        </w:rPr>
        <w:t>61</w:t>
      </w:r>
      <w:r>
        <w:rPr>
          <w:rFonts w:hint="eastAsia" w:ascii="宋体" w:hAnsi="宋体" w:eastAsia="宋体" w:cs="宋体"/>
          <w:color w:val="auto"/>
          <w:sz w:val="21"/>
          <w:szCs w:val="21"/>
          <w:highlight w:val="none"/>
        </w:rPr>
        <w:t>万元</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BIM技术应用费</w:t>
      </w:r>
      <w:r>
        <w:rPr>
          <w:rFonts w:hint="eastAsia" w:ascii="宋体" w:hAnsi="宋体" w:cs="宋体"/>
          <w:color w:val="auto"/>
          <w:sz w:val="21"/>
          <w:szCs w:val="21"/>
          <w:highlight w:val="none"/>
          <w:lang w:val="en-US" w:eastAsia="zh-CN"/>
        </w:rPr>
        <w:t>不得超过</w:t>
      </w:r>
      <w:r>
        <w:rPr>
          <w:rFonts w:hint="eastAsia" w:ascii="宋体" w:hAnsi="宋体" w:eastAsia="宋体" w:cs="宋体"/>
          <w:color w:val="auto"/>
          <w:sz w:val="21"/>
          <w:szCs w:val="21"/>
          <w:highlight w:val="none"/>
        </w:rPr>
        <w:t>最高投标限价</w:t>
      </w:r>
      <w:r>
        <w:rPr>
          <w:rFonts w:hint="eastAsia" w:ascii="宋体" w:hAnsi="宋体" w:cs="宋体"/>
          <w:color w:val="auto"/>
          <w:sz w:val="21"/>
          <w:szCs w:val="21"/>
          <w:highlight w:val="none"/>
          <w:lang w:val="en-US" w:eastAsia="zh-CN"/>
        </w:rPr>
        <w:t>61</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经算术复核的投标人报价与其投标报价不一致时，按就低不就高原则确定其最终报价。如修正后的投标报价超出相应的最高投标限价，则由评标委员作废标处理。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按上述修正错误的原则及方法调整或修正投标文件的投标报价，调整后的投标报价对投标人起约束作用。如果投标人不接受修正后的报价，则取消其中标资格。</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4.计算结果保留两位小数。</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outlineLvl w:val="9"/>
        <w:rPr>
          <w:rFonts w:hint="eastAsia" w:ascii="宋体" w:hAnsi="宋体" w:eastAsia="宋体" w:cs="宋体"/>
          <w:color w:val="auto"/>
          <w:sz w:val="21"/>
          <w:szCs w:val="21"/>
          <w:highlight w:val="none"/>
        </w:rPr>
      </w:pPr>
    </w:p>
    <w:p>
      <w:pPr>
        <w:spacing w:line="360" w:lineRule="auto"/>
        <w:rPr>
          <w:rFonts w:hint="eastAsia" w:ascii="宋体" w:hAnsi="宋体" w:eastAsia="宋体" w:cs="宋体"/>
          <w:b/>
          <w:bCs/>
          <w:color w:val="auto"/>
          <w:sz w:val="21"/>
          <w:szCs w:val="21"/>
          <w:highlight w:val="none"/>
        </w:rPr>
        <w:sectPr>
          <w:footerReference r:id="rId8" w:type="default"/>
          <w:footerReference r:id="rId9" w:type="even"/>
          <w:type w:val="nextColum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pPr>
        <w:jc w:val="left"/>
        <w:outlineLvl w:val="0"/>
        <w:rPr>
          <w:rFonts w:hint="eastAsia" w:ascii="宋体" w:hAnsi="宋体" w:eastAsia="宋体" w:cs="宋体"/>
          <w:strike/>
          <w:color w:val="auto"/>
          <w:sz w:val="21"/>
          <w:szCs w:val="21"/>
          <w:highlight w:val="none"/>
        </w:rPr>
      </w:pPr>
      <w:bookmarkStart w:id="24" w:name="_Toc30546"/>
      <w:r>
        <w:rPr>
          <w:rFonts w:hint="eastAsia" w:ascii="宋体" w:hAnsi="宋体" w:eastAsia="宋体" w:cs="宋体"/>
          <w:strike/>
          <w:color w:val="auto"/>
          <w:sz w:val="21"/>
          <w:szCs w:val="21"/>
          <w:highlight w:val="none"/>
        </w:rPr>
        <w:t>附录4建筑工程设计方案测试记录表</w:t>
      </w:r>
      <w:bookmarkEnd w:id="24"/>
    </w:p>
    <w:p>
      <w:pPr>
        <w:jc w:val="center"/>
        <w:rPr>
          <w:rFonts w:hint="eastAsia" w:ascii="宋体" w:hAnsi="宋体" w:eastAsia="宋体" w:cs="宋体"/>
          <w:b/>
          <w:bCs/>
          <w:strike/>
          <w:color w:val="auto"/>
          <w:sz w:val="21"/>
          <w:szCs w:val="21"/>
          <w:highlight w:val="none"/>
        </w:rPr>
      </w:pPr>
      <w:r>
        <w:rPr>
          <w:rFonts w:hint="eastAsia" w:ascii="宋体" w:hAnsi="宋体" w:eastAsia="宋体" w:cs="宋体"/>
          <w:b/>
          <w:bCs/>
          <w:strike/>
          <w:color w:val="auto"/>
          <w:sz w:val="21"/>
          <w:szCs w:val="21"/>
          <w:highlight w:val="none"/>
        </w:rPr>
        <w:t>建筑工程设计方案测试记录表</w:t>
      </w:r>
    </w:p>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（本表宜装订放在设计投标文本文件的设计说明书前面）</w:t>
      </w:r>
    </w:p>
    <w:p>
      <w:pPr>
        <w:jc w:val="left"/>
        <w:rPr>
          <w:rFonts w:hint="eastAsia" w:ascii="宋体" w:hAnsi="宋体" w:eastAsia="宋体" w:cs="宋体"/>
          <w:strike/>
          <w:color w:val="auto"/>
          <w:sz w:val="21"/>
          <w:szCs w:val="21"/>
          <w:highlight w:val="none"/>
        </w:rPr>
      </w:pPr>
    </w:p>
    <w:tbl>
      <w:tblPr>
        <w:tblStyle w:val="4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60"/>
        <w:gridCol w:w="1080"/>
        <w:gridCol w:w="3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序号</w:t>
            </w:r>
          </w:p>
        </w:tc>
        <w:tc>
          <w:tcPr>
            <w:tcW w:w="396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指标</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单位</w:t>
            </w:r>
          </w:p>
        </w:tc>
        <w:tc>
          <w:tcPr>
            <w:tcW w:w="3492"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基地面积</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平方米</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建筑容积率</w:t>
            </w:r>
          </w:p>
        </w:tc>
        <w:tc>
          <w:tcPr>
            <w:tcW w:w="1080" w:type="dxa"/>
          </w:tcPr>
          <w:p>
            <w:pPr>
              <w:jc w:val="center"/>
              <w:rPr>
                <w:rFonts w:hint="eastAsia" w:ascii="宋体" w:hAnsi="宋体" w:eastAsia="宋体" w:cs="宋体"/>
                <w:strike/>
                <w:color w:val="auto"/>
                <w:sz w:val="21"/>
                <w:szCs w:val="21"/>
                <w:highlight w:val="none"/>
              </w:rPr>
            </w:pP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建筑密度</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绿地率</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jc w:val="lef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总建筑面积</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平方米</w:t>
            </w:r>
          </w:p>
        </w:tc>
        <w:tc>
          <w:tcPr>
            <w:tcW w:w="3492" w:type="dxa"/>
          </w:tcPr>
          <w:p>
            <w:pPr>
              <w:jc w:val="left"/>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地上建筑面积</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平方米</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地下建筑面积</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平方米</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jc w:val="lef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室内停车位</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个</w:t>
            </w:r>
          </w:p>
        </w:tc>
        <w:tc>
          <w:tcPr>
            <w:tcW w:w="3492" w:type="dxa"/>
          </w:tcPr>
          <w:p>
            <w:pPr>
              <w:jc w:val="left"/>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jc w:val="lef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室外停车位</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个</w:t>
            </w:r>
          </w:p>
        </w:tc>
        <w:tc>
          <w:tcPr>
            <w:tcW w:w="3492" w:type="dxa"/>
          </w:tcPr>
          <w:p>
            <w:pPr>
              <w:jc w:val="left"/>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住宅总户数</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户</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90平方米以下户型住宅户数</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户</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住宅</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平方米</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宾馆</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平方米</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商业</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平方米</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办公</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平方米</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文教体卫</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平方米</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工业仓储</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平方米</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站场设施</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平方米</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]用途</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平方米</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]用途</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平方米</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]用途</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平方米</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]用途</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平方米</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]用途</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平方米</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center"/>
              <w:rPr>
                <w:rFonts w:hint="eastAsia" w:ascii="宋体" w:hAnsi="宋体" w:eastAsia="宋体" w:cs="宋体"/>
                <w:strike/>
                <w:color w:val="auto"/>
                <w:sz w:val="21"/>
                <w:szCs w:val="21"/>
                <w:highlight w:val="none"/>
              </w:rPr>
            </w:pPr>
          </w:p>
        </w:tc>
        <w:tc>
          <w:tcPr>
            <w:tcW w:w="3960" w:type="dxa"/>
          </w:tcPr>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建筑总高度</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米</w:t>
            </w:r>
          </w:p>
        </w:tc>
        <w:tc>
          <w:tcPr>
            <w:tcW w:w="3492" w:type="dxa"/>
          </w:tcPr>
          <w:p>
            <w:pPr>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left"/>
              <w:rPr>
                <w:rFonts w:hint="eastAsia" w:ascii="宋体" w:hAnsi="宋体" w:eastAsia="宋体" w:cs="宋体"/>
                <w:strike/>
                <w:color w:val="auto"/>
                <w:sz w:val="21"/>
                <w:szCs w:val="21"/>
                <w:highlight w:val="none"/>
              </w:rPr>
            </w:pPr>
          </w:p>
        </w:tc>
        <w:tc>
          <w:tcPr>
            <w:tcW w:w="3960" w:type="dxa"/>
          </w:tcPr>
          <w:p>
            <w:pPr>
              <w:jc w:val="lef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地上层数</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层</w:t>
            </w:r>
          </w:p>
        </w:tc>
        <w:tc>
          <w:tcPr>
            <w:tcW w:w="3492" w:type="dxa"/>
          </w:tcPr>
          <w:p>
            <w:pPr>
              <w:jc w:val="left"/>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left"/>
              <w:rPr>
                <w:rFonts w:hint="eastAsia" w:ascii="宋体" w:hAnsi="宋体" w:eastAsia="宋体" w:cs="宋体"/>
                <w:strike/>
                <w:color w:val="auto"/>
                <w:sz w:val="21"/>
                <w:szCs w:val="21"/>
                <w:highlight w:val="none"/>
              </w:rPr>
            </w:pPr>
          </w:p>
        </w:tc>
        <w:tc>
          <w:tcPr>
            <w:tcW w:w="3960" w:type="dxa"/>
          </w:tcPr>
          <w:p>
            <w:pPr>
              <w:jc w:val="lef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地下层数</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层</w:t>
            </w:r>
          </w:p>
        </w:tc>
        <w:tc>
          <w:tcPr>
            <w:tcW w:w="3492" w:type="dxa"/>
          </w:tcPr>
          <w:p>
            <w:pPr>
              <w:jc w:val="left"/>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left"/>
              <w:rPr>
                <w:rFonts w:hint="eastAsia" w:ascii="宋体" w:hAnsi="宋体" w:eastAsia="宋体" w:cs="宋体"/>
                <w:strike/>
                <w:color w:val="auto"/>
                <w:sz w:val="21"/>
                <w:szCs w:val="21"/>
                <w:highlight w:val="none"/>
              </w:rPr>
            </w:pPr>
          </w:p>
        </w:tc>
        <w:tc>
          <w:tcPr>
            <w:tcW w:w="3960" w:type="dxa"/>
          </w:tcPr>
          <w:p>
            <w:pPr>
              <w:jc w:val="lef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电梯</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台</w:t>
            </w:r>
          </w:p>
        </w:tc>
        <w:tc>
          <w:tcPr>
            <w:tcW w:w="3492" w:type="dxa"/>
          </w:tcPr>
          <w:p>
            <w:pPr>
              <w:jc w:val="left"/>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left"/>
              <w:rPr>
                <w:rFonts w:hint="eastAsia" w:ascii="宋体" w:hAnsi="宋体" w:eastAsia="宋体" w:cs="宋体"/>
                <w:strike/>
                <w:color w:val="auto"/>
                <w:sz w:val="21"/>
                <w:szCs w:val="21"/>
                <w:highlight w:val="none"/>
              </w:rPr>
            </w:pPr>
          </w:p>
        </w:tc>
        <w:tc>
          <w:tcPr>
            <w:tcW w:w="3960" w:type="dxa"/>
          </w:tcPr>
          <w:p>
            <w:pPr>
              <w:jc w:val="lef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楼梯</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樘</w:t>
            </w:r>
          </w:p>
        </w:tc>
        <w:tc>
          <w:tcPr>
            <w:tcW w:w="3492" w:type="dxa"/>
          </w:tcPr>
          <w:p>
            <w:pPr>
              <w:jc w:val="left"/>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left"/>
              <w:rPr>
                <w:rFonts w:hint="eastAsia" w:ascii="宋体" w:hAnsi="宋体" w:eastAsia="宋体" w:cs="宋体"/>
                <w:strike/>
                <w:color w:val="auto"/>
                <w:sz w:val="21"/>
                <w:szCs w:val="21"/>
                <w:highlight w:val="none"/>
              </w:rPr>
            </w:pPr>
          </w:p>
        </w:tc>
        <w:tc>
          <w:tcPr>
            <w:tcW w:w="3960" w:type="dxa"/>
          </w:tcPr>
          <w:p>
            <w:pPr>
              <w:jc w:val="lef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主入口朝向</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方向</w:t>
            </w:r>
          </w:p>
        </w:tc>
        <w:tc>
          <w:tcPr>
            <w:tcW w:w="3492" w:type="dxa"/>
          </w:tcPr>
          <w:p>
            <w:pPr>
              <w:jc w:val="left"/>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left"/>
              <w:rPr>
                <w:rFonts w:hint="eastAsia" w:ascii="宋体" w:hAnsi="宋体" w:eastAsia="宋体" w:cs="宋体"/>
                <w:strike/>
                <w:color w:val="auto"/>
                <w:sz w:val="21"/>
                <w:szCs w:val="21"/>
                <w:highlight w:val="none"/>
              </w:rPr>
            </w:pPr>
          </w:p>
        </w:tc>
        <w:tc>
          <w:tcPr>
            <w:tcW w:w="3960" w:type="dxa"/>
          </w:tcPr>
          <w:p>
            <w:pPr>
              <w:jc w:val="lef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无日照采光的房间</w:t>
            </w:r>
          </w:p>
        </w:tc>
        <w:tc>
          <w:tcPr>
            <w:tcW w:w="1080" w:type="dxa"/>
          </w:tcPr>
          <w:p>
            <w:pPr>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个</w:t>
            </w:r>
          </w:p>
        </w:tc>
        <w:tc>
          <w:tcPr>
            <w:tcW w:w="3492" w:type="dxa"/>
          </w:tcPr>
          <w:p>
            <w:pPr>
              <w:jc w:val="left"/>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jc w:val="left"/>
              <w:rPr>
                <w:rFonts w:hint="eastAsia" w:ascii="宋体" w:hAnsi="宋体" w:eastAsia="宋体" w:cs="宋体"/>
                <w:strike/>
                <w:color w:val="auto"/>
                <w:sz w:val="21"/>
                <w:szCs w:val="21"/>
                <w:highlight w:val="none"/>
              </w:rPr>
            </w:pPr>
          </w:p>
        </w:tc>
        <w:tc>
          <w:tcPr>
            <w:tcW w:w="3960" w:type="dxa"/>
          </w:tcPr>
          <w:p>
            <w:pPr>
              <w:jc w:val="left"/>
              <w:rPr>
                <w:rFonts w:hint="eastAsia" w:ascii="宋体" w:hAnsi="宋体" w:eastAsia="宋体" w:cs="宋体"/>
                <w:strike/>
                <w:color w:val="auto"/>
                <w:sz w:val="21"/>
                <w:szCs w:val="21"/>
                <w:highlight w:val="none"/>
              </w:rPr>
            </w:pPr>
          </w:p>
        </w:tc>
        <w:tc>
          <w:tcPr>
            <w:tcW w:w="1080" w:type="dxa"/>
          </w:tcPr>
          <w:p>
            <w:pPr>
              <w:jc w:val="left"/>
              <w:rPr>
                <w:rFonts w:hint="eastAsia" w:ascii="宋体" w:hAnsi="宋体" w:eastAsia="宋体" w:cs="宋体"/>
                <w:strike/>
                <w:color w:val="auto"/>
                <w:sz w:val="21"/>
                <w:szCs w:val="21"/>
                <w:highlight w:val="none"/>
              </w:rPr>
            </w:pPr>
          </w:p>
        </w:tc>
        <w:tc>
          <w:tcPr>
            <w:tcW w:w="3492" w:type="dxa"/>
          </w:tcPr>
          <w:p>
            <w:pPr>
              <w:jc w:val="left"/>
              <w:rPr>
                <w:rFonts w:hint="eastAsia" w:ascii="宋体" w:hAnsi="宋体" w:eastAsia="宋体" w:cs="宋体"/>
                <w:strike/>
                <w:color w:val="auto"/>
                <w:sz w:val="21"/>
                <w:szCs w:val="21"/>
                <w:highlight w:val="none"/>
              </w:rPr>
            </w:pPr>
          </w:p>
        </w:tc>
      </w:tr>
    </w:tbl>
    <w:p>
      <w:pPr>
        <w:jc w:val="lef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p>
    <w:p>
      <w:pPr>
        <w:jc w:val="left"/>
        <w:rPr>
          <w:rFonts w:hint="eastAsia" w:ascii="宋体" w:hAnsi="宋体" w:eastAsia="宋体" w:cs="宋体"/>
          <w:color w:val="auto"/>
          <w:sz w:val="21"/>
          <w:szCs w:val="21"/>
          <w:highlight w:val="none"/>
        </w:rPr>
      </w:pPr>
    </w:p>
    <w:p>
      <w:pPr>
        <w:jc w:val="left"/>
        <w:rPr>
          <w:rFonts w:hint="eastAsia" w:ascii="宋体" w:hAnsi="宋体" w:eastAsia="宋体" w:cs="宋体"/>
          <w:color w:val="auto"/>
          <w:sz w:val="21"/>
          <w:szCs w:val="21"/>
          <w:highlight w:val="none"/>
        </w:rPr>
      </w:pPr>
    </w:p>
    <w:p>
      <w:pPr>
        <w:pStyle w:val="3"/>
        <w:rPr>
          <w:rFonts w:hint="eastAsia" w:ascii="宋体" w:hAnsi="宋体" w:eastAsia="宋体" w:cs="宋体"/>
          <w:strike/>
          <w:color w:val="auto"/>
          <w:sz w:val="21"/>
          <w:szCs w:val="21"/>
          <w:highlight w:val="none"/>
        </w:rPr>
      </w:pPr>
      <w:r>
        <w:rPr>
          <w:rFonts w:hint="eastAsia" w:ascii="宋体" w:hAnsi="宋体" w:eastAsia="宋体" w:cs="宋体"/>
          <w:b w:val="0"/>
          <w:bCs w:val="0"/>
          <w:color w:val="auto"/>
          <w:sz w:val="21"/>
          <w:szCs w:val="21"/>
          <w:highlight w:val="none"/>
        </w:rPr>
        <w:br w:type="page"/>
      </w:r>
      <w:bookmarkStart w:id="25" w:name="_Toc6104"/>
      <w:r>
        <w:rPr>
          <w:rFonts w:hint="eastAsia" w:ascii="宋体" w:hAnsi="宋体" w:eastAsia="宋体" w:cs="宋体"/>
          <w:strike/>
          <w:color w:val="auto"/>
          <w:sz w:val="21"/>
          <w:szCs w:val="21"/>
          <w:highlight w:val="none"/>
        </w:rPr>
        <w:t>附件5勘察投标文件编制要求</w:t>
      </w:r>
      <w:bookmarkEnd w:id="25"/>
    </w:p>
    <w:p>
      <w:pPr>
        <w:jc w:val="center"/>
        <w:rPr>
          <w:rFonts w:hint="eastAsia" w:ascii="宋体" w:hAnsi="宋体" w:eastAsia="宋体" w:cs="宋体"/>
          <w:b/>
          <w:bCs/>
          <w:strike/>
          <w:color w:val="auto"/>
          <w:sz w:val="21"/>
          <w:szCs w:val="21"/>
          <w:highlight w:val="none"/>
        </w:rPr>
      </w:pPr>
      <w:r>
        <w:rPr>
          <w:rFonts w:hint="eastAsia" w:ascii="宋体" w:hAnsi="宋体" w:eastAsia="宋体" w:cs="宋体"/>
          <w:b/>
          <w:strike/>
          <w:color w:val="auto"/>
          <w:sz w:val="21"/>
          <w:szCs w:val="21"/>
          <w:highlight w:val="none"/>
        </w:rPr>
        <w:t>勘察</w:t>
      </w:r>
      <w:r>
        <w:rPr>
          <w:rFonts w:hint="eastAsia" w:ascii="宋体" w:hAnsi="宋体" w:eastAsia="宋体" w:cs="宋体"/>
          <w:b/>
          <w:bCs/>
          <w:strike/>
          <w:color w:val="auto"/>
          <w:sz w:val="21"/>
          <w:szCs w:val="21"/>
          <w:highlight w:val="none"/>
        </w:rPr>
        <w:t>投标文件编制要求</w:t>
      </w:r>
    </w:p>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（只适用于勘察投标）</w:t>
      </w:r>
    </w:p>
    <w:p>
      <w:pPr>
        <w:spacing w:line="360" w:lineRule="auto"/>
        <w:jc w:val="center"/>
        <w:rPr>
          <w:rFonts w:hint="eastAsia" w:ascii="宋体" w:hAnsi="宋体" w:eastAsia="宋体" w:cs="宋体"/>
          <w:strike/>
          <w:color w:val="auto"/>
          <w:sz w:val="21"/>
          <w:szCs w:val="21"/>
          <w:highlight w:val="none"/>
        </w:rPr>
      </w:pPr>
    </w:p>
    <w:p>
      <w:pPr>
        <w:spacing w:line="360" w:lineRule="auto"/>
        <w:jc w:val="left"/>
        <w:rPr>
          <w:rFonts w:hint="eastAsia" w:ascii="宋体" w:hAnsi="宋体" w:eastAsia="宋体" w:cs="宋体"/>
          <w:strike/>
          <w:color w:val="auto"/>
          <w:sz w:val="21"/>
          <w:szCs w:val="21"/>
          <w:highlight w:val="none"/>
        </w:rPr>
      </w:pPr>
      <w:r>
        <w:rPr>
          <w:rFonts w:hint="eastAsia" w:ascii="宋体" w:hAnsi="宋体" w:eastAsia="宋体" w:cs="宋体"/>
          <w:b/>
          <w:strike/>
          <w:color w:val="auto"/>
          <w:sz w:val="21"/>
          <w:szCs w:val="21"/>
          <w:highlight w:val="none"/>
        </w:rPr>
        <w:t>1</w:t>
      </w:r>
      <w:r>
        <w:rPr>
          <w:rFonts w:hint="eastAsia" w:ascii="宋体" w:hAnsi="宋体" w:eastAsia="宋体" w:cs="宋体"/>
          <w:b/>
          <w:bCs/>
          <w:strike/>
          <w:color w:val="auto"/>
          <w:sz w:val="21"/>
          <w:szCs w:val="21"/>
          <w:highlight w:val="none"/>
        </w:rPr>
        <w:t xml:space="preserve">      投标文件</w:t>
      </w:r>
    </w:p>
    <w:p>
      <w:pPr>
        <w:spacing w:line="360" w:lineRule="auto"/>
        <w:jc w:val="left"/>
        <w:rPr>
          <w:rFonts w:hint="eastAsia" w:ascii="宋体" w:hAnsi="宋体" w:eastAsia="宋体" w:cs="宋体"/>
          <w:strike/>
          <w:color w:val="auto"/>
          <w:sz w:val="21"/>
          <w:szCs w:val="21"/>
          <w:highlight w:val="none"/>
        </w:rPr>
      </w:pPr>
    </w:p>
    <w:p>
      <w:pPr>
        <w:spacing w:line="360" w:lineRule="auto"/>
        <w:ind w:left="821" w:hanging="718" w:hangingChars="342"/>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1.1    投标文件由下列资料组成。</w:t>
      </w:r>
    </w:p>
    <w:p>
      <w:pPr>
        <w:spacing w:line="360" w:lineRule="auto"/>
        <w:jc w:val="lef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(a) 开标信封。</w:t>
      </w:r>
    </w:p>
    <w:p>
      <w:pPr>
        <w:spacing w:line="360" w:lineRule="auto"/>
        <w:jc w:val="lef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(b) 勘察方案。</w:t>
      </w:r>
    </w:p>
    <w:p>
      <w:pPr>
        <w:spacing w:line="360" w:lineRule="auto"/>
        <w:jc w:val="lef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(c) 资格审查文件（如果招标人要求提供）。</w:t>
      </w:r>
    </w:p>
    <w:p>
      <w:pPr>
        <w:spacing w:line="360" w:lineRule="auto"/>
        <w:jc w:val="left"/>
        <w:rPr>
          <w:rFonts w:hint="eastAsia" w:ascii="宋体" w:hAnsi="宋体" w:eastAsia="宋体" w:cs="宋体"/>
          <w:strike/>
          <w:color w:val="auto"/>
          <w:sz w:val="21"/>
          <w:szCs w:val="21"/>
          <w:highlight w:val="none"/>
        </w:rPr>
      </w:pPr>
    </w:p>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b/>
          <w:bCs/>
          <w:strike/>
          <w:color w:val="auto"/>
          <w:sz w:val="21"/>
          <w:szCs w:val="21"/>
          <w:highlight w:val="none"/>
        </w:rPr>
        <w:t>2      保密要求</w:t>
      </w:r>
    </w:p>
    <w:p>
      <w:pPr>
        <w:spacing w:line="360" w:lineRule="auto"/>
        <w:rPr>
          <w:rFonts w:hint="eastAsia" w:ascii="宋体" w:hAnsi="宋体" w:eastAsia="宋体" w:cs="宋体"/>
          <w:strike/>
          <w:color w:val="auto"/>
          <w:sz w:val="21"/>
          <w:szCs w:val="21"/>
          <w:highlight w:val="none"/>
        </w:rPr>
      </w:pPr>
    </w:p>
    <w:p>
      <w:pPr>
        <w:spacing w:line="360" w:lineRule="auto"/>
        <w:ind w:left="821" w:hanging="718" w:hangingChars="342"/>
        <w:jc w:val="lef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2.1    投标文件必须隐匿投标人及专业技术人员的名称，除了《投标书》（格式见附录6）、《联合体投标协议》（格式见附录7）、《投标人声明》和资格审查文件（如有）内的分辨投标人身份的文件外，投标人不得在投标文件的勘察方案上标注或做任何可以辨认投标人及专业技术人员身份的名称、印章、商标、图形等。</w:t>
      </w:r>
    </w:p>
    <w:p>
      <w:pPr>
        <w:spacing w:line="360" w:lineRule="auto"/>
        <w:ind w:left="410" w:hanging="359" w:hangingChars="171"/>
        <w:rPr>
          <w:rFonts w:hint="eastAsia" w:ascii="宋体" w:hAnsi="宋体" w:eastAsia="宋体" w:cs="宋体"/>
          <w:strike/>
          <w:color w:val="auto"/>
          <w:sz w:val="21"/>
          <w:szCs w:val="21"/>
          <w:highlight w:val="none"/>
        </w:rPr>
      </w:pPr>
    </w:p>
    <w:p>
      <w:pPr>
        <w:spacing w:line="360" w:lineRule="auto"/>
        <w:jc w:val="left"/>
        <w:rPr>
          <w:rFonts w:hint="eastAsia" w:ascii="宋体" w:hAnsi="宋体" w:eastAsia="宋体" w:cs="宋体"/>
          <w:b/>
          <w:bCs/>
          <w:strike/>
          <w:color w:val="auto"/>
          <w:sz w:val="21"/>
          <w:szCs w:val="21"/>
          <w:highlight w:val="none"/>
        </w:rPr>
      </w:pPr>
      <w:r>
        <w:rPr>
          <w:rFonts w:hint="eastAsia" w:ascii="宋体" w:hAnsi="宋体" w:eastAsia="宋体" w:cs="宋体"/>
          <w:b/>
          <w:bCs/>
          <w:strike/>
          <w:color w:val="auto"/>
          <w:sz w:val="21"/>
          <w:szCs w:val="21"/>
          <w:highlight w:val="none"/>
        </w:rPr>
        <w:t>3      开标信封</w:t>
      </w:r>
    </w:p>
    <w:p>
      <w:pPr>
        <w:spacing w:line="360" w:lineRule="auto"/>
        <w:rPr>
          <w:rFonts w:hint="eastAsia" w:ascii="宋体" w:hAnsi="宋体" w:eastAsia="宋体" w:cs="宋体"/>
          <w:strike/>
          <w:color w:val="auto"/>
          <w:sz w:val="21"/>
          <w:szCs w:val="21"/>
          <w:highlight w:val="none"/>
        </w:rPr>
      </w:pPr>
    </w:p>
    <w:p>
      <w:pPr>
        <w:spacing w:line="360" w:lineRule="auto"/>
        <w:ind w:left="821" w:hanging="718" w:hangingChars="342"/>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3.1    开标信封内附填妥并签字盖章的《投标书》（格式见附录6），联合体同时附填妥并签字盖章的《联合体投标协议》（格式见附录7）。未设资格审查环节的项目，还应提供填妥并盖章的《投标人声明》（格式见附录8）。</w:t>
      </w:r>
    </w:p>
    <w:p>
      <w:pPr>
        <w:spacing w:line="360" w:lineRule="auto"/>
        <w:rPr>
          <w:rFonts w:hint="eastAsia" w:ascii="宋体" w:hAnsi="宋体" w:eastAsia="宋体" w:cs="宋体"/>
          <w:strike/>
          <w:color w:val="auto"/>
          <w:sz w:val="21"/>
          <w:szCs w:val="21"/>
          <w:highlight w:val="none"/>
        </w:rPr>
      </w:pPr>
    </w:p>
    <w:p>
      <w:pPr>
        <w:spacing w:line="360" w:lineRule="auto"/>
        <w:rPr>
          <w:rFonts w:hint="eastAsia" w:ascii="宋体" w:hAnsi="宋体" w:eastAsia="宋体" w:cs="宋体"/>
          <w:strike/>
          <w:color w:val="auto"/>
          <w:sz w:val="21"/>
          <w:szCs w:val="21"/>
          <w:highlight w:val="none"/>
        </w:rPr>
      </w:pPr>
    </w:p>
    <w:p>
      <w:pPr>
        <w:spacing w:line="360" w:lineRule="auto"/>
        <w:rPr>
          <w:rFonts w:hint="eastAsia" w:ascii="宋体" w:hAnsi="宋体" w:eastAsia="宋体" w:cs="宋体"/>
          <w:b/>
          <w:strike/>
          <w:color w:val="auto"/>
          <w:sz w:val="21"/>
          <w:szCs w:val="21"/>
          <w:highlight w:val="none"/>
        </w:rPr>
      </w:pPr>
      <w:r>
        <w:rPr>
          <w:rFonts w:hint="eastAsia" w:ascii="宋体" w:hAnsi="宋体" w:eastAsia="宋体" w:cs="宋体"/>
          <w:b/>
          <w:strike/>
          <w:color w:val="auto"/>
          <w:sz w:val="21"/>
          <w:szCs w:val="21"/>
          <w:highlight w:val="none"/>
        </w:rPr>
        <w:t>4      勘察方案</w:t>
      </w:r>
    </w:p>
    <w:p>
      <w:pPr>
        <w:spacing w:line="360" w:lineRule="auto"/>
        <w:rPr>
          <w:rFonts w:hint="eastAsia" w:ascii="宋体" w:hAnsi="宋体" w:eastAsia="宋体" w:cs="宋体"/>
          <w:strike/>
          <w:color w:val="auto"/>
          <w:sz w:val="21"/>
          <w:szCs w:val="21"/>
          <w:highlight w:val="none"/>
        </w:rPr>
      </w:pPr>
    </w:p>
    <w:p>
      <w:pPr>
        <w:pStyle w:val="21"/>
        <w:spacing w:line="360" w:lineRule="auto"/>
        <w:ind w:firstLine="0" w:firstLineChars="0"/>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4.1    勘察方案内容（文件大小不得超过500M）：</w:t>
      </w:r>
    </w:p>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(a) 首页：写明项目名称、编制年月；</w:t>
      </w:r>
    </w:p>
    <w:p>
      <w:pPr>
        <w:pStyle w:val="21"/>
        <w:spacing w:line="360" w:lineRule="auto"/>
        <w:ind w:firstLine="0" w:firstLineChars="0"/>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(b) 目录；</w:t>
      </w:r>
    </w:p>
    <w:p>
      <w:pPr>
        <w:spacing w:line="360" w:lineRule="auto"/>
        <w:ind w:left="821" w:hanging="718" w:hangingChars="342"/>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（c）《勘察设计费报价表》（见附录3）； </w:t>
      </w:r>
    </w:p>
    <w:p>
      <w:pPr>
        <w:spacing w:line="360" w:lineRule="auto"/>
        <w:ind w:left="818" w:hanging="716" w:hangingChars="341"/>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(d) 除上述报价外，如果有另需付费的项目，应详细列明勘察工作和收费标准（内容、数量、单价、合价）； </w:t>
      </w:r>
    </w:p>
    <w:p>
      <w:pPr>
        <w:spacing w:line="360" w:lineRule="auto"/>
        <w:ind w:left="821" w:hanging="718" w:hangingChars="342"/>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(e) 针对项目场地采用的原位试验种类。勘察方案（勘察手段、方法及工艺）及建议，本次勘察的难点及建议；</w:t>
      </w:r>
    </w:p>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(f) 勘察工作流程和相应的工期进度计划；</w:t>
      </w:r>
    </w:p>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(g) 投入本项目的人数、工种、设备；</w:t>
      </w:r>
    </w:p>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(h) 勘察报告综合评价深度，勘察成果文件内容目录；</w:t>
      </w:r>
    </w:p>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(i) 投标人掌握的勘察工作有关的法律法规、标准、规范一览表；</w:t>
      </w:r>
    </w:p>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(j) 需要建设单位、设计单位配合的事项；</w:t>
      </w:r>
    </w:p>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(k) 发生追记行为的相应赔偿办法；</w:t>
      </w:r>
    </w:p>
    <w:p>
      <w:pPr>
        <w:spacing w:line="360" w:lineRule="auto"/>
        <w:ind w:left="821" w:hanging="718" w:hangingChars="342"/>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(l) 投标人参与施工验槽，解决工程设计和施工中与勘察工作有关问题的服务承诺、响应时间、相关费用。</w:t>
      </w:r>
    </w:p>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(m) 技术培训和职业道德教育情况。</w:t>
      </w:r>
    </w:p>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(n) 以往完工项目的资料分类编目、装订、归档保存的情况。</w:t>
      </w:r>
    </w:p>
    <w:p>
      <w:pPr>
        <w:spacing w:line="360" w:lineRule="auto"/>
        <w:rPr>
          <w:rFonts w:hint="eastAsia" w:ascii="宋体" w:hAnsi="宋体" w:eastAsia="宋体" w:cs="宋体"/>
          <w:strike/>
          <w:color w:val="auto"/>
          <w:sz w:val="21"/>
          <w:szCs w:val="21"/>
          <w:highlight w:val="none"/>
        </w:rPr>
      </w:pPr>
    </w:p>
    <w:p>
      <w:pPr>
        <w:spacing w:line="360" w:lineRule="auto"/>
        <w:jc w:val="left"/>
        <w:rPr>
          <w:rFonts w:hint="eastAsia" w:ascii="宋体" w:hAnsi="宋体" w:eastAsia="宋体" w:cs="宋体"/>
          <w:b/>
          <w:bCs/>
          <w:strike/>
          <w:color w:val="auto"/>
          <w:sz w:val="21"/>
          <w:szCs w:val="21"/>
          <w:highlight w:val="none"/>
        </w:rPr>
      </w:pPr>
      <w:r>
        <w:rPr>
          <w:rFonts w:hint="eastAsia" w:ascii="宋体" w:hAnsi="宋体" w:eastAsia="宋体" w:cs="宋体"/>
          <w:b/>
          <w:bCs/>
          <w:strike/>
          <w:color w:val="auto"/>
          <w:sz w:val="21"/>
          <w:szCs w:val="21"/>
          <w:highlight w:val="none"/>
        </w:rPr>
        <w:t>5   资格审查文件（如有）</w:t>
      </w:r>
    </w:p>
    <w:p>
      <w:pPr>
        <w:pStyle w:val="21"/>
        <w:spacing w:line="360" w:lineRule="auto"/>
        <w:ind w:firstLine="0" w:firstLineChars="0"/>
        <w:rPr>
          <w:rFonts w:hint="eastAsia" w:ascii="宋体" w:hAnsi="宋体" w:eastAsia="宋体" w:cs="宋体"/>
          <w:strike/>
          <w:color w:val="auto"/>
          <w:sz w:val="21"/>
          <w:szCs w:val="21"/>
          <w:highlight w:val="none"/>
        </w:rPr>
      </w:pPr>
    </w:p>
    <w:p>
      <w:pPr>
        <w:pStyle w:val="21"/>
        <w:spacing w:line="360" w:lineRule="auto"/>
        <w:ind w:firstLine="0" w:firstLineChars="0"/>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5.1   资格审查文件内容：</w:t>
      </w:r>
    </w:p>
    <w:p>
      <w:pPr>
        <w:pStyle w:val="21"/>
        <w:spacing w:line="360" w:lineRule="auto"/>
        <w:ind w:firstLine="0" w:firstLineChars="0"/>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(a) 目录；</w:t>
      </w:r>
    </w:p>
    <w:p>
      <w:pPr>
        <w:pStyle w:val="21"/>
        <w:spacing w:line="360" w:lineRule="auto"/>
        <w:ind w:firstLine="0" w:firstLineChars="0"/>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(b) 填妥并签字盖章的《投标书》（投标人无需提供，评标委员会根据“开标信封”中的《投标书》进行评审。投标人再次提供且不一致的，以“开标信封”中的《投标书》为准）；</w:t>
      </w:r>
    </w:p>
    <w:p>
      <w:pPr>
        <w:pStyle w:val="21"/>
        <w:spacing w:line="360" w:lineRule="auto"/>
        <w:ind w:firstLine="315" w:firstLineChars="150"/>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(c) 填妥并签字盖章的《投标人声明》（格式见附录8）；</w:t>
      </w:r>
    </w:p>
    <w:p>
      <w:pPr>
        <w:spacing w:line="360" w:lineRule="auto"/>
        <w:ind w:left="821" w:hanging="718" w:hangingChars="342"/>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(d) 填妥并签字盖章的《联合体投标协议》（联合体投标人提供）（投标人无需提供，评标委员会根据“开标信封”中的《联合体投标协议》进行评审。投标人再次提供且不一致的，以“开标信封”中的《联合体投标协议》为准）；</w:t>
      </w:r>
    </w:p>
    <w:p>
      <w:pPr>
        <w:spacing w:line="360" w:lineRule="auto"/>
        <w:ind w:left="821" w:hanging="718" w:hangingChars="342"/>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(e) 投标人资质证书；</w:t>
      </w:r>
    </w:p>
    <w:p>
      <w:pPr>
        <w:spacing w:line="360" w:lineRule="auto"/>
        <w:ind w:left="821" w:hanging="718" w:hangingChars="342"/>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(f) </w:t>
      </w:r>
      <w:r>
        <w:rPr>
          <w:rFonts w:hint="eastAsia" w:ascii="宋体" w:hAnsi="宋体" w:eastAsia="宋体" w:cs="宋体"/>
          <w:strike/>
          <w:color w:val="auto"/>
          <w:sz w:val="21"/>
          <w:szCs w:val="21"/>
          <w:highlight w:val="none"/>
          <w:lang w:bidi="ar"/>
        </w:rPr>
        <w:t>申请人已在广州市住房和城乡建设局建立企业信用档案，拟委派的项目负责人须是本企业信用档案中的在册人员；</w:t>
      </w:r>
    </w:p>
    <w:p>
      <w:pPr>
        <w:spacing w:line="360" w:lineRule="auto"/>
        <w:ind w:left="708" w:leftChars="67" w:hanging="567" w:hangingChars="270"/>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(g) 投标申请表（附录1）；</w:t>
      </w:r>
    </w:p>
    <w:p>
      <w:pPr>
        <w:spacing w:line="360" w:lineRule="auto"/>
        <w:ind w:left="708" w:leftChars="167" w:hanging="357" w:hangingChars="170"/>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(h) 拟派项目负责人注册执业资格证书或职称证书；</w:t>
      </w:r>
    </w:p>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(i) 拟派各专业负责人注册执业资格证书或职称证书及工作简历；</w:t>
      </w:r>
    </w:p>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(j) 投标人认为有必要提供的其他资料。</w:t>
      </w:r>
    </w:p>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w:t>
      </w:r>
    </w:p>
    <w:p>
      <w:pPr>
        <w:spacing w:line="360" w:lineRule="auto"/>
        <w:ind w:left="539" w:leftChars="15" w:hanging="508" w:hangingChars="242"/>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注：</w:t>
      </w:r>
      <w:r>
        <w:rPr>
          <w:rFonts w:hint="eastAsia" w:ascii="宋体" w:hAnsi="宋体" w:eastAsia="宋体" w:cs="宋体"/>
          <w:strike/>
          <w:color w:val="auto"/>
          <w:sz w:val="21"/>
          <w:szCs w:val="21"/>
          <w:highlight w:val="none"/>
          <w:lang w:bidi="ar"/>
        </w:rPr>
        <w:t>资格审查文件中的(e)、(f)取自广州市住建行业信用管理平台（原企业诚信档案信息库），投标人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pPr>
        <w:spacing w:line="360" w:lineRule="auto"/>
        <w:ind w:left="361" w:hanging="316" w:hangingChars="150"/>
        <w:rPr>
          <w:rFonts w:hint="eastAsia" w:ascii="宋体" w:hAnsi="宋体" w:eastAsia="宋体" w:cs="宋体"/>
          <w:b/>
          <w:bCs/>
          <w:strike/>
          <w:color w:val="auto"/>
          <w:sz w:val="21"/>
          <w:szCs w:val="21"/>
          <w:highlight w:val="none"/>
        </w:rPr>
      </w:pPr>
      <w:r>
        <w:rPr>
          <w:rFonts w:hint="eastAsia" w:ascii="宋体" w:hAnsi="宋体" w:eastAsia="宋体" w:cs="宋体"/>
          <w:b/>
          <w:bCs/>
          <w:strike/>
          <w:color w:val="auto"/>
          <w:sz w:val="21"/>
          <w:szCs w:val="21"/>
          <w:highlight w:val="none"/>
        </w:rPr>
        <w:t>6    定标资料（如有）</w:t>
      </w:r>
    </w:p>
    <w:p>
      <w:pPr>
        <w:spacing w:line="360" w:lineRule="auto"/>
        <w:ind w:left="360" w:hanging="315" w:hangingChars="150"/>
        <w:rPr>
          <w:rFonts w:hint="eastAsia" w:ascii="宋体" w:hAnsi="宋体" w:eastAsia="宋体" w:cs="宋体"/>
          <w:strike/>
          <w:color w:val="auto"/>
          <w:sz w:val="21"/>
          <w:szCs w:val="21"/>
          <w:highlight w:val="none"/>
        </w:rPr>
      </w:pPr>
    </w:p>
    <w:p>
      <w:pPr>
        <w:spacing w:line="360" w:lineRule="auto"/>
        <w:ind w:left="360" w:hanging="315" w:hangingChars="150"/>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（由招标人自定）</w:t>
      </w:r>
    </w:p>
    <w:p>
      <w:pPr>
        <w:jc w:val="left"/>
        <w:rPr>
          <w:rFonts w:hint="eastAsia" w:ascii="宋体" w:hAnsi="宋体" w:eastAsia="宋体" w:cs="宋体"/>
          <w:color w:val="auto"/>
          <w:sz w:val="21"/>
          <w:szCs w:val="21"/>
          <w:highlight w:val="none"/>
        </w:rPr>
      </w:pPr>
    </w:p>
    <w:p>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26" w:name="_Toc17410"/>
    </w:p>
    <w:p>
      <w:pPr>
        <w:keepNext/>
        <w:keepLines/>
        <w:spacing w:line="360" w:lineRule="auto"/>
        <w:outlineLvl w:val="0"/>
        <w:rPr>
          <w:rFonts w:hint="eastAsia" w:ascii="宋体" w:hAnsi="宋体" w:eastAsia="宋体" w:cs="宋体"/>
          <w:color w:val="auto"/>
          <w:kern w:val="44"/>
          <w:sz w:val="21"/>
          <w:szCs w:val="21"/>
          <w:highlight w:val="none"/>
        </w:rPr>
      </w:pPr>
      <w:bookmarkStart w:id="27" w:name="_Toc26950"/>
      <w:r>
        <w:rPr>
          <w:rFonts w:hint="eastAsia" w:ascii="宋体" w:hAnsi="宋体" w:eastAsia="宋体" w:cs="宋体"/>
          <w:b/>
          <w:bCs/>
          <w:color w:val="auto"/>
          <w:kern w:val="44"/>
          <w:sz w:val="21"/>
          <w:szCs w:val="21"/>
          <w:highlight w:val="none"/>
        </w:rPr>
        <w:t>附录6 投标书</w:t>
      </w:r>
      <w:bookmarkEnd w:id="26"/>
      <w:bookmarkEnd w:id="27"/>
    </w:p>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投标书</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（招标人、招标代理机构名称）</w:t>
      </w:r>
    </w:p>
    <w:p>
      <w:pPr>
        <w:spacing w:line="360" w:lineRule="auto"/>
        <w:jc w:val="left"/>
        <w:rPr>
          <w:rFonts w:hint="eastAsia" w:ascii="宋体" w:hAnsi="宋体" w:eastAsia="宋体" w:cs="宋体"/>
          <w:color w:val="auto"/>
          <w:sz w:val="21"/>
          <w:szCs w:val="21"/>
          <w:highlight w:val="none"/>
        </w:rPr>
      </w:pP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投标人的简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工程设计费报价汇总表》的投标总报价，承包本次招标所包含的工作，并承担质量缺陷责任。我方项目负责人为网上投标登记时选择的项目负责人。如我司成为本项目中标候选人，我司同意并授权招标人将我司投标文件商务部分进行公开。</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我方认同招标文件规定的评审规则，遵守评标委员会的裁决结果，并且不会采取妨碍项目进展的行为。我方理解你方没有必须接受你方可能收到的最低标或任何投标的义务。</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如果我方中标，我方将提供规定的履约担保，将在合同规定的日期开工，并在竣工时间内，按照上述文件完成项目。</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除非制订正式合同协议书并生效，本投标书以及你方中标通知书，应构成你我双方间具有约束力的合同。</w:t>
      </w:r>
    </w:p>
    <w:p>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本投标书同时作为法人证明书或法人授权委托书。</w:t>
      </w:r>
    </w:p>
    <w:p>
      <w:pPr>
        <w:spacing w:line="360" w:lineRule="auto"/>
        <w:rPr>
          <w:rFonts w:hint="eastAsia" w:ascii="宋体" w:hAnsi="宋体" w:eastAsia="宋体" w:cs="宋体"/>
          <w:color w:val="auto"/>
          <w:sz w:val="21"/>
          <w:szCs w:val="21"/>
          <w:highlight w:val="none"/>
        </w:rPr>
      </w:pPr>
    </w:p>
    <w:p>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r>
        <w:rPr>
          <w:rFonts w:hint="eastAsia" w:ascii="宋体" w:hAnsi="宋体" w:eastAsia="宋体" w:cs="宋体"/>
          <w:color w:val="auto"/>
          <w:sz w:val="21"/>
          <w:szCs w:val="21"/>
          <w:highlight w:val="none"/>
          <w:u w:val="single"/>
        </w:rPr>
        <w:t xml:space="preserve">                                  </w:t>
      </w:r>
    </w:p>
    <w:p>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法定代表人：（签字或盖章）</w:t>
      </w:r>
      <w:r>
        <w:rPr>
          <w:rFonts w:hint="eastAsia" w:ascii="宋体" w:hAnsi="宋体" w:eastAsia="宋体" w:cs="宋体"/>
          <w:color w:val="auto"/>
          <w:sz w:val="21"/>
          <w:szCs w:val="21"/>
          <w:highlight w:val="none"/>
          <w:u w:val="single"/>
        </w:rPr>
        <w:t xml:space="preserve">                        </w:t>
      </w:r>
    </w:p>
    <w:p>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委托代理人：（签字或盖章）</w:t>
      </w:r>
      <w:r>
        <w:rPr>
          <w:rFonts w:hint="eastAsia" w:ascii="宋体" w:hAnsi="宋体" w:eastAsia="宋体" w:cs="宋体"/>
          <w:color w:val="auto"/>
          <w:sz w:val="21"/>
          <w:szCs w:val="21"/>
          <w:highlight w:val="none"/>
          <w:u w:val="single"/>
        </w:rPr>
        <w:t xml:space="preserve">                        </w:t>
      </w:r>
    </w:p>
    <w:p>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项目负责人：（签字或盖章）</w:t>
      </w:r>
      <w:r>
        <w:rPr>
          <w:rFonts w:hint="eastAsia" w:ascii="宋体" w:hAnsi="宋体" w:eastAsia="宋体" w:cs="宋体"/>
          <w:color w:val="auto"/>
          <w:sz w:val="21"/>
          <w:szCs w:val="21"/>
          <w:highlight w:val="none"/>
          <w:u w:val="single"/>
        </w:rPr>
        <w:t xml:space="preserve">                        </w:t>
      </w:r>
    </w:p>
    <w:p>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电话/传真：</w:t>
      </w:r>
      <w:r>
        <w:rPr>
          <w:rFonts w:hint="eastAsia" w:ascii="宋体" w:hAnsi="宋体" w:eastAsia="宋体" w:cs="宋体"/>
          <w:color w:val="auto"/>
          <w:sz w:val="21"/>
          <w:szCs w:val="21"/>
          <w:highlight w:val="none"/>
          <w:u w:val="single"/>
        </w:rPr>
        <w:t xml:space="preserve">                    /FAX              </w:t>
      </w:r>
    </w:p>
    <w:p>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开户银行名称、帐号：</w:t>
      </w:r>
      <w:r>
        <w:rPr>
          <w:rFonts w:hint="eastAsia" w:ascii="宋体" w:hAnsi="宋体" w:eastAsia="宋体" w:cs="宋体"/>
          <w:color w:val="auto"/>
          <w:sz w:val="21"/>
          <w:szCs w:val="21"/>
          <w:highlight w:val="none"/>
          <w:u w:val="single"/>
        </w:rPr>
        <w:t xml:space="preserve">                             </w:t>
      </w:r>
    </w:p>
    <w:p>
      <w:pPr>
        <w:spacing w:line="360" w:lineRule="auto"/>
        <w:ind w:firstLine="40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开户行地址/电话：</w:t>
      </w:r>
      <w:r>
        <w:rPr>
          <w:rFonts w:hint="eastAsia" w:ascii="宋体" w:hAnsi="宋体" w:eastAsia="宋体" w:cs="宋体"/>
          <w:color w:val="auto"/>
          <w:sz w:val="21"/>
          <w:szCs w:val="21"/>
          <w:highlight w:val="none"/>
          <w:u w:val="single"/>
        </w:rPr>
        <w:t xml:space="preserve">                                </w:t>
      </w:r>
    </w:p>
    <w:p>
      <w:pPr>
        <w:spacing w:line="360" w:lineRule="auto"/>
        <w:ind w:firstLine="405"/>
        <w:jc w:val="right"/>
        <w:rPr>
          <w:rFonts w:hint="eastAsia" w:ascii="宋体" w:hAnsi="宋体" w:eastAsia="宋体" w:cs="宋体"/>
          <w:color w:val="auto"/>
          <w:sz w:val="21"/>
          <w:szCs w:val="21"/>
          <w:highlight w:val="none"/>
        </w:rPr>
      </w:pPr>
    </w:p>
    <w:p>
      <w:pPr>
        <w:spacing w:line="360" w:lineRule="auto"/>
        <w:ind w:firstLine="405"/>
        <w:jc w:val="right"/>
        <w:rPr>
          <w:rFonts w:hint="eastAsia" w:ascii="宋体" w:hAnsi="宋体" w:eastAsia="宋体" w:cs="宋体"/>
          <w:color w:val="auto"/>
          <w:sz w:val="21"/>
          <w:szCs w:val="21"/>
          <w:highlight w:val="none"/>
        </w:rPr>
        <w:sectPr>
          <w:footerReference r:id="rId10" w:type="default"/>
          <w:footerReference r:id="rId11" w:type="even"/>
          <w:type w:val="nextColum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color w:val="auto"/>
          <w:sz w:val="21"/>
          <w:szCs w:val="21"/>
          <w:highlight w:val="none"/>
        </w:rPr>
        <w:t>日期：       年    月    日</w:t>
      </w:r>
    </w:p>
    <w:p>
      <w:pPr>
        <w:pStyle w:val="3"/>
        <w:spacing w:line="360" w:lineRule="auto"/>
        <w:rPr>
          <w:rFonts w:hint="eastAsia" w:ascii="宋体" w:hAnsi="宋体" w:eastAsia="宋体" w:cs="宋体"/>
          <w:b w:val="0"/>
          <w:bCs w:val="0"/>
          <w:strike/>
          <w:dstrike w:val="0"/>
          <w:color w:val="auto"/>
          <w:sz w:val="21"/>
          <w:szCs w:val="21"/>
          <w:highlight w:val="none"/>
        </w:rPr>
      </w:pPr>
      <w:bookmarkStart w:id="28" w:name="_Toc22890"/>
      <w:r>
        <w:rPr>
          <w:rFonts w:hint="eastAsia" w:ascii="宋体" w:hAnsi="宋体" w:eastAsia="宋体" w:cs="宋体"/>
          <w:strike/>
          <w:dstrike w:val="0"/>
          <w:color w:val="auto"/>
          <w:sz w:val="21"/>
          <w:szCs w:val="21"/>
          <w:highlight w:val="none"/>
        </w:rPr>
        <w:t>附录7 联合体共同投标协议</w:t>
      </w:r>
      <w:bookmarkEnd w:id="28"/>
    </w:p>
    <w:p>
      <w:pPr>
        <w:spacing w:line="360" w:lineRule="auto"/>
        <w:jc w:val="center"/>
        <w:rPr>
          <w:rFonts w:hint="eastAsia" w:ascii="宋体" w:hAnsi="宋体" w:eastAsia="宋体" w:cs="宋体"/>
          <w:strike/>
          <w:dstrike w:val="0"/>
          <w:color w:val="auto"/>
          <w:sz w:val="21"/>
          <w:szCs w:val="21"/>
          <w:highlight w:val="none"/>
        </w:rPr>
      </w:pPr>
      <w:r>
        <w:rPr>
          <w:rFonts w:hint="eastAsia" w:ascii="宋体" w:hAnsi="宋体" w:eastAsia="宋体" w:cs="宋体"/>
          <w:b/>
          <w:bCs/>
          <w:strike/>
          <w:dstrike w:val="0"/>
          <w:color w:val="auto"/>
          <w:sz w:val="21"/>
          <w:szCs w:val="21"/>
          <w:highlight w:val="none"/>
        </w:rPr>
        <w:t>联合体共同投标协议</w:t>
      </w:r>
    </w:p>
    <w:p>
      <w:pPr>
        <w:spacing w:line="360" w:lineRule="auto"/>
        <w:jc w:val="left"/>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投标项目名称：</w:t>
      </w:r>
      <w:r>
        <w:rPr>
          <w:rFonts w:hint="eastAsia" w:ascii="宋体" w:hAnsi="宋体" w:eastAsia="宋体" w:cs="宋体"/>
          <w:strike/>
          <w:dstrike w:val="0"/>
          <w:color w:val="auto"/>
          <w:sz w:val="21"/>
          <w:szCs w:val="21"/>
          <w:highlight w:val="none"/>
          <w:u w:val="single"/>
        </w:rPr>
        <w:t xml:space="preserve">                           </w:t>
      </w:r>
      <w:r>
        <w:rPr>
          <w:rFonts w:hint="eastAsia" w:ascii="宋体" w:hAnsi="宋体" w:eastAsia="宋体" w:cs="宋体"/>
          <w:strike/>
          <w:dstrike w:val="0"/>
          <w:color w:val="auto"/>
          <w:sz w:val="21"/>
          <w:szCs w:val="21"/>
          <w:highlight w:val="none"/>
        </w:rPr>
        <w:t>。</w:t>
      </w:r>
    </w:p>
    <w:p>
      <w:pPr>
        <w:spacing w:line="360" w:lineRule="auto"/>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致：</w:t>
      </w:r>
      <w:r>
        <w:rPr>
          <w:rFonts w:hint="eastAsia" w:ascii="宋体" w:hAnsi="宋体" w:eastAsia="宋体" w:cs="宋体"/>
          <w:strike/>
          <w:dstrike w:val="0"/>
          <w:color w:val="auto"/>
          <w:sz w:val="21"/>
          <w:szCs w:val="21"/>
          <w:highlight w:val="none"/>
          <w:u w:val="single"/>
        </w:rPr>
        <w:t xml:space="preserve">                                </w:t>
      </w:r>
      <w:r>
        <w:rPr>
          <w:rFonts w:hint="eastAsia" w:ascii="宋体" w:hAnsi="宋体" w:eastAsia="宋体" w:cs="宋体"/>
          <w:strike/>
          <w:dstrike w:val="0"/>
          <w:color w:val="auto"/>
          <w:sz w:val="21"/>
          <w:szCs w:val="21"/>
          <w:highlight w:val="none"/>
        </w:rPr>
        <w:t>（招标人、招标代理机构名称）</w:t>
      </w:r>
    </w:p>
    <w:p>
      <w:pPr>
        <w:spacing w:line="360" w:lineRule="auto"/>
        <w:jc w:val="left"/>
        <w:rPr>
          <w:rFonts w:hint="eastAsia" w:ascii="宋体" w:hAnsi="宋体" w:eastAsia="宋体" w:cs="宋体"/>
          <w:strike/>
          <w:dstrike w:val="0"/>
          <w:color w:val="auto"/>
          <w:sz w:val="21"/>
          <w:szCs w:val="21"/>
          <w:highlight w:val="none"/>
        </w:rPr>
      </w:pPr>
    </w:p>
    <w:p>
      <w:pPr>
        <w:spacing w:line="360" w:lineRule="auto"/>
        <w:ind w:firstLine="420"/>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pPr>
        <w:spacing w:line="360" w:lineRule="auto"/>
        <w:ind w:firstLine="420"/>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05"/>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本投标协议同时作为法人证明书或法人授权委托书。</w:t>
      </w:r>
    </w:p>
    <w:p>
      <w:pPr>
        <w:spacing w:line="360" w:lineRule="auto"/>
        <w:rPr>
          <w:rFonts w:hint="eastAsia" w:ascii="宋体" w:hAnsi="宋体" w:eastAsia="宋体" w:cs="宋体"/>
          <w:strike/>
          <w:dstrike w:val="0"/>
          <w:color w:val="auto"/>
          <w:sz w:val="21"/>
          <w:szCs w:val="21"/>
          <w:highlight w:val="none"/>
        </w:rPr>
      </w:pPr>
    </w:p>
    <w:p>
      <w:pPr>
        <w:spacing w:line="360" w:lineRule="auto"/>
        <w:ind w:firstLine="405"/>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投标牵头人：（盖章）</w:t>
      </w:r>
    </w:p>
    <w:p>
      <w:pPr>
        <w:spacing w:line="360" w:lineRule="auto"/>
        <w:ind w:firstLine="405"/>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法定代表人：（签字或盖章）</w:t>
      </w:r>
    </w:p>
    <w:p>
      <w:pPr>
        <w:spacing w:line="360" w:lineRule="auto"/>
        <w:ind w:firstLine="405"/>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委托代理人：（签字或盖章）</w:t>
      </w:r>
    </w:p>
    <w:p>
      <w:pPr>
        <w:spacing w:line="360" w:lineRule="auto"/>
        <w:ind w:firstLine="405"/>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地址：</w:t>
      </w:r>
    </w:p>
    <w:p>
      <w:pPr>
        <w:spacing w:line="360" w:lineRule="auto"/>
        <w:ind w:firstLine="405"/>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邮政编码：电话/传真：</w:t>
      </w:r>
    </w:p>
    <w:p>
      <w:pPr>
        <w:spacing w:line="360" w:lineRule="auto"/>
        <w:ind w:firstLine="405"/>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分工内容：</w:t>
      </w:r>
    </w:p>
    <w:p>
      <w:pPr>
        <w:spacing w:line="360" w:lineRule="auto"/>
        <w:rPr>
          <w:rFonts w:hint="eastAsia" w:ascii="宋体" w:hAnsi="宋体" w:eastAsia="宋体" w:cs="宋体"/>
          <w:strike/>
          <w:dstrike w:val="0"/>
          <w:color w:val="auto"/>
          <w:sz w:val="21"/>
          <w:szCs w:val="21"/>
          <w:highlight w:val="none"/>
        </w:rPr>
      </w:pPr>
    </w:p>
    <w:p>
      <w:pPr>
        <w:spacing w:line="360" w:lineRule="auto"/>
        <w:ind w:firstLine="405"/>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联合体成员：（盖章）</w:t>
      </w:r>
    </w:p>
    <w:p>
      <w:pPr>
        <w:spacing w:line="360" w:lineRule="auto"/>
        <w:ind w:firstLine="405"/>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法定代表人：（签字或盖章）</w:t>
      </w:r>
    </w:p>
    <w:p>
      <w:pPr>
        <w:spacing w:line="360" w:lineRule="auto"/>
        <w:ind w:firstLine="405"/>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委托代理人：（签字或盖章）</w:t>
      </w:r>
    </w:p>
    <w:p>
      <w:pPr>
        <w:spacing w:line="360" w:lineRule="auto"/>
        <w:ind w:firstLine="405"/>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地址：</w:t>
      </w:r>
    </w:p>
    <w:p>
      <w:pPr>
        <w:spacing w:line="360" w:lineRule="auto"/>
        <w:ind w:firstLine="405"/>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邮政编码：电话/传真：</w:t>
      </w:r>
    </w:p>
    <w:p>
      <w:pPr>
        <w:spacing w:line="360" w:lineRule="auto"/>
        <w:ind w:firstLine="405"/>
        <w:rPr>
          <w:rFonts w:hint="eastAsia" w:ascii="宋体" w:hAnsi="宋体" w:eastAsia="宋体" w:cs="宋体"/>
          <w:strike/>
          <w:dstrike w:val="0"/>
          <w:color w:val="auto"/>
          <w:sz w:val="21"/>
          <w:szCs w:val="21"/>
          <w:highlight w:val="none"/>
          <w:u w:val="single"/>
        </w:rPr>
      </w:pPr>
      <w:r>
        <w:rPr>
          <w:rFonts w:hint="eastAsia" w:ascii="宋体" w:hAnsi="宋体" w:eastAsia="宋体" w:cs="宋体"/>
          <w:strike/>
          <w:dstrike w:val="0"/>
          <w:color w:val="auto"/>
          <w:sz w:val="21"/>
          <w:szCs w:val="21"/>
          <w:highlight w:val="none"/>
        </w:rPr>
        <w:t>分工内容：</w:t>
      </w:r>
    </w:p>
    <w:p>
      <w:pPr>
        <w:spacing w:line="360" w:lineRule="auto"/>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 xml:space="preserve">                                 签订日期：       年    月    日</w:t>
      </w:r>
    </w:p>
    <w:p>
      <w:pPr>
        <w:spacing w:line="360" w:lineRule="auto"/>
        <w:rPr>
          <w:rFonts w:hint="eastAsia" w:ascii="宋体" w:hAnsi="宋体" w:eastAsia="宋体" w:cs="宋体"/>
          <w:b/>
          <w:bCs/>
          <w:color w:val="auto"/>
          <w:kern w:val="44"/>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kern w:val="44"/>
          <w:sz w:val="21"/>
          <w:szCs w:val="21"/>
          <w:highlight w:val="none"/>
        </w:rPr>
        <w:t>附录 7-1（</w:t>
      </w:r>
      <w:r>
        <w:rPr>
          <w:rFonts w:hint="eastAsia" w:ascii="宋体" w:hAnsi="宋体" w:eastAsia="宋体" w:cs="宋体"/>
          <w:b/>
          <w:bCs/>
          <w:color w:val="auto"/>
          <w:kern w:val="44"/>
          <w:sz w:val="21"/>
          <w:szCs w:val="21"/>
          <w:highlight w:val="none"/>
          <w:u w:val="single"/>
        </w:rPr>
        <w:t>适用于合作设计</w:t>
      </w:r>
      <w:r>
        <w:rPr>
          <w:rFonts w:hint="eastAsia" w:ascii="宋体" w:hAnsi="宋体" w:eastAsia="宋体" w:cs="宋体"/>
          <w:b/>
          <w:bCs/>
          <w:color w:val="auto"/>
          <w:kern w:val="44"/>
          <w:sz w:val="21"/>
          <w:szCs w:val="21"/>
          <w:highlight w:val="none"/>
        </w:rPr>
        <w:t>）</w:t>
      </w:r>
    </w:p>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合作设计协议书</w:t>
      </w: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（招标人、招标代理机构名称）</w:t>
      </w:r>
    </w:p>
    <w:p>
      <w:pPr>
        <w:spacing w:line="360" w:lineRule="auto"/>
        <w:jc w:val="left"/>
        <w:rPr>
          <w:rFonts w:hint="eastAsia" w:ascii="宋体" w:hAnsi="宋体" w:eastAsia="宋体" w:cs="宋体"/>
          <w:color w:val="auto"/>
          <w:sz w:val="21"/>
          <w:szCs w:val="21"/>
          <w:highlight w:val="none"/>
        </w:rPr>
      </w:pP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按照招标公告的规定，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（外国或香港、澳门、台湾的设计企业）作为投标人（即“申请人”，下同）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（符合招标公告第1.4.2条资质条件的企业）的合作设计方，参与本项目进行合作设计。若中标，各成员向招标人承担连带责任。合作设计方授权委托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（符合招标公告第1.4.2条资质条件的企业）代表所有合作成员参加投标、提交投标文件，以及与招标人签订合同，负责整个合同实施阶段的协调工作。</w:t>
      </w:r>
    </w:p>
    <w:p>
      <w:pPr>
        <w:spacing w:line="360" w:lineRule="auto"/>
        <w:ind w:firstLine="420"/>
        <w:rPr>
          <w:rFonts w:hint="eastAsia" w:ascii="宋体" w:hAnsi="宋体" w:eastAsia="宋体" w:cs="宋体"/>
          <w:color w:val="auto"/>
          <w:sz w:val="21"/>
          <w:szCs w:val="21"/>
          <w:highlight w:val="none"/>
        </w:rPr>
      </w:pPr>
    </w:p>
    <w:p>
      <w:pPr>
        <w:spacing w:line="360" w:lineRule="auto"/>
        <w:ind w:left="735" w:hanging="735" w:hangingChars="350"/>
        <w:jc w:val="left"/>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合作设计方：（盖章）</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代表人：（签字或盖章）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分工内容：</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投标人：（盖章）</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法定代表人：（签字或盖章）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分工内容：</w:t>
      </w: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3"/>
        <w:spacing w:line="360" w:lineRule="auto"/>
        <w:rPr>
          <w:rFonts w:hint="eastAsia" w:ascii="宋体" w:hAnsi="宋体" w:eastAsia="宋体" w:cs="宋体"/>
          <w:color w:val="auto"/>
          <w:sz w:val="21"/>
          <w:szCs w:val="21"/>
          <w:highlight w:val="none"/>
        </w:rPr>
      </w:pPr>
      <w:bookmarkStart w:id="29" w:name="_Toc9060"/>
      <w:r>
        <w:rPr>
          <w:rFonts w:hint="eastAsia" w:ascii="宋体" w:hAnsi="宋体" w:eastAsia="宋体" w:cs="宋体"/>
          <w:color w:val="auto"/>
          <w:sz w:val="21"/>
          <w:szCs w:val="21"/>
          <w:highlight w:val="none"/>
        </w:rPr>
        <w:t>附录8 投标人声明</w:t>
      </w:r>
      <w:bookmarkEnd w:id="29"/>
    </w:p>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投标人声明（适用于设资格审查环节的项目）</w:t>
      </w:r>
    </w:p>
    <w:p>
      <w:pPr>
        <w:pStyle w:val="94"/>
        <w:spacing w:line="400" w:lineRule="exact"/>
        <w:rPr>
          <w:rFonts w:hint="eastAsia" w:ascii="宋体" w:hAnsi="宋体" w:eastAsia="宋体" w:cs="宋体"/>
          <w:color w:val="auto"/>
          <w:sz w:val="21"/>
          <w:szCs w:val="21"/>
          <w:highlight w:val="none"/>
        </w:rPr>
      </w:pPr>
    </w:p>
    <w:p>
      <w:pPr>
        <w:pStyle w:val="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广州市住房和城乡建设局、本招标项目招标人及招标监管机构：</w:t>
      </w:r>
    </w:p>
    <w:p>
      <w:pPr>
        <w:pStyle w:val="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投标工作，作出郑重声明：我方与招标人过去3年内无合同履约纠纷，不存在第三章第3.11项规定的任何一种情形。</w:t>
      </w:r>
    </w:p>
    <w:p>
      <w:pPr>
        <w:spacing w:line="360" w:lineRule="auto"/>
        <w:rPr>
          <w:rFonts w:hint="eastAsia" w:ascii="宋体" w:hAnsi="宋体" w:eastAsia="宋体" w:cs="宋体"/>
          <w:color w:val="auto"/>
          <w:sz w:val="21"/>
          <w:szCs w:val="21"/>
          <w:highlight w:val="none"/>
        </w:rPr>
      </w:pPr>
    </w:p>
    <w:p>
      <w:pPr>
        <w:pStyle w:val="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pStyle w:val="94"/>
        <w:rPr>
          <w:rFonts w:hint="eastAsia" w:ascii="宋体" w:hAnsi="宋体" w:eastAsia="宋体" w:cs="宋体"/>
          <w:color w:val="auto"/>
          <w:sz w:val="21"/>
          <w:szCs w:val="21"/>
          <w:highlight w:val="none"/>
        </w:rPr>
      </w:pPr>
    </w:p>
    <w:p>
      <w:pPr>
        <w:pStyle w:val="93"/>
        <w:ind w:left="0" w:right="1449" w:firstLine="3360" w:firstLineChars="16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pPr>
        <w:pStyle w:val="94"/>
        <w:ind w:right="1449"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94"/>
        <w:ind w:right="2079" w:firstLine="1890" w:firstLineChars="9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spacing w:line="360" w:lineRule="auto"/>
        <w:jc w:val="left"/>
        <w:rPr>
          <w:rFonts w:hint="eastAsia" w:ascii="宋体" w:hAnsi="宋体" w:eastAsia="宋体" w:cs="宋体"/>
          <w:color w:val="auto"/>
          <w:sz w:val="21"/>
          <w:szCs w:val="21"/>
          <w:highlight w:val="none"/>
        </w:rPr>
      </w:pPr>
    </w:p>
    <w:p>
      <w:pPr>
        <w:pStyle w:val="25"/>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rPr>
        <w:t>（注：如联合体投标人，须由联合体主办方盖章。）</w:t>
      </w:r>
      <w:r>
        <w:rPr>
          <w:rFonts w:hint="eastAsia" w:ascii="宋体" w:hAnsi="宋体" w:eastAsia="宋体" w:cs="宋体"/>
          <w:color w:val="auto"/>
          <w:sz w:val="21"/>
          <w:szCs w:val="21"/>
          <w:highlight w:val="none"/>
        </w:rPr>
        <w:t xml:space="preserve">   </w:t>
      </w:r>
    </w:p>
    <w:p>
      <w:pPr>
        <w:pStyle w:val="25"/>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rPr>
          <w:rFonts w:hint="eastAsia" w:ascii="宋体" w:hAnsi="宋体" w:eastAsia="宋体" w:cs="宋体"/>
          <w:color w:val="auto"/>
          <w:sz w:val="21"/>
          <w:szCs w:val="21"/>
          <w:highlight w:val="none"/>
        </w:rPr>
      </w:pPr>
    </w:p>
    <w:p>
      <w:pPr>
        <w:jc w:val="center"/>
        <w:rPr>
          <w:rFonts w:hint="eastAsia" w:ascii="宋体" w:hAnsi="宋体" w:eastAsia="宋体" w:cs="宋体"/>
          <w:b/>
          <w:strike/>
          <w:color w:val="auto"/>
          <w:sz w:val="21"/>
          <w:szCs w:val="21"/>
          <w:highlight w:val="none"/>
        </w:rPr>
      </w:pPr>
      <w:r>
        <w:rPr>
          <w:rFonts w:hint="eastAsia" w:ascii="宋体" w:hAnsi="宋体" w:eastAsia="宋体" w:cs="宋体"/>
          <w:b/>
          <w:strike/>
          <w:color w:val="auto"/>
          <w:sz w:val="21"/>
          <w:szCs w:val="21"/>
          <w:highlight w:val="none"/>
        </w:rPr>
        <w:t>投标人声明（适用于未设资格审查环节的项目）</w:t>
      </w:r>
    </w:p>
    <w:p>
      <w:pPr>
        <w:pStyle w:val="94"/>
        <w:rPr>
          <w:rFonts w:hint="eastAsia" w:ascii="宋体" w:hAnsi="宋体" w:eastAsia="宋体" w:cs="宋体"/>
          <w:strike/>
          <w:color w:val="auto"/>
          <w:sz w:val="21"/>
          <w:szCs w:val="21"/>
          <w:highlight w:val="none"/>
        </w:rPr>
      </w:pPr>
    </w:p>
    <w:p>
      <w:pPr>
        <w:pStyle w:val="94"/>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广州市住房和城乡建设局、本招标项目招标人及招标监管机构：</w:t>
      </w:r>
    </w:p>
    <w:p>
      <w:pPr>
        <w:pStyle w:val="94"/>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本公司就参加</w:t>
      </w:r>
      <w:r>
        <w:rPr>
          <w:rFonts w:hint="eastAsia" w:ascii="宋体" w:hAnsi="宋体" w:eastAsia="宋体" w:cs="宋体"/>
          <w:strike/>
          <w:color w:val="auto"/>
          <w:sz w:val="21"/>
          <w:szCs w:val="21"/>
          <w:highlight w:val="none"/>
          <w:u w:val="single"/>
        </w:rPr>
        <w:t xml:space="preserve">        </w:t>
      </w:r>
      <w:r>
        <w:rPr>
          <w:rFonts w:hint="eastAsia" w:ascii="宋体" w:hAnsi="宋体" w:eastAsia="宋体" w:cs="宋体"/>
          <w:strike/>
          <w:color w:val="auto"/>
          <w:sz w:val="21"/>
          <w:szCs w:val="21"/>
          <w:highlight w:val="none"/>
        </w:rPr>
        <w:t>投标工作，作出郑重声明：我方满足招标公告“1.4 投标资格”中的各项要求。如本公司成为本项目中标候选人的，将在招标人规定的时间内提交相关资料供招标人复核。本公司未按要求提交资料或经复核不满足资格条件的，视为放弃中标资格。</w:t>
      </w:r>
    </w:p>
    <w:p>
      <w:pPr>
        <w:spacing w:line="360" w:lineRule="auto"/>
        <w:rPr>
          <w:rFonts w:hint="eastAsia" w:ascii="宋体" w:hAnsi="宋体" w:eastAsia="宋体" w:cs="宋体"/>
          <w:strike/>
          <w:color w:val="auto"/>
          <w:sz w:val="21"/>
          <w:szCs w:val="21"/>
          <w:highlight w:val="none"/>
        </w:rPr>
      </w:pPr>
    </w:p>
    <w:p>
      <w:pPr>
        <w:pStyle w:val="94"/>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特此声明。</w:t>
      </w:r>
    </w:p>
    <w:p>
      <w:pPr>
        <w:pStyle w:val="94"/>
        <w:rPr>
          <w:rFonts w:hint="eastAsia" w:ascii="宋体" w:hAnsi="宋体" w:eastAsia="宋体" w:cs="宋体"/>
          <w:strike/>
          <w:color w:val="auto"/>
          <w:sz w:val="21"/>
          <w:szCs w:val="21"/>
          <w:highlight w:val="none"/>
        </w:rPr>
      </w:pPr>
    </w:p>
    <w:p>
      <w:pPr>
        <w:pStyle w:val="93"/>
        <w:ind w:left="0" w:right="1449" w:firstLine="3360" w:firstLineChars="1600"/>
        <w:jc w:val="both"/>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投标人：(盖章)</w:t>
      </w:r>
    </w:p>
    <w:p>
      <w:pPr>
        <w:pStyle w:val="94"/>
        <w:ind w:right="1449" w:firstLine="0"/>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w:t>
      </w:r>
    </w:p>
    <w:p>
      <w:pPr>
        <w:pStyle w:val="94"/>
        <w:ind w:right="2079" w:firstLine="1890" w:firstLineChars="900"/>
        <w:jc w:val="righ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年   月   日</w:t>
      </w:r>
    </w:p>
    <w:p>
      <w:pPr>
        <w:spacing w:line="360" w:lineRule="auto"/>
        <w:jc w:val="left"/>
        <w:rPr>
          <w:rFonts w:hint="eastAsia" w:ascii="宋体" w:hAnsi="宋体" w:eastAsia="宋体" w:cs="宋体"/>
          <w:strike/>
          <w:color w:val="auto"/>
          <w:sz w:val="21"/>
          <w:szCs w:val="21"/>
          <w:highlight w:val="none"/>
        </w:rPr>
      </w:pPr>
    </w:p>
    <w:p>
      <w:pPr>
        <w:spacing w:line="360" w:lineRule="auto"/>
        <w:jc w:val="left"/>
        <w:rPr>
          <w:rFonts w:hint="eastAsia" w:ascii="宋体" w:hAnsi="宋体" w:eastAsia="宋体" w:cs="宋体"/>
          <w:strike/>
          <w:color w:val="auto"/>
          <w:sz w:val="21"/>
          <w:szCs w:val="21"/>
          <w:highlight w:val="none"/>
        </w:rPr>
      </w:pPr>
    </w:p>
    <w:p>
      <w:pPr>
        <w:spacing w:line="360" w:lineRule="auto"/>
        <w:jc w:val="left"/>
        <w:rPr>
          <w:rFonts w:hint="eastAsia" w:ascii="宋体" w:hAnsi="宋体" w:eastAsia="宋体" w:cs="宋体"/>
          <w:strike/>
          <w:color w:val="auto"/>
          <w:sz w:val="21"/>
          <w:szCs w:val="21"/>
          <w:highlight w:val="none"/>
        </w:rPr>
      </w:pPr>
    </w:p>
    <w:p>
      <w:pPr>
        <w:pStyle w:val="25"/>
        <w:spacing w:line="360" w:lineRule="auto"/>
        <w:rPr>
          <w:rFonts w:hint="eastAsia" w:ascii="宋体" w:hAnsi="宋体" w:eastAsia="宋体" w:cs="宋体"/>
          <w:strike/>
          <w:color w:val="auto"/>
          <w:sz w:val="21"/>
          <w:szCs w:val="21"/>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strike/>
          <w:color w:val="auto"/>
          <w:sz w:val="21"/>
          <w:szCs w:val="21"/>
          <w:highlight w:val="none"/>
          <w:u w:val="single"/>
        </w:rPr>
        <w:t>（注：如联合体投标人，须由联合体主办方盖章。）</w:t>
      </w:r>
      <w:r>
        <w:rPr>
          <w:rFonts w:hint="eastAsia" w:ascii="宋体" w:hAnsi="宋体" w:eastAsia="宋体" w:cs="宋体"/>
          <w:strike/>
          <w:color w:val="auto"/>
          <w:sz w:val="21"/>
          <w:szCs w:val="21"/>
          <w:highlight w:val="none"/>
        </w:rPr>
        <w:t xml:space="preserve">   </w:t>
      </w:r>
    </w:p>
    <w:p>
      <w:pPr>
        <w:keepNext/>
        <w:keepLines/>
        <w:spacing w:line="360" w:lineRule="auto"/>
        <w:outlineLvl w:val="0"/>
        <w:rPr>
          <w:rFonts w:hint="eastAsia" w:ascii="宋体" w:hAnsi="宋体" w:eastAsia="宋体" w:cs="宋体"/>
          <w:b/>
          <w:bCs/>
          <w:color w:val="auto"/>
          <w:kern w:val="44"/>
          <w:sz w:val="21"/>
          <w:szCs w:val="21"/>
          <w:highlight w:val="none"/>
        </w:rPr>
      </w:pPr>
      <w:bookmarkStart w:id="30" w:name="_Toc2175"/>
      <w:bookmarkStart w:id="31" w:name="_Toc24375"/>
      <w:r>
        <w:rPr>
          <w:rFonts w:hint="eastAsia" w:ascii="宋体" w:hAnsi="宋体" w:eastAsia="宋体" w:cs="宋体"/>
          <w:b/>
          <w:bCs/>
          <w:color w:val="auto"/>
          <w:kern w:val="44"/>
          <w:sz w:val="21"/>
          <w:szCs w:val="21"/>
          <w:highlight w:val="none"/>
        </w:rPr>
        <w:t>附录9 资格审查表</w:t>
      </w:r>
      <w:bookmarkEnd w:id="30"/>
      <w:bookmarkEnd w:id="31"/>
    </w:p>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资格审查表</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项目名称：</w:t>
      </w:r>
    </w:p>
    <w:tbl>
      <w:tblPr>
        <w:tblStyle w:val="45"/>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784"/>
        <w:gridCol w:w="1167"/>
        <w:gridCol w:w="1031"/>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784" w:type="dxa"/>
            <w:tcBorders>
              <w:top w:val="single" w:color="auto" w:sz="4" w:space="0"/>
              <w:left w:val="single" w:color="auto" w:sz="4" w:space="0"/>
              <w:bottom w:val="single" w:color="auto" w:sz="4" w:space="0"/>
              <w:right w:val="single" w:color="auto" w:sz="4" w:space="0"/>
              <w:tl2br w:val="single" w:color="auto" w:sz="4" w:space="0"/>
            </w:tcBorders>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投标人名称</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审查项目</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7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申请人与招标人过去3年内无合同履约纠纷，没有不得参加投标的情形。</w:t>
            </w:r>
            <w:r>
              <w:rPr>
                <w:rFonts w:hint="eastAsia" w:ascii="宋体" w:hAnsi="宋体" w:eastAsia="宋体" w:cs="宋体"/>
                <w:color w:val="auto"/>
                <w:sz w:val="21"/>
                <w:szCs w:val="21"/>
                <w:highlight w:val="none"/>
                <w:u w:val="single"/>
              </w:rPr>
              <w:t>（注：不得参加投标的情形详见招标文件第三章第3.11项及根据投标人声明评审）</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7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申请人的资质满足招标公告规定。</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7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外国或澳门、台湾的设计企业必须选择一家符合上述条件的企业进行合作设计。香港企业如不单独参加投标，也必须选择一家符合上述条件的企业进行合作设计。</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7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投标人已在广州市住建行业信用管理平台建立企业诚信档案，拟委派的项目负责人须是本企业信用档案中的在册人员。</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7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申请人拟派项目负责人资格满足招标公告规定。</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7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本项目不接受联合体投标</w:t>
            </w:r>
            <w:r>
              <w:rPr>
                <w:rFonts w:hint="eastAsia" w:ascii="宋体" w:hAnsi="宋体" w:eastAsia="宋体" w:cs="宋体"/>
                <w:color w:val="auto"/>
                <w:sz w:val="21"/>
                <w:szCs w:val="21"/>
                <w:highlight w:val="none"/>
              </w:rPr>
              <w:t>。</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7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申请人没有第三章第3.11项规定的任何一种情形（根据《投标人声明》进行评审）。</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47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未被纳入国家、市、区的失信联合惩戒名单且被限制参加建设工程投标的（具体名单以递交投标文件截止时间“信用广州”https://credit1.gz.gov.cn/sgs/sgsXkNew公布的“失信黑名单——国家下发”为准。不包含限制参加财政投资工程或政府投资工程的投标）。</w:t>
            </w:r>
            <w:r>
              <w:rPr>
                <w:rFonts w:hint="eastAsia" w:ascii="宋体" w:hAnsi="宋体" w:eastAsia="宋体" w:cs="宋体"/>
                <w:color w:val="auto"/>
                <w:sz w:val="21"/>
                <w:szCs w:val="21"/>
                <w:highlight w:val="none"/>
                <w:lang w:eastAsia="zh-CN"/>
              </w:rPr>
              <w:t>（按广州公共资源交易中心交易系统比对结果进行评审）</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47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是否通过并进入下一阶段评审</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1"/>
                <w:szCs w:val="21"/>
                <w:highlight w:val="none"/>
              </w:rPr>
            </w:pPr>
          </w:p>
        </w:tc>
      </w:tr>
    </w:tbl>
    <w:p>
      <w:pPr>
        <w:tabs>
          <w:tab w:val="left" w:pos="7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备注：1、根据本表的审查项目，填“是”或“否”。</w:t>
      </w:r>
    </w:p>
    <w:p>
      <w:pPr>
        <w:tabs>
          <w:tab w:val="left" w:pos="720"/>
        </w:tabs>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2、表中出现一个或以上“否”，即该投标人的评审“结论”为“否”，即该投标人不进入下一阶段评审。</w:t>
      </w:r>
    </w:p>
    <w:p>
      <w:pPr>
        <w:tabs>
          <w:tab w:val="left" w:pos="720"/>
        </w:tabs>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3、表中全部评审结果为“是”，视为同意进入下一阶段评审。</w:t>
      </w:r>
    </w:p>
    <w:p>
      <w:pPr>
        <w:tabs>
          <w:tab w:val="left" w:pos="720"/>
        </w:tabs>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4、若评委意见不一致时，则按少数服从多数的原则，决定该投标人是否通过符合性审查，进入下一阶段评审。</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评委签名：                     日期：</w:t>
      </w: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keepNext/>
        <w:keepLines/>
        <w:pageBreakBefore w:val="0"/>
        <w:widowControl w:val="0"/>
        <w:kinsoku/>
        <w:wordWrap/>
        <w:overflowPunct/>
        <w:topLinePunct w:val="0"/>
        <w:autoSpaceDE/>
        <w:autoSpaceDN/>
        <w:bidi w:val="0"/>
        <w:adjustRightInd/>
        <w:snapToGrid/>
        <w:spacing w:line="579" w:lineRule="auto"/>
        <w:textAlignment w:val="auto"/>
        <w:outlineLvl w:val="9"/>
        <w:rPr>
          <w:rFonts w:hint="eastAsia" w:ascii="宋体" w:hAnsi="宋体" w:eastAsia="宋体" w:cs="宋体"/>
          <w:strike/>
          <w:color w:val="auto"/>
          <w:sz w:val="21"/>
          <w:szCs w:val="21"/>
          <w:highlight w:val="none"/>
        </w:rPr>
      </w:pPr>
    </w:p>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br w:type="page"/>
      </w:r>
    </w:p>
    <w:p>
      <w:pPr>
        <w:pStyle w:val="3"/>
        <w:rPr>
          <w:rFonts w:hint="eastAsia" w:ascii="宋体" w:hAnsi="宋体" w:eastAsia="宋体" w:cs="宋体"/>
          <w:b w:val="0"/>
          <w:bCs w:val="0"/>
          <w:strike/>
          <w:color w:val="auto"/>
          <w:sz w:val="21"/>
          <w:szCs w:val="21"/>
          <w:highlight w:val="none"/>
        </w:rPr>
      </w:pPr>
      <w:bookmarkStart w:id="32" w:name="_Toc25519"/>
      <w:r>
        <w:rPr>
          <w:rFonts w:hint="eastAsia" w:ascii="宋体" w:hAnsi="宋体" w:eastAsia="宋体" w:cs="宋体"/>
          <w:strike/>
          <w:color w:val="auto"/>
          <w:sz w:val="21"/>
          <w:szCs w:val="21"/>
          <w:highlight w:val="none"/>
          <w:lang w:val="en-US" w:eastAsia="zh-CN"/>
        </w:rPr>
        <w:t>附录</w:t>
      </w:r>
      <w:r>
        <w:rPr>
          <w:rFonts w:hint="eastAsia" w:ascii="宋体" w:hAnsi="宋体" w:eastAsia="宋体" w:cs="宋体"/>
          <w:strike/>
          <w:color w:val="auto"/>
          <w:sz w:val="21"/>
          <w:szCs w:val="21"/>
          <w:highlight w:val="none"/>
        </w:rPr>
        <w:t>10 投票表格</w:t>
      </w:r>
      <w:bookmarkEnd w:id="32"/>
    </w:p>
    <w:p>
      <w:pPr>
        <w:pStyle w:val="25"/>
        <w:jc w:val="center"/>
        <w:rPr>
          <w:rFonts w:hint="eastAsia" w:ascii="宋体" w:hAnsi="宋体" w:eastAsia="宋体" w:cs="宋体"/>
          <w:b/>
          <w:strike/>
          <w:color w:val="auto"/>
          <w:sz w:val="21"/>
          <w:szCs w:val="21"/>
          <w:highlight w:val="none"/>
        </w:rPr>
      </w:pPr>
      <w:r>
        <w:rPr>
          <w:rFonts w:hint="eastAsia" w:ascii="宋体" w:hAnsi="宋体" w:eastAsia="宋体" w:cs="宋体"/>
          <w:b/>
          <w:strike/>
          <w:color w:val="auto"/>
          <w:sz w:val="21"/>
          <w:szCs w:val="21"/>
          <w:highlight w:val="none"/>
        </w:rPr>
        <w:t>投票表格</w:t>
      </w:r>
    </w:p>
    <w:p>
      <w:pPr>
        <w:rPr>
          <w:rFonts w:hint="eastAsia" w:ascii="宋体" w:hAnsi="宋体" w:eastAsia="宋体" w:cs="宋体"/>
          <w:strike/>
          <w:color w:val="auto"/>
          <w:sz w:val="21"/>
          <w:szCs w:val="21"/>
          <w:highlight w:val="none"/>
        </w:rPr>
      </w:pPr>
    </w:p>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项目名称：</w:t>
      </w:r>
      <w:r>
        <w:rPr>
          <w:rFonts w:hint="eastAsia" w:ascii="宋体" w:hAnsi="宋体" w:eastAsia="宋体" w:cs="宋体"/>
          <w:strike/>
          <w:color w:val="auto"/>
          <w:sz w:val="21"/>
          <w:szCs w:val="21"/>
          <w:highlight w:val="none"/>
          <w:u w:val="single"/>
        </w:rPr>
        <w:t xml:space="preserve">                             </w:t>
      </w:r>
    </w:p>
    <w:p>
      <w:pPr>
        <w:spacing w:line="360" w:lineRule="auto"/>
        <w:rPr>
          <w:rFonts w:hint="eastAsia" w:ascii="宋体" w:hAnsi="宋体" w:eastAsia="宋体" w:cs="宋体"/>
          <w:strike/>
          <w:color w:val="auto"/>
          <w:sz w:val="21"/>
          <w:szCs w:val="21"/>
          <w:highlight w:val="none"/>
        </w:rPr>
      </w:pPr>
    </w:p>
    <w:tbl>
      <w:tblPr>
        <w:tblStyle w:val="4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第    轮</w:t>
            </w:r>
          </w:p>
        </w:tc>
        <w:tc>
          <w:tcPr>
            <w:tcW w:w="917" w:type="dxa"/>
            <w:tcBorders>
              <w:top w:val="double" w:color="auto" w:sz="4" w:space="0"/>
              <w:left w:val="single" w:color="auto" w:sz="4" w:space="0"/>
              <w:bottom w:val="double" w:color="auto" w:sz="4" w:space="0"/>
            </w:tcBorders>
          </w:tcPr>
          <w:p>
            <w:pPr>
              <w:spacing w:line="360" w:lineRule="auto"/>
              <w:rPr>
                <w:rFonts w:hint="eastAsia" w:ascii="宋体" w:hAnsi="宋体" w:eastAsia="宋体" w:cs="宋体"/>
                <w:strike/>
                <w:color w:val="auto"/>
                <w:sz w:val="21"/>
                <w:szCs w:val="21"/>
                <w:highlight w:val="none"/>
              </w:rPr>
            </w:pPr>
          </w:p>
        </w:tc>
        <w:tc>
          <w:tcPr>
            <w:tcW w:w="918" w:type="dxa"/>
            <w:tcBorders>
              <w:top w:val="double" w:color="auto" w:sz="4" w:space="0"/>
              <w:bottom w:val="double" w:color="auto" w:sz="4" w:space="0"/>
            </w:tcBorders>
          </w:tcPr>
          <w:p>
            <w:pPr>
              <w:spacing w:line="360" w:lineRule="auto"/>
              <w:rPr>
                <w:rFonts w:hint="eastAsia" w:ascii="宋体" w:hAnsi="宋体" w:eastAsia="宋体" w:cs="宋体"/>
                <w:strike/>
                <w:color w:val="auto"/>
                <w:sz w:val="21"/>
                <w:szCs w:val="21"/>
                <w:highlight w:val="none"/>
              </w:rPr>
            </w:pPr>
          </w:p>
        </w:tc>
        <w:tc>
          <w:tcPr>
            <w:tcW w:w="917" w:type="dxa"/>
            <w:tcBorders>
              <w:top w:val="double" w:color="auto" w:sz="4" w:space="0"/>
              <w:bottom w:val="double" w:color="auto" w:sz="4" w:space="0"/>
            </w:tcBorders>
          </w:tcPr>
          <w:p>
            <w:pPr>
              <w:spacing w:line="360" w:lineRule="auto"/>
              <w:rPr>
                <w:rFonts w:hint="eastAsia" w:ascii="宋体" w:hAnsi="宋体" w:eastAsia="宋体" w:cs="宋体"/>
                <w:strike/>
                <w:color w:val="auto"/>
                <w:sz w:val="21"/>
                <w:szCs w:val="21"/>
                <w:highlight w:val="none"/>
              </w:rPr>
            </w:pPr>
          </w:p>
        </w:tc>
        <w:tc>
          <w:tcPr>
            <w:tcW w:w="918" w:type="dxa"/>
            <w:tcBorders>
              <w:top w:val="double" w:color="auto" w:sz="4" w:space="0"/>
              <w:bottom w:val="double" w:color="auto" w:sz="4" w:space="0"/>
            </w:tcBorders>
          </w:tcPr>
          <w:p>
            <w:pPr>
              <w:spacing w:line="360" w:lineRule="auto"/>
              <w:rPr>
                <w:rFonts w:hint="eastAsia" w:ascii="宋体" w:hAnsi="宋体" w:eastAsia="宋体" w:cs="宋体"/>
                <w:strike/>
                <w:color w:val="auto"/>
                <w:sz w:val="21"/>
                <w:szCs w:val="21"/>
                <w:highlight w:val="none"/>
              </w:rPr>
            </w:pPr>
          </w:p>
        </w:tc>
        <w:tc>
          <w:tcPr>
            <w:tcW w:w="917" w:type="dxa"/>
            <w:tcBorders>
              <w:top w:val="double" w:color="auto" w:sz="4" w:space="0"/>
              <w:bottom w:val="double" w:color="auto" w:sz="4" w:space="0"/>
            </w:tcBorders>
          </w:tcPr>
          <w:p>
            <w:pPr>
              <w:spacing w:line="360" w:lineRule="auto"/>
              <w:rPr>
                <w:rFonts w:hint="eastAsia" w:ascii="宋体" w:hAnsi="宋体" w:eastAsia="宋体" w:cs="宋体"/>
                <w:strike/>
                <w:color w:val="auto"/>
                <w:sz w:val="21"/>
                <w:szCs w:val="21"/>
                <w:highlight w:val="none"/>
              </w:rPr>
            </w:pPr>
          </w:p>
        </w:tc>
        <w:tc>
          <w:tcPr>
            <w:tcW w:w="918" w:type="dxa"/>
            <w:tcBorders>
              <w:top w:val="double" w:color="auto" w:sz="4" w:space="0"/>
              <w:bottom w:val="double" w:color="auto" w:sz="4" w:space="0"/>
            </w:tcBorders>
          </w:tcPr>
          <w:p>
            <w:pPr>
              <w:spacing w:line="360" w:lineRule="auto"/>
              <w:rPr>
                <w:rFonts w:hint="eastAsia" w:ascii="宋体" w:hAnsi="宋体" w:eastAsia="宋体" w:cs="宋体"/>
                <w:strike/>
                <w:color w:val="auto"/>
                <w:sz w:val="21"/>
                <w:szCs w:val="21"/>
                <w:highlight w:val="none"/>
              </w:rPr>
            </w:pPr>
          </w:p>
        </w:tc>
        <w:tc>
          <w:tcPr>
            <w:tcW w:w="917" w:type="dxa"/>
            <w:tcBorders>
              <w:top w:val="double" w:color="auto" w:sz="4" w:space="0"/>
              <w:bottom w:val="double" w:color="auto" w:sz="4" w:space="0"/>
            </w:tcBorders>
          </w:tcPr>
          <w:p>
            <w:pPr>
              <w:spacing w:line="360" w:lineRule="auto"/>
              <w:rPr>
                <w:rFonts w:hint="eastAsia" w:ascii="宋体" w:hAnsi="宋体" w:eastAsia="宋体" w:cs="宋体"/>
                <w:strike/>
                <w:color w:val="auto"/>
                <w:sz w:val="21"/>
                <w:szCs w:val="21"/>
                <w:highlight w:val="none"/>
              </w:rPr>
            </w:pPr>
          </w:p>
        </w:tc>
        <w:tc>
          <w:tcPr>
            <w:tcW w:w="918" w:type="dxa"/>
            <w:tcBorders>
              <w:top w:val="double" w:color="auto" w:sz="4" w:space="0"/>
              <w:bottom w:val="double" w:color="auto" w:sz="4" w:space="0"/>
              <w:right w:val="double" w:color="auto" w:sz="4" w:space="0"/>
            </w:tcBorders>
          </w:tcPr>
          <w:p>
            <w:pPr>
              <w:spacing w:line="360" w:lineRule="auto"/>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第    轮</w:t>
            </w:r>
          </w:p>
        </w:tc>
        <w:tc>
          <w:tcPr>
            <w:tcW w:w="1835" w:type="dxa"/>
            <w:gridSpan w:val="2"/>
            <w:tcBorders>
              <w:top w:val="double" w:color="auto" w:sz="4" w:space="0"/>
              <w:left w:val="single" w:color="auto" w:sz="4" w:space="0"/>
              <w:bottom w:val="double" w:color="auto" w:sz="4" w:space="0"/>
            </w:tcBorders>
          </w:tcPr>
          <w:p>
            <w:pPr>
              <w:spacing w:line="360" w:lineRule="auto"/>
              <w:rPr>
                <w:rFonts w:hint="eastAsia" w:ascii="宋体" w:hAnsi="宋体" w:eastAsia="宋体" w:cs="宋体"/>
                <w:strike/>
                <w:color w:val="auto"/>
                <w:sz w:val="21"/>
                <w:szCs w:val="21"/>
                <w:highlight w:val="none"/>
              </w:rPr>
            </w:pPr>
          </w:p>
        </w:tc>
        <w:tc>
          <w:tcPr>
            <w:tcW w:w="1835" w:type="dxa"/>
            <w:gridSpan w:val="2"/>
            <w:tcBorders>
              <w:top w:val="double" w:color="auto" w:sz="4" w:space="0"/>
              <w:bottom w:val="double" w:color="auto" w:sz="4" w:space="0"/>
            </w:tcBorders>
          </w:tcPr>
          <w:p>
            <w:pPr>
              <w:spacing w:line="360" w:lineRule="auto"/>
              <w:rPr>
                <w:rFonts w:hint="eastAsia" w:ascii="宋体" w:hAnsi="宋体" w:eastAsia="宋体" w:cs="宋体"/>
                <w:strike/>
                <w:color w:val="auto"/>
                <w:sz w:val="21"/>
                <w:szCs w:val="21"/>
                <w:highlight w:val="none"/>
              </w:rPr>
            </w:pPr>
          </w:p>
        </w:tc>
        <w:tc>
          <w:tcPr>
            <w:tcW w:w="1835" w:type="dxa"/>
            <w:gridSpan w:val="2"/>
            <w:tcBorders>
              <w:top w:val="double" w:color="auto" w:sz="4" w:space="0"/>
              <w:bottom w:val="double" w:color="auto" w:sz="4" w:space="0"/>
            </w:tcBorders>
          </w:tcPr>
          <w:p>
            <w:pPr>
              <w:spacing w:line="360" w:lineRule="auto"/>
              <w:rPr>
                <w:rFonts w:hint="eastAsia" w:ascii="宋体" w:hAnsi="宋体" w:eastAsia="宋体" w:cs="宋体"/>
                <w:strike/>
                <w:color w:val="auto"/>
                <w:sz w:val="21"/>
                <w:szCs w:val="21"/>
                <w:highlight w:val="none"/>
              </w:rPr>
            </w:pPr>
          </w:p>
        </w:tc>
        <w:tc>
          <w:tcPr>
            <w:tcW w:w="1835" w:type="dxa"/>
            <w:gridSpan w:val="2"/>
            <w:tcBorders>
              <w:top w:val="double" w:color="auto" w:sz="4" w:space="0"/>
              <w:bottom w:val="double" w:color="auto" w:sz="4" w:space="0"/>
              <w:right w:val="double" w:color="auto" w:sz="4" w:space="0"/>
            </w:tcBorders>
          </w:tcPr>
          <w:p>
            <w:pPr>
              <w:spacing w:line="360" w:lineRule="auto"/>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第    轮</w:t>
            </w:r>
          </w:p>
        </w:tc>
        <w:tc>
          <w:tcPr>
            <w:tcW w:w="3670" w:type="dxa"/>
            <w:gridSpan w:val="4"/>
            <w:tcBorders>
              <w:top w:val="double" w:color="auto" w:sz="4" w:space="0"/>
              <w:left w:val="single" w:color="auto" w:sz="4" w:space="0"/>
              <w:bottom w:val="double" w:color="auto" w:sz="4" w:space="0"/>
            </w:tcBorders>
          </w:tcPr>
          <w:p>
            <w:pPr>
              <w:spacing w:line="360" w:lineRule="auto"/>
              <w:rPr>
                <w:rFonts w:hint="eastAsia" w:ascii="宋体" w:hAnsi="宋体" w:eastAsia="宋体" w:cs="宋体"/>
                <w:strike/>
                <w:color w:val="auto"/>
                <w:sz w:val="21"/>
                <w:szCs w:val="21"/>
                <w:highlight w:val="none"/>
              </w:rPr>
            </w:pPr>
          </w:p>
        </w:tc>
        <w:tc>
          <w:tcPr>
            <w:tcW w:w="3670" w:type="dxa"/>
            <w:gridSpan w:val="4"/>
            <w:tcBorders>
              <w:top w:val="double" w:color="auto" w:sz="4" w:space="0"/>
              <w:bottom w:val="double" w:color="auto" w:sz="4" w:space="0"/>
              <w:right w:val="double" w:color="auto" w:sz="4" w:space="0"/>
            </w:tcBorders>
          </w:tcPr>
          <w:p>
            <w:pPr>
              <w:spacing w:line="360" w:lineRule="auto"/>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第    轮</w:t>
            </w:r>
          </w:p>
        </w:tc>
        <w:tc>
          <w:tcPr>
            <w:tcW w:w="7340" w:type="dxa"/>
            <w:gridSpan w:val="8"/>
            <w:tcBorders>
              <w:top w:val="double" w:color="auto" w:sz="4" w:space="0"/>
              <w:left w:val="single" w:color="auto" w:sz="4" w:space="0"/>
              <w:bottom w:val="double" w:color="auto" w:sz="4" w:space="0"/>
              <w:right w:val="double" w:color="auto" w:sz="4" w:space="0"/>
            </w:tcBorders>
          </w:tcPr>
          <w:p>
            <w:pPr>
              <w:spacing w:line="360" w:lineRule="auto"/>
              <w:rPr>
                <w:rFonts w:hint="eastAsia" w:ascii="宋体" w:hAnsi="宋体" w:eastAsia="宋体" w:cs="宋体"/>
                <w:strike/>
                <w:color w:val="auto"/>
                <w:sz w:val="21"/>
                <w:szCs w:val="21"/>
                <w:highlight w:val="none"/>
              </w:rPr>
            </w:pPr>
          </w:p>
        </w:tc>
      </w:tr>
    </w:tbl>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正式投票规则：以上表格用于正式投票，从上到下每轮投票限使用一行空格，每个空格限填一个方案编号，同一行的空格内的方案编号不得重复。每轮投票允许选择的总数即下一轮候选总数，以得票多的方案当选为下一轮投票的候选方案。不能进入下一轮的方案，根据本轮得票数量确定名次。遇票数相等不能确定入选下一轮的投标方案时，应进行附加投票，以确定名次。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45"/>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68" w:type="dxa"/>
          </w:tcPr>
          <w:p>
            <w:pPr>
              <w:spacing w:line="360" w:lineRule="auto"/>
              <w:rPr>
                <w:rFonts w:hint="eastAsia" w:ascii="宋体" w:hAnsi="宋体" w:eastAsia="宋体" w:cs="宋体"/>
                <w:strike/>
                <w:color w:val="auto"/>
                <w:sz w:val="21"/>
                <w:szCs w:val="21"/>
                <w:highlight w:val="none"/>
              </w:rPr>
            </w:pPr>
          </w:p>
        </w:tc>
        <w:tc>
          <w:tcPr>
            <w:tcW w:w="6120" w:type="dxa"/>
            <w:gridSpan w:val="3"/>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投标人数</w:t>
            </w:r>
          </w:p>
        </w:tc>
        <w:tc>
          <w:tcPr>
            <w:tcW w:w="1980" w:type="dxa"/>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3至4</w:t>
            </w:r>
          </w:p>
        </w:tc>
        <w:tc>
          <w:tcPr>
            <w:tcW w:w="1980" w:type="dxa"/>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5至8</w:t>
            </w:r>
          </w:p>
        </w:tc>
        <w:tc>
          <w:tcPr>
            <w:tcW w:w="2160" w:type="dxa"/>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第1轮</w:t>
            </w:r>
          </w:p>
        </w:tc>
        <w:tc>
          <w:tcPr>
            <w:tcW w:w="1980" w:type="dxa"/>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2</w:t>
            </w:r>
          </w:p>
        </w:tc>
        <w:tc>
          <w:tcPr>
            <w:tcW w:w="1980" w:type="dxa"/>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4</w:t>
            </w:r>
          </w:p>
        </w:tc>
        <w:tc>
          <w:tcPr>
            <w:tcW w:w="2160" w:type="dxa"/>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第2轮</w:t>
            </w:r>
          </w:p>
        </w:tc>
        <w:tc>
          <w:tcPr>
            <w:tcW w:w="1980" w:type="dxa"/>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1</w:t>
            </w:r>
          </w:p>
        </w:tc>
        <w:tc>
          <w:tcPr>
            <w:tcW w:w="1980" w:type="dxa"/>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2</w:t>
            </w:r>
          </w:p>
        </w:tc>
        <w:tc>
          <w:tcPr>
            <w:tcW w:w="2160" w:type="dxa"/>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第3轮</w:t>
            </w:r>
          </w:p>
        </w:tc>
        <w:tc>
          <w:tcPr>
            <w:tcW w:w="1980" w:type="dxa"/>
          </w:tcPr>
          <w:p>
            <w:pPr>
              <w:spacing w:line="360" w:lineRule="auto"/>
              <w:jc w:val="center"/>
              <w:rPr>
                <w:rFonts w:hint="eastAsia" w:ascii="宋体" w:hAnsi="宋体" w:eastAsia="宋体" w:cs="宋体"/>
                <w:strike/>
                <w:color w:val="auto"/>
                <w:sz w:val="21"/>
                <w:szCs w:val="21"/>
                <w:highlight w:val="none"/>
              </w:rPr>
            </w:pPr>
          </w:p>
        </w:tc>
        <w:tc>
          <w:tcPr>
            <w:tcW w:w="1980" w:type="dxa"/>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1</w:t>
            </w:r>
          </w:p>
        </w:tc>
        <w:tc>
          <w:tcPr>
            <w:tcW w:w="2160" w:type="dxa"/>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第4轮</w:t>
            </w:r>
          </w:p>
        </w:tc>
        <w:tc>
          <w:tcPr>
            <w:tcW w:w="1980" w:type="dxa"/>
          </w:tcPr>
          <w:p>
            <w:pPr>
              <w:spacing w:line="360" w:lineRule="auto"/>
              <w:jc w:val="center"/>
              <w:rPr>
                <w:rFonts w:hint="eastAsia" w:ascii="宋体" w:hAnsi="宋体" w:eastAsia="宋体" w:cs="宋体"/>
                <w:strike/>
                <w:color w:val="auto"/>
                <w:sz w:val="21"/>
                <w:szCs w:val="21"/>
                <w:highlight w:val="none"/>
              </w:rPr>
            </w:pPr>
          </w:p>
        </w:tc>
        <w:tc>
          <w:tcPr>
            <w:tcW w:w="1980" w:type="dxa"/>
          </w:tcPr>
          <w:p>
            <w:pPr>
              <w:spacing w:line="360" w:lineRule="auto"/>
              <w:jc w:val="center"/>
              <w:rPr>
                <w:rFonts w:hint="eastAsia" w:ascii="宋体" w:hAnsi="宋体" w:eastAsia="宋体" w:cs="宋体"/>
                <w:strike/>
                <w:color w:val="auto"/>
                <w:sz w:val="21"/>
                <w:szCs w:val="21"/>
                <w:highlight w:val="none"/>
              </w:rPr>
            </w:pPr>
          </w:p>
        </w:tc>
        <w:tc>
          <w:tcPr>
            <w:tcW w:w="2160" w:type="dxa"/>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1</w:t>
            </w:r>
          </w:p>
        </w:tc>
      </w:tr>
    </w:tbl>
    <w:p>
      <w:pPr>
        <w:spacing w:line="36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(1) 投票结束后，点票人员对投票人数、票数和每票应选方案总数加以核对和统计，作废的选票不得统计，并向评标委员会报告。</w:t>
      </w:r>
    </w:p>
    <w:p>
      <w:pPr>
        <w:spacing w:line="360" w:lineRule="auto"/>
        <w:ind w:firstLine="480"/>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(2)评标委员会成员应当独立投票，自投票开始至最终排名统计结果公布期间，任何人不得非法干预、影响投票过程，不得透露、协商、改变投票结果，不得使用通信联络工具。</w:t>
      </w:r>
    </w:p>
    <w:p>
      <w:pPr>
        <w:rPr>
          <w:rFonts w:hint="eastAsia" w:ascii="宋体" w:hAnsi="宋体" w:eastAsia="宋体" w:cs="宋体"/>
          <w:color w:val="auto"/>
          <w:sz w:val="21"/>
          <w:szCs w:val="21"/>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strike/>
          <w:color w:val="auto"/>
          <w:sz w:val="21"/>
          <w:szCs w:val="21"/>
          <w:highlight w:val="none"/>
        </w:rPr>
        <w:t>评委签名：                                 日期：     年    月    日</w:t>
      </w:r>
    </w:p>
    <w:p>
      <w:pPr>
        <w:pStyle w:val="3"/>
        <w:rPr>
          <w:rFonts w:hint="eastAsia" w:ascii="宋体" w:hAnsi="宋体" w:eastAsia="宋体" w:cs="宋体"/>
          <w:strike/>
          <w:color w:val="auto"/>
          <w:sz w:val="21"/>
          <w:szCs w:val="21"/>
          <w:highlight w:val="none"/>
        </w:rPr>
      </w:pPr>
      <w:bookmarkStart w:id="33" w:name="_Toc24291"/>
      <w:r>
        <w:rPr>
          <w:rFonts w:hint="eastAsia" w:ascii="宋体" w:hAnsi="宋体" w:eastAsia="宋体" w:cs="宋体"/>
          <w:strike/>
          <w:color w:val="auto"/>
          <w:sz w:val="21"/>
          <w:szCs w:val="21"/>
          <w:highlight w:val="none"/>
        </w:rPr>
        <w:t>附录11 投标汇总表格</w:t>
      </w:r>
      <w:bookmarkEnd w:id="33"/>
    </w:p>
    <w:p>
      <w:pPr>
        <w:jc w:val="center"/>
        <w:rPr>
          <w:rFonts w:hint="eastAsia" w:ascii="宋体" w:hAnsi="宋体" w:eastAsia="宋体" w:cs="宋体"/>
          <w:b/>
          <w:strike/>
          <w:color w:val="auto"/>
          <w:sz w:val="21"/>
          <w:szCs w:val="21"/>
          <w:highlight w:val="none"/>
        </w:rPr>
      </w:pPr>
      <w:r>
        <w:rPr>
          <w:rFonts w:hint="eastAsia" w:ascii="宋体" w:hAnsi="宋体" w:eastAsia="宋体" w:cs="宋体"/>
          <w:b/>
          <w:strike/>
          <w:color w:val="auto"/>
          <w:sz w:val="21"/>
          <w:szCs w:val="21"/>
          <w:highlight w:val="none"/>
        </w:rPr>
        <w:t>投票汇总表格</w:t>
      </w:r>
    </w:p>
    <w:p>
      <w:pP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项目名称：                                                                                       日期：       年    月    日</w:t>
      </w:r>
    </w:p>
    <w:tbl>
      <w:tblPr>
        <w:tblStyle w:val="45"/>
        <w:tblW w:w="14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方案编号</w:t>
            </w:r>
          </w:p>
        </w:tc>
        <w:tc>
          <w:tcPr>
            <w:tcW w:w="1420" w:type="dxa"/>
            <w:vMerge w:val="restart"/>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第一轮得票</w:t>
            </w:r>
          </w:p>
        </w:tc>
        <w:tc>
          <w:tcPr>
            <w:tcW w:w="1420" w:type="dxa"/>
            <w:vMerge w:val="restart"/>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第二轮得票</w:t>
            </w:r>
          </w:p>
        </w:tc>
        <w:tc>
          <w:tcPr>
            <w:tcW w:w="1420" w:type="dxa"/>
            <w:vMerge w:val="restart"/>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第三轮得票</w:t>
            </w:r>
          </w:p>
        </w:tc>
        <w:tc>
          <w:tcPr>
            <w:tcW w:w="1420" w:type="dxa"/>
            <w:vMerge w:val="restart"/>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第四轮得票</w:t>
            </w:r>
          </w:p>
        </w:tc>
        <w:tc>
          <w:tcPr>
            <w:tcW w:w="2708" w:type="dxa"/>
            <w:gridSpan w:val="4"/>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每轮得票相同的排序</w:t>
            </w:r>
          </w:p>
        </w:tc>
        <w:tc>
          <w:tcPr>
            <w:tcW w:w="1275" w:type="dxa"/>
            <w:vMerge w:val="restart"/>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排列名次</w:t>
            </w:r>
          </w:p>
        </w:tc>
        <w:tc>
          <w:tcPr>
            <w:tcW w:w="3045" w:type="dxa"/>
            <w:vMerge w:val="restart"/>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投标人名称</w:t>
            </w:r>
          </w:p>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（建筑师）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Pr>
          <w:p>
            <w:pPr>
              <w:spacing w:line="360" w:lineRule="auto"/>
              <w:jc w:val="center"/>
              <w:rPr>
                <w:rFonts w:hint="eastAsia" w:ascii="宋体" w:hAnsi="宋体" w:eastAsia="宋体" w:cs="宋体"/>
                <w:strike/>
                <w:color w:val="auto"/>
                <w:sz w:val="21"/>
                <w:szCs w:val="21"/>
                <w:highlight w:val="none"/>
              </w:rPr>
            </w:pPr>
          </w:p>
        </w:tc>
        <w:tc>
          <w:tcPr>
            <w:tcW w:w="1420" w:type="dxa"/>
            <w:vMerge w:val="continue"/>
          </w:tcPr>
          <w:p>
            <w:pPr>
              <w:spacing w:line="360" w:lineRule="auto"/>
              <w:jc w:val="center"/>
              <w:rPr>
                <w:rFonts w:hint="eastAsia" w:ascii="宋体" w:hAnsi="宋体" w:eastAsia="宋体" w:cs="宋体"/>
                <w:strike/>
                <w:color w:val="auto"/>
                <w:sz w:val="21"/>
                <w:szCs w:val="21"/>
                <w:highlight w:val="none"/>
              </w:rPr>
            </w:pPr>
          </w:p>
        </w:tc>
        <w:tc>
          <w:tcPr>
            <w:tcW w:w="1420" w:type="dxa"/>
            <w:vMerge w:val="continue"/>
          </w:tcPr>
          <w:p>
            <w:pPr>
              <w:spacing w:line="360" w:lineRule="auto"/>
              <w:jc w:val="center"/>
              <w:rPr>
                <w:rFonts w:hint="eastAsia" w:ascii="宋体" w:hAnsi="宋体" w:eastAsia="宋体" w:cs="宋体"/>
                <w:strike/>
                <w:color w:val="auto"/>
                <w:sz w:val="21"/>
                <w:szCs w:val="21"/>
                <w:highlight w:val="none"/>
              </w:rPr>
            </w:pPr>
          </w:p>
        </w:tc>
        <w:tc>
          <w:tcPr>
            <w:tcW w:w="1420" w:type="dxa"/>
            <w:vMerge w:val="continue"/>
          </w:tcPr>
          <w:p>
            <w:pPr>
              <w:spacing w:line="360" w:lineRule="auto"/>
              <w:jc w:val="center"/>
              <w:rPr>
                <w:rFonts w:hint="eastAsia" w:ascii="宋体" w:hAnsi="宋体" w:eastAsia="宋体" w:cs="宋体"/>
                <w:strike/>
                <w:color w:val="auto"/>
                <w:sz w:val="21"/>
                <w:szCs w:val="21"/>
                <w:highlight w:val="none"/>
              </w:rPr>
            </w:pPr>
          </w:p>
        </w:tc>
        <w:tc>
          <w:tcPr>
            <w:tcW w:w="1420" w:type="dxa"/>
            <w:vMerge w:val="continue"/>
          </w:tcPr>
          <w:p>
            <w:pPr>
              <w:spacing w:line="360" w:lineRule="auto"/>
              <w:jc w:val="center"/>
              <w:rPr>
                <w:rFonts w:hint="eastAsia" w:ascii="宋体" w:hAnsi="宋体" w:eastAsia="宋体" w:cs="宋体"/>
                <w:strike/>
                <w:color w:val="auto"/>
                <w:sz w:val="21"/>
                <w:szCs w:val="21"/>
                <w:highlight w:val="none"/>
              </w:rPr>
            </w:pPr>
          </w:p>
        </w:tc>
        <w:tc>
          <w:tcPr>
            <w:tcW w:w="677" w:type="dxa"/>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1</w:t>
            </w:r>
          </w:p>
        </w:tc>
        <w:tc>
          <w:tcPr>
            <w:tcW w:w="677" w:type="dxa"/>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2</w:t>
            </w:r>
          </w:p>
        </w:tc>
        <w:tc>
          <w:tcPr>
            <w:tcW w:w="677" w:type="dxa"/>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3</w:t>
            </w:r>
          </w:p>
        </w:tc>
        <w:tc>
          <w:tcPr>
            <w:tcW w:w="677" w:type="dxa"/>
          </w:tcPr>
          <w:p>
            <w:pPr>
              <w:spacing w:line="36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4</w:t>
            </w:r>
          </w:p>
        </w:tc>
        <w:tc>
          <w:tcPr>
            <w:tcW w:w="1275" w:type="dxa"/>
            <w:vMerge w:val="continue"/>
          </w:tcPr>
          <w:p>
            <w:pPr>
              <w:spacing w:line="360" w:lineRule="auto"/>
              <w:jc w:val="center"/>
              <w:rPr>
                <w:rFonts w:hint="eastAsia" w:ascii="宋体" w:hAnsi="宋体" w:eastAsia="宋体" w:cs="宋体"/>
                <w:strike/>
                <w:color w:val="auto"/>
                <w:sz w:val="21"/>
                <w:szCs w:val="21"/>
                <w:highlight w:val="none"/>
              </w:rPr>
            </w:pPr>
          </w:p>
        </w:tc>
        <w:tc>
          <w:tcPr>
            <w:tcW w:w="3045" w:type="dxa"/>
            <w:vMerge w:val="continue"/>
          </w:tcPr>
          <w:p>
            <w:pPr>
              <w:spacing w:line="360" w:lineRule="auto"/>
              <w:jc w:val="center"/>
              <w:rPr>
                <w:rFonts w:hint="eastAsia" w:ascii="宋体" w:hAnsi="宋体" w:eastAsia="宋体" w:cs="宋体"/>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20" w:type="dxa"/>
          </w:tcPr>
          <w:p>
            <w:pPr>
              <w:spacing w:line="480" w:lineRule="auto"/>
              <w:jc w:val="center"/>
              <w:rPr>
                <w:rFonts w:hint="eastAsia" w:ascii="宋体" w:hAnsi="宋体" w:eastAsia="宋体" w:cs="宋体"/>
                <w:strike/>
                <w:snapToGrid w:val="0"/>
                <w:color w:val="auto"/>
                <w:kern w:val="0"/>
                <w:sz w:val="21"/>
                <w:szCs w:val="21"/>
                <w:highlight w:val="none"/>
              </w:rPr>
            </w:pPr>
            <w:r>
              <w:rPr>
                <w:rFonts w:hint="eastAsia" w:ascii="宋体" w:hAnsi="宋体" w:eastAsia="宋体" w:cs="宋体"/>
                <w:strike/>
                <w:snapToGrid w:val="0"/>
                <w:color w:val="auto"/>
                <w:kern w:val="0"/>
                <w:sz w:val="21"/>
                <w:szCs w:val="21"/>
                <w:highlight w:val="none"/>
              </w:rPr>
              <w:t>1</w:t>
            </w: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1275" w:type="dxa"/>
          </w:tcPr>
          <w:p>
            <w:pPr>
              <w:spacing w:line="480" w:lineRule="auto"/>
              <w:rPr>
                <w:rFonts w:hint="eastAsia" w:ascii="宋体" w:hAnsi="宋体" w:eastAsia="宋体" w:cs="宋体"/>
                <w:strike/>
                <w:snapToGrid w:val="0"/>
                <w:color w:val="auto"/>
                <w:kern w:val="0"/>
                <w:sz w:val="21"/>
                <w:szCs w:val="21"/>
                <w:highlight w:val="none"/>
              </w:rPr>
            </w:pPr>
          </w:p>
        </w:tc>
        <w:tc>
          <w:tcPr>
            <w:tcW w:w="3045" w:type="dxa"/>
          </w:tcPr>
          <w:p>
            <w:pPr>
              <w:spacing w:line="480" w:lineRule="auto"/>
              <w:rPr>
                <w:rFonts w:hint="eastAsia" w:ascii="宋体" w:hAnsi="宋体" w:eastAsia="宋体" w:cs="宋体"/>
                <w:strike/>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hint="eastAsia" w:ascii="宋体" w:hAnsi="宋体" w:eastAsia="宋体" w:cs="宋体"/>
                <w:strike/>
                <w:snapToGrid w:val="0"/>
                <w:color w:val="auto"/>
                <w:kern w:val="0"/>
                <w:sz w:val="21"/>
                <w:szCs w:val="21"/>
                <w:highlight w:val="none"/>
              </w:rPr>
            </w:pPr>
            <w:r>
              <w:rPr>
                <w:rFonts w:hint="eastAsia" w:ascii="宋体" w:hAnsi="宋体" w:eastAsia="宋体" w:cs="宋体"/>
                <w:strike/>
                <w:snapToGrid w:val="0"/>
                <w:color w:val="auto"/>
                <w:kern w:val="0"/>
                <w:sz w:val="21"/>
                <w:szCs w:val="21"/>
                <w:highlight w:val="none"/>
              </w:rPr>
              <w:t>2</w:t>
            </w: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1275" w:type="dxa"/>
          </w:tcPr>
          <w:p>
            <w:pPr>
              <w:spacing w:line="480" w:lineRule="auto"/>
              <w:rPr>
                <w:rFonts w:hint="eastAsia" w:ascii="宋体" w:hAnsi="宋体" w:eastAsia="宋体" w:cs="宋体"/>
                <w:strike/>
                <w:snapToGrid w:val="0"/>
                <w:color w:val="auto"/>
                <w:kern w:val="0"/>
                <w:sz w:val="21"/>
                <w:szCs w:val="21"/>
                <w:highlight w:val="none"/>
              </w:rPr>
            </w:pPr>
          </w:p>
        </w:tc>
        <w:tc>
          <w:tcPr>
            <w:tcW w:w="3045" w:type="dxa"/>
          </w:tcPr>
          <w:p>
            <w:pPr>
              <w:spacing w:line="480" w:lineRule="auto"/>
              <w:rPr>
                <w:rFonts w:hint="eastAsia" w:ascii="宋体" w:hAnsi="宋体" w:eastAsia="宋体" w:cs="宋体"/>
                <w:strike/>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hint="eastAsia" w:ascii="宋体" w:hAnsi="宋体" w:eastAsia="宋体" w:cs="宋体"/>
                <w:strike/>
                <w:snapToGrid w:val="0"/>
                <w:color w:val="auto"/>
                <w:kern w:val="0"/>
                <w:sz w:val="21"/>
                <w:szCs w:val="21"/>
                <w:highlight w:val="none"/>
              </w:rPr>
            </w:pPr>
            <w:r>
              <w:rPr>
                <w:rFonts w:hint="eastAsia" w:ascii="宋体" w:hAnsi="宋体" w:eastAsia="宋体" w:cs="宋体"/>
                <w:strike/>
                <w:snapToGrid w:val="0"/>
                <w:color w:val="auto"/>
                <w:kern w:val="0"/>
                <w:sz w:val="21"/>
                <w:szCs w:val="21"/>
                <w:highlight w:val="none"/>
              </w:rPr>
              <w:t>3</w:t>
            </w: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1275" w:type="dxa"/>
          </w:tcPr>
          <w:p>
            <w:pPr>
              <w:spacing w:line="480" w:lineRule="auto"/>
              <w:rPr>
                <w:rFonts w:hint="eastAsia" w:ascii="宋体" w:hAnsi="宋体" w:eastAsia="宋体" w:cs="宋体"/>
                <w:strike/>
                <w:snapToGrid w:val="0"/>
                <w:color w:val="auto"/>
                <w:kern w:val="0"/>
                <w:sz w:val="21"/>
                <w:szCs w:val="21"/>
                <w:highlight w:val="none"/>
              </w:rPr>
            </w:pPr>
          </w:p>
        </w:tc>
        <w:tc>
          <w:tcPr>
            <w:tcW w:w="3045" w:type="dxa"/>
          </w:tcPr>
          <w:p>
            <w:pPr>
              <w:spacing w:line="480" w:lineRule="auto"/>
              <w:rPr>
                <w:rFonts w:hint="eastAsia" w:ascii="宋体" w:hAnsi="宋体" w:eastAsia="宋体" w:cs="宋体"/>
                <w:strike/>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hint="eastAsia" w:ascii="宋体" w:hAnsi="宋体" w:eastAsia="宋体" w:cs="宋体"/>
                <w:strike/>
                <w:snapToGrid w:val="0"/>
                <w:color w:val="auto"/>
                <w:kern w:val="0"/>
                <w:sz w:val="21"/>
                <w:szCs w:val="21"/>
                <w:highlight w:val="none"/>
              </w:rPr>
            </w:pPr>
            <w:r>
              <w:rPr>
                <w:rFonts w:hint="eastAsia" w:ascii="宋体" w:hAnsi="宋体" w:eastAsia="宋体" w:cs="宋体"/>
                <w:strike/>
                <w:snapToGrid w:val="0"/>
                <w:color w:val="auto"/>
                <w:kern w:val="0"/>
                <w:sz w:val="21"/>
                <w:szCs w:val="21"/>
                <w:highlight w:val="none"/>
              </w:rPr>
              <w:t>4</w:t>
            </w: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1275" w:type="dxa"/>
          </w:tcPr>
          <w:p>
            <w:pPr>
              <w:spacing w:line="480" w:lineRule="auto"/>
              <w:rPr>
                <w:rFonts w:hint="eastAsia" w:ascii="宋体" w:hAnsi="宋体" w:eastAsia="宋体" w:cs="宋体"/>
                <w:strike/>
                <w:snapToGrid w:val="0"/>
                <w:color w:val="auto"/>
                <w:kern w:val="0"/>
                <w:sz w:val="21"/>
                <w:szCs w:val="21"/>
                <w:highlight w:val="none"/>
              </w:rPr>
            </w:pPr>
          </w:p>
        </w:tc>
        <w:tc>
          <w:tcPr>
            <w:tcW w:w="3045" w:type="dxa"/>
          </w:tcPr>
          <w:p>
            <w:pPr>
              <w:spacing w:line="480" w:lineRule="auto"/>
              <w:rPr>
                <w:rFonts w:hint="eastAsia" w:ascii="宋体" w:hAnsi="宋体" w:eastAsia="宋体" w:cs="宋体"/>
                <w:strike/>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hint="eastAsia" w:ascii="宋体" w:hAnsi="宋体" w:eastAsia="宋体" w:cs="宋体"/>
                <w:strike/>
                <w:snapToGrid w:val="0"/>
                <w:color w:val="auto"/>
                <w:kern w:val="0"/>
                <w:sz w:val="21"/>
                <w:szCs w:val="21"/>
                <w:highlight w:val="none"/>
              </w:rPr>
            </w:pPr>
            <w:r>
              <w:rPr>
                <w:rFonts w:hint="eastAsia" w:ascii="宋体" w:hAnsi="宋体" w:eastAsia="宋体" w:cs="宋体"/>
                <w:strike/>
                <w:snapToGrid w:val="0"/>
                <w:color w:val="auto"/>
                <w:kern w:val="0"/>
                <w:sz w:val="21"/>
                <w:szCs w:val="21"/>
                <w:highlight w:val="none"/>
              </w:rPr>
              <w:t>5</w:t>
            </w: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1275" w:type="dxa"/>
          </w:tcPr>
          <w:p>
            <w:pPr>
              <w:spacing w:line="480" w:lineRule="auto"/>
              <w:rPr>
                <w:rFonts w:hint="eastAsia" w:ascii="宋体" w:hAnsi="宋体" w:eastAsia="宋体" w:cs="宋体"/>
                <w:strike/>
                <w:snapToGrid w:val="0"/>
                <w:color w:val="auto"/>
                <w:kern w:val="0"/>
                <w:sz w:val="21"/>
                <w:szCs w:val="21"/>
                <w:highlight w:val="none"/>
              </w:rPr>
            </w:pPr>
          </w:p>
        </w:tc>
        <w:tc>
          <w:tcPr>
            <w:tcW w:w="3045" w:type="dxa"/>
          </w:tcPr>
          <w:p>
            <w:pPr>
              <w:spacing w:line="480" w:lineRule="auto"/>
              <w:rPr>
                <w:rFonts w:hint="eastAsia" w:ascii="宋体" w:hAnsi="宋体" w:eastAsia="宋体" w:cs="宋体"/>
                <w:strike/>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hint="eastAsia" w:ascii="宋体" w:hAnsi="宋体" w:eastAsia="宋体" w:cs="宋体"/>
                <w:strike/>
                <w:snapToGrid w:val="0"/>
                <w:color w:val="auto"/>
                <w:kern w:val="0"/>
                <w:sz w:val="21"/>
                <w:szCs w:val="21"/>
                <w:highlight w:val="none"/>
              </w:rPr>
            </w:pPr>
            <w:r>
              <w:rPr>
                <w:rFonts w:hint="eastAsia" w:ascii="宋体" w:hAnsi="宋体" w:eastAsia="宋体" w:cs="宋体"/>
                <w:strike/>
                <w:snapToGrid w:val="0"/>
                <w:color w:val="auto"/>
                <w:kern w:val="0"/>
                <w:sz w:val="21"/>
                <w:szCs w:val="21"/>
                <w:highlight w:val="none"/>
              </w:rPr>
              <w:t>6</w:t>
            </w: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1275" w:type="dxa"/>
          </w:tcPr>
          <w:p>
            <w:pPr>
              <w:spacing w:line="480" w:lineRule="auto"/>
              <w:rPr>
                <w:rFonts w:hint="eastAsia" w:ascii="宋体" w:hAnsi="宋体" w:eastAsia="宋体" w:cs="宋体"/>
                <w:strike/>
                <w:snapToGrid w:val="0"/>
                <w:color w:val="auto"/>
                <w:kern w:val="0"/>
                <w:sz w:val="21"/>
                <w:szCs w:val="21"/>
                <w:highlight w:val="none"/>
              </w:rPr>
            </w:pPr>
          </w:p>
        </w:tc>
        <w:tc>
          <w:tcPr>
            <w:tcW w:w="3045" w:type="dxa"/>
          </w:tcPr>
          <w:p>
            <w:pPr>
              <w:spacing w:line="480" w:lineRule="auto"/>
              <w:rPr>
                <w:rFonts w:hint="eastAsia" w:ascii="宋体" w:hAnsi="宋体" w:eastAsia="宋体" w:cs="宋体"/>
                <w:strike/>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hint="eastAsia" w:ascii="宋体" w:hAnsi="宋体" w:eastAsia="宋体" w:cs="宋体"/>
                <w:strike/>
                <w:snapToGrid w:val="0"/>
                <w:color w:val="auto"/>
                <w:kern w:val="0"/>
                <w:sz w:val="21"/>
                <w:szCs w:val="21"/>
                <w:highlight w:val="none"/>
              </w:rPr>
            </w:pPr>
            <w:r>
              <w:rPr>
                <w:rFonts w:hint="eastAsia" w:ascii="宋体" w:hAnsi="宋体" w:eastAsia="宋体" w:cs="宋体"/>
                <w:strike/>
                <w:snapToGrid w:val="0"/>
                <w:color w:val="auto"/>
                <w:kern w:val="0"/>
                <w:sz w:val="21"/>
                <w:szCs w:val="21"/>
                <w:highlight w:val="none"/>
              </w:rPr>
              <w:t>…</w:t>
            </w: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1420" w:type="dxa"/>
            <w:vAlign w:val="bottom"/>
          </w:tcPr>
          <w:p>
            <w:pPr>
              <w:spacing w:line="480" w:lineRule="auto"/>
              <w:jc w:val="center"/>
              <w:rPr>
                <w:rFonts w:hint="eastAsia" w:ascii="宋体" w:hAnsi="宋体" w:eastAsia="宋体" w:cs="宋体"/>
                <w:strike/>
                <w:snapToGrid w:val="0"/>
                <w:color w:val="auto"/>
                <w:kern w:val="0"/>
                <w:sz w:val="21"/>
                <w:szCs w:val="21"/>
                <w:highlight w:val="none"/>
              </w:rPr>
            </w:pPr>
          </w:p>
        </w:tc>
        <w:tc>
          <w:tcPr>
            <w:tcW w:w="1420"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tcPr>
          <w:p>
            <w:pPr>
              <w:spacing w:line="480" w:lineRule="auto"/>
              <w:rPr>
                <w:rFonts w:hint="eastAsia" w:ascii="宋体" w:hAnsi="宋体" w:eastAsia="宋体" w:cs="宋体"/>
                <w:strike/>
                <w:snapToGrid w:val="0"/>
                <w:color w:val="auto"/>
                <w:kern w:val="0"/>
                <w:sz w:val="21"/>
                <w:szCs w:val="21"/>
                <w:highlight w:val="none"/>
              </w:rPr>
            </w:pPr>
          </w:p>
        </w:tc>
        <w:tc>
          <w:tcPr>
            <w:tcW w:w="677" w:type="dxa"/>
            <w:vAlign w:val="bottom"/>
          </w:tcPr>
          <w:p>
            <w:pPr>
              <w:spacing w:line="480" w:lineRule="auto"/>
              <w:rPr>
                <w:rFonts w:hint="eastAsia" w:ascii="宋体" w:hAnsi="宋体" w:eastAsia="宋体" w:cs="宋体"/>
                <w:strike/>
                <w:snapToGrid w:val="0"/>
                <w:color w:val="auto"/>
                <w:kern w:val="0"/>
                <w:sz w:val="21"/>
                <w:szCs w:val="21"/>
                <w:highlight w:val="none"/>
              </w:rPr>
            </w:pPr>
          </w:p>
        </w:tc>
        <w:tc>
          <w:tcPr>
            <w:tcW w:w="677" w:type="dxa"/>
            <w:vAlign w:val="bottom"/>
          </w:tcPr>
          <w:p>
            <w:pPr>
              <w:spacing w:line="480" w:lineRule="auto"/>
              <w:rPr>
                <w:rFonts w:hint="eastAsia" w:ascii="宋体" w:hAnsi="宋体" w:eastAsia="宋体" w:cs="宋体"/>
                <w:strike/>
                <w:snapToGrid w:val="0"/>
                <w:color w:val="auto"/>
                <w:kern w:val="0"/>
                <w:sz w:val="21"/>
                <w:szCs w:val="21"/>
                <w:highlight w:val="none"/>
              </w:rPr>
            </w:pPr>
          </w:p>
        </w:tc>
        <w:tc>
          <w:tcPr>
            <w:tcW w:w="1275" w:type="dxa"/>
            <w:vAlign w:val="bottom"/>
          </w:tcPr>
          <w:p>
            <w:pPr>
              <w:spacing w:line="480" w:lineRule="auto"/>
              <w:jc w:val="center"/>
              <w:rPr>
                <w:rFonts w:hint="eastAsia" w:ascii="宋体" w:hAnsi="宋体" w:eastAsia="宋体" w:cs="宋体"/>
                <w:strike/>
                <w:snapToGrid w:val="0"/>
                <w:color w:val="auto"/>
                <w:kern w:val="0"/>
                <w:sz w:val="21"/>
                <w:szCs w:val="21"/>
                <w:highlight w:val="none"/>
              </w:rPr>
            </w:pPr>
          </w:p>
        </w:tc>
        <w:tc>
          <w:tcPr>
            <w:tcW w:w="3045" w:type="dxa"/>
            <w:vAlign w:val="bottom"/>
          </w:tcPr>
          <w:p>
            <w:pPr>
              <w:spacing w:line="480" w:lineRule="auto"/>
              <w:jc w:val="center"/>
              <w:rPr>
                <w:rFonts w:hint="eastAsia" w:ascii="宋体" w:hAnsi="宋体" w:eastAsia="宋体" w:cs="宋体"/>
                <w:strike/>
                <w:snapToGrid w:val="0"/>
                <w:color w:val="auto"/>
                <w:kern w:val="0"/>
                <w:sz w:val="21"/>
                <w:szCs w:val="21"/>
                <w:highlight w:val="none"/>
              </w:rPr>
            </w:pPr>
          </w:p>
        </w:tc>
      </w:tr>
    </w:tbl>
    <w:p>
      <w:pPr>
        <w:jc w:val="righ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           评标委员会全体成员签字：</w:t>
      </w:r>
    </w:p>
    <w:p>
      <w:pPr>
        <w:rPr>
          <w:rFonts w:hint="eastAsia" w:ascii="宋体" w:hAnsi="宋体" w:eastAsia="宋体" w:cs="宋体"/>
          <w:color w:val="auto"/>
          <w:sz w:val="21"/>
          <w:szCs w:val="21"/>
          <w:highlight w:val="none"/>
        </w:rPr>
      </w:pPr>
    </w:p>
    <w:p>
      <w:pPr>
        <w:pStyle w:val="3"/>
        <w:keepNext/>
        <w:keepLines/>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1"/>
          <w:szCs w:val="21"/>
          <w:highlight w:val="none"/>
          <w:lang w:eastAsia="zh-CN"/>
        </w:rPr>
      </w:pPr>
      <w:bookmarkStart w:id="34" w:name="_Toc545"/>
      <w:r>
        <w:rPr>
          <w:rFonts w:hint="eastAsia" w:ascii="宋体" w:hAnsi="宋体" w:eastAsia="宋体" w:cs="宋体"/>
          <w:color w:val="auto"/>
          <w:sz w:val="21"/>
          <w:szCs w:val="21"/>
          <w:highlight w:val="none"/>
        </w:rPr>
        <w:t>附录12有效性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设计方案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审查表</w:t>
      </w:r>
      <w:bookmarkEnd w:id="34"/>
    </w:p>
    <w:p>
      <w:pPr>
        <w:pStyle w:val="25"/>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有效性</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设计方案</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审查表</w:t>
      </w:r>
    </w:p>
    <w:p>
      <w:pPr>
        <w:pStyle w:val="25"/>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项目名称：                                                                                 方案编号:</w:t>
      </w:r>
    </w:p>
    <w:tbl>
      <w:tblPr>
        <w:tblStyle w:val="45"/>
        <w:tblW w:w="14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877"/>
        <w:gridCol w:w="2393"/>
        <w:gridCol w:w="2205"/>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vAlign w:val="center"/>
          </w:tcPr>
          <w:p>
            <w:pPr>
              <w:pStyle w:val="25"/>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4614" w:type="dxa"/>
            <w:tcBorders>
              <w:top w:val="single" w:color="auto" w:sz="4" w:space="0"/>
              <w:left w:val="single" w:color="auto" w:sz="4" w:space="0"/>
              <w:bottom w:val="single" w:color="auto" w:sz="4" w:space="0"/>
              <w:right w:val="single" w:color="auto" w:sz="4" w:space="0"/>
              <w:tl2br w:val="single" w:color="auto" w:sz="4" w:space="0"/>
            </w:tcBorders>
          </w:tcPr>
          <w:p>
            <w:pPr>
              <w:pStyle w:val="25"/>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投标人名称</w:t>
            </w:r>
          </w:p>
          <w:p>
            <w:pPr>
              <w:pStyle w:val="25"/>
              <w:rPr>
                <w:rFonts w:hint="eastAsia"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rPr>
              <w:t>审查项目</w:t>
            </w:r>
          </w:p>
        </w:tc>
        <w:tc>
          <w:tcPr>
            <w:tcW w:w="1877"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c>
          <w:tcPr>
            <w:tcW w:w="2393"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c>
          <w:tcPr>
            <w:tcW w:w="2032"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pPr>
              <w:pStyle w:val="25"/>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4614" w:type="dxa"/>
            <w:tcBorders>
              <w:top w:val="single" w:color="auto" w:sz="4" w:space="0"/>
              <w:left w:val="single" w:color="auto" w:sz="4" w:space="0"/>
              <w:bottom w:val="single" w:color="auto" w:sz="4" w:space="0"/>
              <w:right w:val="single" w:color="auto" w:sz="4" w:space="0"/>
            </w:tcBorders>
            <w:vAlign w:val="center"/>
          </w:tcPr>
          <w:p>
            <w:pPr>
              <w:pStyle w:val="2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投标人没有在设计方案内标注名称、印章、商标、图形等记认符号，使人辨认出投标人或其专业技术人员的身份。</w:t>
            </w:r>
          </w:p>
        </w:tc>
        <w:tc>
          <w:tcPr>
            <w:tcW w:w="1877"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c>
          <w:tcPr>
            <w:tcW w:w="2393"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c>
          <w:tcPr>
            <w:tcW w:w="2032"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pPr>
              <w:pStyle w:val="25"/>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4614" w:type="dxa"/>
            <w:tcBorders>
              <w:top w:val="single" w:color="auto" w:sz="4" w:space="0"/>
              <w:left w:val="single" w:color="auto" w:sz="4" w:space="0"/>
              <w:bottom w:val="single" w:color="auto" w:sz="4" w:space="0"/>
              <w:right w:val="single" w:color="auto" w:sz="4" w:space="0"/>
            </w:tcBorders>
            <w:vAlign w:val="center"/>
          </w:tcPr>
          <w:p>
            <w:pPr>
              <w:pStyle w:val="2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投标人与招标人、评标委员会成员或者其他投标人无串通投标。</w:t>
            </w:r>
          </w:p>
        </w:tc>
        <w:tc>
          <w:tcPr>
            <w:tcW w:w="1877"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c>
          <w:tcPr>
            <w:tcW w:w="2393"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c>
          <w:tcPr>
            <w:tcW w:w="2032"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pPr>
              <w:pStyle w:val="25"/>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4614" w:type="dxa"/>
            <w:tcBorders>
              <w:top w:val="single" w:color="auto" w:sz="4" w:space="0"/>
              <w:left w:val="single" w:color="auto" w:sz="4" w:space="0"/>
              <w:bottom w:val="single" w:color="auto" w:sz="4" w:space="0"/>
              <w:right w:val="single" w:color="auto" w:sz="4" w:space="0"/>
            </w:tcBorders>
            <w:vAlign w:val="center"/>
          </w:tcPr>
          <w:p>
            <w:pPr>
              <w:pStyle w:val="2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投标人之间不存在《广东省实施&lt;中华人民共和国招标投标法&gt;》第十六条所禁止的情形的。</w:t>
            </w:r>
          </w:p>
        </w:tc>
        <w:tc>
          <w:tcPr>
            <w:tcW w:w="1877"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c>
          <w:tcPr>
            <w:tcW w:w="2393"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c>
          <w:tcPr>
            <w:tcW w:w="2032"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pPr>
              <w:pStyle w:val="25"/>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结论</w:t>
            </w:r>
          </w:p>
        </w:tc>
        <w:tc>
          <w:tcPr>
            <w:tcW w:w="4614" w:type="dxa"/>
            <w:tcBorders>
              <w:top w:val="single" w:color="auto" w:sz="4" w:space="0"/>
              <w:left w:val="single" w:color="auto" w:sz="4" w:space="0"/>
              <w:bottom w:val="single" w:color="auto" w:sz="4" w:space="0"/>
              <w:right w:val="single" w:color="auto" w:sz="4" w:space="0"/>
            </w:tcBorders>
            <w:vAlign w:val="center"/>
          </w:tcPr>
          <w:p>
            <w:pPr>
              <w:pStyle w:val="2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是否通过并进入下一阶段评审</w:t>
            </w:r>
          </w:p>
        </w:tc>
        <w:tc>
          <w:tcPr>
            <w:tcW w:w="1877"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c>
          <w:tcPr>
            <w:tcW w:w="2393"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c>
          <w:tcPr>
            <w:tcW w:w="2032" w:type="dxa"/>
            <w:tcBorders>
              <w:top w:val="single" w:color="auto" w:sz="4" w:space="0"/>
              <w:left w:val="single" w:color="auto" w:sz="4" w:space="0"/>
              <w:bottom w:val="single" w:color="auto" w:sz="4" w:space="0"/>
              <w:right w:val="single" w:color="auto" w:sz="4" w:space="0"/>
            </w:tcBorders>
          </w:tcPr>
          <w:p>
            <w:pPr>
              <w:pStyle w:val="25"/>
              <w:jc w:val="center"/>
              <w:rPr>
                <w:rFonts w:hint="eastAsia" w:ascii="宋体" w:hAnsi="宋体" w:eastAsia="宋体" w:cs="宋体"/>
                <w:b/>
                <w:color w:val="auto"/>
                <w:kern w:val="2"/>
                <w:sz w:val="21"/>
                <w:szCs w:val="21"/>
                <w:highlight w:val="none"/>
              </w:rPr>
            </w:pPr>
          </w:p>
        </w:tc>
      </w:tr>
    </w:tbl>
    <w:p>
      <w:pPr>
        <w:keepNext w:val="0"/>
        <w:keepLines w:val="0"/>
        <w:pageBreakBefore w:val="0"/>
        <w:widowControl w:val="0"/>
        <w:tabs>
          <w:tab w:val="left" w:pos="72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备注：1、根据本表的审查项目，填“是”或“否”。</w:t>
      </w:r>
    </w:p>
    <w:p>
      <w:pPr>
        <w:keepNext w:val="0"/>
        <w:keepLines w:val="0"/>
        <w:pageBreakBefore w:val="0"/>
        <w:widowControl w:val="0"/>
        <w:tabs>
          <w:tab w:val="left" w:pos="720"/>
        </w:tabs>
        <w:kinsoku/>
        <w:wordWrap/>
        <w:overflowPunct/>
        <w:topLinePunct w:val="0"/>
        <w:autoSpaceDE/>
        <w:autoSpaceDN/>
        <w:bidi w:val="0"/>
        <w:adjustRightInd/>
        <w:snapToGrid w:val="0"/>
        <w:spacing w:line="240" w:lineRule="auto"/>
        <w:ind w:left="840" w:leftChars="300" w:hanging="210" w:hanging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2、表中出现一个或以上“否”，即该投标人的评审“结论”为“否”，即该投标人不进入下一阶段评审。</w:t>
      </w:r>
    </w:p>
    <w:p>
      <w:pPr>
        <w:keepNext w:val="0"/>
        <w:keepLines w:val="0"/>
        <w:pageBreakBefore w:val="0"/>
        <w:widowControl w:val="0"/>
        <w:tabs>
          <w:tab w:val="left" w:pos="720"/>
        </w:tabs>
        <w:kinsoku/>
        <w:wordWrap/>
        <w:overflowPunct/>
        <w:topLinePunct w:val="0"/>
        <w:autoSpaceDE/>
        <w:autoSpaceDN/>
        <w:bidi w:val="0"/>
        <w:adjustRightInd/>
        <w:snapToGrid w:val="0"/>
        <w:spacing w:line="240" w:lineRule="auto"/>
        <w:ind w:left="840" w:leftChars="300" w:hanging="210" w:hanging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3、表中全部评审结果为“是”，视为同意进入下一阶段评审。</w:t>
      </w:r>
    </w:p>
    <w:p>
      <w:pPr>
        <w:keepNext w:val="0"/>
        <w:keepLines w:val="0"/>
        <w:pageBreakBefore w:val="0"/>
        <w:widowControl w:val="0"/>
        <w:tabs>
          <w:tab w:val="left" w:pos="72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4、若评委意见不一致时，则按少数服从多数的原则，决定该投标人是否通过有效性审查，进入下一阶段评审。</w:t>
      </w:r>
    </w:p>
    <w:p>
      <w:pPr>
        <w:spacing w:line="240" w:lineRule="auto"/>
        <w:rPr>
          <w:rFonts w:hint="eastAsia" w:ascii="宋体" w:hAnsi="宋体" w:eastAsia="宋体" w:cs="宋体"/>
          <w:color w:val="auto"/>
          <w:sz w:val="21"/>
          <w:szCs w:val="21"/>
          <w:highlight w:val="none"/>
        </w:rPr>
      </w:pP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评委签名：                                                                                   日期：       年    月    日</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bookmarkStart w:id="35" w:name="_Toc3522"/>
      <w:r>
        <w:rPr>
          <w:rFonts w:hint="eastAsia" w:ascii="宋体" w:hAnsi="宋体" w:eastAsia="宋体" w:cs="宋体"/>
          <w:color w:val="auto"/>
          <w:sz w:val="21"/>
          <w:szCs w:val="21"/>
          <w:highlight w:val="none"/>
        </w:rPr>
        <w:t>附录1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有效性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非设计方案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审查表</w:t>
      </w:r>
      <w:bookmarkEnd w:id="35"/>
    </w:p>
    <w:p>
      <w:pPr>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有效性</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lang w:val="en-US" w:eastAsia="zh-CN"/>
        </w:rPr>
        <w:t>非设计方案</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审查表</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工程名称：</w:t>
      </w:r>
    </w:p>
    <w:tbl>
      <w:tblPr>
        <w:tblStyle w:val="45"/>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4303"/>
        <w:gridCol w:w="1604"/>
        <w:gridCol w:w="1604"/>
        <w:gridCol w:w="1604"/>
        <w:gridCol w:w="1604"/>
        <w:gridCol w:w="160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4303"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adjustRightIn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投标人</w:t>
            </w:r>
          </w:p>
          <w:p>
            <w:pPr>
              <w:adjustRightIn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评审内容</w:t>
            </w: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430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《投标书》</w:t>
            </w:r>
            <w:r>
              <w:rPr>
                <w:rFonts w:hint="eastAsia" w:ascii="宋体" w:hAnsi="宋体" w:eastAsia="宋体" w:cs="宋体"/>
                <w:color w:val="000000"/>
                <w:sz w:val="21"/>
                <w:szCs w:val="21"/>
                <w:highlight w:val="none"/>
                <w:lang w:val="en-US" w:eastAsia="zh-CN"/>
              </w:rPr>
              <w:t>已</w:t>
            </w:r>
            <w:r>
              <w:rPr>
                <w:rFonts w:hint="eastAsia" w:ascii="宋体" w:hAnsi="宋体" w:eastAsia="宋体" w:cs="宋体"/>
                <w:color w:val="000000"/>
                <w:sz w:val="21"/>
                <w:szCs w:val="21"/>
                <w:highlight w:val="none"/>
              </w:rPr>
              <w:t>加盖投标人公章，</w:t>
            </w:r>
            <w:r>
              <w:rPr>
                <w:rFonts w:hint="eastAsia" w:ascii="宋体" w:hAnsi="宋体" w:eastAsia="宋体" w:cs="宋体"/>
                <w:color w:val="000000"/>
                <w:sz w:val="21"/>
                <w:szCs w:val="21"/>
                <w:highlight w:val="none"/>
                <w:lang w:val="en-US" w:eastAsia="zh-CN"/>
              </w:rPr>
              <w:t>且</w:t>
            </w:r>
            <w:r>
              <w:rPr>
                <w:rFonts w:hint="eastAsia" w:ascii="宋体" w:hAnsi="宋体" w:eastAsia="宋体" w:cs="宋体"/>
                <w:color w:val="000000"/>
                <w:sz w:val="21"/>
                <w:szCs w:val="21"/>
                <w:highlight w:val="none"/>
              </w:rPr>
              <w:t>经法定代表人或者其授权代表签字</w:t>
            </w: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w:t>
            </w:r>
          </w:p>
        </w:tc>
        <w:tc>
          <w:tcPr>
            <w:tcW w:w="430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《投标人声明》</w:t>
            </w:r>
            <w:r>
              <w:rPr>
                <w:rFonts w:hint="eastAsia" w:ascii="宋体" w:hAnsi="宋体" w:eastAsia="宋体" w:cs="宋体"/>
                <w:color w:val="000000"/>
                <w:sz w:val="21"/>
                <w:szCs w:val="21"/>
                <w:highlight w:val="none"/>
                <w:lang w:val="en-US" w:eastAsia="zh-CN"/>
              </w:rPr>
              <w:t>已</w:t>
            </w:r>
            <w:r>
              <w:rPr>
                <w:rFonts w:hint="eastAsia" w:ascii="宋体" w:hAnsi="宋体" w:eastAsia="宋体" w:cs="宋体"/>
                <w:color w:val="000000"/>
                <w:sz w:val="21"/>
                <w:szCs w:val="21"/>
                <w:highlight w:val="none"/>
              </w:rPr>
              <w:t>按规定格式填写</w:t>
            </w:r>
            <w:r>
              <w:rPr>
                <w:rFonts w:hint="eastAsia" w:ascii="宋体" w:hAnsi="宋体" w:eastAsia="宋体" w:cs="宋体"/>
                <w:color w:val="000000"/>
                <w:sz w:val="21"/>
                <w:szCs w:val="21"/>
                <w:highlight w:val="none"/>
                <w:lang w:val="en-US" w:eastAsia="zh-CN"/>
              </w:rPr>
              <w:t>并</w:t>
            </w:r>
            <w:r>
              <w:rPr>
                <w:rFonts w:hint="eastAsia" w:ascii="宋体" w:hAnsi="宋体" w:eastAsia="宋体" w:cs="宋体"/>
                <w:color w:val="000000"/>
                <w:sz w:val="21"/>
                <w:szCs w:val="21"/>
                <w:highlight w:val="none"/>
              </w:rPr>
              <w:t>加盖投标人公章（适用于设资格审查环节的项目）</w:t>
            </w: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p>
        </w:tc>
        <w:tc>
          <w:tcPr>
            <w:tcW w:w="430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投标报价</w:t>
            </w:r>
            <w:r>
              <w:rPr>
                <w:rFonts w:hint="eastAsia" w:ascii="宋体" w:hAnsi="宋体" w:eastAsia="宋体" w:cs="宋体"/>
                <w:color w:val="000000"/>
                <w:sz w:val="21"/>
                <w:szCs w:val="21"/>
                <w:highlight w:val="none"/>
                <w:lang w:val="en-US" w:eastAsia="zh-CN"/>
              </w:rPr>
              <w:t>没有</w:t>
            </w:r>
            <w:r>
              <w:rPr>
                <w:rFonts w:hint="eastAsia" w:ascii="宋体" w:hAnsi="宋体" w:eastAsia="宋体" w:cs="宋体"/>
                <w:color w:val="000000"/>
                <w:sz w:val="21"/>
                <w:szCs w:val="21"/>
                <w:highlight w:val="none"/>
              </w:rPr>
              <w:t>高于最高投标限价</w:t>
            </w: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p>
        </w:tc>
        <w:tc>
          <w:tcPr>
            <w:tcW w:w="430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strike/>
                <w:color w:val="000000"/>
                <w:sz w:val="21"/>
                <w:szCs w:val="21"/>
                <w:highlight w:val="none"/>
              </w:rPr>
            </w:pPr>
            <w:r>
              <w:rPr>
                <w:rFonts w:hint="eastAsia" w:ascii="宋体" w:hAnsi="宋体" w:eastAsia="宋体" w:cs="宋体"/>
                <w:color w:val="000000"/>
                <w:sz w:val="21"/>
                <w:szCs w:val="21"/>
                <w:highlight w:val="none"/>
              </w:rPr>
              <w:t>投标人之间存在《广东省实施&lt;中华人民共和国招标投标法&gt;》第十六条所禁止的情形的</w:t>
            </w: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pStyle w:val="25"/>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结论</w:t>
            </w:r>
          </w:p>
        </w:tc>
        <w:tc>
          <w:tcPr>
            <w:tcW w:w="4303"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是否通过并进入下一阶段评审</w:t>
            </w: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000000"/>
                <w:sz w:val="21"/>
                <w:szCs w:val="21"/>
                <w:highlight w:val="none"/>
              </w:rPr>
            </w:pPr>
          </w:p>
        </w:tc>
      </w:tr>
    </w:tbl>
    <w:p>
      <w:pPr>
        <w:keepNext w:val="0"/>
        <w:keepLines w:val="0"/>
        <w:pageBreakBefore w:val="0"/>
        <w:widowControl w:val="0"/>
        <w:tabs>
          <w:tab w:val="left" w:pos="72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备注：1、根据本表的审查项目，填“通过”或“不通过”。</w:t>
      </w:r>
    </w:p>
    <w:p>
      <w:pPr>
        <w:keepNext w:val="0"/>
        <w:keepLines w:val="0"/>
        <w:pageBreakBefore w:val="0"/>
        <w:widowControl w:val="0"/>
        <w:tabs>
          <w:tab w:val="left" w:pos="720"/>
        </w:tabs>
        <w:kinsoku/>
        <w:wordWrap/>
        <w:overflowPunct/>
        <w:topLinePunct w:val="0"/>
        <w:autoSpaceDE/>
        <w:autoSpaceDN/>
        <w:bidi w:val="0"/>
        <w:adjustRightInd/>
        <w:snapToGrid w:val="0"/>
        <w:spacing w:line="240" w:lineRule="auto"/>
        <w:ind w:left="840" w:leftChars="300" w:hanging="210" w:hangingChars="1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2、表中出现一个或以上“不通过”，即该投标人的评审“结论”为“不通过”，即该投标人不进入下一阶段评审。</w:t>
      </w:r>
    </w:p>
    <w:p>
      <w:pPr>
        <w:keepNext w:val="0"/>
        <w:keepLines w:val="0"/>
        <w:pageBreakBefore w:val="0"/>
        <w:widowControl w:val="0"/>
        <w:tabs>
          <w:tab w:val="left" w:pos="720"/>
        </w:tabs>
        <w:kinsoku/>
        <w:wordWrap/>
        <w:overflowPunct/>
        <w:topLinePunct w:val="0"/>
        <w:autoSpaceDE/>
        <w:autoSpaceDN/>
        <w:bidi w:val="0"/>
        <w:adjustRightInd/>
        <w:snapToGrid w:val="0"/>
        <w:spacing w:line="240" w:lineRule="auto"/>
        <w:ind w:firstLine="630" w:firstLineChars="3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3、表中全部评审结果为“通过”，视为同意进入下一阶段评审。</w:t>
      </w:r>
    </w:p>
    <w:p>
      <w:pPr>
        <w:keepNext w:val="0"/>
        <w:keepLines w:val="0"/>
        <w:pageBreakBefore w:val="0"/>
        <w:widowControl w:val="0"/>
        <w:tabs>
          <w:tab w:val="left" w:pos="720"/>
        </w:tabs>
        <w:kinsoku/>
        <w:wordWrap/>
        <w:overflowPunct/>
        <w:topLinePunct w:val="0"/>
        <w:autoSpaceDE/>
        <w:autoSpaceDN/>
        <w:bidi w:val="0"/>
        <w:adjustRightInd/>
        <w:snapToGrid w:val="0"/>
        <w:spacing w:line="240" w:lineRule="auto"/>
        <w:ind w:left="945" w:leftChars="300" w:hanging="315" w:hangingChars="15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4、若评委意见不一致时，则按少数服从多数的原则，决定该投标人是否通过否决性审查，进入下一阶段评审。</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highlight w:val="none"/>
        </w:rPr>
        <w:sectPr>
          <w:footerReference r:id="rId12" w:type="default"/>
          <w:footerReference r:id="rId13" w:type="even"/>
          <w:pgSz w:w="16838" w:h="11906" w:orient="landscape"/>
          <w:pgMar w:top="1440" w:right="1440" w:bottom="1469" w:left="1440"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宋体" w:hAnsi="宋体" w:eastAsia="宋体" w:cs="宋体"/>
          <w:color w:val="000000"/>
          <w:sz w:val="21"/>
          <w:szCs w:val="21"/>
          <w:highlight w:val="none"/>
        </w:rPr>
        <w:t>评委签名：                                                                                   日期：       年    月    日</w:t>
      </w:r>
    </w:p>
    <w:p>
      <w:pPr>
        <w:tabs>
          <w:tab w:val="left" w:pos="993"/>
        </w:tabs>
        <w:snapToGrid w:val="0"/>
        <w:spacing w:line="360" w:lineRule="auto"/>
        <w:rPr>
          <w:rFonts w:hint="eastAsia" w:ascii="宋体" w:hAnsi="宋体" w:eastAsia="宋体" w:cs="宋体"/>
          <w:color w:val="auto"/>
          <w:sz w:val="21"/>
          <w:szCs w:val="21"/>
          <w:highlight w:val="none"/>
        </w:rPr>
      </w:pPr>
      <w:bookmarkStart w:id="36" w:name="_Toc20141"/>
    </w:p>
    <w:bookmarkEnd w:id="36"/>
    <w:p>
      <w:pPr>
        <w:pStyle w:val="3"/>
        <w:spacing w:before="0" w:after="0"/>
        <w:rPr>
          <w:rFonts w:hint="eastAsia" w:ascii="宋体" w:hAnsi="宋体" w:eastAsia="宋体" w:cs="宋体"/>
          <w:sz w:val="21"/>
          <w:szCs w:val="21"/>
          <w:lang w:eastAsia="zh-CN"/>
        </w:rPr>
      </w:pPr>
      <w:bookmarkStart w:id="37" w:name="_Toc11416"/>
      <w:bookmarkStart w:id="38" w:name="_Toc12030"/>
      <w:bookmarkStart w:id="39" w:name="_Toc5845"/>
      <w:bookmarkStart w:id="40" w:name="_Toc82858813"/>
      <w:bookmarkStart w:id="41" w:name="_Toc16243"/>
      <w:r>
        <w:rPr>
          <w:rFonts w:hint="eastAsia" w:ascii="宋体" w:hAnsi="宋体" w:eastAsia="宋体" w:cs="宋体"/>
          <w:sz w:val="21"/>
          <w:szCs w:val="21"/>
        </w:rPr>
        <w:t>附录1</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w:t>
      </w:r>
      <w:r>
        <w:rPr>
          <w:rFonts w:hint="eastAsia" w:ascii="宋体" w:hAnsi="宋体" w:eastAsia="宋体" w:cs="宋体"/>
          <w:sz w:val="21"/>
          <w:szCs w:val="21"/>
          <w:lang w:eastAsia="zh-CN"/>
        </w:rPr>
        <w:t>综合评分表</w:t>
      </w:r>
      <w:bookmarkEnd w:id="37"/>
      <w:bookmarkEnd w:id="38"/>
      <w:bookmarkEnd w:id="39"/>
    </w:p>
    <w:p>
      <w:pPr>
        <w:jc w:val="center"/>
        <w:rPr>
          <w:rFonts w:hint="eastAsia" w:ascii="宋体" w:hAnsi="宋体" w:eastAsia="宋体" w:cs="宋体"/>
          <w:b/>
          <w:sz w:val="21"/>
          <w:szCs w:val="21"/>
          <w:highlight w:val="yellow"/>
          <w:lang w:eastAsia="zh-CN"/>
        </w:rPr>
      </w:pPr>
      <w:r>
        <w:rPr>
          <w:rFonts w:hint="eastAsia" w:ascii="宋体" w:hAnsi="宋体" w:eastAsia="宋体" w:cs="宋体"/>
          <w:b/>
          <w:sz w:val="21"/>
          <w:szCs w:val="21"/>
          <w:lang w:eastAsia="zh-CN"/>
        </w:rPr>
        <w:t>综合评分表</w:t>
      </w:r>
    </w:p>
    <w:p>
      <w:pPr>
        <w:adjustRightInd w:val="0"/>
        <w:snapToGrid w:val="0"/>
        <w:spacing w:line="360" w:lineRule="auto"/>
        <w:rPr>
          <w:rFonts w:hint="eastAsia" w:ascii="宋体" w:hAnsi="宋体" w:eastAsia="宋体" w:cs="宋体"/>
          <w:b/>
          <w:bCs/>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b/>
          <w:bCs/>
          <w:sz w:val="21"/>
          <w:szCs w:val="21"/>
        </w:rPr>
        <w:t>说明：</w:t>
      </w:r>
      <w:r>
        <w:rPr>
          <w:rFonts w:hint="eastAsia" w:ascii="宋体" w:hAnsi="宋体" w:eastAsia="宋体" w:cs="宋体"/>
          <w:color w:val="000000"/>
          <w:sz w:val="21"/>
          <w:szCs w:val="21"/>
          <w:lang w:val="en-US" w:eastAsia="zh-CN"/>
        </w:rPr>
        <w:t>本项目</w:t>
      </w:r>
      <w:r>
        <w:rPr>
          <w:rFonts w:hint="eastAsia" w:ascii="宋体" w:hAnsi="宋体" w:eastAsia="宋体" w:cs="宋体"/>
          <w:color w:val="000000"/>
          <w:sz w:val="21"/>
          <w:szCs w:val="21"/>
        </w:rPr>
        <w:t>采用综合评分的方式进行评审，具体方法如下：</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（1）每位评委先阅览各投标人的</w:t>
      </w:r>
      <w:r>
        <w:rPr>
          <w:rFonts w:hint="eastAsia" w:ascii="宋体" w:hAnsi="宋体" w:eastAsia="宋体" w:cs="宋体"/>
          <w:color w:val="000000"/>
          <w:sz w:val="21"/>
          <w:szCs w:val="21"/>
          <w:lang w:val="en-US" w:eastAsia="zh-CN"/>
        </w:rPr>
        <w:t>投标</w:t>
      </w:r>
      <w:r>
        <w:rPr>
          <w:rFonts w:hint="eastAsia" w:ascii="宋体" w:hAnsi="宋体" w:eastAsia="宋体" w:cs="宋体"/>
          <w:color w:val="000000"/>
          <w:sz w:val="21"/>
          <w:szCs w:val="21"/>
        </w:rPr>
        <w:t>文件，并按照“先整体方案定档，后局部细项评分”的原则对投标人提交的</w:t>
      </w:r>
      <w:r>
        <w:rPr>
          <w:rFonts w:hint="eastAsia" w:ascii="宋体" w:hAnsi="宋体" w:eastAsia="宋体" w:cs="宋体"/>
          <w:color w:val="000000"/>
          <w:sz w:val="21"/>
          <w:szCs w:val="21"/>
          <w:lang w:val="en-US" w:eastAsia="zh-CN"/>
        </w:rPr>
        <w:t>投标</w:t>
      </w:r>
      <w:r>
        <w:rPr>
          <w:rFonts w:hint="eastAsia" w:ascii="宋体" w:hAnsi="宋体" w:eastAsia="宋体" w:cs="宋体"/>
          <w:color w:val="000000"/>
          <w:sz w:val="21"/>
          <w:szCs w:val="21"/>
        </w:rPr>
        <w:t>文件进行评分。</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（2）各评委在分值区间内进行整体方案打分，经汇总后计算其算术平均分，保留两位小数，第三位小数四舍五入，最终按下表对应分值得出各投标人的最终档次。</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每位评委按照所评定的最终档次对下表《</w:t>
      </w:r>
      <w:r>
        <w:rPr>
          <w:rFonts w:hint="eastAsia" w:ascii="宋体" w:hAnsi="宋体" w:eastAsia="宋体" w:cs="宋体"/>
          <w:color w:val="000000"/>
          <w:sz w:val="21"/>
          <w:szCs w:val="21"/>
          <w:lang w:eastAsia="zh-CN"/>
        </w:rPr>
        <w:t>综合评分表</w:t>
      </w:r>
      <w:r>
        <w:rPr>
          <w:rFonts w:hint="eastAsia" w:ascii="宋体" w:hAnsi="宋体" w:eastAsia="宋体" w:cs="宋体"/>
          <w:color w:val="000000"/>
          <w:sz w:val="21"/>
          <w:szCs w:val="21"/>
        </w:rPr>
        <w:t>》各细项相应档次进行打分，如不按所处档次打分，则评分无效，不列入最终算术平均分的计算范围。</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u w:val="none"/>
          <w:lang w:val="en-US" w:eastAsia="zh-CN"/>
        </w:rPr>
        <w:t>评标委员会按下表的量化因素和分值进行打分，并计算出综合得分，综合得分=</w:t>
      </w:r>
      <w:r>
        <w:rPr>
          <w:rFonts w:hint="eastAsia" w:ascii="宋体" w:hAnsi="宋体" w:eastAsia="宋体" w:cs="宋体"/>
          <w:spacing w:val="-2"/>
          <w:sz w:val="21"/>
          <w:szCs w:val="21"/>
          <w:u w:val="none"/>
          <w:lang w:val="en-US" w:eastAsia="zh-CN"/>
        </w:rPr>
        <w:t>资信因素+设计方案+投标报价。若综合评分相等的，以设计方案分高的优先；设计方案得分也相等的，以资信因素得分高的优先；如果资信因素得分也相等，则由评委以投票方式进行表决</w:t>
      </w:r>
      <w:r>
        <w:rPr>
          <w:rFonts w:hint="eastAsia" w:ascii="宋体" w:hAnsi="宋体" w:eastAsia="宋体" w:cs="宋体"/>
          <w:color w:val="000000"/>
          <w:sz w:val="21"/>
          <w:szCs w:val="21"/>
        </w:rPr>
        <w:t>，确定相等得分的中标候选人入围合格中标候选人资格。</w:t>
      </w:r>
    </w:p>
    <w:tbl>
      <w:tblPr>
        <w:tblStyle w:val="45"/>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979"/>
        <w:gridCol w:w="156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91" w:type="dxa"/>
            <w:gridSpan w:val="2"/>
            <w:noWrap w:val="0"/>
            <w:vAlign w:val="center"/>
          </w:tcPr>
          <w:p>
            <w:pPr>
              <w:adjustRightInd w:val="0"/>
              <w:snapToGrid w:val="0"/>
              <w:spacing w:line="440" w:lineRule="exact"/>
              <w:contextualSpacing/>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1560" w:type="dxa"/>
            <w:noWrap w:val="0"/>
            <w:vAlign w:val="center"/>
          </w:tcPr>
          <w:p>
            <w:pPr>
              <w:adjustRightInd w:val="0"/>
              <w:snapToGrid w:val="0"/>
              <w:spacing w:line="440" w:lineRule="exact"/>
              <w:contextualSpacing/>
              <w:jc w:val="center"/>
              <w:rPr>
                <w:rFonts w:hint="eastAsia" w:ascii="宋体" w:hAnsi="宋体" w:eastAsia="宋体" w:cs="宋体"/>
                <w:b/>
                <w:kern w:val="0"/>
                <w:sz w:val="21"/>
                <w:szCs w:val="21"/>
              </w:rPr>
            </w:pPr>
            <w:r>
              <w:rPr>
                <w:rFonts w:hint="eastAsia" w:ascii="宋体" w:hAnsi="宋体" w:eastAsia="宋体" w:cs="宋体"/>
                <w:b/>
                <w:bCs/>
                <w:kern w:val="0"/>
                <w:sz w:val="21"/>
                <w:szCs w:val="21"/>
              </w:rPr>
              <w:t>评分因素</w:t>
            </w:r>
          </w:p>
        </w:tc>
        <w:tc>
          <w:tcPr>
            <w:tcW w:w="6095" w:type="dxa"/>
            <w:noWrap w:val="0"/>
            <w:vAlign w:val="center"/>
          </w:tcPr>
          <w:p>
            <w:pPr>
              <w:adjustRightInd w:val="0"/>
              <w:snapToGrid w:val="0"/>
              <w:spacing w:line="440" w:lineRule="exact"/>
              <w:contextualSpacing/>
              <w:jc w:val="center"/>
              <w:rPr>
                <w:rFonts w:hint="eastAsia" w:ascii="宋体" w:hAnsi="宋体" w:eastAsia="宋体" w:cs="宋体"/>
                <w:b/>
                <w:kern w:val="0"/>
                <w:sz w:val="21"/>
                <w:szCs w:val="21"/>
              </w:rPr>
            </w:pPr>
            <w:r>
              <w:rPr>
                <w:rFonts w:hint="eastAsia" w:ascii="宋体" w:hAnsi="宋体" w:eastAsia="宋体" w:cs="宋体"/>
                <w:b/>
                <w:kern w:val="0"/>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91" w:type="dxa"/>
            <w:gridSpan w:val="2"/>
            <w:noWrap w:val="0"/>
            <w:vAlign w:val="center"/>
          </w:tcPr>
          <w:p>
            <w:pPr>
              <w:adjustRightInd w:val="0"/>
              <w:snapToGrid w:val="0"/>
              <w:spacing w:line="440" w:lineRule="exact"/>
              <w:contextualSpacing/>
              <w:jc w:val="center"/>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560" w:type="dxa"/>
            <w:noWrap w:val="0"/>
            <w:vAlign w:val="center"/>
          </w:tcPr>
          <w:p>
            <w:pPr>
              <w:adjustRightInd w:val="0"/>
              <w:snapToGrid w:val="0"/>
              <w:spacing w:line="440" w:lineRule="exact"/>
              <w:contextualSpacing/>
              <w:jc w:val="center"/>
              <w:rPr>
                <w:rFonts w:hint="eastAsia" w:ascii="宋体" w:hAnsi="宋体" w:eastAsia="宋体" w:cs="宋体"/>
                <w:kern w:val="2"/>
                <w:sz w:val="21"/>
                <w:szCs w:val="21"/>
              </w:rPr>
            </w:pPr>
            <w:r>
              <w:rPr>
                <w:rFonts w:hint="eastAsia" w:ascii="宋体" w:hAnsi="宋体" w:eastAsia="宋体" w:cs="宋体"/>
                <w:kern w:val="2"/>
                <w:sz w:val="21"/>
                <w:szCs w:val="21"/>
              </w:rPr>
              <w:t>分值构成</w:t>
            </w:r>
          </w:p>
          <w:p>
            <w:pPr>
              <w:adjustRightInd w:val="0"/>
              <w:snapToGrid w:val="0"/>
              <w:spacing w:line="440" w:lineRule="exact"/>
              <w:contextualSpacing/>
              <w:jc w:val="center"/>
              <w:rPr>
                <w:rFonts w:hint="eastAsia" w:ascii="宋体" w:hAnsi="宋体" w:eastAsia="宋体" w:cs="宋体"/>
                <w:kern w:val="2"/>
                <w:sz w:val="21"/>
                <w:szCs w:val="21"/>
              </w:rPr>
            </w:pPr>
            <w:r>
              <w:rPr>
                <w:rFonts w:hint="eastAsia" w:ascii="宋体" w:hAnsi="宋体" w:eastAsia="宋体" w:cs="宋体"/>
                <w:kern w:val="2"/>
                <w:sz w:val="21"/>
                <w:szCs w:val="21"/>
              </w:rPr>
              <w:t>(总分100分)</w:t>
            </w:r>
          </w:p>
        </w:tc>
        <w:tc>
          <w:tcPr>
            <w:tcW w:w="6095" w:type="dxa"/>
            <w:noWrap w:val="0"/>
            <w:vAlign w:val="center"/>
          </w:tcPr>
          <w:p>
            <w:pPr>
              <w:adjustRightInd w:val="0"/>
              <w:snapToGrid w:val="0"/>
              <w:spacing w:line="440" w:lineRule="exact"/>
              <w:contextualSpacing/>
              <w:jc w:val="left"/>
              <w:rPr>
                <w:rFonts w:hint="eastAsia" w:ascii="宋体" w:hAnsi="宋体" w:eastAsia="宋体" w:cs="宋体"/>
                <w:spacing w:val="0"/>
                <w:kern w:val="2"/>
                <w:sz w:val="21"/>
                <w:szCs w:val="21"/>
              </w:rPr>
            </w:pPr>
            <w:r>
              <w:rPr>
                <w:rFonts w:hint="eastAsia" w:ascii="宋体" w:hAnsi="宋体" w:eastAsia="宋体" w:cs="宋体"/>
                <w:spacing w:val="0"/>
                <w:kern w:val="2"/>
                <w:sz w:val="21"/>
                <w:szCs w:val="21"/>
              </w:rPr>
              <w:t>资信因素：20分</w:t>
            </w:r>
          </w:p>
          <w:p>
            <w:pPr>
              <w:adjustRightInd w:val="0"/>
              <w:snapToGrid w:val="0"/>
              <w:spacing w:line="440" w:lineRule="exact"/>
              <w:contextualSpacing/>
              <w:jc w:val="left"/>
              <w:rPr>
                <w:rFonts w:hint="eastAsia" w:ascii="宋体" w:hAnsi="宋体" w:eastAsia="宋体" w:cs="宋体"/>
                <w:spacing w:val="0"/>
                <w:kern w:val="2"/>
                <w:sz w:val="21"/>
                <w:szCs w:val="21"/>
              </w:rPr>
            </w:pPr>
            <w:r>
              <w:rPr>
                <w:rFonts w:hint="eastAsia" w:ascii="宋体" w:hAnsi="宋体" w:eastAsia="宋体" w:cs="宋体"/>
                <w:spacing w:val="0"/>
                <w:kern w:val="2"/>
                <w:sz w:val="21"/>
                <w:szCs w:val="21"/>
              </w:rPr>
              <w:t>设计</w:t>
            </w:r>
            <w:r>
              <w:rPr>
                <w:rFonts w:hint="eastAsia" w:ascii="宋体" w:hAnsi="宋体" w:eastAsia="宋体" w:cs="宋体"/>
                <w:spacing w:val="0"/>
                <w:kern w:val="2"/>
                <w:sz w:val="21"/>
                <w:szCs w:val="21"/>
                <w:lang w:val="en-US" w:eastAsia="zh-CN"/>
              </w:rPr>
              <w:t>方案</w:t>
            </w:r>
            <w:r>
              <w:rPr>
                <w:rFonts w:hint="eastAsia" w:ascii="宋体" w:hAnsi="宋体" w:eastAsia="宋体" w:cs="宋体"/>
                <w:spacing w:val="0"/>
                <w:kern w:val="2"/>
                <w:sz w:val="21"/>
                <w:szCs w:val="21"/>
              </w:rPr>
              <w:t>：</w:t>
            </w:r>
            <w:r>
              <w:rPr>
                <w:rFonts w:hint="eastAsia" w:ascii="宋体" w:hAnsi="宋体" w:eastAsia="宋体" w:cs="宋体"/>
                <w:color w:val="auto"/>
                <w:spacing w:val="0"/>
                <w:kern w:val="2"/>
                <w:sz w:val="21"/>
                <w:szCs w:val="21"/>
                <w:lang w:val="en-US" w:eastAsia="zh-CN"/>
              </w:rPr>
              <w:t>6</w:t>
            </w:r>
            <w:r>
              <w:rPr>
                <w:rFonts w:hint="eastAsia" w:ascii="宋体" w:hAnsi="宋体" w:eastAsia="宋体" w:cs="宋体"/>
                <w:spacing w:val="0"/>
                <w:kern w:val="2"/>
                <w:sz w:val="21"/>
                <w:szCs w:val="21"/>
                <w:lang w:val="en-US" w:eastAsia="zh-CN"/>
              </w:rPr>
              <w:t>0</w:t>
            </w:r>
            <w:r>
              <w:rPr>
                <w:rFonts w:hint="eastAsia" w:ascii="宋体" w:hAnsi="宋体" w:eastAsia="宋体" w:cs="宋体"/>
                <w:spacing w:val="0"/>
                <w:kern w:val="2"/>
                <w:sz w:val="21"/>
                <w:szCs w:val="21"/>
              </w:rPr>
              <w:t>分</w:t>
            </w:r>
          </w:p>
          <w:p>
            <w:pPr>
              <w:adjustRightInd w:val="0"/>
              <w:snapToGrid w:val="0"/>
              <w:spacing w:line="440" w:lineRule="exact"/>
              <w:contextualSpacing/>
              <w:jc w:val="left"/>
              <w:rPr>
                <w:rFonts w:hint="eastAsia" w:ascii="宋体" w:hAnsi="宋体" w:eastAsia="宋体" w:cs="宋体"/>
                <w:kern w:val="2"/>
                <w:sz w:val="21"/>
                <w:szCs w:val="21"/>
              </w:rPr>
            </w:pPr>
            <w:r>
              <w:rPr>
                <w:rFonts w:hint="eastAsia" w:ascii="宋体" w:hAnsi="宋体" w:eastAsia="宋体" w:cs="宋体"/>
                <w:spacing w:val="0"/>
                <w:kern w:val="2"/>
                <w:sz w:val="21"/>
                <w:szCs w:val="21"/>
              </w:rPr>
              <w:t>投标报价：</w:t>
            </w:r>
            <w:r>
              <w:rPr>
                <w:rFonts w:hint="eastAsia" w:ascii="宋体" w:hAnsi="宋体" w:eastAsia="宋体" w:cs="宋体"/>
                <w:color w:val="auto"/>
                <w:spacing w:val="0"/>
                <w:kern w:val="2"/>
                <w:sz w:val="21"/>
                <w:szCs w:val="21"/>
                <w:lang w:val="en-US" w:eastAsia="zh-CN"/>
              </w:rPr>
              <w:t>2</w:t>
            </w:r>
            <w:r>
              <w:rPr>
                <w:rFonts w:hint="eastAsia" w:ascii="宋体" w:hAnsi="宋体" w:eastAsia="宋体" w:cs="宋体"/>
                <w:spacing w:val="0"/>
                <w:kern w:val="2"/>
                <w:sz w:val="21"/>
                <w:szCs w:val="21"/>
                <w:lang w:val="en-US" w:eastAsia="zh-CN"/>
              </w:rPr>
              <w:t>0</w:t>
            </w:r>
            <w:r>
              <w:rPr>
                <w:rFonts w:hint="eastAsia" w:ascii="宋体" w:hAnsi="宋体" w:eastAsia="宋体" w:cs="宋体"/>
                <w:spacing w:val="0"/>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91" w:type="dxa"/>
            <w:gridSpan w:val="2"/>
            <w:noWrap w:val="0"/>
            <w:vAlign w:val="center"/>
          </w:tcPr>
          <w:p>
            <w:pPr>
              <w:adjustRightInd w:val="0"/>
              <w:snapToGrid w:val="0"/>
              <w:spacing w:line="440" w:lineRule="exact"/>
              <w:contextualSpacing/>
              <w:jc w:val="center"/>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560" w:type="dxa"/>
            <w:noWrap w:val="0"/>
            <w:vAlign w:val="center"/>
          </w:tcPr>
          <w:p>
            <w:pPr>
              <w:adjustRightInd w:val="0"/>
              <w:snapToGrid w:val="0"/>
              <w:spacing w:line="440" w:lineRule="exact"/>
              <w:contextualSpacing/>
              <w:jc w:val="center"/>
              <w:rPr>
                <w:rFonts w:hint="eastAsia" w:ascii="宋体" w:hAnsi="宋体" w:eastAsia="宋体" w:cs="宋体"/>
                <w:kern w:val="2"/>
                <w:sz w:val="21"/>
                <w:szCs w:val="21"/>
              </w:rPr>
            </w:pPr>
            <w:r>
              <w:rPr>
                <w:rFonts w:hint="eastAsia" w:ascii="宋体" w:hAnsi="宋体" w:eastAsia="宋体" w:cs="宋体"/>
                <w:kern w:val="2"/>
                <w:sz w:val="21"/>
                <w:szCs w:val="21"/>
              </w:rPr>
              <w:t>评标基准价计算方法</w:t>
            </w:r>
          </w:p>
        </w:tc>
        <w:tc>
          <w:tcPr>
            <w:tcW w:w="6095" w:type="dxa"/>
            <w:noWrap w:val="0"/>
            <w:vAlign w:val="center"/>
          </w:tcPr>
          <w:p>
            <w:pPr>
              <w:adjustRightInd w:val="0"/>
              <w:snapToGrid w:val="0"/>
              <w:spacing w:line="440" w:lineRule="exact"/>
              <w:contextualSpacing/>
              <w:rPr>
                <w:rFonts w:hint="eastAsia" w:ascii="宋体" w:hAnsi="宋体" w:eastAsia="宋体" w:cs="宋体"/>
                <w:sz w:val="21"/>
                <w:szCs w:val="21"/>
                <w:lang w:eastAsia="zh-CN"/>
              </w:rPr>
            </w:pPr>
            <w:r>
              <w:rPr>
                <w:rFonts w:hint="eastAsia" w:ascii="宋体" w:hAnsi="宋体" w:eastAsia="宋体" w:cs="宋体"/>
                <w:sz w:val="21"/>
                <w:szCs w:val="21"/>
              </w:rPr>
              <w:t>以通过资格及有效性审查的各投标人的总报价并去掉一个最高价和一个最低价后的算术平均值作为评审基准价</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91" w:type="dxa"/>
            <w:gridSpan w:val="2"/>
            <w:noWrap w:val="0"/>
            <w:vAlign w:val="center"/>
          </w:tcPr>
          <w:p>
            <w:pPr>
              <w:adjustRightInd w:val="0"/>
              <w:snapToGrid w:val="0"/>
              <w:spacing w:line="440" w:lineRule="exact"/>
              <w:contextualSpacing/>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1560" w:type="dxa"/>
            <w:noWrap w:val="0"/>
            <w:vAlign w:val="center"/>
          </w:tcPr>
          <w:p>
            <w:pPr>
              <w:adjustRightInd w:val="0"/>
              <w:snapToGrid w:val="0"/>
              <w:spacing w:line="440" w:lineRule="exact"/>
              <w:contextualSpacing/>
              <w:jc w:val="center"/>
              <w:rPr>
                <w:rFonts w:hint="eastAsia" w:ascii="宋体" w:hAnsi="宋体" w:eastAsia="宋体" w:cs="宋体"/>
                <w:kern w:val="0"/>
                <w:sz w:val="21"/>
                <w:szCs w:val="21"/>
              </w:rPr>
            </w:pPr>
            <w:r>
              <w:rPr>
                <w:rFonts w:hint="eastAsia" w:ascii="宋体" w:hAnsi="宋体" w:eastAsia="宋体" w:cs="宋体"/>
                <w:b/>
                <w:bCs/>
                <w:kern w:val="0"/>
                <w:sz w:val="21"/>
                <w:szCs w:val="21"/>
              </w:rPr>
              <w:t>评分因素</w:t>
            </w:r>
          </w:p>
        </w:tc>
        <w:tc>
          <w:tcPr>
            <w:tcW w:w="6095" w:type="dxa"/>
            <w:noWrap w:val="0"/>
            <w:vAlign w:val="center"/>
          </w:tcPr>
          <w:p>
            <w:pPr>
              <w:adjustRightInd w:val="0"/>
              <w:snapToGrid w:val="0"/>
              <w:spacing w:line="440" w:lineRule="exact"/>
              <w:contextualSpacing/>
              <w:jc w:val="center"/>
              <w:rPr>
                <w:rFonts w:hint="eastAsia" w:ascii="宋体" w:hAnsi="宋体" w:eastAsia="宋体" w:cs="宋体"/>
                <w:kern w:val="0"/>
                <w:sz w:val="21"/>
                <w:szCs w:val="21"/>
              </w:rPr>
            </w:pPr>
            <w:r>
              <w:rPr>
                <w:rFonts w:hint="eastAsia" w:ascii="宋体" w:hAnsi="宋体" w:eastAsia="宋体" w:cs="宋体"/>
                <w:b/>
                <w:bCs/>
                <w:kern w:val="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2" w:type="dxa"/>
            <w:vMerge w:val="restart"/>
            <w:noWrap w:val="0"/>
            <w:vAlign w:val="center"/>
          </w:tcPr>
          <w:p>
            <w:pPr>
              <w:adjustRightInd w:val="0"/>
              <w:snapToGrid w:val="0"/>
              <w:spacing w:line="440" w:lineRule="exact"/>
              <w:contextualSpacing/>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979" w:type="dxa"/>
            <w:vMerge w:val="restart"/>
            <w:noWrap w:val="0"/>
            <w:vAlign w:val="center"/>
          </w:tcPr>
          <w:p>
            <w:pPr>
              <w:adjustRightInd w:val="0"/>
              <w:snapToGrid w:val="0"/>
              <w:spacing w:line="440" w:lineRule="exact"/>
              <w:contextualSpacing/>
              <w:jc w:val="center"/>
              <w:rPr>
                <w:rFonts w:hint="eastAsia" w:ascii="宋体" w:hAnsi="宋体" w:eastAsia="宋体" w:cs="宋体"/>
                <w:kern w:val="0"/>
                <w:sz w:val="21"/>
                <w:szCs w:val="21"/>
              </w:rPr>
            </w:pPr>
            <w:r>
              <w:rPr>
                <w:rFonts w:hint="eastAsia" w:ascii="宋体" w:hAnsi="宋体" w:eastAsia="宋体" w:cs="宋体"/>
                <w:spacing w:val="-2"/>
                <w:kern w:val="0"/>
                <w:sz w:val="21"/>
                <w:szCs w:val="21"/>
              </w:rPr>
              <w:t>资信因素</w:t>
            </w:r>
          </w:p>
          <w:p>
            <w:pPr>
              <w:adjustRightInd w:val="0"/>
              <w:snapToGrid w:val="0"/>
              <w:spacing w:line="440" w:lineRule="exact"/>
              <w:contextualSpacing/>
              <w:jc w:val="center"/>
              <w:rPr>
                <w:rFonts w:hint="eastAsia" w:ascii="宋体" w:hAnsi="宋体" w:eastAsia="宋体" w:cs="宋体"/>
                <w:kern w:val="0"/>
                <w:sz w:val="21"/>
                <w:szCs w:val="21"/>
              </w:rPr>
            </w:pPr>
            <w:r>
              <w:rPr>
                <w:rFonts w:hint="eastAsia" w:ascii="宋体" w:hAnsi="宋体" w:eastAsia="宋体" w:cs="宋体"/>
                <w:kern w:val="0"/>
                <w:sz w:val="21"/>
                <w:szCs w:val="21"/>
              </w:rPr>
              <w:t>（20分）</w:t>
            </w:r>
          </w:p>
        </w:tc>
        <w:tc>
          <w:tcPr>
            <w:tcW w:w="1560" w:type="dxa"/>
            <w:noWrap w:val="0"/>
            <w:vAlign w:val="center"/>
          </w:tcPr>
          <w:p>
            <w:pPr>
              <w:adjustRightInd w:val="0"/>
              <w:snapToGrid w:val="0"/>
              <w:spacing w:line="440" w:lineRule="exact"/>
              <w:contextualSpacing/>
              <w:jc w:val="center"/>
              <w:rPr>
                <w:rFonts w:hint="eastAsia" w:ascii="宋体" w:hAnsi="宋体" w:eastAsia="宋体" w:cs="宋体"/>
                <w:sz w:val="21"/>
                <w:szCs w:val="21"/>
              </w:rPr>
            </w:pPr>
            <w:r>
              <w:rPr>
                <w:rFonts w:hint="eastAsia" w:ascii="宋体" w:hAnsi="宋体" w:eastAsia="宋体" w:cs="宋体"/>
                <w:sz w:val="21"/>
                <w:szCs w:val="21"/>
              </w:rPr>
              <w:t>类似业绩</w:t>
            </w:r>
          </w:p>
          <w:p>
            <w:pPr>
              <w:adjustRightInd w:val="0"/>
              <w:snapToGrid w:val="0"/>
              <w:spacing w:line="440" w:lineRule="exact"/>
              <w:contextualSpacing/>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7</w:t>
            </w:r>
            <w:r>
              <w:rPr>
                <w:rFonts w:hint="eastAsia" w:ascii="宋体" w:hAnsi="宋体" w:eastAsia="宋体" w:cs="宋体"/>
                <w:sz w:val="21"/>
                <w:szCs w:val="21"/>
              </w:rPr>
              <w:t>分)</w:t>
            </w:r>
          </w:p>
        </w:tc>
        <w:tc>
          <w:tcPr>
            <w:tcW w:w="6095" w:type="dxa"/>
            <w:noWrap w:val="0"/>
            <w:vAlign w:val="center"/>
          </w:tcPr>
          <w:p>
            <w:pPr>
              <w:adjustRightInd w:val="0"/>
              <w:snapToGrid w:val="0"/>
              <w:spacing w:line="440" w:lineRule="exact"/>
              <w:ind w:firstLine="0" w:firstLineChars="0"/>
              <w:contextualSpacing/>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自201</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年1月1日（合同签订时间为准）以来，投标人承担过类似业绩（</w:t>
            </w:r>
            <w:r>
              <w:rPr>
                <w:rFonts w:hint="eastAsia" w:ascii="宋体" w:hAnsi="宋体" w:eastAsia="宋体" w:cs="宋体"/>
                <w:sz w:val="21"/>
                <w:szCs w:val="21"/>
                <w:highlight w:val="none"/>
                <w:lang w:val="en-US" w:eastAsia="zh-CN"/>
              </w:rPr>
              <w:t>单项合同额</w:t>
            </w:r>
            <w:r>
              <w:rPr>
                <w:rFonts w:hint="eastAsia" w:ascii="宋体" w:hAnsi="宋体" w:cs="宋体"/>
                <w:color w:val="auto"/>
                <w:sz w:val="21"/>
                <w:szCs w:val="21"/>
                <w:highlight w:val="none"/>
                <w:lang w:val="en-US" w:eastAsia="zh-CN"/>
              </w:rPr>
              <w:t>200</w:t>
            </w:r>
            <w:r>
              <w:rPr>
                <w:rFonts w:hint="eastAsia" w:ascii="宋体" w:hAnsi="宋体" w:eastAsia="宋体" w:cs="宋体"/>
                <w:sz w:val="21"/>
                <w:szCs w:val="21"/>
                <w:highlight w:val="none"/>
                <w:lang w:val="en-US" w:eastAsia="zh-CN"/>
              </w:rPr>
              <w:t>万元及以上的或设计面积</w:t>
            </w:r>
            <w:r>
              <w:rPr>
                <w:rFonts w:hint="eastAsia" w:ascii="宋体" w:hAnsi="宋体" w:eastAsia="宋体" w:cs="宋体"/>
                <w:color w:val="auto"/>
                <w:sz w:val="21"/>
                <w:szCs w:val="21"/>
                <w:highlight w:val="none"/>
                <w:lang w:val="en-US" w:eastAsia="zh-CN"/>
              </w:rPr>
              <w:t>25000</w:t>
            </w:r>
            <w:r>
              <w:rPr>
                <w:rFonts w:hint="eastAsia" w:ascii="宋体" w:hAnsi="宋体" w:eastAsia="宋体" w:cs="宋体"/>
                <w:sz w:val="21"/>
                <w:szCs w:val="21"/>
                <w:highlight w:val="none"/>
                <w:lang w:val="en-US" w:eastAsia="zh-CN"/>
              </w:rPr>
              <w:t>平米及以上的建筑工程装修设计业绩</w:t>
            </w:r>
            <w:r>
              <w:rPr>
                <w:rFonts w:hint="eastAsia" w:ascii="宋体" w:hAnsi="宋体" w:eastAsia="宋体" w:cs="宋体"/>
                <w:sz w:val="21"/>
                <w:szCs w:val="21"/>
                <w:highlight w:val="none"/>
              </w:rPr>
              <w:t>。每个得</w:t>
            </w:r>
            <w:r>
              <w:rPr>
                <w:rFonts w:hint="eastAsia" w:ascii="宋体" w:hAnsi="宋体" w:eastAsia="宋体" w:cs="宋体"/>
                <w:sz w:val="21"/>
                <w:szCs w:val="21"/>
                <w:highlight w:val="none"/>
                <w:lang w:val="en-US" w:eastAsia="zh-CN"/>
              </w:rPr>
              <w:t>4.5</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分。</w:t>
            </w:r>
          </w:p>
          <w:p>
            <w:pPr>
              <w:adjustRightInd w:val="0"/>
              <w:snapToGrid w:val="0"/>
              <w:spacing w:line="440" w:lineRule="exact"/>
              <w:ind w:firstLine="0" w:firstLineChars="0"/>
              <w:contextualSpacing/>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注：投标人需提供项目中标通知书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如有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、设计合同作为业绩证明材料。需提供业绩证明资料复印件加盖投标人公章，不提供资料或提供不全或证明资料不能反映相关业绩的不得分。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1" w:hRule="atLeast"/>
          <w:jc w:val="center"/>
        </w:trPr>
        <w:tc>
          <w:tcPr>
            <w:tcW w:w="612" w:type="dxa"/>
            <w:vMerge w:val="continue"/>
            <w:noWrap w:val="0"/>
            <w:vAlign w:val="center"/>
          </w:tcPr>
          <w:p>
            <w:pPr>
              <w:widowControl/>
              <w:jc w:val="left"/>
              <w:rPr>
                <w:rFonts w:hint="eastAsia" w:ascii="宋体" w:hAnsi="宋体" w:eastAsia="宋体" w:cs="宋体"/>
                <w:kern w:val="0"/>
                <w:sz w:val="21"/>
                <w:szCs w:val="21"/>
              </w:rPr>
            </w:pPr>
          </w:p>
        </w:tc>
        <w:tc>
          <w:tcPr>
            <w:tcW w:w="979" w:type="dxa"/>
            <w:vMerge w:val="continue"/>
            <w:noWrap w:val="0"/>
            <w:vAlign w:val="center"/>
          </w:tcPr>
          <w:p>
            <w:pPr>
              <w:widowControl/>
              <w:jc w:val="left"/>
              <w:rPr>
                <w:rFonts w:hint="eastAsia" w:ascii="宋体" w:hAnsi="宋体" w:eastAsia="宋体" w:cs="宋体"/>
                <w:kern w:val="0"/>
                <w:sz w:val="21"/>
                <w:szCs w:val="21"/>
              </w:rPr>
            </w:pPr>
          </w:p>
        </w:tc>
        <w:tc>
          <w:tcPr>
            <w:tcW w:w="1560" w:type="dxa"/>
            <w:noWrap w:val="0"/>
            <w:vAlign w:val="center"/>
          </w:tcPr>
          <w:p>
            <w:pPr>
              <w:adjustRightInd w:val="0"/>
              <w:snapToGrid w:val="0"/>
              <w:spacing w:line="440" w:lineRule="exact"/>
              <w:contextualSpacing/>
              <w:jc w:val="center"/>
              <w:rPr>
                <w:rFonts w:hint="eastAsia" w:ascii="宋体" w:hAnsi="宋体" w:eastAsia="宋体" w:cs="宋体"/>
                <w:sz w:val="21"/>
                <w:szCs w:val="21"/>
              </w:rPr>
            </w:pPr>
            <w:r>
              <w:rPr>
                <w:rFonts w:hint="eastAsia" w:ascii="宋体" w:hAnsi="宋体" w:eastAsia="宋体" w:cs="宋体"/>
                <w:sz w:val="21"/>
                <w:szCs w:val="21"/>
                <w:lang w:val="en-US" w:eastAsia="zh-CN"/>
              </w:rPr>
              <w:t>人员团队</w:t>
            </w: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分）</w:t>
            </w:r>
          </w:p>
        </w:tc>
        <w:tc>
          <w:tcPr>
            <w:tcW w:w="6095" w:type="dxa"/>
            <w:noWrap w:val="0"/>
            <w:vAlign w:val="center"/>
          </w:tcPr>
          <w:p>
            <w:pPr>
              <w:adjustRightInd w:val="0"/>
              <w:snapToGrid w:val="0"/>
              <w:spacing w:line="440" w:lineRule="exact"/>
              <w:contextualSpacing/>
              <w:jc w:val="left"/>
              <w:rPr>
                <w:rFonts w:hint="eastAsia" w:ascii="宋体" w:hAnsi="宋体" w:eastAsia="宋体" w:cs="宋体"/>
                <w:sz w:val="21"/>
                <w:szCs w:val="21"/>
              </w:rPr>
            </w:pPr>
            <w:r>
              <w:rPr>
                <w:rFonts w:hint="eastAsia" w:ascii="宋体" w:hAnsi="宋体" w:eastAsia="宋体" w:cs="宋体"/>
                <w:sz w:val="21"/>
                <w:szCs w:val="21"/>
              </w:rPr>
              <w:t>投标人拟投入本项目的技术人员（项目负责人除外）情况：</w:t>
            </w:r>
          </w:p>
          <w:p>
            <w:pPr>
              <w:adjustRightInd w:val="0"/>
              <w:snapToGrid w:val="0"/>
              <w:spacing w:line="440" w:lineRule="exact"/>
              <w:contextualSpacing/>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每有一个相关专业的高级及以上职称的得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，最高得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p>
          <w:p>
            <w:pPr>
              <w:adjustRightInd w:val="0"/>
              <w:snapToGrid w:val="0"/>
              <w:spacing w:line="440" w:lineRule="exact"/>
              <w:contextualSpacing/>
              <w:jc w:val="left"/>
              <w:rPr>
                <w:rFonts w:hint="eastAsia" w:ascii="宋体" w:hAnsi="宋体" w:eastAsia="宋体" w:cs="宋体"/>
                <w:sz w:val="21"/>
                <w:szCs w:val="21"/>
              </w:rPr>
            </w:pPr>
            <w:r>
              <w:rPr>
                <w:rFonts w:hint="eastAsia" w:ascii="宋体" w:hAnsi="宋体" w:eastAsia="宋体" w:cs="宋体"/>
                <w:sz w:val="21"/>
                <w:szCs w:val="21"/>
              </w:rPr>
              <w:t>注：提供</w:t>
            </w:r>
            <w:r>
              <w:rPr>
                <w:rFonts w:hint="eastAsia" w:ascii="宋体" w:hAnsi="宋体" w:eastAsia="宋体" w:cs="宋体"/>
                <w:sz w:val="21"/>
                <w:szCs w:val="21"/>
                <w:lang w:val="en-US" w:eastAsia="zh-CN"/>
              </w:rPr>
              <w:t>职称</w:t>
            </w:r>
            <w:r>
              <w:rPr>
                <w:rFonts w:hint="eastAsia" w:ascii="宋体" w:hAnsi="宋体" w:eastAsia="宋体" w:cs="宋体"/>
                <w:sz w:val="21"/>
                <w:szCs w:val="21"/>
              </w:rPr>
              <w:t>证及在投标单位（不含投标人子公司，含分公司）</w:t>
            </w:r>
            <w:r>
              <w:rPr>
                <w:rFonts w:hint="eastAsia" w:ascii="宋体" w:hAnsi="宋体" w:eastAsia="宋体" w:cs="宋体"/>
                <w:sz w:val="21"/>
                <w:szCs w:val="21"/>
                <w:lang w:val="en-US" w:eastAsia="zh-CN"/>
              </w:rPr>
              <w:t>投标截至时间前一个月</w:t>
            </w:r>
            <w:r>
              <w:rPr>
                <w:rFonts w:hint="eastAsia" w:ascii="宋体" w:hAnsi="宋体" w:eastAsia="宋体" w:cs="宋体"/>
                <w:sz w:val="21"/>
                <w:szCs w:val="21"/>
              </w:rPr>
              <w:t>的社保证明扫描件。社保缴纳期限包含疫情防控期的，若当地政府部门允许企业在疫情防控期间缓缴社会保险费且投标人未缴纳的，投标人可提供当地政府部门允许缓缴社保的相关文件作为缴纳社保的证明。中标后需提供投标文件中人员的社保补缴情况相关证明报招标人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2" w:type="dxa"/>
            <w:vMerge w:val="restart"/>
            <w:noWrap w:val="0"/>
            <w:vAlign w:val="center"/>
          </w:tcPr>
          <w:p>
            <w:pPr>
              <w:adjustRightInd w:val="0"/>
              <w:snapToGrid w:val="0"/>
              <w:spacing w:line="440" w:lineRule="exact"/>
              <w:contextualSpacing/>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979" w:type="dxa"/>
            <w:vMerge w:val="restart"/>
            <w:noWrap w:val="0"/>
            <w:vAlign w:val="center"/>
          </w:tcPr>
          <w:p>
            <w:pPr>
              <w:adjustRightInd w:val="0"/>
              <w:snapToGrid w:val="0"/>
              <w:spacing w:line="440" w:lineRule="exact"/>
              <w:contextualSpacing/>
              <w:jc w:val="center"/>
              <w:rPr>
                <w:rFonts w:hint="eastAsia" w:ascii="宋体" w:hAnsi="宋体" w:eastAsia="宋体" w:cs="宋体"/>
                <w:kern w:val="0"/>
                <w:sz w:val="21"/>
                <w:szCs w:val="21"/>
              </w:rPr>
            </w:pPr>
            <w:r>
              <w:rPr>
                <w:rFonts w:hint="eastAsia" w:ascii="宋体" w:hAnsi="宋体" w:eastAsia="宋体" w:cs="宋体"/>
                <w:spacing w:val="-2"/>
                <w:kern w:val="0"/>
                <w:sz w:val="21"/>
                <w:szCs w:val="21"/>
              </w:rPr>
              <w:t>设计</w:t>
            </w:r>
            <w:r>
              <w:rPr>
                <w:rFonts w:hint="eastAsia" w:ascii="宋体" w:hAnsi="宋体" w:eastAsia="宋体" w:cs="宋体"/>
                <w:spacing w:val="-2"/>
                <w:kern w:val="0"/>
                <w:sz w:val="21"/>
                <w:szCs w:val="21"/>
                <w:lang w:val="en-US" w:eastAsia="zh-CN"/>
              </w:rPr>
              <w:t>方案</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60</w:t>
            </w:r>
            <w:r>
              <w:rPr>
                <w:rFonts w:hint="eastAsia" w:ascii="宋体" w:hAnsi="宋体" w:eastAsia="宋体" w:cs="宋体"/>
                <w:kern w:val="0"/>
                <w:sz w:val="21"/>
                <w:szCs w:val="21"/>
              </w:rPr>
              <w:t>分）</w:t>
            </w:r>
          </w:p>
        </w:tc>
        <w:tc>
          <w:tcPr>
            <w:tcW w:w="1560" w:type="dxa"/>
            <w:noWrap w:val="0"/>
            <w:vAlign w:val="center"/>
          </w:tcPr>
          <w:p>
            <w:pPr>
              <w:adjustRightInd w:val="0"/>
              <w:snapToGrid w:val="0"/>
              <w:spacing w:line="440" w:lineRule="exact"/>
              <w:contextualSpacing/>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设计大纲（30分）</w:t>
            </w:r>
          </w:p>
        </w:tc>
        <w:tc>
          <w:tcPr>
            <w:tcW w:w="6095" w:type="dxa"/>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1）对工程项目建设背景、规模、特点、定位、建设意义、环境影响、经济影响等方面进行表述，表述内容专业、准确、深刻。 </w:t>
            </w:r>
          </w:p>
          <w:p>
            <w:pPr>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优秀，得15-11分，良好，得10-6分，差，得5-0分。 </w:t>
            </w:r>
          </w:p>
          <w:p>
            <w:pPr>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2）对项目室内及智能化设计思路、设计理念、设计亮点和实施路径进行表述，具有一定设计深度，根据其投标文件中的表述内容专业性、准确性、深刻性等方面评分。 </w:t>
            </w:r>
          </w:p>
          <w:p>
            <w:pPr>
              <w:numPr>
                <w:ilvl w:val="0"/>
                <w:numId w:val="0"/>
              </w:numPr>
              <w:adjustRightInd w:val="0"/>
              <w:snapToGrid w:val="0"/>
              <w:spacing w:line="440" w:lineRule="exact"/>
              <w:ind w:leftChars="0"/>
              <w:jc w:val="left"/>
              <w:rPr>
                <w:rFonts w:hint="eastAsia" w:ascii="宋体" w:hAnsi="宋体" w:eastAsia="宋体" w:cs="宋体"/>
                <w:sz w:val="21"/>
                <w:szCs w:val="21"/>
              </w:rPr>
            </w:pPr>
            <w:r>
              <w:rPr>
                <w:rFonts w:hint="eastAsia" w:ascii="宋体" w:hAnsi="宋体" w:eastAsia="宋体" w:cs="宋体"/>
                <w:sz w:val="21"/>
                <w:szCs w:val="21"/>
                <w:lang w:val="en-US" w:eastAsia="zh-CN"/>
              </w:rPr>
              <w:t>优秀，得15-11分，良好，得10-6分，差，得5-0分。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2" w:type="dxa"/>
            <w:vMerge w:val="continue"/>
            <w:noWrap w:val="0"/>
            <w:vAlign w:val="center"/>
          </w:tcPr>
          <w:p>
            <w:pPr>
              <w:widowControl/>
              <w:jc w:val="left"/>
              <w:rPr>
                <w:rFonts w:hint="eastAsia" w:ascii="宋体" w:hAnsi="宋体" w:eastAsia="宋体" w:cs="宋体"/>
                <w:kern w:val="0"/>
                <w:sz w:val="21"/>
                <w:szCs w:val="21"/>
              </w:rPr>
            </w:pPr>
          </w:p>
        </w:tc>
        <w:tc>
          <w:tcPr>
            <w:tcW w:w="979" w:type="dxa"/>
            <w:vMerge w:val="continue"/>
            <w:noWrap w:val="0"/>
            <w:vAlign w:val="center"/>
          </w:tcPr>
          <w:p>
            <w:pPr>
              <w:widowControl/>
              <w:jc w:val="left"/>
              <w:rPr>
                <w:rFonts w:hint="eastAsia" w:ascii="宋体" w:hAnsi="宋体" w:eastAsia="宋体" w:cs="宋体"/>
                <w:kern w:val="0"/>
                <w:sz w:val="21"/>
                <w:szCs w:val="21"/>
              </w:rPr>
            </w:pPr>
          </w:p>
        </w:tc>
        <w:tc>
          <w:tcPr>
            <w:tcW w:w="1560" w:type="dxa"/>
            <w:noWrap w:val="0"/>
            <w:vAlign w:val="center"/>
          </w:tcPr>
          <w:p>
            <w:pPr>
              <w:adjustRightInd w:val="0"/>
              <w:snapToGrid w:val="0"/>
              <w:spacing w:line="440" w:lineRule="exact"/>
              <w:contextualSpacing/>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设计质量及进度 </w:t>
            </w:r>
          </w:p>
          <w:p>
            <w:pPr>
              <w:adjustRightInd w:val="0"/>
              <w:snapToGrid w:val="0"/>
              <w:spacing w:line="440" w:lineRule="exact"/>
              <w:contextualSpacing/>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保证措施（20分）</w:t>
            </w:r>
          </w:p>
        </w:tc>
        <w:tc>
          <w:tcPr>
            <w:tcW w:w="6095" w:type="dxa"/>
            <w:noWrap w:val="0"/>
            <w:vAlign w:val="center"/>
          </w:tcPr>
          <w:p>
            <w:pPr>
              <w:widowControl/>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设计质量的保证措施具体详细，可行性强；设计进度满足招标人需求，安排合理。保障措施得当，可行性强。 </w:t>
            </w:r>
          </w:p>
          <w:p>
            <w:pPr>
              <w:widowControl/>
              <w:jc w:val="left"/>
              <w:rPr>
                <w:rFonts w:hint="eastAsia" w:ascii="宋体" w:hAnsi="宋体" w:eastAsia="宋体" w:cs="宋体"/>
                <w:sz w:val="21"/>
                <w:szCs w:val="21"/>
              </w:rPr>
            </w:pPr>
            <w:r>
              <w:rPr>
                <w:rFonts w:hint="eastAsia" w:ascii="宋体" w:hAnsi="宋体" w:eastAsia="宋体" w:cs="宋体"/>
                <w:sz w:val="21"/>
                <w:szCs w:val="21"/>
                <w:lang w:val="en-US" w:eastAsia="zh-CN"/>
              </w:rPr>
              <w:t>优秀，得20-15分，良好，得14-8分，差，得7-0分。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2" w:type="dxa"/>
            <w:vMerge w:val="continue"/>
            <w:noWrap w:val="0"/>
            <w:vAlign w:val="center"/>
          </w:tcPr>
          <w:p>
            <w:pPr>
              <w:widowControl/>
              <w:jc w:val="left"/>
              <w:rPr>
                <w:rFonts w:hint="eastAsia" w:ascii="宋体" w:hAnsi="宋体" w:eastAsia="宋体" w:cs="宋体"/>
                <w:kern w:val="0"/>
                <w:sz w:val="21"/>
                <w:szCs w:val="21"/>
              </w:rPr>
            </w:pPr>
          </w:p>
        </w:tc>
        <w:tc>
          <w:tcPr>
            <w:tcW w:w="979" w:type="dxa"/>
            <w:vMerge w:val="continue"/>
            <w:noWrap w:val="0"/>
            <w:vAlign w:val="center"/>
          </w:tcPr>
          <w:p>
            <w:pPr>
              <w:widowControl/>
              <w:jc w:val="left"/>
              <w:rPr>
                <w:rFonts w:hint="eastAsia" w:ascii="宋体" w:hAnsi="宋体" w:eastAsia="宋体" w:cs="宋体"/>
                <w:kern w:val="0"/>
                <w:sz w:val="21"/>
                <w:szCs w:val="21"/>
              </w:rPr>
            </w:pPr>
          </w:p>
        </w:tc>
        <w:tc>
          <w:tcPr>
            <w:tcW w:w="1560" w:type="dxa"/>
            <w:noWrap w:val="0"/>
            <w:vAlign w:val="center"/>
          </w:tcPr>
          <w:p>
            <w:pPr>
              <w:adjustRightInd w:val="0"/>
              <w:snapToGrid w:val="0"/>
              <w:spacing w:line="440" w:lineRule="exact"/>
              <w:contextualSpacing/>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成本目标承诺和 </w:t>
            </w:r>
          </w:p>
          <w:p>
            <w:pPr>
              <w:adjustRightInd w:val="0"/>
              <w:snapToGrid w:val="0"/>
              <w:spacing w:line="440" w:lineRule="exact"/>
              <w:contextualSpacing/>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 （5分）</w:t>
            </w:r>
          </w:p>
        </w:tc>
        <w:tc>
          <w:tcPr>
            <w:tcW w:w="6095" w:type="dxa"/>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有成本目标承诺，工程成本控制措施具体详细，可行性强、能有效控制工程投资、保证工程质量。 </w:t>
            </w:r>
          </w:p>
          <w:p>
            <w:pPr>
              <w:numPr>
                <w:ilvl w:val="-1"/>
                <w:numId w:val="0"/>
              </w:numPr>
              <w:adjustRightInd/>
              <w:snapToGrid/>
              <w:spacing w:line="240" w:lineRule="auto"/>
              <w:ind w:leftChars="0"/>
              <w:jc w:val="left"/>
              <w:rPr>
                <w:rFonts w:hint="eastAsia" w:ascii="宋体" w:hAnsi="宋体" w:eastAsia="宋体" w:cs="宋体"/>
                <w:sz w:val="21"/>
                <w:szCs w:val="21"/>
              </w:rPr>
            </w:pPr>
            <w:r>
              <w:rPr>
                <w:rFonts w:hint="eastAsia" w:ascii="宋体" w:hAnsi="宋体" w:eastAsia="宋体" w:cs="宋体"/>
                <w:sz w:val="21"/>
                <w:szCs w:val="21"/>
                <w:lang w:val="en-US" w:eastAsia="zh-CN"/>
              </w:rPr>
              <w:t>优秀，得5</w:t>
            </w:r>
            <w:r>
              <w:rPr>
                <w:rFonts w:hint="eastAsia" w:ascii="宋体" w:hAnsi="宋体" w:eastAsia="宋体" w:cs="宋体"/>
                <w:color w:val="auto"/>
                <w:sz w:val="21"/>
                <w:szCs w:val="21"/>
                <w:lang w:val="en-US" w:eastAsia="zh-CN"/>
              </w:rPr>
              <w:t>-4</w:t>
            </w:r>
            <w:r>
              <w:rPr>
                <w:rFonts w:hint="eastAsia" w:ascii="宋体" w:hAnsi="宋体" w:eastAsia="宋体" w:cs="宋体"/>
                <w:sz w:val="21"/>
                <w:szCs w:val="21"/>
                <w:lang w:val="en-US" w:eastAsia="zh-CN"/>
              </w:rPr>
              <w:t>分，良好，得3</w:t>
            </w:r>
            <w:r>
              <w:rPr>
                <w:rFonts w:hint="eastAsia" w:ascii="宋体" w:hAnsi="宋体" w:eastAsia="宋体" w:cs="宋体"/>
                <w:color w:val="auto"/>
                <w:sz w:val="21"/>
                <w:szCs w:val="21"/>
                <w:lang w:val="en-US" w:eastAsia="zh-CN"/>
              </w:rPr>
              <w:t>-2</w:t>
            </w:r>
            <w:r>
              <w:rPr>
                <w:rFonts w:hint="eastAsia" w:ascii="宋体" w:hAnsi="宋体" w:eastAsia="宋体" w:cs="宋体"/>
                <w:sz w:val="21"/>
                <w:szCs w:val="21"/>
                <w:lang w:val="en-US" w:eastAsia="zh-CN"/>
              </w:rPr>
              <w:t>分，差，得1</w:t>
            </w:r>
            <w:r>
              <w:rPr>
                <w:rFonts w:hint="eastAsia" w:ascii="宋体" w:hAnsi="宋体" w:eastAsia="宋体" w:cs="宋体"/>
                <w:color w:val="auto"/>
                <w:sz w:val="21"/>
                <w:szCs w:val="21"/>
                <w:lang w:val="en-US" w:eastAsia="zh-CN"/>
              </w:rPr>
              <w:t>-0</w:t>
            </w:r>
            <w:r>
              <w:rPr>
                <w:rFonts w:hint="eastAsia" w:ascii="宋体" w:hAnsi="宋体" w:eastAsia="宋体" w:cs="宋体"/>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2" w:hRule="atLeast"/>
          <w:jc w:val="center"/>
        </w:trPr>
        <w:tc>
          <w:tcPr>
            <w:tcW w:w="612" w:type="dxa"/>
            <w:vMerge w:val="continue"/>
            <w:noWrap w:val="0"/>
            <w:vAlign w:val="center"/>
          </w:tcPr>
          <w:p>
            <w:pPr>
              <w:widowControl/>
              <w:jc w:val="left"/>
              <w:rPr>
                <w:rFonts w:hint="eastAsia" w:ascii="宋体" w:hAnsi="宋体" w:eastAsia="宋体" w:cs="宋体"/>
                <w:kern w:val="0"/>
                <w:sz w:val="21"/>
                <w:szCs w:val="21"/>
              </w:rPr>
            </w:pPr>
          </w:p>
        </w:tc>
        <w:tc>
          <w:tcPr>
            <w:tcW w:w="979" w:type="dxa"/>
            <w:vMerge w:val="continue"/>
            <w:noWrap w:val="0"/>
            <w:vAlign w:val="center"/>
          </w:tcPr>
          <w:p>
            <w:pPr>
              <w:widowControl/>
              <w:jc w:val="left"/>
              <w:rPr>
                <w:rFonts w:hint="eastAsia" w:ascii="宋体" w:hAnsi="宋体" w:eastAsia="宋体" w:cs="宋体"/>
                <w:kern w:val="0"/>
                <w:sz w:val="21"/>
                <w:szCs w:val="21"/>
              </w:rPr>
            </w:pPr>
          </w:p>
        </w:tc>
        <w:tc>
          <w:tcPr>
            <w:tcW w:w="1560" w:type="dxa"/>
            <w:noWrap w:val="0"/>
            <w:vAlign w:val="center"/>
          </w:tcPr>
          <w:p>
            <w:pPr>
              <w:adjustRightInd w:val="0"/>
              <w:snapToGrid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合理化建议</w:t>
            </w:r>
          </w:p>
          <w:p>
            <w:pPr>
              <w:adjustRightInd w:val="0"/>
              <w:snapToGrid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6095" w:type="dxa"/>
            <w:noWrap w:val="0"/>
            <w:vAlign w:val="center"/>
          </w:tcPr>
          <w:p>
            <w:pPr>
              <w:jc w:val="left"/>
              <w:rPr>
                <w:rFonts w:hint="eastAsia" w:ascii="宋体" w:hAnsi="宋体" w:eastAsia="宋体" w:cs="宋体"/>
                <w:kern w:val="2"/>
                <w:sz w:val="21"/>
                <w:szCs w:val="21"/>
              </w:rPr>
            </w:pPr>
            <w:r>
              <w:rPr>
                <w:rFonts w:hint="eastAsia" w:ascii="宋体" w:hAnsi="宋体" w:eastAsia="宋体" w:cs="宋体"/>
                <w:kern w:val="2"/>
                <w:sz w:val="21"/>
                <w:szCs w:val="21"/>
              </w:rPr>
              <w:t>根据供应商对本项目提出的合理化建议进行评分。</w:t>
            </w:r>
          </w:p>
          <w:p>
            <w:pPr>
              <w:numPr>
                <w:ilvl w:val="-1"/>
                <w:numId w:val="0"/>
              </w:numPr>
              <w:adjustRightInd/>
              <w:snapToGrid/>
              <w:spacing w:line="240" w:lineRule="auto"/>
              <w:ind w:leftChars="0"/>
              <w:jc w:val="left"/>
              <w:rPr>
                <w:rFonts w:hint="eastAsia" w:ascii="宋体" w:hAnsi="宋体" w:eastAsia="宋体" w:cs="宋体"/>
                <w:sz w:val="21"/>
                <w:szCs w:val="21"/>
              </w:rPr>
            </w:pPr>
            <w:r>
              <w:rPr>
                <w:rFonts w:hint="eastAsia" w:ascii="宋体" w:hAnsi="宋体" w:eastAsia="宋体" w:cs="宋体"/>
                <w:color w:val="auto"/>
                <w:sz w:val="21"/>
                <w:szCs w:val="21"/>
                <w:lang w:val="en-US" w:eastAsia="zh-CN"/>
              </w:rPr>
              <w:t>优秀，得5-4分，良好，得3-2分，差，得1-0分。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2" w:type="dxa"/>
            <w:noWrap w:val="0"/>
            <w:vAlign w:val="center"/>
          </w:tcPr>
          <w:p>
            <w:pPr>
              <w:adjustRightInd w:val="0"/>
              <w:snapToGrid w:val="0"/>
              <w:spacing w:line="440" w:lineRule="exact"/>
              <w:contextualSpacing/>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w:t>
            </w:r>
          </w:p>
        </w:tc>
        <w:tc>
          <w:tcPr>
            <w:tcW w:w="2539" w:type="dxa"/>
            <w:gridSpan w:val="2"/>
            <w:noWrap w:val="0"/>
            <w:vAlign w:val="center"/>
          </w:tcPr>
          <w:p>
            <w:pPr>
              <w:adjustRightInd w:val="0"/>
              <w:snapToGrid w:val="0"/>
              <w:spacing w:line="440" w:lineRule="exact"/>
              <w:contextualSpacing/>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投标报价（</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0分）</w:t>
            </w:r>
          </w:p>
        </w:tc>
        <w:tc>
          <w:tcPr>
            <w:tcW w:w="6095" w:type="dxa"/>
            <w:noWrap w:val="0"/>
            <w:vAlign w:val="center"/>
          </w:tcPr>
          <w:p>
            <w:pPr>
              <w:widowControl/>
              <w:adjustRightInd w:val="0"/>
              <w:snapToGrid w:val="0"/>
              <w:spacing w:line="440" w:lineRule="exact"/>
              <w:rPr>
                <w:rFonts w:hint="eastAsia" w:ascii="宋体" w:hAnsi="宋体" w:eastAsia="宋体" w:cs="宋体"/>
                <w:sz w:val="21"/>
                <w:szCs w:val="21"/>
                <w:lang w:eastAsia="zh-CN"/>
              </w:rPr>
            </w:pPr>
            <w:r>
              <w:rPr>
                <w:rFonts w:hint="eastAsia" w:ascii="宋体" w:hAnsi="宋体" w:eastAsia="宋体" w:cs="宋体"/>
                <w:sz w:val="21"/>
                <w:szCs w:val="21"/>
              </w:rPr>
              <w:t>以通过资格及有效性审查的各投标人的总报价并去掉一个最高价和一个最低价后的算术平均值作为评审基准价</w:t>
            </w:r>
            <w:r>
              <w:rPr>
                <w:rFonts w:hint="eastAsia" w:ascii="宋体" w:hAnsi="宋体" w:eastAsia="宋体" w:cs="宋体"/>
                <w:sz w:val="21"/>
                <w:szCs w:val="21"/>
                <w:lang w:eastAsia="zh-CN"/>
              </w:rPr>
              <w:t>。</w:t>
            </w:r>
          </w:p>
          <w:p>
            <w:pPr>
              <w:widowControl/>
              <w:adjustRightInd w:val="0"/>
              <w:snapToGrid w:val="0"/>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当投标人的总报价</w:t>
            </w:r>
            <w:bookmarkStart w:id="57" w:name="_GoBack"/>
            <w:bookmarkEnd w:id="57"/>
            <w:r>
              <w:rPr>
                <w:rFonts w:hint="eastAsia" w:ascii="宋体" w:hAnsi="宋体" w:eastAsia="宋体" w:cs="宋体"/>
                <w:sz w:val="21"/>
                <w:szCs w:val="21"/>
              </w:rPr>
              <w:t>等于评标基准价时得</w:t>
            </w:r>
            <w:r>
              <w:rPr>
                <w:rFonts w:hint="eastAsia" w:ascii="宋体" w:hAnsi="宋体" w:eastAsia="宋体" w:cs="宋体"/>
                <w:sz w:val="21"/>
                <w:szCs w:val="21"/>
                <w:lang w:val="en-US" w:eastAsia="zh-CN"/>
              </w:rPr>
              <w:t>2</w:t>
            </w:r>
            <w:r>
              <w:rPr>
                <w:rFonts w:hint="eastAsia" w:ascii="宋体" w:hAnsi="宋体" w:eastAsia="宋体" w:cs="宋体"/>
                <w:sz w:val="21"/>
                <w:szCs w:val="21"/>
              </w:rPr>
              <w:t>0分，投标人的总报价每高于或低于评标参考价</w:t>
            </w:r>
            <w:r>
              <w:rPr>
                <w:rFonts w:hint="eastAsia" w:ascii="宋体" w:hAnsi="宋体" w:cs="宋体"/>
                <w:sz w:val="21"/>
                <w:szCs w:val="21"/>
                <w:lang w:val="en-US" w:eastAsia="zh-CN"/>
              </w:rPr>
              <w:t>1</w:t>
            </w:r>
            <w:r>
              <w:rPr>
                <w:rFonts w:hint="eastAsia" w:ascii="宋体" w:hAnsi="宋体" w:eastAsia="宋体" w:cs="宋体"/>
                <w:sz w:val="21"/>
                <w:szCs w:val="21"/>
              </w:rPr>
              <w:t>%，扣</w:t>
            </w:r>
            <w:r>
              <w:rPr>
                <w:rFonts w:hint="eastAsia" w:ascii="宋体" w:hAnsi="宋体" w:cs="宋体"/>
                <w:sz w:val="21"/>
                <w:szCs w:val="21"/>
                <w:lang w:val="en-US" w:eastAsia="zh-CN"/>
              </w:rPr>
              <w:t>0.2</w:t>
            </w:r>
            <w:r>
              <w:rPr>
                <w:rFonts w:hint="eastAsia" w:ascii="宋体" w:hAnsi="宋体" w:eastAsia="宋体" w:cs="宋体"/>
                <w:sz w:val="21"/>
                <w:szCs w:val="21"/>
              </w:rPr>
              <w:t>分，扣至0分为止，得出投标报价得分，精确到小数点后两位</w:t>
            </w:r>
            <w:r>
              <w:rPr>
                <w:rFonts w:hint="eastAsia" w:ascii="宋体" w:hAnsi="宋体" w:eastAsia="宋体" w:cs="宋体"/>
                <w:sz w:val="21"/>
                <w:szCs w:val="21"/>
                <w:lang w:eastAsia="zh-CN"/>
              </w:rPr>
              <w:t>。</w:t>
            </w:r>
          </w:p>
        </w:tc>
      </w:tr>
    </w:tbl>
    <w:p>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eastAsia" w:ascii="宋体" w:hAnsi="宋体" w:eastAsia="宋体" w:cs="宋体"/>
          <w:sz w:val="21"/>
          <w:szCs w:val="21"/>
        </w:rPr>
      </w:pPr>
      <w:r>
        <w:rPr>
          <w:rFonts w:hint="eastAsia" w:ascii="宋体" w:hAnsi="宋体" w:eastAsia="宋体" w:cs="宋体"/>
          <w:sz w:val="21"/>
          <w:szCs w:val="21"/>
        </w:rPr>
        <w:t>评委签名：                                                      日期：</w:t>
      </w:r>
    </w:p>
    <w:p>
      <w:pPr>
        <w:rPr>
          <w:rFonts w:hint="eastAsia" w:ascii="宋体" w:hAnsi="宋体" w:eastAsia="宋体" w:cs="宋体"/>
          <w:sz w:val="21"/>
          <w:szCs w:val="21"/>
          <w:u w:val="single"/>
        </w:rPr>
      </w:pPr>
      <w:r>
        <w:rPr>
          <w:rFonts w:hint="eastAsia" w:ascii="宋体" w:hAnsi="宋体" w:eastAsia="宋体" w:cs="宋体"/>
          <w:sz w:val="21"/>
          <w:szCs w:val="21"/>
          <w:u w:val="single"/>
        </w:rPr>
        <w:br w:type="page"/>
      </w:r>
    </w:p>
    <w:p>
      <w:pPr>
        <w:pStyle w:val="3"/>
        <w:rPr>
          <w:rFonts w:hint="eastAsia" w:ascii="宋体" w:hAnsi="宋体" w:eastAsia="宋体" w:cs="宋体"/>
          <w:sz w:val="21"/>
          <w:szCs w:val="21"/>
          <w:u w:val="single"/>
          <w:lang w:val="en-US" w:eastAsia="zh-CN"/>
        </w:rPr>
      </w:pPr>
      <w:bookmarkStart w:id="42" w:name="_Toc21089"/>
      <w:r>
        <w:rPr>
          <w:rFonts w:hint="eastAsia" w:ascii="宋体" w:hAnsi="宋体" w:eastAsia="宋体" w:cs="宋体"/>
          <w:sz w:val="21"/>
          <w:szCs w:val="21"/>
          <w:u w:val="single"/>
        </w:rPr>
        <w:t>附录</w:t>
      </w:r>
      <w:r>
        <w:rPr>
          <w:rFonts w:hint="eastAsia" w:ascii="宋体" w:hAnsi="宋体" w:eastAsia="宋体" w:cs="宋体"/>
          <w:sz w:val="21"/>
          <w:szCs w:val="21"/>
          <w:u w:val="single"/>
          <w:lang w:val="en-US" w:eastAsia="zh-CN"/>
        </w:rPr>
        <w:t xml:space="preserve">15 </w:t>
      </w:r>
      <w:bookmarkEnd w:id="40"/>
      <w:r>
        <w:rPr>
          <w:rFonts w:hint="eastAsia" w:ascii="宋体" w:hAnsi="宋体" w:eastAsia="宋体" w:cs="宋体"/>
          <w:sz w:val="21"/>
          <w:szCs w:val="21"/>
          <w:u w:val="single"/>
          <w:lang w:val="en-US" w:eastAsia="zh-CN"/>
        </w:rPr>
        <w:t>类似</w:t>
      </w:r>
      <w:r>
        <w:rPr>
          <w:rFonts w:hint="eastAsia" w:ascii="宋体" w:hAnsi="宋体" w:eastAsia="宋体" w:cs="宋体"/>
          <w:sz w:val="21"/>
          <w:szCs w:val="21"/>
          <w:u w:val="single"/>
        </w:rPr>
        <w:t>业绩</w:t>
      </w:r>
      <w:bookmarkEnd w:id="41"/>
      <w:r>
        <w:rPr>
          <w:rFonts w:hint="eastAsia" w:ascii="宋体" w:hAnsi="宋体" w:eastAsia="宋体" w:cs="宋体"/>
          <w:sz w:val="21"/>
          <w:szCs w:val="21"/>
          <w:u w:val="single"/>
          <w:lang w:val="en-US" w:eastAsia="zh-CN"/>
        </w:rPr>
        <w:t>一览表</w:t>
      </w:r>
      <w:bookmarkEnd w:id="42"/>
    </w:p>
    <w:p>
      <w:pPr>
        <w:pStyle w:val="40"/>
        <w:snapToGrid w:val="0"/>
        <w:spacing w:before="0" w:beforeAutospacing="0" w:after="0" w:afterAutospacing="0" w:line="360" w:lineRule="auto"/>
        <w:ind w:firstLine="424" w:firstLineChars="202"/>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类似业绩一览表</w:t>
      </w:r>
    </w:p>
    <w:tbl>
      <w:tblPr>
        <w:tblStyle w:val="45"/>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38"/>
        <w:gridCol w:w="1438"/>
        <w:gridCol w:w="1438"/>
        <w:gridCol w:w="1438"/>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47"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jc w:val="center"/>
              <w:rPr>
                <w:rFonts w:hint="eastAsia" w:ascii="宋体" w:hAnsi="宋体" w:eastAsia="宋体" w:cs="宋体"/>
                <w:b/>
                <w:sz w:val="21"/>
                <w:szCs w:val="21"/>
                <w:u w:val="single"/>
              </w:rPr>
            </w:pPr>
            <w:r>
              <w:rPr>
                <w:rFonts w:hint="eastAsia" w:ascii="宋体" w:hAnsi="宋体" w:eastAsia="宋体" w:cs="宋体"/>
                <w:b/>
                <w:sz w:val="21"/>
                <w:szCs w:val="21"/>
                <w:u w:val="single"/>
              </w:rPr>
              <w:t>序号</w:t>
            </w: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jc w:val="center"/>
              <w:rPr>
                <w:rFonts w:hint="eastAsia" w:ascii="宋体" w:hAnsi="宋体" w:eastAsia="宋体" w:cs="宋体"/>
                <w:b/>
                <w:sz w:val="21"/>
                <w:szCs w:val="21"/>
                <w:u w:val="single"/>
              </w:rPr>
            </w:pPr>
            <w:r>
              <w:rPr>
                <w:rFonts w:hint="eastAsia" w:ascii="宋体" w:hAnsi="宋体" w:eastAsia="宋体" w:cs="宋体"/>
                <w:b/>
                <w:sz w:val="21"/>
                <w:szCs w:val="21"/>
                <w:u w:val="single"/>
              </w:rPr>
              <w:t>项目名称</w:t>
            </w: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jc w:val="center"/>
              <w:rPr>
                <w:rFonts w:hint="eastAsia" w:ascii="宋体" w:hAnsi="宋体" w:eastAsia="宋体" w:cs="宋体"/>
                <w:b/>
                <w:sz w:val="21"/>
                <w:szCs w:val="21"/>
                <w:u w:val="single"/>
              </w:rPr>
            </w:pPr>
            <w:r>
              <w:rPr>
                <w:rFonts w:hint="eastAsia" w:ascii="宋体" w:hAnsi="宋体" w:eastAsia="宋体" w:cs="宋体"/>
                <w:b/>
                <w:sz w:val="21"/>
                <w:szCs w:val="21"/>
                <w:u w:val="single"/>
              </w:rPr>
              <w:t>合同金额</w:t>
            </w: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jc w:val="center"/>
              <w:rPr>
                <w:rFonts w:hint="eastAsia" w:ascii="宋体" w:hAnsi="宋体" w:eastAsia="宋体" w:cs="宋体"/>
                <w:b/>
                <w:sz w:val="21"/>
                <w:szCs w:val="21"/>
                <w:u w:val="single"/>
              </w:rPr>
            </w:pPr>
            <w:r>
              <w:rPr>
                <w:rFonts w:hint="eastAsia" w:ascii="宋体" w:hAnsi="宋体" w:eastAsia="宋体" w:cs="宋体"/>
                <w:b/>
                <w:sz w:val="21"/>
                <w:szCs w:val="21"/>
                <w:u w:val="single"/>
              </w:rPr>
              <w:t>完成时间</w:t>
            </w: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jc w:val="center"/>
              <w:rPr>
                <w:rFonts w:hint="eastAsia" w:ascii="宋体" w:hAnsi="宋体" w:eastAsia="宋体" w:cs="宋体"/>
                <w:b/>
                <w:sz w:val="21"/>
                <w:szCs w:val="21"/>
                <w:u w:val="single"/>
              </w:rPr>
            </w:pPr>
            <w:r>
              <w:rPr>
                <w:rFonts w:hint="eastAsia" w:ascii="宋体" w:hAnsi="宋体" w:eastAsia="宋体" w:cs="宋体"/>
                <w:b/>
                <w:sz w:val="21"/>
                <w:szCs w:val="21"/>
                <w:u w:val="single"/>
              </w:rPr>
              <w:t>业主单位</w:t>
            </w:r>
          </w:p>
        </w:tc>
        <w:tc>
          <w:tcPr>
            <w:tcW w:w="2515"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jc w:val="center"/>
              <w:rPr>
                <w:rFonts w:hint="eastAsia" w:ascii="宋体" w:hAnsi="宋体" w:eastAsia="宋体" w:cs="宋体"/>
                <w:b/>
                <w:sz w:val="21"/>
                <w:szCs w:val="21"/>
                <w:u w:val="single"/>
              </w:rPr>
            </w:pPr>
            <w:r>
              <w:rPr>
                <w:rFonts w:hint="eastAsia" w:ascii="宋体" w:hAnsi="宋体" w:eastAsia="宋体" w:cs="宋体"/>
                <w:b/>
                <w:sz w:val="21"/>
                <w:szCs w:val="21"/>
                <w:u w:val="single"/>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2515"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2515"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2515"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c>
          <w:tcPr>
            <w:tcW w:w="2515" w:type="dxa"/>
            <w:tcBorders>
              <w:top w:val="single" w:color="auto" w:sz="4" w:space="0"/>
              <w:left w:val="single" w:color="auto" w:sz="4" w:space="0"/>
              <w:bottom w:val="single" w:color="auto" w:sz="4" w:space="0"/>
              <w:right w:val="single" w:color="auto" w:sz="4" w:space="0"/>
            </w:tcBorders>
            <w:noWrap w:val="0"/>
            <w:vAlign w:val="top"/>
          </w:tcPr>
          <w:p>
            <w:pPr>
              <w:spacing w:before="156" w:after="156" w:line="400" w:lineRule="exact"/>
              <w:rPr>
                <w:rFonts w:hint="eastAsia" w:ascii="宋体" w:hAnsi="宋体" w:eastAsia="宋体" w:cs="宋体"/>
                <w:sz w:val="21"/>
                <w:szCs w:val="21"/>
                <w:u w:val="single"/>
              </w:rPr>
            </w:pPr>
          </w:p>
        </w:tc>
      </w:tr>
    </w:tbl>
    <w:p>
      <w:pPr>
        <w:spacing w:before="156" w:after="156" w:line="360" w:lineRule="auto"/>
        <w:ind w:left="315" w:leftChars="150"/>
        <w:rPr>
          <w:rFonts w:hint="eastAsia" w:ascii="宋体" w:hAnsi="宋体" w:eastAsia="宋体" w:cs="宋体"/>
          <w:sz w:val="21"/>
          <w:szCs w:val="21"/>
          <w:u w:val="single"/>
        </w:rPr>
      </w:pPr>
      <w:r>
        <w:rPr>
          <w:rFonts w:hint="eastAsia" w:ascii="宋体" w:hAnsi="宋体" w:eastAsia="宋体" w:cs="宋体"/>
          <w:sz w:val="21"/>
          <w:szCs w:val="21"/>
          <w:u w:val="single"/>
        </w:rPr>
        <w:t>（此表可延长）</w:t>
      </w:r>
    </w:p>
    <w:p>
      <w:pPr>
        <w:spacing w:before="156" w:after="156" w:line="360" w:lineRule="auto"/>
        <w:ind w:left="315" w:leftChars="150"/>
        <w:rPr>
          <w:rFonts w:hint="eastAsia" w:ascii="宋体" w:hAnsi="宋体" w:eastAsia="宋体" w:cs="宋体"/>
          <w:sz w:val="21"/>
          <w:szCs w:val="21"/>
          <w:u w:val="single"/>
        </w:rPr>
      </w:pPr>
      <w:r>
        <w:rPr>
          <w:rFonts w:hint="eastAsia" w:ascii="宋体" w:hAnsi="宋体" w:eastAsia="宋体" w:cs="宋体"/>
          <w:sz w:val="21"/>
          <w:szCs w:val="21"/>
          <w:u w:val="single"/>
        </w:rPr>
        <w:t>注：</w:t>
      </w:r>
      <w:r>
        <w:rPr>
          <w:rFonts w:hint="eastAsia" w:ascii="宋体" w:hAnsi="宋体" w:eastAsia="宋体" w:cs="宋体"/>
          <w:sz w:val="21"/>
          <w:szCs w:val="21"/>
          <w:u w:val="single"/>
          <w:lang w:val="en-US" w:eastAsia="zh-CN"/>
        </w:rPr>
        <w:t>按《综合评分表》中要求提供相关证明材料</w:t>
      </w:r>
      <w:r>
        <w:rPr>
          <w:rFonts w:hint="eastAsia" w:ascii="宋体" w:hAnsi="宋体" w:eastAsia="宋体" w:cs="宋体"/>
          <w:sz w:val="21"/>
          <w:szCs w:val="21"/>
          <w:u w:val="single"/>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3"/>
        <w:rPr>
          <w:rFonts w:hint="eastAsia" w:ascii="宋体" w:hAnsi="宋体" w:eastAsia="宋体" w:cs="宋体"/>
          <w:color w:val="auto"/>
          <w:sz w:val="21"/>
          <w:szCs w:val="21"/>
          <w:highlight w:val="none"/>
        </w:rPr>
      </w:pPr>
      <w:bookmarkStart w:id="43" w:name="_Toc6311"/>
      <w:r>
        <w:rPr>
          <w:rFonts w:hint="eastAsia" w:ascii="宋体" w:hAnsi="宋体" w:eastAsia="宋体" w:cs="宋体"/>
          <w:color w:val="auto"/>
          <w:sz w:val="21"/>
          <w:szCs w:val="21"/>
          <w:highlight w:val="none"/>
        </w:rPr>
        <w:t>附录1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拟投入的人员基本情况</w:t>
      </w:r>
      <w:r>
        <w:rPr>
          <w:rFonts w:hint="eastAsia" w:ascii="宋体" w:hAnsi="宋体" w:eastAsia="宋体" w:cs="宋体"/>
          <w:color w:val="auto"/>
          <w:sz w:val="21"/>
          <w:szCs w:val="21"/>
          <w:highlight w:val="none"/>
          <w:lang w:val="en-US" w:eastAsia="zh-CN"/>
        </w:rPr>
        <w:t>汇总</w:t>
      </w:r>
      <w:r>
        <w:rPr>
          <w:rFonts w:hint="eastAsia" w:ascii="宋体" w:hAnsi="宋体" w:eastAsia="宋体" w:cs="宋体"/>
          <w:color w:val="auto"/>
          <w:sz w:val="21"/>
          <w:szCs w:val="21"/>
          <w:highlight w:val="none"/>
        </w:rPr>
        <w:t>表</w:t>
      </w:r>
      <w:bookmarkEnd w:id="43"/>
    </w:p>
    <w:p>
      <w:pPr>
        <w:pStyle w:val="40"/>
        <w:snapToGrid w:val="0"/>
        <w:spacing w:before="0" w:beforeAutospacing="0" w:after="0" w:afterAutospacing="0" w:line="360" w:lineRule="auto"/>
        <w:ind w:firstLine="424" w:firstLineChars="20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本项目拟投入的人员基本情况汇总表</w:t>
      </w:r>
    </w:p>
    <w:tbl>
      <w:tblPr>
        <w:tblStyle w:val="4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001"/>
        <w:gridCol w:w="1366"/>
        <w:gridCol w:w="1332"/>
        <w:gridCol w:w="1353"/>
        <w:gridCol w:w="1180"/>
        <w:gridCol w:w="1368"/>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01"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366"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332"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执业资格</w:t>
            </w:r>
          </w:p>
        </w:tc>
        <w:tc>
          <w:tcPr>
            <w:tcW w:w="1353"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180"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从事相关工作年限</w:t>
            </w:r>
          </w:p>
        </w:tc>
        <w:tc>
          <w:tcPr>
            <w:tcW w:w="1368"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在本项目担任的职务</w:t>
            </w:r>
          </w:p>
        </w:tc>
        <w:tc>
          <w:tcPr>
            <w:tcW w:w="864"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vAlign w:val="center"/>
          </w:tcPr>
          <w:p>
            <w:pPr>
              <w:snapToGrid w:val="0"/>
              <w:jc w:val="center"/>
              <w:rPr>
                <w:rFonts w:hint="eastAsia" w:ascii="宋体" w:hAnsi="宋体" w:eastAsia="宋体" w:cs="宋体"/>
                <w:color w:val="auto"/>
                <w:sz w:val="21"/>
                <w:szCs w:val="21"/>
                <w:highlight w:val="none"/>
              </w:rPr>
            </w:pPr>
          </w:p>
        </w:tc>
        <w:tc>
          <w:tcPr>
            <w:tcW w:w="1001" w:type="dxa"/>
            <w:vAlign w:val="center"/>
          </w:tcPr>
          <w:p>
            <w:pPr>
              <w:snapToGrid w:val="0"/>
              <w:jc w:val="center"/>
              <w:rPr>
                <w:rFonts w:hint="eastAsia" w:ascii="宋体" w:hAnsi="宋体" w:eastAsia="宋体" w:cs="宋体"/>
                <w:color w:val="auto"/>
                <w:sz w:val="21"/>
                <w:szCs w:val="21"/>
                <w:highlight w:val="none"/>
              </w:rPr>
            </w:pPr>
          </w:p>
        </w:tc>
        <w:tc>
          <w:tcPr>
            <w:tcW w:w="1366" w:type="dxa"/>
            <w:vAlign w:val="center"/>
          </w:tcPr>
          <w:p>
            <w:pPr>
              <w:snapToGrid w:val="0"/>
              <w:jc w:val="center"/>
              <w:rPr>
                <w:rFonts w:hint="eastAsia" w:ascii="宋体" w:hAnsi="宋体" w:eastAsia="宋体" w:cs="宋体"/>
                <w:color w:val="auto"/>
                <w:sz w:val="21"/>
                <w:szCs w:val="21"/>
                <w:highlight w:val="none"/>
              </w:rPr>
            </w:pPr>
          </w:p>
        </w:tc>
        <w:tc>
          <w:tcPr>
            <w:tcW w:w="1332" w:type="dxa"/>
          </w:tcPr>
          <w:p>
            <w:pPr>
              <w:snapToGrid w:val="0"/>
              <w:jc w:val="center"/>
              <w:rPr>
                <w:rFonts w:hint="eastAsia" w:ascii="宋体" w:hAnsi="宋体" w:eastAsia="宋体" w:cs="宋体"/>
                <w:color w:val="auto"/>
                <w:spacing w:val="-6"/>
                <w:sz w:val="21"/>
                <w:szCs w:val="21"/>
                <w:highlight w:val="none"/>
              </w:rPr>
            </w:pPr>
          </w:p>
        </w:tc>
        <w:tc>
          <w:tcPr>
            <w:tcW w:w="1353" w:type="dxa"/>
            <w:vAlign w:val="center"/>
          </w:tcPr>
          <w:p>
            <w:pPr>
              <w:snapToGrid w:val="0"/>
              <w:jc w:val="center"/>
              <w:rPr>
                <w:rFonts w:hint="eastAsia" w:ascii="宋体" w:hAnsi="宋体" w:eastAsia="宋体" w:cs="宋体"/>
                <w:color w:val="auto"/>
                <w:spacing w:val="-6"/>
                <w:sz w:val="21"/>
                <w:szCs w:val="21"/>
                <w:highlight w:val="none"/>
              </w:rPr>
            </w:pPr>
          </w:p>
        </w:tc>
        <w:tc>
          <w:tcPr>
            <w:tcW w:w="1180" w:type="dxa"/>
            <w:vAlign w:val="center"/>
          </w:tcPr>
          <w:p>
            <w:pPr>
              <w:snapToGrid w:val="0"/>
              <w:jc w:val="center"/>
              <w:rPr>
                <w:rFonts w:hint="eastAsia" w:ascii="宋体" w:hAnsi="宋体" w:eastAsia="宋体" w:cs="宋体"/>
                <w:color w:val="auto"/>
                <w:sz w:val="21"/>
                <w:szCs w:val="21"/>
                <w:highlight w:val="none"/>
              </w:rPr>
            </w:pPr>
          </w:p>
        </w:tc>
        <w:tc>
          <w:tcPr>
            <w:tcW w:w="1368" w:type="dxa"/>
            <w:vAlign w:val="center"/>
          </w:tcPr>
          <w:p>
            <w:pPr>
              <w:snapToGrid w:val="0"/>
              <w:jc w:val="center"/>
              <w:rPr>
                <w:rFonts w:hint="eastAsia" w:ascii="宋体" w:hAnsi="宋体" w:eastAsia="宋体" w:cs="宋体"/>
                <w:color w:val="auto"/>
                <w:sz w:val="21"/>
                <w:szCs w:val="21"/>
                <w:highlight w:val="none"/>
              </w:rPr>
            </w:pPr>
          </w:p>
        </w:tc>
        <w:tc>
          <w:tcPr>
            <w:tcW w:w="864" w:type="dxa"/>
            <w:vAlign w:val="center"/>
          </w:tcPr>
          <w:p>
            <w:pPr>
              <w:snapToGrid w:val="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vAlign w:val="center"/>
          </w:tcPr>
          <w:p>
            <w:pPr>
              <w:snapToGrid w:val="0"/>
              <w:jc w:val="center"/>
              <w:rPr>
                <w:rFonts w:hint="eastAsia" w:ascii="宋体" w:hAnsi="宋体" w:eastAsia="宋体" w:cs="宋体"/>
                <w:color w:val="auto"/>
                <w:sz w:val="21"/>
                <w:szCs w:val="21"/>
                <w:highlight w:val="none"/>
              </w:rPr>
            </w:pPr>
          </w:p>
        </w:tc>
        <w:tc>
          <w:tcPr>
            <w:tcW w:w="1001" w:type="dxa"/>
            <w:vAlign w:val="center"/>
          </w:tcPr>
          <w:p>
            <w:pPr>
              <w:snapToGrid w:val="0"/>
              <w:jc w:val="center"/>
              <w:rPr>
                <w:rFonts w:hint="eastAsia" w:ascii="宋体" w:hAnsi="宋体" w:eastAsia="宋体" w:cs="宋体"/>
                <w:color w:val="auto"/>
                <w:sz w:val="21"/>
                <w:szCs w:val="21"/>
                <w:highlight w:val="none"/>
              </w:rPr>
            </w:pPr>
          </w:p>
        </w:tc>
        <w:tc>
          <w:tcPr>
            <w:tcW w:w="1366" w:type="dxa"/>
            <w:vAlign w:val="center"/>
          </w:tcPr>
          <w:p>
            <w:pPr>
              <w:snapToGrid w:val="0"/>
              <w:jc w:val="center"/>
              <w:rPr>
                <w:rFonts w:hint="eastAsia" w:ascii="宋体" w:hAnsi="宋体" w:eastAsia="宋体" w:cs="宋体"/>
                <w:color w:val="auto"/>
                <w:sz w:val="21"/>
                <w:szCs w:val="21"/>
                <w:highlight w:val="none"/>
              </w:rPr>
            </w:pPr>
          </w:p>
        </w:tc>
        <w:tc>
          <w:tcPr>
            <w:tcW w:w="1332" w:type="dxa"/>
          </w:tcPr>
          <w:p>
            <w:pPr>
              <w:snapToGrid w:val="0"/>
              <w:jc w:val="center"/>
              <w:rPr>
                <w:rFonts w:hint="eastAsia" w:ascii="宋体" w:hAnsi="宋体" w:eastAsia="宋体" w:cs="宋体"/>
                <w:color w:val="auto"/>
                <w:sz w:val="21"/>
                <w:szCs w:val="21"/>
                <w:highlight w:val="none"/>
              </w:rPr>
            </w:pPr>
          </w:p>
        </w:tc>
        <w:tc>
          <w:tcPr>
            <w:tcW w:w="1353" w:type="dxa"/>
            <w:vAlign w:val="center"/>
          </w:tcPr>
          <w:p>
            <w:pPr>
              <w:snapToGrid w:val="0"/>
              <w:jc w:val="center"/>
              <w:rPr>
                <w:rFonts w:hint="eastAsia" w:ascii="宋体" w:hAnsi="宋体" w:eastAsia="宋体" w:cs="宋体"/>
                <w:color w:val="auto"/>
                <w:sz w:val="21"/>
                <w:szCs w:val="21"/>
                <w:highlight w:val="none"/>
              </w:rPr>
            </w:pPr>
          </w:p>
        </w:tc>
        <w:tc>
          <w:tcPr>
            <w:tcW w:w="1180" w:type="dxa"/>
            <w:vAlign w:val="center"/>
          </w:tcPr>
          <w:p>
            <w:pPr>
              <w:snapToGrid w:val="0"/>
              <w:jc w:val="center"/>
              <w:rPr>
                <w:rFonts w:hint="eastAsia" w:ascii="宋体" w:hAnsi="宋体" w:eastAsia="宋体" w:cs="宋体"/>
                <w:color w:val="auto"/>
                <w:sz w:val="21"/>
                <w:szCs w:val="21"/>
                <w:highlight w:val="none"/>
              </w:rPr>
            </w:pPr>
          </w:p>
        </w:tc>
        <w:tc>
          <w:tcPr>
            <w:tcW w:w="1368" w:type="dxa"/>
            <w:vAlign w:val="center"/>
          </w:tcPr>
          <w:p>
            <w:pPr>
              <w:snapToGrid w:val="0"/>
              <w:jc w:val="center"/>
              <w:rPr>
                <w:rFonts w:hint="eastAsia" w:ascii="宋体" w:hAnsi="宋体" w:eastAsia="宋体" w:cs="宋体"/>
                <w:color w:val="auto"/>
                <w:sz w:val="21"/>
                <w:szCs w:val="21"/>
                <w:highlight w:val="none"/>
              </w:rPr>
            </w:pPr>
          </w:p>
        </w:tc>
        <w:tc>
          <w:tcPr>
            <w:tcW w:w="864" w:type="dxa"/>
            <w:vAlign w:val="center"/>
          </w:tcPr>
          <w:p>
            <w:pPr>
              <w:snapToGrid w:val="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vAlign w:val="center"/>
          </w:tcPr>
          <w:p>
            <w:pPr>
              <w:snapToGrid w:val="0"/>
              <w:jc w:val="center"/>
              <w:rPr>
                <w:rFonts w:hint="eastAsia" w:ascii="宋体" w:hAnsi="宋体" w:eastAsia="宋体" w:cs="宋体"/>
                <w:color w:val="auto"/>
                <w:sz w:val="21"/>
                <w:szCs w:val="21"/>
                <w:highlight w:val="none"/>
              </w:rPr>
            </w:pPr>
          </w:p>
        </w:tc>
        <w:tc>
          <w:tcPr>
            <w:tcW w:w="1001" w:type="dxa"/>
            <w:vAlign w:val="center"/>
          </w:tcPr>
          <w:p>
            <w:pPr>
              <w:snapToGrid w:val="0"/>
              <w:jc w:val="center"/>
              <w:rPr>
                <w:rFonts w:hint="eastAsia" w:ascii="宋体" w:hAnsi="宋体" w:eastAsia="宋体" w:cs="宋体"/>
                <w:color w:val="auto"/>
                <w:sz w:val="21"/>
                <w:szCs w:val="21"/>
                <w:highlight w:val="none"/>
              </w:rPr>
            </w:pPr>
          </w:p>
        </w:tc>
        <w:tc>
          <w:tcPr>
            <w:tcW w:w="1366" w:type="dxa"/>
            <w:vAlign w:val="center"/>
          </w:tcPr>
          <w:p>
            <w:pPr>
              <w:snapToGrid w:val="0"/>
              <w:jc w:val="center"/>
              <w:rPr>
                <w:rFonts w:hint="eastAsia" w:ascii="宋体" w:hAnsi="宋体" w:eastAsia="宋体" w:cs="宋体"/>
                <w:color w:val="auto"/>
                <w:sz w:val="21"/>
                <w:szCs w:val="21"/>
                <w:highlight w:val="none"/>
              </w:rPr>
            </w:pPr>
          </w:p>
        </w:tc>
        <w:tc>
          <w:tcPr>
            <w:tcW w:w="1332" w:type="dxa"/>
          </w:tcPr>
          <w:p>
            <w:pPr>
              <w:snapToGrid w:val="0"/>
              <w:jc w:val="center"/>
              <w:rPr>
                <w:rFonts w:hint="eastAsia" w:ascii="宋体" w:hAnsi="宋体" w:eastAsia="宋体" w:cs="宋体"/>
                <w:color w:val="auto"/>
                <w:sz w:val="21"/>
                <w:szCs w:val="21"/>
                <w:highlight w:val="none"/>
              </w:rPr>
            </w:pPr>
          </w:p>
        </w:tc>
        <w:tc>
          <w:tcPr>
            <w:tcW w:w="1353" w:type="dxa"/>
            <w:vAlign w:val="center"/>
          </w:tcPr>
          <w:p>
            <w:pPr>
              <w:snapToGrid w:val="0"/>
              <w:jc w:val="center"/>
              <w:rPr>
                <w:rFonts w:hint="eastAsia" w:ascii="宋体" w:hAnsi="宋体" w:eastAsia="宋体" w:cs="宋体"/>
                <w:color w:val="auto"/>
                <w:sz w:val="21"/>
                <w:szCs w:val="21"/>
                <w:highlight w:val="none"/>
              </w:rPr>
            </w:pPr>
          </w:p>
        </w:tc>
        <w:tc>
          <w:tcPr>
            <w:tcW w:w="1180" w:type="dxa"/>
            <w:vAlign w:val="center"/>
          </w:tcPr>
          <w:p>
            <w:pPr>
              <w:snapToGrid w:val="0"/>
              <w:jc w:val="center"/>
              <w:rPr>
                <w:rFonts w:hint="eastAsia" w:ascii="宋体" w:hAnsi="宋体" w:eastAsia="宋体" w:cs="宋体"/>
                <w:color w:val="auto"/>
                <w:sz w:val="21"/>
                <w:szCs w:val="21"/>
                <w:highlight w:val="none"/>
              </w:rPr>
            </w:pPr>
          </w:p>
        </w:tc>
        <w:tc>
          <w:tcPr>
            <w:tcW w:w="1368" w:type="dxa"/>
            <w:vAlign w:val="center"/>
          </w:tcPr>
          <w:p>
            <w:pPr>
              <w:snapToGrid w:val="0"/>
              <w:jc w:val="center"/>
              <w:rPr>
                <w:rFonts w:hint="eastAsia" w:ascii="宋体" w:hAnsi="宋体" w:eastAsia="宋体" w:cs="宋体"/>
                <w:color w:val="auto"/>
                <w:sz w:val="21"/>
                <w:szCs w:val="21"/>
                <w:highlight w:val="none"/>
              </w:rPr>
            </w:pPr>
          </w:p>
        </w:tc>
        <w:tc>
          <w:tcPr>
            <w:tcW w:w="864" w:type="dxa"/>
            <w:vAlign w:val="center"/>
          </w:tcPr>
          <w:p>
            <w:pPr>
              <w:snapToGrid w:val="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vAlign w:val="center"/>
          </w:tcPr>
          <w:p>
            <w:pPr>
              <w:snapToGrid w:val="0"/>
              <w:jc w:val="center"/>
              <w:rPr>
                <w:rFonts w:hint="eastAsia" w:ascii="宋体" w:hAnsi="宋体" w:eastAsia="宋体" w:cs="宋体"/>
                <w:color w:val="auto"/>
                <w:sz w:val="21"/>
                <w:szCs w:val="21"/>
                <w:highlight w:val="none"/>
              </w:rPr>
            </w:pPr>
          </w:p>
        </w:tc>
        <w:tc>
          <w:tcPr>
            <w:tcW w:w="1001" w:type="dxa"/>
            <w:vAlign w:val="center"/>
          </w:tcPr>
          <w:p>
            <w:pPr>
              <w:snapToGrid w:val="0"/>
              <w:jc w:val="center"/>
              <w:rPr>
                <w:rFonts w:hint="eastAsia" w:ascii="宋体" w:hAnsi="宋体" w:eastAsia="宋体" w:cs="宋体"/>
                <w:color w:val="auto"/>
                <w:sz w:val="21"/>
                <w:szCs w:val="21"/>
                <w:highlight w:val="none"/>
              </w:rPr>
            </w:pPr>
          </w:p>
        </w:tc>
        <w:tc>
          <w:tcPr>
            <w:tcW w:w="1366" w:type="dxa"/>
            <w:vAlign w:val="center"/>
          </w:tcPr>
          <w:p>
            <w:pPr>
              <w:snapToGrid w:val="0"/>
              <w:jc w:val="center"/>
              <w:rPr>
                <w:rFonts w:hint="eastAsia" w:ascii="宋体" w:hAnsi="宋体" w:eastAsia="宋体" w:cs="宋体"/>
                <w:color w:val="auto"/>
                <w:sz w:val="21"/>
                <w:szCs w:val="21"/>
                <w:highlight w:val="none"/>
              </w:rPr>
            </w:pPr>
          </w:p>
        </w:tc>
        <w:tc>
          <w:tcPr>
            <w:tcW w:w="1332" w:type="dxa"/>
          </w:tcPr>
          <w:p>
            <w:pPr>
              <w:snapToGrid w:val="0"/>
              <w:jc w:val="center"/>
              <w:rPr>
                <w:rFonts w:hint="eastAsia" w:ascii="宋体" w:hAnsi="宋体" w:eastAsia="宋体" w:cs="宋体"/>
                <w:color w:val="auto"/>
                <w:sz w:val="21"/>
                <w:szCs w:val="21"/>
                <w:highlight w:val="none"/>
              </w:rPr>
            </w:pPr>
          </w:p>
        </w:tc>
        <w:tc>
          <w:tcPr>
            <w:tcW w:w="1353" w:type="dxa"/>
            <w:vAlign w:val="center"/>
          </w:tcPr>
          <w:p>
            <w:pPr>
              <w:snapToGrid w:val="0"/>
              <w:jc w:val="center"/>
              <w:rPr>
                <w:rFonts w:hint="eastAsia" w:ascii="宋体" w:hAnsi="宋体" w:eastAsia="宋体" w:cs="宋体"/>
                <w:color w:val="auto"/>
                <w:sz w:val="21"/>
                <w:szCs w:val="21"/>
                <w:highlight w:val="none"/>
              </w:rPr>
            </w:pPr>
          </w:p>
        </w:tc>
        <w:tc>
          <w:tcPr>
            <w:tcW w:w="1180" w:type="dxa"/>
            <w:vAlign w:val="center"/>
          </w:tcPr>
          <w:p>
            <w:pPr>
              <w:snapToGrid w:val="0"/>
              <w:jc w:val="center"/>
              <w:rPr>
                <w:rFonts w:hint="eastAsia" w:ascii="宋体" w:hAnsi="宋体" w:eastAsia="宋体" w:cs="宋体"/>
                <w:color w:val="auto"/>
                <w:sz w:val="21"/>
                <w:szCs w:val="21"/>
                <w:highlight w:val="none"/>
              </w:rPr>
            </w:pPr>
          </w:p>
        </w:tc>
        <w:tc>
          <w:tcPr>
            <w:tcW w:w="1368" w:type="dxa"/>
            <w:vAlign w:val="center"/>
          </w:tcPr>
          <w:p>
            <w:pPr>
              <w:snapToGrid w:val="0"/>
              <w:jc w:val="center"/>
              <w:rPr>
                <w:rFonts w:hint="eastAsia" w:ascii="宋体" w:hAnsi="宋体" w:eastAsia="宋体" w:cs="宋体"/>
                <w:color w:val="auto"/>
                <w:sz w:val="21"/>
                <w:szCs w:val="21"/>
                <w:highlight w:val="none"/>
              </w:rPr>
            </w:pPr>
          </w:p>
        </w:tc>
        <w:tc>
          <w:tcPr>
            <w:tcW w:w="864" w:type="dxa"/>
            <w:vAlign w:val="center"/>
          </w:tcPr>
          <w:p>
            <w:pPr>
              <w:snapToGrid w:val="0"/>
              <w:jc w:val="center"/>
              <w:rPr>
                <w:rFonts w:hint="eastAsia" w:ascii="宋体" w:hAnsi="宋体" w:eastAsia="宋体" w:cs="宋体"/>
                <w:color w:val="auto"/>
                <w:sz w:val="21"/>
                <w:szCs w:val="21"/>
                <w:highlight w:val="none"/>
              </w:rPr>
            </w:pPr>
          </w:p>
        </w:tc>
      </w:tr>
    </w:tbl>
    <w:p>
      <w:pPr>
        <w:spacing w:line="360" w:lineRule="auto"/>
        <w:ind w:left="420" w:leftChars="10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投标人应根据设计任务书要求和招标项目的实际需要，列出项目负责人及各专业负责人，需提供相关证书扫描件。</w:t>
      </w:r>
    </w:p>
    <w:p>
      <w:pPr>
        <w:spacing w:line="360" w:lineRule="auto"/>
        <w:ind w:left="420" w:leftChars="100" w:hanging="210" w:hanging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此表可延长</w:t>
      </w:r>
      <w:r>
        <w:rPr>
          <w:rFonts w:hint="eastAsia" w:ascii="宋体" w:hAnsi="宋体" w:eastAsia="宋体" w:cs="宋体"/>
          <w:color w:val="auto"/>
          <w:sz w:val="21"/>
          <w:szCs w:val="21"/>
          <w:highlight w:val="none"/>
          <w:lang w:eastAsia="zh-CN"/>
        </w:rPr>
        <w:t>。</w:t>
      </w:r>
    </w:p>
    <w:p>
      <w:pPr>
        <w:spacing w:line="360" w:lineRule="auto"/>
        <w:ind w:left="420" w:leftChars="10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3.按《综合评分表》中要求提供相关证明材料</w:t>
      </w:r>
      <w:r>
        <w:rPr>
          <w:rFonts w:hint="eastAsia" w:ascii="宋体" w:hAnsi="宋体" w:eastAsia="宋体" w:cs="宋体"/>
          <w:color w:val="auto"/>
          <w:sz w:val="21"/>
          <w:szCs w:val="21"/>
          <w:highlight w:val="none"/>
        </w:rPr>
        <w:t>。</w:t>
      </w:r>
    </w:p>
    <w:p>
      <w:pPr>
        <w:pStyle w:val="40"/>
        <w:snapToGrid w:val="0"/>
        <w:spacing w:before="0" w:beforeAutospacing="0" w:after="0" w:afterAutospacing="0" w:line="360" w:lineRule="auto"/>
        <w:ind w:firstLine="424" w:firstLineChars="202"/>
        <w:jc w:val="center"/>
        <w:rPr>
          <w:rFonts w:hint="eastAsia" w:ascii="宋体" w:hAnsi="宋体" w:eastAsia="宋体" w:cs="宋体"/>
          <w:b/>
          <w:color w:val="auto"/>
          <w:sz w:val="21"/>
          <w:szCs w:val="21"/>
          <w:highlight w:val="none"/>
        </w:rPr>
      </w:pPr>
    </w:p>
    <w:p>
      <w:pPr>
        <w:autoSpaceDE w:val="0"/>
        <w:autoSpaceDN w:val="0"/>
        <w:adjustRightInd w:val="0"/>
        <w:spacing w:line="0" w:lineRule="atLeast"/>
        <w:ind w:left="56" w:leftChars="27" w:right="144" w:firstLine="451" w:firstLineChars="215"/>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br w:type="page"/>
      </w:r>
    </w:p>
    <w:p>
      <w:pPr>
        <w:pStyle w:val="3"/>
        <w:rPr>
          <w:rFonts w:hint="eastAsia" w:ascii="宋体" w:hAnsi="宋体" w:eastAsia="宋体" w:cs="宋体"/>
          <w:color w:val="auto"/>
          <w:sz w:val="21"/>
          <w:szCs w:val="21"/>
          <w:highlight w:val="none"/>
        </w:rPr>
      </w:pPr>
      <w:bookmarkStart w:id="44" w:name="_Toc9080"/>
      <w:r>
        <w:rPr>
          <w:rFonts w:hint="eastAsia" w:ascii="宋体" w:hAnsi="宋体" w:eastAsia="宋体" w:cs="宋体"/>
          <w:color w:val="auto"/>
          <w:sz w:val="21"/>
          <w:szCs w:val="21"/>
          <w:highlight w:val="none"/>
        </w:rPr>
        <w:t>附录1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定标委员会的组成</w:t>
      </w:r>
      <w:bookmarkEnd w:id="44"/>
    </w:p>
    <w:p>
      <w:pPr>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定标委员会的组成</w:t>
      </w:r>
    </w:p>
    <w:p>
      <w:pPr>
        <w:pStyle w:val="40"/>
        <w:snapToGrid w:val="0"/>
        <w:spacing w:before="0" w:beforeAutospacing="0" w:after="0" w:afterAutospacing="0" w:line="360" w:lineRule="auto"/>
        <w:ind w:firstLine="424" w:firstLineChars="202"/>
        <w:rPr>
          <w:rFonts w:hint="eastAsia" w:ascii="宋体" w:hAnsi="宋体" w:eastAsia="宋体" w:cs="宋体"/>
          <w:color w:val="auto"/>
          <w:sz w:val="21"/>
          <w:szCs w:val="21"/>
          <w:highlight w:val="none"/>
          <w:shd w:val="clear" w:color="auto" w:fill="FFFFFF"/>
        </w:rPr>
      </w:pPr>
    </w:p>
    <w:p>
      <w:pPr>
        <w:pStyle w:val="4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1、定标委员会</w:t>
      </w:r>
    </w:p>
    <w:p>
      <w:pPr>
        <w:pStyle w:val="4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定标委员会由招标人依法组建。</w:t>
      </w:r>
    </w:p>
    <w:p>
      <w:pPr>
        <w:pStyle w:val="40"/>
        <w:snapToGrid w:val="0"/>
        <w:spacing w:before="0" w:beforeAutospacing="0" w:after="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2、定标会召开的时间地点：</w:t>
      </w:r>
    </w:p>
    <w:p>
      <w:pPr>
        <w:pStyle w:val="40"/>
        <w:snapToGrid w:val="0"/>
        <w:spacing w:before="0" w:beforeAutospacing="0" w:after="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定标会召开时间在合格的中标候选人公示完成后10个工作日内在广州公共资源交易中心举行，定标会全程在广州公共资源交易中心见证人员见证下进行。</w:t>
      </w:r>
    </w:p>
    <w:p>
      <w:pPr>
        <w:keepNext/>
        <w:keepLines/>
        <w:pageBreakBefore w:val="0"/>
        <w:widowControl w:val="0"/>
        <w:kinsoku/>
        <w:wordWrap/>
        <w:overflowPunct/>
        <w:topLinePunct w:val="0"/>
        <w:autoSpaceDE/>
        <w:autoSpaceDN/>
        <w:bidi w:val="0"/>
        <w:adjustRightInd/>
        <w:snapToGrid/>
        <w:spacing w:line="579" w:lineRule="auto"/>
        <w:textAlignment w:val="auto"/>
        <w:outlineLvl w:val="9"/>
        <w:rPr>
          <w:rFonts w:hint="eastAsia" w:ascii="宋体" w:hAnsi="宋体" w:eastAsia="宋体" w:cs="宋体"/>
          <w:color w:val="auto"/>
          <w:sz w:val="21"/>
          <w:szCs w:val="21"/>
          <w:highlight w:val="none"/>
        </w:rPr>
      </w:pPr>
    </w:p>
    <w:p>
      <w:pPr>
        <w:keepNext/>
        <w:keepLines/>
        <w:pageBreakBefore w:val="0"/>
        <w:widowControl w:val="0"/>
        <w:kinsoku/>
        <w:wordWrap/>
        <w:overflowPunct/>
        <w:topLinePunct w:val="0"/>
        <w:autoSpaceDE/>
        <w:autoSpaceDN/>
        <w:bidi w:val="0"/>
        <w:adjustRightInd/>
        <w:snapToGrid/>
        <w:spacing w:line="579" w:lineRule="auto"/>
        <w:textAlignment w:val="auto"/>
        <w:outlineLvl w:val="9"/>
        <w:rPr>
          <w:rFonts w:hint="eastAsia" w:ascii="宋体" w:hAnsi="宋体" w:eastAsia="宋体" w:cs="宋体"/>
          <w:color w:val="auto"/>
          <w:sz w:val="21"/>
          <w:szCs w:val="21"/>
          <w:highlight w:val="none"/>
        </w:rPr>
        <w:sectPr>
          <w:footerReference r:id="rId14" w:type="default"/>
          <w:pgSz w:w="11906" w:h="16838"/>
          <w:pgMar w:top="1440" w:right="1466" w:bottom="1440" w:left="1440"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3"/>
        <w:rPr>
          <w:rFonts w:hint="eastAsia" w:ascii="宋体" w:hAnsi="宋体" w:eastAsia="宋体" w:cs="宋体"/>
          <w:color w:val="auto"/>
          <w:sz w:val="21"/>
          <w:szCs w:val="21"/>
          <w:highlight w:val="none"/>
        </w:rPr>
      </w:pPr>
      <w:bookmarkStart w:id="45" w:name="_Toc23884"/>
      <w:r>
        <w:rPr>
          <w:rFonts w:hint="eastAsia" w:ascii="宋体" w:hAnsi="宋体" w:eastAsia="宋体" w:cs="宋体"/>
          <w:color w:val="auto"/>
          <w:sz w:val="21"/>
          <w:szCs w:val="21"/>
          <w:highlight w:val="none"/>
        </w:rPr>
        <w:t>附录1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定标原则</w:t>
      </w:r>
      <w:bookmarkEnd w:id="45"/>
    </w:p>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定标原则</w:t>
      </w:r>
    </w:p>
    <w:p>
      <w:pPr>
        <w:pStyle w:val="40"/>
        <w:snapToGrid w:val="0"/>
        <w:spacing w:before="120" w:beforeLines="50" w:beforeAutospacing="0" w:after="120" w:afterLines="5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1.中标候选人公示结束后，招标人按以下规定组建定标委员会，在评标委员会推荐的合格中标候选人中确定中标人：</w:t>
      </w:r>
    </w:p>
    <w:p>
      <w:pPr>
        <w:pStyle w:val="40"/>
        <w:snapToGrid w:val="0"/>
        <w:spacing w:before="120" w:beforeLines="50" w:beforeAutospacing="0" w:after="120" w:afterLines="5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（1）定标由招标人依法组建的定标委员会负责，成员数量为5人或以上单数。</w:t>
      </w:r>
    </w:p>
    <w:p>
      <w:pPr>
        <w:pStyle w:val="40"/>
        <w:snapToGrid w:val="0"/>
        <w:spacing w:before="120" w:beforeLines="50" w:beforeAutospacing="0" w:after="120" w:afterLines="5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（2）定标委员会成员不得参与定标前期准备工作。</w:t>
      </w:r>
    </w:p>
    <w:p>
      <w:pPr>
        <w:pStyle w:val="40"/>
        <w:snapToGrid w:val="0"/>
        <w:spacing w:before="120" w:beforeLines="50" w:beforeAutospacing="0" w:after="120" w:afterLines="5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2.定标时间和地点</w:t>
      </w:r>
    </w:p>
    <w:p>
      <w:pPr>
        <w:pStyle w:val="40"/>
        <w:snapToGrid w:val="0"/>
        <w:spacing w:before="120" w:beforeLines="50" w:beforeAutospacing="0" w:after="120" w:afterLines="5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招标人在合格的中标候选人公示结束后10个工作日内在广州公共资源交易中心举行定标会议，招标人按规定程序在投标人须知的时间和地点完成定标工作。</w:t>
      </w:r>
    </w:p>
    <w:p>
      <w:pPr>
        <w:pStyle w:val="40"/>
        <w:snapToGrid w:val="0"/>
        <w:spacing w:before="120" w:beforeLines="50" w:beforeAutospacing="0" w:after="120" w:afterLines="5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3.定标规则</w:t>
      </w:r>
    </w:p>
    <w:p>
      <w:pPr>
        <w:pStyle w:val="40"/>
        <w:snapToGrid w:val="0"/>
        <w:spacing w:before="120" w:beforeLines="50" w:beforeAutospacing="0" w:after="120" w:afterLines="5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本项目采用 “记名投票+撰写评语” 定标方法,定标方法如下：</w:t>
      </w:r>
    </w:p>
    <w:p>
      <w:pPr>
        <w:pStyle w:val="40"/>
        <w:snapToGrid w:val="0"/>
        <w:spacing w:before="120" w:beforeLines="50" w:beforeAutospacing="0" w:after="120" w:afterLines="5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4.定标程序</w:t>
      </w:r>
    </w:p>
    <w:p>
      <w:pPr>
        <w:pStyle w:val="40"/>
        <w:snapToGrid w:val="0"/>
        <w:spacing w:before="120" w:beforeLines="50" w:beforeAutospacing="0" w:after="120" w:afterLines="5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4.1定标工作开始后，发放选票，由定标委员会参考定标因素进行记名投票，定标委员会应推荐一人为定标委员会组长，主持当次定标会议。</w:t>
      </w:r>
    </w:p>
    <w:p>
      <w:pPr>
        <w:pStyle w:val="40"/>
        <w:snapToGrid w:val="0"/>
        <w:spacing w:before="120" w:beforeLines="50" w:beforeAutospacing="0" w:after="120" w:afterLines="5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4.2定标辅助文件为评标阶段的评标报告、投标人提交的定标资料。</w:t>
      </w:r>
    </w:p>
    <w:p>
      <w:pPr>
        <w:pStyle w:val="40"/>
        <w:snapToGrid w:val="0"/>
        <w:spacing w:before="120" w:beforeLines="50" w:beforeAutospacing="0" w:after="120" w:afterLines="5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4.3投票规则：定标委员会根据定标因素对各投标人进行综合比较后，进行一次性票决，每位定标委员会成员只有1票表决权（即只能对其中一家投标人投票），得票数最多的投标人为中标人，若出现票数相同且无法决出中标人时，票数相同的再进行一次性票决；若再次票决出现票数相同且无法决出中标人时，以投标报价低者为中标人；如仍存在相同情况，则对具有相同情况的投标人，由定标委员会采用随机抽取方式确定中标人。</w:t>
      </w:r>
    </w:p>
    <w:p>
      <w:pPr>
        <w:pStyle w:val="40"/>
        <w:snapToGrid w:val="0"/>
        <w:spacing w:before="120" w:beforeLines="50" w:beforeAutospacing="0" w:after="120" w:afterLines="5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4.4定标委员会中的各定标委员应独立投票，可以弃权，当弃权票数达到定标委员会人数50%或以上时，本次定标会无效，招标人重新组建定标委员会或重新招标。</w:t>
      </w:r>
    </w:p>
    <w:p>
      <w:pPr>
        <w:pStyle w:val="40"/>
        <w:snapToGrid w:val="0"/>
        <w:spacing w:before="120" w:beforeLines="50" w:beforeAutospacing="0" w:after="120" w:afterLines="5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4.5定标委员会根据选票情况确定中标人。</w:t>
      </w:r>
    </w:p>
    <w:p>
      <w:pPr>
        <w:pStyle w:val="40"/>
        <w:snapToGrid w:val="0"/>
        <w:spacing w:before="120" w:beforeLines="50" w:beforeAutospacing="0" w:after="120" w:afterLines="5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4.6编写定标报告，定标委员会全体确认后签署定标报告。</w:t>
      </w:r>
    </w:p>
    <w:p>
      <w:pPr>
        <w:pStyle w:val="40"/>
        <w:snapToGrid w:val="0"/>
        <w:spacing w:before="120" w:beforeLines="50" w:beforeAutospacing="0" w:after="120" w:afterLines="5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4.7招标人与中标人签订合同或办理施工许可前，如发现中标人委派的项目负责人不符合任职要求，则招标人有权取消其中标人资格或解除合同，从其他合格的中标候选人中采用原定标办法，由原定标委员会确定中标人，招标人也可以重新招标。</w:t>
      </w:r>
    </w:p>
    <w:p>
      <w:pPr>
        <w:pStyle w:val="40"/>
        <w:snapToGrid w:val="0"/>
        <w:spacing w:before="120" w:beforeLines="50" w:beforeAutospacing="0" w:after="120" w:afterLines="5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4.8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pPr>
        <w:pStyle w:val="40"/>
        <w:snapToGrid w:val="0"/>
        <w:spacing w:before="120" w:beforeLines="50" w:beforeAutospacing="0" w:after="120" w:afterLines="50" w:afterAutospacing="0" w:line="360" w:lineRule="auto"/>
        <w:ind w:firstLine="424" w:firstLineChars="202"/>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4.9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p>
    <w:p>
      <w:pPr>
        <w:pStyle w:val="40"/>
        <w:snapToGrid w:val="0"/>
        <w:spacing w:before="120" w:beforeLines="50" w:beforeAutospacing="0" w:after="120" w:afterLines="50" w:afterAutospacing="0" w:line="360" w:lineRule="auto"/>
        <w:ind w:firstLine="426" w:firstLineChars="202"/>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4.10定标因素：</w:t>
      </w:r>
    </w:p>
    <w:tbl>
      <w:tblPr>
        <w:tblStyle w:val="45"/>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897"/>
        <w:gridCol w:w="7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10" w:type="dxa"/>
            <w:noWrap w:val="0"/>
            <w:vAlign w:val="center"/>
          </w:tcPr>
          <w:p>
            <w:pPr>
              <w:pStyle w:val="9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97" w:type="dxa"/>
            <w:noWrap w:val="0"/>
            <w:vAlign w:val="center"/>
          </w:tcPr>
          <w:p>
            <w:pPr>
              <w:pStyle w:val="9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7243" w:type="dxa"/>
            <w:noWrap w:val="0"/>
            <w:vAlign w:val="center"/>
          </w:tcPr>
          <w:p>
            <w:pPr>
              <w:pStyle w:val="9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定标因素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10" w:type="dxa"/>
            <w:noWrap w:val="0"/>
            <w:vAlign w:val="center"/>
          </w:tcPr>
          <w:p>
            <w:pPr>
              <w:pStyle w:val="95"/>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897" w:type="dxa"/>
            <w:noWrap w:val="0"/>
            <w:vAlign w:val="center"/>
          </w:tcPr>
          <w:p>
            <w:pPr>
              <w:pStyle w:val="95"/>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方案因素</w:t>
            </w:r>
          </w:p>
        </w:tc>
        <w:tc>
          <w:tcPr>
            <w:tcW w:w="7243" w:type="dxa"/>
            <w:noWrap w:val="0"/>
            <w:vAlign w:val="center"/>
          </w:tcPr>
          <w:p>
            <w:pPr>
              <w:pStyle w:val="95"/>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sz w:val="21"/>
                <w:szCs w:val="21"/>
                <w:shd w:val="clear" w:color="auto" w:fill="FFFFFF"/>
                <w:lang w:val="en-US" w:eastAsia="zh-CN"/>
              </w:rPr>
              <w:t>包括</w:t>
            </w:r>
            <w:r>
              <w:rPr>
                <w:rFonts w:hint="eastAsia" w:ascii="宋体" w:hAnsi="宋体" w:eastAsia="宋体" w:cs="宋体"/>
                <w:b w:val="0"/>
                <w:bCs/>
                <w:sz w:val="21"/>
                <w:szCs w:val="21"/>
                <w:shd w:val="clear" w:color="auto" w:fill="FFFFFF"/>
              </w:rPr>
              <w:t>但不限于满足限额设计以及安全、绿色、节能、环保要求的前提下重点对功能、技术、经济和美观等进行评审</w:t>
            </w:r>
            <w:r>
              <w:rPr>
                <w:rFonts w:hint="eastAsia" w:ascii="宋体" w:hAnsi="宋体" w:cs="宋体"/>
                <w:b w:val="0"/>
                <w:bCs/>
                <w:sz w:val="21"/>
                <w:szCs w:val="21"/>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10" w:type="dxa"/>
            <w:noWrap w:val="0"/>
            <w:vAlign w:val="center"/>
          </w:tcPr>
          <w:p>
            <w:pPr>
              <w:pStyle w:val="95"/>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897" w:type="dxa"/>
            <w:noWrap w:val="0"/>
            <w:vAlign w:val="center"/>
          </w:tcPr>
          <w:p>
            <w:pPr>
              <w:pStyle w:val="95"/>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价格</w:t>
            </w:r>
            <w:r>
              <w:rPr>
                <w:rFonts w:hint="eastAsia" w:ascii="宋体" w:hAnsi="宋体" w:eastAsia="宋体" w:cs="宋体"/>
                <w:b w:val="0"/>
                <w:bCs/>
                <w:color w:val="auto"/>
                <w:sz w:val="21"/>
                <w:szCs w:val="21"/>
                <w:highlight w:val="none"/>
                <w:lang w:val="en-US" w:eastAsia="zh-CN"/>
              </w:rPr>
              <w:t>因素</w:t>
            </w:r>
          </w:p>
        </w:tc>
        <w:tc>
          <w:tcPr>
            <w:tcW w:w="7243" w:type="dxa"/>
            <w:noWrap w:val="0"/>
            <w:vAlign w:val="center"/>
          </w:tcPr>
          <w:p>
            <w:pPr>
              <w:pStyle w:val="95"/>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对投标报价的合理性进行评审。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10" w:type="dxa"/>
            <w:noWrap w:val="0"/>
            <w:vAlign w:val="center"/>
          </w:tcPr>
          <w:p>
            <w:pPr>
              <w:pStyle w:val="95"/>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c>
          <w:tcPr>
            <w:tcW w:w="1897" w:type="dxa"/>
            <w:noWrap w:val="0"/>
            <w:vAlign w:val="center"/>
          </w:tcPr>
          <w:p>
            <w:pPr>
              <w:pStyle w:val="95"/>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答辩因素</w:t>
            </w:r>
          </w:p>
        </w:tc>
        <w:tc>
          <w:tcPr>
            <w:tcW w:w="7243" w:type="dxa"/>
            <w:noWrap w:val="0"/>
            <w:vAlign w:val="center"/>
          </w:tcPr>
          <w:p>
            <w:pPr>
              <w:pStyle w:val="95"/>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对项目设计思路、设计理念等进行答辩。</w:t>
            </w:r>
          </w:p>
        </w:tc>
      </w:tr>
    </w:tbl>
    <w:p>
      <w:pPr>
        <w:pStyle w:val="40"/>
        <w:snapToGrid w:val="0"/>
        <w:spacing w:before="0" w:beforeAutospacing="0" w:after="0" w:afterAutospacing="0" w:line="360" w:lineRule="auto"/>
        <w:ind w:firstLine="426" w:firstLineChars="202"/>
        <w:rPr>
          <w:rFonts w:hint="eastAsia" w:ascii="宋体" w:hAnsi="宋体" w:eastAsia="宋体" w:cs="宋体"/>
          <w:b/>
          <w:color w:val="auto"/>
          <w:sz w:val="21"/>
          <w:szCs w:val="21"/>
          <w:highlight w:val="none"/>
          <w:shd w:val="clear" w:color="auto" w:fill="FFFFFF"/>
        </w:rPr>
      </w:pPr>
    </w:p>
    <w:p>
      <w:pPr>
        <w:pStyle w:val="40"/>
        <w:snapToGrid w:val="0"/>
        <w:spacing w:before="0" w:beforeAutospacing="0" w:after="0" w:afterAutospacing="0" w:line="360" w:lineRule="auto"/>
        <w:ind w:firstLine="426" w:firstLineChars="202"/>
        <w:rPr>
          <w:rFonts w:hint="default" w:ascii="宋体" w:hAnsi="宋体" w:eastAsia="宋体" w:cs="宋体"/>
          <w:b/>
          <w:color w:val="auto"/>
          <w:sz w:val="21"/>
          <w:szCs w:val="21"/>
          <w:highlight w:val="none"/>
          <w:shd w:val="clear" w:color="auto" w:fill="FFFFFF"/>
          <w:lang w:val="en-US" w:eastAsia="zh-CN"/>
        </w:rPr>
      </w:pPr>
      <w:r>
        <w:rPr>
          <w:rFonts w:hint="eastAsia" w:cs="宋体"/>
          <w:b/>
          <w:color w:val="auto"/>
          <w:sz w:val="21"/>
          <w:szCs w:val="21"/>
          <w:highlight w:val="none"/>
          <w:shd w:val="clear" w:color="auto" w:fill="FFFFFF"/>
          <w:lang w:val="en-US" w:eastAsia="zh-CN"/>
        </w:rPr>
        <w:t>注：具体答辩时间以招标人或招标代理机构通知为准。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5"/>
        <w:spacing w:before="0" w:after="120" w:afterLines="50"/>
        <w:rPr>
          <w:rFonts w:hint="eastAsia" w:ascii="宋体" w:hAnsi="宋体" w:eastAsia="宋体" w:cs="宋体"/>
          <w:color w:val="auto"/>
          <w:sz w:val="21"/>
          <w:szCs w:val="21"/>
          <w:highlight w:val="none"/>
        </w:rPr>
      </w:pPr>
      <w:bookmarkStart w:id="46" w:name="_Toc1898"/>
      <w:r>
        <w:rPr>
          <w:rFonts w:hint="eastAsia" w:ascii="宋体" w:hAnsi="宋体" w:eastAsia="宋体" w:cs="宋体"/>
          <w:color w:val="auto"/>
          <w:sz w:val="21"/>
          <w:szCs w:val="21"/>
          <w:highlight w:val="none"/>
        </w:rPr>
        <w:t>定标原则-附表1</w:t>
      </w:r>
      <w:bookmarkEnd w:id="46"/>
    </w:p>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评语汇总表</w:t>
      </w:r>
    </w:p>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45"/>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2"/>
        <w:gridCol w:w="5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932" w:type="dxa"/>
            <w:tcBorders>
              <w:top w:val="single" w:color="auto" w:sz="4"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合格的中标候选人单位</w:t>
            </w:r>
          </w:p>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名称（不排序）</w:t>
            </w:r>
          </w:p>
        </w:tc>
        <w:tc>
          <w:tcPr>
            <w:tcW w:w="5960"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932"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596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932"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596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932"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596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932"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596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932" w:type="dxa"/>
            <w:tcBorders>
              <w:top w:val="single" w:color="auto" w:sz="6" w:space="0"/>
              <w:left w:val="single" w:color="auto" w:sz="4" w:space="0"/>
              <w:bottom w:val="single" w:color="auto" w:sz="4"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5960"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color w:val="auto"/>
          <w:sz w:val="21"/>
          <w:szCs w:val="21"/>
          <w:highlight w:val="none"/>
        </w:rPr>
      </w:pPr>
    </w:p>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定标委员签名：                         日期：   年  月  日</w:t>
      </w:r>
    </w:p>
    <w:p>
      <w:pPr>
        <w:pStyle w:val="5"/>
        <w:spacing w:before="0" w:after="120" w:afterLine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47" w:name="_Toc3822"/>
      <w:r>
        <w:rPr>
          <w:rFonts w:hint="eastAsia" w:ascii="宋体" w:hAnsi="宋体" w:eastAsia="宋体" w:cs="宋体"/>
          <w:color w:val="auto"/>
          <w:sz w:val="21"/>
          <w:szCs w:val="21"/>
          <w:highlight w:val="none"/>
        </w:rPr>
        <w:t>定标原则-附表2</w:t>
      </w:r>
      <w:bookmarkEnd w:id="47"/>
    </w:p>
    <w:p>
      <w:pPr>
        <w:adjustRightInd w:val="0"/>
        <w:snapToGrid w:val="0"/>
        <w:spacing w:line="360" w:lineRule="auto"/>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定标选票表</w:t>
      </w:r>
      <w:r>
        <w:rPr>
          <w:rFonts w:hint="eastAsia" w:ascii="宋体" w:hAnsi="宋体" w:eastAsia="宋体" w:cs="宋体"/>
          <w:b/>
          <w:color w:val="auto"/>
          <w:sz w:val="21"/>
          <w:szCs w:val="21"/>
          <w:highlight w:val="none"/>
        </w:rPr>
        <w:t>（定标阶段）</w:t>
      </w:r>
    </w:p>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5"/>
        <w:gridCol w:w="3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8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支持的投标人名称</w:t>
            </w:r>
          </w:p>
        </w:tc>
        <w:tc>
          <w:tcPr>
            <w:tcW w:w="1610" w:type="pct"/>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38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610" w:type="pct"/>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bl>
    <w:p>
      <w:pPr>
        <w:pStyle w:val="91"/>
        <w:spacing w:line="360" w:lineRule="auto"/>
        <w:rPr>
          <w:rFonts w:hint="eastAsia" w:ascii="宋体" w:hAnsi="宋体" w:eastAsia="宋体" w:cs="宋体"/>
          <w:color w:val="auto"/>
          <w:kern w:val="0"/>
          <w:sz w:val="21"/>
          <w:szCs w:val="21"/>
          <w:highlight w:val="none"/>
        </w:rPr>
      </w:pPr>
    </w:p>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定标委员签名：                                            日期：</w:t>
      </w:r>
    </w:p>
    <w:p>
      <w:pPr>
        <w:adjustRightInd w:val="0"/>
        <w:snapToGrid w:val="0"/>
        <w:spacing w:line="360" w:lineRule="auto"/>
        <w:rPr>
          <w:rFonts w:hint="eastAsia" w:ascii="宋体" w:hAnsi="宋体" w:eastAsia="宋体" w:cs="宋体"/>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注：由定标委员会成员进行投票，各定标委员会成员只能支持一家投标人。</w:t>
      </w:r>
    </w:p>
    <w:p>
      <w:pPr>
        <w:pStyle w:val="9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p>
    <w:p>
      <w:pPr>
        <w:pStyle w:val="5"/>
        <w:spacing w:before="0" w:after="120" w:afterLines="50"/>
        <w:rPr>
          <w:rFonts w:hint="eastAsia" w:ascii="宋体" w:hAnsi="宋体" w:eastAsia="宋体" w:cs="宋体"/>
          <w:color w:val="auto"/>
          <w:sz w:val="21"/>
          <w:szCs w:val="21"/>
          <w:highlight w:val="none"/>
        </w:rPr>
        <w:sectPr>
          <w:endnotePr>
            <w:numFmt w:val="decimal"/>
          </w:endnotePr>
          <w:pgSz w:w="11900" w:h="16840"/>
          <w:pgMar w:top="1440" w:right="1083" w:bottom="1440" w:left="1083" w:header="284" w:footer="567" w:gutter="0"/>
          <w:pgBorders>
            <w:top w:val="none" w:sz="0" w:space="0"/>
            <w:left w:val="none" w:sz="0" w:space="0"/>
            <w:bottom w:val="none" w:sz="0" w:space="0"/>
            <w:right w:val="none" w:sz="0" w:space="0"/>
          </w:pgBorders>
          <w:cols w:space="720" w:num="1"/>
          <w:titlePg/>
          <w:docGrid w:linePitch="312" w:charSpace="0"/>
        </w:sectPr>
      </w:pPr>
      <w:bookmarkStart w:id="48" w:name="_Toc23221"/>
    </w:p>
    <w:bookmarkEnd w:id="48"/>
    <w:p>
      <w:pPr>
        <w:pStyle w:val="5"/>
        <w:spacing w:before="0" w:after="156" w:afterLines="50"/>
        <w:rPr>
          <w:rFonts w:hint="eastAsia" w:ascii="宋体" w:hAnsi="宋体" w:eastAsia="宋体" w:cs="宋体"/>
          <w:color w:val="auto"/>
          <w:sz w:val="21"/>
          <w:szCs w:val="21"/>
          <w:highlight w:val="none"/>
        </w:rPr>
      </w:pPr>
      <w:bookmarkStart w:id="49" w:name="_Toc186"/>
      <w:r>
        <w:rPr>
          <w:rFonts w:hint="eastAsia" w:ascii="宋体" w:hAnsi="宋体" w:eastAsia="宋体" w:cs="宋体"/>
          <w:color w:val="auto"/>
          <w:sz w:val="21"/>
          <w:szCs w:val="21"/>
          <w:highlight w:val="none"/>
        </w:rPr>
        <w:t>定标原则-附表3</w:t>
      </w:r>
      <w:bookmarkEnd w:id="49"/>
    </w:p>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定标选票汇总表</w:t>
      </w:r>
      <w:r>
        <w:rPr>
          <w:rFonts w:hint="eastAsia" w:ascii="宋体" w:hAnsi="宋体" w:eastAsia="宋体" w:cs="宋体"/>
          <w:b/>
          <w:color w:val="auto"/>
          <w:sz w:val="21"/>
          <w:szCs w:val="21"/>
          <w:highlight w:val="none"/>
        </w:rPr>
        <w:t>（定标阶段）</w:t>
      </w:r>
    </w:p>
    <w:p>
      <w:pPr>
        <w:pStyle w:val="91"/>
        <w:spacing w:line="360" w:lineRule="auto"/>
        <w:rPr>
          <w:rFonts w:hint="eastAsia" w:ascii="宋体" w:hAnsi="宋体" w:eastAsia="宋体" w:cs="宋体"/>
          <w:color w:val="auto"/>
          <w:sz w:val="21"/>
          <w:szCs w:val="21"/>
          <w:highlight w:val="none"/>
        </w:rPr>
      </w:pPr>
    </w:p>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3441"/>
        <w:gridCol w:w="2344"/>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019" w:type="pct"/>
            <w:tcBorders>
              <w:top w:val="single" w:color="auto" w:sz="4"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投标人名称</w:t>
            </w:r>
          </w:p>
        </w:tc>
        <w:tc>
          <w:tcPr>
            <w:tcW w:w="1375" w:type="pct"/>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得票数</w:t>
            </w:r>
          </w:p>
        </w:tc>
        <w:tc>
          <w:tcPr>
            <w:tcW w:w="1053" w:type="pct"/>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19"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375"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053"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19"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375"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053"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19"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375"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053"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19"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375"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053"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19" w:type="pct"/>
            <w:tcBorders>
              <w:top w:val="single" w:color="auto" w:sz="6"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375" w:type="pct"/>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053" w:type="pct"/>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color w:val="auto"/>
          <w:sz w:val="21"/>
          <w:szCs w:val="21"/>
          <w:highlight w:val="none"/>
        </w:rPr>
      </w:pPr>
    </w:p>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定标委员签名：                                         日期：</w:t>
      </w:r>
    </w:p>
    <w:p>
      <w:pPr>
        <w:pStyle w:val="5"/>
        <w:spacing w:before="0" w:after="156" w:afterLines="50"/>
        <w:rPr>
          <w:rFonts w:hint="eastAsia" w:ascii="宋体" w:hAnsi="宋体" w:eastAsia="宋体" w:cs="宋体"/>
          <w:color w:val="auto"/>
          <w:sz w:val="21"/>
          <w:szCs w:val="21"/>
          <w:highlight w:val="none"/>
        </w:rPr>
      </w:pPr>
      <w:bookmarkStart w:id="50" w:name="_Toc16004"/>
      <w:r>
        <w:rPr>
          <w:rFonts w:hint="eastAsia" w:ascii="宋体" w:hAnsi="宋体" w:eastAsia="宋体" w:cs="宋体"/>
          <w:color w:val="auto"/>
          <w:sz w:val="21"/>
          <w:szCs w:val="21"/>
          <w:highlight w:val="none"/>
        </w:rPr>
        <w:br w:type="page"/>
      </w:r>
      <w:bookmarkEnd w:id="50"/>
      <w:bookmarkStart w:id="51" w:name="_Toc1154"/>
      <w:r>
        <w:rPr>
          <w:rFonts w:hint="eastAsia" w:ascii="宋体" w:hAnsi="宋体" w:eastAsia="宋体" w:cs="宋体"/>
          <w:color w:val="auto"/>
          <w:sz w:val="21"/>
          <w:szCs w:val="21"/>
          <w:highlight w:val="none"/>
        </w:rPr>
        <w:t>定标原则-附表4</w:t>
      </w:r>
      <w:bookmarkEnd w:id="51"/>
    </w:p>
    <w:p>
      <w:pPr>
        <w:pStyle w:val="9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附加</w:t>
      </w:r>
      <w:r>
        <w:rPr>
          <w:rFonts w:hint="eastAsia" w:ascii="宋体" w:hAnsi="宋体" w:eastAsia="宋体" w:cs="宋体"/>
          <w:b/>
          <w:bCs/>
          <w:color w:val="auto"/>
          <w:kern w:val="0"/>
          <w:sz w:val="21"/>
          <w:szCs w:val="21"/>
          <w:highlight w:val="none"/>
        </w:rPr>
        <w:t>定标选票</w:t>
      </w:r>
      <w:r>
        <w:rPr>
          <w:rFonts w:hint="eastAsia" w:ascii="宋体" w:hAnsi="宋体" w:eastAsia="宋体" w:cs="宋体"/>
          <w:b/>
          <w:color w:val="auto"/>
          <w:sz w:val="21"/>
          <w:szCs w:val="21"/>
          <w:highlight w:val="none"/>
        </w:rPr>
        <w:t>表</w:t>
      </w:r>
    </w:p>
    <w:p>
      <w:pPr>
        <w:pStyle w:val="9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（定标阶段-票数相同时定标委员会个人用表）</w:t>
      </w:r>
    </w:p>
    <w:p>
      <w:pPr>
        <w:pStyle w:val="91"/>
        <w:spacing w:line="360" w:lineRule="auto"/>
        <w:jc w:val="center"/>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1929"/>
        <w:gridCol w:w="2206"/>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27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p>
        </w:tc>
        <w:tc>
          <w:tcPr>
            <w:tcW w:w="113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9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9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27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票决意见</w:t>
            </w:r>
          </w:p>
        </w:tc>
        <w:tc>
          <w:tcPr>
            <w:tcW w:w="113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9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9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bl>
    <w:p>
      <w:pPr>
        <w:pStyle w:val="91"/>
        <w:spacing w:line="360" w:lineRule="auto"/>
        <w:rPr>
          <w:rFonts w:hint="eastAsia" w:ascii="宋体" w:hAnsi="宋体" w:eastAsia="宋体" w:cs="宋体"/>
          <w:color w:val="auto"/>
          <w:kern w:val="0"/>
          <w:sz w:val="21"/>
          <w:szCs w:val="21"/>
          <w:highlight w:val="none"/>
        </w:rPr>
      </w:pPr>
    </w:p>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定标委员签名：                                            日期：</w:t>
      </w:r>
    </w:p>
    <w:p>
      <w:pPr>
        <w:pStyle w:val="91"/>
        <w:spacing w:line="360" w:lineRule="auto"/>
        <w:rPr>
          <w:rFonts w:hint="eastAsia" w:ascii="宋体" w:hAnsi="宋体" w:eastAsia="宋体" w:cs="宋体"/>
          <w:color w:val="auto"/>
          <w:sz w:val="21"/>
          <w:szCs w:val="21"/>
          <w:highlight w:val="none"/>
        </w:rPr>
      </w:pPr>
    </w:p>
    <w:p>
      <w:pPr>
        <w:pStyle w:val="91"/>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pPr>
        <w:pStyle w:val="91"/>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1、本表用于投票出现票数相同的情况。</w:t>
      </w:r>
    </w:p>
    <w:p>
      <w:pPr>
        <w:pStyle w:val="91"/>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由定标委员会成员进行附加投票，票决意见分别为“投票”或“不投票”，各定标委员会成员只有1票表决权（即只能对其中一名投标人“投票”），票决意见为“投票”的，用“○”表示；票决意见为“不投票”，用“×”表示。</w:t>
      </w:r>
    </w:p>
    <w:p>
      <w:pPr>
        <w:pStyle w:val="5"/>
        <w:spacing w:before="0" w:after="156" w:afterLine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52" w:name="_Toc22294"/>
      <w:r>
        <w:rPr>
          <w:rFonts w:hint="eastAsia" w:ascii="宋体" w:hAnsi="宋体" w:eastAsia="宋体" w:cs="宋体"/>
          <w:color w:val="auto"/>
          <w:sz w:val="21"/>
          <w:szCs w:val="21"/>
          <w:highlight w:val="none"/>
        </w:rPr>
        <w:t>定标原则-附表5</w:t>
      </w:r>
      <w:bookmarkEnd w:id="52"/>
    </w:p>
    <w:p>
      <w:pPr>
        <w:pStyle w:val="9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附加</w:t>
      </w:r>
      <w:r>
        <w:rPr>
          <w:rFonts w:hint="eastAsia" w:ascii="宋体" w:hAnsi="宋体" w:eastAsia="宋体" w:cs="宋体"/>
          <w:b/>
          <w:bCs/>
          <w:color w:val="auto"/>
          <w:kern w:val="0"/>
          <w:sz w:val="21"/>
          <w:szCs w:val="21"/>
          <w:highlight w:val="none"/>
        </w:rPr>
        <w:t>定标选票汇总</w:t>
      </w:r>
      <w:r>
        <w:rPr>
          <w:rFonts w:hint="eastAsia" w:ascii="宋体" w:hAnsi="宋体" w:eastAsia="宋体" w:cs="宋体"/>
          <w:b/>
          <w:color w:val="auto"/>
          <w:sz w:val="21"/>
          <w:szCs w:val="21"/>
          <w:highlight w:val="none"/>
        </w:rPr>
        <w:t>表</w:t>
      </w:r>
    </w:p>
    <w:p>
      <w:pPr>
        <w:pStyle w:val="9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（定标阶段-票数相同时定标委员会汇总用表）</w:t>
      </w:r>
    </w:p>
    <w:p>
      <w:pPr>
        <w:pStyle w:val="91"/>
        <w:spacing w:line="360" w:lineRule="auto"/>
        <w:jc w:val="center"/>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4206"/>
        <w:gridCol w:w="1679"/>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p>
        </w:tc>
        <w:tc>
          <w:tcPr>
            <w:tcW w:w="98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票数</w:t>
            </w:r>
          </w:p>
        </w:tc>
        <w:tc>
          <w:tcPr>
            <w:tcW w:w="9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98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9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98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9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98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9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98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9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98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9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bl>
    <w:p>
      <w:pPr>
        <w:pStyle w:val="91"/>
        <w:spacing w:line="360" w:lineRule="auto"/>
        <w:rPr>
          <w:rFonts w:hint="eastAsia" w:ascii="宋体" w:hAnsi="宋体" w:eastAsia="宋体" w:cs="宋体"/>
          <w:color w:val="auto"/>
          <w:kern w:val="0"/>
          <w:sz w:val="21"/>
          <w:szCs w:val="21"/>
          <w:highlight w:val="none"/>
        </w:rPr>
      </w:pPr>
    </w:p>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定标委员签名：                                            日期：</w:t>
      </w:r>
    </w:p>
    <w:p>
      <w:pPr>
        <w:pStyle w:val="5"/>
        <w:spacing w:before="0" w:after="156" w:afterLines="50"/>
        <w:rPr>
          <w:rFonts w:hint="eastAsia" w:ascii="宋体" w:hAnsi="宋体" w:eastAsia="宋体" w:cs="宋体"/>
          <w:color w:val="auto"/>
          <w:sz w:val="21"/>
          <w:szCs w:val="21"/>
          <w:highlight w:val="none"/>
        </w:rPr>
      </w:pPr>
      <w:bookmarkStart w:id="53" w:name="_Toc22132"/>
      <w:r>
        <w:rPr>
          <w:rFonts w:hint="eastAsia" w:ascii="宋体" w:hAnsi="宋体" w:eastAsia="宋体" w:cs="宋体"/>
          <w:color w:val="auto"/>
          <w:sz w:val="21"/>
          <w:szCs w:val="21"/>
          <w:highlight w:val="none"/>
        </w:rPr>
        <w:br w:type="page"/>
      </w:r>
      <w:bookmarkEnd w:id="53"/>
      <w:bookmarkStart w:id="54" w:name="_Toc18754"/>
      <w:r>
        <w:rPr>
          <w:rFonts w:hint="eastAsia" w:ascii="宋体" w:hAnsi="宋体" w:eastAsia="宋体" w:cs="宋体"/>
          <w:color w:val="auto"/>
          <w:sz w:val="21"/>
          <w:szCs w:val="21"/>
          <w:highlight w:val="none"/>
        </w:rPr>
        <w:t>定标原则-附表6</w:t>
      </w:r>
      <w:bookmarkEnd w:id="54"/>
    </w:p>
    <w:p>
      <w:pPr>
        <w:pStyle w:val="9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定标确定表（定标阶段）</w:t>
      </w:r>
    </w:p>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993"/>
        <w:gridCol w:w="1561"/>
        <w:gridCol w:w="2379"/>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3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75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投标人名称</w:t>
            </w:r>
          </w:p>
        </w:tc>
        <w:tc>
          <w:tcPr>
            <w:tcW w:w="91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投票结果</w:t>
            </w:r>
          </w:p>
        </w:tc>
        <w:tc>
          <w:tcPr>
            <w:tcW w:w="139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是否确定为中标人</w:t>
            </w:r>
          </w:p>
        </w:tc>
        <w:tc>
          <w:tcPr>
            <w:tcW w:w="491"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3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5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91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39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491" w:type="pct"/>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3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5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91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39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491" w:type="pct"/>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3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5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91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39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491" w:type="pct"/>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3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5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91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39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491" w:type="pct"/>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3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5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91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39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491" w:type="pct"/>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3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5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91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39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491" w:type="pct"/>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1"/>
                <w:szCs w:val="21"/>
                <w:highlight w:val="none"/>
              </w:rPr>
            </w:pPr>
          </w:p>
        </w:tc>
      </w:tr>
    </w:tbl>
    <w:p>
      <w:pPr>
        <w:pStyle w:val="91"/>
        <w:spacing w:line="360" w:lineRule="auto"/>
        <w:rPr>
          <w:rFonts w:hint="eastAsia" w:ascii="宋体" w:hAnsi="宋体" w:eastAsia="宋体" w:cs="宋体"/>
          <w:color w:val="auto"/>
          <w:sz w:val="21"/>
          <w:szCs w:val="21"/>
          <w:highlight w:val="none"/>
        </w:rPr>
      </w:pPr>
    </w:p>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定标委员签名：                                         日期：</w:t>
      </w:r>
    </w:p>
    <w:p>
      <w:pPr>
        <w:pStyle w:val="91"/>
        <w:spacing w:line="360" w:lineRule="auto"/>
        <w:rPr>
          <w:rFonts w:hint="eastAsia" w:ascii="宋体" w:hAnsi="宋体" w:eastAsia="宋体" w:cs="宋体"/>
          <w:color w:val="auto"/>
          <w:sz w:val="21"/>
          <w:szCs w:val="21"/>
          <w:highlight w:val="none"/>
        </w:rPr>
      </w:pPr>
    </w:p>
    <w:p>
      <w:pPr>
        <w:pStyle w:val="2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 定标委员会成员须根据每轮的投票结果，得票数最多的合格中标候选人为中标人。</w:t>
      </w:r>
    </w:p>
    <w:p>
      <w:pPr>
        <w:pStyle w:val="8"/>
        <w:ind w:firstLine="0" w:firstLineChars="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pStyle w:val="8"/>
        <w:ind w:firstLine="400"/>
        <w:rPr>
          <w:rFonts w:hint="eastAsia" w:ascii="宋体" w:hAnsi="宋体" w:eastAsia="宋体" w:cs="宋体"/>
          <w:color w:val="auto"/>
          <w:sz w:val="21"/>
          <w:szCs w:val="21"/>
          <w:highlight w:val="none"/>
        </w:rPr>
      </w:pPr>
    </w:p>
    <w:p>
      <w:pPr>
        <w:keepNext/>
        <w:keepLines/>
        <w:pageBreakBefore w:val="0"/>
        <w:widowControl w:val="0"/>
        <w:kinsoku/>
        <w:wordWrap/>
        <w:overflowPunct/>
        <w:topLinePunct w:val="0"/>
        <w:autoSpaceDE/>
        <w:autoSpaceDN/>
        <w:bidi w:val="0"/>
        <w:adjustRightInd/>
        <w:snapToGrid/>
        <w:spacing w:line="579" w:lineRule="auto"/>
        <w:textAlignment w:val="auto"/>
        <w:outlineLvl w:val="9"/>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3"/>
        <w:rPr>
          <w:rFonts w:hint="eastAsia" w:ascii="宋体" w:hAnsi="宋体" w:eastAsia="宋体" w:cs="宋体"/>
          <w:color w:val="auto"/>
          <w:sz w:val="21"/>
          <w:szCs w:val="21"/>
          <w:highlight w:val="none"/>
        </w:rPr>
      </w:pPr>
      <w:bookmarkStart w:id="55" w:name="_Toc27124"/>
      <w:r>
        <w:rPr>
          <w:rFonts w:hint="eastAsia" w:ascii="宋体" w:hAnsi="宋体" w:eastAsia="宋体" w:cs="宋体"/>
          <w:color w:val="auto"/>
          <w:sz w:val="21"/>
          <w:szCs w:val="21"/>
          <w:highlight w:val="none"/>
        </w:rPr>
        <w:t>附录</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 xml:space="preserve"> 设计任务书</w:t>
      </w:r>
      <w:bookmarkEnd w:id="55"/>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lang w:eastAsia="zh-CN"/>
        </w:rPr>
      </w:pPr>
      <w:bookmarkStart w:id="56" w:name="_Toc394581030"/>
      <w:r>
        <w:rPr>
          <w:rFonts w:hint="eastAsia" w:ascii="宋体" w:hAnsi="宋体" w:eastAsia="宋体" w:cs="宋体"/>
          <w:color w:val="auto"/>
          <w:sz w:val="21"/>
          <w:szCs w:val="21"/>
          <w:highlight w:val="none"/>
          <w:lang w:eastAsia="zh-CN"/>
        </w:rPr>
        <w:t>（另册）</w:t>
      </w:r>
      <w:bookmarkEnd w:id="56"/>
    </w:p>
    <w:p>
      <w:pPr>
        <w:spacing w:line="360" w:lineRule="auto"/>
        <w:rPr>
          <w:rFonts w:hint="eastAsia" w:ascii="宋体" w:hAnsi="宋体" w:eastAsia="宋体" w:cs="宋体"/>
          <w:color w:val="auto"/>
          <w:sz w:val="21"/>
          <w:szCs w:val="21"/>
          <w:highlight w:val="none"/>
        </w:rPr>
      </w:pPr>
    </w:p>
    <w:sectPr>
      <w:headerReference r:id="rId15" w:type="default"/>
      <w:footerReference r:id="rId1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PAGE   \* MERGEFORMAT</w:instrText>
    </w:r>
    <w:r>
      <w:fldChar w:fldCharType="separate"/>
    </w:r>
    <w:r>
      <w:rPr>
        <w:lang w:val="zh-CN"/>
      </w:rPr>
      <w:t>80</w:t>
    </w:r>
    <w:r>
      <w:fldChar w:fldCharType="end"/>
    </w:r>
  </w:p>
  <w:p>
    <w:pPr>
      <w:pStyle w:val="3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282722955</wp:posOffset>
              </wp:positionV>
              <wp:extent cx="180340" cy="76200"/>
              <wp:effectExtent l="0" t="0" r="1016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flipH="1">
                        <a:off x="0" y="0"/>
                        <a:ext cx="180340" cy="762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124</w:t>
                          </w:r>
                          <w:r>
                            <w:rPr>
                              <w:rFonts w:hint="eastAsia"/>
                              <w:sz w:val="18"/>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flip:x;margin-top:22261.65pt;height:6pt;width:14.2pt;mso-position-horizontal:center;mso-position-horizontal-relative:margin;z-index:251661312;mso-width-relative:page;mso-height-relative:page;" filled="f" stroked="f" coordsize="21600,21600" o:gfxdata="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1lnsn2QAAAAsBAAAPAAAA&#10;AAAAAAEAIAAAACIAAABkcnMvZG93bnJldi54bWxQSwECFAAUAAAACACHTuJAjTH6uRQCAAAbBAAA&#10;DgAAAAAAAAABACAAAAAoAQAAZHJzL2Uyb0RvYy54bWxQSwUGAAAAAAYABgBZAQAArgUAAAAA&#10;">
              <v:fill on="f" focussize="0,0"/>
              <v:stroke on="f"/>
              <v:imagedata o:title=""/>
              <o:lock v:ext="edit" aspectratio="f"/>
              <v:textbox inset="0mm,0mm,0mm,0mm">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124</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3990" cy="139700"/>
              <wp:effectExtent l="0" t="0" r="1778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73990" cy="139700"/>
                      </a:xfrm>
                      <a:prstGeom prst="rect">
                        <a:avLst/>
                      </a:prstGeom>
                      <a:noFill/>
                      <a:ln>
                        <a:noFill/>
                      </a:ln>
                      <a:effectLst/>
                    </wps:spPr>
                    <wps:txbx>
                      <w:txbxContent>
                        <w:p>
                          <w:pPr>
                            <w:pStyle w:val="30"/>
                            <w:jc w:val="center"/>
                          </w:pPr>
                          <w:r>
                            <w:rPr>
                              <w:rFonts w:hint="eastAsia"/>
                            </w:rPr>
                            <w:fldChar w:fldCharType="begin"/>
                          </w:r>
                          <w:r>
                            <w:rPr>
                              <w:rFonts w:hint="eastAsia"/>
                            </w:rPr>
                            <w:instrText xml:space="preserve"> PAGE  \* MERGEFORMAT </w:instrText>
                          </w:r>
                          <w:r>
                            <w:rPr>
                              <w:rFonts w:hint="eastAsia"/>
                            </w:rPr>
                            <w:fldChar w:fldCharType="separate"/>
                          </w:r>
                          <w:r>
                            <w:t>124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13.7pt;mso-position-horizontal:center;mso-position-horizontal-relative:margin;mso-wrap-style:none;z-index:251660288;mso-width-relative:page;mso-height-relative:page;" filled="f" stroked="f" coordsize="21600,21600" o:gfxdata="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xjtatAAAAADAQAADwAAAAAAAAABACAAAAAiAAAA&#10;ZHJzL2Rvd25yZXYueG1sUEsBAhQAFAAAAAgAh07iQJGpdYQPAgAAEAQAAA4AAAAAAAAAAQAgAAAA&#10;HwEAAGRycy9lMm9Eb2MueG1sUEsFBgAAAAAGAAYAWQEAAKAFAAAAAA==&#10;">
              <v:fill on="f" focussize="0,0"/>
              <v:stroke on="f"/>
              <v:imagedata o:title=""/>
              <o:lock v:ext="edit" aspectratio="f"/>
              <v:textbox inset="0mm,0mm,0mm,0mm" style="mso-fit-shape-to-text:t;">
                <w:txbxContent>
                  <w:p>
                    <w:pPr>
                      <w:pStyle w:val="30"/>
                      <w:jc w:val="center"/>
                    </w:pPr>
                    <w:r>
                      <w:rPr>
                        <w:rFonts w:hint="eastAsia"/>
                      </w:rPr>
                      <w:fldChar w:fldCharType="begin"/>
                    </w:r>
                    <w:r>
                      <w:rPr>
                        <w:rFonts w:hint="eastAsia"/>
                      </w:rPr>
                      <w:instrText xml:space="preserve"> PAGE  \* MERGEFORMAT </w:instrText>
                    </w:r>
                    <w:r>
                      <w:rPr>
                        <w:rFonts w:hint="eastAsia"/>
                      </w:rPr>
                      <w:fldChar w:fldCharType="separate"/>
                    </w:r>
                    <w:r>
                      <w:t>124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21</w: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34</w:t>
    </w:r>
    <w:r>
      <w:fldChar w:fldCharType="end"/>
    </w:r>
  </w:p>
  <w:p>
    <w:pPr>
      <w:pStyle w:val="3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w="9525">
                        <a:noFill/>
                      </a:ln>
                      <a:effectLst/>
                    </wps:spPr>
                    <wps:txbx>
                      <w:txbxContent>
                        <w:p>
                          <w:pPr>
                            <w:jc w:val="center"/>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f/RzB0QAAAAMBAAAPAAAAAAAAAAEAIAAA&#10;ACIAAABkcnMvZG93bnJldi54bWxQSwECFAAUAAAACACHTuJANJj+BdoBAACuAwAADgAAAAAAAAAB&#10;ACAAAAAgAQAAZHJzL2Uyb0RvYy54bWxQSwUGAAAAAAYABgBZAQAAbAUAAAAA&#10;">
              <v:fill on="f" focussize="0,0"/>
              <v:stroke on="f"/>
              <v:imagedata o:title=""/>
              <o:lock v:ext="edit" aspectratio="f"/>
              <v:textbox inset="0mm,0mm,0mm,0mm" style="mso-fit-shape-to-text:t;">
                <w:txbxContent>
                  <w:p>
                    <w:pPr>
                      <w:jc w:val="center"/>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Align="top"/>
      <w:rPr>
        <w:rStyle w:val="48"/>
      </w:rPr>
    </w:pPr>
    <w:r>
      <w:fldChar w:fldCharType="begin"/>
    </w:r>
    <w:r>
      <w:rPr>
        <w:rStyle w:val="48"/>
      </w:rPr>
      <w:instrText xml:space="preserve">PAGE  </w:instrText>
    </w:r>
    <w:r>
      <w:fldChar w:fldCharType="separate"/>
    </w:r>
    <w:r>
      <w:rPr>
        <w:rStyle w:val="48"/>
      </w:rPr>
      <w:t>21</w:t>
    </w:r>
    <w:r>
      <w:fldChar w:fldCharType="end"/>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71</w:t>
    </w:r>
    <w:r>
      <w:fldChar w:fldCharType="end"/>
    </w:r>
  </w:p>
  <w:p>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21</w:t>
    </w:r>
    <w:r>
      <w:fldChar w:fldCharType="end"/>
    </w:r>
  </w:p>
  <w:p>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PAGE   \* MERGEFORMAT</w:instrText>
    </w:r>
    <w:r>
      <w:fldChar w:fldCharType="separate"/>
    </w:r>
    <w:r>
      <w:rPr>
        <w:lang w:val="zh-CN"/>
      </w:rPr>
      <w:t>57</w:t>
    </w:r>
    <w:r>
      <w:fldChar w:fldCharType="end"/>
    </w:r>
  </w:p>
  <w:p>
    <w:pPr>
      <w:pStyle w:val="30"/>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21</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6EC68"/>
    <w:multiLevelType w:val="singleLevel"/>
    <w:tmpl w:val="D506EC68"/>
    <w:lvl w:ilvl="0" w:tentative="0">
      <w:start w:val="1"/>
      <w:numFmt w:val="decimal"/>
      <w:lvlText w:val="%1."/>
      <w:lvlJc w:val="left"/>
      <w:pPr>
        <w:ind w:left="425" w:hanging="425"/>
      </w:pPr>
      <w:rPr>
        <w:rFonts w:hint="default"/>
      </w:rPr>
    </w:lvl>
  </w:abstractNum>
  <w:abstractNum w:abstractNumId="1">
    <w:nsid w:val="259905B5"/>
    <w:multiLevelType w:val="multilevel"/>
    <w:tmpl w:val="259905B5"/>
    <w:lvl w:ilvl="0" w:tentative="0">
      <w:start w:val="1"/>
      <w:numFmt w:val="chineseCountingThousand"/>
      <w:pStyle w:val="169"/>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
      <w:lvlJc w:val="left"/>
      <w:pPr>
        <w:ind w:left="4112"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6D55C038"/>
    <w:multiLevelType w:val="singleLevel"/>
    <w:tmpl w:val="6D55C038"/>
    <w:lvl w:ilvl="0" w:tentative="0">
      <w:start w:val="1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zOWEyMjM0NTQ3MzU5NGJkMzY5NGM0NjY5NjA5MjYifQ=="/>
  </w:docVars>
  <w:rsids>
    <w:rsidRoot w:val="005278B5"/>
    <w:rsid w:val="00132537"/>
    <w:rsid w:val="00246F7F"/>
    <w:rsid w:val="005278B5"/>
    <w:rsid w:val="00CD4673"/>
    <w:rsid w:val="00E3030E"/>
    <w:rsid w:val="010A6920"/>
    <w:rsid w:val="015A42F8"/>
    <w:rsid w:val="02A94795"/>
    <w:rsid w:val="04244D28"/>
    <w:rsid w:val="04423416"/>
    <w:rsid w:val="047C0FB5"/>
    <w:rsid w:val="06B46B30"/>
    <w:rsid w:val="10160336"/>
    <w:rsid w:val="13003057"/>
    <w:rsid w:val="13297EFF"/>
    <w:rsid w:val="13B608AB"/>
    <w:rsid w:val="13F034B8"/>
    <w:rsid w:val="14A1124D"/>
    <w:rsid w:val="16DC6162"/>
    <w:rsid w:val="171A1EC3"/>
    <w:rsid w:val="173E6195"/>
    <w:rsid w:val="17BA7175"/>
    <w:rsid w:val="1BFA1B6C"/>
    <w:rsid w:val="1CD221A8"/>
    <w:rsid w:val="1E977428"/>
    <w:rsid w:val="213E6CD1"/>
    <w:rsid w:val="21B33EBE"/>
    <w:rsid w:val="259D52EA"/>
    <w:rsid w:val="2E420DA7"/>
    <w:rsid w:val="2F6367C9"/>
    <w:rsid w:val="31C84A11"/>
    <w:rsid w:val="372C0FAC"/>
    <w:rsid w:val="39740CF4"/>
    <w:rsid w:val="3AAF681A"/>
    <w:rsid w:val="3E4E0A56"/>
    <w:rsid w:val="445E6D07"/>
    <w:rsid w:val="4501767A"/>
    <w:rsid w:val="4699394B"/>
    <w:rsid w:val="47ED0138"/>
    <w:rsid w:val="4D59435A"/>
    <w:rsid w:val="4EDE2171"/>
    <w:rsid w:val="4F4E4E0F"/>
    <w:rsid w:val="52D15846"/>
    <w:rsid w:val="58BF60FF"/>
    <w:rsid w:val="59D01812"/>
    <w:rsid w:val="59FC6541"/>
    <w:rsid w:val="5A8D6930"/>
    <w:rsid w:val="5BB76090"/>
    <w:rsid w:val="5EC975CB"/>
    <w:rsid w:val="664B7EA3"/>
    <w:rsid w:val="683E11C0"/>
    <w:rsid w:val="68B4321D"/>
    <w:rsid w:val="725A0192"/>
    <w:rsid w:val="72F30CA1"/>
    <w:rsid w:val="783A37E4"/>
    <w:rsid w:val="78986736"/>
    <w:rsid w:val="79E35942"/>
    <w:rsid w:val="79F0794A"/>
    <w:rsid w:val="7AA049CB"/>
    <w:rsid w:val="7DE20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3"/>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177"/>
    <w:qFormat/>
    <w:uiPriority w:val="0"/>
    <w:pPr>
      <w:keepNext/>
      <w:keepLines/>
      <w:spacing w:before="260" w:after="260" w:line="416" w:lineRule="auto"/>
      <w:outlineLvl w:val="1"/>
    </w:pPr>
    <w:rPr>
      <w:rFonts w:ascii="Cambria" w:hAnsi="Cambria"/>
      <w:b/>
      <w:bCs/>
      <w:kern w:val="0"/>
      <w:sz w:val="32"/>
      <w:szCs w:val="32"/>
      <w:lang w:val="zh-CN"/>
    </w:rPr>
  </w:style>
  <w:style w:type="paragraph" w:styleId="5">
    <w:name w:val="heading 3"/>
    <w:basedOn w:val="1"/>
    <w:next w:val="1"/>
    <w:link w:val="55"/>
    <w:qFormat/>
    <w:uiPriority w:val="0"/>
    <w:pPr>
      <w:keepNext/>
      <w:keepLines/>
      <w:spacing w:before="260" w:after="260" w:line="416" w:lineRule="auto"/>
      <w:outlineLvl w:val="2"/>
    </w:pPr>
    <w:rPr>
      <w:rFonts w:ascii="Times New Roman" w:hAnsi="Times New Roman"/>
      <w:b/>
      <w:bCs/>
      <w:kern w:val="0"/>
      <w:sz w:val="32"/>
      <w:szCs w:val="32"/>
    </w:rPr>
  </w:style>
  <w:style w:type="paragraph" w:styleId="6">
    <w:name w:val="heading 4"/>
    <w:basedOn w:val="1"/>
    <w:next w:val="1"/>
    <w:link w:val="56"/>
    <w:qFormat/>
    <w:uiPriority w:val="0"/>
    <w:pPr>
      <w:numPr>
        <w:ilvl w:val="3"/>
        <w:numId w:val="1"/>
      </w:numPr>
      <w:spacing w:before="156" w:beforeLines="50" w:after="156" w:afterLines="50" w:line="360" w:lineRule="auto"/>
      <w:jc w:val="center"/>
      <w:outlineLvl w:val="3"/>
    </w:pPr>
    <w:rPr>
      <w:rFonts w:ascii="Arial" w:hAnsi="Arial"/>
      <w:sz w:val="24"/>
      <w:szCs w:val="24"/>
    </w:rPr>
  </w:style>
  <w:style w:type="paragraph" w:styleId="7">
    <w:name w:val="heading 5"/>
    <w:basedOn w:val="6"/>
    <w:next w:val="8"/>
    <w:link w:val="57"/>
    <w:qFormat/>
    <w:uiPriority w:val="0"/>
    <w:pPr>
      <w:numPr>
        <w:ilvl w:val="4"/>
      </w:numPr>
      <w:spacing w:line="240" w:lineRule="exact"/>
      <w:outlineLvl w:val="4"/>
    </w:pPr>
    <w:rPr>
      <w:rFonts w:ascii="Times New Roman" w:hAnsi="Times New Roman"/>
      <w:sz w:val="20"/>
      <w:szCs w:val="20"/>
    </w:rPr>
  </w:style>
  <w:style w:type="paragraph" w:styleId="9">
    <w:name w:val="heading 6"/>
    <w:basedOn w:val="1"/>
    <w:next w:val="1"/>
    <w:link w:val="63"/>
    <w:qFormat/>
    <w:uiPriority w:val="0"/>
    <w:pPr>
      <w:keepNext/>
      <w:keepLines/>
      <w:spacing w:before="240" w:after="64" w:line="320" w:lineRule="auto"/>
      <w:outlineLvl w:val="5"/>
    </w:pPr>
    <w:rPr>
      <w:rFonts w:ascii="Arial" w:hAnsi="Arial" w:eastAsia="黑体"/>
      <w:b/>
      <w:bCs/>
      <w:kern w:val="0"/>
      <w:sz w:val="24"/>
      <w:szCs w:val="20"/>
    </w:rPr>
  </w:style>
  <w:style w:type="paragraph" w:styleId="10">
    <w:name w:val="heading 7"/>
    <w:basedOn w:val="1"/>
    <w:next w:val="8"/>
    <w:link w:val="59"/>
    <w:qFormat/>
    <w:uiPriority w:val="0"/>
    <w:pPr>
      <w:keepNext/>
      <w:keepLines/>
      <w:numPr>
        <w:ilvl w:val="6"/>
        <w:numId w:val="1"/>
      </w:numPr>
      <w:spacing w:before="240" w:after="64" w:line="320" w:lineRule="auto"/>
      <w:outlineLvl w:val="6"/>
    </w:pPr>
    <w:rPr>
      <w:rFonts w:ascii="Times New Roman" w:hAnsi="Times New Roman"/>
      <w:b/>
      <w:kern w:val="0"/>
      <w:sz w:val="24"/>
      <w:szCs w:val="20"/>
    </w:rPr>
  </w:style>
  <w:style w:type="paragraph" w:styleId="11">
    <w:name w:val="heading 8"/>
    <w:basedOn w:val="1"/>
    <w:next w:val="8"/>
    <w:link w:val="60"/>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2">
    <w:name w:val="heading 9"/>
    <w:basedOn w:val="1"/>
    <w:next w:val="8"/>
    <w:link w:val="61"/>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styleId="8">
    <w:name w:val="Normal Indent"/>
    <w:basedOn w:val="1"/>
    <w:next w:val="1"/>
    <w:link w:val="62"/>
    <w:qFormat/>
    <w:uiPriority w:val="0"/>
    <w:pPr>
      <w:ind w:firstLine="420" w:firstLineChars="200"/>
    </w:pPr>
    <w:rPr>
      <w:rFonts w:ascii="Times New Roman" w:hAnsi="Times New Roman"/>
      <w:kern w:val="0"/>
      <w:sz w:val="20"/>
      <w:szCs w:val="20"/>
    </w:rPr>
  </w:style>
  <w:style w:type="paragraph" w:styleId="13">
    <w:name w:val="List 3"/>
    <w:basedOn w:val="1"/>
    <w:qFormat/>
    <w:uiPriority w:val="0"/>
    <w:pPr>
      <w:ind w:left="100" w:leftChars="400" w:hanging="200" w:hangingChars="200"/>
    </w:pPr>
    <w:rPr>
      <w:rFonts w:ascii="Times New Roman" w:hAnsi="Times New Roman"/>
      <w:szCs w:val="24"/>
    </w:rPr>
  </w:style>
  <w:style w:type="paragraph" w:styleId="14">
    <w:name w:val="toc 7"/>
    <w:basedOn w:val="1"/>
    <w:next w:val="1"/>
    <w:unhideWhenUsed/>
    <w:qFormat/>
    <w:uiPriority w:val="39"/>
    <w:pPr>
      <w:ind w:left="2520" w:leftChars="1200"/>
    </w:pPr>
    <w:rPr>
      <w:rFonts w:ascii="等线" w:hAnsi="等线" w:eastAsia="等线"/>
    </w:rPr>
  </w:style>
  <w:style w:type="paragraph" w:styleId="15">
    <w:name w:val="caption"/>
    <w:basedOn w:val="1"/>
    <w:next w:val="1"/>
    <w:qFormat/>
    <w:uiPriority w:val="0"/>
    <w:rPr>
      <w:rFonts w:ascii="Arial" w:hAnsi="Arial" w:eastAsia="黑体" w:cs="Arial"/>
      <w:sz w:val="20"/>
      <w:szCs w:val="20"/>
    </w:rPr>
  </w:style>
  <w:style w:type="paragraph" w:styleId="16">
    <w:name w:val="Document Map"/>
    <w:basedOn w:val="1"/>
    <w:link w:val="65"/>
    <w:qFormat/>
    <w:uiPriority w:val="0"/>
    <w:pPr>
      <w:shd w:val="clear" w:color="auto" w:fill="000080"/>
    </w:pPr>
    <w:rPr>
      <w:kern w:val="0"/>
      <w:sz w:val="20"/>
      <w:szCs w:val="20"/>
    </w:rPr>
  </w:style>
  <w:style w:type="paragraph" w:styleId="17">
    <w:name w:val="annotation text"/>
    <w:basedOn w:val="1"/>
    <w:link w:val="66"/>
    <w:qFormat/>
    <w:uiPriority w:val="99"/>
    <w:pPr>
      <w:jc w:val="left"/>
    </w:pPr>
    <w:rPr>
      <w:rFonts w:ascii="Times New Roman" w:hAnsi="Times New Roman"/>
      <w:kern w:val="0"/>
      <w:sz w:val="20"/>
      <w:szCs w:val="20"/>
    </w:rPr>
  </w:style>
  <w:style w:type="paragraph" w:styleId="18">
    <w:name w:val="Salutation"/>
    <w:basedOn w:val="1"/>
    <w:next w:val="1"/>
    <w:link w:val="68"/>
    <w:qFormat/>
    <w:uiPriority w:val="0"/>
    <w:rPr>
      <w:kern w:val="0"/>
      <w:sz w:val="32"/>
      <w:szCs w:val="20"/>
    </w:rPr>
  </w:style>
  <w:style w:type="paragraph" w:styleId="19">
    <w:name w:val="Body Text 3"/>
    <w:basedOn w:val="1"/>
    <w:link w:val="69"/>
    <w:qFormat/>
    <w:uiPriority w:val="0"/>
    <w:pPr>
      <w:spacing w:after="120"/>
    </w:pPr>
    <w:rPr>
      <w:rFonts w:ascii="Times New Roman" w:hAnsi="Times New Roman"/>
      <w:kern w:val="0"/>
      <w:sz w:val="16"/>
      <w:szCs w:val="16"/>
    </w:rPr>
  </w:style>
  <w:style w:type="paragraph" w:styleId="20">
    <w:name w:val="Body Text"/>
    <w:basedOn w:val="1"/>
    <w:next w:val="1"/>
    <w:link w:val="70"/>
    <w:qFormat/>
    <w:uiPriority w:val="99"/>
    <w:pPr>
      <w:pBdr>
        <w:top w:val="single" w:color="auto" w:sz="4" w:space="1"/>
      </w:pBdr>
    </w:pPr>
    <w:rPr>
      <w:rFonts w:ascii="Times New Roman" w:hAnsi="Times New Roman"/>
      <w:b/>
      <w:bCs/>
      <w:kern w:val="0"/>
      <w:sz w:val="20"/>
      <w:szCs w:val="20"/>
    </w:rPr>
  </w:style>
  <w:style w:type="paragraph" w:styleId="21">
    <w:name w:val="Body Text Indent"/>
    <w:basedOn w:val="1"/>
    <w:link w:val="71"/>
    <w:qFormat/>
    <w:uiPriority w:val="0"/>
    <w:pPr>
      <w:ind w:firstLine="600" w:firstLineChars="200"/>
    </w:pPr>
    <w:rPr>
      <w:rFonts w:ascii="宋体" w:hAnsi="Times New Roman"/>
      <w:kern w:val="0"/>
      <w:sz w:val="30"/>
      <w:szCs w:val="20"/>
    </w:rPr>
  </w:style>
  <w:style w:type="paragraph" w:styleId="22">
    <w:name w:val="Block Text"/>
    <w:basedOn w:val="1"/>
    <w:unhideWhenUsed/>
    <w:qFormat/>
    <w:uiPriority w:val="99"/>
    <w:pPr>
      <w:spacing w:after="120"/>
      <w:ind w:left="1440" w:leftChars="700" w:right="1440" w:rightChars="700"/>
    </w:pPr>
    <w:rPr>
      <w:rFonts w:ascii="Times New Roman" w:hAnsi="Times New Roman"/>
      <w:szCs w:val="24"/>
    </w:rPr>
  </w:style>
  <w:style w:type="paragraph" w:styleId="23">
    <w:name w:val="toc 5"/>
    <w:basedOn w:val="1"/>
    <w:next w:val="1"/>
    <w:unhideWhenUsed/>
    <w:qFormat/>
    <w:uiPriority w:val="39"/>
    <w:pPr>
      <w:ind w:left="1680" w:leftChars="800"/>
    </w:pPr>
    <w:rPr>
      <w:rFonts w:ascii="等线" w:hAnsi="等线" w:eastAsia="等线"/>
    </w:rPr>
  </w:style>
  <w:style w:type="paragraph" w:styleId="24">
    <w:name w:val="toc 3"/>
    <w:basedOn w:val="1"/>
    <w:next w:val="1"/>
    <w:qFormat/>
    <w:uiPriority w:val="39"/>
    <w:pPr>
      <w:ind w:left="840" w:leftChars="400"/>
    </w:pPr>
    <w:rPr>
      <w:rFonts w:ascii="Times New Roman" w:hAnsi="Times New Roman"/>
      <w:szCs w:val="24"/>
    </w:rPr>
  </w:style>
  <w:style w:type="paragraph" w:styleId="25">
    <w:name w:val="Plain Text"/>
    <w:basedOn w:val="1"/>
    <w:next w:val="1"/>
    <w:link w:val="72"/>
    <w:qFormat/>
    <w:uiPriority w:val="0"/>
    <w:rPr>
      <w:rFonts w:ascii="宋体" w:hAnsi="Courier New"/>
      <w:kern w:val="0"/>
      <w:sz w:val="20"/>
      <w:szCs w:val="20"/>
    </w:rPr>
  </w:style>
  <w:style w:type="paragraph" w:styleId="26">
    <w:name w:val="toc 8"/>
    <w:basedOn w:val="1"/>
    <w:next w:val="1"/>
    <w:unhideWhenUsed/>
    <w:qFormat/>
    <w:uiPriority w:val="39"/>
    <w:pPr>
      <w:ind w:left="2940" w:leftChars="1400"/>
    </w:pPr>
    <w:rPr>
      <w:rFonts w:ascii="等线" w:hAnsi="等线" w:eastAsia="等线"/>
    </w:rPr>
  </w:style>
  <w:style w:type="paragraph" w:styleId="27">
    <w:name w:val="Date"/>
    <w:basedOn w:val="1"/>
    <w:next w:val="1"/>
    <w:link w:val="73"/>
    <w:qFormat/>
    <w:uiPriority w:val="0"/>
    <w:pPr>
      <w:ind w:left="100" w:leftChars="2500"/>
    </w:pPr>
    <w:rPr>
      <w:rFonts w:ascii="Times New Roman" w:hAnsi="Times New Roman"/>
      <w:kern w:val="0"/>
      <w:sz w:val="20"/>
      <w:szCs w:val="20"/>
    </w:rPr>
  </w:style>
  <w:style w:type="paragraph" w:styleId="28">
    <w:name w:val="Body Text Indent 2"/>
    <w:basedOn w:val="1"/>
    <w:link w:val="75"/>
    <w:qFormat/>
    <w:uiPriority w:val="0"/>
    <w:pPr>
      <w:spacing w:after="120" w:line="480" w:lineRule="auto"/>
      <w:ind w:left="420" w:leftChars="200"/>
    </w:pPr>
    <w:rPr>
      <w:rFonts w:eastAsia="Courier New"/>
      <w:kern w:val="0"/>
      <w:sz w:val="20"/>
      <w:szCs w:val="20"/>
    </w:rPr>
  </w:style>
  <w:style w:type="paragraph" w:styleId="29">
    <w:name w:val="Balloon Text"/>
    <w:basedOn w:val="1"/>
    <w:link w:val="76"/>
    <w:semiHidden/>
    <w:qFormat/>
    <w:uiPriority w:val="0"/>
    <w:rPr>
      <w:rFonts w:ascii="Times New Roman" w:hAnsi="Times New Roman"/>
      <w:kern w:val="0"/>
      <w:sz w:val="18"/>
      <w:szCs w:val="18"/>
    </w:rPr>
  </w:style>
  <w:style w:type="paragraph" w:styleId="30">
    <w:name w:val="footer"/>
    <w:basedOn w:val="1"/>
    <w:link w:val="78"/>
    <w:qFormat/>
    <w:uiPriority w:val="99"/>
    <w:pPr>
      <w:tabs>
        <w:tab w:val="center" w:pos="4153"/>
        <w:tab w:val="right" w:pos="8306"/>
      </w:tabs>
      <w:snapToGrid w:val="0"/>
      <w:jc w:val="left"/>
    </w:pPr>
    <w:rPr>
      <w:kern w:val="0"/>
      <w:sz w:val="18"/>
      <w:szCs w:val="18"/>
    </w:rPr>
  </w:style>
  <w:style w:type="paragraph" w:styleId="31">
    <w:name w:val="header"/>
    <w:basedOn w:val="1"/>
    <w:link w:val="79"/>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tabs>
        <w:tab w:val="right" w:leader="dot" w:pos="8990"/>
      </w:tabs>
      <w:spacing w:line="360" w:lineRule="auto"/>
    </w:pPr>
    <w:rPr>
      <w:rFonts w:ascii="Times New Roman" w:hAnsi="Times New Roman"/>
      <w:szCs w:val="24"/>
    </w:rPr>
  </w:style>
  <w:style w:type="paragraph" w:styleId="33">
    <w:name w:val="toc 4"/>
    <w:basedOn w:val="1"/>
    <w:next w:val="1"/>
    <w:unhideWhenUsed/>
    <w:qFormat/>
    <w:uiPriority w:val="39"/>
    <w:pPr>
      <w:ind w:left="1260" w:leftChars="600"/>
    </w:pPr>
    <w:rPr>
      <w:rFonts w:ascii="等线" w:hAnsi="等线" w:eastAsia="等线"/>
    </w:rPr>
  </w:style>
  <w:style w:type="paragraph" w:styleId="34">
    <w:name w:val="toc 6"/>
    <w:basedOn w:val="1"/>
    <w:next w:val="1"/>
    <w:unhideWhenUsed/>
    <w:qFormat/>
    <w:uiPriority w:val="39"/>
    <w:pPr>
      <w:ind w:left="2100" w:leftChars="1000"/>
    </w:pPr>
    <w:rPr>
      <w:rFonts w:ascii="等线" w:hAnsi="等线" w:eastAsia="等线"/>
    </w:rPr>
  </w:style>
  <w:style w:type="paragraph" w:styleId="35">
    <w:name w:val="Body Text Indent 3"/>
    <w:basedOn w:val="1"/>
    <w:link w:val="81"/>
    <w:qFormat/>
    <w:uiPriority w:val="0"/>
    <w:pPr>
      <w:spacing w:after="120"/>
      <w:ind w:left="420" w:leftChars="200"/>
    </w:pPr>
    <w:rPr>
      <w:kern w:val="0"/>
      <w:sz w:val="16"/>
      <w:szCs w:val="20"/>
    </w:rPr>
  </w:style>
  <w:style w:type="paragraph" w:styleId="36">
    <w:name w:val="toc 2"/>
    <w:basedOn w:val="1"/>
    <w:next w:val="1"/>
    <w:qFormat/>
    <w:uiPriority w:val="39"/>
    <w:pPr>
      <w:ind w:left="420" w:leftChars="200"/>
    </w:pPr>
    <w:rPr>
      <w:rFonts w:ascii="Times New Roman" w:hAnsi="Times New Roman"/>
      <w:szCs w:val="24"/>
    </w:rPr>
  </w:style>
  <w:style w:type="paragraph" w:styleId="37">
    <w:name w:val="toc 9"/>
    <w:basedOn w:val="1"/>
    <w:next w:val="1"/>
    <w:unhideWhenUsed/>
    <w:qFormat/>
    <w:uiPriority w:val="39"/>
    <w:pPr>
      <w:ind w:left="3360" w:leftChars="1600"/>
    </w:pPr>
    <w:rPr>
      <w:rFonts w:ascii="等线" w:hAnsi="等线" w:eastAsia="等线"/>
    </w:rPr>
  </w:style>
  <w:style w:type="paragraph" w:styleId="38">
    <w:name w:val="Body Text 2"/>
    <w:basedOn w:val="1"/>
    <w:link w:val="83"/>
    <w:qFormat/>
    <w:uiPriority w:val="0"/>
    <w:pPr>
      <w:spacing w:after="120" w:line="480" w:lineRule="auto"/>
    </w:pPr>
    <w:rPr>
      <w:kern w:val="0"/>
      <w:sz w:val="20"/>
      <w:szCs w:val="20"/>
    </w:rPr>
  </w:style>
  <w:style w:type="paragraph" w:styleId="39">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kern w:val="0"/>
      <w:sz w:val="20"/>
      <w:szCs w:val="21"/>
    </w:rPr>
  </w:style>
  <w:style w:type="paragraph" w:styleId="40">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1">
    <w:name w:val="Title"/>
    <w:basedOn w:val="1"/>
    <w:next w:val="1"/>
    <w:link w:val="86"/>
    <w:qFormat/>
    <w:uiPriority w:val="0"/>
    <w:pPr>
      <w:spacing w:before="240" w:after="60"/>
      <w:jc w:val="center"/>
      <w:outlineLvl w:val="0"/>
    </w:pPr>
    <w:rPr>
      <w:rFonts w:ascii="Cambria" w:hAnsi="Cambria"/>
      <w:b/>
      <w:bCs/>
      <w:kern w:val="0"/>
      <w:sz w:val="32"/>
      <w:szCs w:val="32"/>
    </w:rPr>
  </w:style>
  <w:style w:type="paragraph" w:styleId="42">
    <w:name w:val="annotation subject"/>
    <w:basedOn w:val="17"/>
    <w:next w:val="17"/>
    <w:link w:val="87"/>
    <w:semiHidden/>
    <w:qFormat/>
    <w:uiPriority w:val="0"/>
    <w:rPr>
      <w:b/>
      <w:bCs/>
    </w:rPr>
  </w:style>
  <w:style w:type="paragraph" w:styleId="43">
    <w:name w:val="Body Text First Indent"/>
    <w:basedOn w:val="20"/>
    <w:link w:val="88"/>
    <w:qFormat/>
    <w:uiPriority w:val="0"/>
    <w:pPr>
      <w:pBdr>
        <w:top w:val="none" w:color="auto" w:sz="0" w:space="0"/>
      </w:pBdr>
      <w:spacing w:after="120"/>
      <w:ind w:firstLine="420" w:firstLineChars="100"/>
    </w:pPr>
  </w:style>
  <w:style w:type="paragraph" w:styleId="44">
    <w:name w:val="Body Text First Indent 2"/>
    <w:basedOn w:val="21"/>
    <w:link w:val="89"/>
    <w:qFormat/>
    <w:uiPriority w:val="0"/>
    <w:pPr>
      <w:spacing w:after="120"/>
      <w:ind w:left="420" w:leftChars="200" w:firstLine="420"/>
    </w:pPr>
    <w:rPr>
      <w:rFonts w:ascii="Times New Roman"/>
      <w:sz w:val="21"/>
      <w:szCs w:val="24"/>
    </w:rPr>
  </w:style>
  <w:style w:type="table" w:styleId="46">
    <w:name w:val="Table Grid"/>
    <w:basedOn w:val="45"/>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Emphasis"/>
    <w:qFormat/>
    <w:uiPriority w:val="20"/>
    <w:rPr>
      <w:rFonts w:ascii="Times New Roman" w:hAnsi="Times New Roman" w:eastAsia="宋体" w:cs="Times New Roman"/>
      <w:i/>
      <w:iCs/>
    </w:rPr>
  </w:style>
  <w:style w:type="character" w:styleId="51">
    <w:name w:val="Hyperlink"/>
    <w:qFormat/>
    <w:uiPriority w:val="99"/>
    <w:rPr>
      <w:rFonts w:ascii="Times New Roman" w:hAnsi="Times New Roman" w:eastAsia="宋体" w:cs="Times New Roman"/>
      <w:color w:val="0000FF"/>
      <w:u w:val="single"/>
    </w:rPr>
  </w:style>
  <w:style w:type="character" w:styleId="52">
    <w:name w:val="annotation reference"/>
    <w:qFormat/>
    <w:uiPriority w:val="99"/>
    <w:rPr>
      <w:rFonts w:ascii="Times New Roman" w:hAnsi="Times New Roman" w:eastAsia="宋体" w:cs="Times New Roman"/>
      <w:sz w:val="21"/>
      <w:szCs w:val="21"/>
    </w:rPr>
  </w:style>
  <w:style w:type="character" w:customStyle="1" w:styleId="53">
    <w:name w:val="标题 1 字符"/>
    <w:basedOn w:val="47"/>
    <w:link w:val="3"/>
    <w:qFormat/>
    <w:uiPriority w:val="0"/>
    <w:rPr>
      <w:rFonts w:ascii="Times New Roman" w:hAnsi="Times New Roman" w:eastAsia="宋体" w:cs="Times New Roman"/>
      <w:b/>
      <w:bCs/>
      <w:kern w:val="44"/>
      <w:sz w:val="44"/>
      <w:szCs w:val="44"/>
    </w:rPr>
  </w:style>
  <w:style w:type="character" w:customStyle="1" w:styleId="54">
    <w:name w:val="标题 2 字符"/>
    <w:basedOn w:val="47"/>
    <w:link w:val="4"/>
    <w:qFormat/>
    <w:uiPriority w:val="0"/>
    <w:rPr>
      <w:rFonts w:ascii="Cambria" w:hAnsi="Cambria" w:eastAsia="宋体" w:cs="Times New Roman"/>
      <w:b/>
      <w:bCs/>
      <w:kern w:val="0"/>
      <w:sz w:val="32"/>
      <w:szCs w:val="32"/>
      <w:lang w:val="zh-CN"/>
    </w:rPr>
  </w:style>
  <w:style w:type="character" w:customStyle="1" w:styleId="55">
    <w:name w:val="标题 3 字符"/>
    <w:basedOn w:val="47"/>
    <w:link w:val="5"/>
    <w:qFormat/>
    <w:uiPriority w:val="0"/>
    <w:rPr>
      <w:rFonts w:ascii="Times New Roman" w:hAnsi="Times New Roman" w:eastAsia="宋体" w:cs="Times New Roman"/>
      <w:b/>
      <w:bCs/>
      <w:kern w:val="0"/>
      <w:sz w:val="32"/>
      <w:szCs w:val="32"/>
    </w:rPr>
  </w:style>
  <w:style w:type="character" w:customStyle="1" w:styleId="56">
    <w:name w:val="标题 4 字符"/>
    <w:basedOn w:val="47"/>
    <w:link w:val="6"/>
    <w:qFormat/>
    <w:uiPriority w:val="0"/>
    <w:rPr>
      <w:rFonts w:ascii="Arial" w:hAnsi="Arial" w:eastAsia="宋体" w:cs="Times New Roman"/>
      <w:b/>
      <w:bCs/>
      <w:kern w:val="0"/>
      <w:sz w:val="24"/>
      <w:szCs w:val="24"/>
    </w:rPr>
  </w:style>
  <w:style w:type="character" w:customStyle="1" w:styleId="57">
    <w:name w:val="标题 5 字符"/>
    <w:basedOn w:val="47"/>
    <w:link w:val="7"/>
    <w:qFormat/>
    <w:uiPriority w:val="0"/>
    <w:rPr>
      <w:rFonts w:ascii="Times New Roman" w:hAnsi="Times New Roman" w:eastAsia="宋体" w:cs="Times New Roman"/>
      <w:kern w:val="0"/>
      <w:sz w:val="20"/>
      <w:szCs w:val="20"/>
    </w:rPr>
  </w:style>
  <w:style w:type="character" w:customStyle="1" w:styleId="58">
    <w:name w:val="标题 6 字符"/>
    <w:basedOn w:val="47"/>
    <w:semiHidden/>
    <w:qFormat/>
    <w:uiPriority w:val="0"/>
    <w:rPr>
      <w:rFonts w:asciiTheme="majorHAnsi" w:hAnsiTheme="majorHAnsi" w:eastAsiaTheme="majorEastAsia" w:cstheme="majorBidi"/>
      <w:b/>
      <w:bCs/>
      <w:sz w:val="24"/>
      <w:szCs w:val="24"/>
    </w:rPr>
  </w:style>
  <w:style w:type="character" w:customStyle="1" w:styleId="59">
    <w:name w:val="标题 7 字符"/>
    <w:basedOn w:val="47"/>
    <w:link w:val="10"/>
    <w:qFormat/>
    <w:uiPriority w:val="0"/>
    <w:rPr>
      <w:rFonts w:ascii="Times New Roman" w:hAnsi="Times New Roman" w:eastAsia="宋体" w:cs="Times New Roman"/>
      <w:b/>
      <w:kern w:val="0"/>
      <w:sz w:val="24"/>
      <w:szCs w:val="20"/>
    </w:rPr>
  </w:style>
  <w:style w:type="character" w:customStyle="1" w:styleId="60">
    <w:name w:val="标题 8 字符"/>
    <w:basedOn w:val="47"/>
    <w:link w:val="11"/>
    <w:qFormat/>
    <w:uiPriority w:val="0"/>
    <w:rPr>
      <w:rFonts w:ascii="Arial" w:hAnsi="Arial" w:eastAsia="黑体" w:cs="Times New Roman"/>
      <w:kern w:val="0"/>
      <w:sz w:val="24"/>
      <w:szCs w:val="20"/>
    </w:rPr>
  </w:style>
  <w:style w:type="character" w:customStyle="1" w:styleId="61">
    <w:name w:val="标题 9 字符"/>
    <w:basedOn w:val="47"/>
    <w:link w:val="12"/>
    <w:qFormat/>
    <w:uiPriority w:val="0"/>
    <w:rPr>
      <w:rFonts w:ascii="Arial" w:hAnsi="Arial" w:eastAsia="黑体" w:cs="Times New Roman"/>
      <w:kern w:val="0"/>
      <w:sz w:val="20"/>
      <w:szCs w:val="20"/>
    </w:rPr>
  </w:style>
  <w:style w:type="character" w:customStyle="1" w:styleId="62">
    <w:name w:val="正文缩进 字符"/>
    <w:link w:val="8"/>
    <w:qFormat/>
    <w:uiPriority w:val="0"/>
    <w:rPr>
      <w:rFonts w:ascii="Times New Roman" w:hAnsi="Times New Roman" w:eastAsia="宋体" w:cs="Times New Roman"/>
      <w:kern w:val="0"/>
      <w:sz w:val="20"/>
      <w:szCs w:val="20"/>
    </w:rPr>
  </w:style>
  <w:style w:type="character" w:customStyle="1" w:styleId="63">
    <w:name w:val="标题 6 字符1"/>
    <w:link w:val="9"/>
    <w:qFormat/>
    <w:uiPriority w:val="0"/>
    <w:rPr>
      <w:rFonts w:ascii="Arial" w:hAnsi="Arial" w:eastAsia="黑体" w:cs="Times New Roman"/>
      <w:b/>
      <w:bCs/>
      <w:kern w:val="0"/>
      <w:sz w:val="24"/>
      <w:szCs w:val="20"/>
    </w:rPr>
  </w:style>
  <w:style w:type="character" w:customStyle="1" w:styleId="64">
    <w:name w:val="文档结构图 字符"/>
    <w:basedOn w:val="47"/>
    <w:qFormat/>
    <w:uiPriority w:val="0"/>
    <w:rPr>
      <w:rFonts w:ascii="Microsoft YaHei UI" w:hAnsi="Calibri" w:eastAsia="Microsoft YaHei UI" w:cs="Times New Roman"/>
      <w:sz w:val="18"/>
      <w:szCs w:val="18"/>
    </w:rPr>
  </w:style>
  <w:style w:type="character" w:customStyle="1" w:styleId="65">
    <w:name w:val="文档结构图 字符1"/>
    <w:link w:val="16"/>
    <w:qFormat/>
    <w:uiPriority w:val="0"/>
    <w:rPr>
      <w:rFonts w:ascii="Calibri" w:hAnsi="Calibri" w:eastAsia="宋体" w:cs="Times New Roman"/>
      <w:kern w:val="0"/>
      <w:sz w:val="20"/>
      <w:szCs w:val="20"/>
      <w:shd w:val="clear" w:color="auto" w:fill="000080"/>
    </w:rPr>
  </w:style>
  <w:style w:type="character" w:customStyle="1" w:styleId="66">
    <w:name w:val="批注文字 字符"/>
    <w:basedOn w:val="47"/>
    <w:link w:val="17"/>
    <w:qFormat/>
    <w:uiPriority w:val="99"/>
    <w:rPr>
      <w:rFonts w:ascii="Times New Roman" w:hAnsi="Times New Roman" w:eastAsia="宋体" w:cs="Times New Roman"/>
      <w:kern w:val="0"/>
      <w:sz w:val="20"/>
      <w:szCs w:val="20"/>
    </w:rPr>
  </w:style>
  <w:style w:type="character" w:customStyle="1" w:styleId="67">
    <w:name w:val="称呼 字符"/>
    <w:basedOn w:val="47"/>
    <w:qFormat/>
    <w:uiPriority w:val="0"/>
    <w:rPr>
      <w:rFonts w:ascii="Calibri" w:hAnsi="Calibri" w:eastAsia="宋体" w:cs="Times New Roman"/>
    </w:rPr>
  </w:style>
  <w:style w:type="character" w:customStyle="1" w:styleId="68">
    <w:name w:val="称呼 字符1"/>
    <w:link w:val="18"/>
    <w:qFormat/>
    <w:uiPriority w:val="0"/>
    <w:rPr>
      <w:rFonts w:ascii="Calibri" w:hAnsi="Calibri" w:eastAsia="宋体" w:cs="Times New Roman"/>
      <w:kern w:val="0"/>
      <w:sz w:val="32"/>
      <w:szCs w:val="20"/>
    </w:rPr>
  </w:style>
  <w:style w:type="character" w:customStyle="1" w:styleId="69">
    <w:name w:val="正文文本 3 字符"/>
    <w:basedOn w:val="47"/>
    <w:link w:val="19"/>
    <w:qFormat/>
    <w:uiPriority w:val="0"/>
    <w:rPr>
      <w:rFonts w:ascii="Times New Roman" w:hAnsi="Times New Roman" w:eastAsia="宋体" w:cs="Times New Roman"/>
      <w:kern w:val="0"/>
      <w:sz w:val="16"/>
      <w:szCs w:val="16"/>
    </w:rPr>
  </w:style>
  <w:style w:type="character" w:customStyle="1" w:styleId="70">
    <w:name w:val="正文文本 字符"/>
    <w:basedOn w:val="47"/>
    <w:link w:val="20"/>
    <w:qFormat/>
    <w:uiPriority w:val="99"/>
    <w:rPr>
      <w:rFonts w:ascii="Times New Roman" w:hAnsi="Times New Roman" w:eastAsia="宋体" w:cs="Times New Roman"/>
      <w:b/>
      <w:bCs/>
      <w:kern w:val="0"/>
      <w:sz w:val="20"/>
      <w:szCs w:val="20"/>
    </w:rPr>
  </w:style>
  <w:style w:type="character" w:customStyle="1" w:styleId="71">
    <w:name w:val="正文文本缩进 字符"/>
    <w:basedOn w:val="47"/>
    <w:link w:val="21"/>
    <w:qFormat/>
    <w:uiPriority w:val="0"/>
    <w:rPr>
      <w:rFonts w:ascii="宋体" w:hAnsi="Times New Roman" w:eastAsia="宋体" w:cs="Times New Roman"/>
      <w:kern w:val="0"/>
      <w:sz w:val="30"/>
      <w:szCs w:val="20"/>
    </w:rPr>
  </w:style>
  <w:style w:type="character" w:customStyle="1" w:styleId="72">
    <w:name w:val="纯文本 字符"/>
    <w:basedOn w:val="47"/>
    <w:link w:val="25"/>
    <w:qFormat/>
    <w:uiPriority w:val="0"/>
    <w:rPr>
      <w:rFonts w:ascii="宋体" w:hAnsi="Courier New" w:eastAsia="宋体" w:cs="Times New Roman"/>
      <w:kern w:val="0"/>
      <w:sz w:val="20"/>
      <w:szCs w:val="20"/>
    </w:rPr>
  </w:style>
  <w:style w:type="character" w:customStyle="1" w:styleId="73">
    <w:name w:val="日期 字符"/>
    <w:basedOn w:val="47"/>
    <w:link w:val="27"/>
    <w:qFormat/>
    <w:uiPriority w:val="0"/>
    <w:rPr>
      <w:rFonts w:ascii="Times New Roman" w:hAnsi="Times New Roman" w:eastAsia="宋体" w:cs="Times New Roman"/>
      <w:kern w:val="0"/>
      <w:sz w:val="20"/>
      <w:szCs w:val="20"/>
    </w:rPr>
  </w:style>
  <w:style w:type="character" w:customStyle="1" w:styleId="74">
    <w:name w:val="正文文本缩进 2 字符"/>
    <w:basedOn w:val="47"/>
    <w:qFormat/>
    <w:uiPriority w:val="0"/>
    <w:rPr>
      <w:rFonts w:ascii="Calibri" w:hAnsi="Calibri" w:eastAsia="宋体" w:cs="Times New Roman"/>
    </w:rPr>
  </w:style>
  <w:style w:type="character" w:customStyle="1" w:styleId="75">
    <w:name w:val="正文文本缩进 2 字符1"/>
    <w:link w:val="28"/>
    <w:qFormat/>
    <w:uiPriority w:val="0"/>
    <w:rPr>
      <w:rFonts w:ascii="Calibri" w:hAnsi="Calibri" w:eastAsia="Courier New" w:cs="Times New Roman"/>
      <w:kern w:val="0"/>
      <w:sz w:val="20"/>
      <w:szCs w:val="20"/>
    </w:rPr>
  </w:style>
  <w:style w:type="character" w:customStyle="1" w:styleId="76">
    <w:name w:val="批注框文本 字符"/>
    <w:basedOn w:val="47"/>
    <w:link w:val="29"/>
    <w:semiHidden/>
    <w:qFormat/>
    <w:uiPriority w:val="0"/>
    <w:rPr>
      <w:rFonts w:ascii="Times New Roman" w:hAnsi="Times New Roman" w:eastAsia="宋体" w:cs="Times New Roman"/>
      <w:kern w:val="0"/>
      <w:sz w:val="18"/>
      <w:szCs w:val="18"/>
    </w:rPr>
  </w:style>
  <w:style w:type="character" w:customStyle="1" w:styleId="77">
    <w:name w:val="页脚 字符"/>
    <w:basedOn w:val="47"/>
    <w:qFormat/>
    <w:uiPriority w:val="99"/>
    <w:rPr>
      <w:rFonts w:ascii="Calibri" w:hAnsi="Calibri" w:eastAsia="宋体" w:cs="Times New Roman"/>
      <w:sz w:val="18"/>
      <w:szCs w:val="18"/>
    </w:rPr>
  </w:style>
  <w:style w:type="character" w:customStyle="1" w:styleId="78">
    <w:name w:val="页脚 字符1"/>
    <w:link w:val="30"/>
    <w:qFormat/>
    <w:uiPriority w:val="99"/>
    <w:rPr>
      <w:rFonts w:ascii="Calibri" w:hAnsi="Calibri" w:eastAsia="宋体" w:cs="Times New Roman"/>
      <w:kern w:val="0"/>
      <w:sz w:val="18"/>
      <w:szCs w:val="18"/>
    </w:rPr>
  </w:style>
  <w:style w:type="character" w:customStyle="1" w:styleId="79">
    <w:name w:val="页眉 字符"/>
    <w:basedOn w:val="47"/>
    <w:link w:val="31"/>
    <w:qFormat/>
    <w:uiPriority w:val="99"/>
    <w:rPr>
      <w:rFonts w:ascii="Calibri" w:hAnsi="Calibri" w:eastAsia="宋体" w:cs="Times New Roman"/>
      <w:kern w:val="0"/>
      <w:sz w:val="18"/>
      <w:szCs w:val="18"/>
    </w:rPr>
  </w:style>
  <w:style w:type="character" w:customStyle="1" w:styleId="80">
    <w:name w:val="正文文本缩进 3 字符"/>
    <w:basedOn w:val="47"/>
    <w:qFormat/>
    <w:uiPriority w:val="0"/>
    <w:rPr>
      <w:rFonts w:ascii="Calibri" w:hAnsi="Calibri" w:eastAsia="宋体" w:cs="Times New Roman"/>
      <w:sz w:val="16"/>
      <w:szCs w:val="16"/>
    </w:rPr>
  </w:style>
  <w:style w:type="character" w:customStyle="1" w:styleId="81">
    <w:name w:val="正文文本缩进 3 字符1"/>
    <w:link w:val="35"/>
    <w:qFormat/>
    <w:uiPriority w:val="0"/>
    <w:rPr>
      <w:rFonts w:ascii="Calibri" w:hAnsi="Calibri" w:eastAsia="宋体" w:cs="Times New Roman"/>
      <w:kern w:val="0"/>
      <w:sz w:val="16"/>
      <w:szCs w:val="20"/>
    </w:rPr>
  </w:style>
  <w:style w:type="character" w:customStyle="1" w:styleId="82">
    <w:name w:val="正文文本 2 字符"/>
    <w:basedOn w:val="47"/>
    <w:qFormat/>
    <w:uiPriority w:val="0"/>
    <w:rPr>
      <w:rFonts w:ascii="Calibri" w:hAnsi="Calibri" w:eastAsia="宋体" w:cs="Times New Roman"/>
    </w:rPr>
  </w:style>
  <w:style w:type="character" w:customStyle="1" w:styleId="83">
    <w:name w:val="正文文本 2 字符1"/>
    <w:link w:val="38"/>
    <w:qFormat/>
    <w:uiPriority w:val="0"/>
    <w:rPr>
      <w:rFonts w:ascii="Calibri" w:hAnsi="Calibri" w:eastAsia="宋体" w:cs="Times New Roman"/>
      <w:kern w:val="0"/>
      <w:sz w:val="20"/>
      <w:szCs w:val="20"/>
    </w:rPr>
  </w:style>
  <w:style w:type="character" w:customStyle="1" w:styleId="84">
    <w:name w:val="HTML 预设格式 字符"/>
    <w:basedOn w:val="47"/>
    <w:qFormat/>
    <w:uiPriority w:val="0"/>
    <w:rPr>
      <w:rFonts w:ascii="Courier New" w:hAnsi="Courier New" w:eastAsia="宋体" w:cs="Courier New"/>
      <w:sz w:val="20"/>
      <w:szCs w:val="20"/>
    </w:rPr>
  </w:style>
  <w:style w:type="character" w:customStyle="1" w:styleId="85">
    <w:name w:val="HTML 预设格式 字符1"/>
    <w:link w:val="39"/>
    <w:qFormat/>
    <w:uiPriority w:val="0"/>
    <w:rPr>
      <w:rFonts w:ascii="Calibri" w:hAnsi="Calibri" w:eastAsia="宋体" w:cs="Times New Roman"/>
      <w:kern w:val="0"/>
      <w:sz w:val="20"/>
      <w:szCs w:val="21"/>
    </w:rPr>
  </w:style>
  <w:style w:type="character" w:customStyle="1" w:styleId="86">
    <w:name w:val="标题 字符"/>
    <w:basedOn w:val="47"/>
    <w:link w:val="41"/>
    <w:qFormat/>
    <w:uiPriority w:val="0"/>
    <w:rPr>
      <w:rFonts w:ascii="Cambria" w:hAnsi="Cambria" w:eastAsia="宋体" w:cs="Times New Roman"/>
      <w:b/>
      <w:bCs/>
      <w:kern w:val="0"/>
      <w:sz w:val="32"/>
      <w:szCs w:val="32"/>
    </w:rPr>
  </w:style>
  <w:style w:type="character" w:customStyle="1" w:styleId="87">
    <w:name w:val="批注主题 字符"/>
    <w:basedOn w:val="66"/>
    <w:link w:val="42"/>
    <w:semiHidden/>
    <w:qFormat/>
    <w:uiPriority w:val="0"/>
    <w:rPr>
      <w:rFonts w:ascii="Times New Roman" w:hAnsi="Times New Roman" w:eastAsia="宋体" w:cs="Times New Roman"/>
      <w:b/>
      <w:bCs/>
      <w:kern w:val="0"/>
      <w:sz w:val="20"/>
      <w:szCs w:val="20"/>
    </w:rPr>
  </w:style>
  <w:style w:type="character" w:customStyle="1" w:styleId="88">
    <w:name w:val="正文文本首行缩进 字符"/>
    <w:basedOn w:val="70"/>
    <w:link w:val="43"/>
    <w:qFormat/>
    <w:uiPriority w:val="0"/>
    <w:rPr>
      <w:rFonts w:ascii="Times New Roman" w:hAnsi="Times New Roman" w:eastAsia="宋体" w:cs="Times New Roman"/>
      <w:kern w:val="0"/>
      <w:sz w:val="20"/>
      <w:szCs w:val="20"/>
    </w:rPr>
  </w:style>
  <w:style w:type="character" w:customStyle="1" w:styleId="89">
    <w:name w:val="正文文本首行缩进 2 字符"/>
    <w:basedOn w:val="71"/>
    <w:link w:val="44"/>
    <w:qFormat/>
    <w:uiPriority w:val="0"/>
    <w:rPr>
      <w:rFonts w:ascii="Times New Roman" w:hAnsi="Times New Roman" w:eastAsia="宋体" w:cs="Times New Roman"/>
      <w:kern w:val="0"/>
      <w:sz w:val="30"/>
      <w:szCs w:val="24"/>
    </w:rPr>
  </w:style>
  <w:style w:type="paragraph" w:customStyle="1" w:styleId="90">
    <w:name w:val="_Style 3"/>
    <w:qFormat/>
    <w:uiPriority w:val="1"/>
    <w:pPr>
      <w:widowControl w:val="0"/>
      <w:jc w:val="both"/>
    </w:pPr>
    <w:rPr>
      <w:rFonts w:ascii="Calibri" w:hAnsi="Calibri" w:eastAsia="宋体" w:cs="Times New Roman"/>
      <w:kern w:val="2"/>
      <w:sz w:val="21"/>
      <w:szCs w:val="22"/>
      <w:lang w:val="en-US" w:eastAsia="zh-CN" w:bidi="ar-SA"/>
    </w:rPr>
  </w:style>
  <w:style w:type="paragraph" w:styleId="91">
    <w:name w:val="No Spacing"/>
    <w:link w:val="92"/>
    <w:qFormat/>
    <w:uiPriority w:val="0"/>
    <w:pPr>
      <w:widowControl w:val="0"/>
      <w:jc w:val="both"/>
    </w:pPr>
    <w:rPr>
      <w:rFonts w:ascii="Calibri" w:hAnsi="Calibri" w:eastAsia="等线" w:cs="Times New Roman"/>
      <w:kern w:val="2"/>
      <w:sz w:val="21"/>
      <w:szCs w:val="22"/>
      <w:lang w:val="en-US" w:eastAsia="zh-CN" w:bidi="ar-SA"/>
    </w:rPr>
  </w:style>
  <w:style w:type="character" w:customStyle="1" w:styleId="92">
    <w:name w:val="无间隔 字符"/>
    <w:link w:val="91"/>
    <w:qFormat/>
    <w:uiPriority w:val="0"/>
    <w:rPr>
      <w:rFonts w:ascii="Calibri" w:hAnsi="Calibri" w:eastAsia="等线" w:cs="Times New Roman"/>
    </w:rPr>
  </w:style>
  <w:style w:type="paragraph" w:customStyle="1" w:styleId="93">
    <w:name w:val="发文落款"/>
    <w:basedOn w:val="94"/>
    <w:qFormat/>
    <w:uiPriority w:val="0"/>
    <w:pPr>
      <w:ind w:left="4094" w:right="607" w:firstLine="0"/>
      <w:jc w:val="center"/>
    </w:pPr>
  </w:style>
  <w:style w:type="paragraph" w:customStyle="1" w:styleId="94">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95">
    <w:name w:val="样式 宋体 行距: 1.5 倍行距"/>
    <w:basedOn w:val="1"/>
    <w:qFormat/>
    <w:uiPriority w:val="0"/>
    <w:pPr>
      <w:jc w:val="center"/>
    </w:pPr>
    <w:rPr>
      <w:rFonts w:ascii="Times New Roman" w:hAnsi="Times New Roman"/>
      <w:b/>
      <w:szCs w:val="24"/>
    </w:rPr>
  </w:style>
  <w:style w:type="paragraph" w:customStyle="1" w:styleId="96">
    <w:name w:val="Char"/>
    <w:basedOn w:val="1"/>
    <w:qFormat/>
    <w:uiPriority w:val="0"/>
    <w:pPr>
      <w:widowControl/>
      <w:spacing w:line="400" w:lineRule="exact"/>
      <w:jc w:val="center"/>
    </w:pPr>
    <w:rPr>
      <w:rFonts w:ascii="Times New Roman" w:hAnsi="Times New Roman"/>
      <w:sz w:val="24"/>
      <w:szCs w:val="24"/>
    </w:rPr>
  </w:style>
  <w:style w:type="paragraph" w:customStyle="1" w:styleId="97">
    <w:name w:val="Char Char Char Char Char Char Char"/>
    <w:basedOn w:val="1"/>
    <w:qFormat/>
    <w:uiPriority w:val="0"/>
    <w:pPr>
      <w:tabs>
        <w:tab w:val="left" w:pos="425"/>
      </w:tabs>
      <w:ind w:left="425" w:hanging="425"/>
    </w:pPr>
    <w:rPr>
      <w:rFonts w:ascii="Times New Roman" w:hAnsi="Times New Roman" w:eastAsia="仿宋_GB2312"/>
      <w:kern w:val="24"/>
      <w:sz w:val="24"/>
      <w:szCs w:val="24"/>
    </w:rPr>
  </w:style>
  <w:style w:type="paragraph" w:customStyle="1" w:styleId="98">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99">
    <w:name w:val="List Paragraph"/>
    <w:basedOn w:val="1"/>
    <w:qFormat/>
    <w:uiPriority w:val="0"/>
    <w:pPr>
      <w:ind w:firstLine="420" w:firstLineChars="200"/>
    </w:pPr>
  </w:style>
  <w:style w:type="character" w:customStyle="1" w:styleId="100">
    <w:name w:val="Unresolved Mention"/>
    <w:unhideWhenUsed/>
    <w:qFormat/>
    <w:uiPriority w:val="99"/>
    <w:rPr>
      <w:rFonts w:ascii="Times New Roman" w:hAnsi="Times New Roman" w:eastAsia="宋体" w:cs="Times New Roman"/>
      <w:color w:val="605E5C"/>
      <w:shd w:val="clear" w:color="auto" w:fill="E1DFDD"/>
    </w:rPr>
  </w:style>
  <w:style w:type="character" w:customStyle="1" w:styleId="101">
    <w:name w:val="标题 1 Char"/>
    <w:qFormat/>
    <w:uiPriority w:val="0"/>
    <w:rPr>
      <w:rFonts w:ascii="Times New Roman" w:hAnsi="Times New Roman" w:eastAsia="华文中宋" w:cs="Times New Roman"/>
      <w:b/>
      <w:bCs/>
      <w:kern w:val="44"/>
      <w:sz w:val="44"/>
      <w:szCs w:val="44"/>
    </w:rPr>
  </w:style>
  <w:style w:type="paragraph" w:customStyle="1" w:styleId="102">
    <w:name w:val="_Style 71"/>
    <w:basedOn w:val="1"/>
    <w:next w:val="99"/>
    <w:link w:val="103"/>
    <w:qFormat/>
    <w:uiPriority w:val="0"/>
    <w:pPr>
      <w:ind w:firstLine="420" w:firstLineChars="200"/>
    </w:pPr>
    <w:rPr>
      <w:kern w:val="0"/>
      <w:sz w:val="20"/>
      <w:szCs w:val="20"/>
    </w:rPr>
  </w:style>
  <w:style w:type="character" w:customStyle="1" w:styleId="103">
    <w:name w:val="正文首行缩进 2 Char"/>
    <w:link w:val="102"/>
    <w:qFormat/>
    <w:uiPriority w:val="0"/>
    <w:rPr>
      <w:rFonts w:ascii="Calibri" w:hAnsi="Calibri" w:eastAsia="宋体" w:cs="Times New Roman"/>
      <w:kern w:val="0"/>
      <w:sz w:val="20"/>
      <w:szCs w:val="20"/>
    </w:rPr>
  </w:style>
  <w:style w:type="character" w:customStyle="1" w:styleId="104">
    <w:name w:val="正文文本 3 Char"/>
    <w:qFormat/>
    <w:uiPriority w:val="0"/>
    <w:rPr>
      <w:rFonts w:ascii="Calibri" w:hAnsi="Calibri" w:eastAsia="宋体" w:cs="Times New Roman"/>
      <w:kern w:val="0"/>
      <w:sz w:val="16"/>
      <w:szCs w:val="16"/>
    </w:rPr>
  </w:style>
  <w:style w:type="character" w:customStyle="1" w:styleId="105">
    <w:name w:val="正文文本 Char1"/>
    <w:qFormat/>
    <w:uiPriority w:val="99"/>
    <w:rPr>
      <w:rFonts w:ascii="Times New Roman" w:hAnsi="Times New Roman" w:eastAsia="宋体" w:cs="Times New Roman"/>
      <w:kern w:val="0"/>
      <w:sz w:val="20"/>
    </w:rPr>
  </w:style>
  <w:style w:type="character" w:customStyle="1" w:styleId="106">
    <w:name w:val="正文文本缩进 Char1"/>
    <w:qFormat/>
    <w:uiPriority w:val="99"/>
    <w:rPr>
      <w:rFonts w:ascii="Times New Roman" w:hAnsi="Times New Roman" w:eastAsia="宋体" w:cs="Times New Roman"/>
      <w:kern w:val="0"/>
      <w:sz w:val="20"/>
    </w:rPr>
  </w:style>
  <w:style w:type="character" w:customStyle="1" w:styleId="107">
    <w:name w:val="纯文本 Char"/>
    <w:qFormat/>
    <w:uiPriority w:val="0"/>
    <w:rPr>
      <w:rFonts w:ascii="宋体" w:hAnsi="Courier New" w:eastAsia="宋体" w:cs="Times New Roman"/>
      <w:kern w:val="0"/>
      <w:sz w:val="20"/>
      <w:szCs w:val="21"/>
    </w:rPr>
  </w:style>
  <w:style w:type="character" w:customStyle="1" w:styleId="108">
    <w:name w:val="日期 Char"/>
    <w:qFormat/>
    <w:uiPriority w:val="0"/>
    <w:rPr>
      <w:rFonts w:ascii="Calibri" w:hAnsi="Calibri" w:eastAsia="宋体" w:cs="Times New Roman"/>
      <w:kern w:val="0"/>
      <w:sz w:val="20"/>
    </w:rPr>
  </w:style>
  <w:style w:type="character" w:customStyle="1" w:styleId="109">
    <w:name w:val="标题 Char"/>
    <w:qFormat/>
    <w:uiPriority w:val="0"/>
    <w:rPr>
      <w:rFonts w:ascii="Arial" w:hAnsi="Arial" w:eastAsia="宋体" w:cs="Times New Roman"/>
      <w:b/>
      <w:bCs/>
      <w:kern w:val="0"/>
      <w:sz w:val="32"/>
      <w:szCs w:val="32"/>
    </w:rPr>
  </w:style>
  <w:style w:type="character" w:customStyle="1" w:styleId="110">
    <w:name w:val="正文首行缩进 Char"/>
    <w:qFormat/>
    <w:uiPriority w:val="0"/>
    <w:rPr>
      <w:rFonts w:ascii="Calibri" w:hAnsi="Calibri" w:eastAsia="宋体" w:cs="Times New Roman"/>
      <w:kern w:val="2"/>
      <w:sz w:val="21"/>
    </w:rPr>
  </w:style>
  <w:style w:type="character" w:customStyle="1" w:styleId="111">
    <w:name w:val="标题1.1.1 Char Char"/>
    <w:qFormat/>
    <w:uiPriority w:val="0"/>
    <w:rPr>
      <w:rFonts w:ascii="Times New Roman" w:hAnsi="Times New Roman" w:eastAsia="宋体" w:cs="Times New Roman"/>
      <w:b/>
      <w:bCs/>
      <w:sz w:val="32"/>
      <w:szCs w:val="32"/>
    </w:rPr>
  </w:style>
  <w:style w:type="character" w:customStyle="1" w:styleId="112">
    <w:name w:val="页眉 Char1"/>
    <w:semiHidden/>
    <w:qFormat/>
    <w:uiPriority w:val="99"/>
    <w:rPr>
      <w:rFonts w:ascii="Times New Roman" w:hAnsi="Times New Roman" w:eastAsia="宋体" w:cs="Times New Roman"/>
      <w:sz w:val="18"/>
      <w:szCs w:val="18"/>
    </w:rPr>
  </w:style>
  <w:style w:type="character" w:customStyle="1" w:styleId="113">
    <w:name w:val="正文文本缩进 3 Char2"/>
    <w:semiHidden/>
    <w:qFormat/>
    <w:uiPriority w:val="99"/>
    <w:rPr>
      <w:rFonts w:ascii="Times New Roman" w:hAnsi="Times New Roman" w:eastAsia="宋体" w:cs="Times New Roman"/>
      <w:sz w:val="16"/>
      <w:szCs w:val="16"/>
    </w:rPr>
  </w:style>
  <w:style w:type="character" w:customStyle="1" w:styleId="114">
    <w:name w:val="样式 小四 首行缩进:  0.85 厘米 行距: 1.5 倍行距 Char1"/>
    <w:link w:val="115"/>
    <w:qFormat/>
    <w:uiPriority w:val="0"/>
    <w:rPr>
      <w:rFonts w:ascii="Courier New" w:hAnsi="Courier New" w:eastAsia="Courier New" w:cs="Times New Roman"/>
      <w:bCs/>
      <w:kern w:val="0"/>
      <w:sz w:val="24"/>
      <w:szCs w:val="28"/>
    </w:rPr>
  </w:style>
  <w:style w:type="paragraph" w:customStyle="1" w:styleId="115">
    <w:name w:val="样式 小四 首行缩进:  0.85 厘米 行距: 1.5 倍行距"/>
    <w:basedOn w:val="1"/>
    <w:next w:val="1"/>
    <w:link w:val="114"/>
    <w:qFormat/>
    <w:uiPriority w:val="0"/>
    <w:pPr>
      <w:spacing w:line="360" w:lineRule="auto"/>
      <w:ind w:firstLine="480"/>
    </w:pPr>
    <w:rPr>
      <w:rFonts w:ascii="Courier New" w:hAnsi="Courier New" w:eastAsia="Courier New"/>
      <w:bCs/>
      <w:kern w:val="0"/>
      <w:sz w:val="24"/>
      <w:szCs w:val="28"/>
    </w:rPr>
  </w:style>
  <w:style w:type="character" w:customStyle="1" w:styleId="116">
    <w:name w:val="正文文本 2 Char2"/>
    <w:semiHidden/>
    <w:qFormat/>
    <w:uiPriority w:val="99"/>
    <w:rPr>
      <w:rFonts w:ascii="Times New Roman" w:hAnsi="Times New Roman" w:eastAsia="宋体" w:cs="Times New Roman"/>
      <w:szCs w:val="24"/>
    </w:rPr>
  </w:style>
  <w:style w:type="character" w:customStyle="1" w:styleId="117">
    <w:name w:val="表格00 Char1"/>
    <w:link w:val="118"/>
    <w:qFormat/>
    <w:uiPriority w:val="0"/>
    <w:rPr>
      <w:rFonts w:ascii="Times New Roman" w:hAnsi="Times New Roman" w:eastAsia="Times New Roman"/>
      <w:szCs w:val="21"/>
    </w:rPr>
  </w:style>
  <w:style w:type="paragraph" w:customStyle="1" w:styleId="118">
    <w:name w:val="表格00"/>
    <w:link w:val="117"/>
    <w:qFormat/>
    <w:uiPriority w:val="0"/>
    <w:pPr>
      <w:widowControl w:val="0"/>
      <w:adjustRightInd w:val="0"/>
      <w:spacing w:line="140" w:lineRule="atLeast"/>
      <w:jc w:val="center"/>
      <w:outlineLvl w:val="8"/>
    </w:pPr>
    <w:rPr>
      <w:rFonts w:ascii="Times New Roman" w:hAnsi="Times New Roman" w:eastAsia="Times New Roman" w:cstheme="minorBidi"/>
      <w:kern w:val="2"/>
      <w:sz w:val="21"/>
      <w:szCs w:val="21"/>
      <w:lang w:val="en-US" w:eastAsia="zh-CN" w:bidi="ar-SA"/>
    </w:rPr>
  </w:style>
  <w:style w:type="character" w:customStyle="1" w:styleId="119">
    <w:name w:val="批注主题 Char1"/>
    <w:semiHidden/>
    <w:qFormat/>
    <w:uiPriority w:val="99"/>
    <w:rPr>
      <w:rFonts w:ascii="Times New Roman" w:hAnsi="Times New Roman" w:eastAsia="宋体" w:cs="Times New Roman"/>
      <w:b/>
      <w:bCs/>
      <w:szCs w:val="24"/>
    </w:rPr>
  </w:style>
  <w:style w:type="character" w:customStyle="1" w:styleId="120">
    <w:name w:val="称呼 Char1"/>
    <w:semiHidden/>
    <w:qFormat/>
    <w:uiPriority w:val="99"/>
    <w:rPr>
      <w:rFonts w:ascii="Times New Roman" w:hAnsi="Times New Roman" w:eastAsia="宋体" w:cs="Times New Roman"/>
      <w:szCs w:val="24"/>
    </w:rPr>
  </w:style>
  <w:style w:type="character" w:customStyle="1" w:styleId="121">
    <w:name w:val="页脚 Char2"/>
    <w:semiHidden/>
    <w:qFormat/>
    <w:uiPriority w:val="99"/>
    <w:rPr>
      <w:rFonts w:ascii="Times New Roman" w:hAnsi="Times New Roman" w:eastAsia="宋体" w:cs="Times New Roman"/>
      <w:sz w:val="18"/>
      <w:szCs w:val="18"/>
    </w:rPr>
  </w:style>
  <w:style w:type="character" w:customStyle="1" w:styleId="122">
    <w:name w:val="一级标题 Char"/>
    <w:link w:val="123"/>
    <w:qFormat/>
    <w:uiPriority w:val="0"/>
    <w:rPr>
      <w:rFonts w:ascii="Calibri" w:hAnsi="Calibri" w:eastAsia="宋体" w:cs="Times New Roman"/>
      <w:b/>
      <w:kern w:val="0"/>
      <w:sz w:val="30"/>
      <w:szCs w:val="30"/>
    </w:rPr>
  </w:style>
  <w:style w:type="paragraph" w:customStyle="1" w:styleId="123">
    <w:name w:val="一级标题"/>
    <w:basedOn w:val="1"/>
    <w:link w:val="122"/>
    <w:qFormat/>
    <w:uiPriority w:val="0"/>
    <w:pPr>
      <w:spacing w:line="360" w:lineRule="auto"/>
      <w:outlineLvl w:val="0"/>
    </w:pPr>
    <w:rPr>
      <w:b/>
      <w:kern w:val="0"/>
      <w:sz w:val="30"/>
      <w:szCs w:val="30"/>
    </w:rPr>
  </w:style>
  <w:style w:type="character" w:customStyle="1" w:styleId="124">
    <w:name w:val="文档结构图 Char2"/>
    <w:semiHidden/>
    <w:qFormat/>
    <w:uiPriority w:val="99"/>
    <w:rPr>
      <w:rFonts w:ascii="宋体" w:hAnsi="Times New Roman" w:eastAsia="宋体" w:cs="Times New Roman"/>
      <w:sz w:val="18"/>
      <w:szCs w:val="18"/>
    </w:rPr>
  </w:style>
  <w:style w:type="character" w:customStyle="1" w:styleId="125">
    <w:name w:val="日期 Char2"/>
    <w:semiHidden/>
    <w:qFormat/>
    <w:uiPriority w:val="99"/>
    <w:rPr>
      <w:rFonts w:ascii="Times New Roman" w:hAnsi="Times New Roman" w:eastAsia="宋体" w:cs="Times New Roman"/>
      <w:szCs w:val="24"/>
    </w:rPr>
  </w:style>
  <w:style w:type="character" w:customStyle="1" w:styleId="126">
    <w:name w:val="HTML 预设格式 Char1"/>
    <w:semiHidden/>
    <w:qFormat/>
    <w:uiPriority w:val="99"/>
    <w:rPr>
      <w:rFonts w:ascii="Courier New" w:hAnsi="Courier New" w:eastAsia="宋体" w:cs="Courier New"/>
      <w:sz w:val="20"/>
      <w:szCs w:val="20"/>
    </w:rPr>
  </w:style>
  <w:style w:type="character" w:customStyle="1" w:styleId="127">
    <w:name w:val="正文首行缩进 2 Char2"/>
    <w:semiHidden/>
    <w:qFormat/>
    <w:uiPriority w:val="99"/>
    <w:rPr>
      <w:rFonts w:ascii="Times New Roman" w:hAnsi="Times New Roman" w:eastAsia="宋体" w:cs="Times New Roman"/>
    </w:rPr>
  </w:style>
  <w:style w:type="character" w:customStyle="1" w:styleId="128">
    <w:name w:val="正文文本缩进 Char2"/>
    <w:semiHidden/>
    <w:qFormat/>
    <w:uiPriority w:val="99"/>
    <w:rPr>
      <w:rFonts w:ascii="Times New Roman" w:hAnsi="Times New Roman" w:eastAsia="宋体" w:cs="Times New Roman"/>
      <w:szCs w:val="24"/>
    </w:rPr>
  </w:style>
  <w:style w:type="character" w:customStyle="1" w:styleId="129">
    <w:name w:val="标题 Char2"/>
    <w:qFormat/>
    <w:uiPriority w:val="10"/>
    <w:rPr>
      <w:rFonts w:ascii="Cambria" w:hAnsi="Cambria" w:eastAsia="宋体" w:cs="Times New Roman"/>
      <w:b/>
      <w:bCs/>
      <w:sz w:val="32"/>
      <w:szCs w:val="32"/>
    </w:rPr>
  </w:style>
  <w:style w:type="character" w:customStyle="1" w:styleId="130">
    <w:name w:val="纯文本 Char2"/>
    <w:semiHidden/>
    <w:qFormat/>
    <w:uiPriority w:val="99"/>
    <w:rPr>
      <w:rFonts w:ascii="宋体" w:hAnsi="Courier New" w:eastAsia="宋体" w:cs="Courier New"/>
      <w:szCs w:val="21"/>
    </w:rPr>
  </w:style>
  <w:style w:type="character" w:customStyle="1" w:styleId="131">
    <w:name w:val="批注框文本 Char1"/>
    <w:semiHidden/>
    <w:qFormat/>
    <w:uiPriority w:val="99"/>
    <w:rPr>
      <w:rFonts w:ascii="Times New Roman" w:hAnsi="Times New Roman" w:eastAsia="宋体" w:cs="Times New Roman"/>
      <w:sz w:val="18"/>
      <w:szCs w:val="18"/>
    </w:rPr>
  </w:style>
  <w:style w:type="character" w:customStyle="1" w:styleId="132">
    <w:name w:val="批注框文本 Char2"/>
    <w:semiHidden/>
    <w:qFormat/>
    <w:uiPriority w:val="99"/>
    <w:rPr>
      <w:rFonts w:ascii="Times New Roman" w:hAnsi="Times New Roman" w:eastAsia="宋体" w:cs="Times New Roman"/>
      <w:sz w:val="18"/>
      <w:szCs w:val="18"/>
    </w:rPr>
  </w:style>
  <w:style w:type="character" w:customStyle="1" w:styleId="133">
    <w:name w:val="样式 宋体 小四 Char"/>
    <w:link w:val="134"/>
    <w:qFormat/>
    <w:uiPriority w:val="0"/>
    <w:rPr>
      <w:rFonts w:ascii="Courier New" w:hAnsi="Courier New" w:eastAsia="Courier New" w:cs="Times New Roman"/>
      <w:kern w:val="0"/>
      <w:sz w:val="24"/>
      <w:szCs w:val="20"/>
    </w:rPr>
  </w:style>
  <w:style w:type="paragraph" w:customStyle="1" w:styleId="134">
    <w:name w:val="样式 宋体 小四"/>
    <w:basedOn w:val="1"/>
    <w:link w:val="133"/>
    <w:qFormat/>
    <w:uiPriority w:val="0"/>
    <w:pPr>
      <w:adjustRightInd w:val="0"/>
      <w:snapToGrid w:val="0"/>
      <w:spacing w:line="480" w:lineRule="exact"/>
      <w:ind w:firstLine="200" w:firstLineChars="200"/>
    </w:pPr>
    <w:rPr>
      <w:rFonts w:ascii="Courier New" w:hAnsi="Courier New" w:eastAsia="Courier New"/>
      <w:kern w:val="0"/>
      <w:sz w:val="24"/>
      <w:szCs w:val="20"/>
    </w:rPr>
  </w:style>
  <w:style w:type="character" w:customStyle="1" w:styleId="135">
    <w:name w:val="批注主题 Char2"/>
    <w:semiHidden/>
    <w:qFormat/>
    <w:uiPriority w:val="99"/>
    <w:rPr>
      <w:rFonts w:ascii="Times New Roman" w:hAnsi="Times New Roman" w:eastAsia="宋体" w:cs="Times New Roman"/>
      <w:b/>
      <w:bCs/>
      <w:szCs w:val="24"/>
    </w:rPr>
  </w:style>
  <w:style w:type="character" w:customStyle="1" w:styleId="136">
    <w:name w:val="HTML 预设格式 Char2"/>
    <w:semiHidden/>
    <w:qFormat/>
    <w:uiPriority w:val="99"/>
    <w:rPr>
      <w:rFonts w:ascii="Courier New" w:hAnsi="Courier New" w:eastAsia="宋体" w:cs="Courier New"/>
      <w:sz w:val="20"/>
      <w:szCs w:val="20"/>
    </w:rPr>
  </w:style>
  <w:style w:type="character" w:customStyle="1" w:styleId="137">
    <w:name w:val="插图名称 Char"/>
    <w:link w:val="138"/>
    <w:qFormat/>
    <w:uiPriority w:val="0"/>
    <w:rPr>
      <w:rFonts w:ascii="Times New Roman" w:hAnsi="Times New Roman" w:eastAsia="Times New Roman"/>
      <w:szCs w:val="24"/>
    </w:rPr>
  </w:style>
  <w:style w:type="paragraph" w:customStyle="1" w:styleId="138">
    <w:name w:val="插图名称"/>
    <w:link w:val="137"/>
    <w:qFormat/>
    <w:uiPriority w:val="0"/>
    <w:pPr>
      <w:jc w:val="center"/>
      <w:outlineLvl w:val="8"/>
    </w:pPr>
    <w:rPr>
      <w:rFonts w:ascii="Times New Roman" w:hAnsi="Times New Roman" w:eastAsia="Times New Roman" w:cstheme="minorBidi"/>
      <w:kern w:val="2"/>
      <w:sz w:val="21"/>
      <w:szCs w:val="24"/>
      <w:lang w:val="en-US" w:eastAsia="zh-CN" w:bidi="ar-SA"/>
    </w:rPr>
  </w:style>
  <w:style w:type="character" w:customStyle="1" w:styleId="139">
    <w:name w:val="无 A"/>
    <w:qFormat/>
    <w:uiPriority w:val="0"/>
    <w:rPr>
      <w:rFonts w:ascii="Times New Roman" w:hAnsi="Times New Roman" w:eastAsia="宋体" w:cs="Times New Roman"/>
    </w:rPr>
  </w:style>
  <w:style w:type="character" w:customStyle="1" w:styleId="140">
    <w:name w:val="正文文本 3 Char1"/>
    <w:semiHidden/>
    <w:qFormat/>
    <w:uiPriority w:val="99"/>
    <w:rPr>
      <w:rFonts w:ascii="Times New Roman" w:hAnsi="Times New Roman" w:eastAsia="宋体" w:cs="Times New Roman"/>
      <w:sz w:val="16"/>
      <w:szCs w:val="16"/>
    </w:rPr>
  </w:style>
  <w:style w:type="character" w:customStyle="1" w:styleId="141">
    <w:name w:val="正文文本 Char"/>
    <w:qFormat/>
    <w:uiPriority w:val="0"/>
    <w:rPr>
      <w:rFonts w:ascii="Times New Roman" w:hAnsi="Times New Roman" w:eastAsia="宋体" w:cs="Times New Roman"/>
      <w:kern w:val="2"/>
      <w:sz w:val="21"/>
      <w:szCs w:val="24"/>
      <w:lang w:val="en-US" w:eastAsia="zh-CN" w:bidi="ar-SA"/>
    </w:rPr>
  </w:style>
  <w:style w:type="character" w:customStyle="1" w:styleId="142">
    <w:name w:val="正文文本缩进 2 Char1"/>
    <w:semiHidden/>
    <w:qFormat/>
    <w:uiPriority w:val="99"/>
    <w:rPr>
      <w:rFonts w:ascii="Times New Roman" w:hAnsi="Times New Roman" w:eastAsia="宋体" w:cs="Times New Roman"/>
      <w:szCs w:val="24"/>
    </w:rPr>
  </w:style>
  <w:style w:type="character" w:customStyle="1" w:styleId="143">
    <w:name w:val="Char Char15"/>
    <w:qFormat/>
    <w:uiPriority w:val="0"/>
    <w:rPr>
      <w:rFonts w:ascii="Times New Roman" w:hAnsi="Times New Roman" w:eastAsia="黑体" w:cs="Times New Roman"/>
      <w:bCs/>
      <w:kern w:val="2"/>
      <w:sz w:val="24"/>
      <w:szCs w:val="32"/>
    </w:rPr>
  </w:style>
  <w:style w:type="character" w:customStyle="1" w:styleId="144">
    <w:name w:val="正文文本缩进 2 Char2"/>
    <w:semiHidden/>
    <w:qFormat/>
    <w:uiPriority w:val="99"/>
    <w:rPr>
      <w:rFonts w:ascii="Times New Roman" w:hAnsi="Times New Roman" w:eastAsia="宋体" w:cs="Times New Roman"/>
      <w:szCs w:val="24"/>
    </w:rPr>
  </w:style>
  <w:style w:type="character" w:customStyle="1" w:styleId="145">
    <w:name w:val="页脚 Char1"/>
    <w:semiHidden/>
    <w:qFormat/>
    <w:uiPriority w:val="99"/>
    <w:rPr>
      <w:rFonts w:ascii="Times New Roman" w:hAnsi="Times New Roman" w:eastAsia="宋体" w:cs="Times New Roman"/>
      <w:sz w:val="18"/>
      <w:szCs w:val="18"/>
    </w:rPr>
  </w:style>
  <w:style w:type="character" w:customStyle="1" w:styleId="146">
    <w:name w:val="正文文本 Char2"/>
    <w:semiHidden/>
    <w:qFormat/>
    <w:uiPriority w:val="99"/>
    <w:rPr>
      <w:rFonts w:ascii="Times New Roman" w:hAnsi="Times New Roman" w:eastAsia="宋体" w:cs="Times New Roman"/>
      <w:szCs w:val="24"/>
    </w:rPr>
  </w:style>
  <w:style w:type="character" w:customStyle="1" w:styleId="147">
    <w:name w:val="标题 1 1 Char4"/>
    <w:qFormat/>
    <w:uiPriority w:val="0"/>
    <w:rPr>
      <w:rFonts w:ascii="Times New Roman" w:hAnsi="Times New Roman" w:eastAsia="宋体" w:cs="Times New Roman"/>
      <w:b/>
      <w:bCs/>
      <w:kern w:val="44"/>
      <w:sz w:val="44"/>
      <w:szCs w:val="44"/>
      <w:lang w:val="en-US" w:eastAsia="zh-CN" w:bidi="ar-SA"/>
    </w:rPr>
  </w:style>
  <w:style w:type="character" w:customStyle="1" w:styleId="148">
    <w:name w:val="纯文本 Char1"/>
    <w:semiHidden/>
    <w:qFormat/>
    <w:uiPriority w:val="99"/>
    <w:rPr>
      <w:rFonts w:ascii="宋体" w:hAnsi="Courier New" w:eastAsia="宋体" w:cs="Courier New"/>
      <w:szCs w:val="21"/>
    </w:rPr>
  </w:style>
  <w:style w:type="character" w:customStyle="1" w:styleId="149">
    <w:name w:val="3eee Char"/>
    <w:link w:val="150"/>
    <w:qFormat/>
    <w:uiPriority w:val="0"/>
    <w:rPr>
      <w:rFonts w:ascii="Courier New" w:hAnsi="Courier New" w:eastAsia="Courier New" w:cs="Times New Roman"/>
      <w:kern w:val="0"/>
      <w:sz w:val="24"/>
      <w:szCs w:val="20"/>
    </w:rPr>
  </w:style>
  <w:style w:type="paragraph" w:customStyle="1" w:styleId="150">
    <w:name w:val="3eee"/>
    <w:basedOn w:val="1"/>
    <w:link w:val="149"/>
    <w:qFormat/>
    <w:uiPriority w:val="0"/>
    <w:pPr>
      <w:spacing w:line="440" w:lineRule="exact"/>
      <w:ind w:firstLine="480" w:firstLineChars="200"/>
    </w:pPr>
    <w:rPr>
      <w:rFonts w:ascii="Courier New" w:hAnsi="Courier New" w:eastAsia="Courier New"/>
      <w:kern w:val="0"/>
      <w:sz w:val="24"/>
      <w:szCs w:val="20"/>
    </w:rPr>
  </w:style>
  <w:style w:type="character" w:customStyle="1" w:styleId="151">
    <w:name w:val="日期 Char1"/>
    <w:semiHidden/>
    <w:qFormat/>
    <w:uiPriority w:val="99"/>
    <w:rPr>
      <w:rFonts w:ascii="Times New Roman" w:hAnsi="Times New Roman" w:eastAsia="宋体" w:cs="Times New Roman"/>
      <w:szCs w:val="24"/>
    </w:rPr>
  </w:style>
  <w:style w:type="character" w:customStyle="1" w:styleId="152">
    <w:name w:val="页眉 Char2"/>
    <w:semiHidden/>
    <w:qFormat/>
    <w:uiPriority w:val="99"/>
    <w:rPr>
      <w:rFonts w:ascii="Times New Roman" w:hAnsi="Times New Roman" w:eastAsia="宋体" w:cs="Times New Roman"/>
      <w:sz w:val="18"/>
      <w:szCs w:val="18"/>
    </w:rPr>
  </w:style>
  <w:style w:type="character" w:customStyle="1" w:styleId="153">
    <w:name w:val="正文文本 3 Char2"/>
    <w:semiHidden/>
    <w:qFormat/>
    <w:uiPriority w:val="99"/>
    <w:rPr>
      <w:rFonts w:ascii="Times New Roman" w:hAnsi="Times New Roman" w:eastAsia="宋体" w:cs="Times New Roman"/>
      <w:sz w:val="16"/>
      <w:szCs w:val="16"/>
    </w:rPr>
  </w:style>
  <w:style w:type="character" w:customStyle="1" w:styleId="154">
    <w:name w:val="标题 Char1"/>
    <w:qFormat/>
    <w:uiPriority w:val="10"/>
    <w:rPr>
      <w:rFonts w:ascii="Cambria" w:hAnsi="Cambria" w:eastAsia="宋体" w:cs="Times New Roman"/>
      <w:b/>
      <w:bCs/>
      <w:sz w:val="32"/>
      <w:szCs w:val="32"/>
    </w:rPr>
  </w:style>
  <w:style w:type="character" w:customStyle="1" w:styleId="155">
    <w:name w:val="称呼 Char2"/>
    <w:semiHidden/>
    <w:qFormat/>
    <w:uiPriority w:val="99"/>
    <w:rPr>
      <w:rFonts w:ascii="Times New Roman" w:hAnsi="Times New Roman" w:eastAsia="宋体" w:cs="Times New Roman"/>
      <w:szCs w:val="24"/>
    </w:rPr>
  </w:style>
  <w:style w:type="character" w:customStyle="1" w:styleId="156">
    <w:name w:val="正文首行缩进 Char2"/>
    <w:semiHidden/>
    <w:qFormat/>
    <w:uiPriority w:val="99"/>
    <w:rPr>
      <w:rFonts w:ascii="Times New Roman" w:hAnsi="Times New Roman" w:eastAsia="宋体" w:cs="Times New Roman"/>
    </w:rPr>
  </w:style>
  <w:style w:type="character" w:customStyle="1" w:styleId="157">
    <w:name w:val="样式3 Char"/>
    <w:link w:val="158"/>
    <w:qFormat/>
    <w:uiPriority w:val="0"/>
    <w:rPr>
      <w:rFonts w:ascii="Times New Roman" w:hAnsi="Times New Roman" w:eastAsia="Times New Roman"/>
      <w:b/>
      <w:sz w:val="24"/>
    </w:rPr>
  </w:style>
  <w:style w:type="paragraph" w:customStyle="1" w:styleId="158">
    <w:name w:val="样式3"/>
    <w:link w:val="157"/>
    <w:qFormat/>
    <w:uiPriority w:val="0"/>
    <w:pPr>
      <w:tabs>
        <w:tab w:val="left" w:pos="1140"/>
      </w:tabs>
      <w:spacing w:line="480" w:lineRule="exact"/>
      <w:ind w:left="1140" w:hanging="720"/>
    </w:pPr>
    <w:rPr>
      <w:rFonts w:ascii="Times New Roman" w:hAnsi="Times New Roman" w:eastAsia="Times New Roman" w:cstheme="minorBidi"/>
      <w:b/>
      <w:kern w:val="2"/>
      <w:sz w:val="24"/>
      <w:szCs w:val="22"/>
      <w:lang w:val="en-US" w:eastAsia="zh-CN" w:bidi="ar-SA"/>
    </w:rPr>
  </w:style>
  <w:style w:type="character" w:customStyle="1" w:styleId="159">
    <w:name w:val="批注文字 Char"/>
    <w:semiHidden/>
    <w:qFormat/>
    <w:uiPriority w:val="0"/>
    <w:rPr>
      <w:rFonts w:ascii="Times New Roman" w:hAnsi="Times New Roman" w:eastAsia="宋体" w:cs="Times New Roman"/>
      <w:kern w:val="2"/>
      <w:sz w:val="21"/>
      <w:szCs w:val="24"/>
      <w:lang w:val="en-US" w:eastAsia="zh-CN" w:bidi="ar-SA"/>
    </w:rPr>
  </w:style>
  <w:style w:type="character" w:customStyle="1" w:styleId="160">
    <w:name w:val="Char Char13"/>
    <w:qFormat/>
    <w:uiPriority w:val="0"/>
    <w:rPr>
      <w:rFonts w:ascii="宋体" w:hAnsi="Courier New" w:eastAsia="宋体" w:cs="Times New Roman"/>
      <w:kern w:val="2"/>
      <w:sz w:val="21"/>
      <w:lang w:val="en-US" w:eastAsia="zh-CN"/>
    </w:rPr>
  </w:style>
  <w:style w:type="character" w:customStyle="1" w:styleId="161">
    <w:name w:val="正文首行缩进 2 Char1"/>
    <w:semiHidden/>
    <w:qFormat/>
    <w:uiPriority w:val="99"/>
    <w:rPr>
      <w:rFonts w:ascii="Times New Roman" w:hAnsi="Times New Roman" w:eastAsia="宋体" w:cs="Times New Roman"/>
    </w:rPr>
  </w:style>
  <w:style w:type="character" w:customStyle="1" w:styleId="162">
    <w:name w:val="正文文本缩进 Char"/>
    <w:qFormat/>
    <w:uiPriority w:val="0"/>
    <w:rPr>
      <w:rFonts w:ascii="Times New Roman" w:hAnsi="Times New Roman" w:eastAsia="宋体" w:cs="Times New Roman"/>
      <w:kern w:val="2"/>
      <w:sz w:val="21"/>
      <w:szCs w:val="24"/>
      <w:lang w:val="en-US" w:eastAsia="zh-CN" w:bidi="ar-SA"/>
    </w:rPr>
  </w:style>
  <w:style w:type="character" w:customStyle="1" w:styleId="163">
    <w:name w:val="正文文本 2 Char1"/>
    <w:semiHidden/>
    <w:qFormat/>
    <w:uiPriority w:val="99"/>
    <w:rPr>
      <w:rFonts w:ascii="Times New Roman" w:hAnsi="Times New Roman" w:eastAsia="宋体" w:cs="Times New Roman"/>
      <w:szCs w:val="24"/>
    </w:rPr>
  </w:style>
  <w:style w:type="character" w:customStyle="1" w:styleId="164">
    <w:name w:val="批注文字 Char2"/>
    <w:semiHidden/>
    <w:qFormat/>
    <w:uiPriority w:val="99"/>
    <w:rPr>
      <w:rFonts w:ascii="Times New Roman" w:hAnsi="Times New Roman" w:eastAsia="宋体" w:cs="Times New Roman"/>
      <w:szCs w:val="24"/>
    </w:rPr>
  </w:style>
  <w:style w:type="character" w:customStyle="1" w:styleId="165">
    <w:name w:val="正文首行缩进 Char1"/>
    <w:semiHidden/>
    <w:qFormat/>
    <w:uiPriority w:val="99"/>
    <w:rPr>
      <w:rFonts w:ascii="Times New Roman" w:hAnsi="Times New Roman" w:eastAsia="宋体" w:cs="Times New Roman"/>
    </w:rPr>
  </w:style>
  <w:style w:type="character" w:customStyle="1" w:styleId="166">
    <w:name w:val="B Head Char5"/>
    <w:qFormat/>
    <w:uiPriority w:val="0"/>
    <w:rPr>
      <w:rFonts w:ascii="Times New Roman" w:hAnsi="Times New Roman" w:eastAsia="宋体" w:cs="Times New Roman"/>
      <w:b/>
      <w:bCs/>
      <w:kern w:val="2"/>
      <w:sz w:val="32"/>
      <w:szCs w:val="32"/>
      <w:lang w:val="en-US" w:eastAsia="zh-CN" w:bidi="ar-SA"/>
    </w:rPr>
  </w:style>
  <w:style w:type="character" w:customStyle="1" w:styleId="167">
    <w:name w:val="文档结构图 Char1"/>
    <w:semiHidden/>
    <w:qFormat/>
    <w:uiPriority w:val="99"/>
    <w:rPr>
      <w:rFonts w:ascii="宋体" w:hAnsi="Times New Roman" w:eastAsia="宋体" w:cs="Times New Roman"/>
      <w:sz w:val="18"/>
      <w:szCs w:val="18"/>
    </w:rPr>
  </w:style>
  <w:style w:type="character" w:customStyle="1" w:styleId="168">
    <w:name w:val="正文文本缩进 3 Char1"/>
    <w:semiHidden/>
    <w:qFormat/>
    <w:uiPriority w:val="99"/>
    <w:rPr>
      <w:rFonts w:ascii="Times New Roman" w:hAnsi="Times New Roman" w:eastAsia="宋体" w:cs="Times New Roman"/>
      <w:sz w:val="16"/>
      <w:szCs w:val="16"/>
    </w:rPr>
  </w:style>
  <w:style w:type="paragraph" w:customStyle="1" w:styleId="169">
    <w:name w:val="正文图标题"/>
    <w:next w:val="1"/>
    <w:qFormat/>
    <w:uiPriority w:val="0"/>
    <w:pPr>
      <w:numPr>
        <w:ilvl w:val="0"/>
        <w:numId w:val="1"/>
      </w:numPr>
      <w:jc w:val="center"/>
    </w:pPr>
    <w:rPr>
      <w:rFonts w:ascii="黑体" w:hAnsi="Times New Roman" w:eastAsia="黑体" w:cs="Times New Roman"/>
      <w:kern w:val="0"/>
      <w:sz w:val="21"/>
      <w:szCs w:val="20"/>
      <w:lang w:val="en-US" w:eastAsia="zh-CN" w:bidi="ar-SA"/>
    </w:rPr>
  </w:style>
  <w:style w:type="paragraph" w:customStyle="1" w:styleId="170">
    <w:name w:val="列出段落1"/>
    <w:basedOn w:val="1"/>
    <w:qFormat/>
    <w:uiPriority w:val="34"/>
    <w:pPr>
      <w:ind w:firstLine="420" w:firstLineChars="200"/>
    </w:pPr>
  </w:style>
  <w:style w:type="paragraph" w:customStyle="1" w:styleId="171">
    <w:name w:val="1eee"/>
    <w:basedOn w:val="3"/>
    <w:qFormat/>
    <w:uiPriority w:val="0"/>
    <w:pPr>
      <w:jc w:val="center"/>
    </w:pPr>
    <w:rPr>
      <w:rFonts w:eastAsia="黑体" w:cs="宋体"/>
      <w:b w:val="0"/>
      <w:sz w:val="30"/>
    </w:rPr>
  </w:style>
  <w:style w:type="paragraph" w:customStyle="1" w:styleId="172">
    <w:name w:val="_Style 141"/>
    <w:unhideWhenUsed/>
    <w:qFormat/>
    <w:uiPriority w:val="99"/>
    <w:rPr>
      <w:rFonts w:ascii="Times New Roman" w:hAnsi="Times New Roman" w:eastAsia="宋体" w:cs="Times New Roman"/>
      <w:kern w:val="2"/>
      <w:sz w:val="21"/>
      <w:szCs w:val="24"/>
      <w:lang w:val="en-US" w:eastAsia="zh-CN" w:bidi="ar-SA"/>
    </w:rPr>
  </w:style>
  <w:style w:type="paragraph" w:customStyle="1" w:styleId="173">
    <w:name w:val="_Style 59"/>
    <w:qFormat/>
    <w:uiPriority w:val="0"/>
    <w:pPr>
      <w:spacing w:after="160" w:line="240" w:lineRule="exact"/>
    </w:pPr>
    <w:rPr>
      <w:rFonts w:ascii="Times New Roman" w:hAnsi="Times New Roman" w:eastAsia="宋体" w:cs="Times New Roman"/>
      <w:kern w:val="0"/>
      <w:sz w:val="20"/>
      <w:szCs w:val="20"/>
      <w:lang w:val="en-US" w:eastAsia="zh-CN" w:bidi="ar-SA"/>
    </w:rPr>
  </w:style>
  <w:style w:type="paragraph" w:customStyle="1" w:styleId="174">
    <w:name w:val="CM15"/>
    <w:basedOn w:val="1"/>
    <w:next w:val="1"/>
    <w:qFormat/>
    <w:uiPriority w:val="0"/>
    <w:pPr>
      <w:autoSpaceDE w:val="0"/>
      <w:autoSpaceDN w:val="0"/>
      <w:adjustRightInd w:val="0"/>
      <w:spacing w:line="468" w:lineRule="atLeast"/>
      <w:jc w:val="left"/>
    </w:pPr>
    <w:rPr>
      <w:rFonts w:ascii="黑体" w:eastAsia="黑体"/>
      <w:kern w:val="0"/>
      <w:sz w:val="24"/>
      <w:szCs w:val="24"/>
    </w:rPr>
  </w:style>
  <w:style w:type="paragraph" w:customStyle="1" w:styleId="175">
    <w:name w:val="Revision"/>
    <w:unhideWhenUsed/>
    <w:qFormat/>
    <w:uiPriority w:val="99"/>
    <w:rPr>
      <w:rFonts w:ascii="Calibri" w:hAnsi="Calibri" w:eastAsia="宋体" w:cs="Times New Roman"/>
      <w:kern w:val="2"/>
      <w:sz w:val="21"/>
      <w:szCs w:val="22"/>
      <w:lang w:val="en-US" w:eastAsia="zh-CN" w:bidi="ar-SA"/>
    </w:rPr>
  </w:style>
  <w:style w:type="paragraph" w:customStyle="1" w:styleId="176">
    <w:name w:val="_Style 5"/>
    <w:basedOn w:val="3"/>
    <w:next w:val="1"/>
    <w:qFormat/>
    <w:uiPriority w:val="0"/>
    <w:pPr>
      <w:spacing w:line="578" w:lineRule="auto"/>
      <w:outlineLvl w:val="9"/>
    </w:pPr>
    <w:rPr>
      <w:rFonts w:ascii="Calibri" w:hAnsi="Calibri" w:eastAsia="宋体" w:cs="Times New Roman"/>
      <w:szCs w:val="44"/>
    </w:rPr>
  </w:style>
  <w:style w:type="character" w:customStyle="1" w:styleId="177">
    <w:name w:val="标题 2 Char"/>
    <w:link w:val="4"/>
    <w:qFormat/>
    <w:locked/>
    <w:uiPriority w:val="99"/>
    <w:rPr>
      <w:rFonts w:ascii="Arial" w:hAnsi="Arial" w:eastAsia="黑体" w:cs="Times New Roman"/>
      <w:bCs/>
      <w:kern w:val="2"/>
      <w:sz w:val="2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31115</Words>
  <Characters>32784</Characters>
  <Lines>518</Lines>
  <Paragraphs>145</Paragraphs>
  <TotalTime>22</TotalTime>
  <ScaleCrop>false</ScaleCrop>
  <LinksUpToDate>false</LinksUpToDate>
  <CharactersWithSpaces>35799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2022-10-18T06:16:00Z</dcterms:created>
  <dc:creator>CHAN HENRY</dc:creator>
  <cp:lastModifiedBy>刘涛</cp:lastModifiedBy>
  <dcterms:modified xsi:type="dcterms:W3CDTF">2023-06-01T07:09:38Z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5D308BD7C51B4CA09C82C1A59126114F</vt:lpwstr>
  </property>
</Properties>
</file>