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left"/>
        <w:rPr>
          <w:rFonts w:ascii="黑体" w:eastAsia="黑体"/>
          <w:bCs/>
          <w:color w:val="000000" w:themeColor="text1"/>
          <w:sz w:val="32"/>
          <w:szCs w:val="32"/>
          <w14:textFill>
            <w14:solidFill>
              <w14:schemeClr w14:val="tx1"/>
            </w14:solidFill>
          </w14:textFill>
        </w:rPr>
      </w:pPr>
      <w:r>
        <w:rPr>
          <w:rFonts w:hint="eastAsia" w:ascii="黑体" w:eastAsia="黑体"/>
          <w:bCs/>
          <w:color w:val="000000" w:themeColor="text1"/>
          <w:sz w:val="32"/>
          <w:szCs w:val="32"/>
          <w14:textFill>
            <w14:solidFill>
              <w14:schemeClr w14:val="tx1"/>
            </w14:solidFill>
          </w14:textFill>
        </w:rPr>
        <w:t>合同编号：</w:t>
      </w:r>
    </w:p>
    <w:p>
      <w:pPr>
        <w:jc w:val="center"/>
        <w:rPr>
          <w:rFonts w:eastAsia="华文中宋"/>
          <w:b/>
          <w:color w:val="000000" w:themeColor="text1"/>
          <w:sz w:val="52"/>
          <w:szCs w:val="52"/>
          <w14:textFill>
            <w14:solidFill>
              <w14:schemeClr w14:val="tx1"/>
            </w14:solidFill>
          </w14:textFill>
        </w:rPr>
      </w:pPr>
    </w:p>
    <w:p>
      <w:pPr>
        <w:ind w:right="-819" w:rightChars="-390"/>
        <w:jc w:val="center"/>
        <w:rPr>
          <w:rFonts w:ascii="黑体" w:eastAsia="黑体"/>
          <w:color w:val="000000" w:themeColor="text1"/>
          <w:sz w:val="52"/>
          <w:szCs w:val="52"/>
          <w14:textFill>
            <w14:solidFill>
              <w14:schemeClr w14:val="tx1"/>
            </w14:solidFill>
          </w14:textFill>
        </w:rPr>
      </w:pPr>
      <w:r>
        <w:rPr>
          <w:rFonts w:hint="eastAsia" w:ascii="黑体" w:hAnsi="黑体" w:eastAsia="黑体" w:cs="黑体"/>
          <w:color w:val="000000" w:themeColor="text1"/>
          <w:sz w:val="52"/>
          <w:szCs w:val="52"/>
          <w14:textFill>
            <w14:solidFill>
              <w14:schemeClr w14:val="tx1"/>
            </w14:solidFill>
          </w14:textFill>
        </w:rPr>
        <w:t>云港城项目9#地块园林</w:t>
      </w:r>
      <w:r>
        <w:rPr>
          <w:rFonts w:hint="eastAsia" w:ascii="黑体" w:eastAsia="黑体"/>
          <w:color w:val="000000" w:themeColor="text1"/>
          <w:sz w:val="52"/>
          <w:szCs w:val="52"/>
          <w14:textFill>
            <w14:solidFill>
              <w14:schemeClr w14:val="tx1"/>
            </w14:solidFill>
          </w14:textFill>
        </w:rPr>
        <w:t>工程</w:t>
      </w:r>
    </w:p>
    <w:p>
      <w:pPr>
        <w:ind w:right="-819" w:rightChars="-390"/>
        <w:jc w:val="center"/>
        <w:rPr>
          <w:rFonts w:eastAsia="华文中宋"/>
          <w:color w:val="000000" w:themeColor="text1"/>
          <w:sz w:val="52"/>
          <w:szCs w:val="52"/>
          <w14:textFill>
            <w14:solidFill>
              <w14:schemeClr w14:val="tx1"/>
            </w14:solidFill>
          </w14:textFill>
        </w:rPr>
      </w:pPr>
      <w:r>
        <w:rPr>
          <w:rFonts w:hint="eastAsia" w:ascii="黑体" w:eastAsia="黑体"/>
          <w:color w:val="000000" w:themeColor="text1"/>
          <w:sz w:val="52"/>
          <w:szCs w:val="52"/>
          <w14:textFill>
            <w14:solidFill>
              <w14:schemeClr w14:val="tx1"/>
            </w14:solidFill>
          </w14:textFill>
        </w:rPr>
        <w:t>施工专业承包合同</w:t>
      </w:r>
    </w:p>
    <w:p>
      <w:pPr>
        <w:ind w:right="-819" w:rightChars="-390"/>
        <w:jc w:val="center"/>
        <w:rPr>
          <w:rFonts w:eastAsia="华文中宋"/>
          <w:color w:val="000000" w:themeColor="text1"/>
          <w:sz w:val="52"/>
          <w:szCs w:val="52"/>
          <w14:textFill>
            <w14:solidFill>
              <w14:schemeClr w14:val="tx1"/>
            </w14:solidFill>
          </w14:textFill>
        </w:rPr>
      </w:pPr>
    </w:p>
    <w:p>
      <w:pPr>
        <w:jc w:val="center"/>
        <w:rPr>
          <w:rFonts w:eastAsia="楷体_GB2312"/>
          <w:b/>
          <w:color w:val="000000" w:themeColor="text1"/>
          <w:sz w:val="72"/>
          <w:szCs w:val="72"/>
          <w14:textFill>
            <w14:solidFill>
              <w14:schemeClr w14:val="tx1"/>
            </w14:solidFill>
          </w14:textFill>
        </w:rPr>
      </w:pPr>
    </w:p>
    <w:p>
      <w:pPr>
        <w:jc w:val="center"/>
        <w:rPr>
          <w:rFonts w:eastAsia="黑体"/>
          <w:b/>
          <w:color w:val="000000" w:themeColor="text1"/>
          <w:sz w:val="52"/>
          <w:szCs w:val="52"/>
          <w14:textFill>
            <w14:solidFill>
              <w14:schemeClr w14:val="tx1"/>
            </w14:solidFill>
          </w14:textFill>
        </w:rPr>
      </w:pPr>
    </w:p>
    <w:p>
      <w:pPr>
        <w:rPr>
          <w:b/>
          <w:color w:val="000000" w:themeColor="text1"/>
          <w:sz w:val="28"/>
          <w:szCs w:val="28"/>
          <w14:textFill>
            <w14:solidFill>
              <w14:schemeClr w14:val="tx1"/>
            </w14:solidFill>
          </w14:textFill>
        </w:rPr>
      </w:pPr>
    </w:p>
    <w:p>
      <w:pPr>
        <w:rPr>
          <w:b/>
          <w:color w:val="000000" w:themeColor="text1"/>
          <w:sz w:val="28"/>
          <w:szCs w:val="28"/>
          <w14:textFill>
            <w14:solidFill>
              <w14:schemeClr w14:val="tx1"/>
            </w14:solidFill>
          </w14:textFill>
        </w:rPr>
      </w:pPr>
    </w:p>
    <w:p>
      <w:pPr>
        <w:spacing w:line="360" w:lineRule="auto"/>
        <w:ind w:right="-819" w:rightChars="-390"/>
        <w:rPr>
          <w:rFonts w:ascii="黑体" w:hAnsi="宋体" w:eastAsia="黑体"/>
          <w:color w:val="000000" w:themeColor="text1"/>
          <w:sz w:val="32"/>
          <w:szCs w:val="32"/>
          <w:u w:val="single"/>
          <w14:textFill>
            <w14:solidFill>
              <w14:schemeClr w14:val="tx1"/>
            </w14:solidFill>
          </w14:textFill>
        </w:rPr>
      </w:pPr>
      <w:r>
        <w:rPr>
          <w:rFonts w:hint="eastAsia" w:ascii="黑体" w:hAnsi="宋体" w:eastAsia="黑体"/>
          <w:color w:val="000000" w:themeColor="text1"/>
          <w:sz w:val="32"/>
          <w:szCs w:val="32"/>
          <w14:textFill>
            <w14:solidFill>
              <w14:schemeClr w14:val="tx1"/>
            </w14:solidFill>
          </w14:textFill>
        </w:rPr>
        <w:t>工程名称：</w:t>
      </w:r>
      <w:r>
        <w:rPr>
          <w:rFonts w:hint="eastAsia" w:ascii="黑体" w:hAnsi="黑体" w:eastAsia="黑体" w:cs="黑体"/>
          <w:color w:val="000000" w:themeColor="text1"/>
          <w:sz w:val="32"/>
          <w:szCs w:val="32"/>
          <w:u w:val="single"/>
          <w14:textFill>
            <w14:solidFill>
              <w14:schemeClr w14:val="tx1"/>
            </w14:solidFill>
          </w14:textFill>
        </w:rPr>
        <w:t>云港城项目9#地块园林工程施工</w:t>
      </w:r>
      <w:r>
        <w:rPr>
          <w:rFonts w:hint="eastAsia" w:ascii="黑体" w:hAnsi="宋体" w:eastAsia="黑体"/>
          <w:color w:val="000000" w:themeColor="text1"/>
          <w:sz w:val="32"/>
          <w:szCs w:val="32"/>
          <w:u w:val="single"/>
          <w14:textFill>
            <w14:solidFill>
              <w14:schemeClr w14:val="tx1"/>
            </w14:solidFill>
          </w14:textFill>
        </w:rPr>
        <w:t xml:space="preserve">专业承包 </w:t>
      </w:r>
    </w:p>
    <w:p>
      <w:pPr>
        <w:spacing w:line="360" w:lineRule="auto"/>
        <w:rPr>
          <w:rFonts w:ascii="黑体" w:hAnsi="宋体" w:eastAsia="黑体"/>
          <w:color w:val="000000" w:themeColor="text1"/>
          <w:sz w:val="32"/>
          <w:szCs w:val="32"/>
          <w:u w:val="single"/>
          <w14:textFill>
            <w14:solidFill>
              <w14:schemeClr w14:val="tx1"/>
            </w14:solidFill>
          </w14:textFill>
        </w:rPr>
      </w:pPr>
      <w:r>
        <w:rPr>
          <w:rFonts w:hint="eastAsia" w:ascii="黑体" w:hAnsi="宋体" w:eastAsia="黑体"/>
          <w:color w:val="000000" w:themeColor="text1"/>
          <w:sz w:val="32"/>
          <w:szCs w:val="32"/>
          <w14:textFill>
            <w14:solidFill>
              <w14:schemeClr w14:val="tx1"/>
            </w14:solidFill>
          </w14:textFill>
        </w:rPr>
        <w:t>工程地点：</w:t>
      </w:r>
      <w:r>
        <w:rPr>
          <w:rFonts w:hint="eastAsia" w:ascii="黑体" w:hAnsi="宋体" w:eastAsia="黑体"/>
          <w:color w:val="000000" w:themeColor="text1"/>
          <w:sz w:val="32"/>
          <w:szCs w:val="32"/>
          <w:u w:val="single"/>
          <w14:textFill>
            <w14:solidFill>
              <w14:schemeClr w14:val="tx1"/>
            </w14:solidFill>
          </w14:textFill>
        </w:rPr>
        <w:t>广州市白云区云城西路与齐心路交叉口西南侧</w:t>
      </w:r>
    </w:p>
    <w:p>
      <w:pPr>
        <w:adjustRightInd w:val="0"/>
        <w:spacing w:line="480" w:lineRule="auto"/>
        <w:textAlignment w:val="baseline"/>
        <w:rPr>
          <w:rFonts w:ascii="黑体" w:hAnsi="仿宋" w:eastAsia="黑体"/>
          <w:b/>
          <w:color w:val="000000" w:themeColor="text1"/>
          <w:kern w:val="0"/>
          <w:sz w:val="32"/>
          <w:szCs w:val="32"/>
          <w14:textFill>
            <w14:solidFill>
              <w14:schemeClr w14:val="tx1"/>
            </w14:solidFill>
          </w14:textFill>
        </w:rPr>
      </w:pPr>
      <w:r>
        <w:rPr>
          <w:rFonts w:hint="eastAsia" w:ascii="黑体" w:hAnsi="仿宋" w:eastAsia="黑体"/>
          <w:color w:val="000000" w:themeColor="text1"/>
          <w:kern w:val="0"/>
          <w:sz w:val="32"/>
          <w:szCs w:val="32"/>
          <w14:textFill>
            <w14:solidFill>
              <w14:schemeClr w14:val="tx1"/>
            </w14:solidFill>
          </w14:textFill>
        </w:rPr>
        <w:t>承包人：</w:t>
      </w:r>
      <w:r>
        <w:rPr>
          <w:rFonts w:hint="eastAsia" w:ascii="黑体" w:hAnsi="仿宋" w:eastAsia="黑体"/>
          <w:color w:val="000000" w:themeColor="text1"/>
          <w:kern w:val="0"/>
          <w:sz w:val="32"/>
          <w:szCs w:val="32"/>
          <w:u w:val="single"/>
          <w14:textFill>
            <w14:solidFill>
              <w14:schemeClr w14:val="tx1"/>
            </w14:solidFill>
          </w14:textFill>
        </w:rPr>
        <w:t>中国建筑第二工程局有限公司</w:t>
      </w:r>
    </w:p>
    <w:p>
      <w:pPr>
        <w:adjustRightInd w:val="0"/>
        <w:spacing w:line="480" w:lineRule="auto"/>
        <w:textAlignment w:val="baseline"/>
        <w:rPr>
          <w:rFonts w:ascii="黑体" w:hAnsi="仿宋" w:eastAsia="黑体"/>
          <w:color w:val="000000" w:themeColor="text1"/>
          <w:kern w:val="0"/>
          <w:sz w:val="32"/>
          <w:szCs w:val="32"/>
          <w14:textFill>
            <w14:solidFill>
              <w14:schemeClr w14:val="tx1"/>
            </w14:solidFill>
          </w14:textFill>
        </w:rPr>
      </w:pPr>
      <w:r>
        <w:rPr>
          <w:rFonts w:hint="eastAsia" w:ascii="黑体" w:hAnsi="仿宋" w:eastAsia="黑体"/>
          <w:color w:val="000000" w:themeColor="text1"/>
          <w:kern w:val="0"/>
          <w:sz w:val="32"/>
          <w:szCs w:val="32"/>
          <w14:textFill>
            <w14:solidFill>
              <w14:schemeClr w14:val="tx1"/>
            </w14:solidFill>
          </w14:textFill>
        </w:rPr>
        <w:t>分包人：</w:t>
      </w:r>
      <w:r>
        <w:rPr>
          <w:rFonts w:hint="eastAsia" w:ascii="黑体" w:hAnsi="仿宋" w:eastAsia="黑体"/>
          <w:color w:val="000000" w:themeColor="text1"/>
          <w:kern w:val="0"/>
          <w:sz w:val="32"/>
          <w:szCs w:val="32"/>
          <w:u w:val="single"/>
          <w14:textFill>
            <w14:solidFill>
              <w14:schemeClr w14:val="tx1"/>
            </w14:solidFill>
          </w14:textFill>
        </w:rPr>
        <w:t xml:space="preserve">                          </w:t>
      </w:r>
    </w:p>
    <w:p>
      <w:pPr>
        <w:rPr>
          <w:b/>
          <w:color w:val="000000" w:themeColor="text1"/>
          <w:sz w:val="28"/>
          <w:szCs w:val="28"/>
          <w14:textFill>
            <w14:solidFill>
              <w14:schemeClr w14:val="tx1"/>
            </w14:solidFill>
          </w14:textFill>
        </w:rPr>
      </w:pPr>
    </w:p>
    <w:p>
      <w:pPr>
        <w:pStyle w:val="68"/>
        <w:jc w:val="both"/>
        <w:outlineLvl w:val="9"/>
        <w:rPr>
          <w:color w:val="000000" w:themeColor="text1"/>
          <w14:textFill>
            <w14:solidFill>
              <w14:schemeClr w14:val="tx1"/>
            </w14:solidFill>
          </w14:textFill>
        </w:rPr>
        <w:sectPr>
          <w:footerReference r:id="rId4" w:type="first"/>
          <w:footerReference r:id="rId3" w:type="default"/>
          <w:pgSz w:w="11906" w:h="16838"/>
          <w:pgMar w:top="1418" w:right="1555" w:bottom="1418" w:left="1531" w:header="851" w:footer="992" w:gutter="0"/>
          <w:pgNumType w:start="1"/>
          <w:cols w:space="720" w:num="1"/>
          <w:titlePg/>
          <w:docGrid w:type="lines" w:linePitch="312" w:charSpace="0"/>
        </w:sectPr>
      </w:pPr>
    </w:p>
    <w:p>
      <w:pPr>
        <w:pStyle w:val="68"/>
        <w:spacing w:before="0" w:after="0" w:line="360" w:lineRule="auto"/>
        <w:outlineLvl w:val="9"/>
        <w:rPr>
          <w:color w:val="000000" w:themeColor="text1"/>
          <w:sz w:val="30"/>
          <w:szCs w:val="30"/>
          <w:lang w:val="zh-CN"/>
          <w14:textFill>
            <w14:solidFill>
              <w14:schemeClr w14:val="tx1"/>
            </w14:solidFill>
          </w14:textFill>
        </w:rPr>
      </w:pPr>
      <w:bookmarkStart w:id="0" w:name="_Toc17580"/>
      <w:bookmarkStart w:id="1" w:name="_Toc19479"/>
      <w:bookmarkStart w:id="2" w:name="_Toc2368"/>
      <w:bookmarkStart w:id="3" w:name="_Toc31549"/>
      <w:r>
        <w:rPr>
          <w:rFonts w:hint="eastAsia"/>
          <w:color w:val="000000" w:themeColor="text1"/>
          <w:sz w:val="30"/>
          <w:szCs w:val="30"/>
          <w:lang w:val="zh-CN"/>
          <w14:textFill>
            <w14:solidFill>
              <w14:schemeClr w14:val="tx1"/>
            </w14:solidFill>
          </w14:textFill>
        </w:rPr>
        <w:t>总</w:t>
      </w:r>
      <w:r>
        <w:rPr>
          <w:color w:val="000000" w:themeColor="text1"/>
          <w:sz w:val="30"/>
          <w:szCs w:val="30"/>
          <w:lang w:val="zh-CN"/>
          <w14:textFill>
            <w14:solidFill>
              <w14:schemeClr w14:val="tx1"/>
            </w14:solidFill>
          </w14:textFill>
        </w:rPr>
        <w:t>目录</w:t>
      </w:r>
      <w:bookmarkEnd w:id="0"/>
      <w:bookmarkEnd w:id="1"/>
      <w:bookmarkEnd w:id="2"/>
      <w:bookmarkEnd w:id="3"/>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TOC \o "1-1" \h \z \u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fldChar w:fldCharType="begin"/>
      </w:r>
      <w:r>
        <w:instrText xml:space="preserve"> HYPERLINK \l "_Toc118446905"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第一部分</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 </w:t>
      </w:r>
      <w:r>
        <w:rPr>
          <w:rStyle w:val="44"/>
          <w:rFonts w:hint="eastAsia" w:asciiTheme="minorEastAsia" w:hAnsiTheme="minorEastAsia" w:eastAsiaTheme="minorEastAsia"/>
          <w:b w:val="0"/>
          <w:color w:val="000000" w:themeColor="text1"/>
          <w:sz w:val="21"/>
          <w:szCs w:val="21"/>
          <w14:textFill>
            <w14:solidFill>
              <w14:schemeClr w14:val="tx1"/>
            </w14:solidFill>
          </w14:textFill>
        </w:rPr>
        <w:t>协议书</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_Toc118446905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3</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"_Toc118446906"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第二部分</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 </w:t>
      </w:r>
      <w:r>
        <w:rPr>
          <w:rStyle w:val="44"/>
          <w:rFonts w:hint="eastAsia" w:asciiTheme="minorEastAsia" w:hAnsiTheme="minorEastAsia" w:eastAsiaTheme="minorEastAsia"/>
          <w:b w:val="0"/>
          <w:color w:val="000000" w:themeColor="text1"/>
          <w:sz w:val="21"/>
          <w:szCs w:val="21"/>
          <w14:textFill>
            <w14:solidFill>
              <w14:schemeClr w14:val="tx1"/>
            </w14:solidFill>
          </w14:textFill>
        </w:rPr>
        <w:t>通用条款</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_Toc118446906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8</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"_Toc118446907"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第三部分</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 </w:t>
      </w:r>
      <w:r>
        <w:rPr>
          <w:rStyle w:val="44"/>
          <w:rFonts w:hint="eastAsia" w:asciiTheme="minorEastAsia" w:hAnsiTheme="minorEastAsia" w:eastAsiaTheme="minorEastAsia"/>
          <w:b w:val="0"/>
          <w:color w:val="000000" w:themeColor="text1"/>
          <w:sz w:val="21"/>
          <w:szCs w:val="21"/>
          <w14:textFill>
            <w14:solidFill>
              <w14:schemeClr w14:val="tx1"/>
            </w14:solidFill>
          </w14:textFill>
        </w:rPr>
        <w:t>专用条款</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_Toc118446907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44</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"_Toc118446908"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1 </w:t>
      </w:r>
      <w:r>
        <w:rPr>
          <w:rStyle w:val="44"/>
          <w:rFonts w:hint="eastAsia" w:asciiTheme="minorEastAsia" w:hAnsiTheme="minorEastAsia" w:eastAsiaTheme="minorEastAsia"/>
          <w:b w:val="0"/>
          <w:color w:val="000000" w:themeColor="text1"/>
          <w:sz w:val="21"/>
          <w:szCs w:val="21"/>
          <w14:textFill>
            <w14:solidFill>
              <w14:schemeClr w14:val="tx1"/>
            </w14:solidFill>
          </w14:textFill>
        </w:rPr>
        <w:t>合同范围及边界</w:t>
      </w:r>
      <w:r>
        <w:rPr>
          <w:rStyle w:val="44"/>
          <w:rFonts w:hint="eastAsia" w:asciiTheme="minorEastAsia" w:hAnsiTheme="minorEastAsia" w:eastAsiaTheme="minorEastAsia"/>
          <w:b w:val="0"/>
          <w:color w:val="000000" w:themeColor="text1"/>
          <w:sz w:val="21"/>
          <w:szCs w:val="21"/>
          <w:lang w:eastAsia="zh-CN"/>
          <w14:textFill>
            <w14:solidFill>
              <w14:schemeClr w14:val="tx1"/>
            </w14:solidFill>
          </w14:textFill>
        </w:rPr>
        <w:t>（</w:t>
      </w:r>
      <w:r>
        <w:rPr>
          <w:rStyle w:val="44"/>
          <w:rFonts w:hint="eastAsia" w:asciiTheme="minorEastAsia" w:hAnsiTheme="minorEastAsia" w:eastAsiaTheme="minorEastAsia"/>
          <w:b w:val="0"/>
          <w:color w:val="000000" w:themeColor="text1"/>
          <w:sz w:val="21"/>
          <w:szCs w:val="21"/>
          <w:lang w:val="en-US" w:eastAsia="zh-CN"/>
          <w14:textFill>
            <w14:solidFill>
              <w14:schemeClr w14:val="tx1"/>
            </w14:solidFill>
          </w14:textFill>
        </w:rPr>
        <w:t>另册</w:t>
      </w:r>
      <w:r>
        <w:rPr>
          <w:rStyle w:val="44"/>
          <w:rFonts w:hint="eastAsia" w:asciiTheme="minorEastAsia" w:hAnsiTheme="minorEastAsia" w:eastAsiaTheme="minorEastAsia"/>
          <w:b w:val="0"/>
          <w:color w:val="000000" w:themeColor="text1"/>
          <w:sz w:val="21"/>
          <w:szCs w:val="21"/>
          <w:lang w:eastAsia="zh-CN"/>
          <w14:textFill>
            <w14:solidFill>
              <w14:schemeClr w14:val="tx1"/>
            </w14:solidFill>
          </w14:textFill>
        </w:rPr>
        <w:t>）</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_Toc118446908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94</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"_Toc118446909"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2</w:t>
      </w:r>
      <w:r>
        <w:rPr>
          <w:rStyle w:val="44"/>
          <w:rFonts w:hint="eastAsia" w:asciiTheme="minorEastAsia" w:hAnsiTheme="minorEastAsia" w:eastAsiaTheme="minorEastAsia"/>
          <w:b w:val="0"/>
          <w:color w:val="000000" w:themeColor="text1"/>
          <w:sz w:val="21"/>
          <w:szCs w:val="21"/>
          <w14:textFill>
            <w14:solidFill>
              <w14:schemeClr w14:val="tx1"/>
            </w14:solidFill>
          </w14:textFill>
        </w:rPr>
        <w:t>施工技术要求（另册）</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_Toc118446909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95</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"_Toc118446910"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3</w:t>
      </w:r>
      <w:r>
        <w:rPr>
          <w:rStyle w:val="44"/>
          <w:rFonts w:hint="eastAsia" w:asciiTheme="minorEastAsia" w:hAnsiTheme="minorEastAsia" w:eastAsiaTheme="minorEastAsia"/>
          <w:b w:val="0"/>
          <w:color w:val="000000" w:themeColor="text1"/>
          <w:sz w:val="21"/>
          <w:szCs w:val="21"/>
          <w14:textFill>
            <w14:solidFill>
              <w14:schemeClr w14:val="tx1"/>
            </w14:solidFill>
          </w14:textFill>
        </w:rPr>
        <w:t>履约保函（样式）</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_Toc118446910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96</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"_Toc118446911"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4</w:t>
      </w:r>
      <w:r>
        <w:rPr>
          <w:rStyle w:val="44"/>
          <w:rFonts w:hint="eastAsia" w:asciiTheme="minorEastAsia" w:hAnsiTheme="minorEastAsia" w:eastAsiaTheme="minorEastAsia"/>
          <w:b w:val="0"/>
          <w:color w:val="000000" w:themeColor="text1"/>
          <w:sz w:val="21"/>
          <w:szCs w:val="21"/>
          <w14:textFill>
            <w14:solidFill>
              <w14:schemeClr w14:val="tx1"/>
            </w14:solidFill>
          </w14:textFill>
        </w:rPr>
        <w:t>云港城项目9#地块园林工程材料设备品牌推荐（另册）</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_Toc118446911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97</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"_Toc118446912"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5 </w:t>
      </w:r>
      <w:r>
        <w:rPr>
          <w:rStyle w:val="44"/>
          <w:rFonts w:hint="eastAsia" w:asciiTheme="minorEastAsia" w:hAnsiTheme="minorEastAsia" w:eastAsiaTheme="minorEastAsia"/>
          <w:b w:val="0"/>
          <w:color w:val="000000" w:themeColor="text1"/>
          <w:sz w:val="21"/>
          <w:szCs w:val="21"/>
          <w14:textFill>
            <w14:solidFill>
              <w14:schemeClr w14:val="tx1"/>
            </w14:solidFill>
          </w14:textFill>
        </w:rPr>
        <w:t>工程质量保修书</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_Toc118446912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98</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"_Toc118446913"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6 </w:t>
      </w:r>
      <w:r>
        <w:rPr>
          <w:rStyle w:val="44"/>
          <w:rFonts w:hint="eastAsia" w:asciiTheme="minorEastAsia" w:hAnsiTheme="minorEastAsia" w:eastAsiaTheme="minorEastAsia"/>
          <w:b w:val="0"/>
          <w:color w:val="000000" w:themeColor="text1"/>
          <w:sz w:val="21"/>
          <w:szCs w:val="21"/>
          <w14:textFill>
            <w14:solidFill>
              <w14:schemeClr w14:val="tx1"/>
            </w14:solidFill>
          </w14:textFill>
        </w:rPr>
        <w:t>总承包管理与配合服务管理办法</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_Toc118446913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100</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"_Toc118446914"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7 </w:t>
      </w:r>
      <w:r>
        <w:rPr>
          <w:rStyle w:val="44"/>
          <w:rFonts w:hint="eastAsia" w:asciiTheme="minorEastAsia" w:hAnsiTheme="minorEastAsia" w:eastAsiaTheme="minorEastAsia"/>
          <w:b w:val="0"/>
          <w:color w:val="000000" w:themeColor="text1"/>
          <w:sz w:val="21"/>
          <w:szCs w:val="21"/>
          <w14:textFill>
            <w14:solidFill>
              <w14:schemeClr w14:val="tx1"/>
            </w14:solidFill>
          </w14:textFill>
        </w:rPr>
        <w:t>工程建设项目廉政责任书</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_Toc118446914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118</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"_Toc118446915"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8 </w:t>
      </w:r>
      <w:r>
        <w:rPr>
          <w:rStyle w:val="44"/>
          <w:rFonts w:hint="eastAsia" w:asciiTheme="minorEastAsia" w:hAnsiTheme="minorEastAsia" w:eastAsiaTheme="minorEastAsia"/>
          <w:b w:val="0"/>
          <w:color w:val="000000" w:themeColor="text1"/>
          <w:sz w:val="21"/>
          <w:szCs w:val="21"/>
          <w14:textFill>
            <w14:solidFill>
              <w14:schemeClr w14:val="tx1"/>
            </w14:solidFill>
          </w14:textFill>
        </w:rPr>
        <w:t>已标价工程量清单</w:t>
      </w:r>
      <w:r>
        <w:rPr>
          <w:rStyle w:val="44"/>
          <w:rFonts w:hint="eastAsia" w:asciiTheme="minorEastAsia" w:hAnsiTheme="minorEastAsia" w:eastAsiaTheme="minorEastAsia"/>
          <w:b w:val="0"/>
          <w:color w:val="000000" w:themeColor="text1"/>
          <w:sz w:val="21"/>
          <w:szCs w:val="21"/>
          <w:lang w:eastAsia="zh-CN"/>
          <w14:textFill>
            <w14:solidFill>
              <w14:schemeClr w14:val="tx1"/>
            </w14:solidFill>
          </w14:textFill>
        </w:rPr>
        <w:t>（</w:t>
      </w:r>
      <w:r>
        <w:rPr>
          <w:rStyle w:val="44"/>
          <w:rFonts w:hint="eastAsia" w:asciiTheme="minorEastAsia" w:hAnsiTheme="minorEastAsia" w:eastAsiaTheme="minorEastAsia"/>
          <w:b w:val="0"/>
          <w:color w:val="000000" w:themeColor="text1"/>
          <w:sz w:val="21"/>
          <w:szCs w:val="21"/>
          <w:lang w:val="en-US" w:eastAsia="zh-CN"/>
          <w14:textFill>
            <w14:solidFill>
              <w14:schemeClr w14:val="tx1"/>
            </w14:solidFill>
          </w14:textFill>
        </w:rPr>
        <w:t>另册</w:t>
      </w:r>
      <w:r>
        <w:rPr>
          <w:rStyle w:val="44"/>
          <w:rFonts w:hint="eastAsia" w:asciiTheme="minorEastAsia" w:hAnsiTheme="minorEastAsia" w:eastAsiaTheme="minorEastAsia"/>
          <w:b w:val="0"/>
          <w:color w:val="000000" w:themeColor="text1"/>
          <w:sz w:val="21"/>
          <w:szCs w:val="21"/>
          <w:lang w:eastAsia="zh-CN"/>
          <w14:textFill>
            <w14:solidFill>
              <w14:schemeClr w14:val="tx1"/>
            </w14:solidFill>
          </w14:textFill>
        </w:rPr>
        <w:t>）</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_Toc118446915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121</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"_Toc118446916"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9 </w:t>
      </w:r>
      <w:r>
        <w:rPr>
          <w:rStyle w:val="44"/>
          <w:rFonts w:hint="eastAsia" w:asciiTheme="minorEastAsia" w:hAnsiTheme="minorEastAsia" w:eastAsiaTheme="minorEastAsia"/>
          <w:b w:val="0"/>
          <w:color w:val="000000" w:themeColor="text1"/>
          <w:sz w:val="21"/>
          <w:szCs w:val="21"/>
          <w14:textFill>
            <w14:solidFill>
              <w14:schemeClr w14:val="tx1"/>
            </w14:solidFill>
          </w14:textFill>
        </w:rPr>
        <w:t>项目工程施工现场管理办法</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_Toc118446916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122</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"_Toc118446917"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 xml:space="preserve">10 </w:t>
      </w:r>
      <w:r>
        <w:rPr>
          <w:rStyle w:val="44"/>
          <w:rFonts w:hint="eastAsia" w:asciiTheme="minorEastAsia" w:hAnsiTheme="minorEastAsia" w:eastAsiaTheme="minorEastAsia"/>
          <w:b w:val="0"/>
          <w:color w:val="000000" w:themeColor="text1"/>
          <w:sz w:val="21"/>
          <w:szCs w:val="21"/>
          <w14:textFill>
            <w14:solidFill>
              <w14:schemeClr w14:val="tx1"/>
            </w14:solidFill>
          </w14:textFill>
        </w:rPr>
        <w:t>智慧工地建设要求</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_Toc118446917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133</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"_Toc118446918"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11</w:t>
      </w:r>
      <w:r>
        <w:rPr>
          <w:rStyle w:val="44"/>
          <w:rFonts w:hint="eastAsia" w:asciiTheme="minorEastAsia" w:hAnsiTheme="minorEastAsia" w:eastAsiaTheme="minorEastAsia"/>
          <w:b w:val="0"/>
          <w:color w:val="000000" w:themeColor="text1"/>
          <w:sz w:val="21"/>
          <w:szCs w:val="21"/>
          <w14:textFill>
            <w14:solidFill>
              <w14:schemeClr w14:val="tx1"/>
            </w14:solidFill>
          </w14:textFill>
        </w:rPr>
        <w:t>绿色施工安全防护措施标准化图册</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_Toc118446918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139</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"_Toc118446919" </w:instrText>
      </w:r>
      <w:r>
        <w:fldChar w:fldCharType="separate"/>
      </w:r>
      <w:r>
        <w:rPr>
          <w:rStyle w:val="44"/>
          <w:rFonts w:hint="eastAsia" w:asciiTheme="minorEastAsia" w:hAnsiTheme="minorEastAsia" w:eastAsiaTheme="minorEastAsia"/>
          <w:b w:val="0"/>
          <w:color w:val="000000" w:themeColor="text1"/>
          <w:sz w:val="21"/>
          <w:szCs w:val="21"/>
          <w14:textFill>
            <w14:solidFill>
              <w14:schemeClr w14:val="tx1"/>
            </w14:solidFill>
          </w14:textFill>
        </w:rPr>
        <w:t>附件</w:t>
      </w:r>
      <w:r>
        <w:rPr>
          <w:rStyle w:val="44"/>
          <w:rFonts w:asciiTheme="minorEastAsia" w:hAnsiTheme="minorEastAsia" w:eastAsiaTheme="minorEastAsia"/>
          <w:b w:val="0"/>
          <w:color w:val="000000" w:themeColor="text1"/>
          <w:sz w:val="21"/>
          <w:szCs w:val="21"/>
          <w14:textFill>
            <w14:solidFill>
              <w14:schemeClr w14:val="tx1"/>
            </w14:solidFill>
          </w14:textFill>
        </w:rPr>
        <w:t>12</w:t>
      </w:r>
      <w:r>
        <w:rPr>
          <w:rStyle w:val="44"/>
          <w:rFonts w:hint="eastAsia" w:asciiTheme="minorEastAsia" w:hAnsiTheme="minorEastAsia" w:eastAsiaTheme="minorEastAsia"/>
          <w:b w:val="0"/>
          <w:color w:val="000000" w:themeColor="text1"/>
          <w:sz w:val="21"/>
          <w:szCs w:val="21"/>
          <w14:textFill>
            <w14:solidFill>
              <w14:schemeClr w14:val="tx1"/>
            </w14:solidFill>
          </w14:textFill>
        </w:rPr>
        <w:t>粤海置地施工环境</w:t>
      </w:r>
      <w:r>
        <w:rPr>
          <w:rStyle w:val="44"/>
          <w:rFonts w:asciiTheme="minorEastAsia" w:hAnsiTheme="minorEastAsia" w:eastAsiaTheme="minorEastAsia"/>
          <w:b w:val="0"/>
          <w:color w:val="000000" w:themeColor="text1"/>
          <w:sz w:val="21"/>
          <w:szCs w:val="21"/>
          <w14:textFill>
            <w14:solidFill>
              <w14:schemeClr w14:val="tx1"/>
            </w14:solidFill>
          </w14:textFill>
        </w:rPr>
        <w:t>VI</w:t>
      </w:r>
      <w:r>
        <w:rPr>
          <w:rStyle w:val="44"/>
          <w:rFonts w:hint="eastAsia" w:asciiTheme="minorEastAsia" w:hAnsiTheme="minorEastAsia" w:eastAsiaTheme="minorEastAsia"/>
          <w:b w:val="0"/>
          <w:color w:val="000000" w:themeColor="text1"/>
          <w:sz w:val="21"/>
          <w:szCs w:val="21"/>
          <w14:textFill>
            <w14:solidFill>
              <w14:schemeClr w14:val="tx1"/>
            </w14:solidFill>
          </w14:textFill>
        </w:rPr>
        <w:t>展示图</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_Toc118446919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173</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"_Toc118446920" </w:instrText>
      </w:r>
      <w:r>
        <w:fldChar w:fldCharType="separate"/>
      </w:r>
      <w:r>
        <w:rPr>
          <w:rStyle w:val="44"/>
          <w:rFonts w:hint="eastAsia" w:asciiTheme="minorEastAsia" w:hAnsiTheme="minorEastAsia" w:eastAsiaTheme="minorEastAsia"/>
          <w:b w:val="0"/>
          <w:bCs/>
          <w:color w:val="000000" w:themeColor="text1"/>
          <w:kern w:val="44"/>
          <w:sz w:val="21"/>
          <w:szCs w:val="21"/>
          <w14:textFill>
            <w14:solidFill>
              <w14:schemeClr w14:val="tx1"/>
            </w14:solidFill>
          </w14:textFill>
        </w:rPr>
        <w:t>附件</w:t>
      </w:r>
      <w:r>
        <w:rPr>
          <w:rStyle w:val="44"/>
          <w:rFonts w:asciiTheme="minorEastAsia" w:hAnsiTheme="minorEastAsia" w:eastAsiaTheme="minorEastAsia"/>
          <w:b w:val="0"/>
          <w:bCs/>
          <w:color w:val="000000" w:themeColor="text1"/>
          <w:kern w:val="44"/>
          <w:sz w:val="21"/>
          <w:szCs w:val="21"/>
          <w14:textFill>
            <w14:solidFill>
              <w14:schemeClr w14:val="tx1"/>
            </w14:solidFill>
          </w14:textFill>
        </w:rPr>
        <w:t xml:space="preserve">13 </w:t>
      </w:r>
      <w:r>
        <w:rPr>
          <w:rStyle w:val="44"/>
          <w:rFonts w:hint="eastAsia" w:asciiTheme="minorEastAsia" w:hAnsiTheme="minorEastAsia" w:eastAsiaTheme="minorEastAsia"/>
          <w:b w:val="0"/>
          <w:bCs/>
          <w:color w:val="000000" w:themeColor="text1"/>
          <w:kern w:val="44"/>
          <w:sz w:val="21"/>
          <w:szCs w:val="21"/>
          <w14:textFill>
            <w14:solidFill>
              <w14:schemeClr w14:val="tx1"/>
            </w14:solidFill>
          </w14:textFill>
        </w:rPr>
        <w:t>图纸（另册）</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_Toc118446920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176</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"_Toc118446922" </w:instrText>
      </w:r>
      <w:r>
        <w:fldChar w:fldCharType="separate"/>
      </w:r>
      <w:r>
        <w:rPr>
          <w:rStyle w:val="44"/>
          <w:rFonts w:hint="eastAsia" w:asciiTheme="minorEastAsia" w:hAnsiTheme="minorEastAsia" w:eastAsiaTheme="minorEastAsia"/>
          <w:b w:val="0"/>
          <w:bCs/>
          <w:color w:val="000000" w:themeColor="text1"/>
          <w:kern w:val="44"/>
          <w:sz w:val="21"/>
          <w:szCs w:val="21"/>
          <w14:textFill>
            <w14:solidFill>
              <w14:schemeClr w14:val="tx1"/>
            </w14:solidFill>
          </w14:textFill>
        </w:rPr>
        <w:t>附件</w:t>
      </w:r>
      <w:r>
        <w:rPr>
          <w:rStyle w:val="44"/>
          <w:rFonts w:asciiTheme="minorEastAsia" w:hAnsiTheme="minorEastAsia" w:eastAsiaTheme="minorEastAsia"/>
          <w:b w:val="0"/>
          <w:bCs/>
          <w:color w:val="000000" w:themeColor="text1"/>
          <w:kern w:val="44"/>
          <w:sz w:val="21"/>
          <w:szCs w:val="21"/>
          <w14:textFill>
            <w14:solidFill>
              <w14:schemeClr w14:val="tx1"/>
            </w14:solidFill>
          </w14:textFill>
        </w:rPr>
        <w:t>1</w:t>
      </w:r>
      <w:r>
        <w:rPr>
          <w:rStyle w:val="44"/>
          <w:rFonts w:hint="eastAsia" w:asciiTheme="minorEastAsia" w:hAnsiTheme="minorEastAsia" w:eastAsiaTheme="minorEastAsia"/>
          <w:b w:val="0"/>
          <w:bCs/>
          <w:color w:val="000000" w:themeColor="text1"/>
          <w:kern w:val="44"/>
          <w:sz w:val="21"/>
          <w:szCs w:val="21"/>
          <w14:textFill>
            <w14:solidFill>
              <w14:schemeClr w14:val="tx1"/>
            </w14:solidFill>
          </w14:textFill>
        </w:rPr>
        <w:t>4</w:t>
      </w:r>
      <w:r>
        <w:rPr>
          <w:rStyle w:val="44"/>
          <w:rFonts w:asciiTheme="minorEastAsia" w:hAnsiTheme="minorEastAsia" w:eastAsiaTheme="minorEastAsia"/>
          <w:b w:val="0"/>
          <w:bCs/>
          <w:color w:val="000000" w:themeColor="text1"/>
          <w:kern w:val="44"/>
          <w:sz w:val="21"/>
          <w:szCs w:val="21"/>
          <w14:textFill>
            <w14:solidFill>
              <w14:schemeClr w14:val="tx1"/>
            </w14:solidFill>
          </w14:textFill>
        </w:rPr>
        <w:t xml:space="preserve"> </w:t>
      </w:r>
      <w:r>
        <w:rPr>
          <w:rStyle w:val="44"/>
          <w:rFonts w:hint="eastAsia" w:asciiTheme="minorEastAsia" w:hAnsiTheme="minorEastAsia" w:eastAsiaTheme="minorEastAsia"/>
          <w:b w:val="0"/>
          <w:bCs/>
          <w:color w:val="000000" w:themeColor="text1"/>
          <w:kern w:val="44"/>
          <w:sz w:val="21"/>
          <w:szCs w:val="21"/>
          <w14:textFill>
            <w14:solidFill>
              <w14:schemeClr w14:val="tx1"/>
            </w14:solidFill>
          </w14:textFill>
        </w:rPr>
        <w:t>安全管理协议书</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_Toc118446922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177</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"_Toc118446923"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w:t>
      </w:r>
      <w:r>
        <w:rPr>
          <w:rStyle w:val="44"/>
          <w:rFonts w:asciiTheme="minorEastAsia" w:hAnsiTheme="minorEastAsia" w:eastAsiaTheme="minorEastAsia"/>
          <w:b w:val="0"/>
          <w:bCs/>
          <w:color w:val="000000" w:themeColor="text1"/>
          <w:sz w:val="21"/>
          <w:szCs w:val="21"/>
          <w14:textFill>
            <w14:solidFill>
              <w14:schemeClr w14:val="tx1"/>
            </w14:solidFill>
          </w14:textFill>
        </w:rPr>
        <w:t>1</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5《安全管理专篇》</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_Toc118446923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180</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"_Toc118446925"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w:t>
      </w:r>
      <w:r>
        <w:rPr>
          <w:rStyle w:val="44"/>
          <w:rFonts w:asciiTheme="minorEastAsia" w:hAnsiTheme="minorEastAsia" w:eastAsiaTheme="minorEastAsia"/>
          <w:b w:val="0"/>
          <w:bCs/>
          <w:color w:val="000000" w:themeColor="text1"/>
          <w:sz w:val="21"/>
          <w:szCs w:val="21"/>
          <w14:textFill>
            <w14:solidFill>
              <w14:schemeClr w14:val="tx1"/>
            </w14:solidFill>
          </w14:textFill>
        </w:rPr>
        <w:t>1</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6</w:t>
      </w:r>
      <w:r>
        <w:rPr>
          <w:rStyle w:val="44"/>
          <w:rFonts w:asciiTheme="minorEastAsia" w:hAnsiTheme="minorEastAsia" w:eastAsiaTheme="minorEastAsia"/>
          <w:b w:val="0"/>
          <w:bCs/>
          <w:color w:val="000000" w:themeColor="text1"/>
          <w:sz w:val="21"/>
          <w:szCs w:val="21"/>
          <w14:textFill>
            <w14:solidFill>
              <w14:schemeClr w14:val="tx1"/>
            </w14:solidFill>
          </w14:textFill>
        </w:rPr>
        <w:t xml:space="preserve"> </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拟投项目管理机构人员汇总表（按投标文件）</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_Toc118446925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197</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"_Toc118446926"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w:t>
      </w:r>
      <w:r>
        <w:rPr>
          <w:rStyle w:val="44"/>
          <w:rFonts w:asciiTheme="minorEastAsia" w:hAnsiTheme="minorEastAsia" w:eastAsiaTheme="minorEastAsia"/>
          <w:b w:val="0"/>
          <w:bCs/>
          <w:color w:val="000000" w:themeColor="text1"/>
          <w:sz w:val="21"/>
          <w:szCs w:val="21"/>
          <w14:textFill>
            <w14:solidFill>
              <w14:schemeClr w14:val="tx1"/>
            </w14:solidFill>
          </w14:textFill>
        </w:rPr>
        <w:t>1</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7</w:t>
      </w:r>
      <w:r>
        <w:rPr>
          <w:rStyle w:val="44"/>
          <w:rFonts w:asciiTheme="minorEastAsia" w:hAnsiTheme="minorEastAsia" w:eastAsiaTheme="minorEastAsia"/>
          <w:b w:val="0"/>
          <w:bCs/>
          <w:color w:val="000000" w:themeColor="text1"/>
          <w:sz w:val="21"/>
          <w:szCs w:val="21"/>
          <w14:textFill>
            <w14:solidFill>
              <w14:schemeClr w14:val="tx1"/>
            </w14:solidFill>
          </w14:textFill>
        </w:rPr>
        <w:t xml:space="preserve"> </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主要施工机械设备表（按投标文件）</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_Toc118446926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197</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"_Toc118446927"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w:t>
      </w:r>
      <w:r>
        <w:rPr>
          <w:rStyle w:val="44"/>
          <w:rFonts w:asciiTheme="minorEastAsia" w:hAnsiTheme="minorEastAsia" w:eastAsiaTheme="minorEastAsia"/>
          <w:b w:val="0"/>
          <w:bCs/>
          <w:color w:val="000000" w:themeColor="text1"/>
          <w:sz w:val="21"/>
          <w:szCs w:val="21"/>
          <w14:textFill>
            <w14:solidFill>
              <w14:schemeClr w14:val="tx1"/>
            </w14:solidFill>
          </w14:textFill>
        </w:rPr>
        <w:t>1</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8安全生产不良行为扣分条款</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_Toc118446927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198</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cstheme="minorBidi"/>
          <w:b w:val="0"/>
          <w:color w:val="000000" w:themeColor="text1"/>
          <w:kern w:val="2"/>
          <w:sz w:val="21"/>
          <w:szCs w:val="21"/>
          <w14:textFill>
            <w14:solidFill>
              <w14:schemeClr w14:val="tx1"/>
            </w14:solidFill>
          </w14:textFill>
        </w:rPr>
      </w:pPr>
      <w:r>
        <w:fldChar w:fldCharType="begin"/>
      </w:r>
      <w:r>
        <w:instrText xml:space="preserve"> HYPERLINK \l "_Toc118446928"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附件19工程建设资金拨付管理办法及实施细则</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color w:val="000000" w:themeColor="text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_Toc118446928 \h </w:instrText>
      </w:r>
      <w:r>
        <w:rPr>
          <w:rFonts w:asciiTheme="minorEastAsia" w:hAnsiTheme="minorEastAsia" w:eastAsiaTheme="minorEastAsia"/>
          <w:color w:val="000000" w:themeColor="text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203</w:t>
      </w:r>
      <w:r>
        <w:rPr>
          <w:rFonts w:asciiTheme="minorEastAsia" w:hAnsiTheme="minorEastAsia" w:eastAsiaTheme="minorEastAsia"/>
          <w:color w:val="000000" w:themeColor="text1"/>
          <w:szCs w:val="21"/>
          <w14:textFill>
            <w14:solidFill>
              <w14:schemeClr w14:val="tx1"/>
            </w14:solidFill>
          </w14:textFill>
        </w:rPr>
        <w:fldChar w:fldCharType="end"/>
      </w:r>
      <w:r>
        <w:rPr>
          <w:rFonts w:asciiTheme="minorEastAsia" w:hAnsiTheme="minorEastAsia" w:eastAsiaTheme="minorEastAsia"/>
          <w:color w:val="000000" w:themeColor="text1"/>
          <w:szCs w:val="21"/>
          <w14:textFill>
            <w14:solidFill>
              <w14:schemeClr w14:val="tx1"/>
            </w14:solidFill>
          </w14:textFill>
        </w:rPr>
        <w:fldChar w:fldCharType="end"/>
      </w:r>
    </w:p>
    <w:p>
      <w:pPr>
        <w:pStyle w:val="26"/>
        <w:spacing w:line="360" w:lineRule="auto"/>
        <w:rPr>
          <w:rFonts w:asciiTheme="minorEastAsia" w:hAnsiTheme="minorEastAsia" w:eastAsiaTheme="minorEastAsia"/>
          <w:b w:val="0"/>
          <w:color w:val="000000" w:themeColor="text1"/>
          <w:sz w:val="21"/>
          <w:szCs w:val="21"/>
          <w14:textFill>
            <w14:solidFill>
              <w14:schemeClr w14:val="tx1"/>
            </w14:solidFill>
          </w14:textFill>
        </w:rPr>
      </w:pP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附件2</w:t>
      </w:r>
      <w:r>
        <w:rPr>
          <w:rStyle w:val="44"/>
          <w:rFonts w:asciiTheme="minorEastAsia" w:hAnsiTheme="minorEastAsia" w:eastAsiaTheme="minorEastAsia"/>
          <w:b w:val="0"/>
          <w:bCs/>
          <w:color w:val="000000" w:themeColor="text1"/>
          <w:sz w:val="21"/>
          <w:szCs w:val="21"/>
          <w14:textFill>
            <w14:solidFill>
              <w14:schemeClr w14:val="tx1"/>
            </w14:solidFill>
          </w14:textFill>
        </w:rPr>
        <w:t>0</w:t>
      </w:r>
      <w:r>
        <w:fldChar w:fldCharType="begin"/>
      </w:r>
      <w:r>
        <w:instrText xml:space="preserve"> HYPERLINK \l "_Toc118446932"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粤海置地第三方质量安全评估标准（另册）</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_Toc118446932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205</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pPr>
      <w:r>
        <w:fldChar w:fldCharType="begin"/>
      </w:r>
      <w:r>
        <w:instrText xml:space="preserve"> HYPERLINK \l "_Toc118446933"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w:t>
      </w:r>
      <w:r>
        <w:rPr>
          <w:rStyle w:val="44"/>
          <w:rFonts w:asciiTheme="minorEastAsia" w:hAnsiTheme="minorEastAsia" w:eastAsiaTheme="minorEastAsia"/>
          <w:b w:val="0"/>
          <w:bCs/>
          <w:color w:val="000000" w:themeColor="text1"/>
          <w:sz w:val="21"/>
          <w:szCs w:val="21"/>
          <w14:textFill>
            <w14:solidFill>
              <w14:schemeClr w14:val="tx1"/>
            </w14:solidFill>
          </w14:textFill>
        </w:rPr>
        <w:t>2</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1</w:t>
      </w:r>
      <w:r>
        <w:rPr>
          <w:rStyle w:val="44"/>
          <w:rFonts w:asciiTheme="minorEastAsia" w:hAnsiTheme="minorEastAsia" w:eastAsiaTheme="minorEastAsia"/>
          <w:b w:val="0"/>
          <w:bCs/>
          <w:color w:val="000000" w:themeColor="text1"/>
          <w:sz w:val="21"/>
          <w:szCs w:val="21"/>
          <w14:textFill>
            <w14:solidFill>
              <w14:schemeClr w14:val="tx1"/>
            </w14:solidFill>
          </w14:textFill>
        </w:rPr>
        <w:t xml:space="preserve"> </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粤海置地工程样板管理办法（另册）</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_Toc118446933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205</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Pr>
        <w:pStyle w:val="26"/>
        <w:spacing w:line="360" w:lineRule="auto"/>
        <w:rPr>
          <w:rFonts w:asciiTheme="minorEastAsia" w:hAnsiTheme="minorEastAsia" w:eastAsiaTheme="minorEastAsia"/>
          <w:b w:val="0"/>
          <w:color w:val="000000" w:themeColor="text1"/>
          <w:sz w:val="21"/>
          <w:szCs w:val="21"/>
          <w14:textFill>
            <w14:solidFill>
              <w14:schemeClr w14:val="tx1"/>
            </w14:solidFill>
          </w14:textFill>
        </w:rPr>
      </w:pPr>
      <w:r>
        <w:fldChar w:fldCharType="begin"/>
      </w:r>
      <w:r>
        <w:instrText xml:space="preserve"> HYPERLINK \l "_Toc118446933" </w:instrText>
      </w:r>
      <w:r>
        <w:fldChar w:fldCharType="separate"/>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附件</w:t>
      </w:r>
      <w:r>
        <w:rPr>
          <w:rStyle w:val="44"/>
          <w:rFonts w:asciiTheme="minorEastAsia" w:hAnsiTheme="minorEastAsia" w:eastAsiaTheme="minorEastAsia"/>
          <w:b w:val="0"/>
          <w:bCs/>
          <w:color w:val="000000" w:themeColor="text1"/>
          <w:sz w:val="21"/>
          <w:szCs w:val="21"/>
          <w14:textFill>
            <w14:solidFill>
              <w14:schemeClr w14:val="tx1"/>
            </w14:solidFill>
          </w14:textFill>
        </w:rPr>
        <w:t>2</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2</w:t>
      </w:r>
      <w:r>
        <w:rPr>
          <w:rStyle w:val="44"/>
          <w:rFonts w:asciiTheme="minorEastAsia" w:hAnsiTheme="minorEastAsia" w:eastAsiaTheme="minorEastAsia"/>
          <w:b w:val="0"/>
          <w:bCs/>
          <w:color w:val="000000" w:themeColor="text1"/>
          <w:sz w:val="21"/>
          <w:szCs w:val="21"/>
          <w14:textFill>
            <w14:solidFill>
              <w14:schemeClr w14:val="tx1"/>
            </w14:solidFill>
          </w14:textFill>
        </w:rPr>
        <w:t xml:space="preserve"> </w:t>
      </w:r>
      <w:r>
        <w:rPr>
          <w:rStyle w:val="44"/>
          <w:rFonts w:hint="eastAsia" w:asciiTheme="minorEastAsia" w:hAnsiTheme="minorEastAsia" w:eastAsiaTheme="minorEastAsia"/>
          <w:b w:val="0"/>
          <w:bCs/>
          <w:color w:val="000000" w:themeColor="text1"/>
          <w:sz w:val="21"/>
          <w:szCs w:val="21"/>
          <w14:textFill>
            <w14:solidFill>
              <w14:schemeClr w14:val="tx1"/>
            </w14:solidFill>
          </w14:textFill>
        </w:rPr>
        <w:t>粤海置地景观观感品控技术标准化（另册）</w:t>
      </w:r>
      <w:r>
        <w:rPr>
          <w:rFonts w:asciiTheme="minorEastAsia" w:hAnsiTheme="minorEastAsia" w:eastAsiaTheme="minorEastAsia"/>
          <w:b w:val="0"/>
          <w:color w:val="000000" w:themeColor="text1"/>
          <w:sz w:val="21"/>
          <w:szCs w:val="21"/>
          <w14:textFill>
            <w14:solidFill>
              <w14:schemeClr w14:val="tx1"/>
            </w14:solidFill>
          </w14:textFill>
        </w:rPr>
        <w:tab/>
      </w:r>
      <w:r>
        <w:rPr>
          <w:rFonts w:asciiTheme="minorEastAsia" w:hAnsiTheme="minorEastAsia" w:eastAsiaTheme="minorEastAsia"/>
          <w:b w:val="0"/>
          <w:color w:val="000000" w:themeColor="text1"/>
          <w:sz w:val="21"/>
          <w:szCs w:val="21"/>
          <w14:textFill>
            <w14:solidFill>
              <w14:schemeClr w14:val="tx1"/>
            </w14:solidFill>
          </w14:textFill>
        </w:rPr>
        <w:fldChar w:fldCharType="begin"/>
      </w:r>
      <w:r>
        <w:rPr>
          <w:rFonts w:asciiTheme="minorEastAsia" w:hAnsiTheme="minorEastAsia" w:eastAsiaTheme="minorEastAsia"/>
          <w:b w:val="0"/>
          <w:color w:val="000000" w:themeColor="text1"/>
          <w:sz w:val="21"/>
          <w:szCs w:val="21"/>
          <w14:textFill>
            <w14:solidFill>
              <w14:schemeClr w14:val="tx1"/>
            </w14:solidFill>
          </w14:textFill>
        </w:rPr>
        <w:instrText xml:space="preserve"> PAGEREF _Toc118446933 \h </w:instrText>
      </w:r>
      <w:r>
        <w:rPr>
          <w:rFonts w:asciiTheme="minorEastAsia" w:hAnsiTheme="minorEastAsia" w:eastAsiaTheme="minorEastAsia"/>
          <w:b w:val="0"/>
          <w:color w:val="000000" w:themeColor="text1"/>
          <w:sz w:val="21"/>
          <w:szCs w:val="21"/>
          <w14:textFill>
            <w14:solidFill>
              <w14:schemeClr w14:val="tx1"/>
            </w14:solidFill>
          </w14:textFill>
        </w:rPr>
        <w:fldChar w:fldCharType="separate"/>
      </w:r>
      <w:r>
        <w:rPr>
          <w:rFonts w:asciiTheme="minorEastAsia" w:hAnsiTheme="minorEastAsia" w:eastAsiaTheme="minorEastAsia"/>
          <w:b w:val="0"/>
          <w:color w:val="000000" w:themeColor="text1"/>
          <w:sz w:val="21"/>
          <w:szCs w:val="21"/>
          <w14:textFill>
            <w14:solidFill>
              <w14:schemeClr w14:val="tx1"/>
            </w14:solidFill>
          </w14:textFill>
        </w:rPr>
        <w:t>205</w:t>
      </w:r>
      <w:r>
        <w:rPr>
          <w:rFonts w:asciiTheme="minorEastAsia" w:hAnsiTheme="minorEastAsia" w:eastAsiaTheme="minorEastAsia"/>
          <w:b w:val="0"/>
          <w:color w:val="000000" w:themeColor="text1"/>
          <w:sz w:val="21"/>
          <w:szCs w:val="21"/>
          <w14:textFill>
            <w14:solidFill>
              <w14:schemeClr w14:val="tx1"/>
            </w14:solidFill>
          </w14:textFill>
        </w:rPr>
        <w:fldChar w:fldCharType="end"/>
      </w:r>
      <w:r>
        <w:rPr>
          <w:rFonts w:asciiTheme="minorEastAsia" w:hAnsiTheme="minorEastAsia" w:eastAsiaTheme="minorEastAsia"/>
          <w:b w:val="0"/>
          <w:color w:val="000000" w:themeColor="text1"/>
          <w:sz w:val="21"/>
          <w:szCs w:val="21"/>
          <w14:textFill>
            <w14:solidFill>
              <w14:schemeClr w14:val="tx1"/>
            </w14:solidFill>
          </w14:textFill>
        </w:rPr>
        <w:fldChar w:fldCharType="end"/>
      </w:r>
    </w:p>
    <w:p/>
    <w:p>
      <w:pPr>
        <w:pStyle w:val="26"/>
        <w:spacing w:line="360" w:lineRule="auto"/>
        <w:rPr>
          <w:rFonts w:asciiTheme="minorEastAsia" w:hAnsiTheme="minorEastAsia" w:eastAsiaTheme="minorEastAsia"/>
          <w:color w:val="000000" w:themeColor="text1"/>
          <w:sz w:val="24"/>
          <w:szCs w:val="24"/>
          <w14:textFill>
            <w14:solidFill>
              <w14:schemeClr w14:val="tx1"/>
            </w14:solidFill>
          </w14:textFill>
        </w:rPr>
        <w:sectPr>
          <w:footerReference r:id="rId5" w:type="first"/>
          <w:pgSz w:w="11906" w:h="16838"/>
          <w:pgMar w:top="1418" w:right="1555" w:bottom="1418" w:left="1531" w:header="851" w:footer="992" w:gutter="0"/>
          <w:cols w:space="720" w:num="1"/>
          <w:titlePg/>
          <w:docGrid w:type="lines" w:linePitch="312" w:charSpace="0"/>
        </w:sectPr>
      </w:pPr>
      <w:r>
        <w:rPr>
          <w:rFonts w:asciiTheme="minorEastAsia" w:hAnsiTheme="minorEastAsia" w:eastAsiaTheme="minorEastAsia"/>
          <w:b w:val="0"/>
          <w:color w:val="000000" w:themeColor="text1"/>
          <w:sz w:val="21"/>
          <w:szCs w:val="21"/>
          <w14:textFill>
            <w14:solidFill>
              <w14:schemeClr w14:val="tx1"/>
            </w14:solidFill>
          </w14:textFill>
        </w:rPr>
        <w:fldChar w:fldCharType="end"/>
      </w:r>
      <w:bookmarkStart w:id="4" w:name="_Toc351203480"/>
    </w:p>
    <w:p>
      <w:pPr>
        <w:pStyle w:val="68"/>
        <w:rPr>
          <w:rFonts w:ascii="Times New Roman" w:hAnsi="Times New Roman"/>
          <w:color w:val="000000" w:themeColor="text1"/>
          <w14:textFill>
            <w14:solidFill>
              <w14:schemeClr w14:val="tx1"/>
            </w14:solidFill>
          </w14:textFill>
        </w:rPr>
      </w:pPr>
      <w:bookmarkStart w:id="5" w:name="_Toc24858"/>
      <w:bookmarkStart w:id="6" w:name="_Toc118446905"/>
      <w:bookmarkStart w:id="7" w:name="_Toc402450430"/>
      <w:bookmarkStart w:id="8" w:name="_Toc44227948"/>
      <w:bookmarkStart w:id="9" w:name="_Toc31614"/>
      <w:bookmarkStart w:id="10" w:name="_Toc7445"/>
      <w:bookmarkStart w:id="11" w:name="_Toc40186509"/>
      <w:bookmarkStart w:id="12" w:name="_Toc44492398"/>
      <w:r>
        <w:rPr>
          <w:color w:val="000000" w:themeColor="text1"/>
          <w14:textFill>
            <w14:solidFill>
              <w14:schemeClr w14:val="tx1"/>
            </w14:solidFill>
          </w14:textFill>
        </w:rPr>
        <w:t>第一部分 协议书</w:t>
      </w:r>
      <w:bookmarkEnd w:id="4"/>
      <w:bookmarkEnd w:id="5"/>
      <w:bookmarkEnd w:id="6"/>
      <w:bookmarkEnd w:id="7"/>
      <w:bookmarkEnd w:id="8"/>
      <w:bookmarkEnd w:id="9"/>
      <w:bookmarkEnd w:id="10"/>
      <w:bookmarkEnd w:id="11"/>
      <w:bookmarkEnd w:id="12"/>
    </w:p>
    <w:p>
      <w:pPr>
        <w:spacing w:line="360" w:lineRule="auto"/>
        <w:rPr>
          <w:rFonts w:eastAsia="仿宋_GB2312"/>
          <w:b/>
          <w:color w:val="000000" w:themeColor="text1"/>
          <w:sz w:val="28"/>
          <w:szCs w:val="30"/>
          <w:u w:val="single"/>
          <w14:textFill>
            <w14:solidFill>
              <w14:schemeClr w14:val="tx1"/>
            </w14:solidFill>
          </w14:textFill>
        </w:rPr>
      </w:pPr>
      <w:r>
        <w:rPr>
          <w:rFonts w:hint="eastAsia" w:eastAsia="仿宋_GB2312"/>
          <w:b/>
          <w:color w:val="000000" w:themeColor="text1"/>
          <w:sz w:val="28"/>
          <w:szCs w:val="30"/>
          <w14:textFill>
            <w14:solidFill>
              <w14:schemeClr w14:val="tx1"/>
            </w14:solidFill>
          </w14:textFill>
        </w:rPr>
        <w:t>承包人</w:t>
      </w:r>
      <w:r>
        <w:rPr>
          <w:rFonts w:eastAsia="仿宋_GB2312"/>
          <w:b/>
          <w:color w:val="000000" w:themeColor="text1"/>
          <w:sz w:val="28"/>
          <w:szCs w:val="30"/>
          <w14:textFill>
            <w14:solidFill>
              <w14:schemeClr w14:val="tx1"/>
            </w14:solidFill>
          </w14:textFill>
        </w:rPr>
        <w:t>：</w:t>
      </w:r>
      <w:r>
        <w:rPr>
          <w:rFonts w:hint="eastAsia" w:eastAsia="仿宋_GB2312"/>
          <w:b/>
          <w:color w:val="000000" w:themeColor="text1"/>
          <w:sz w:val="28"/>
          <w:szCs w:val="30"/>
          <w:u w:val="single"/>
          <w14:textFill>
            <w14:solidFill>
              <w14:schemeClr w14:val="tx1"/>
            </w14:solidFill>
          </w14:textFill>
        </w:rPr>
        <w:t xml:space="preserve">中国建筑第二工程局有限公司 </w:t>
      </w:r>
    </w:p>
    <w:p>
      <w:pPr>
        <w:spacing w:line="360" w:lineRule="auto"/>
        <w:rPr>
          <w:rFonts w:eastAsia="仿宋_GB2312"/>
          <w:b/>
          <w:color w:val="000000" w:themeColor="text1"/>
          <w:sz w:val="28"/>
          <w:szCs w:val="30"/>
          <w:u w:val="single"/>
          <w14:textFill>
            <w14:solidFill>
              <w14:schemeClr w14:val="tx1"/>
            </w14:solidFill>
          </w14:textFill>
        </w:rPr>
      </w:pPr>
      <w:r>
        <w:rPr>
          <w:rFonts w:hint="eastAsia" w:eastAsia="仿宋_GB2312"/>
          <w:b/>
          <w:color w:val="000000" w:themeColor="text1"/>
          <w:sz w:val="28"/>
          <w:szCs w:val="30"/>
          <w14:textFill>
            <w14:solidFill>
              <w14:schemeClr w14:val="tx1"/>
            </w14:solidFill>
          </w14:textFill>
        </w:rPr>
        <w:t>分</w:t>
      </w:r>
      <w:r>
        <w:rPr>
          <w:rFonts w:eastAsia="仿宋_GB2312"/>
          <w:b/>
          <w:color w:val="000000" w:themeColor="text1"/>
          <w:sz w:val="28"/>
          <w:szCs w:val="30"/>
          <w14:textFill>
            <w14:solidFill>
              <w14:schemeClr w14:val="tx1"/>
            </w14:solidFill>
          </w14:textFill>
        </w:rPr>
        <w:t>包人：</w:t>
      </w:r>
      <w:r>
        <w:rPr>
          <w:rFonts w:eastAsia="仿宋_GB2312"/>
          <w:b/>
          <w:color w:val="000000" w:themeColor="text1"/>
          <w:sz w:val="28"/>
          <w:szCs w:val="30"/>
          <w:u w:val="single"/>
          <w14:textFill>
            <w14:solidFill>
              <w14:schemeClr w14:val="tx1"/>
            </w14:solidFill>
          </w14:textFill>
        </w:rPr>
        <w:t xml:space="preserve">                  </w:t>
      </w:r>
      <w:r>
        <w:rPr>
          <w:rFonts w:hint="eastAsia" w:eastAsia="仿宋_GB2312"/>
          <w:b/>
          <w:color w:val="000000" w:themeColor="text1"/>
          <w:sz w:val="28"/>
          <w:szCs w:val="30"/>
          <w:u w:val="single"/>
          <w14:textFill>
            <w14:solidFill>
              <w14:schemeClr w14:val="tx1"/>
            </w14:solidFill>
          </w14:textFill>
        </w:rPr>
        <w:t xml:space="preserve">     </w:t>
      </w:r>
      <w:r>
        <w:rPr>
          <w:rFonts w:eastAsia="仿宋_GB2312"/>
          <w:b/>
          <w:color w:val="000000" w:themeColor="text1"/>
          <w:sz w:val="28"/>
          <w:szCs w:val="30"/>
          <w:u w:val="single"/>
          <w14:textFill>
            <w14:solidFill>
              <w14:schemeClr w14:val="tx1"/>
            </w14:solidFill>
          </w14:textFill>
        </w:rPr>
        <w:t xml:space="preserve">    </w:t>
      </w:r>
    </w:p>
    <w:p>
      <w:pPr>
        <w:pStyle w:val="52"/>
        <w:ind w:firstLine="42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依照《中华人民共和国民法典》《中华人民共和国建筑法》及其他有关法律、行政法规，遵循平等、自愿、公平和诚实信用的原则，鉴于广东粤海置地发展有限公司（以下简称“发包人”）与承包人签订的《粤海•云港城项目9#地块工程施工总承包合同》（以下简称“总承包合同”），承包人和分包人双方就</w:t>
      </w:r>
      <w:r>
        <w:rPr>
          <w:rFonts w:hint="eastAsia" w:ascii="宋体" w:hAnsi="宋体" w:eastAsia="宋体" w:cs="宋体"/>
          <w:color w:val="000000" w:themeColor="text1"/>
          <w:u w:val="single"/>
          <w14:textFill>
            <w14:solidFill>
              <w14:schemeClr w14:val="tx1"/>
            </w14:solidFill>
          </w14:textFill>
        </w:rPr>
        <w:t>云港城项目9#地块园林工程施工专业承包工程</w:t>
      </w:r>
      <w:r>
        <w:rPr>
          <w:rFonts w:hint="eastAsia" w:ascii="宋体" w:hAnsi="宋体" w:eastAsia="宋体" w:cs="宋体"/>
          <w:color w:val="000000" w:themeColor="text1"/>
          <w14:textFill>
            <w14:solidFill>
              <w14:schemeClr w14:val="tx1"/>
            </w14:solidFill>
          </w14:textFill>
        </w:rPr>
        <w:t>施工事项协商一致，订立本合同。</w:t>
      </w:r>
    </w:p>
    <w:p>
      <w:pPr>
        <w:pStyle w:val="73"/>
        <w:rPr>
          <w:color w:val="000000" w:themeColor="text1"/>
          <w14:textFill>
            <w14:solidFill>
              <w14:schemeClr w14:val="tx1"/>
            </w14:solidFill>
          </w14:textFill>
        </w:rPr>
      </w:pPr>
      <w:bookmarkStart w:id="13" w:name="_Toc31787"/>
      <w:bookmarkStart w:id="14" w:name="_Toc30191"/>
      <w:bookmarkStart w:id="15" w:name="_Toc44492399"/>
      <w:bookmarkStart w:id="16" w:name="_Toc351203481"/>
      <w:bookmarkStart w:id="17" w:name="_Toc402450431"/>
      <w:r>
        <w:rPr>
          <w:rFonts w:hint="eastAsia"/>
          <w:color w:val="000000" w:themeColor="text1"/>
          <w14:textFill>
            <w14:solidFill>
              <w14:schemeClr w14:val="tx1"/>
            </w14:solidFill>
          </w14:textFill>
        </w:rPr>
        <w:t xml:space="preserve">1. </w:t>
      </w:r>
      <w:r>
        <w:rPr>
          <w:color w:val="000000" w:themeColor="text1"/>
          <w14:textFill>
            <w14:solidFill>
              <w14:schemeClr w14:val="tx1"/>
            </w14:solidFill>
          </w14:textFill>
        </w:rPr>
        <w:t>工程概况</w:t>
      </w:r>
      <w:bookmarkEnd w:id="13"/>
      <w:bookmarkEnd w:id="14"/>
      <w:bookmarkEnd w:id="15"/>
      <w:bookmarkEnd w:id="16"/>
      <w:bookmarkEnd w:id="17"/>
    </w:p>
    <w:p>
      <w:pPr>
        <w:pStyle w:val="52"/>
        <w:ind w:firstLine="420"/>
        <w:rPr>
          <w:rFonts w:ascii="宋体" w:hAnsi="宋体" w:eastAsia="宋体" w:cs="宋体"/>
          <w:color w:val="000000" w:themeColor="text1"/>
          <w14:textFill>
            <w14:solidFill>
              <w14:schemeClr w14:val="tx1"/>
            </w14:solidFill>
          </w14:textFill>
        </w:rPr>
      </w:pPr>
      <w:r>
        <w:rPr>
          <w:rFonts w:hint="eastAsia" w:ascii="宋体" w:hAnsi="宋体" w:eastAsia="宋体" w:cs="宋体"/>
          <w:bCs/>
          <w:color w:val="000000" w:themeColor="text1"/>
          <w14:textFill>
            <w14:solidFill>
              <w14:schemeClr w14:val="tx1"/>
            </w14:solidFill>
          </w14:textFill>
        </w:rPr>
        <w:t>1.1.工程名称</w:t>
      </w:r>
      <w:r>
        <w:rPr>
          <w:rFonts w:hint="eastAsia" w:ascii="宋体" w:hAnsi="宋体" w:eastAsia="宋体" w:cs="宋体"/>
          <w:color w:val="000000" w:themeColor="text1"/>
          <w14:textFill>
            <w14:solidFill>
              <w14:schemeClr w14:val="tx1"/>
            </w14:solidFill>
          </w14:textFill>
        </w:rPr>
        <w:t>：</w:t>
      </w:r>
      <w:r>
        <w:rPr>
          <w:rFonts w:hint="eastAsia" w:ascii="宋体" w:hAnsi="宋体" w:eastAsia="宋体" w:cs="宋体"/>
          <w:color w:val="000000" w:themeColor="text1"/>
          <w:u w:val="single"/>
          <w14:textFill>
            <w14:solidFill>
              <w14:schemeClr w14:val="tx1"/>
            </w14:solidFill>
          </w14:textFill>
        </w:rPr>
        <w:t xml:space="preserve">云港城项目9#地块园林工程施工专业承包工程（以下简称“本工程”） </w:t>
      </w:r>
    </w:p>
    <w:p>
      <w:pPr>
        <w:pStyle w:val="52"/>
        <w:ind w:firstLine="420"/>
        <w:rPr>
          <w:rFonts w:ascii="宋体" w:hAnsi="宋体" w:eastAsia="宋体" w:cs="宋体"/>
          <w:bCs/>
          <w:color w:val="000000" w:themeColor="text1"/>
          <w14:textFill>
            <w14:solidFill>
              <w14:schemeClr w14:val="tx1"/>
            </w14:solidFill>
          </w14:textFill>
        </w:rPr>
      </w:pPr>
      <w:r>
        <w:rPr>
          <w:rFonts w:hint="eastAsia" w:ascii="宋体" w:hAnsi="宋体" w:eastAsia="宋体" w:cs="宋体"/>
          <w:bCs/>
          <w:color w:val="000000" w:themeColor="text1"/>
          <w14:textFill>
            <w14:solidFill>
              <w14:schemeClr w14:val="tx1"/>
            </w14:solidFill>
          </w14:textFill>
        </w:rPr>
        <w:t>1.2.工程地点：</w:t>
      </w:r>
      <w:r>
        <w:rPr>
          <w:rFonts w:hint="eastAsia" w:ascii="宋体" w:hAnsi="宋体" w:eastAsia="宋体" w:cs="宋体"/>
          <w:color w:val="000000" w:themeColor="text1"/>
          <w:u w:val="single"/>
          <w14:textFill>
            <w14:solidFill>
              <w14:schemeClr w14:val="tx1"/>
            </w14:solidFill>
          </w14:textFill>
        </w:rPr>
        <w:t>广州市白云区云城西路与齐心路交叉口西南侧</w:t>
      </w:r>
    </w:p>
    <w:p>
      <w:pPr>
        <w:adjustRightInd/>
        <w:snapToGrid/>
        <w:spacing w:line="360" w:lineRule="auto"/>
        <w:ind w:firstLine="420" w:firstLineChars="200"/>
        <w:rPr>
          <w:color w:val="000000" w:themeColor="text1"/>
          <w:u w:val="single"/>
          <w14:textFill>
            <w14:solidFill>
              <w14:schemeClr w14:val="tx1"/>
            </w14:solidFill>
          </w14:textFill>
        </w:rPr>
      </w:pPr>
      <w:r>
        <w:rPr>
          <w:rFonts w:hint="eastAsia" w:ascii="宋体" w:hAnsi="宋体" w:cs="宋体"/>
          <w:bCs/>
          <w:color w:val="000000" w:themeColor="text1"/>
          <w14:textFill>
            <w14:solidFill>
              <w14:schemeClr w14:val="tx1"/>
            </w14:solidFill>
          </w14:textFill>
        </w:rPr>
        <w:t>1.3.工程概况：</w:t>
      </w:r>
      <w:r>
        <w:rPr>
          <w:rFonts w:hint="eastAsia"/>
          <w:color w:val="000000" w:themeColor="text1"/>
          <w:u w:val="single"/>
          <w14:textFill>
            <w14:solidFill>
              <w14:schemeClr w14:val="tx1"/>
            </w14:solidFill>
          </w14:textFill>
        </w:rPr>
        <w:t>云港城项目9</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地块位于云城西路与齐心路交叉口西南侧，园林面积约</w:t>
      </w:r>
      <w:r>
        <w:rPr>
          <w:color w:val="000000" w:themeColor="text1"/>
          <w:highlight w:val="none"/>
          <w:u w:val="single"/>
          <w14:textFill>
            <w14:solidFill>
              <w14:schemeClr w14:val="tx1"/>
            </w14:solidFill>
          </w14:textFill>
        </w:rPr>
        <w:t>25000</w:t>
      </w:r>
      <w:r>
        <w:rPr>
          <w:color w:val="000000" w:themeColor="text1"/>
          <w:u w:val="single"/>
          <w14:textFill>
            <w14:solidFill>
              <w14:schemeClr w14:val="tx1"/>
            </w14:solidFill>
          </w14:textFill>
        </w:rPr>
        <w:t>m</w:t>
      </w:r>
      <w:r>
        <w:rPr>
          <w:color w:val="000000" w:themeColor="text1"/>
          <w:u w:val="single"/>
          <w:vertAlign w:val="superscript"/>
          <w14:textFill>
            <w14:solidFill>
              <w14:schemeClr w14:val="tx1"/>
            </w14:solidFill>
          </w14:textFill>
        </w:rPr>
        <w:t>2</w:t>
      </w:r>
      <w:r>
        <w:rPr>
          <w:rFonts w:hint="eastAsia"/>
          <w:color w:val="000000" w:themeColor="text1"/>
          <w:u w:val="single"/>
          <w14:textFill>
            <w14:solidFill>
              <w14:schemeClr w14:val="tx1"/>
            </w14:solidFill>
          </w14:textFill>
        </w:rPr>
        <w:t>。</w:t>
      </w:r>
    </w:p>
    <w:p>
      <w:pPr>
        <w:pStyle w:val="52"/>
        <w:ind w:firstLine="0" w:firstLineChars="0"/>
        <w:rPr>
          <w:color w:val="000000" w:themeColor="text1"/>
          <w:u w:val="single"/>
          <w14:textFill>
            <w14:solidFill>
              <w14:schemeClr w14:val="tx1"/>
            </w14:solidFill>
          </w14:textFill>
        </w:rPr>
      </w:pPr>
      <w:r>
        <w:rPr>
          <w:rFonts w:eastAsia="黑体"/>
          <w:bCs/>
          <w:color w:val="000000" w:themeColor="text1"/>
          <w:kern w:val="2"/>
          <w:sz w:val="30"/>
          <w14:textFill>
            <w14:solidFill>
              <w14:schemeClr w14:val="tx1"/>
            </w14:solidFill>
          </w14:textFill>
        </w:rPr>
        <w:t>2.</w:t>
      </w:r>
      <w:r>
        <w:rPr>
          <w:rFonts w:hint="eastAsia" w:eastAsia="黑体"/>
          <w:bCs/>
          <w:color w:val="000000" w:themeColor="text1"/>
          <w:kern w:val="2"/>
          <w:sz w:val="30"/>
          <w14:textFill>
            <w14:solidFill>
              <w14:schemeClr w14:val="tx1"/>
            </w14:solidFill>
          </w14:textFill>
        </w:rPr>
        <w:t xml:space="preserve"> 承包方式</w:t>
      </w:r>
      <w:r>
        <w:rPr>
          <w:rFonts w:hint="eastAsia"/>
          <w:color w:val="000000" w:themeColor="text1"/>
          <w:u w:val="single"/>
          <w14:textFill>
            <w14:solidFill>
              <w14:schemeClr w14:val="tx1"/>
            </w14:solidFill>
          </w14:textFill>
        </w:rPr>
        <w:t xml:space="preserve"> </w:t>
      </w:r>
    </w:p>
    <w:p>
      <w:pPr>
        <w:spacing w:line="360" w:lineRule="auto"/>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按照本合同约定的承包范围包深化设计、包材料设备采购、包安全文明施工、包绿化种植与成活养护、包对与本工程相关的其他各专业工程提供协调及配合服务、包验收移交及相关保修售后服务。</w:t>
      </w:r>
    </w:p>
    <w:p>
      <w:pPr>
        <w:pStyle w:val="73"/>
        <w:rPr>
          <w:color w:val="000000" w:themeColor="text1"/>
          <w14:textFill>
            <w14:solidFill>
              <w14:schemeClr w14:val="tx1"/>
            </w14:solidFill>
          </w14:textFill>
        </w:rPr>
      </w:pPr>
      <w:bookmarkStart w:id="18" w:name="_Toc44492400"/>
      <w:bookmarkStart w:id="19" w:name="_Toc402450432"/>
      <w:bookmarkStart w:id="20" w:name="_Toc15151"/>
      <w:bookmarkStart w:id="21" w:name="_Toc1181"/>
      <w:r>
        <w:rPr>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承包范围</w:t>
      </w:r>
      <w:bookmarkEnd w:id="18"/>
      <w:bookmarkEnd w:id="19"/>
      <w:bookmarkEnd w:id="20"/>
      <w:bookmarkEnd w:id="21"/>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3.1 承包范围：</w:t>
      </w:r>
      <w:r>
        <w:rPr>
          <w:color w:val="000000" w:themeColor="text1"/>
          <w14:textFill>
            <w14:solidFill>
              <w14:schemeClr w14:val="tx1"/>
            </w14:solidFill>
          </w14:textFill>
        </w:rPr>
        <w:t>依据发包人提供的图纸</w:t>
      </w:r>
      <w:r>
        <w:rPr>
          <w:rFonts w:hint="eastAsia"/>
          <w:color w:val="000000" w:themeColor="text1"/>
          <w14:textFill>
            <w14:solidFill>
              <w14:schemeClr w14:val="tx1"/>
            </w14:solidFill>
          </w14:textFill>
        </w:rPr>
        <w:t>、合同附件及相关规范标准完成本工程工作内容，在实施过程中经发包人同意，承包人有权根据本工程实际情况需要增减工作内容及工程范围，分包人不得因承包人增减工作内容或工程范围而提出调整合同清单单价或任何费用索赔，分包人不能拒绝执行为完成全部工程而执行的可能遗漏的工作。</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3.1.1工程范围主要包括（但不限于）如下： </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（1）配套道路工程（施工范围：车行道及人行道（含园林步道）的结构、面层铺装、划线等）；</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（2）配套硬景工程（施工范围：景墙、水景、树池、花池、坐凳及其他园林构筑物的基础、结构、面层、装饰的施工）；</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（3）配套电力系统工程（施工范围：园林照明系统的管道埋设、配电箱安装、灯具供货安装等）；</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（4）配套给排水系统工程（施工范围：绿化取水、园路排水的设备安装、井盖供货及安装等）；</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（5）配套绿化工程：包括不限于施工范围内的苗木供应、栽植/放置、养护及保活，红线外市政苗木移植；绿化种植土回填；</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（6）配套其他工程：架空层范围内的地面施工；发光字体线路预留；围墙、保安亭、道闸等的相关线路预留等；室外雕塑、家具、园林小品摆件的加工采购及现场安装。</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（7）本工程按两阶段施工，分别为第一阶段、第二阶段，各阶段施工情况如下，具体以本合同附件13图纸载明的施工方案为准：</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①幼儿园区域在第一阶段完成施工，主入口岗亭地上部分、种植池、儿童戏水池在第二阶段完成施工，第二阶段按相关要求进行整改。</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②消防铁艺门一、消防铁艺门二、消防铁艺门三、特色廊架、对景廊架、次入口岗亭、商业街坐凳在第一阶段完成地下基础部分施工，待第一阶段结束后再施工地上部分。</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hint="eastAsia"/>
          <w:highlight w:val="none"/>
        </w:rPr>
        <w:t>特殊入户、</w:t>
      </w:r>
      <w:r>
        <w:rPr>
          <w:rFonts w:hint="eastAsia"/>
          <w:color w:val="000000" w:themeColor="text1"/>
          <w14:textFill>
            <w14:solidFill>
              <w14:schemeClr w14:val="tx1"/>
            </w14:solidFill>
          </w14:textFill>
        </w:rPr>
        <w:t>架空层、珠水枕流、北侧水景在第一阶段完成施工，后续无需整改。</w:t>
      </w:r>
    </w:p>
    <w:p>
      <w:pPr>
        <w:numPr>
          <w:ilvl w:val="255"/>
          <w:numId w:val="0"/>
        </w:num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④车库入口一、车库入口二、车库入口三、</w:t>
      </w:r>
      <w:r>
        <w:rPr>
          <w:rFonts w:hint="eastAsia"/>
        </w:rPr>
        <w:t>调压柜外装饰、特色铁艺门、特色挡墙、住宅入户、入口水景、互动喷泉、可移动树池、主入口门楼饰面在第一阶段无需施工，待第一阶段结束后按第二阶段图纸施工。</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3.1.2负责工程范围内的所有各项其他专业工程施工的协调及配合，并满足本项目所有其他各项专业工程的调试、试验、验收工作的配合要求；</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3.1.3配合和满足本项目总包安全管理及现场施工管理要求，配合和满足本项目监理的各项管理要求；</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3.1.4无条件配合和满足本项目规划、节能、消防等各项验收的要求。</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3.2 </w:t>
      </w:r>
      <w:r>
        <w:rPr>
          <w:rFonts w:hint="eastAsia" w:ascii="宋体" w:hAnsi="宋体"/>
          <w:color w:val="000000" w:themeColor="text1"/>
          <w:szCs w:val="21"/>
          <w:u w:val="single"/>
          <w14:textFill>
            <w14:solidFill>
              <w14:schemeClr w14:val="tx1"/>
            </w14:solidFill>
          </w14:textFill>
        </w:rPr>
        <w:t>承包范围及施工界面划分详见合同附件1《合同范围及边界》。</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3.3施工内容主要包括（但不限于）如下：</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1）工程范围内所有工程的测量、放线、脚手架、运输设备设施等施工措施；</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2）工程范围内所有土方材料的采购、堆放、回填及堆坡造型等工程；</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3）工程范围内所有硬景基层材料（如钢筋、混凝土、镀锌钢型材等）的采购、加工制作及安装，以及所有相关区域打凿、填塞、修补和封堵的施工；</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4）工程范围内所有硬景饰面材料（如地面石材、透水砖、铁艺栏杆、铝板、瓷砖、木制品、涂料等）的采购、加工制作及安装，以及所有为完成硬景饰面安装所进行的打凿、填塞、修补和封堵的施工；</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5）工程范围内所有水电井口砌筑、管道埋设、接驳给排水点位、相关设施设备制作及安装，以及所有相关的打凿、填塞、修补、封堵和管道连接的施工，井口标高调整；</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6）工程范围内所有室外灯具材料的采购、加工制作及安装等工程，以及所有相关的打凿、填塞、修补、封堵、固定及灯具电线连接的施工；</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7）工程范围内所有绿化苗木的采购、修剪及种植等工程（苗木养护期两年，养护期从发包人验收合格之日起计，具体养护标准见附件2《云港城项目9#地块园林工程技术要求及质量标准》及附件13《图纸》绿化施工设计说明，以其中最高养护要求为准），以及所有相关的树洞开挖、支撑加固、盲管排水的施工；根据项目实际要求，负责对地块红线外市政乔木进行移植；</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8）负责对雕塑、软装、铺装、景墙、铝板、水景、乔木点位等专项进行二次深化设计；</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9) 工程范围内可能存在的配合总包或其他分包进行的拆改修补施工；</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10）施工垃圾清理运输至现场指定地点，做到工完场清；</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11）负责所有施工材料的运输、吊装、存储、防盗及保护；</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12）负责所有工程范围内在验收交付前的施工成品保护，以及负责出现施工成品破坏后的材料后补和饰面修补施工；</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13）负责施工过程中及清洁过程中的排水清理工作，施工完成后进行清洁工作，以建设方要求为准；</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14）负责施工过程中室外各井口安全保护、临边安全保护及施工用电安全；</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15）按规范要求负责配备工程范围内施工场地内的消防器材，以及负责施工过程中的消防安全；</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16）负责因</w:t>
      </w:r>
      <w:r>
        <w:rPr>
          <w:rFonts w:hint="eastAsia"/>
          <w:color w:val="000000" w:themeColor="text1"/>
          <w:highlight w:val="none"/>
          <w14:textFill>
            <w14:solidFill>
              <w14:schemeClr w14:val="tx1"/>
            </w14:solidFill>
          </w14:textFill>
        </w:rPr>
        <w:t>分包人</w:t>
      </w:r>
      <w:r>
        <w:rPr>
          <w:rFonts w:hint="eastAsia"/>
          <w:color w:val="000000" w:themeColor="text1"/>
          <w14:textFill>
            <w14:solidFill>
              <w14:schemeClr w14:val="tx1"/>
            </w14:solidFill>
          </w14:textFill>
        </w:rPr>
        <w:t>原因造成的本项目所有其他各专业工程施工材料及施工成品破坏的赔偿；</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17）分包人在二次进场前施工过程中的产生的水电费用已包含在发包人向承包人支付的总承包服务费中，期间分包人每月发生的水电费，由承包人支付，分包人无需再向承包人支付水电费；分包人二次进场（分包人需根据现场实际情况，综合考虑进场次数）施工过程中产生的水电费包含在本签约合同价格中，期间分包人每月发生的水电费，由分包人向物业公司支付。承包人向分包人提供相应的施工用水、用电的接驳点（具体接驳点位置要求详见合同附件6），且容量或负荷满足专业分包的要求。接驳点以后的管道、线路由分包人负责敷设、拆除，并承担相关费用；</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19）凡施工图纸载明的、或隐含的、或安装施工惯例应当完成的工作都是分包人的工作内容，以及其他于图纸显示或规范说明范围内的园林工程内容。</w:t>
      </w:r>
    </w:p>
    <w:p>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3.4分包人负责本专业工程的材料送样、组织材料厂家及项目考察、材料采购、材料加工、材料运输装卸（包括二次转运）、材料检测取样送样及检测合格、材料仓储、材料保护、样板制作，施工机械及设备的投入，施工图深化，工程施工、施工及安全文明措施、成品保护，施工垃圾清理，施工完成后的场地保洁，临水临电，办公费、住宿费等；负责工程范围内的所有各项其他专业工程施工的协调及配合，完成本工程各项专业工程的调试、试验、验收工作；配合和满足本项目总包安全管理及现场施工管理要求，配合和满足本项目监理的各项管理要求；配合和满足本项目规划、节能、消防等各项验收的要求等，相关费用包含在合同价格中，不另外计取。</w:t>
      </w:r>
    </w:p>
    <w:p>
      <w:pPr>
        <w:adjustRightInd w:val="0"/>
        <w:snapToGrid w:val="0"/>
        <w:spacing w:line="360" w:lineRule="auto"/>
        <w:ind w:firstLine="420" w:firstLineChars="200"/>
        <w:rPr>
          <w:color w:val="000000" w:themeColor="text1"/>
          <w14:textFill>
            <w14:solidFill>
              <w14:schemeClr w14:val="tx1"/>
            </w14:solidFill>
          </w14:textFill>
        </w:rPr>
      </w:pPr>
      <w:bookmarkStart w:id="22" w:name="_Toc44492401"/>
      <w:bookmarkStart w:id="23" w:name="_Toc6945"/>
      <w:bookmarkStart w:id="24" w:name="_Toc26249"/>
      <w:r>
        <w:rPr>
          <w:rFonts w:hint="eastAsia"/>
          <w:color w:val="000000" w:themeColor="text1"/>
          <w14:textFill>
            <w14:solidFill>
              <w14:schemeClr w14:val="tx1"/>
            </w14:solidFill>
          </w14:textFill>
        </w:rPr>
        <w:t>3.5分包人作为专业分包人纳入承包人的管理，服从承包人的协调管理，配合承包人做好质量、进度、安全、文明施工、验收等方面的工作。在承包人的总体协调管理下，做好与各专业单位的交叉施工与协调管理工作，按各专业工种界面做到有序施工。</w:t>
      </w:r>
    </w:p>
    <w:p>
      <w:pPr>
        <w:adjustRightInd w:val="0"/>
        <w:snapToGrid w:val="0"/>
        <w:spacing w:line="360" w:lineRule="auto"/>
        <w:ind w:firstLine="420" w:firstLineChars="200"/>
        <w:rPr>
          <w:rFonts w:ascii="宋体" w:hAnsi="宋体"/>
          <w:color w:val="000000" w:themeColor="text1"/>
          <w:szCs w:val="21"/>
          <w:u w:val="single"/>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6分包人被认为已在本工程投标阶段踏勘现场，并充分了解本工程现场条件和周围环境，并已在其投标时就此给予了充分的考虑。</w:t>
      </w:r>
    </w:p>
    <w:p>
      <w:pPr>
        <w:adjustRightInd w:val="0"/>
        <w:snapToGrid w:val="0"/>
        <w:spacing w:line="360" w:lineRule="auto"/>
        <w:ind w:firstLine="420" w:firstLineChars="200"/>
        <w:rPr>
          <w:color w:val="000000" w:themeColor="text1"/>
          <w14:textFill>
            <w14:solidFill>
              <w14:schemeClr w14:val="tx1"/>
            </w14:solidFill>
          </w14:textFill>
        </w:rPr>
      </w:pPr>
      <w:r>
        <w:rPr>
          <w:rFonts w:ascii="宋体" w:hAnsi="宋体"/>
          <w:color w:val="000000" w:themeColor="text1"/>
          <w:szCs w:val="21"/>
          <w:u w:val="single"/>
          <w14:textFill>
            <w14:solidFill>
              <w14:schemeClr w14:val="tx1"/>
            </w14:solidFill>
          </w14:textFill>
        </w:rPr>
        <w:t>3.</w:t>
      </w:r>
      <w:r>
        <w:rPr>
          <w:rFonts w:hint="eastAsia" w:ascii="宋体" w:hAnsi="宋体"/>
          <w:color w:val="000000" w:themeColor="text1"/>
          <w:szCs w:val="21"/>
          <w:u w:val="single"/>
          <w14:textFill>
            <w14:solidFill>
              <w14:schemeClr w14:val="tx1"/>
            </w14:solidFill>
          </w14:textFill>
        </w:rPr>
        <w:t>7本合同工程相关的第三方检测由发包人另行委托，不在本合同范围内。但分包人需提供检测所需的材料并承担材料及材料损耗及检测配合的相关费用。分包人必须充分考虑项目实施和验收所产生的检测数量、内容以及检测报告及资料的相应增加，相关工作费用已包含于合同</w:t>
      </w:r>
      <w:r>
        <w:rPr>
          <w:rFonts w:hint="eastAsia"/>
          <w:color w:val="000000" w:themeColor="text1"/>
          <w:u w:val="single"/>
          <w14:textFill>
            <w14:solidFill>
              <w14:schemeClr w14:val="tx1"/>
            </w14:solidFill>
          </w14:textFill>
        </w:rPr>
        <w:t>价格</w:t>
      </w:r>
      <w:r>
        <w:rPr>
          <w:rFonts w:hint="eastAsia" w:ascii="宋体" w:hAnsi="宋体"/>
          <w:color w:val="000000" w:themeColor="text1"/>
          <w:szCs w:val="21"/>
          <w:u w:val="single"/>
          <w14:textFill>
            <w14:solidFill>
              <w14:schemeClr w14:val="tx1"/>
            </w14:solidFill>
          </w14:textFill>
        </w:rPr>
        <w:t>内。</w:t>
      </w:r>
    </w:p>
    <w:p>
      <w:pPr>
        <w:adjustRightInd w:val="0"/>
        <w:snapToGrid w:val="0"/>
        <w:spacing w:line="360" w:lineRule="auto"/>
        <w:ind w:firstLine="420" w:firstLineChars="200"/>
        <w:rPr>
          <w:rFonts w:ascii="宋体" w:hAnsi="宋体"/>
          <w:color w:val="000000" w:themeColor="text1"/>
          <w:szCs w:val="21"/>
          <w:u w:val="single"/>
          <w14:textFill>
            <w14:solidFill>
              <w14:schemeClr w14:val="tx1"/>
            </w14:solidFill>
          </w14:textFill>
        </w:rPr>
      </w:pPr>
      <w:r>
        <w:rPr>
          <w:rFonts w:hint="eastAsia"/>
          <w:color w:val="000000" w:themeColor="text1"/>
          <w14:textFill>
            <w14:solidFill>
              <w14:schemeClr w14:val="tx1"/>
            </w14:solidFill>
          </w14:textFill>
        </w:rPr>
        <w:t>3.8承包人对分包人的管理与配合服务内容详见合同附件6“总承包管理与配合服务管理办法”，</w:t>
      </w:r>
      <w:r>
        <w:rPr>
          <w:color w:val="000000" w:themeColor="text1"/>
          <w14:textFill>
            <w14:solidFill>
              <w14:schemeClr w14:val="tx1"/>
            </w14:solidFill>
          </w14:textFill>
        </w:rPr>
        <w:t>相对应的总承包服务费由发包人统一向承包人支付</w:t>
      </w:r>
      <w:r>
        <w:rPr>
          <w:rFonts w:hint="eastAsia"/>
          <w:color w:val="000000" w:themeColor="text1"/>
          <w14:textFill>
            <w14:solidFill>
              <w14:schemeClr w14:val="tx1"/>
            </w14:solidFill>
          </w14:textFill>
        </w:rPr>
        <w:t>，分包人无需再向承包人支付</w:t>
      </w:r>
      <w:r>
        <w:rPr>
          <w:color w:val="000000" w:themeColor="text1"/>
          <w14:textFill>
            <w14:solidFill>
              <w14:schemeClr w14:val="tx1"/>
            </w14:solidFill>
          </w14:textFill>
        </w:rPr>
        <w:t>总承包服务费</w:t>
      </w:r>
      <w:r>
        <w:rPr>
          <w:rFonts w:hint="eastAsia"/>
          <w:color w:val="000000" w:themeColor="text1"/>
          <w14:textFill>
            <w14:solidFill>
              <w14:schemeClr w14:val="tx1"/>
            </w14:solidFill>
          </w14:textFill>
        </w:rPr>
        <w:t>。</w:t>
      </w:r>
    </w:p>
    <w:p>
      <w:pPr>
        <w:pStyle w:val="73"/>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 合同工期</w:t>
      </w:r>
      <w:bookmarkEnd w:id="22"/>
      <w:bookmarkEnd w:id="23"/>
      <w:bookmarkEnd w:id="24"/>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.1.</w:t>
      </w:r>
      <w:r>
        <w:rPr>
          <w:rFonts w:hint="eastAsia" w:eastAsia="宋体"/>
          <w:color w:val="000000" w:themeColor="text1"/>
          <w:kern w:val="2"/>
          <w:szCs w:val="22"/>
          <w14:textFill>
            <w14:solidFill>
              <w14:schemeClr w14:val="tx1"/>
            </w14:solidFill>
          </w14:textFill>
        </w:rPr>
        <w:t>合同工期：</w:t>
      </w:r>
      <w:r>
        <w:rPr>
          <w:rFonts w:hint="eastAsia" w:eastAsia="宋体"/>
          <w:color w:val="000000" w:themeColor="text1"/>
          <w:kern w:val="2"/>
          <w:szCs w:val="22"/>
          <w:u w:val="single"/>
          <w14:textFill>
            <w14:solidFill>
              <w14:schemeClr w14:val="tx1"/>
            </w14:solidFill>
          </w14:textFill>
        </w:rPr>
        <w:t>600</w:t>
      </w:r>
      <w:r>
        <w:rPr>
          <w:rFonts w:hint="eastAsia" w:eastAsia="宋体"/>
          <w:color w:val="000000" w:themeColor="text1"/>
          <w:kern w:val="2"/>
          <w:szCs w:val="22"/>
          <w14:textFill>
            <w14:solidFill>
              <w14:schemeClr w14:val="tx1"/>
            </w14:solidFill>
          </w14:textFill>
        </w:rPr>
        <w:t>日历天。</w:t>
      </w:r>
    </w:p>
    <w:p>
      <w:pPr>
        <w:pStyle w:val="52"/>
        <w:ind w:firstLine="420"/>
        <w:rPr>
          <w:rFonts w:eastAsia="宋体"/>
          <w:color w:val="000000" w:themeColor="text1"/>
          <w:kern w:val="2"/>
          <w:szCs w:val="22"/>
          <w:u w:val="single"/>
          <w14:textFill>
            <w14:solidFill>
              <w14:schemeClr w14:val="tx1"/>
            </w14:solidFill>
          </w14:textFill>
        </w:rPr>
      </w:pPr>
      <w:r>
        <w:rPr>
          <w:rFonts w:hint="eastAsia" w:eastAsia="宋体"/>
          <w:color w:val="000000" w:themeColor="text1"/>
          <w:kern w:val="2"/>
          <w:szCs w:val="22"/>
          <w:u w:val="single"/>
          <w14:textFill>
            <w14:solidFill>
              <w14:schemeClr w14:val="tx1"/>
            </w14:solidFill>
          </w14:textFill>
        </w:rPr>
        <w:t>以上工期已充分考虑各种形式的雨雪、冰雹、大风、高温、停水、停电、节假日、国家庆典、外交来访、重大活动（如国际会议、大型运动会、大型阅兵庆典等）、中考、高考期间、召开“两会”期间的施工管制、交通管制、扰民、道路施工影响等不利因素，并已考虑分包人与承包人、其他分包单位之间的配合时间，分包人不得以上述因素申请工期的延长。分包人被认为已在本工程投标阶段踏勘现场，并充分了解本工程现场条件和周围环境，并已在其投标时就此给予了充分的考虑。除合同另有明确约定，合同工期不做任何调整。</w:t>
      </w:r>
    </w:p>
    <w:p>
      <w:pPr>
        <w:pStyle w:val="52"/>
        <w:ind w:firstLine="420"/>
        <w:rPr>
          <w:rFonts w:eastAsia="宋体"/>
          <w:color w:val="000000" w:themeColor="text1"/>
          <w:kern w:val="2"/>
          <w:szCs w:val="22"/>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eastAsia="宋体"/>
          <w:color w:val="000000" w:themeColor="text1"/>
          <w:kern w:val="2"/>
          <w:szCs w:val="22"/>
          <w14:textFill>
            <w14:solidFill>
              <w14:schemeClr w14:val="tx1"/>
            </w14:solidFill>
          </w14:textFill>
        </w:rPr>
        <w:t>开工日期</w:t>
      </w:r>
    </w:p>
    <w:p>
      <w:pPr>
        <w:pStyle w:val="52"/>
        <w:ind w:firstLine="420"/>
        <w:rPr>
          <w:rFonts w:eastAsia="宋体"/>
          <w:color w:val="000000" w:themeColor="text1"/>
          <w:kern w:val="2"/>
          <w:szCs w:val="22"/>
          <w14:textFill>
            <w14:solidFill>
              <w14:schemeClr w14:val="tx1"/>
            </w14:solidFill>
          </w14:textFill>
        </w:rPr>
      </w:pPr>
      <w:r>
        <w:rPr>
          <w:rFonts w:hint="eastAsia" w:eastAsia="宋体"/>
          <w:color w:val="000000" w:themeColor="text1"/>
          <w:kern w:val="2"/>
          <w:szCs w:val="22"/>
          <w14:textFill>
            <w14:solidFill>
              <w14:schemeClr w14:val="tx1"/>
            </w14:solidFill>
          </w14:textFill>
        </w:rPr>
        <w:t>开工日期：暂定为</w:t>
      </w:r>
      <w:r>
        <w:rPr>
          <w:rFonts w:eastAsia="宋体"/>
          <w:color w:val="000000" w:themeColor="text1"/>
          <w:kern w:val="2"/>
          <w:szCs w:val="22"/>
          <w:u w:val="single"/>
          <w14:textFill>
            <w14:solidFill>
              <w14:schemeClr w14:val="tx1"/>
            </w14:solidFill>
          </w14:textFill>
        </w:rPr>
        <w:t>2023</w:t>
      </w:r>
      <w:r>
        <w:rPr>
          <w:rFonts w:hint="eastAsia" w:eastAsia="宋体"/>
          <w:color w:val="000000" w:themeColor="text1"/>
          <w:kern w:val="2"/>
          <w:szCs w:val="22"/>
          <w14:textFill>
            <w14:solidFill>
              <w14:schemeClr w14:val="tx1"/>
            </w14:solidFill>
          </w14:textFill>
        </w:rPr>
        <w:t>年</w:t>
      </w:r>
      <w:r>
        <w:rPr>
          <w:rFonts w:hint="eastAsia" w:eastAsia="宋体"/>
          <w:color w:val="000000" w:themeColor="text1"/>
          <w:kern w:val="2"/>
          <w:szCs w:val="22"/>
          <w:u w:val="single"/>
          <w14:textFill>
            <w14:solidFill>
              <w14:schemeClr w14:val="tx1"/>
            </w14:solidFill>
          </w14:textFill>
        </w:rPr>
        <w:t>7</w:t>
      </w:r>
      <w:r>
        <w:rPr>
          <w:rFonts w:hint="eastAsia" w:eastAsia="宋体"/>
          <w:color w:val="000000" w:themeColor="text1"/>
          <w:kern w:val="2"/>
          <w:szCs w:val="22"/>
          <w14:textFill>
            <w14:solidFill>
              <w14:schemeClr w14:val="tx1"/>
            </w14:solidFill>
          </w14:textFill>
        </w:rPr>
        <w:t>月</w:t>
      </w:r>
      <w:r>
        <w:rPr>
          <w:rFonts w:hint="eastAsia" w:eastAsia="宋体"/>
          <w:color w:val="000000" w:themeColor="text1"/>
          <w:kern w:val="2"/>
          <w:szCs w:val="22"/>
          <w:u w:val="single"/>
          <w14:textFill>
            <w14:solidFill>
              <w14:schemeClr w14:val="tx1"/>
            </w14:solidFill>
          </w14:textFill>
        </w:rPr>
        <w:t>25</w:t>
      </w:r>
      <w:r>
        <w:rPr>
          <w:rFonts w:hint="eastAsia" w:eastAsia="宋体"/>
          <w:color w:val="000000" w:themeColor="text1"/>
          <w:kern w:val="2"/>
          <w:szCs w:val="22"/>
          <w14:textFill>
            <w14:solidFill>
              <w14:schemeClr w14:val="tx1"/>
            </w14:solidFill>
          </w14:textFill>
        </w:rPr>
        <w:t>日</w:t>
      </w:r>
      <w:r>
        <w:rPr>
          <w:rFonts w:eastAsia="宋体"/>
          <w:color w:val="000000" w:themeColor="text1"/>
          <w:kern w:val="2"/>
          <w:szCs w:val="22"/>
          <w14:textFill>
            <w14:solidFill>
              <w14:schemeClr w14:val="tx1"/>
            </w14:solidFill>
          </w14:textFill>
        </w:rPr>
        <w:t>(</w:t>
      </w:r>
      <w:r>
        <w:rPr>
          <w:rFonts w:hint="eastAsia" w:eastAsia="宋体"/>
          <w:color w:val="000000" w:themeColor="text1"/>
          <w:kern w:val="2"/>
          <w:szCs w:val="22"/>
          <w14:textFill>
            <w14:solidFill>
              <w14:schemeClr w14:val="tx1"/>
            </w14:solidFill>
          </w14:textFill>
        </w:rPr>
        <w:t>以经发包人确认同意由承包人书面下发的开工通知中载明的日期为准)；</w:t>
      </w:r>
    </w:p>
    <w:p>
      <w:pPr>
        <w:pStyle w:val="52"/>
        <w:ind w:firstLine="420"/>
        <w:rPr>
          <w:color w:val="000000" w:themeColor="text1"/>
          <w:u w:val="single"/>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eastAsia="宋体"/>
          <w:color w:val="000000" w:themeColor="text1"/>
          <w:kern w:val="2"/>
          <w:szCs w:val="22"/>
          <w14:textFill>
            <w14:solidFill>
              <w14:schemeClr w14:val="tx1"/>
            </w14:solidFill>
          </w14:textFill>
        </w:rPr>
        <w:t>竣工日期：</w:t>
      </w:r>
      <w:r>
        <w:rPr>
          <w:rFonts w:hint="eastAsia" w:eastAsia="宋体"/>
          <w:color w:val="000000" w:themeColor="text1"/>
          <w:kern w:val="2"/>
          <w:szCs w:val="22"/>
          <w:u w:val="single"/>
          <w14:textFill>
            <w14:solidFill>
              <w14:schemeClr w14:val="tx1"/>
            </w14:solidFill>
          </w14:textFill>
        </w:rPr>
        <w:t>暂定为</w:t>
      </w:r>
      <w:r>
        <w:rPr>
          <w:rFonts w:eastAsia="宋体"/>
          <w:color w:val="000000" w:themeColor="text1"/>
          <w:kern w:val="2"/>
          <w:szCs w:val="22"/>
          <w:u w:val="single"/>
          <w14:textFill>
            <w14:solidFill>
              <w14:schemeClr w14:val="tx1"/>
            </w14:solidFill>
          </w14:textFill>
        </w:rPr>
        <w:t>202</w:t>
      </w:r>
      <w:r>
        <w:rPr>
          <w:rFonts w:hint="eastAsia" w:eastAsia="宋体"/>
          <w:color w:val="000000" w:themeColor="text1"/>
          <w:kern w:val="2"/>
          <w:szCs w:val="22"/>
          <w:u w:val="single"/>
          <w14:textFill>
            <w14:solidFill>
              <w14:schemeClr w14:val="tx1"/>
            </w14:solidFill>
          </w14:textFill>
        </w:rPr>
        <w:t>5年3月15日；</w:t>
      </w:r>
    </w:p>
    <w:p>
      <w:pPr>
        <w:spacing w:line="360" w:lineRule="auto"/>
        <w:ind w:firstLine="420" w:firstLineChars="200"/>
        <w:rPr>
          <w:rFonts w:ascii="仿宋" w:hAnsi="仿宋" w:eastAsia="仿宋" w:cs="仿宋"/>
          <w:color w:val="000000" w:themeColor="text1"/>
          <w14:textFill>
            <w14:solidFill>
              <w14:schemeClr w14:val="tx1"/>
            </w14:solidFill>
          </w14:textFill>
        </w:rPr>
      </w:pPr>
      <w:r>
        <w:rPr>
          <w:rFonts w:ascii="Times New Roman" w:hAnsi="Times New Roman" w:eastAsia="仿宋_GB2312"/>
          <w:color w:val="000000" w:themeColor="text1"/>
          <w:kern w:val="0"/>
          <w:szCs w:val="32"/>
          <w14:textFill>
            <w14:solidFill>
              <w14:schemeClr w14:val="tx1"/>
            </w14:solidFill>
          </w14:textFill>
        </w:rPr>
        <w:t>4</w:t>
      </w:r>
      <w:r>
        <w:rPr>
          <w:rFonts w:hint="eastAsia" w:ascii="Times New Roman" w:hAnsi="Times New Roman" w:eastAsia="仿宋_GB2312"/>
          <w:color w:val="000000" w:themeColor="text1"/>
          <w:kern w:val="0"/>
          <w:szCs w:val="32"/>
          <w14:textFill>
            <w14:solidFill>
              <w14:schemeClr w14:val="tx1"/>
            </w14:solidFill>
          </w14:textFill>
        </w:rPr>
        <w:t xml:space="preserve">.4. </w:t>
      </w:r>
      <w:r>
        <w:rPr>
          <w:rFonts w:hint="eastAsia"/>
          <w:color w:val="000000" w:themeColor="text1"/>
          <w:u w:val="single"/>
          <w14:textFill>
            <w14:solidFill>
              <w14:schemeClr w14:val="tx1"/>
            </w14:solidFill>
          </w14:textFill>
        </w:rPr>
        <w:t>若本工程开工日期顺延的，则本工程相应的节点工期相应调整，分包人需采取相应措施，确保不影响项目整体竣工验收合格日期和竣工备案通过日期。</w:t>
      </w:r>
      <w:r>
        <w:rPr>
          <w:rFonts w:hint="eastAsia" w:ascii="仿宋" w:hAnsi="仿宋" w:eastAsia="仿宋" w:cs="仿宋"/>
          <w:color w:val="000000" w:themeColor="text1"/>
          <w:lang w:bidi="ar"/>
          <w14:textFill>
            <w14:solidFill>
              <w14:schemeClr w14:val="tx1"/>
            </w14:solidFill>
          </w14:textFill>
        </w:rPr>
        <w:t xml:space="preserve"> </w:t>
      </w:r>
    </w:p>
    <w:p>
      <w:pPr>
        <w:pStyle w:val="73"/>
        <w:rPr>
          <w:color w:val="000000" w:themeColor="text1"/>
          <w14:textFill>
            <w14:solidFill>
              <w14:schemeClr w14:val="tx1"/>
            </w14:solidFill>
          </w14:textFill>
        </w:rPr>
      </w:pPr>
      <w:bookmarkStart w:id="25" w:name="_Toc17381"/>
      <w:bookmarkStart w:id="26" w:name="_Toc44492402"/>
      <w:bookmarkStart w:id="27" w:name="_Toc30316"/>
      <w:r>
        <w:rPr>
          <w:color w:val="000000" w:themeColor="text1"/>
          <w14:textFill>
            <w14:solidFill>
              <w14:schemeClr w14:val="tx1"/>
            </w14:solidFill>
          </w14:textFill>
        </w:rPr>
        <w:t>5</w:t>
      </w:r>
      <w:r>
        <w:rPr>
          <w:rFonts w:hint="eastAsia"/>
          <w:color w:val="000000" w:themeColor="text1"/>
          <w14:textFill>
            <w14:solidFill>
              <w14:schemeClr w14:val="tx1"/>
            </w14:solidFill>
          </w14:textFill>
        </w:rPr>
        <w:t>. 质量标准</w:t>
      </w:r>
      <w:bookmarkEnd w:id="25"/>
      <w:bookmarkEnd w:id="26"/>
      <w:bookmarkEnd w:id="27"/>
    </w:p>
    <w:p>
      <w:pPr>
        <w:pStyle w:val="52"/>
        <w:ind w:firstLine="420"/>
        <w:rPr>
          <w:rFonts w:eastAsia="宋体"/>
          <w:color w:val="000000" w:themeColor="text1"/>
          <w:kern w:val="2"/>
          <w:szCs w:val="22"/>
          <w:u w:val="single"/>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.1.</w:t>
      </w:r>
      <w:r>
        <w:rPr>
          <w:rFonts w:hint="eastAsia" w:eastAsia="宋体"/>
          <w:color w:val="000000" w:themeColor="text1"/>
          <w:kern w:val="2"/>
          <w:szCs w:val="22"/>
          <w:u w:val="single"/>
          <w14:textFill>
            <w14:solidFill>
              <w14:schemeClr w14:val="tx1"/>
            </w14:solidFill>
          </w14:textFill>
        </w:rPr>
        <w:t>应达到《建筑工程质量标准》《建筑工程施工质量验收统一标准》《建筑装饰装修工程质量验收规范》等国家规范、行业标准、地方标准等相关要求，确保分部分项工程达到100%合格，一次性验收合格并通过竣工备案，达到合格质量标准。</w:t>
      </w:r>
    </w:p>
    <w:p>
      <w:pPr>
        <w:adjustRightInd w:val="0"/>
        <w:snapToGrid w:val="0"/>
        <w:spacing w:line="360" w:lineRule="auto"/>
        <w:ind w:firstLine="420" w:firstLineChars="200"/>
        <w:rPr>
          <w:color w:val="000000" w:themeColor="text1"/>
          <w:u w:val="single"/>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.2.</w:t>
      </w:r>
      <w:r>
        <w:rPr>
          <w:rFonts w:hint="eastAsia"/>
          <w:color w:val="000000" w:themeColor="text1"/>
          <w:u w:val="single"/>
          <w14:textFill>
            <w14:solidFill>
              <w14:schemeClr w14:val="tx1"/>
            </w14:solidFill>
          </w14:textFill>
        </w:rPr>
        <w:t>如技术文件、设计图纸（含设计说明）中确定适用的技术标准或规范要求、检验测试要求及验收要求不一致时，本工程实施按其中标准较高、要求较严格的要求执行。</w:t>
      </w:r>
    </w:p>
    <w:p>
      <w:pPr>
        <w:pStyle w:val="73"/>
        <w:rPr>
          <w:color w:val="000000" w:themeColor="text1"/>
          <w14:textFill>
            <w14:solidFill>
              <w14:schemeClr w14:val="tx1"/>
            </w14:solidFill>
          </w14:textFill>
        </w:rPr>
      </w:pPr>
      <w:bookmarkStart w:id="28" w:name="_Toc44492403"/>
      <w:bookmarkStart w:id="29" w:name="_Toc28544"/>
      <w:bookmarkStart w:id="30" w:name="_Toc10430"/>
      <w:r>
        <w:rPr>
          <w:color w:val="000000" w:themeColor="text1"/>
          <w14:textFill>
            <w14:solidFill>
              <w14:schemeClr w14:val="tx1"/>
            </w14:solidFill>
          </w14:textFill>
        </w:rPr>
        <w:t>6</w:t>
      </w:r>
      <w:r>
        <w:rPr>
          <w:rFonts w:hint="eastAsia"/>
          <w:color w:val="000000" w:themeColor="text1"/>
          <w14:textFill>
            <w14:solidFill>
              <w14:schemeClr w14:val="tx1"/>
            </w14:solidFill>
          </w14:textFill>
        </w:rPr>
        <w:t>.安全</w:t>
      </w:r>
      <w:bookmarkEnd w:id="28"/>
      <w:bookmarkEnd w:id="29"/>
      <w:bookmarkEnd w:id="30"/>
      <w:r>
        <w:rPr>
          <w:rFonts w:hint="eastAsia"/>
          <w:color w:val="000000" w:themeColor="text1"/>
          <w14:textFill>
            <w14:solidFill>
              <w14:schemeClr w14:val="tx1"/>
            </w14:solidFill>
          </w14:textFill>
        </w:rPr>
        <w:t>生产目标</w:t>
      </w:r>
    </w:p>
    <w:p>
      <w:pPr>
        <w:pStyle w:val="52"/>
        <w:ind w:firstLine="42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确保不发生亡人及以上生产安全责任事故，工伤频率控制在</w:t>
      </w:r>
      <w:r>
        <w:rPr>
          <w:rFonts w:hint="eastAsia" w:ascii="宋体" w:hAnsi="宋体" w:eastAsia="宋体" w:cs="宋体"/>
          <w:color w:val="000000" w:themeColor="text1"/>
          <w:u w:val="single"/>
          <w14:textFill>
            <w14:solidFill>
              <w14:schemeClr w14:val="tx1"/>
            </w14:solidFill>
          </w14:textFill>
        </w:rPr>
        <w:t xml:space="preserve"> 广州 </w:t>
      </w:r>
      <w:r>
        <w:rPr>
          <w:rFonts w:hint="eastAsia" w:ascii="宋体" w:hAnsi="宋体" w:eastAsia="宋体" w:cs="宋体"/>
          <w:color w:val="000000" w:themeColor="text1"/>
          <w14:textFill>
            <w14:solidFill>
              <w14:schemeClr w14:val="tx1"/>
            </w14:solidFill>
          </w14:textFill>
        </w:rPr>
        <w:t>市建筑施工安全管理法规规定的指标要求范围内。</w:t>
      </w:r>
    </w:p>
    <w:p>
      <w:pPr>
        <w:pStyle w:val="73"/>
        <w:rPr>
          <w:color w:val="000000" w:themeColor="text1"/>
          <w14:textFill>
            <w14:solidFill>
              <w14:schemeClr w14:val="tx1"/>
            </w14:solidFill>
          </w14:textFill>
        </w:rPr>
      </w:pPr>
      <w:bookmarkStart w:id="31" w:name="_Toc29176"/>
      <w:bookmarkStart w:id="32" w:name="_Toc44492404"/>
      <w:bookmarkStart w:id="33" w:name="_Toc27904"/>
      <w:r>
        <w:rPr>
          <w:color w:val="000000" w:themeColor="text1"/>
          <w14:textFill>
            <w14:solidFill>
              <w14:schemeClr w14:val="tx1"/>
            </w14:solidFill>
          </w14:textFill>
        </w:rPr>
        <w:t>7</w:t>
      </w:r>
      <w:r>
        <w:rPr>
          <w:rFonts w:hint="eastAsia"/>
          <w:color w:val="000000" w:themeColor="text1"/>
          <w14:textFill>
            <w14:solidFill>
              <w14:schemeClr w14:val="tx1"/>
            </w14:solidFill>
          </w14:textFill>
        </w:rPr>
        <w:t>. 签约合同价</w:t>
      </w:r>
      <w:bookmarkEnd w:id="31"/>
      <w:bookmarkEnd w:id="32"/>
      <w:bookmarkEnd w:id="33"/>
      <w:r>
        <w:rPr>
          <w:rFonts w:hint="eastAsia"/>
          <w:color w:val="000000" w:themeColor="text1"/>
          <w14:textFill>
            <w14:solidFill>
              <w14:schemeClr w14:val="tx1"/>
            </w14:solidFill>
          </w14:textFill>
        </w:rPr>
        <w:t>格</w:t>
      </w:r>
    </w:p>
    <w:p>
      <w:pPr>
        <w:pStyle w:val="52"/>
        <w:ind w:firstLine="42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本合同签约合同价格暂定为：￥</w:t>
      </w:r>
      <w:r>
        <w:rPr>
          <w:rFonts w:ascii="宋体" w:hAnsi="宋体" w:eastAsia="宋体" w:cs="宋体"/>
          <w:color w:val="000000" w:themeColor="text1"/>
          <w:u w:val="single"/>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元（大写：人民币</w:t>
      </w:r>
      <w:r>
        <w:rPr>
          <w:rFonts w:ascii="宋体" w:hAnsi="宋体" w:eastAsia="宋体" w:cs="宋体"/>
          <w:color w:val="000000" w:themeColor="text1"/>
          <w:u w:val="single"/>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）。其中：不含税签约合同价格为</w:t>
      </w:r>
      <w:r>
        <w:rPr>
          <w:rFonts w:ascii="宋体" w:hAnsi="宋体" w:eastAsia="宋体" w:cs="宋体"/>
          <w:color w:val="000000" w:themeColor="text1"/>
          <w:u w:val="single"/>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 xml:space="preserve">元，增值税税率为9%，增值税为 </w:t>
      </w:r>
      <w:r>
        <w:rPr>
          <w:rFonts w:ascii="宋体" w:hAnsi="宋体" w:eastAsia="宋体" w:cs="宋体"/>
          <w:color w:val="000000" w:themeColor="text1"/>
          <w:u w:val="single"/>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元。合同价格组成明细具体详见本合同附件8《已标价工程量清单》。</w:t>
      </w:r>
    </w:p>
    <w:p>
      <w:pPr>
        <w:pStyle w:val="52"/>
        <w:ind w:firstLine="420"/>
        <w:rPr>
          <w:color w:val="000000" w:themeColor="text1"/>
          <w14:textFill>
            <w14:solidFill>
              <w14:schemeClr w14:val="tx1"/>
            </w14:solidFill>
          </w14:textFill>
        </w:rPr>
      </w:pPr>
      <w:r>
        <w:rPr>
          <w:rFonts w:hint="eastAsia" w:eastAsia="宋体"/>
          <w:color w:val="000000" w:themeColor="text1"/>
          <w:kern w:val="2"/>
          <w:szCs w:val="22"/>
          <w:u w:val="single"/>
          <w14:textFill>
            <w14:solidFill>
              <w14:schemeClr w14:val="tx1"/>
            </w14:solidFill>
          </w14:textFill>
        </w:rPr>
        <w:t>若遇政策性调整增值税税率的，分包人提供增值税专用发票的增值税税率按当期国家税务总局政策性调整后的增值税税率执行；承包人按当次应付金额对应的不含增值税价款及调整后的增值税税率计算的增值税税费进行支付。</w:t>
      </w:r>
      <w:bookmarkStart w:id="34" w:name="_Toc44492405"/>
      <w:bookmarkStart w:id="35" w:name="_Toc20860"/>
      <w:bookmarkStart w:id="36" w:name="_Toc12138"/>
    </w:p>
    <w:p>
      <w:pPr>
        <w:pStyle w:val="73"/>
        <w:rPr>
          <w:color w:val="000000" w:themeColor="text1"/>
          <w14:textFill>
            <w14:solidFill>
              <w14:schemeClr w14:val="tx1"/>
            </w14:solidFill>
          </w14:textFill>
        </w:rPr>
      </w:pPr>
      <w:r>
        <w:rPr>
          <w:color w:val="000000" w:themeColor="text1"/>
          <w14:textFill>
            <w14:solidFill>
              <w14:schemeClr w14:val="tx1"/>
            </w14:solidFill>
          </w14:textFill>
        </w:rPr>
        <w:t>8</w:t>
      </w:r>
      <w:r>
        <w:rPr>
          <w:rFonts w:hint="eastAsia"/>
          <w:color w:val="000000" w:themeColor="text1"/>
          <w14:textFill>
            <w14:solidFill>
              <w14:schemeClr w14:val="tx1"/>
            </w14:solidFill>
          </w14:textFill>
        </w:rPr>
        <w:t>. 合同份数及生效</w:t>
      </w:r>
      <w:bookmarkEnd w:id="34"/>
      <w:bookmarkEnd w:id="35"/>
      <w:bookmarkEnd w:id="36"/>
    </w:p>
    <w:p>
      <w:pPr>
        <w:pStyle w:val="52"/>
        <w:ind w:firstLine="42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本合同一式</w:t>
      </w:r>
      <w:r>
        <w:rPr>
          <w:rFonts w:hint="eastAsia" w:ascii="宋体" w:hAnsi="宋体" w:eastAsia="宋体" w:cs="宋体"/>
          <w:color w:val="000000" w:themeColor="text1"/>
          <w:u w:val="single"/>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份，发包人执</w:t>
      </w:r>
      <w:r>
        <w:rPr>
          <w:rFonts w:hint="eastAsia" w:ascii="宋体" w:hAnsi="宋体" w:eastAsia="宋体" w:cs="宋体"/>
          <w:color w:val="000000" w:themeColor="text1"/>
          <w:u w:val="single"/>
          <w14:textFill>
            <w14:solidFill>
              <w14:schemeClr w14:val="tx1"/>
            </w14:solidFill>
          </w14:textFill>
        </w:rPr>
        <w:t xml:space="preserve"> 叁  </w:t>
      </w:r>
      <w:r>
        <w:rPr>
          <w:rFonts w:hint="eastAsia" w:ascii="宋体" w:hAnsi="宋体" w:eastAsia="宋体" w:cs="宋体"/>
          <w:color w:val="000000" w:themeColor="text1"/>
          <w14:textFill>
            <w14:solidFill>
              <w14:schemeClr w14:val="tx1"/>
            </w14:solidFill>
          </w14:textFill>
        </w:rPr>
        <w:t>份，承包人执</w:t>
      </w:r>
      <w:r>
        <w:rPr>
          <w:rFonts w:hint="eastAsia" w:ascii="宋体" w:hAnsi="宋体" w:eastAsia="宋体" w:cs="宋体"/>
          <w:color w:val="000000" w:themeColor="text1"/>
          <w:u w:val="single"/>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份，分包人执</w:t>
      </w:r>
      <w:r>
        <w:rPr>
          <w:rFonts w:hint="eastAsia" w:ascii="宋体" w:hAnsi="宋体" w:eastAsia="宋体" w:cs="宋体"/>
          <w:color w:val="000000" w:themeColor="text1"/>
          <w:u w:val="single"/>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份。本合同经承包人、分包人双方加盖公章或合同专用章，法定代表人或其委托代理人签字或盖章生效。</w:t>
      </w:r>
    </w:p>
    <w:p>
      <w:pPr>
        <w:widowControl/>
        <w:jc w:val="left"/>
        <w:rPr>
          <w:rFonts w:eastAsia="仿宋_GB2312"/>
          <w:color w:val="000000" w:themeColor="text1"/>
          <w:kern w:val="0"/>
          <w:szCs w:val="32"/>
          <w14:textFill>
            <w14:solidFill>
              <w14:schemeClr w14:val="tx1"/>
            </w14:solidFill>
          </w14:textFill>
        </w:rPr>
      </w:pPr>
    </w:p>
    <w:p>
      <w:pPr>
        <w:pStyle w:val="52"/>
        <w:ind w:firstLine="0" w:firstLineChars="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（本页为签署页，无正文）</w:t>
      </w:r>
    </w:p>
    <w:p>
      <w:pPr>
        <w:pStyle w:val="52"/>
        <w:ind w:firstLine="0" w:firstLineChars="0"/>
        <w:rPr>
          <w:color w:val="000000" w:themeColor="text1"/>
          <w14:textFill>
            <w14:solidFill>
              <w14:schemeClr w14:val="tx1"/>
            </w14:solidFill>
          </w14:textFill>
        </w:rPr>
      </w:pPr>
    </w:p>
    <w:p>
      <w:pPr>
        <w:pStyle w:val="52"/>
        <w:ind w:firstLine="0" w:firstLineChars="0"/>
        <w:rPr>
          <w:color w:val="000000" w:themeColor="text1"/>
          <w14:textFill>
            <w14:solidFill>
              <w14:schemeClr w14:val="tx1"/>
            </w14:solidFill>
          </w14:textFill>
        </w:rPr>
      </w:pPr>
    </w:p>
    <w:p>
      <w:pPr>
        <w:pStyle w:val="113"/>
        <w:snapToGrid w:val="0"/>
        <w:spacing w:before="0" w:after="0" w:line="360" w:lineRule="auto"/>
        <w:ind w:left="0" w:right="244"/>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承包人（公章）：</w:t>
      </w:r>
      <w:r>
        <w:rPr>
          <w:rFonts w:hint="eastAsia" w:ascii="宋体" w:hAnsi="宋体" w:cs="宋体"/>
          <w:snapToGrid w:val="0"/>
          <w:color w:val="000000" w:themeColor="text1"/>
          <w:sz w:val="21"/>
          <w:szCs w:val="21"/>
          <w14:textFill>
            <w14:solidFill>
              <w14:schemeClr w14:val="tx1"/>
            </w14:solidFill>
          </w14:textFill>
        </w:rPr>
        <w:t xml:space="preserve">  </w:t>
      </w:r>
      <w:r>
        <w:rPr>
          <w:rFonts w:hint="eastAsia" w:ascii="宋体" w:hAnsi="宋体"/>
          <w:snapToGrid w:val="0"/>
          <w:color w:val="000000" w:themeColor="text1"/>
          <w:sz w:val="21"/>
          <w:szCs w:val="21"/>
          <w14:textFill>
            <w14:solidFill>
              <w14:schemeClr w14:val="tx1"/>
            </w14:solidFill>
          </w14:textFill>
        </w:rPr>
        <w:t xml:space="preserve">                   </w:t>
      </w:r>
    </w:p>
    <w:p>
      <w:pPr>
        <w:pStyle w:val="113"/>
        <w:snapToGrid w:val="0"/>
        <w:spacing w:before="0" w:after="0" w:line="360" w:lineRule="auto"/>
        <w:ind w:left="0" w:right="720"/>
        <w:rPr>
          <w:rFonts w:asci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 xml:space="preserve">地  址：                    </w:t>
      </w:r>
      <w:r>
        <w:rPr>
          <w:rFonts w:ascii="宋体" w:hAnsi="宋体"/>
          <w:snapToGrid w:val="0"/>
          <w:color w:val="000000" w:themeColor="text1"/>
          <w:sz w:val="21"/>
          <w:szCs w:val="21"/>
          <w14:textFill>
            <w14:solidFill>
              <w14:schemeClr w14:val="tx1"/>
            </w14:solidFill>
          </w14:textFill>
        </w:rPr>
        <w:t xml:space="preserve"> </w:t>
      </w:r>
      <w:r>
        <w:rPr>
          <w:rFonts w:hint="eastAsia" w:ascii="宋体" w:hAnsi="宋体"/>
          <w:snapToGrid w:val="0"/>
          <w:color w:val="000000" w:themeColor="text1"/>
          <w:sz w:val="21"/>
          <w:szCs w:val="21"/>
          <w14:textFill>
            <w14:solidFill>
              <w14:schemeClr w14:val="tx1"/>
            </w14:solidFill>
          </w14:textFill>
        </w:rPr>
        <w:t xml:space="preserve"> </w:t>
      </w:r>
    </w:p>
    <w:p>
      <w:pPr>
        <w:pStyle w:val="113"/>
        <w:snapToGrid w:val="0"/>
        <w:spacing w:before="0" w:after="0" w:line="360" w:lineRule="auto"/>
        <w:ind w:left="0" w:right="720"/>
        <w:rPr>
          <w:rFonts w:asci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 xml:space="preserve">法定代表人或委托代理人：                                     </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 xml:space="preserve">电  话：                                 </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开户银行：</w:t>
      </w:r>
    </w:p>
    <w:p>
      <w:pPr>
        <w:pStyle w:val="113"/>
        <w:snapToGrid w:val="0"/>
        <w:spacing w:before="0" w:after="0" w:line="360" w:lineRule="auto"/>
        <w:ind w:left="0" w:right="720"/>
        <w:rPr>
          <w:rFonts w:asci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账   号：</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 xml:space="preserve">签订日期：     年    月   日 </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 xml:space="preserve">分包人（公章）： </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地   址：</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法定代表人或委托代理人：</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电  话：</w:t>
      </w:r>
    </w:p>
    <w:p>
      <w:pPr>
        <w:pStyle w:val="113"/>
        <w:snapToGrid w:val="0"/>
        <w:spacing w:before="0" w:after="0" w:line="360" w:lineRule="auto"/>
        <w:ind w:left="0" w:right="720"/>
        <w:rPr>
          <w:rFonts w:asci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开 户 银 行：</w:t>
      </w:r>
    </w:p>
    <w:p>
      <w:pPr>
        <w:pStyle w:val="113"/>
        <w:snapToGrid w:val="0"/>
        <w:spacing w:before="0" w:after="0" w:line="360" w:lineRule="auto"/>
        <w:ind w:left="0" w:right="720"/>
        <w:rPr>
          <w:rFonts w:asci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 xml:space="preserve">账  号：                                </w:t>
      </w:r>
    </w:p>
    <w:p>
      <w:pPr>
        <w:pStyle w:val="113"/>
        <w:snapToGrid w:val="0"/>
        <w:spacing w:before="0" w:after="0" w:line="360" w:lineRule="auto"/>
        <w:ind w:left="0" w:right="720"/>
        <w:rPr>
          <w:rFonts w:ascii="宋体" w:hAnsi="宋体"/>
          <w:snapToGrid w:val="0"/>
          <w:color w:val="000000" w:themeColor="text1"/>
          <w:sz w:val="21"/>
          <w:szCs w:val="21"/>
          <w14:textFill>
            <w14:solidFill>
              <w14:schemeClr w14:val="tx1"/>
            </w14:solidFill>
          </w14:textFill>
        </w:rPr>
      </w:pPr>
    </w:p>
    <w:p>
      <w:pPr>
        <w:pStyle w:val="113"/>
        <w:snapToGrid w:val="0"/>
        <w:spacing w:before="0" w:after="0" w:line="360" w:lineRule="auto"/>
        <w:ind w:left="0" w:right="720"/>
        <w:rPr>
          <w:rFonts w:ascii="宋体"/>
          <w:snapToGrid w:val="0"/>
          <w:color w:val="000000" w:themeColor="text1"/>
          <w:sz w:val="21"/>
          <w:szCs w:val="21"/>
          <w14:textFill>
            <w14:solidFill>
              <w14:schemeClr w14:val="tx1"/>
            </w14:solidFill>
          </w14:textFill>
        </w:rPr>
      </w:pPr>
      <w:r>
        <w:rPr>
          <w:rFonts w:hint="eastAsia" w:ascii="宋体" w:hAnsi="宋体"/>
          <w:snapToGrid w:val="0"/>
          <w:color w:val="000000" w:themeColor="text1"/>
          <w:sz w:val="21"/>
          <w:szCs w:val="21"/>
          <w14:textFill>
            <w14:solidFill>
              <w14:schemeClr w14:val="tx1"/>
            </w14:solidFill>
          </w14:textFill>
        </w:rPr>
        <w:t>签订日期：     年    月   日</w:t>
      </w:r>
    </w:p>
    <w:p>
      <w:pPr>
        <w:pStyle w:val="52"/>
        <w:ind w:firstLine="0" w:firstLineChars="0"/>
        <w:rPr>
          <w:color w:val="000000" w:themeColor="text1"/>
          <w14:textFill>
            <w14:solidFill>
              <w14:schemeClr w14:val="tx1"/>
            </w14:solidFill>
          </w14:textFill>
        </w:rPr>
      </w:pPr>
    </w:p>
    <w:p>
      <w:pPr>
        <w:pStyle w:val="68"/>
        <w:rPr>
          <w:color w:val="000000" w:themeColor="text1"/>
          <w14:textFill>
            <w14:solidFill>
              <w14:schemeClr w14:val="tx1"/>
            </w14:solidFill>
          </w14:textFill>
        </w:rPr>
      </w:pPr>
      <w:r>
        <w:rPr>
          <w:color w:val="000000" w:themeColor="text1"/>
          <w14:textFill>
            <w14:solidFill>
              <w14:schemeClr w14:val="tx1"/>
            </w14:solidFill>
          </w14:textFill>
        </w:rPr>
        <w:br w:type="page"/>
      </w:r>
      <w:bookmarkStart w:id="37" w:name="_Toc402450437"/>
      <w:bookmarkStart w:id="38" w:name="_Toc44492406"/>
      <w:bookmarkStart w:id="39" w:name="_Toc44227949"/>
      <w:bookmarkStart w:id="40" w:name="_Toc27237"/>
      <w:bookmarkStart w:id="41" w:name="_Toc4504"/>
      <w:bookmarkStart w:id="42" w:name="_Toc1924"/>
      <w:bookmarkStart w:id="43" w:name="_Toc118446906"/>
      <w:bookmarkStart w:id="44" w:name="_Toc40186510"/>
      <w:r>
        <w:rPr>
          <w:rFonts w:hint="eastAsia"/>
          <w:color w:val="000000" w:themeColor="text1"/>
          <w14:textFill>
            <w14:solidFill>
              <w14:schemeClr w14:val="tx1"/>
            </w14:solidFill>
          </w14:textFill>
        </w:rPr>
        <w:t>第二部分 通用条款</w:t>
      </w:r>
      <w:bookmarkEnd w:id="37"/>
      <w:bookmarkEnd w:id="38"/>
      <w:bookmarkEnd w:id="39"/>
      <w:bookmarkEnd w:id="40"/>
      <w:bookmarkEnd w:id="41"/>
      <w:bookmarkEnd w:id="42"/>
      <w:bookmarkEnd w:id="43"/>
      <w:bookmarkEnd w:id="44"/>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bookmarkStart w:id="45" w:name="_Toc402450438"/>
      <w:r>
        <w:rPr>
          <w:rFonts w:hint="eastAsia" w:ascii="仿宋" w:hAnsi="仿宋" w:eastAsia="仿宋"/>
          <w:b w:val="0"/>
          <w:color w:val="000000" w:themeColor="text1"/>
          <w:szCs w:val="28"/>
          <w14:textFill>
            <w14:solidFill>
              <w14:schemeClr w14:val="tx1"/>
            </w14:solidFill>
          </w14:textFill>
        </w:rPr>
        <w:fldChar w:fldCharType="begin"/>
      </w:r>
      <w:r>
        <w:rPr>
          <w:rFonts w:hint="eastAsia" w:ascii="仿宋" w:hAnsi="仿宋" w:eastAsia="仿宋"/>
          <w:b w:val="0"/>
          <w:color w:val="000000" w:themeColor="text1"/>
          <w:szCs w:val="28"/>
          <w14:textFill>
            <w14:solidFill>
              <w14:schemeClr w14:val="tx1"/>
            </w14:solidFill>
          </w14:textFill>
        </w:rPr>
        <w:instrText xml:space="preserve"> TOC \b p2 \o "1-2" \h \z \u </w:instrText>
      </w:r>
      <w:r>
        <w:rPr>
          <w:rFonts w:hint="eastAsia" w:ascii="仿宋" w:hAnsi="仿宋" w:eastAsia="仿宋"/>
          <w:b w:val="0"/>
          <w:color w:val="000000" w:themeColor="text1"/>
          <w:szCs w:val="28"/>
          <w14:textFill>
            <w14:solidFill>
              <w14:schemeClr w14:val="tx1"/>
            </w14:solidFill>
          </w14:textFill>
        </w:rPr>
        <w:fldChar w:fldCharType="separate"/>
      </w:r>
      <w:r>
        <w:fldChar w:fldCharType="begin"/>
      </w:r>
      <w:r>
        <w:instrText xml:space="preserve"> HYPERLINK \l "_Toc91082293" </w:instrText>
      </w:r>
      <w:r>
        <w:fldChar w:fldCharType="separate"/>
      </w:r>
      <w:r>
        <w:rPr>
          <w:rStyle w:val="44"/>
          <w:b w:val="0"/>
          <w:color w:val="000000" w:themeColor="text1"/>
          <w:sz w:val="24"/>
          <w:szCs w:val="24"/>
          <w14:textFill>
            <w14:solidFill>
              <w14:schemeClr w14:val="tx1"/>
            </w14:solidFill>
          </w14:textFill>
        </w:rPr>
        <w:t>1.</w:t>
      </w:r>
      <w:r>
        <w:rPr>
          <w:rStyle w:val="44"/>
          <w:rFonts w:hint="eastAsia"/>
          <w:b w:val="0"/>
          <w:color w:val="000000" w:themeColor="text1"/>
          <w:sz w:val="24"/>
          <w:szCs w:val="24"/>
          <w14:textFill>
            <w14:solidFill>
              <w14:schemeClr w14:val="tx1"/>
            </w14:solidFill>
          </w14:textFill>
        </w:rPr>
        <w:t>一般约定</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_Toc91082293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9</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"_Toc91082294" </w:instrText>
      </w:r>
      <w:r>
        <w:fldChar w:fldCharType="separate"/>
      </w:r>
      <w:r>
        <w:rPr>
          <w:rStyle w:val="44"/>
          <w:b w:val="0"/>
          <w:color w:val="000000" w:themeColor="text1"/>
          <w:sz w:val="24"/>
          <w:szCs w:val="24"/>
          <w14:textFill>
            <w14:solidFill>
              <w14:schemeClr w14:val="tx1"/>
            </w14:solidFill>
          </w14:textFill>
        </w:rPr>
        <w:t>2.</w:t>
      </w:r>
      <w:r>
        <w:rPr>
          <w:rStyle w:val="44"/>
          <w:rFonts w:hint="eastAsia"/>
          <w:b w:val="0"/>
          <w:color w:val="000000" w:themeColor="text1"/>
          <w:sz w:val="24"/>
          <w:szCs w:val="24"/>
          <w14:textFill>
            <w14:solidFill>
              <w14:schemeClr w14:val="tx1"/>
            </w14:solidFill>
          </w14:textFill>
        </w:rPr>
        <w:t>承包人</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_Toc91082294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14</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"_Toc91082295" </w:instrText>
      </w:r>
      <w:r>
        <w:fldChar w:fldCharType="separate"/>
      </w:r>
      <w:r>
        <w:rPr>
          <w:rStyle w:val="44"/>
          <w:b w:val="0"/>
          <w:color w:val="000000" w:themeColor="text1"/>
          <w:sz w:val="24"/>
          <w:szCs w:val="24"/>
          <w14:textFill>
            <w14:solidFill>
              <w14:schemeClr w14:val="tx1"/>
            </w14:solidFill>
          </w14:textFill>
        </w:rPr>
        <w:t>3.</w:t>
      </w:r>
      <w:r>
        <w:rPr>
          <w:rStyle w:val="44"/>
          <w:rFonts w:hint="eastAsia"/>
          <w:b w:val="0"/>
          <w:color w:val="000000" w:themeColor="text1"/>
          <w:sz w:val="24"/>
          <w:szCs w:val="24"/>
          <w14:textFill>
            <w14:solidFill>
              <w14:schemeClr w14:val="tx1"/>
            </w14:solidFill>
          </w14:textFill>
        </w:rPr>
        <w:t>监理人及造价咨询人</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_Toc91082295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15</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"_Toc91082296" </w:instrText>
      </w:r>
      <w:r>
        <w:fldChar w:fldCharType="separate"/>
      </w:r>
      <w:r>
        <w:rPr>
          <w:rStyle w:val="44"/>
          <w:b w:val="0"/>
          <w:color w:val="000000" w:themeColor="text1"/>
          <w:sz w:val="24"/>
          <w:szCs w:val="24"/>
          <w14:textFill>
            <w14:solidFill>
              <w14:schemeClr w14:val="tx1"/>
            </w14:solidFill>
          </w14:textFill>
        </w:rPr>
        <w:t>4.</w:t>
      </w:r>
      <w:r>
        <w:rPr>
          <w:rStyle w:val="44"/>
          <w:rFonts w:hint="eastAsia"/>
          <w:b w:val="0"/>
          <w:color w:val="000000" w:themeColor="text1"/>
          <w:sz w:val="24"/>
          <w:szCs w:val="24"/>
          <w14:textFill>
            <w14:solidFill>
              <w14:schemeClr w14:val="tx1"/>
            </w14:solidFill>
          </w14:textFill>
        </w:rPr>
        <w:t>分包人</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_Toc91082296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16</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"_Toc91082297" </w:instrText>
      </w:r>
      <w:r>
        <w:fldChar w:fldCharType="separate"/>
      </w:r>
      <w:r>
        <w:rPr>
          <w:rStyle w:val="44"/>
          <w:b w:val="0"/>
          <w:color w:val="000000" w:themeColor="text1"/>
          <w:sz w:val="24"/>
          <w:szCs w:val="24"/>
          <w14:textFill>
            <w14:solidFill>
              <w14:schemeClr w14:val="tx1"/>
            </w14:solidFill>
          </w14:textFill>
        </w:rPr>
        <w:t>5.</w:t>
      </w:r>
      <w:r>
        <w:rPr>
          <w:rStyle w:val="44"/>
          <w:rFonts w:hint="eastAsia"/>
          <w:b w:val="0"/>
          <w:color w:val="000000" w:themeColor="text1"/>
          <w:sz w:val="24"/>
          <w:szCs w:val="24"/>
          <w14:textFill>
            <w14:solidFill>
              <w14:schemeClr w14:val="tx1"/>
            </w14:solidFill>
          </w14:textFill>
        </w:rPr>
        <w:t>材料和工程设备</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_Toc91082297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20</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"_Toc91082298" </w:instrText>
      </w:r>
      <w:r>
        <w:fldChar w:fldCharType="separate"/>
      </w:r>
      <w:r>
        <w:rPr>
          <w:rStyle w:val="44"/>
          <w:b w:val="0"/>
          <w:color w:val="000000" w:themeColor="text1"/>
          <w:sz w:val="24"/>
          <w:szCs w:val="24"/>
          <w14:textFill>
            <w14:solidFill>
              <w14:schemeClr w14:val="tx1"/>
            </w14:solidFill>
          </w14:textFill>
        </w:rPr>
        <w:t>6.</w:t>
      </w:r>
      <w:r>
        <w:rPr>
          <w:rStyle w:val="44"/>
          <w:rFonts w:hint="eastAsia"/>
          <w:b w:val="0"/>
          <w:color w:val="000000" w:themeColor="text1"/>
          <w:sz w:val="24"/>
          <w:szCs w:val="24"/>
          <w14:textFill>
            <w14:solidFill>
              <w14:schemeClr w14:val="tx1"/>
            </w14:solidFill>
          </w14:textFill>
        </w:rPr>
        <w:t>施工设备和临时设施</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_Toc91082298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23</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"_Toc91082299" </w:instrText>
      </w:r>
      <w:r>
        <w:fldChar w:fldCharType="separate"/>
      </w:r>
      <w:r>
        <w:rPr>
          <w:rStyle w:val="44"/>
          <w:b w:val="0"/>
          <w:color w:val="000000" w:themeColor="text1"/>
          <w:sz w:val="24"/>
          <w:szCs w:val="24"/>
          <w14:textFill>
            <w14:solidFill>
              <w14:schemeClr w14:val="tx1"/>
            </w14:solidFill>
          </w14:textFill>
        </w:rPr>
        <w:t>7.</w:t>
      </w:r>
      <w:r>
        <w:rPr>
          <w:rStyle w:val="44"/>
          <w:rFonts w:hint="eastAsia"/>
          <w:b w:val="0"/>
          <w:color w:val="000000" w:themeColor="text1"/>
          <w:sz w:val="24"/>
          <w:szCs w:val="24"/>
          <w14:textFill>
            <w14:solidFill>
              <w14:schemeClr w14:val="tx1"/>
            </w14:solidFill>
          </w14:textFill>
        </w:rPr>
        <w:t>交通运输</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_Toc91082299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23</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"_Toc91082300" </w:instrText>
      </w:r>
      <w:r>
        <w:fldChar w:fldCharType="separate"/>
      </w:r>
      <w:r>
        <w:rPr>
          <w:rStyle w:val="44"/>
          <w:b w:val="0"/>
          <w:color w:val="000000" w:themeColor="text1"/>
          <w:sz w:val="24"/>
          <w:szCs w:val="24"/>
          <w14:textFill>
            <w14:solidFill>
              <w14:schemeClr w14:val="tx1"/>
            </w14:solidFill>
          </w14:textFill>
        </w:rPr>
        <w:t>8.</w:t>
      </w:r>
      <w:r>
        <w:rPr>
          <w:rStyle w:val="44"/>
          <w:rFonts w:hint="eastAsia"/>
          <w:b w:val="0"/>
          <w:color w:val="000000" w:themeColor="text1"/>
          <w:sz w:val="24"/>
          <w:szCs w:val="24"/>
          <w14:textFill>
            <w14:solidFill>
              <w14:schemeClr w14:val="tx1"/>
            </w14:solidFill>
          </w14:textFill>
        </w:rPr>
        <w:t>测量放线</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_Toc91082300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24</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"_Toc91082301" </w:instrText>
      </w:r>
      <w:r>
        <w:fldChar w:fldCharType="separate"/>
      </w:r>
      <w:r>
        <w:rPr>
          <w:rStyle w:val="44"/>
          <w:b w:val="0"/>
          <w:color w:val="000000" w:themeColor="text1"/>
          <w:sz w:val="24"/>
          <w:szCs w:val="24"/>
          <w14:textFill>
            <w14:solidFill>
              <w14:schemeClr w14:val="tx1"/>
            </w14:solidFill>
          </w14:textFill>
        </w:rPr>
        <w:t>9.</w:t>
      </w:r>
      <w:r>
        <w:rPr>
          <w:rStyle w:val="44"/>
          <w:rFonts w:hint="eastAsia"/>
          <w:b w:val="0"/>
          <w:color w:val="000000" w:themeColor="text1"/>
          <w:sz w:val="24"/>
          <w:szCs w:val="24"/>
          <w14:textFill>
            <w14:solidFill>
              <w14:schemeClr w14:val="tx1"/>
            </w14:solidFill>
          </w14:textFill>
        </w:rPr>
        <w:t>施工安全、治安保卫和环境保护</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_Toc91082301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24</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"_Toc91082302" </w:instrText>
      </w:r>
      <w:r>
        <w:fldChar w:fldCharType="separate"/>
      </w:r>
      <w:r>
        <w:rPr>
          <w:rStyle w:val="44"/>
          <w:b w:val="0"/>
          <w:color w:val="000000" w:themeColor="text1"/>
          <w:sz w:val="24"/>
          <w:szCs w:val="24"/>
          <w14:textFill>
            <w14:solidFill>
              <w14:schemeClr w14:val="tx1"/>
            </w14:solidFill>
          </w14:textFill>
        </w:rPr>
        <w:t>10.</w:t>
      </w:r>
      <w:r>
        <w:rPr>
          <w:rStyle w:val="44"/>
          <w:rFonts w:hint="eastAsia"/>
          <w:b w:val="0"/>
          <w:color w:val="000000" w:themeColor="text1"/>
          <w:sz w:val="24"/>
          <w:szCs w:val="24"/>
          <w14:textFill>
            <w14:solidFill>
              <w14:schemeClr w14:val="tx1"/>
            </w14:solidFill>
          </w14:textFill>
        </w:rPr>
        <w:t>进度计划</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_Toc91082302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25</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"_Toc91082303" </w:instrText>
      </w:r>
      <w:r>
        <w:fldChar w:fldCharType="separate"/>
      </w:r>
      <w:r>
        <w:rPr>
          <w:rStyle w:val="44"/>
          <w:b w:val="0"/>
          <w:color w:val="000000" w:themeColor="text1"/>
          <w:sz w:val="24"/>
          <w:szCs w:val="24"/>
          <w14:textFill>
            <w14:solidFill>
              <w14:schemeClr w14:val="tx1"/>
            </w14:solidFill>
          </w14:textFill>
        </w:rPr>
        <w:t>11.</w:t>
      </w:r>
      <w:r>
        <w:rPr>
          <w:rStyle w:val="44"/>
          <w:rFonts w:hint="eastAsia"/>
          <w:b w:val="0"/>
          <w:color w:val="000000" w:themeColor="text1"/>
          <w:sz w:val="24"/>
          <w:szCs w:val="24"/>
          <w14:textFill>
            <w14:solidFill>
              <w14:schemeClr w14:val="tx1"/>
            </w14:solidFill>
          </w14:textFill>
        </w:rPr>
        <w:t>开工和竣工</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_Toc91082303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27</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"_Toc91082304" </w:instrText>
      </w:r>
      <w:r>
        <w:fldChar w:fldCharType="separate"/>
      </w:r>
      <w:r>
        <w:rPr>
          <w:rStyle w:val="44"/>
          <w:b w:val="0"/>
          <w:color w:val="000000" w:themeColor="text1"/>
          <w:sz w:val="24"/>
          <w:szCs w:val="24"/>
          <w14:textFill>
            <w14:solidFill>
              <w14:schemeClr w14:val="tx1"/>
            </w14:solidFill>
          </w14:textFill>
        </w:rPr>
        <w:t>12.</w:t>
      </w:r>
      <w:r>
        <w:rPr>
          <w:rStyle w:val="44"/>
          <w:rFonts w:hint="eastAsia"/>
          <w:b w:val="0"/>
          <w:color w:val="000000" w:themeColor="text1"/>
          <w:sz w:val="24"/>
          <w:szCs w:val="24"/>
          <w14:textFill>
            <w14:solidFill>
              <w14:schemeClr w14:val="tx1"/>
            </w14:solidFill>
          </w14:textFill>
        </w:rPr>
        <w:t>暂停施工</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_Toc91082304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28</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"_Toc91082305" </w:instrText>
      </w:r>
      <w:r>
        <w:fldChar w:fldCharType="separate"/>
      </w:r>
      <w:r>
        <w:rPr>
          <w:rStyle w:val="44"/>
          <w:b w:val="0"/>
          <w:color w:val="000000" w:themeColor="text1"/>
          <w:sz w:val="24"/>
          <w:szCs w:val="24"/>
          <w14:textFill>
            <w14:solidFill>
              <w14:schemeClr w14:val="tx1"/>
            </w14:solidFill>
          </w14:textFill>
        </w:rPr>
        <w:t>13.</w:t>
      </w:r>
      <w:r>
        <w:rPr>
          <w:rStyle w:val="44"/>
          <w:rFonts w:hint="eastAsia"/>
          <w:b w:val="0"/>
          <w:color w:val="000000" w:themeColor="text1"/>
          <w:sz w:val="24"/>
          <w:szCs w:val="24"/>
          <w14:textFill>
            <w14:solidFill>
              <w14:schemeClr w14:val="tx1"/>
            </w14:solidFill>
          </w14:textFill>
        </w:rPr>
        <w:t>工程质量</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_Toc91082305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29</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"_Toc91082306" </w:instrText>
      </w:r>
      <w:r>
        <w:fldChar w:fldCharType="separate"/>
      </w:r>
      <w:r>
        <w:rPr>
          <w:rStyle w:val="44"/>
          <w:b w:val="0"/>
          <w:color w:val="000000" w:themeColor="text1"/>
          <w:sz w:val="24"/>
          <w:szCs w:val="24"/>
          <w14:textFill>
            <w14:solidFill>
              <w14:schemeClr w14:val="tx1"/>
            </w14:solidFill>
          </w14:textFill>
        </w:rPr>
        <w:t>14.</w:t>
      </w:r>
      <w:r>
        <w:rPr>
          <w:rStyle w:val="44"/>
          <w:rFonts w:hint="eastAsia"/>
          <w:b w:val="0"/>
          <w:color w:val="000000" w:themeColor="text1"/>
          <w:sz w:val="24"/>
          <w:szCs w:val="24"/>
          <w14:textFill>
            <w14:solidFill>
              <w14:schemeClr w14:val="tx1"/>
            </w14:solidFill>
          </w14:textFill>
        </w:rPr>
        <w:t>试验和检验</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_Toc91082306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30</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"_Toc91082307" </w:instrText>
      </w:r>
      <w:r>
        <w:fldChar w:fldCharType="separate"/>
      </w:r>
      <w:r>
        <w:rPr>
          <w:rStyle w:val="44"/>
          <w:b w:val="0"/>
          <w:color w:val="000000" w:themeColor="text1"/>
          <w:sz w:val="24"/>
          <w:szCs w:val="24"/>
          <w14:textFill>
            <w14:solidFill>
              <w14:schemeClr w14:val="tx1"/>
            </w14:solidFill>
          </w14:textFill>
        </w:rPr>
        <w:t>15.</w:t>
      </w:r>
      <w:r>
        <w:rPr>
          <w:rStyle w:val="44"/>
          <w:rFonts w:hint="eastAsia"/>
          <w:b w:val="0"/>
          <w:color w:val="000000" w:themeColor="text1"/>
          <w:sz w:val="24"/>
          <w:szCs w:val="24"/>
          <w14:textFill>
            <w14:solidFill>
              <w14:schemeClr w14:val="tx1"/>
            </w14:solidFill>
          </w14:textFill>
        </w:rPr>
        <w:t>变更</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_Toc91082307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31</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"_Toc91082308" </w:instrText>
      </w:r>
      <w:r>
        <w:fldChar w:fldCharType="separate"/>
      </w:r>
      <w:r>
        <w:rPr>
          <w:rStyle w:val="44"/>
          <w:b w:val="0"/>
          <w:color w:val="000000" w:themeColor="text1"/>
          <w:sz w:val="24"/>
          <w:szCs w:val="24"/>
          <w14:textFill>
            <w14:solidFill>
              <w14:schemeClr w14:val="tx1"/>
            </w14:solidFill>
          </w14:textFill>
        </w:rPr>
        <w:t>16.</w:t>
      </w:r>
      <w:r>
        <w:rPr>
          <w:rStyle w:val="44"/>
          <w:rFonts w:hint="eastAsia"/>
          <w:b w:val="0"/>
          <w:color w:val="000000" w:themeColor="text1"/>
          <w:sz w:val="24"/>
          <w:szCs w:val="24"/>
          <w14:textFill>
            <w14:solidFill>
              <w14:schemeClr w14:val="tx1"/>
            </w14:solidFill>
          </w14:textFill>
        </w:rPr>
        <w:t>价格调整</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_Toc91082308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32</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"_Toc91082309" </w:instrText>
      </w:r>
      <w:r>
        <w:fldChar w:fldCharType="separate"/>
      </w:r>
      <w:r>
        <w:rPr>
          <w:rStyle w:val="44"/>
          <w:b w:val="0"/>
          <w:color w:val="000000" w:themeColor="text1"/>
          <w:sz w:val="24"/>
          <w:szCs w:val="24"/>
          <w14:textFill>
            <w14:solidFill>
              <w14:schemeClr w14:val="tx1"/>
            </w14:solidFill>
          </w14:textFill>
        </w:rPr>
        <w:t>17.</w:t>
      </w:r>
      <w:r>
        <w:rPr>
          <w:rStyle w:val="44"/>
          <w:rFonts w:hint="eastAsia"/>
          <w:b w:val="0"/>
          <w:color w:val="000000" w:themeColor="text1"/>
          <w:sz w:val="24"/>
          <w:szCs w:val="24"/>
          <w14:textFill>
            <w14:solidFill>
              <w14:schemeClr w14:val="tx1"/>
            </w14:solidFill>
          </w14:textFill>
        </w:rPr>
        <w:t>计量与支付</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_Toc91082309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32</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"_Toc91082310" </w:instrText>
      </w:r>
      <w:r>
        <w:fldChar w:fldCharType="separate"/>
      </w:r>
      <w:r>
        <w:rPr>
          <w:rStyle w:val="44"/>
          <w:b w:val="0"/>
          <w:color w:val="000000" w:themeColor="text1"/>
          <w:sz w:val="24"/>
          <w:szCs w:val="24"/>
          <w14:textFill>
            <w14:solidFill>
              <w14:schemeClr w14:val="tx1"/>
            </w14:solidFill>
          </w14:textFill>
        </w:rPr>
        <w:t>18.</w:t>
      </w:r>
      <w:r>
        <w:rPr>
          <w:rStyle w:val="44"/>
          <w:rFonts w:hint="eastAsia"/>
          <w:b w:val="0"/>
          <w:color w:val="000000" w:themeColor="text1"/>
          <w:sz w:val="24"/>
          <w:szCs w:val="24"/>
          <w14:textFill>
            <w14:solidFill>
              <w14:schemeClr w14:val="tx1"/>
            </w14:solidFill>
          </w14:textFill>
        </w:rPr>
        <w:t>竣工验收</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_Toc91082310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35</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"_Toc91082311" </w:instrText>
      </w:r>
      <w:r>
        <w:fldChar w:fldCharType="separate"/>
      </w:r>
      <w:r>
        <w:rPr>
          <w:rStyle w:val="44"/>
          <w:b w:val="0"/>
          <w:color w:val="000000" w:themeColor="text1"/>
          <w:sz w:val="24"/>
          <w:szCs w:val="24"/>
          <w14:textFill>
            <w14:solidFill>
              <w14:schemeClr w14:val="tx1"/>
            </w14:solidFill>
          </w14:textFill>
        </w:rPr>
        <w:t>19.</w:t>
      </w:r>
      <w:r>
        <w:rPr>
          <w:rStyle w:val="44"/>
          <w:rFonts w:hint="eastAsia"/>
          <w:b w:val="0"/>
          <w:color w:val="000000" w:themeColor="text1"/>
          <w:sz w:val="24"/>
          <w:szCs w:val="24"/>
          <w14:textFill>
            <w14:solidFill>
              <w14:schemeClr w14:val="tx1"/>
            </w14:solidFill>
          </w14:textFill>
        </w:rPr>
        <w:t>缺陷责任与保修</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_Toc91082311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37</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"_Toc91082312" </w:instrText>
      </w:r>
      <w:r>
        <w:fldChar w:fldCharType="separate"/>
      </w:r>
      <w:r>
        <w:rPr>
          <w:rStyle w:val="44"/>
          <w:b w:val="0"/>
          <w:color w:val="000000" w:themeColor="text1"/>
          <w:sz w:val="24"/>
          <w:szCs w:val="24"/>
          <w14:textFill>
            <w14:solidFill>
              <w14:schemeClr w14:val="tx1"/>
            </w14:solidFill>
          </w14:textFill>
        </w:rPr>
        <w:t>20.</w:t>
      </w:r>
      <w:r>
        <w:rPr>
          <w:rStyle w:val="44"/>
          <w:rFonts w:hint="eastAsia"/>
          <w:b w:val="0"/>
          <w:color w:val="000000" w:themeColor="text1"/>
          <w:sz w:val="24"/>
          <w:szCs w:val="24"/>
          <w14:textFill>
            <w14:solidFill>
              <w14:schemeClr w14:val="tx1"/>
            </w14:solidFill>
          </w14:textFill>
        </w:rPr>
        <w:t>保险</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_Toc91082312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39</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"_Toc91082313" </w:instrText>
      </w:r>
      <w:r>
        <w:fldChar w:fldCharType="separate"/>
      </w:r>
      <w:r>
        <w:rPr>
          <w:rStyle w:val="44"/>
          <w:b w:val="0"/>
          <w:color w:val="000000" w:themeColor="text1"/>
          <w:sz w:val="24"/>
          <w:szCs w:val="24"/>
          <w14:textFill>
            <w14:solidFill>
              <w14:schemeClr w14:val="tx1"/>
            </w14:solidFill>
          </w14:textFill>
        </w:rPr>
        <w:t>21.</w:t>
      </w:r>
      <w:r>
        <w:rPr>
          <w:rStyle w:val="44"/>
          <w:rFonts w:hint="eastAsia"/>
          <w:b w:val="0"/>
          <w:color w:val="000000" w:themeColor="text1"/>
          <w:sz w:val="24"/>
          <w:szCs w:val="24"/>
          <w14:textFill>
            <w14:solidFill>
              <w14:schemeClr w14:val="tx1"/>
            </w14:solidFill>
          </w14:textFill>
        </w:rPr>
        <w:t>不可抗力</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_Toc91082313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40</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"_Toc91082314" </w:instrText>
      </w:r>
      <w:r>
        <w:fldChar w:fldCharType="separate"/>
      </w:r>
      <w:r>
        <w:rPr>
          <w:rStyle w:val="44"/>
          <w:b w:val="0"/>
          <w:color w:val="000000" w:themeColor="text1"/>
          <w:sz w:val="24"/>
          <w:szCs w:val="24"/>
          <w14:textFill>
            <w14:solidFill>
              <w14:schemeClr w14:val="tx1"/>
            </w14:solidFill>
          </w14:textFill>
        </w:rPr>
        <w:t>22.</w:t>
      </w:r>
      <w:r>
        <w:rPr>
          <w:rStyle w:val="44"/>
          <w:rFonts w:hint="eastAsia"/>
          <w:b w:val="0"/>
          <w:color w:val="000000" w:themeColor="text1"/>
          <w:sz w:val="24"/>
          <w:szCs w:val="24"/>
          <w14:textFill>
            <w14:solidFill>
              <w14:schemeClr w14:val="tx1"/>
            </w14:solidFill>
          </w14:textFill>
        </w:rPr>
        <w:t>违约</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_Toc91082314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41</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"_Toc91082315" </w:instrText>
      </w:r>
      <w:r>
        <w:fldChar w:fldCharType="separate"/>
      </w:r>
      <w:r>
        <w:rPr>
          <w:rStyle w:val="44"/>
          <w:b w:val="0"/>
          <w:color w:val="000000" w:themeColor="text1"/>
          <w:sz w:val="24"/>
          <w:szCs w:val="24"/>
          <w14:textFill>
            <w14:solidFill>
              <w14:schemeClr w14:val="tx1"/>
            </w14:solidFill>
          </w14:textFill>
        </w:rPr>
        <w:t>23.</w:t>
      </w:r>
      <w:r>
        <w:rPr>
          <w:rStyle w:val="44"/>
          <w:rFonts w:hint="eastAsia"/>
          <w:b w:val="0"/>
          <w:color w:val="000000" w:themeColor="text1"/>
          <w:sz w:val="24"/>
          <w:szCs w:val="24"/>
          <w14:textFill>
            <w14:solidFill>
              <w14:schemeClr w14:val="tx1"/>
            </w14:solidFill>
          </w14:textFill>
        </w:rPr>
        <w:t>争议的解决</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_Toc91082315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42</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52"/>
        <w:adjustRightInd/>
        <w:spacing w:line="440" w:lineRule="exact"/>
        <w:ind w:firstLine="0" w:firstLineChars="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sz w:val="28"/>
          <w:szCs w:val="28"/>
          <w14:textFill>
            <w14:solidFill>
              <w14:schemeClr w14:val="tx1"/>
            </w14:solidFill>
          </w14:textFill>
        </w:rPr>
        <w:fldChar w:fldCharType="end"/>
      </w:r>
    </w:p>
    <w:p>
      <w:pPr>
        <w:pStyle w:val="52"/>
        <w:ind w:firstLine="0" w:firstLineChars="0"/>
        <w:rPr>
          <w:rFonts w:ascii="仿宋" w:hAnsi="仿宋" w:eastAsia="仿宋"/>
          <w:color w:val="000000" w:themeColor="text1"/>
          <w14:textFill>
            <w14:solidFill>
              <w14:schemeClr w14:val="tx1"/>
            </w14:solidFill>
          </w14:textFill>
        </w:rPr>
      </w:pPr>
    </w:p>
    <w:p>
      <w:pPr>
        <w:pStyle w:val="73"/>
        <w:rPr>
          <w:color w:val="000000" w:themeColor="text1"/>
          <w14:textFill>
            <w14:solidFill>
              <w14:schemeClr w14:val="tx1"/>
            </w14:solidFill>
          </w14:textFill>
        </w:rPr>
      </w:pPr>
      <w:r>
        <w:rPr>
          <w:color w:val="000000" w:themeColor="text1"/>
          <w14:textFill>
            <w14:solidFill>
              <w14:schemeClr w14:val="tx1"/>
            </w14:solidFill>
          </w14:textFill>
        </w:rPr>
        <w:br w:type="page"/>
      </w:r>
      <w:bookmarkStart w:id="46" w:name="_Toc2981"/>
      <w:bookmarkStart w:id="47" w:name="_Toc25459"/>
      <w:bookmarkStart w:id="48" w:name="_Toc91082293"/>
      <w:bookmarkStart w:id="49" w:name="_Toc407355994"/>
      <w:bookmarkStart w:id="50" w:name="_Toc47512231"/>
      <w:bookmarkStart w:id="51" w:name="_Toc44227982"/>
      <w:bookmarkStart w:id="52" w:name="_Toc44492407"/>
      <w:bookmarkStart w:id="53" w:name="p2"/>
      <w:r>
        <w:rPr>
          <w:rFonts w:hint="eastAsia"/>
          <w:color w:val="000000" w:themeColor="text1"/>
          <w14:textFill>
            <w14:solidFill>
              <w14:schemeClr w14:val="tx1"/>
            </w14:solidFill>
          </w14:textFill>
        </w:rPr>
        <w:t>1.一般约定</w:t>
      </w:r>
      <w:bookmarkEnd w:id="45"/>
      <w:bookmarkEnd w:id="46"/>
      <w:bookmarkEnd w:id="47"/>
      <w:bookmarkEnd w:id="48"/>
      <w:bookmarkEnd w:id="49"/>
      <w:bookmarkEnd w:id="50"/>
      <w:bookmarkEnd w:id="51"/>
      <w:bookmarkEnd w:id="52"/>
    </w:p>
    <w:p>
      <w:pPr>
        <w:pStyle w:val="77"/>
        <w:ind w:firstLine="480"/>
        <w:rPr>
          <w:color w:val="000000" w:themeColor="text1"/>
          <w14:textFill>
            <w14:solidFill>
              <w14:schemeClr w14:val="tx1"/>
            </w14:solidFill>
          </w14:textFill>
        </w:rPr>
      </w:pPr>
      <w:bookmarkStart w:id="54" w:name="_Toc23169"/>
      <w:bookmarkStart w:id="55" w:name="_Toc44492408"/>
      <w:bookmarkStart w:id="56" w:name="_Toc11898"/>
      <w:r>
        <w:rPr>
          <w:rFonts w:hint="eastAsia"/>
          <w:color w:val="000000" w:themeColor="text1"/>
          <w14:textFill>
            <w14:solidFill>
              <w14:schemeClr w14:val="tx1"/>
            </w14:solidFill>
          </w14:textFill>
        </w:rPr>
        <w:t>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词语定义</w:t>
      </w:r>
      <w:bookmarkEnd w:id="54"/>
      <w:bookmarkEnd w:id="55"/>
      <w:bookmarkEnd w:id="5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下列词语除专用条款另有约定外，应具有本条所赋予的定义：</w:t>
      </w:r>
    </w:p>
    <w:p>
      <w:pPr>
        <w:pStyle w:val="75"/>
        <w:ind w:firstLine="422"/>
        <w:rPr>
          <w:color w:val="000000" w:themeColor="text1"/>
          <w14:textFill>
            <w14:solidFill>
              <w14:schemeClr w14:val="tx1"/>
            </w14:solidFill>
          </w14:textFill>
        </w:rPr>
      </w:pPr>
      <w:bookmarkStart w:id="57" w:name="_Toc20030"/>
      <w:r>
        <w:rPr>
          <w:rFonts w:hint="eastAsia"/>
          <w:color w:val="000000" w:themeColor="text1"/>
          <w14:textFill>
            <w14:solidFill>
              <w14:schemeClr w14:val="tx1"/>
            </w14:solidFill>
          </w14:textFill>
        </w:rPr>
        <w:t>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w:t>
      </w:r>
      <w:bookmarkEnd w:id="5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合同文件（或称合同或本合同）：指协议书、补充合同、通用条款、专用条款、合同附件、图纸、已标价工程量及单价清单、招标文件、投标文件以及经双方认可的其他有关书面文件。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技术标准和要求：是指构成合同的、施工应当遵守的或指导施工的国家、行业或地方的技术标准和要求，以及合同约定的技术标准和要求。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图纸：指包含在合同中的工程图纸，以及合同履行中由发包人按合同约定提供或批准的任何补充和修改的图纸，包括配套的说明等。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已标价工程量清单：指构成投标文件组成部分的由分包人按照规定的格式和要求填写并标明价格的工程量清单。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中标通知书：指发包人/承包人通知分包人中标的函件。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投标函：指构成投标文件组成部分的由分包人填写并签署的投标函。</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投标函附录：指附在投标函后构成合同文件的投标函附录。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8）签证：指合同双方就当事人在施工过程中涉及的责任事件所作的签认证明，该证明须经发包人及监理人确认。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9）变更：指图纸、技术标准和要求在设计、质量或数量上的改变包括工作的增减、变化、更换以及因发包人原因造成的施工条件的改变</w:t>
      </w:r>
      <w:r>
        <w:rPr>
          <w:color w:val="000000" w:themeColor="text1"/>
          <w14:textFill>
            <w14:solidFill>
              <w14:schemeClr w14:val="tx1"/>
            </w14:solidFill>
          </w14:textFill>
        </w:rPr>
        <w:t>。</w:t>
      </w:r>
    </w:p>
    <w:p>
      <w:pPr>
        <w:pStyle w:val="75"/>
        <w:ind w:firstLine="422"/>
        <w:rPr>
          <w:color w:val="000000" w:themeColor="text1"/>
          <w14:textFill>
            <w14:solidFill>
              <w14:schemeClr w14:val="tx1"/>
            </w14:solidFill>
          </w14:textFill>
        </w:rPr>
      </w:pPr>
      <w:bookmarkStart w:id="58" w:name="_Toc16917"/>
      <w:r>
        <w:rPr>
          <w:rFonts w:hint="eastAsia"/>
          <w:color w:val="000000" w:themeColor="text1"/>
          <w14:textFill>
            <w14:solidFill>
              <w14:schemeClr w14:val="tx1"/>
            </w14:solidFill>
          </w14:textFill>
        </w:rPr>
        <w:t>1.1.2.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合同当事人和人员</w:t>
      </w:r>
      <w:bookmarkEnd w:id="5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合同当事人:指承包人和（或）分包人。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发包人：指与承包人签订总承包合同的当事人。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发包人代表：指在总承包合同专用条款中指定的，由发包人任命并派驻施工场地,在发包人授权的权限内行使发包人权利的代表。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4)承包人：指与发包人签订总承包合同，并与分包人签订本专业承包合同的当事人。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5)承包人项目经理：指在专用条款中指明的，由承包人派驻施工现场，负责总承包施工管理的代表。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分包人：指与承包人签订本专业承包合同的当事人。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分包人项目经理：指在专用条款中指明的，分包人派驻施工现场，负责本专业承包工程的施工管理的负责人。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监理人：指受发包人委托对合同履行实施管理的法人或其他组织。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总监理工程师（监理总监）：指经发包人同意后由监理人委派，代表监理人履行监理合同的现场负责人。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造价咨询人：指发包人委托的负责本工程造价控制和管理的组织，以及取得该组织资格的合法继承人。</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设计人：指与发包人签订针对本工程设计合同的法人或其他组织。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顾问：指与发包人签订针对本工程顾问服务的法人或其他组织。</w:t>
      </w:r>
    </w:p>
    <w:p>
      <w:pPr>
        <w:pStyle w:val="75"/>
        <w:ind w:firstLine="422"/>
        <w:rPr>
          <w:color w:val="000000" w:themeColor="text1"/>
          <w14:textFill>
            <w14:solidFill>
              <w14:schemeClr w14:val="tx1"/>
            </w14:solidFill>
          </w14:textFill>
        </w:rPr>
      </w:pPr>
      <w:bookmarkStart w:id="59" w:name="_Toc11288"/>
      <w:r>
        <w:rPr>
          <w:rFonts w:hint="eastAsia"/>
          <w:color w:val="000000" w:themeColor="text1"/>
          <w14:textFill>
            <w14:solidFill>
              <w14:schemeClr w14:val="tx1"/>
            </w14:solidFill>
          </w14:textFill>
        </w:rPr>
        <w:t>1.1.3.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工程和设备</w:t>
      </w:r>
      <w:bookmarkEnd w:id="5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工程：指永久工程和（或）临时工程。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永久工程：指按合同约定建造并移交给发包人的工程，包括工程设备。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临时工程：指为完成合同约定的永久工程所修建的各类临时性工程，不包括施工设备。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工程设备：指构成或计划构成永久工程一部分的机电设备、金属结构设备、仪器装置及其他类似的设备和装置。</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承包人施工设备：指为完成合同约定的各项工作所需的设备、器具和其他物品，不包括临时工程和材料。</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临时设施：指为完成合同约定的各项工作所服务的临时性生产和生活设施。</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分包人施工设备：指分包人自带的施工设备。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施工场地（或称工地、现场）：指用于合同工程施工的场所，以及在合同中指定作为施工场地组成部分的其他场所，包括永久占地和临时占地。</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永久占地：指为实施合同工程需永久占用的土地。</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临时占地：指为实施合同工程需临时占用的土地。</w:t>
      </w:r>
    </w:p>
    <w:p>
      <w:pPr>
        <w:pStyle w:val="75"/>
        <w:ind w:firstLine="422"/>
        <w:rPr>
          <w:color w:val="000000" w:themeColor="text1"/>
          <w14:textFill>
            <w14:solidFill>
              <w14:schemeClr w14:val="tx1"/>
            </w14:solidFill>
          </w14:textFill>
        </w:rPr>
      </w:pPr>
      <w:bookmarkStart w:id="60" w:name="_Toc8362"/>
      <w:r>
        <w:rPr>
          <w:rFonts w:hint="eastAsia"/>
          <w:color w:val="000000" w:themeColor="text1"/>
          <w14:textFill>
            <w14:solidFill>
              <w14:schemeClr w14:val="tx1"/>
            </w14:solidFill>
          </w14:textFill>
        </w:rPr>
        <w:t>1.1.4.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日期</w:t>
      </w:r>
      <w:bookmarkEnd w:id="6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开工通知：指经发包人书面同意由承包人发出的通知分包人开工的函件。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开工日期：指经发包人书面同意由承包人发出的开工通知中写明的开工日期。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工期：指经发包人书面同意，承包人和分包人在协议书中约定的，按总日历天数（包括法定节假日）计算的从开工日期至竣工日期的天数。</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竣工日期：指经发包人书面同意，承包人和分包人在协议书中约定的本工程项目整体竣工验收合格日期。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项目整体竣工验收合格日期：指发包人与承包人约定的项目整体竣工验收合格日期。</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天：除特别指明外，指日历天。合同中按天计算时间的，从开始之日计算，期限最后一天的截止时间为当天24:00。</w:t>
      </w:r>
    </w:p>
    <w:p>
      <w:pPr>
        <w:pStyle w:val="75"/>
        <w:ind w:firstLine="422"/>
        <w:rPr>
          <w:color w:val="000000" w:themeColor="text1"/>
          <w14:textFill>
            <w14:solidFill>
              <w14:schemeClr w14:val="tx1"/>
            </w14:solidFill>
          </w14:textFill>
        </w:rPr>
      </w:pPr>
      <w:bookmarkStart w:id="61" w:name="_Toc24978"/>
      <w:r>
        <w:rPr>
          <w:rFonts w:hint="eastAsia"/>
          <w:color w:val="000000" w:themeColor="text1"/>
          <w14:textFill>
            <w14:solidFill>
              <w14:schemeClr w14:val="tx1"/>
            </w14:solidFill>
          </w14:textFill>
        </w:rPr>
        <w:t>1.1.5.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合同价格和费用</w:t>
      </w:r>
      <w:bookmarkEnd w:id="6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签约合同价格：是指承包人和分包人在合同协议书中确定的总金额，包括绿色施工安全防护措施费、暂估价及暂列金额等。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2）合同价格：是指承包人用于支付分包人按照合同约定完成承包范围内全部工作的金额，包括合同履行过程中按合同约定发生的价格变化。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费用：指为履行合同所发生的或将要发生的所有必需开支，包括管理费和应分摊的其他费用，但不包括利润。</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暂估价：指工程量清单中给定的用于支付发生但暂时不能确定价格的材料、设备以及专业工程、服务的金额。</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暂列金额：是指工程量清单或预算书中暂定并包括在合同价格中的一笔款项，用于工程合同签订时尚未确定或者不可预见的所需材料、工程设备、服务的采购，施工中可能发生的工程变更、合同约定调整因素出现时的合同价格调整以及发生的索赔、现场签证确认等的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计日工：指不能以实物量度的方法计价,而需以点工计算的零星工作。</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6)</w:t>
      </w:r>
      <w:r>
        <w:rPr>
          <w:rFonts w:hint="eastAsia"/>
          <w:bCs/>
          <w:color w:val="000000" w:themeColor="text1"/>
          <w14:textFill>
            <w14:solidFill>
              <w14:schemeClr w14:val="tx1"/>
            </w14:solidFill>
          </w14:textFill>
        </w:rPr>
        <w:tab/>
      </w:r>
      <w:r>
        <w:rPr>
          <w:rFonts w:hint="eastAsia"/>
          <w:color w:val="000000" w:themeColor="text1"/>
          <w14:textFill>
            <w14:solidFill>
              <w14:schemeClr w14:val="tx1"/>
            </w14:solidFill>
          </w14:textFill>
        </w:rPr>
        <w:t>质量保证</w:t>
      </w:r>
      <w:r>
        <w:rPr>
          <w:rFonts w:hint="eastAsia"/>
          <w:bCs/>
          <w:color w:val="000000" w:themeColor="text1"/>
          <w14:textFill>
            <w14:solidFill>
              <w14:schemeClr w14:val="tx1"/>
            </w14:solidFill>
          </w14:textFill>
        </w:rPr>
        <w:t>金：指承包人与分包人在合同中约定，从应付的工程款中预留，用以保证分包人在缺陷责任期内对建设工程出现的缺陷进行维修的资金。</w:t>
      </w:r>
      <w:bookmarkStart w:id="62" w:name="_Toc12894"/>
      <w:bookmarkStart w:id="63" w:name="_Toc24492"/>
      <w:bookmarkStart w:id="64" w:name="_Toc44492409"/>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语言文字</w:t>
      </w:r>
      <w:bookmarkEnd w:id="62"/>
      <w:bookmarkEnd w:id="63"/>
      <w:bookmarkEnd w:id="6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除专用术语外，合同使用的语言文字为中文，必要时专用术语应附有中文注释。若需要使用中文以外的语言文字，由合同当事人双方在专用条款内约定。</w:t>
      </w:r>
    </w:p>
    <w:p>
      <w:pPr>
        <w:pStyle w:val="77"/>
        <w:ind w:firstLine="480"/>
        <w:rPr>
          <w:color w:val="000000" w:themeColor="text1"/>
          <w14:textFill>
            <w14:solidFill>
              <w14:schemeClr w14:val="tx1"/>
            </w14:solidFill>
          </w14:textFill>
        </w:rPr>
      </w:pPr>
      <w:bookmarkStart w:id="65" w:name="_Toc3291"/>
      <w:bookmarkStart w:id="66" w:name="_Toc44492410"/>
      <w:bookmarkStart w:id="67" w:name="_Toc6885"/>
      <w:r>
        <w:rPr>
          <w:rFonts w:hint="eastAsia"/>
          <w:color w:val="000000" w:themeColor="text1"/>
          <w14:textFill>
            <w14:solidFill>
              <w14:schemeClr w14:val="tx1"/>
            </w14:solidFill>
          </w14:textFill>
        </w:rPr>
        <w:t>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适用法律、标准及规范</w:t>
      </w:r>
      <w:bookmarkEnd w:id="65"/>
      <w:bookmarkEnd w:id="66"/>
      <w:bookmarkEnd w:id="6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本合同文件适用《中华人民共和国民法典》《中华人民共和国建筑法》《建设工程质量管理条例》《建设工程安全生产管理条例》等国家现行法律、法规和对本工程有管辖权的各级政府颁布的行政法规。需要特别明示的法律、行政法规由合同当事人双方在专用条款中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当事人双方在专用条款内约定适用国家标准、规范的名称；没有国家标准、规范但有行业标准、规范的，约定适用行业标准、规范的名称；没有国家和行业标准、规范的，约定适用工程所在地地方标准、规范的名称。要求使用国外标准、规范的，应提供中文译本。</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标准、规范之间如有差异，则分包人应无条件执行质量要求高的标准，且承包人无需为此额外支付任何费用，除非承包人另有指示。</w:t>
      </w:r>
    </w:p>
    <w:p>
      <w:pPr>
        <w:pStyle w:val="77"/>
        <w:ind w:firstLine="480"/>
        <w:rPr>
          <w:color w:val="000000" w:themeColor="text1"/>
          <w14:textFill>
            <w14:solidFill>
              <w14:schemeClr w14:val="tx1"/>
            </w14:solidFill>
          </w14:textFill>
        </w:rPr>
      </w:pPr>
      <w:bookmarkStart w:id="68" w:name="_Toc44492411"/>
      <w:bookmarkStart w:id="69" w:name="_Toc4365"/>
      <w:bookmarkStart w:id="70" w:name="_Toc6311"/>
      <w:r>
        <w:rPr>
          <w:rFonts w:hint="eastAsia"/>
          <w:color w:val="000000" w:themeColor="text1"/>
          <w14:textFill>
            <w14:solidFill>
              <w14:schemeClr w14:val="tx1"/>
            </w14:solidFill>
          </w14:textFill>
        </w:rPr>
        <w:t>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合同文件的优先顺序</w:t>
      </w:r>
      <w:bookmarkEnd w:id="68"/>
      <w:bookmarkEnd w:id="69"/>
      <w:bookmarkEnd w:id="7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下列文件均为合同的组成部分，互为补充和解释。若合同文件中对本工程质量、进度、安全等要求有不一致的，分包人应在施工前通过承包人向发包人提出，除发包人和承包人明确指示分包人适用何种规定外，以对分包人义务、责任要求高者严者为准；其他内容出现不一致的，除本合同另有明文规定外，按以下排列在前者为准，同一顺序文件出现不一致的，以时间在后者为准；经发包人和承包人认定分包人的有关承诺比顺序在前的文件对发包人更有利的，就该承诺事项以该特定承诺为准。</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1）本合同的补充合同（若有）；</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2）协议书；</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3）中标通知书；</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4）本合同专用条款及合同附件；</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5）本合同通用条款；</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6）技术标准和要求；</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7）图纸,</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8）已标价工程量清单（另册）；</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投标文件（另册，但投标文件以符合招标文件者为准，投标文件承诺的投标人的义务、责任比招标文件更高更严者，适用该等对招标人有利的承诺；投标文件低于招标文件要求的或对招标人不利的，以招标文件为准。）；</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10）招标文件（另册）；</w:t>
      </w:r>
    </w:p>
    <w:p>
      <w:pPr>
        <w:pStyle w:val="52"/>
        <w:ind w:firstLine="840" w:firstLineChars="400"/>
        <w:rPr>
          <w:color w:val="000000" w:themeColor="text1"/>
          <w14:textFill>
            <w14:solidFill>
              <w14:schemeClr w14:val="tx1"/>
            </w14:solidFill>
          </w14:textFill>
        </w:rPr>
      </w:pPr>
      <w:r>
        <w:rPr>
          <w:rFonts w:hint="eastAsia"/>
          <w:color w:val="000000" w:themeColor="text1"/>
          <w14:textFill>
            <w14:solidFill>
              <w14:schemeClr w14:val="tx1"/>
            </w14:solidFill>
          </w14:textFill>
        </w:rPr>
        <w:t>11）经双方认可的其他有关书面文件。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当本合同条款内容或本合同组成文件含糊不清或不相一致，并且不能依据合同约定的解释顺序阐述清楚时，以发包人的解释为准。</w:t>
      </w:r>
    </w:p>
    <w:p>
      <w:pPr>
        <w:pStyle w:val="77"/>
        <w:ind w:firstLine="480"/>
        <w:rPr>
          <w:color w:val="000000" w:themeColor="text1"/>
          <w14:textFill>
            <w14:solidFill>
              <w14:schemeClr w14:val="tx1"/>
            </w14:solidFill>
          </w14:textFill>
        </w:rPr>
      </w:pPr>
      <w:bookmarkStart w:id="71" w:name="_Toc44492412"/>
      <w:bookmarkStart w:id="72" w:name="_Toc6825"/>
      <w:bookmarkStart w:id="73" w:name="_Toc8785"/>
      <w:r>
        <w:rPr>
          <w:rFonts w:hint="eastAsia"/>
          <w:color w:val="000000" w:themeColor="text1"/>
          <w14:textFill>
            <w14:solidFill>
              <w14:schemeClr w14:val="tx1"/>
            </w14:solidFill>
          </w14:textFill>
        </w:rPr>
        <w:t>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协议书</w:t>
      </w:r>
      <w:bookmarkEnd w:id="71"/>
      <w:bookmarkEnd w:id="72"/>
      <w:bookmarkEnd w:id="7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分包人按中标通知书规定的时间与承包人签订协议书。</w:t>
      </w:r>
    </w:p>
    <w:p>
      <w:pPr>
        <w:pStyle w:val="77"/>
        <w:ind w:firstLine="480"/>
        <w:rPr>
          <w:color w:val="000000" w:themeColor="text1"/>
          <w14:textFill>
            <w14:solidFill>
              <w14:schemeClr w14:val="tx1"/>
            </w14:solidFill>
          </w14:textFill>
        </w:rPr>
      </w:pPr>
      <w:bookmarkStart w:id="74" w:name="_Toc44492413"/>
      <w:bookmarkStart w:id="75" w:name="_Toc16821"/>
      <w:bookmarkStart w:id="76" w:name="_Toc20209"/>
      <w:r>
        <w:rPr>
          <w:rFonts w:hint="eastAsia"/>
          <w:color w:val="000000" w:themeColor="text1"/>
          <w14:textFill>
            <w14:solidFill>
              <w14:schemeClr w14:val="tx1"/>
            </w14:solidFill>
          </w14:textFill>
        </w:rPr>
        <w:t>1.6.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图纸和分包人文件</w:t>
      </w:r>
      <w:bookmarkEnd w:id="74"/>
      <w:bookmarkEnd w:id="75"/>
      <w:bookmarkEnd w:id="7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承包人提供的图纸</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承包人提供的图纸和资料的数量与日期在专用条款中约定。分包人需要增加图纸套数的，承包人可代为复制，复制费用由分包人承担。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设计图纸需要修改和(或)补充的，分包人应及时书面报告承包人。承包人收到书面报告确认需要修改和(或)补充后应及时通知发包人予以修改和(或)补充，并在合理的时间内按照合同当事人双方约定的时间和数量提供给分包人。分包人应按照发包人新提供的经设计人修改和(或)补充后的图纸施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在收到图纸后审查相关图纸中可能存在的不符合法律规定、适用标准、施工规范的任何错误、冲突，并在7天内通过承包人以书面方式报发包人及总监理工程师。对分包人已发现或作为有经验分包人应能发现的任何图纸的错漏碰缺，分包人未发现或发现后未及时报告承包人和发包人而造成工程造价增加或工期延误的，由分包人赔偿发包人损失，且工期不予延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分包人有责任审核与本工程有关所有图纸，并作出协调和相应的配合，不论该等图纸是发自发包人和其它与本工程有关的施工单位。</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分包人保证只将图纸用于本合同履行，不得将图纸的任何部分泄漏给其他无关的第三方。除非因履行合同而必需，否则不经发包人同意，分包人不得为第三方复印、使用、或传输上述文件。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分包人提供的图纸</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需要分包人进行深化设计的，分包人应具有相应的设计资质或委托具有相应设计资质的单位进行设计，并对工程设计的质量负责。分包人应当将相关图纸、规范、计算书及其他资料按专用条款约定的时间及数量报送承包人及监理人，并经监理人报发包人批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分包人在本工程竣工后14天内，须按照专用条款约定的数量提交完整的竣工图给承包人使用，并配合竣工资料归档相关工作，此作为承包人进行工程竣工结算的前提条件。</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1.6.3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承包人逾期提供图纸</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如果承包人收到发包人提供的图纸后，未能按照本合同1.6.1项约定的图纸供应计划向分包人提供合同图纸，并且分包人认为这种行为将要对工程进展造成影响，分包人应就此以书面形式通知承包人、发包人和监理人，同时说明所缺图纸的具体细节并解释该图纸的延误将如何影响工程的进展以及为避免这种影响该图纸必须提供的最晚时间。如果在该最晚时间以前，承包人因发包人原因仍然未能向分包人提供所需的图纸，则分包人应就此进一步通知承包人、发包人和监理人。如果确实影响了关键线路的施工，双方进行协商。</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）如果承包人不能按约定提供图纸，是因为分包人未能提交合同约定应由其提交的图纸或提交的图纸有误，或是因为分包人的其他错误、拖延或其它违约所致，分包人无权要求发包人赔偿损失及顺延工期。</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）如果分包人未能按本项上述约定通知承包人及发包人，分包人无权要求延长工期。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图纸和分包人文件的保管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须把一整套的合同文件包括图纸、规范和已标价的工程量清单连同工程开始后签发的一切指示、附加图纸、补充工料规范、资料表和细节存放在工地，以便承包人、发包人、监理人及其工程顾问可随时查阅参考。不论本合同因何种原因中止或终止，分包人均应将前述所有资料无条件交付予承包人及发包人。此作为承包人及发包人进行工程竣工结算的前提条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不论是承包人负责提供的还是分包人自费复印或自行深化设计的图纸，其知识产权都属于发包人所有，分包人不得将图纸用于任何本工程施工以外的目的。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分包人作为一个具备相应专业资质及丰富施工经验的承包商，在查阅合同文件或在本工程实施过程中，发现有关的工程设计、工程技术要求、施工图纸或其他资料中有任何差错、遗漏或缺陷，应在施工前不少于三十（30）天前向承包人及发包人提出书面意见。如分包人作为一个专业的有经验的承包商本应发现上述差错、遗漏或缺陷而未发现，或已发现却隐瞒不报，并继续施工，因而导致的质量缺陷、返工修复、工期延误、以及发包人、其他分包人和其他人的经济损失与工期延误等责任，由此造成损失的50%由分包人承担。如分包人已在上述时间内通过承包人向发包人提出发现差错、遗漏或缺陷的书面意见，而发包人及承包人仍决定按原要求施工的，分包人应予以执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1.6.5  施工方案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施工方案由分包人负责编制，经承包人及监理人审核后，报发包人书面确认后方可实施。</w:t>
      </w:r>
    </w:p>
    <w:p>
      <w:pPr>
        <w:pStyle w:val="52"/>
        <w:ind w:firstLine="420" w:firstLineChars="0"/>
        <w:rPr>
          <w:color w:val="000000" w:themeColor="text1"/>
          <w14:textFill>
            <w14:solidFill>
              <w14:schemeClr w14:val="tx1"/>
            </w14:solidFill>
          </w14:textFill>
        </w:rPr>
      </w:pPr>
      <w:r>
        <w:rPr>
          <w:color w:val="000000" w:themeColor="text1"/>
          <w14:textFill>
            <w14:solidFill>
              <w14:schemeClr w14:val="tx1"/>
            </w14:solidFill>
          </w14:textFill>
        </w:rPr>
        <w:t>2)</w:t>
      </w:r>
      <w:r>
        <w:rPr>
          <w:color w:val="000000" w:themeColor="text1"/>
          <w14:textFill>
            <w14:solidFill>
              <w14:schemeClr w14:val="tx1"/>
            </w14:solidFill>
          </w14:textFill>
        </w:rPr>
        <w:tab/>
      </w:r>
      <w:r>
        <w:rPr>
          <w:rFonts w:hint="eastAsia"/>
          <w:color w:val="000000" w:themeColor="text1"/>
          <w14:textFill>
            <w14:solidFill>
              <w14:schemeClr w14:val="tx1"/>
            </w14:solidFill>
          </w14:textFill>
        </w:rPr>
        <w:t>符合以下特点的工作需要编制施工方案：危险性较大、工序较多、工作时间长、涉及多个单位配合、需要协调完成、其他需要报发包人的工作。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3）施工方案不作为本合同工程变更、价格调整、工程量增减、计价计量方式调整、技术标准调整等的依据。</w:t>
      </w:r>
    </w:p>
    <w:p>
      <w:pPr>
        <w:pStyle w:val="77"/>
        <w:ind w:firstLine="480"/>
        <w:rPr>
          <w:color w:val="000000" w:themeColor="text1"/>
          <w14:textFill>
            <w14:solidFill>
              <w14:schemeClr w14:val="tx1"/>
            </w14:solidFill>
          </w14:textFill>
        </w:rPr>
      </w:pPr>
      <w:bookmarkStart w:id="77" w:name="_Toc17332"/>
      <w:bookmarkStart w:id="78" w:name="_Toc44492414"/>
      <w:bookmarkStart w:id="79" w:name="_Toc7891"/>
      <w:r>
        <w:rPr>
          <w:rFonts w:hint="eastAsia"/>
          <w:color w:val="000000" w:themeColor="text1"/>
          <w14:textFill>
            <w14:solidFill>
              <w14:schemeClr w14:val="tx1"/>
            </w14:solidFill>
          </w14:textFill>
        </w:rPr>
        <w:t>1.7.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转让</w:t>
      </w:r>
      <w:bookmarkEnd w:id="77"/>
      <w:bookmarkEnd w:id="78"/>
      <w:bookmarkEnd w:id="7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除合同另有约定外，未经承包人及发包人同意，分包人不得将合同权利全部或部分转让给第三人，也不得全部或部分转移合同义务。</w:t>
      </w:r>
    </w:p>
    <w:p>
      <w:pPr>
        <w:pStyle w:val="77"/>
        <w:ind w:firstLine="480"/>
        <w:rPr>
          <w:color w:val="000000" w:themeColor="text1"/>
          <w14:textFill>
            <w14:solidFill>
              <w14:schemeClr w14:val="tx1"/>
            </w14:solidFill>
          </w14:textFill>
        </w:rPr>
      </w:pPr>
      <w:bookmarkStart w:id="80" w:name="_Toc17478"/>
      <w:bookmarkStart w:id="81" w:name="_Toc44492415"/>
      <w:bookmarkStart w:id="82" w:name="_Toc25034"/>
      <w:r>
        <w:rPr>
          <w:rFonts w:hint="eastAsia"/>
          <w:color w:val="000000" w:themeColor="text1"/>
          <w14:textFill>
            <w14:solidFill>
              <w14:schemeClr w14:val="tx1"/>
            </w14:solidFill>
          </w14:textFill>
        </w:rPr>
        <w:t>1.8.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严禁贿赂</w:t>
      </w:r>
      <w:bookmarkEnd w:id="80"/>
      <w:bookmarkEnd w:id="81"/>
      <w:bookmarkEnd w:id="8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合同当事人双方不得以贿赂或变相贿赂的方式，谋取不当利益或损害对方权益。因贿赂造成对方损失的，行为人应赔偿损失，并承担相应的法律责任。</w:t>
      </w:r>
    </w:p>
    <w:p>
      <w:pPr>
        <w:pStyle w:val="77"/>
        <w:ind w:firstLine="480"/>
        <w:rPr>
          <w:color w:val="000000" w:themeColor="text1"/>
          <w14:textFill>
            <w14:solidFill>
              <w14:schemeClr w14:val="tx1"/>
            </w14:solidFill>
          </w14:textFill>
        </w:rPr>
      </w:pPr>
      <w:bookmarkStart w:id="83" w:name="_Toc4474"/>
      <w:bookmarkStart w:id="84" w:name="_Toc44492416"/>
      <w:bookmarkStart w:id="85" w:name="_Toc16087"/>
      <w:r>
        <w:rPr>
          <w:rFonts w:hint="eastAsia"/>
          <w:color w:val="000000" w:themeColor="text1"/>
          <w14:textFill>
            <w14:solidFill>
              <w14:schemeClr w14:val="tx1"/>
            </w14:solidFill>
          </w14:textFill>
        </w:rPr>
        <w:t>1.9.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文物和地下障碍物</w:t>
      </w:r>
      <w:bookmarkEnd w:id="83"/>
      <w:bookmarkEnd w:id="84"/>
      <w:bookmarkEnd w:id="8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施工中发现古墓、古建筑遗址等文物及化石或其他有考古、地质研究等价值的物品时，分包人应立即保护好现场并于4小时内以书面形式通知承包人、发包人及监理人，承包人、发包人及监理人应于收到书面通知后24小时内报告当地文物管理部门，合同当事人双方按文物管理部门的要求采取妥善保护措施。由此导致工期延误超过7天的，顺延延误的工期。如发现后隐瞒不报，致使文物遭受破坏，责任者依法承担相应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1.9.2.施工中发现影响施工的地下障碍物时，分包人应于8小时内以书面形式通知承包人及发包人，同时提出处置方案，承包人及发包人收到处置方案后24小时内予以认可或提出修正方案。承包人顺延延误的工期。所发现的地下障碍物有归属单位时，由发包人报请有关部门协同处置。</w:t>
      </w:r>
    </w:p>
    <w:p>
      <w:pPr>
        <w:pStyle w:val="77"/>
        <w:ind w:firstLine="480"/>
        <w:rPr>
          <w:color w:val="000000" w:themeColor="text1"/>
          <w14:textFill>
            <w14:solidFill>
              <w14:schemeClr w14:val="tx1"/>
            </w14:solidFill>
          </w14:textFill>
        </w:rPr>
      </w:pPr>
      <w:bookmarkStart w:id="86" w:name="_Toc15474"/>
      <w:bookmarkStart w:id="87" w:name="_Toc21868"/>
      <w:bookmarkStart w:id="88" w:name="_Toc44492417"/>
      <w:r>
        <w:rPr>
          <w:rFonts w:hint="eastAsia"/>
          <w:color w:val="000000" w:themeColor="text1"/>
          <w14:textFill>
            <w14:solidFill>
              <w14:schemeClr w14:val="tx1"/>
            </w14:solidFill>
          </w14:textFill>
        </w:rPr>
        <w:t>1.10.</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专利技术及特殊工艺</w:t>
      </w:r>
      <w:bookmarkEnd w:id="86"/>
      <w:bookmarkEnd w:id="87"/>
      <w:bookmarkEnd w:id="8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1.10.1.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分包人提出使用专利技术或特殊工艺，应取得承包人及发包人认可，分包人负责办理申报手续并承担有关费用。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1.10.2.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保证为本工程项目所提交的全部设计文件或产品、设备等未侵犯第三方的知识产权。若分包人所提供的设计文件或产品、设备等涉嫌侵犯第三方知识产权或其他权利的，分包人必须自费负责妥善解决，使承包人及发包人免遭任何损失，免于承担任何责任；若承包人及发包人被牵连诉讼或仲裁，法院或仲裁机构裁判发包人败诉，或任何调解、和解协议规定承包人或发包人需要向第三方支付赔偿或费用及/或承担其他法律责任的，应由分包人全额赔偿及/或承担其他法律责任；分包人须在法院或仲裁机构生效法律文书或该等协议书指定的支付期限到期前，按该等文件指定的款项先行赔付给承包人或发包人。</w:t>
      </w:r>
    </w:p>
    <w:p>
      <w:pPr>
        <w:pStyle w:val="77"/>
        <w:ind w:firstLine="480"/>
        <w:rPr>
          <w:color w:val="000000" w:themeColor="text1"/>
          <w14:textFill>
            <w14:solidFill>
              <w14:schemeClr w14:val="tx1"/>
            </w14:solidFill>
          </w14:textFill>
        </w:rPr>
      </w:pPr>
      <w:bookmarkStart w:id="89" w:name="_Toc6747"/>
      <w:bookmarkStart w:id="90" w:name="_Toc5448"/>
      <w:bookmarkStart w:id="91" w:name="_Toc44492418"/>
      <w:r>
        <w:rPr>
          <w:rFonts w:hint="eastAsia"/>
          <w:color w:val="000000" w:themeColor="text1"/>
          <w14:textFill>
            <w14:solidFill>
              <w14:schemeClr w14:val="tx1"/>
            </w14:solidFill>
          </w14:textFill>
        </w:rPr>
        <w:t>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图纸和文件的保密</w:t>
      </w:r>
      <w:bookmarkEnd w:id="89"/>
      <w:bookmarkEnd w:id="90"/>
      <w:bookmarkEnd w:id="9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用于本合同的图纸和文件，未经发包人及承包人同意，分包人不得为合同以外的目的泄露给他人或公开发表与引用。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分包人提供的文件，未经分包人同意，发包人、监理人及承包人不得为合同以外的目的泄露给他人或公开发表与引用。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分包人应履行保密义务，未经发包人同意，不得翻印、外传所有有关工程的资料包括文件、图纸、样板等，不得将本工程图纸及发包人或承包人提供的样板转给第三人。</w:t>
      </w:r>
    </w:p>
    <w:p>
      <w:pPr>
        <w:pStyle w:val="73"/>
        <w:rPr>
          <w:color w:val="000000" w:themeColor="text1"/>
          <w14:textFill>
            <w14:solidFill>
              <w14:schemeClr w14:val="tx1"/>
            </w14:solidFill>
          </w14:textFill>
        </w:rPr>
      </w:pPr>
      <w:bookmarkStart w:id="92" w:name="_Toc407355995"/>
      <w:bookmarkStart w:id="93" w:name="_Toc7917"/>
      <w:bookmarkStart w:id="94" w:name="_Toc9731"/>
      <w:bookmarkStart w:id="95" w:name="_Toc44492419"/>
      <w:bookmarkStart w:id="96" w:name="_Toc44227983"/>
      <w:bookmarkStart w:id="97" w:name="_Toc47512232"/>
      <w:bookmarkStart w:id="98" w:name="_Toc91082294"/>
      <w:r>
        <w:rPr>
          <w:rFonts w:hint="eastAsia"/>
          <w:color w:val="000000" w:themeColor="text1"/>
          <w14:textFill>
            <w14:solidFill>
              <w14:schemeClr w14:val="tx1"/>
            </w14:solidFill>
          </w14:textFill>
        </w:rPr>
        <w:t>2.</w:t>
      </w:r>
      <w:bookmarkEnd w:id="92"/>
      <w:bookmarkEnd w:id="93"/>
      <w:bookmarkEnd w:id="94"/>
      <w:bookmarkEnd w:id="95"/>
      <w:bookmarkEnd w:id="96"/>
      <w:bookmarkEnd w:id="97"/>
      <w:r>
        <w:rPr>
          <w:rFonts w:hint="eastAsia"/>
          <w:color w:val="000000" w:themeColor="text1"/>
          <w14:textFill>
            <w14:solidFill>
              <w14:schemeClr w14:val="tx1"/>
            </w14:solidFill>
          </w14:textFill>
        </w:rPr>
        <w:t>承包人</w:t>
      </w:r>
      <w:bookmarkEnd w:id="98"/>
    </w:p>
    <w:p>
      <w:pPr>
        <w:pStyle w:val="77"/>
        <w:ind w:firstLine="480"/>
        <w:rPr>
          <w:color w:val="000000" w:themeColor="text1"/>
          <w14:textFill>
            <w14:solidFill>
              <w14:schemeClr w14:val="tx1"/>
            </w14:solidFill>
          </w14:textFill>
        </w:rPr>
      </w:pPr>
      <w:bookmarkStart w:id="99" w:name="_Toc17930"/>
      <w:bookmarkStart w:id="100" w:name="_Toc44492420"/>
      <w:bookmarkStart w:id="101" w:name="_Toc12683"/>
      <w:r>
        <w:rPr>
          <w:rFonts w:hint="eastAsia"/>
          <w:color w:val="000000" w:themeColor="text1"/>
          <w14:textFill>
            <w14:solidFill>
              <w14:schemeClr w14:val="tx1"/>
            </w14:solidFill>
          </w14:textFill>
        </w:rPr>
        <w:t>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承包人代表</w:t>
      </w:r>
      <w:bookmarkEnd w:id="99"/>
      <w:bookmarkEnd w:id="100"/>
      <w:bookmarkEnd w:id="10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承包人应任命承包人代表负责处理施工现场与发包人有关的具体事宜。承包人代表在承包人授权的权限内的行为由承包人承担法律责任。承包人代表姓名、职务在专用条款内写明。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承包人代表的权限为：负责工程建设的内外部关系协调，对工程建设进行监督管理。承包人赋予的其他权限在专用条款中写明。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对本合同内容的任何修订、增加或减少项目、款项的支付、设计变更与工程签证等，需要另外获得承包人的授权，并加盖承包人公章方可生效。在任何情形下，承包人代表都没有修改本合同的权利。分包人确知，承包人代表签署的可能修改合同条款的任何文件均无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如更换承包人代表，承包人应以书面形式通知分包人，后任继续行使合同文件约定的前任的职权，履行前任的义务。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承包人代表可委派代表行使合同约定给自己的职权，并可在必要时撤回，委派和撤回均应以书面形式通知分包人。</w:t>
      </w:r>
    </w:p>
    <w:p>
      <w:pPr>
        <w:pStyle w:val="77"/>
        <w:ind w:firstLine="480"/>
        <w:rPr>
          <w:color w:val="000000" w:themeColor="text1"/>
          <w14:textFill>
            <w14:solidFill>
              <w14:schemeClr w14:val="tx1"/>
            </w14:solidFill>
          </w14:textFill>
        </w:rPr>
      </w:pPr>
      <w:bookmarkStart w:id="102" w:name="_Toc25962"/>
      <w:bookmarkStart w:id="103" w:name="_Toc44492421"/>
      <w:bookmarkStart w:id="104" w:name="_Toc26489"/>
      <w:r>
        <w:rPr>
          <w:rFonts w:hint="eastAsia"/>
          <w:color w:val="000000" w:themeColor="text1"/>
          <w14:textFill>
            <w14:solidFill>
              <w14:schemeClr w14:val="tx1"/>
            </w14:solidFill>
          </w14:textFill>
        </w:rPr>
        <w:t>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承包人一般权利义务</w:t>
      </w:r>
      <w:bookmarkEnd w:id="102"/>
      <w:bookmarkEnd w:id="103"/>
      <w:bookmarkEnd w:id="10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为保证进度、质量、绿色施工安全防护措施、销售配合等，承包人有权对所有相关事项发出指令进行变更或调整，包括但不限于：对设计图纸进行变更、调整工程量、调整施工进度、顺序和工艺、施工现场布置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如分包人不按合同要求或发包人指令进行施工，承包人有权要求分包人暂停施工，待整改完毕后报承包人、发包人和监理验收通过后方可复工，由此造成的工期延误及经济损失由分包人负责。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承包人有权直接随时向分包人发出任何为达到施工、竣工或保修目的的图纸或指令，分包人应遵照执行并受其约束。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承包人完成以下工作：</w:t>
      </w:r>
    </w:p>
    <w:p>
      <w:pPr>
        <w:adjustRightInd w:val="0"/>
        <w:snapToGrid w:val="0"/>
        <w:spacing w:line="360" w:lineRule="auto"/>
        <w:ind w:firstLine="426"/>
        <w:jc w:val="left"/>
        <w:outlineLvl w:val="3"/>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在分包人应先行充分审图的前提下，发包人组织承包人、分包人和设计人进行图纸会审及设计交底。设计交底后，分包人应当继续审查相关图纸中可能存在的不符合法律规定、适用标准、施工规范的任何错误、冲突，并在专用条款约定的时间内以书面方式报承包人、发包人及监理人。</w:t>
      </w:r>
    </w:p>
    <w:p>
      <w:pPr>
        <w:adjustRightInd w:val="0"/>
        <w:snapToGrid w:val="0"/>
        <w:spacing w:line="360" w:lineRule="auto"/>
        <w:ind w:firstLine="426"/>
        <w:jc w:val="left"/>
        <w:outlineLvl w:val="3"/>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2）及时支付合同款项。</w:t>
      </w:r>
    </w:p>
    <w:p>
      <w:pPr>
        <w:adjustRightInd w:val="0"/>
        <w:snapToGrid w:val="0"/>
        <w:spacing w:line="360" w:lineRule="auto"/>
        <w:ind w:firstLine="426"/>
        <w:jc w:val="left"/>
        <w:outlineLvl w:val="3"/>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3）其他由发包人完成的工作在专用条款中约定。</w:t>
      </w:r>
    </w:p>
    <w:p>
      <w:pPr>
        <w:pStyle w:val="52"/>
        <w:ind w:firstLine="420"/>
        <w:rPr>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2.2.5.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施工所需水、电、电讯线路说明：</w:t>
      </w:r>
    </w:p>
    <w:p>
      <w:pPr>
        <w:pStyle w:val="5"/>
        <w:keepNext w:val="0"/>
        <w:keepLines w:val="0"/>
        <w:numPr>
          <w:ilvl w:val="0"/>
          <w:numId w:val="2"/>
        </w:numPr>
        <w:adjustRightInd w:val="0"/>
        <w:snapToGrid w:val="0"/>
        <w:spacing w:before="0" w:after="0" w:line="360" w:lineRule="auto"/>
        <w:ind w:left="0" w:firstLine="420" w:firstLineChars="200"/>
        <w:jc w:val="left"/>
        <w:rPr>
          <w:rFonts w:ascii="Times New Roman" w:hAnsi="Times New Roman" w:eastAsia="仿宋_GB2312"/>
          <w:b w:val="0"/>
          <w:bCs w:val="0"/>
          <w:color w:val="000000" w:themeColor="text1"/>
          <w:kern w:val="0"/>
          <w:sz w:val="21"/>
          <w:szCs w:val="32"/>
          <w14:textFill>
            <w14:solidFill>
              <w14:schemeClr w14:val="tx1"/>
            </w14:solidFill>
          </w14:textFill>
        </w:rPr>
      </w:pPr>
      <w:r>
        <w:rPr>
          <w:rFonts w:hint="eastAsia" w:ascii="Times New Roman" w:hAnsi="Times New Roman" w:eastAsia="仿宋_GB2312"/>
          <w:b w:val="0"/>
          <w:bCs w:val="0"/>
          <w:color w:val="000000" w:themeColor="text1"/>
          <w:kern w:val="0"/>
          <w:sz w:val="21"/>
          <w:szCs w:val="32"/>
          <w14:textFill>
            <w14:solidFill>
              <w14:schemeClr w14:val="tx1"/>
            </w14:solidFill>
          </w14:textFill>
        </w:rPr>
        <w:t>施工所需水、电按专用条款中相关要求提供。</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 通讯线路由分包人自行解决。</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承包人委托分包人办理的具体工作内容及费用由合同当事人双方在专用条款内进行约定。</w:t>
      </w:r>
    </w:p>
    <w:p>
      <w:pPr>
        <w:pStyle w:val="73"/>
        <w:rPr>
          <w:color w:val="000000" w:themeColor="text1"/>
          <w14:textFill>
            <w14:solidFill>
              <w14:schemeClr w14:val="tx1"/>
            </w14:solidFill>
          </w14:textFill>
        </w:rPr>
      </w:pPr>
      <w:bookmarkStart w:id="105" w:name="_Toc47512233"/>
      <w:bookmarkStart w:id="106" w:name="_Toc91082295"/>
      <w:bookmarkStart w:id="107" w:name="_Toc44227984"/>
      <w:bookmarkStart w:id="108" w:name="_Toc407355996"/>
      <w:bookmarkStart w:id="109" w:name="_Toc28563"/>
      <w:bookmarkStart w:id="110" w:name="_Toc44492422"/>
      <w:bookmarkStart w:id="111" w:name="_Toc18190"/>
      <w:r>
        <w:rPr>
          <w:rFonts w:hint="eastAsia"/>
          <w:color w:val="000000" w:themeColor="text1"/>
          <w14:textFill>
            <w14:solidFill>
              <w14:schemeClr w14:val="tx1"/>
            </w14:solidFill>
          </w14:textFill>
        </w:rPr>
        <w:t>3.监理人及造价咨询人</w:t>
      </w:r>
      <w:bookmarkEnd w:id="105"/>
      <w:bookmarkEnd w:id="106"/>
      <w:bookmarkEnd w:id="107"/>
      <w:bookmarkEnd w:id="108"/>
      <w:bookmarkEnd w:id="109"/>
      <w:bookmarkEnd w:id="110"/>
      <w:bookmarkEnd w:id="111"/>
    </w:p>
    <w:p>
      <w:pPr>
        <w:pStyle w:val="77"/>
        <w:ind w:firstLine="480"/>
        <w:rPr>
          <w:color w:val="000000" w:themeColor="text1"/>
          <w14:textFill>
            <w14:solidFill>
              <w14:schemeClr w14:val="tx1"/>
            </w14:solidFill>
          </w14:textFill>
        </w:rPr>
      </w:pPr>
      <w:bookmarkStart w:id="112" w:name="_Toc25831"/>
      <w:bookmarkStart w:id="113" w:name="_Toc17253"/>
      <w:bookmarkStart w:id="114" w:name="_Toc44492423"/>
      <w:r>
        <w:rPr>
          <w:rFonts w:hint="eastAsia"/>
          <w:color w:val="000000" w:themeColor="text1"/>
          <w14:textFill>
            <w14:solidFill>
              <w14:schemeClr w14:val="tx1"/>
            </w14:solidFill>
          </w14:textFill>
        </w:rPr>
        <w:t>3.1.</w:t>
      </w:r>
      <w:r>
        <w:rPr>
          <w:rFonts w:hint="eastAsia"/>
          <w:color w:val="000000" w:themeColor="text1"/>
          <w14:textFill>
            <w14:solidFill>
              <w14:schemeClr w14:val="tx1"/>
            </w14:solidFill>
          </w14:textFill>
        </w:rPr>
        <w:tab/>
      </w:r>
      <w:bookmarkEnd w:id="112"/>
      <w:bookmarkEnd w:id="113"/>
      <w:bookmarkEnd w:id="114"/>
      <w:r>
        <w:rPr>
          <w:rFonts w:hint="eastAsia"/>
          <w:color w:val="000000" w:themeColor="text1"/>
          <w14:textFill>
            <w14:solidFill>
              <w14:schemeClr w14:val="tx1"/>
            </w14:solidFill>
          </w14:textFill>
        </w:rPr>
        <w:t>监理人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发包人应在实施监理前将委托的监理人名称、监理内容及监理权限以书面形式通知分包人。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总监理工程师姓名、职务在专用条款内写明。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监理人按发包人与监理人签署的监理委托合同的约定行使职权。</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在任何情况下，监理人都无权修改本合同。监理人发出的通知、指示、同意、批准、证书、决定等，只要与本工程的暂定合同总价增减、工程变更、工程量增减、工程款数额、计量、计价、改变技术标准、改变施工方案、工期、改变工期、工程停工复工、索赔、处理事故、建筑使用功能、分包的范围与内容、分包人和供应商的选择、分包人主要管理人员的更换或撤回、工程验收以及其他可能影响发包人利益的事项有关，均须经过发包人的书面审核批准并加盖发包人公章，方可成为有约束力的文件，否则对发包人不具有约束力。监理人需要取得发包人批准才能行使的其他职权在专用条款里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本项目所有的监理人往来文件均需经总监理工程师或总监理工程师授权的代表签字、盖章后生效。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如需更换总监理工程师，发包人应以书面形式通知分包人，后任继续行使合同文件约定的前任的职权，履行前任的义务。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总监理工程师可按监理合同的约定委派代表行使合同约定给自己的职权，并可在必要时撤回，委派和撤回均应提前7天以书面形式通知分包人。</w:t>
      </w:r>
    </w:p>
    <w:p>
      <w:pPr>
        <w:pStyle w:val="77"/>
        <w:ind w:firstLine="480"/>
        <w:rPr>
          <w:color w:val="000000" w:themeColor="text1"/>
          <w14:textFill>
            <w14:solidFill>
              <w14:schemeClr w14:val="tx1"/>
            </w14:solidFill>
          </w14:textFill>
        </w:rPr>
      </w:pPr>
      <w:bookmarkStart w:id="115" w:name="_Toc44492424"/>
      <w:bookmarkStart w:id="116" w:name="_Toc9075"/>
      <w:bookmarkStart w:id="117" w:name="_Toc24461"/>
      <w:r>
        <w:rPr>
          <w:rFonts w:hint="eastAsia"/>
          <w:color w:val="000000" w:themeColor="text1"/>
          <w14:textFill>
            <w14:solidFill>
              <w14:schemeClr w14:val="tx1"/>
            </w14:solidFill>
          </w14:textFill>
        </w:rPr>
        <w:t>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监理人的指示</w:t>
      </w:r>
      <w:bookmarkEnd w:id="115"/>
      <w:bookmarkEnd w:id="116"/>
      <w:bookmarkEnd w:id="11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的指令以书面形式通过承包人交给分包人。确有必要时，监理人可发出口头指令，并在48小时内给予书面确认，承包人、分包人对指令应予执行。监理人不能及时给予书面确认的，承包人、分包人应于发出口头指令后7天内提出书面确认要求，分包人未提出要求的，责任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监理人指令的签字、加盖公章的范围要求详见《监理合同》。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3.2.3.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认为监理人指令不合理的，应在收到指令后24小时内通过承包人向监理人提出修改指令的书面报告，监理人在收到承包人报告后24小时内做出修改指令或继续执行原指令的决定，并以书面形式通过承包人通知分包人。紧急情况下，分包人虽有异议，但监理人决定仍继续执行的指令，分包人应予执行，分包人拒不执行指令的，属于分包人违约。</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3.2.4.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监理人在履行和行使其职权时，其任何行为不免除分包人履行本合同约定的任何职责和义务。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3.2.5.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一般情况下，发包人和监理人的决定应是互补的和一致的；除非合同文件中另有约定，在发包人和监理人的决定出现矛盾或不一致时，发包人有最终决定权。</w:t>
      </w:r>
    </w:p>
    <w:p>
      <w:pPr>
        <w:pStyle w:val="77"/>
        <w:ind w:firstLine="480"/>
        <w:rPr>
          <w:color w:val="000000" w:themeColor="text1"/>
          <w14:textFill>
            <w14:solidFill>
              <w14:schemeClr w14:val="tx1"/>
            </w14:solidFill>
          </w14:textFill>
        </w:rPr>
      </w:pPr>
      <w:bookmarkStart w:id="118" w:name="_Toc28732"/>
      <w:bookmarkStart w:id="119" w:name="_Toc15978"/>
      <w:bookmarkStart w:id="120" w:name="_Toc44492425"/>
      <w:r>
        <w:rPr>
          <w:rFonts w:hint="eastAsia"/>
          <w:color w:val="000000" w:themeColor="text1"/>
          <w14:textFill>
            <w14:solidFill>
              <w14:schemeClr w14:val="tx1"/>
            </w14:solidFill>
          </w14:textFill>
        </w:rPr>
        <w:t>3.3.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造价咨询人</w:t>
      </w:r>
      <w:bookmarkEnd w:id="118"/>
      <w:bookmarkEnd w:id="119"/>
      <w:bookmarkEnd w:id="12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3.3.1.</w:t>
      </w:r>
      <w:r>
        <w:rPr>
          <w:rFonts w:hint="eastAsia"/>
          <w:color w:val="000000" w:themeColor="text1"/>
          <w14:textFill>
            <w14:solidFill>
              <w14:schemeClr w14:val="tx1"/>
            </w14:solidFill>
          </w14:textFill>
        </w:rPr>
        <w:tab/>
      </w:r>
      <w:r>
        <w:rPr>
          <w:color w:val="000000" w:themeColor="text1"/>
          <w14:textFill>
            <w14:solidFill>
              <w14:schemeClr w14:val="tx1"/>
            </w14:solidFill>
          </w14:textFill>
        </w:rPr>
        <w:t>发</w:t>
      </w:r>
      <w:r>
        <w:rPr>
          <w:rFonts w:hint="eastAsia"/>
          <w:color w:val="000000" w:themeColor="text1"/>
          <w14:textFill>
            <w14:solidFill>
              <w14:schemeClr w14:val="tx1"/>
            </w14:solidFill>
          </w14:textFill>
        </w:rPr>
        <w:t>包人有权将工程造价委托给造价咨询人管理。</w:t>
      </w:r>
      <w:r>
        <w:rPr>
          <w:color w:val="000000" w:themeColor="text1"/>
          <w14:textFill>
            <w14:solidFill>
              <w14:schemeClr w14:val="tx1"/>
            </w14:solidFill>
          </w14:textFill>
        </w:rPr>
        <w:t>发</w:t>
      </w:r>
      <w:r>
        <w:rPr>
          <w:rFonts w:hint="eastAsia"/>
          <w:color w:val="000000" w:themeColor="text1"/>
          <w14:textFill>
            <w14:solidFill>
              <w14:schemeClr w14:val="tx1"/>
            </w14:solidFill>
          </w14:textFill>
        </w:rPr>
        <w:t>包人委托造价咨询人的名称在专用条款中进行约定。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发包人委托造价咨询人的职权在专用条款里说明。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3.3.3.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造价咨询人就造价确认、工程款结算等问题进行的沟通、协商、确认仅为协商过程性的行为。除非发包人法定代表人签字并加盖发包人公章，任何形式的文件以及任何人的行为都不能视为发包人对工程结算的认可。发包人有权委托第三方进行造价咨询及审核。</w:t>
      </w:r>
    </w:p>
    <w:p>
      <w:pPr>
        <w:pStyle w:val="73"/>
        <w:rPr>
          <w:color w:val="000000" w:themeColor="text1"/>
          <w14:textFill>
            <w14:solidFill>
              <w14:schemeClr w14:val="tx1"/>
            </w14:solidFill>
          </w14:textFill>
        </w:rPr>
      </w:pPr>
      <w:bookmarkStart w:id="121" w:name="_Toc407355997"/>
      <w:bookmarkStart w:id="122" w:name="_Toc47512234"/>
      <w:bookmarkStart w:id="123" w:name="_Toc44227985"/>
      <w:bookmarkStart w:id="124" w:name="_Toc4899"/>
      <w:bookmarkStart w:id="125" w:name="_Toc1200"/>
      <w:bookmarkStart w:id="126" w:name="_Toc44492426"/>
      <w:bookmarkStart w:id="127" w:name="_Toc91082296"/>
      <w:r>
        <w:rPr>
          <w:rFonts w:hint="eastAsia"/>
          <w:color w:val="000000" w:themeColor="text1"/>
          <w14:textFill>
            <w14:solidFill>
              <w14:schemeClr w14:val="tx1"/>
            </w14:solidFill>
          </w14:textFill>
        </w:rPr>
        <w:t>4.</w:t>
      </w:r>
      <w:bookmarkEnd w:id="121"/>
      <w:bookmarkEnd w:id="122"/>
      <w:bookmarkEnd w:id="123"/>
      <w:bookmarkEnd w:id="124"/>
      <w:bookmarkEnd w:id="125"/>
      <w:bookmarkEnd w:id="126"/>
      <w:r>
        <w:rPr>
          <w:rFonts w:hint="eastAsia"/>
          <w:color w:val="000000" w:themeColor="text1"/>
          <w14:textFill>
            <w14:solidFill>
              <w14:schemeClr w14:val="tx1"/>
            </w14:solidFill>
          </w14:textFill>
        </w:rPr>
        <w:t>分包人</w:t>
      </w:r>
      <w:bookmarkEnd w:id="127"/>
    </w:p>
    <w:p>
      <w:pPr>
        <w:pStyle w:val="77"/>
        <w:ind w:firstLine="480"/>
        <w:rPr>
          <w:color w:val="000000" w:themeColor="text1"/>
          <w14:textFill>
            <w14:solidFill>
              <w14:schemeClr w14:val="tx1"/>
            </w14:solidFill>
          </w14:textFill>
        </w:rPr>
      </w:pPr>
      <w:bookmarkStart w:id="128" w:name="_Toc44492427"/>
      <w:bookmarkStart w:id="129" w:name="_Toc26575"/>
      <w:bookmarkStart w:id="130" w:name="_Toc20990"/>
      <w:r>
        <w:rPr>
          <w:rFonts w:hint="eastAsia"/>
          <w:color w:val="000000" w:themeColor="text1"/>
          <w14:textFill>
            <w14:solidFill>
              <w14:schemeClr w14:val="tx1"/>
            </w14:solidFill>
          </w14:textFill>
        </w:rPr>
        <w:t>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分包人的一般义务</w:t>
      </w:r>
      <w:bookmarkEnd w:id="128"/>
      <w:bookmarkEnd w:id="129"/>
      <w:bookmarkEnd w:id="13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完成以下各项承包工作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实施、完成全部工程，并修补工程中的任何缺陷。除专用条款另有约定外，分包人应提供为完成合同工作所需的劳务、材料、施工设备、工程设备和其他物品，并按合同约定负责临时设施的设计、建造、运行、维护、管理和拆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根据发包人、承包人的委托，在其设计资质等级和业务允许的范围内，完成施工图设计或与工程配套的设计。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对施工作业和施工方法的完备性负责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分包人应按合同约定的工作内容和施工进度要求，编制施工组织设计和施工方案，并对所有施工作业和施工方法的完备性和安全可靠性负责。</w:t>
      </w:r>
    </w:p>
    <w:p>
      <w:pPr>
        <w:pStyle w:val="52"/>
        <w:ind w:firstLine="420"/>
        <w:rPr>
          <w:color w:val="000000" w:themeColor="text1"/>
          <w14:textFill>
            <w14:solidFill>
              <w14:schemeClr w14:val="tx1"/>
            </w14:solidFill>
          </w14:textFill>
        </w:rPr>
      </w:pPr>
      <w:r>
        <w:rPr>
          <w:rFonts w:hint="eastAsia"/>
          <w:bCs/>
          <w:color w:val="000000" w:themeColor="text1"/>
          <w14:textFill>
            <w14:solidFill>
              <w14:schemeClr w14:val="tx1"/>
            </w14:solidFill>
          </w14:textFill>
        </w:rPr>
        <w:t>2）分包人负责办理各主管部门的相关报批报建验收手续，负责处理周边关系及相关政府部门关系，办理属于分包人承包范围内的有关证件。分包人负责办理施工临时占用道路手续并承担费用，发包人、承包人予以配合；使用临时路口、临时场地等保证金或押金由分包人负责缴纳，发包人、承包人配合提供有关资料。</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保证工程施工和人员的安全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分包人应按本合同约定采取施工安全措施，确保本合同工程及其人员、材料、设备和设施的安全，防止因工程施工造成的人身伤害和财产损失。</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分包人应对所有工地作业和施工方法的适当性、可靠性及安全性负全责。在施工期间由于分包人原因而发生施工质量、安全事故，其责任及费用均由分包人负责并通过承包人报告发包人及有关部门。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负责施工场地及其周边环境与生态的保护工作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分包人应按照合同约定负责施工场地及其周边环境与生态的保护工作。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分包人应遵守政府有关主管部门对施工场地交通、施工噪音以及环境保护、环境卫生和安全生产等的管理规定，按规定办理有关手续，并以书面形式通过承包人通知发包人，发生的费用由分包人承担。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分包人应保证施工场地清洁符合环境卫生管理的有关要求，做到工完场清，即建筑垃圾须及时清运出场，否则承包人有权另行委托他人清理，发生的费用按在专用条款中约定处理。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避免施工对公众与他人的利益造成损害</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在进行合同约定的各项工作时，不得侵害发包人与他人使用公用道路、水源、市政管网等公共设施的权利，避免对邻近的公共设施产生干扰。分包人占用或使用他人的施工场地，影响他人作业或生活的，应承担相应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因实施本工程而应向第三方支付的扰民费、噪音费、夜间施工费等由分包人负责，已经包含在分包人的签约合同价格内。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为他人提供方便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分包人应按监理人的指示为他人在施工场地或附近实施与工程有关的其他各项工作提供可能的条件。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分包人有责任在工程隐蔽验收、中间验收、竣工验收、档案验收过程中通过承包人为发包人提供与政府相关部门的沟通与协调的服务，并通过承包人协助发包人办理相应手续。</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分包人应负责处理好工地周边街道、社区、城管、治安、环保、安监等对本工程有管辖权的政府职能部门及机构的关系，以保证工程的顺利进行。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分包人必须按发包人或承包人要求的时间，将施工现场的临时设施及时拆除或清理，将施工人员（特别是施工班组人员）撤离施工现场，如分包人不能及时拆除或清理，发包人或现场监理人或承包人有权派人强行拆除并清理，造成的费用及责任均由分包人负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工程的维护和照管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整体工程竣工验收合格前，分包人应负责照管和维护本合同工程，承担本合同工程交付前完工工程成品保护责任（具体约定见专用条款）。保护期间已完本合同工程发生损坏，分包人自费予以修复。</w:t>
      </w:r>
    </w:p>
    <w:p>
      <w:pPr>
        <w:pStyle w:val="52"/>
        <w:ind w:firstLine="42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4.1.8.分包人合规缴税和税费纠纷解决条款</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ascii="宋体" w:hAnsi="宋体"/>
          <w:color w:val="000000" w:themeColor="text1"/>
          <w14:textFill>
            <w14:solidFill>
              <w14:schemeClr w14:val="tx1"/>
            </w14:solidFill>
          </w14:textFill>
        </w:rPr>
        <w:t>）分包人须遵从相关政府部门、事业单位的法律、条例和通知</w:t>
      </w:r>
      <w:r>
        <w:rPr>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下称法定要求</w:t>
      </w:r>
      <w:r>
        <w:rPr>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，并呈交所需的通知及申请，及支付所须的费用和税项</w:t>
      </w:r>
      <w:r>
        <w:rPr>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下称法定费用</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p>
      <w:pPr>
        <w:pStyle w:val="52"/>
        <w:ind w:firstLine="420"/>
        <w:rPr>
          <w:rFonts w:ascii="宋体" w:hAnsi="宋体"/>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）若分包人未有缴交其应缴的法定费用，承包人可代缴该等法定费用，并从按本合同应付或将支付予分包人的款项中扣除；或以债项形式向分包人追讨；</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ascii="宋体" w:hAnsi="宋体"/>
          <w:color w:val="000000" w:themeColor="text1"/>
          <w14:textFill>
            <w14:solidFill>
              <w14:schemeClr w14:val="tx1"/>
            </w14:solidFill>
          </w14:textFill>
        </w:rPr>
        <w:t>）分包人在收取工程款时，必须向承包人提供合法、有效及发包人按中国有关税务规定入账的发票。因分包人提供的发票不符合税务规定给承包人造成的损失，承包方应承担全部赔偿责任，赔偿包括但不限于：</w:t>
      </w:r>
      <w:r>
        <w:rPr>
          <w:color w:val="000000" w:themeColor="text1"/>
          <w14:textFill>
            <w14:solidFill>
              <w14:schemeClr w14:val="tx1"/>
            </w14:solidFill>
          </w14:textFill>
        </w:rPr>
        <w:t>A</w:t>
      </w:r>
      <w:r>
        <w:rPr>
          <w:rFonts w:hint="eastAsia" w:ascii="宋体" w:hAnsi="宋体"/>
          <w:color w:val="000000" w:themeColor="text1"/>
          <w14:textFill>
            <w14:solidFill>
              <w14:schemeClr w14:val="tx1"/>
            </w14:solidFill>
          </w14:textFill>
        </w:rPr>
        <w:t>承包人交纳的税款；</w:t>
      </w:r>
      <w:r>
        <w:rPr>
          <w:color w:val="000000" w:themeColor="text1"/>
          <w14:textFill>
            <w14:solidFill>
              <w14:schemeClr w14:val="tx1"/>
            </w14:solidFill>
          </w14:textFill>
        </w:rPr>
        <w:t>B</w:t>
      </w:r>
      <w:r>
        <w:rPr>
          <w:rFonts w:hint="eastAsia" w:ascii="宋体" w:hAnsi="宋体"/>
          <w:color w:val="000000" w:themeColor="text1"/>
          <w14:textFill>
            <w14:solidFill>
              <w14:schemeClr w14:val="tx1"/>
            </w14:solidFill>
          </w14:textFill>
        </w:rPr>
        <w:t>相关的滞纳金；</w:t>
      </w:r>
      <w:r>
        <w:rPr>
          <w:color w:val="000000" w:themeColor="text1"/>
          <w14:textFill>
            <w14:solidFill>
              <w14:schemeClr w14:val="tx1"/>
            </w14:solidFill>
          </w14:textFill>
        </w:rPr>
        <w:t>C</w:t>
      </w:r>
      <w:r>
        <w:rPr>
          <w:rFonts w:hint="eastAsia" w:ascii="宋体" w:hAnsi="宋体"/>
          <w:color w:val="000000" w:themeColor="text1"/>
          <w14:textFill>
            <w14:solidFill>
              <w14:schemeClr w14:val="tx1"/>
            </w14:solidFill>
          </w14:textFill>
        </w:rPr>
        <w:t>罚款。</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分包人的其它义务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必须遵从承包人、监理人、发包人发出的指令，不得以指令所涉及的费用未确定为借口不执行或拖延执行。若分包人未有在合理时间之内执行已发出的指令，且在收到承包人催促执行的书面通知后7天之内仍未执行，则承包人或发包人有权聘请第三方执行该指示所要求的工作，由此产生的全部费用由分包人承担，承包人有权从本合同应付给分包人的款项中直接扣除。第三方完成的工作视为分包人完成工作，不减免分包人任何合同义务和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严格遵守国家、地方政府关于劳动合同、劳务用工的法律法规、女工、童工保护条例、职业健康与安全培训相关规定，及时足额支付员工薪酬和社保、劳务用工的劳务报酬。对承包人支付的工程款，分包人须优先用于支付所聘请员工薪酬和社保、劳务用工的劳务报酬。分包人有拖欠、克扣员工薪酬和社保、劳务用工的劳动劳务报酬行为的，承包人有权在分包人工程款中扣除相应款项，并直接支付给分包人所聘请员工、劳务用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对于本合同约定分包人通过承包人提交给发包人审批、认可的事项，分包人均须预留给发包人充分合理的时间以便发包人正确的完成审批、认可。若因分包人迟交物料、样本、文件或工作并导致发包人没有充分合理的时间完成审批和认可，分包人需承担一切延误时间责任及经济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分包人应遵守承包人及发包人发布的工程管理相关制度，并积极配合发包人的供方评估，评估中发现的问题分包人应积极改进。</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由于分包人原因在施工</w:t>
      </w:r>
      <w:r>
        <w:rPr>
          <w:rFonts w:hint="eastAsia"/>
          <w:color w:val="000000" w:themeColor="text1"/>
          <w14:textFill>
            <w14:solidFill>
              <w14:schemeClr w14:val="tx1"/>
            </w14:solidFill>
          </w14:textFill>
        </w:rPr>
        <w:t>场地</w:t>
      </w:r>
      <w:r>
        <w:rPr>
          <w:color w:val="000000" w:themeColor="text1"/>
          <w14:textFill>
            <w14:solidFill>
              <w14:schemeClr w14:val="tx1"/>
            </w14:solidFill>
          </w14:textFill>
        </w:rPr>
        <w:t>内及其毗邻造成的第三方人身</w:t>
      </w:r>
      <w:r>
        <w:rPr>
          <w:rFonts w:hint="eastAsia"/>
          <w:color w:val="000000" w:themeColor="text1"/>
          <w14:textFill>
            <w14:solidFill>
              <w14:schemeClr w14:val="tx1"/>
            </w14:solidFill>
          </w14:textFill>
        </w:rPr>
        <w:t>伤亡</w:t>
      </w:r>
      <w:r>
        <w:rPr>
          <w:color w:val="000000" w:themeColor="text1"/>
          <w14:textFill>
            <w14:solidFill>
              <w14:schemeClr w14:val="tx1"/>
            </w14:solidFill>
          </w14:textFill>
        </w:rPr>
        <w:t>和财产损失，由分包人负责赔偿和处理。</w:t>
      </w:r>
    </w:p>
    <w:p>
      <w:pPr>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6）其它义务在专用条款中补充约定。</w:t>
      </w:r>
    </w:p>
    <w:p>
      <w:pPr>
        <w:pStyle w:val="77"/>
        <w:ind w:firstLine="480"/>
        <w:rPr>
          <w:color w:val="000000" w:themeColor="text1"/>
          <w14:textFill>
            <w14:solidFill>
              <w14:schemeClr w14:val="tx1"/>
            </w14:solidFill>
          </w14:textFill>
        </w:rPr>
      </w:pPr>
      <w:bookmarkStart w:id="131" w:name="_Toc44492428"/>
      <w:bookmarkStart w:id="132" w:name="_Toc26162"/>
      <w:bookmarkStart w:id="133" w:name="_Toc28547"/>
      <w:r>
        <w:rPr>
          <w:rFonts w:hint="eastAsia"/>
          <w:color w:val="000000" w:themeColor="text1"/>
          <w14:textFill>
            <w14:solidFill>
              <w14:schemeClr w14:val="tx1"/>
            </w14:solidFill>
          </w14:textFill>
        </w:rPr>
        <w:t>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履约担保</w:t>
      </w:r>
      <w:bookmarkEnd w:id="131"/>
      <w:bookmarkEnd w:id="132"/>
      <w:bookmarkEnd w:id="13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4.2.1分包人应向承包人提供履约保函，履约担保的格式见附件《履约保函》。分包人应按本合同所附履约保函格式，在合同签订后30天内向承包人提供不可撤销银行履约保函，其对承包人的保障不得低于合同所附履约保函格式的要求。履约保函的有效期从合同生效之日起至合同项下工程竣工验收合格、结算完成且工程交付发包人（以时间较晚者为准）后第30天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4.2.2分包人未严格按合同规定时间和格式提供履约保函的，经发包人书面确认，承包人可解除本合同。若承包人同意继续履行合同的，可以从应付给分包人的款项中扣除等额款项作为履约担保，直至分包人按合同规定格式提供履约担保至履约担保有效期结束时止。若分包人提供的履约保函有效期在4.2.1条款所要求的最长有效期前到期的，分包人应在其提供的履约保函到期前提前60天以上自动续期该履约保函，否则，经发包人书面同意，承包人有权在履约保函有效期届满前14天内提取该保函项下的全部担保金额或者从后续工程进度款及结算款中抵扣款项作为履约担保金额。</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4.2.3履约保函的担保额度按专用条款约定。</w:t>
      </w:r>
    </w:p>
    <w:p>
      <w:pPr>
        <w:pStyle w:val="77"/>
        <w:ind w:firstLine="480"/>
        <w:rPr>
          <w:color w:val="000000" w:themeColor="text1"/>
          <w14:textFill>
            <w14:solidFill>
              <w14:schemeClr w14:val="tx1"/>
            </w14:solidFill>
          </w14:textFill>
        </w:rPr>
      </w:pPr>
      <w:bookmarkStart w:id="134" w:name="_Toc22278"/>
      <w:bookmarkStart w:id="135" w:name="_Toc22100"/>
      <w:bookmarkStart w:id="136" w:name="_Toc44492429"/>
      <w:r>
        <w:rPr>
          <w:rFonts w:hint="eastAsia"/>
          <w:color w:val="000000" w:themeColor="text1"/>
          <w14:textFill>
            <w14:solidFill>
              <w14:schemeClr w14:val="tx1"/>
            </w14:solidFill>
          </w14:textFill>
        </w:rPr>
        <w:t>4.3.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再分包</w:t>
      </w:r>
      <w:bookmarkEnd w:id="134"/>
      <w:bookmarkEnd w:id="135"/>
      <w:bookmarkEnd w:id="13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本合同通用条款4.3.2的规定情况外，分包人不得将其承包的全部工程转包给第三人，不得将工程主体、关键性工作再分包给第三人,或将其承包的全部工程肢解后以分包的名义转包给第三人。分包人也不得将其承包的分包工程的全部或部分再分包给他人。如分包人出现本合同约定的违法分包情形或其他《建筑工程施工转包违法分包等违法行为认定查处管理办法（试行）》认定的违法分包情形的，经发包人书面同意，承包人有权单方解除合同，因此造成承包人损失的，由分包人负责赔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分包人经承包人同意可以将劳务作业再分包给具有相应劳务分包资质的劳务分包企业。分包人应对再分包的劳务作业的质量等相关事宜进行督促和检查，并承担相关连带责任。</w:t>
      </w:r>
    </w:p>
    <w:p>
      <w:pPr>
        <w:pStyle w:val="77"/>
        <w:ind w:firstLine="480"/>
        <w:rPr>
          <w:color w:val="000000" w:themeColor="text1"/>
          <w14:textFill>
            <w14:solidFill>
              <w14:schemeClr w14:val="tx1"/>
            </w14:solidFill>
          </w14:textFill>
        </w:rPr>
      </w:pPr>
      <w:bookmarkStart w:id="137" w:name="_Toc44492430"/>
      <w:bookmarkStart w:id="138" w:name="_Toc23812"/>
      <w:bookmarkStart w:id="139" w:name="_Toc13492"/>
      <w:r>
        <w:rPr>
          <w:rFonts w:hint="eastAsia"/>
          <w:color w:val="000000" w:themeColor="text1"/>
          <w14:textFill>
            <w14:solidFill>
              <w14:schemeClr w14:val="tx1"/>
            </w14:solidFill>
          </w14:textFill>
        </w:rPr>
        <w:t>4.4.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分包人项目经理</w:t>
      </w:r>
      <w:bookmarkEnd w:id="137"/>
      <w:bookmarkEnd w:id="138"/>
      <w:bookmarkEnd w:id="13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项目经理全权代表分包人对本工程的建设进行全面管理，行使合同约定的权利，履行合同约定的义务。项目经理的姓名、职务在专用条款内写明，项目经理必须常驻工地现场，其全部工作时间应用于本工程的管理，不得兼任其他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承包人及其授权代表给予项目经理的任何指示将视为有效地给予了分包人。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对分包人项目经理的管理要求在专用条款中说明。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分包人如需更换项目经理，应至少提前7天将备选项目经理资料通过承包人报发包人，征得承包人、发包人同意后方可更换项目经理。后任继续行使合同文件约定的前任的职权，履行前任的义务。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分包人为履行合同发出的一切函件均应盖有分包人授权的施工场地管理机构章，并由分包人项目经理或其授权代表签字。</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项目经理可以授权其下属人员履行其全部或部分职责，但应提前7日以上将这些人员的姓名和授权范围书面通知承包人、发包人和监理人，并经承包人、发包人和监理人书面同意后方可授权。任何授权或授权的撤销，应在承包人、发包人收到项目经理签发的授权委托书或撤销授权的事先书面通知后生效。</w:t>
      </w:r>
    </w:p>
    <w:p>
      <w:pPr>
        <w:pStyle w:val="77"/>
        <w:ind w:firstLine="480"/>
        <w:rPr>
          <w:color w:val="000000" w:themeColor="text1"/>
          <w14:textFill>
            <w14:solidFill>
              <w14:schemeClr w14:val="tx1"/>
            </w14:solidFill>
          </w14:textFill>
        </w:rPr>
      </w:pPr>
      <w:bookmarkStart w:id="140" w:name="_Toc11336"/>
      <w:bookmarkStart w:id="141" w:name="_Toc11855"/>
      <w:bookmarkStart w:id="142" w:name="_Toc44492431"/>
      <w:r>
        <w:rPr>
          <w:rFonts w:hint="eastAsia"/>
          <w:color w:val="000000" w:themeColor="text1"/>
          <w14:textFill>
            <w14:solidFill>
              <w14:schemeClr w14:val="tx1"/>
            </w14:solidFill>
          </w14:textFill>
        </w:rPr>
        <w:t>4.5.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分包人人员的管理</w:t>
      </w:r>
      <w:bookmarkEnd w:id="140"/>
      <w:bookmarkEnd w:id="141"/>
      <w:bookmarkEnd w:id="14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在接到开工通知后28天内，通过承包人向监理人提交分包人在施工场地的管理机构以及人员安排的报告，其内容应包括管理机构的设置、各主要岗位的技术和管理人员名单及其资格的安排状况。分包人应通过承包人向监理人提交施工场地人员变动情况的报告。发包人或承包人对于其组成人员有异议的，分包人应提供证据证明被质疑人员有能力完成其岗位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为完成合同约定的各项工作，分包人应向施工场地派遣或雇佣足够数量的下列人员：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具有相应资格的专业技工和合格的普工；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具有相应施工经验的技术人员；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具有相应岗位资格的各级管理人员。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分包人安排在施工场地的主要管理人员和技术骨干应相对稳定。分包人更换主要管理人员和技术骨干时，应取得承包人、监理人、发包人的同意。</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特殊岗位的工作人员均应持有相应的资格证明，监理人有权随时检查。监理人认为有必要时，可进行现场考核。</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4.5.5.分包人应自行承担施工人员的劳动报酬、社会保险和福利待遇等，办理工伤保险。分包人不得拖欠劳动报酬，若因分包人拖欠工人劳动报酬引起的一切法律、经济责任由分包人自行承担，若由此造成工程停工、工期延误或承包人由此导致的发包人的处罚的，由分包人负责赔偿。</w:t>
      </w:r>
    </w:p>
    <w:p>
      <w:pPr>
        <w:pStyle w:val="77"/>
        <w:ind w:firstLine="480"/>
        <w:rPr>
          <w:color w:val="000000" w:themeColor="text1"/>
          <w14:textFill>
            <w14:solidFill>
              <w14:schemeClr w14:val="tx1"/>
            </w14:solidFill>
          </w14:textFill>
        </w:rPr>
      </w:pPr>
      <w:bookmarkStart w:id="143" w:name="_Toc23482"/>
      <w:bookmarkStart w:id="144" w:name="_Toc44492432"/>
      <w:bookmarkStart w:id="145" w:name="_Toc6831"/>
      <w:r>
        <w:rPr>
          <w:rFonts w:hint="eastAsia"/>
          <w:color w:val="000000" w:themeColor="text1"/>
          <w14:textFill>
            <w14:solidFill>
              <w14:schemeClr w14:val="tx1"/>
            </w14:solidFill>
          </w14:textFill>
        </w:rPr>
        <w:t>4.6.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撤换分包人项目经理和其他人员</w:t>
      </w:r>
      <w:bookmarkEnd w:id="143"/>
      <w:bookmarkEnd w:id="144"/>
      <w:bookmarkEnd w:id="14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4.6.1.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承包人应对其项目经理和其他人员进行有效管理。发包人、监理人要求撤换不能胜任本职工作、行为不端或玩忽职守的分包人项目经理和其他人员的，承包人应要求分包人予以撤换。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4.6.2.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具体约定见专用条款。</w:t>
      </w:r>
    </w:p>
    <w:p>
      <w:pPr>
        <w:pStyle w:val="77"/>
        <w:ind w:firstLine="480"/>
        <w:rPr>
          <w:color w:val="000000" w:themeColor="text1"/>
          <w14:textFill>
            <w14:solidFill>
              <w14:schemeClr w14:val="tx1"/>
            </w14:solidFill>
          </w14:textFill>
        </w:rPr>
      </w:pPr>
      <w:bookmarkStart w:id="146" w:name="_Toc31508"/>
      <w:bookmarkStart w:id="147" w:name="_Toc44492433"/>
      <w:bookmarkStart w:id="148" w:name="_Toc15216"/>
      <w:r>
        <w:rPr>
          <w:rFonts w:hint="eastAsia"/>
          <w:color w:val="000000" w:themeColor="text1"/>
          <w14:textFill>
            <w14:solidFill>
              <w14:schemeClr w14:val="tx1"/>
            </w14:solidFill>
          </w14:textFill>
        </w:rPr>
        <w:t>4.7.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保障分包人人员的合法权益</w:t>
      </w:r>
      <w:bookmarkEnd w:id="146"/>
      <w:bookmarkEnd w:id="147"/>
      <w:bookmarkEnd w:id="14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4.7.1.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分包人应与其雇佣的人员签订劳动合同，并按时发放工资。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4.7.2.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分包人应为其雇佣人员提供必要的食宿条件，以及符合环境保护和卫生要求的生活环境，在远离城镇的施工场地，还应配备必要的伤病防治和急救的医务人员与医疗设施。</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4.7.3.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国家有关劳动保护的规定，采取有效的防止粉尘、降低噪声、控制有害气体和保障高温、高寒、高空作业安全等劳动保护措施。其雇佣人员在施工中受到伤害的，分包人应立即采取有效措施进行抢救和治疗。</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4.7.4.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w:t>
      </w:r>
      <w:r>
        <w:rPr>
          <w:color w:val="000000" w:themeColor="text1"/>
          <w14:textFill>
            <w14:solidFill>
              <w14:schemeClr w14:val="tx1"/>
            </w14:solidFill>
          </w14:textFill>
        </w:rPr>
        <w:t>有关法律</w:t>
      </w:r>
      <w:r>
        <w:rPr>
          <w:rFonts w:hint="eastAsia"/>
          <w:color w:val="000000" w:themeColor="text1"/>
          <w14:textFill>
            <w14:solidFill>
              <w14:schemeClr w14:val="tx1"/>
            </w14:solidFill>
          </w14:textFill>
        </w:rPr>
        <w:t>规定</w:t>
      </w:r>
      <w:r>
        <w:rPr>
          <w:color w:val="000000" w:themeColor="text1"/>
          <w14:textFill>
            <w14:solidFill>
              <w14:schemeClr w14:val="tx1"/>
            </w14:solidFill>
          </w14:textFill>
        </w:rPr>
        <w:t>和合同约定，为</w:t>
      </w:r>
      <w:r>
        <w:rPr>
          <w:rFonts w:hint="eastAsia"/>
          <w:color w:val="000000" w:themeColor="text1"/>
          <w14:textFill>
            <w14:solidFill>
              <w14:schemeClr w14:val="tx1"/>
            </w14:solidFill>
          </w14:textFill>
        </w:rPr>
        <w:t>其</w:t>
      </w:r>
      <w:r>
        <w:rPr>
          <w:color w:val="000000" w:themeColor="text1"/>
          <w14:textFill>
            <w14:solidFill>
              <w14:schemeClr w14:val="tx1"/>
            </w14:solidFill>
          </w14:textFill>
        </w:rPr>
        <w:t>雇佣人员办理保险。</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4.7.5.</w:t>
      </w:r>
      <w:r>
        <w:rPr>
          <w:rFonts w:hint="eastAsia"/>
          <w:color w:val="000000" w:themeColor="text1"/>
          <w14:textFill>
            <w14:solidFill>
              <w14:schemeClr w14:val="tx1"/>
            </w14:solidFill>
          </w14:textFill>
        </w:rPr>
        <w:t>分包人</w:t>
      </w:r>
      <w:r>
        <w:rPr>
          <w:color w:val="000000" w:themeColor="text1"/>
          <w14:textFill>
            <w14:solidFill>
              <w14:schemeClr w14:val="tx1"/>
            </w14:solidFill>
          </w14:textFill>
        </w:rPr>
        <w:t>应</w:t>
      </w:r>
      <w:r>
        <w:rPr>
          <w:rFonts w:hint="eastAsia"/>
          <w:color w:val="000000" w:themeColor="text1"/>
          <w14:textFill>
            <w14:solidFill>
              <w14:schemeClr w14:val="tx1"/>
            </w14:solidFill>
          </w14:textFill>
        </w:rPr>
        <w:t>负责处理其雇佣人员因工伤亡事故的善后事宜，</w:t>
      </w:r>
      <w:r>
        <w:rPr>
          <w:color w:val="000000" w:themeColor="text1"/>
          <w14:textFill>
            <w14:solidFill>
              <w14:schemeClr w14:val="tx1"/>
            </w14:solidFill>
          </w14:textFill>
        </w:rPr>
        <w:t>保障发包人和本工程不因其遭受任何滋扰，保障发</w:t>
      </w:r>
      <w:r>
        <w:rPr>
          <w:rFonts w:hint="eastAsia"/>
          <w:color w:val="000000" w:themeColor="text1"/>
          <w14:textFill>
            <w14:solidFill>
              <w14:schemeClr w14:val="tx1"/>
            </w14:solidFill>
          </w14:textFill>
        </w:rPr>
        <w:t>包</w:t>
      </w:r>
      <w:r>
        <w:rPr>
          <w:color w:val="000000" w:themeColor="text1"/>
          <w14:textFill>
            <w14:solidFill>
              <w14:schemeClr w14:val="tx1"/>
            </w14:solidFill>
          </w14:textFill>
        </w:rPr>
        <w:t>人不发生任何费用、损失</w:t>
      </w:r>
      <w:r>
        <w:rPr>
          <w:rFonts w:hint="eastAsia"/>
          <w:color w:val="000000" w:themeColor="text1"/>
          <w14:textFill>
            <w14:solidFill>
              <w14:schemeClr w14:val="tx1"/>
            </w14:solidFill>
          </w14:textFill>
        </w:rPr>
        <w:t>。</w:t>
      </w:r>
    </w:p>
    <w:p>
      <w:pPr>
        <w:pStyle w:val="77"/>
        <w:ind w:firstLine="480"/>
        <w:rPr>
          <w:color w:val="000000" w:themeColor="text1"/>
          <w14:textFill>
            <w14:solidFill>
              <w14:schemeClr w14:val="tx1"/>
            </w14:solidFill>
          </w14:textFill>
        </w:rPr>
      </w:pPr>
      <w:bookmarkStart w:id="149" w:name="_Toc44492434"/>
      <w:bookmarkStart w:id="150" w:name="_Toc22152"/>
      <w:bookmarkStart w:id="151" w:name="_Toc91"/>
      <w:r>
        <w:rPr>
          <w:rFonts w:hint="eastAsia"/>
          <w:color w:val="000000" w:themeColor="text1"/>
          <w14:textFill>
            <w14:solidFill>
              <w14:schemeClr w14:val="tx1"/>
            </w14:solidFill>
          </w14:textFill>
        </w:rPr>
        <w:t>4.8.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工程价款应专款专用</w:t>
      </w:r>
      <w:bookmarkEnd w:id="149"/>
      <w:bookmarkEnd w:id="150"/>
      <w:bookmarkEnd w:id="15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4.8.1.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承包人按合同约定支付给分包人的各项价款应专用于合同工程。</w:t>
      </w:r>
    </w:p>
    <w:p>
      <w:pPr>
        <w:pStyle w:val="77"/>
        <w:ind w:firstLine="480"/>
        <w:rPr>
          <w:color w:val="000000" w:themeColor="text1"/>
          <w14:textFill>
            <w14:solidFill>
              <w14:schemeClr w14:val="tx1"/>
            </w14:solidFill>
          </w14:textFill>
        </w:rPr>
      </w:pPr>
      <w:bookmarkStart w:id="152" w:name="_Toc4079"/>
      <w:bookmarkStart w:id="153" w:name="_Toc29091"/>
      <w:bookmarkStart w:id="154" w:name="_Toc44492435"/>
      <w:r>
        <w:rPr>
          <w:rFonts w:hint="eastAsia"/>
          <w:color w:val="000000" w:themeColor="text1"/>
          <w14:textFill>
            <w14:solidFill>
              <w14:schemeClr w14:val="tx1"/>
            </w14:solidFill>
          </w14:textFill>
        </w:rPr>
        <w:t>4.9.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分包人现场查勘</w:t>
      </w:r>
      <w:bookmarkEnd w:id="152"/>
      <w:bookmarkEnd w:id="153"/>
      <w:bookmarkEnd w:id="154"/>
      <w:r>
        <w:rPr>
          <w:rFonts w:hint="eastAsia"/>
          <w:color w:val="000000" w:themeColor="text1"/>
          <w14:textFill>
            <w14:solidFill>
              <w14:schemeClr w14:val="tx1"/>
            </w14:solidFill>
          </w14:textFill>
        </w:rPr>
        <w:t xml:space="preserve">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4.9.</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对施工场地和周围环境进行查勘，并收集有关地质、水文、气象条件、交通条件、风俗习惯以及其他为完成合同工作有关的当地资料。在全部合同工作中，应视为分包人已充分估计了应承担的责任和风险，对相关资料进行了认真细致和全面的查勘和检查，并且已经就任何可能存在的疑问向承包人或发包人或监理人获取了足够的澄清和解答，有关的风险均视为已包括在分包人的暂定合同总价中。</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4.9.2. 承包人</w:t>
      </w:r>
      <w:r>
        <w:rPr>
          <w:color w:val="000000" w:themeColor="text1"/>
          <w14:textFill>
            <w14:solidFill>
              <w14:schemeClr w14:val="tx1"/>
            </w14:solidFill>
          </w14:textFill>
        </w:rPr>
        <w:t>人向分包人提供的其他资料在专用条款里写明。</w:t>
      </w:r>
    </w:p>
    <w:p>
      <w:pPr>
        <w:pStyle w:val="77"/>
        <w:ind w:firstLine="480"/>
        <w:rPr>
          <w:color w:val="000000" w:themeColor="text1"/>
          <w14:textFill>
            <w14:solidFill>
              <w14:schemeClr w14:val="tx1"/>
            </w14:solidFill>
          </w14:textFill>
        </w:rPr>
      </w:pPr>
      <w:bookmarkStart w:id="155" w:name="_Toc44492436"/>
      <w:bookmarkStart w:id="156" w:name="_Toc22819"/>
      <w:bookmarkStart w:id="157" w:name="_Toc31588"/>
      <w:r>
        <w:rPr>
          <w:rFonts w:hint="eastAsia"/>
          <w:color w:val="000000" w:themeColor="text1"/>
          <w14:textFill>
            <w14:solidFill>
              <w14:schemeClr w14:val="tx1"/>
            </w14:solidFill>
          </w14:textFill>
        </w:rPr>
        <w:t>4.10.</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不利物质条件</w:t>
      </w:r>
      <w:bookmarkEnd w:id="155"/>
      <w:bookmarkEnd w:id="156"/>
      <w:bookmarkEnd w:id="15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4.10.1.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不利物质条件，除专用条款另有约定外，是指分包人在施工场地遇到的不可预见的自然物质条件、非自然的物质障碍和污染物，包括地下和水文条件，但不包括气候条件。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4.10.2.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分包人遇到不利物质条件时，应采取适应不利物质条件的合理措施继续施工，并及时通过承包人通知监理人。监理人应当及时发出指示，若指示构成变更的，按变更约定办理。</w:t>
      </w:r>
    </w:p>
    <w:p>
      <w:pPr>
        <w:pStyle w:val="73"/>
        <w:rPr>
          <w:color w:val="000000" w:themeColor="text1"/>
          <w14:textFill>
            <w14:solidFill>
              <w14:schemeClr w14:val="tx1"/>
            </w14:solidFill>
          </w14:textFill>
        </w:rPr>
      </w:pPr>
      <w:bookmarkStart w:id="158" w:name="_Toc44492437"/>
      <w:bookmarkStart w:id="159" w:name="_Toc47512235"/>
      <w:bookmarkStart w:id="160" w:name="_Toc16694"/>
      <w:bookmarkStart w:id="161" w:name="_Toc44227986"/>
      <w:bookmarkStart w:id="162" w:name="_Toc91082297"/>
      <w:bookmarkStart w:id="163" w:name="_Toc407355998"/>
      <w:bookmarkStart w:id="164" w:name="_Toc15947"/>
      <w:r>
        <w:rPr>
          <w:rFonts w:hint="eastAsia"/>
          <w:color w:val="000000" w:themeColor="text1"/>
          <w14:textFill>
            <w14:solidFill>
              <w14:schemeClr w14:val="tx1"/>
            </w14:solidFill>
          </w14:textFill>
        </w:rPr>
        <w:t>5.材料和工程设备</w:t>
      </w:r>
      <w:bookmarkEnd w:id="158"/>
      <w:bookmarkEnd w:id="159"/>
      <w:bookmarkEnd w:id="160"/>
      <w:bookmarkEnd w:id="161"/>
      <w:bookmarkEnd w:id="162"/>
      <w:bookmarkEnd w:id="163"/>
      <w:bookmarkEnd w:id="164"/>
    </w:p>
    <w:p>
      <w:pPr>
        <w:pStyle w:val="77"/>
        <w:ind w:firstLine="480"/>
        <w:rPr>
          <w:color w:val="000000" w:themeColor="text1"/>
          <w14:textFill>
            <w14:solidFill>
              <w14:schemeClr w14:val="tx1"/>
            </w14:solidFill>
          </w14:textFill>
        </w:rPr>
      </w:pPr>
      <w:bookmarkStart w:id="165" w:name="_Toc4809"/>
      <w:bookmarkStart w:id="166" w:name="_Toc44492438"/>
      <w:bookmarkStart w:id="167" w:name="_Toc10651"/>
      <w:r>
        <w:rPr>
          <w:rFonts w:hint="eastAsia"/>
          <w:color w:val="000000" w:themeColor="text1"/>
          <w14:textFill>
            <w14:solidFill>
              <w14:schemeClr w14:val="tx1"/>
            </w14:solidFill>
          </w14:textFill>
        </w:rPr>
        <w:t>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分包人提供的材料和工程设备</w:t>
      </w:r>
      <w:bookmarkEnd w:id="165"/>
      <w:bookmarkEnd w:id="166"/>
      <w:bookmarkEnd w:id="16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甲控乙供的材料和工程设备在专用条款中说明。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除专用条款另有约定外，分包人提供的材料和工程设备均由分包人负责采购、运输和保管。分包人应对其采购的材料和工程设备负责。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分包人提供的材料和工程设备必须符合合同文件的要求。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须按专用条款中规定的时间通过承包人向监理人、发包人提交材料和工程设备的品牌、规格、价格、实验报告、产品合格证明、样品等资料，对材料和工程设备质量负责，经监理人、发包人认可后才能用于本工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样品</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施工前，分包人应按照承包人、发包人和监理人的要求免费提供工程所需样品，并由发包人和监理人确认后，封存于发包人或监理人场所，作为以后验收货物和（或）工程的标准。发包人对任何样品的认可，并不会减轻或解除分包人按合同须履行的责任。若样品存在任何隐蔽瑕疵或任何缺陷，均不免除或减轻分包人在本合同项下的质量保证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分包人需在材料和工程设备到场前24小时通知承包人、监理人、发包人进行验收清点。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分包人提供的材料和工程设备在使用前，应按承包人或监理人或发包人的要求进行检验或试验，不合格的不得使用，检验或试验费用由分包人承担。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本工程按见证及监督取样送检的要求进行材料的检测，检测费用按专用条款的约定承担。在超出见证取样送检规定之外的情况下，若承包人或监理人或发包人对进场报验材料仍有异议，可按规定程序进行抽检，检验费用由分包人先行支付。若检验合格，检验费用由发包人承担；若检验不合格，检验费用由分包人承担，并由分包人承担由此给发包人造成的损失。</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采购和（或）使用不符合设计和合同要求的材料和工程设备时，应要求分包人负责修复、拆除或重新采购，并承担由此发生的费用，工期不予顺延。分包人不得将假冒伪劣材料设备用于本工程，否则按专用条款的约定进行承担相应的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5.1.10.</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发包人、监理人对材料和工程设备的检验认可并不免除以后因材料和工程设备缺陷引起工程质量缺陷时分包人应承担的责任。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果材料和工程设备的供应厂商提供使用、安装指导或其他售后服务的，分包人必须在施工过程中接受指导和监督、接受售后服务以确保材料和工程设备获得供应厂家质量保证，否则发包人有权要求分包人全部重新更换、返工或核减工程价款，造成工期延迟的，分包人应当承担工期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分包人提供备品备件的要求在专用条款里说明。</w:t>
      </w:r>
    </w:p>
    <w:p>
      <w:pPr>
        <w:pStyle w:val="77"/>
        <w:ind w:firstLine="480"/>
        <w:rPr>
          <w:color w:val="000000" w:themeColor="text1"/>
          <w14:textFill>
            <w14:solidFill>
              <w14:schemeClr w14:val="tx1"/>
            </w14:solidFill>
          </w14:textFill>
        </w:rPr>
      </w:pPr>
      <w:bookmarkStart w:id="168" w:name="_Toc44492439"/>
      <w:bookmarkStart w:id="169" w:name="_Toc17567"/>
      <w:bookmarkStart w:id="170" w:name="_Toc2958"/>
      <w:r>
        <w:rPr>
          <w:rFonts w:hint="eastAsia"/>
          <w:color w:val="000000" w:themeColor="text1"/>
          <w14:textFill>
            <w14:solidFill>
              <w14:schemeClr w14:val="tx1"/>
            </w14:solidFill>
          </w14:textFill>
        </w:rPr>
        <w:t>5.2.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发包人提供的材料和工程设备</w:t>
      </w:r>
      <w:bookmarkEnd w:id="168"/>
      <w:bookmarkEnd w:id="169"/>
      <w:bookmarkEnd w:id="17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发包人提供的材料和工程设备，应在专用条款中约定。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5.2.2.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分包人</w:t>
      </w:r>
      <w:r>
        <w:rPr>
          <w:color w:val="000000" w:themeColor="text1"/>
          <w14:textFill>
            <w14:solidFill>
              <w14:schemeClr w14:val="tx1"/>
            </w14:solidFill>
          </w14:textFill>
        </w:rPr>
        <w:t>应根据合同进度</w:t>
      </w:r>
      <w:r>
        <w:rPr>
          <w:rFonts w:hint="eastAsia"/>
          <w:color w:val="000000" w:themeColor="text1"/>
          <w14:textFill>
            <w14:solidFill>
              <w14:schemeClr w14:val="tx1"/>
            </w14:solidFill>
          </w14:textFill>
        </w:rPr>
        <w:t>计划</w:t>
      </w:r>
      <w:r>
        <w:rPr>
          <w:color w:val="000000" w:themeColor="text1"/>
          <w14:textFill>
            <w14:solidFill>
              <w14:schemeClr w14:val="tx1"/>
            </w14:solidFill>
          </w14:textFill>
        </w:rPr>
        <w:t>的安排，通过承包人向监理人报送要求发包人交货的日期计划。发</w:t>
      </w:r>
      <w:r>
        <w:rPr>
          <w:rFonts w:hint="eastAsia"/>
          <w:color w:val="000000" w:themeColor="text1"/>
          <w14:textFill>
            <w14:solidFill>
              <w14:schemeClr w14:val="tx1"/>
            </w14:solidFill>
          </w14:textFill>
        </w:rPr>
        <w:t>包</w:t>
      </w:r>
      <w:r>
        <w:rPr>
          <w:color w:val="000000" w:themeColor="text1"/>
          <w14:textFill>
            <w14:solidFill>
              <w14:schemeClr w14:val="tx1"/>
            </w14:solidFill>
          </w14:textFill>
        </w:rPr>
        <w:t>人应按照监理人与合同当事人</w:t>
      </w:r>
      <w:r>
        <w:rPr>
          <w:rFonts w:hint="eastAsia"/>
          <w:color w:val="000000" w:themeColor="text1"/>
          <w14:textFill>
            <w14:solidFill>
              <w14:schemeClr w14:val="tx1"/>
            </w14:solidFill>
          </w14:textFill>
        </w:rPr>
        <w:t>双</w:t>
      </w:r>
      <w:r>
        <w:rPr>
          <w:color w:val="000000" w:themeColor="text1"/>
          <w14:textFill>
            <w14:solidFill>
              <w14:schemeClr w14:val="tx1"/>
            </w14:solidFill>
          </w14:textFill>
        </w:rPr>
        <w:t>方商定的交货日期，通过承包人向分包人提交材料和工程设备。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分包人有义务在每项甲供材料和工程设备进场前 7 天通过承包人提醒发包人组织甲供材料和工程设备进场，材料和工程设备进场时,分包人应会同发包人、监理人共同进行验收,否则，由此产生的工期损失由分包人自行承担。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验收合格，由分包人填写《甲供材料设备验收入库单》并签字盖章。入库单一四式联，发包人两联，分包人、供方单位各执一联。甲供材料设备供应结束后由供方单位按《甲供材料设备验收入库单》 编制甲供材料设备汇总表，并经承包人及分包人签字并盖章。此汇总表及《甲供材料设备验收入库单》做为合同当事人双方结算的依据。如承包人及分包人无理由拒绝在甲供材料、设备供应单位编制的甲供材料设备汇总表上签字并盖章，发包人则以甲供材料、设备供应单位编制的甲供材料设备汇总表及《甲供材料设备验收入库单》作为合同当事人双方结算的依据。</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在收到供应单位供应的材料和工程设备24小时内开箱验收（如供货合同有约定验收时间的，以供货合同约定的验收时间为准），遇有破损或不合规格的，须即日通过承包人通知发包人安排替换。验收后的损坏、遗失由分包人负责。如分包人未及时到场清点并检验或试验，且已经超过供货合同约定的验收时间，视为分包人已经清点并检验或试验完毕，并认可货物数量、规格型号、外观质量等，分包人对其承担全部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完全知悉并认可：分包人在施工过程中不得以材料和工程设备存在质量瑕疵为由，而减免自身应承担的责任。另外约定，如果没有按照国家或地方相关规定履行进场后的检验检测而导致的质量问题，分包人担负全部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发包人提供的材料和工程设备验收后，由承包人及分包人负责接收、运输和保管,除专用条款另有约定外,所发生费用由分包人承担。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另有约定的在专用条款里写明。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要求向承包人、分包人提前交货的，承包人、分包人不得拒绝。分包人要求更改交货日期或地点的，应事先通过承包人报请监理人批准。由于分包人要求更改交货时间或地点所增加的费用和（或）工期延误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5.2.</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发包人提供的材料设备使用前，由承包人、分包人负责检验或试验，不合格的不得使用，检验或试验费用由分包人承担。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发包人提供的材料设备的结算方法在专用条款中说明。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5.2.</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发包人提供的材料和工程设备应送到工地地面层分包人指定地点，指定地点在专用条款中说明。</w:t>
      </w:r>
    </w:p>
    <w:p>
      <w:pPr>
        <w:pStyle w:val="77"/>
        <w:ind w:firstLine="480"/>
        <w:rPr>
          <w:color w:val="000000" w:themeColor="text1"/>
          <w14:textFill>
            <w14:solidFill>
              <w14:schemeClr w14:val="tx1"/>
            </w14:solidFill>
          </w14:textFill>
        </w:rPr>
      </w:pPr>
      <w:bookmarkStart w:id="171" w:name="_Toc44492440"/>
      <w:bookmarkStart w:id="172" w:name="_Toc12188"/>
      <w:bookmarkStart w:id="173" w:name="_Toc31298"/>
      <w:r>
        <w:rPr>
          <w:rFonts w:hint="eastAsia"/>
          <w:color w:val="000000" w:themeColor="text1"/>
          <w14:textFill>
            <w14:solidFill>
              <w14:schemeClr w14:val="tx1"/>
            </w14:solidFill>
          </w14:textFill>
        </w:rPr>
        <w:t>5.3.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材料和工程设备专用于合同工程</w:t>
      </w:r>
      <w:bookmarkEnd w:id="171"/>
      <w:bookmarkEnd w:id="172"/>
      <w:bookmarkEnd w:id="17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运入施工场地的材料、工程设备，包括备品备件、安装专用工器具与随机资料，必须专用于合同工程，未经承包人、监理人及发包人同意，分包人不得运出施工场地或挪作他用。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随同工程设备运入施工场地的备品备件、专用工器具与随机资料，应由分包人会同承包人、监理人按供货人的装箱单清点后共同封存，未经监理人同意不得启用。分包人因合同工作需要使用上述物品时，应向监理人提出申请。</w:t>
      </w:r>
    </w:p>
    <w:p>
      <w:pPr>
        <w:pStyle w:val="77"/>
        <w:ind w:firstLine="480"/>
        <w:rPr>
          <w:color w:val="000000" w:themeColor="text1"/>
          <w14:textFill>
            <w14:solidFill>
              <w14:schemeClr w14:val="tx1"/>
            </w14:solidFill>
          </w14:textFill>
        </w:rPr>
      </w:pPr>
      <w:bookmarkStart w:id="174" w:name="_Toc475"/>
      <w:bookmarkStart w:id="175" w:name="_Toc44492441"/>
      <w:bookmarkStart w:id="176" w:name="_Toc32429"/>
      <w:r>
        <w:rPr>
          <w:rFonts w:hint="eastAsia"/>
          <w:color w:val="000000" w:themeColor="text1"/>
          <w14:textFill>
            <w14:solidFill>
              <w14:schemeClr w14:val="tx1"/>
            </w14:solidFill>
          </w14:textFill>
        </w:rPr>
        <w:t>5.4.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禁止使用不合格的材料和工程设备</w:t>
      </w:r>
      <w:bookmarkEnd w:id="174"/>
      <w:bookmarkEnd w:id="175"/>
      <w:bookmarkEnd w:id="17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监理人有权拒绝分包人提供的不合格材料或工程设备，并通过承包人要求分包人立即进行更换。监理人应在更换后再次进行检查和检验，由此增加的费用和（或）工期延误由分包人承担。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如果任何检验表明被检验的材料、工程设备、工艺质量或工程不符合合同文件的约定，则发包人或监理人有权通过承包人指令分包人：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在指令规定的时间内将不符合合同文件约定的任何材料或工程设备运出现场；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用符合合同文件约定的材料或工程设备取代；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拆除不符合合同文件约定的任何工程，并进行重新施工。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5.4.3.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果分包人未能在指令规定的时间或者在指令中未规定时间的情况下未能在合理的时间内执行上述指令，则发包人或承包人有权委托他人执行该项指令，由此发生的费用以及给发包人或承包人造成的损失从分包工程款中予以扣除。</w:t>
      </w:r>
    </w:p>
    <w:p>
      <w:pPr>
        <w:pStyle w:val="77"/>
        <w:ind w:firstLine="480"/>
        <w:rPr>
          <w:color w:val="000000" w:themeColor="text1"/>
          <w14:textFill>
            <w14:solidFill>
              <w14:schemeClr w14:val="tx1"/>
            </w14:solidFill>
          </w14:textFill>
        </w:rPr>
      </w:pPr>
      <w:bookmarkStart w:id="177" w:name="_Toc44492442"/>
      <w:bookmarkStart w:id="178" w:name="_Toc21351"/>
      <w:bookmarkStart w:id="179" w:name="_Toc26003"/>
      <w:r>
        <w:rPr>
          <w:rFonts w:hint="eastAsia"/>
          <w:color w:val="000000" w:themeColor="text1"/>
          <w14:textFill>
            <w14:solidFill>
              <w14:schemeClr w14:val="tx1"/>
            </w14:solidFill>
          </w14:textFill>
        </w:rPr>
        <w:t>5.5.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进口材料和工程设备</w:t>
      </w:r>
      <w:bookmarkEnd w:id="177"/>
      <w:bookmarkEnd w:id="178"/>
      <w:bookmarkEnd w:id="17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分包人提供任何从国（境）外进口的材料和工程设备，此类材料和工程设备的价值以及与此类进口有关的任何关税（如有）、增值税、港口税费、运费、手续费、代理费、采保费及其他任何必要的费用已包含在分包人的暂定合同总价中，承包人无需另行支付；发包人及承包人有义务协助分包人办理相关手续，但不承担任何责任和费用。分包人应向承包人、发包人和监理人提供相关的产品原产地发出的质量合格证明资料、报关单及商检资料。</w:t>
      </w:r>
    </w:p>
    <w:p>
      <w:pPr>
        <w:pStyle w:val="73"/>
        <w:rPr>
          <w:color w:val="000000" w:themeColor="text1"/>
          <w14:textFill>
            <w14:solidFill>
              <w14:schemeClr w14:val="tx1"/>
            </w14:solidFill>
          </w14:textFill>
        </w:rPr>
      </w:pPr>
      <w:bookmarkStart w:id="180" w:name="_Toc16409"/>
      <w:bookmarkStart w:id="181" w:name="_Toc44227987"/>
      <w:bookmarkStart w:id="182" w:name="_Toc31056"/>
      <w:bookmarkStart w:id="183" w:name="_Toc47512236"/>
      <w:bookmarkStart w:id="184" w:name="_Toc91082298"/>
      <w:bookmarkStart w:id="185" w:name="_Toc407355999"/>
      <w:bookmarkStart w:id="186" w:name="_Toc44492443"/>
      <w:r>
        <w:rPr>
          <w:rFonts w:hint="eastAsia"/>
          <w:color w:val="000000" w:themeColor="text1"/>
          <w14:textFill>
            <w14:solidFill>
              <w14:schemeClr w14:val="tx1"/>
            </w14:solidFill>
          </w14:textFill>
        </w:rPr>
        <w:t>6.施工设备和临时设施</w:t>
      </w:r>
      <w:bookmarkEnd w:id="180"/>
      <w:bookmarkEnd w:id="181"/>
      <w:bookmarkEnd w:id="182"/>
      <w:bookmarkEnd w:id="183"/>
      <w:bookmarkEnd w:id="184"/>
      <w:bookmarkEnd w:id="185"/>
      <w:bookmarkEnd w:id="186"/>
    </w:p>
    <w:p>
      <w:pPr>
        <w:pStyle w:val="77"/>
        <w:ind w:firstLine="480"/>
        <w:rPr>
          <w:color w:val="000000" w:themeColor="text1"/>
          <w14:textFill>
            <w14:solidFill>
              <w14:schemeClr w14:val="tx1"/>
            </w14:solidFill>
          </w14:textFill>
        </w:rPr>
      </w:pPr>
      <w:bookmarkStart w:id="187" w:name="_Toc26481"/>
      <w:bookmarkStart w:id="188" w:name="_Toc11630"/>
      <w:bookmarkStart w:id="189" w:name="_Toc44492444"/>
      <w:r>
        <w:rPr>
          <w:rFonts w:hint="eastAsia"/>
          <w:color w:val="000000" w:themeColor="text1"/>
          <w14:textFill>
            <w14:solidFill>
              <w14:schemeClr w14:val="tx1"/>
            </w14:solidFill>
          </w14:textFill>
        </w:rPr>
        <w:t>6.1.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分包人提供的施工设备和临时设施</w:t>
      </w:r>
      <w:bookmarkEnd w:id="187"/>
      <w:bookmarkEnd w:id="188"/>
      <w:bookmarkEnd w:id="18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进度计划的要求，及时配置施工设备和修建临时设施。分包人应自行承担修建临时设施的费用。进入施工场地的分包人设备需经承包人、监理人核查后才能投入使用。分包人更换合同约定的分包人设备的，应通过承包人报监理人批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分包人提供的施工设备和临时设施的具体内容在专用条款中说明。</w:t>
      </w:r>
    </w:p>
    <w:p>
      <w:pPr>
        <w:pStyle w:val="77"/>
        <w:ind w:firstLine="480"/>
        <w:rPr>
          <w:color w:val="000000" w:themeColor="text1"/>
          <w14:textFill>
            <w14:solidFill>
              <w14:schemeClr w14:val="tx1"/>
            </w14:solidFill>
          </w14:textFill>
        </w:rPr>
      </w:pPr>
      <w:bookmarkStart w:id="190" w:name="_Toc2943"/>
      <w:bookmarkStart w:id="191" w:name="_Toc13516"/>
      <w:bookmarkStart w:id="192" w:name="_Toc44492445"/>
      <w:r>
        <w:rPr>
          <w:rFonts w:hint="eastAsia"/>
          <w:color w:val="000000" w:themeColor="text1"/>
          <w14:textFill>
            <w14:solidFill>
              <w14:schemeClr w14:val="tx1"/>
            </w14:solidFill>
          </w14:textFill>
        </w:rPr>
        <w:t>6.2.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承包人提供的施工设备和临时设施</w:t>
      </w:r>
      <w:bookmarkEnd w:id="190"/>
      <w:bookmarkEnd w:id="191"/>
      <w:bookmarkEnd w:id="19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承包人提供的施工设备或临时设施在专用条款中说明。</w:t>
      </w:r>
    </w:p>
    <w:p>
      <w:pPr>
        <w:pStyle w:val="77"/>
        <w:ind w:firstLine="480"/>
        <w:rPr>
          <w:color w:val="000000" w:themeColor="text1"/>
          <w14:textFill>
            <w14:solidFill>
              <w14:schemeClr w14:val="tx1"/>
            </w14:solidFill>
          </w14:textFill>
        </w:rPr>
      </w:pPr>
      <w:bookmarkStart w:id="193" w:name="_Toc44492446"/>
      <w:bookmarkStart w:id="194" w:name="_Toc26816"/>
      <w:bookmarkStart w:id="195" w:name="_Toc8070"/>
      <w:r>
        <w:rPr>
          <w:rFonts w:hint="eastAsia"/>
          <w:color w:val="000000" w:themeColor="text1"/>
          <w14:textFill>
            <w14:solidFill>
              <w14:schemeClr w14:val="tx1"/>
            </w14:solidFill>
          </w14:textFill>
        </w:rPr>
        <w:t>6.3.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要求分包人增加或更换施工设备</w:t>
      </w:r>
      <w:bookmarkEnd w:id="193"/>
      <w:bookmarkEnd w:id="194"/>
      <w:bookmarkEnd w:id="19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分包人使用的施工设备不能满足合同进度计划和（或）质量要求时，监理人有权通过承包人要求分包人增加或更换施工设备，分包人应及时增加或更换，由此增加的费用和（或）工期延误由分包人承担。</w:t>
      </w:r>
    </w:p>
    <w:p>
      <w:pPr>
        <w:pStyle w:val="77"/>
        <w:ind w:firstLine="480"/>
        <w:rPr>
          <w:color w:val="000000" w:themeColor="text1"/>
          <w14:textFill>
            <w14:solidFill>
              <w14:schemeClr w14:val="tx1"/>
            </w14:solidFill>
          </w14:textFill>
        </w:rPr>
      </w:pPr>
      <w:bookmarkStart w:id="196" w:name="_Toc44492447"/>
      <w:bookmarkStart w:id="197" w:name="_Toc20526"/>
      <w:bookmarkStart w:id="198" w:name="_Toc30358"/>
      <w:r>
        <w:rPr>
          <w:rFonts w:hint="eastAsia"/>
          <w:color w:val="000000" w:themeColor="text1"/>
          <w14:textFill>
            <w14:solidFill>
              <w14:schemeClr w14:val="tx1"/>
            </w14:solidFill>
          </w14:textFill>
        </w:rPr>
        <w:t>6.4.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施工设备和临时设施专用于合同工程</w:t>
      </w:r>
      <w:bookmarkEnd w:id="196"/>
      <w:bookmarkEnd w:id="197"/>
      <w:bookmarkEnd w:id="19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运入施工场地的所有施工设备以及在施工场地建设的临时设施应专用于合同工程。未经监理人同意，不得将上述施工设备和临时设施中的任何部分运出施工场地或挪作他用。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经监理人、承包人同意，分包人可根据合同进度计划撤走闲置的施工设备。</w:t>
      </w:r>
    </w:p>
    <w:p>
      <w:pPr>
        <w:pStyle w:val="73"/>
        <w:rPr>
          <w:color w:val="000000" w:themeColor="text1"/>
          <w14:textFill>
            <w14:solidFill>
              <w14:schemeClr w14:val="tx1"/>
            </w14:solidFill>
          </w14:textFill>
        </w:rPr>
      </w:pPr>
      <w:bookmarkStart w:id="199" w:name="_Toc407356000"/>
      <w:bookmarkStart w:id="200" w:name="_Toc91082299"/>
      <w:bookmarkStart w:id="201" w:name="_Toc30840"/>
      <w:bookmarkStart w:id="202" w:name="_Toc28707"/>
      <w:bookmarkStart w:id="203" w:name="_Toc47512237"/>
      <w:bookmarkStart w:id="204" w:name="_Toc44492448"/>
      <w:bookmarkStart w:id="205" w:name="_Toc44227988"/>
      <w:r>
        <w:rPr>
          <w:rFonts w:hint="eastAsia"/>
          <w:color w:val="000000" w:themeColor="text1"/>
          <w14:textFill>
            <w14:solidFill>
              <w14:schemeClr w14:val="tx1"/>
            </w14:solidFill>
          </w14:textFill>
        </w:rPr>
        <w:t>7.交通运输</w:t>
      </w:r>
      <w:bookmarkEnd w:id="199"/>
      <w:bookmarkEnd w:id="200"/>
      <w:bookmarkEnd w:id="201"/>
      <w:bookmarkEnd w:id="202"/>
      <w:bookmarkEnd w:id="203"/>
      <w:bookmarkEnd w:id="204"/>
      <w:bookmarkEnd w:id="205"/>
    </w:p>
    <w:p>
      <w:pPr>
        <w:pStyle w:val="77"/>
        <w:ind w:firstLine="480"/>
        <w:rPr>
          <w:color w:val="000000" w:themeColor="text1"/>
          <w14:textFill>
            <w14:solidFill>
              <w14:schemeClr w14:val="tx1"/>
            </w14:solidFill>
          </w14:textFill>
        </w:rPr>
      </w:pPr>
      <w:bookmarkStart w:id="206" w:name="_Toc18245"/>
      <w:bookmarkStart w:id="207" w:name="_Toc29475"/>
      <w:bookmarkStart w:id="208" w:name="_Toc44492449"/>
      <w:r>
        <w:rPr>
          <w:rFonts w:hint="eastAsia"/>
          <w:color w:val="000000" w:themeColor="text1"/>
          <w14:textFill>
            <w14:solidFill>
              <w14:schemeClr w14:val="tx1"/>
            </w14:solidFill>
          </w14:textFill>
        </w:rPr>
        <w:t>7.</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场外交通</w:t>
      </w:r>
      <w:bookmarkEnd w:id="206"/>
      <w:bookmarkEnd w:id="207"/>
      <w:bookmarkEnd w:id="20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须负责确保所有现场周边毗邻的道路、步行道和现场出入口等的干净和整洁，同时保证它们及周边公共交通、公众生活不因分包人和其他受分包人控制和施工操作、材料装卸、车辆、材料、物品、设备和工人而带来任何妨碍；分包人须保证发包人、承包人免于与上述事件有关的任何索赔、诉讼、损害和损失。</w:t>
      </w:r>
    </w:p>
    <w:p>
      <w:pPr>
        <w:pStyle w:val="77"/>
        <w:ind w:firstLine="480"/>
        <w:rPr>
          <w:color w:val="000000" w:themeColor="text1"/>
          <w14:textFill>
            <w14:solidFill>
              <w14:schemeClr w14:val="tx1"/>
            </w14:solidFill>
          </w14:textFill>
        </w:rPr>
      </w:pPr>
      <w:bookmarkStart w:id="209" w:name="_Toc44492450"/>
      <w:bookmarkStart w:id="210" w:name="_Toc9320"/>
      <w:bookmarkStart w:id="211" w:name="_Toc4364"/>
      <w:r>
        <w:rPr>
          <w:rFonts w:hint="eastAsia"/>
          <w:color w:val="000000" w:themeColor="text1"/>
          <w14:textFill>
            <w14:solidFill>
              <w14:schemeClr w14:val="tx1"/>
            </w14:solidFill>
          </w14:textFill>
        </w:rPr>
        <w:t>7.</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道路和桥梁的损坏责任</w:t>
      </w:r>
      <w:bookmarkEnd w:id="209"/>
      <w:bookmarkEnd w:id="210"/>
      <w:bookmarkEnd w:id="21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因分包人运输造成施工场地内外公共道路和桥梁损坏的，由分包人承担修复损坏的全部费用和可能引起的赔偿。</w:t>
      </w:r>
    </w:p>
    <w:p>
      <w:pPr>
        <w:pStyle w:val="73"/>
        <w:rPr>
          <w:color w:val="000000" w:themeColor="text1"/>
          <w14:textFill>
            <w14:solidFill>
              <w14:schemeClr w14:val="tx1"/>
            </w14:solidFill>
          </w14:textFill>
        </w:rPr>
      </w:pPr>
      <w:bookmarkStart w:id="212" w:name="_Toc47512238"/>
      <w:bookmarkStart w:id="213" w:name="_Toc407356001"/>
      <w:bookmarkStart w:id="214" w:name="_Toc44227989"/>
      <w:bookmarkStart w:id="215" w:name="_Toc91082300"/>
      <w:bookmarkStart w:id="216" w:name="_Toc29001"/>
      <w:bookmarkStart w:id="217" w:name="_Toc27752"/>
      <w:bookmarkStart w:id="218" w:name="_Toc44492451"/>
      <w:r>
        <w:rPr>
          <w:rFonts w:hint="eastAsia"/>
          <w:color w:val="000000" w:themeColor="text1"/>
          <w14:textFill>
            <w14:solidFill>
              <w14:schemeClr w14:val="tx1"/>
            </w14:solidFill>
          </w14:textFill>
        </w:rPr>
        <w:t>8.测量放线</w:t>
      </w:r>
      <w:bookmarkEnd w:id="212"/>
      <w:bookmarkEnd w:id="213"/>
      <w:bookmarkEnd w:id="214"/>
      <w:bookmarkEnd w:id="215"/>
      <w:bookmarkEnd w:id="216"/>
      <w:bookmarkEnd w:id="217"/>
      <w:bookmarkEnd w:id="218"/>
    </w:p>
    <w:p>
      <w:pPr>
        <w:pStyle w:val="77"/>
        <w:ind w:firstLine="480"/>
        <w:rPr>
          <w:color w:val="000000" w:themeColor="text1"/>
          <w14:textFill>
            <w14:solidFill>
              <w14:schemeClr w14:val="tx1"/>
            </w14:solidFill>
          </w14:textFill>
        </w:rPr>
      </w:pPr>
      <w:bookmarkStart w:id="219" w:name="_Toc44492452"/>
      <w:bookmarkStart w:id="220" w:name="_Toc14910"/>
      <w:bookmarkStart w:id="221" w:name="_Toc16667"/>
      <w:r>
        <w:rPr>
          <w:rFonts w:hint="eastAsia"/>
          <w:color w:val="000000" w:themeColor="text1"/>
          <w14:textFill>
            <w14:solidFill>
              <w14:schemeClr w14:val="tx1"/>
            </w14:solidFill>
          </w14:textFill>
        </w:rPr>
        <w:t>8.</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施工测量</w:t>
      </w:r>
      <w:bookmarkEnd w:id="219"/>
      <w:bookmarkEnd w:id="220"/>
      <w:bookmarkEnd w:id="22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分包人应负责施工过程中的全部施工测量放线工作，并配置合格的人员、仪器、设备和其他物品。</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监理人可以通过承包人指示分包人进行抽样复测，当复测中发现错误或出现超过合同约定的误差时，分包人应按监理人指示进行修正或补测，并承担相应的复测费用。</w:t>
      </w:r>
    </w:p>
    <w:p>
      <w:pPr>
        <w:pStyle w:val="73"/>
        <w:rPr>
          <w:color w:val="000000" w:themeColor="text1"/>
          <w14:textFill>
            <w14:solidFill>
              <w14:schemeClr w14:val="tx1"/>
            </w14:solidFill>
          </w14:textFill>
        </w:rPr>
      </w:pPr>
      <w:bookmarkStart w:id="222" w:name="_Toc44227990"/>
      <w:bookmarkStart w:id="223" w:name="_Toc407356002"/>
      <w:bookmarkStart w:id="224" w:name="_Toc44492453"/>
      <w:bookmarkStart w:id="225" w:name="_Toc24597"/>
      <w:bookmarkStart w:id="226" w:name="_Toc47512239"/>
      <w:bookmarkStart w:id="227" w:name="_Toc20338"/>
      <w:bookmarkStart w:id="228" w:name="_Toc91082301"/>
      <w:r>
        <w:rPr>
          <w:rFonts w:hint="eastAsia"/>
          <w:color w:val="000000" w:themeColor="text1"/>
          <w14:textFill>
            <w14:solidFill>
              <w14:schemeClr w14:val="tx1"/>
            </w14:solidFill>
          </w14:textFill>
        </w:rPr>
        <w:t>9.施工安全、治安保卫和环境保护</w:t>
      </w:r>
      <w:bookmarkEnd w:id="222"/>
      <w:bookmarkEnd w:id="223"/>
      <w:bookmarkEnd w:id="224"/>
      <w:bookmarkEnd w:id="225"/>
      <w:bookmarkEnd w:id="226"/>
      <w:bookmarkEnd w:id="227"/>
      <w:bookmarkEnd w:id="228"/>
    </w:p>
    <w:p>
      <w:pPr>
        <w:pStyle w:val="77"/>
        <w:ind w:firstLine="480"/>
        <w:rPr>
          <w:color w:val="000000" w:themeColor="text1"/>
          <w14:textFill>
            <w14:solidFill>
              <w14:schemeClr w14:val="tx1"/>
            </w14:solidFill>
          </w14:textFill>
        </w:rPr>
      </w:pPr>
      <w:bookmarkStart w:id="229" w:name="_Toc44492454"/>
      <w:bookmarkStart w:id="230" w:name="_Toc6575"/>
      <w:bookmarkStart w:id="231" w:name="_Toc8055"/>
      <w:r>
        <w:rPr>
          <w:rFonts w:hint="eastAsia"/>
          <w:color w:val="000000" w:themeColor="text1"/>
          <w14:textFill>
            <w14:solidFill>
              <w14:schemeClr w14:val="tx1"/>
            </w14:solidFill>
          </w14:textFill>
        </w:rPr>
        <w:t>9.1.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分包人的施工安全责任</w:t>
      </w:r>
      <w:bookmarkEnd w:id="229"/>
      <w:bookmarkEnd w:id="230"/>
      <w:bookmarkEnd w:id="23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严格遵守工程建设安全生产有关管理规定，严格按安全标准组织施工，并随时接受相关安全检查人员依法实施的监督检查，采取充分的安全防护措施，消除事故隐患。除非发包人或监理人通过承包人强令分包人违章作业、冒险施工和单纯因发包人、承包人责任所造成，安全措施不力事故的责任和因此发生的费用，均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分包人应按合同约定履行安全职责,执行监理人有关安全工作的指示，按合同约定的安全工作内容，编制施工安全措施计划报送监理人审批。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分包人应加强施工作业安全管理，特别应加强易燃、易爆材料、火工器材、有毒与腐蚀性材料和其他危险品的管理，以及对爆破作业和地下工程施工等危险作业的管理。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分包人应严格按照国家安全标准制定施工安全操作规程，配备必要的安全生产和劳动保护设施，加强对分包人人员的安全教育，并发放安全工作手册和劳动保护用具。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分包人应按监理人的指示制定应对灾害的紧急预案，通过承包人报送监理人审批。分包人还应按预案做好安全检查，配置必要的救助物资和器材，切实保护好有关人员的人身和财产安全。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合同约定的安全作业环境及安全施工措施所需费用应遵守有关规定，并已包括在暂定合同总价和绿色施工安全防护措施费、相关工作的综合单价中。</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分包人应对其履行合同所雇佣的全部人员的工伤事故承担责任。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由于分包人原因在施工场地内及其毗邻地带造成的第三者人员伤亡和财产损失，由分包人负责赔偿。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分包人如违反安全操作规程，被行政执法部门处罚，由此产生的相关费用由分包人承担。若因此影响发包人声誉导致承包人受处罚的，则承包人有权向分包人相应索赔。</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9.1.10.</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或发包人代表可通过承包人要求立刻撤走任何现场被他认为未能适当地遵守安全施工规定的人员。而无论在任何情况下，此等被解雇的员工在未取得承包人、发包人的书面同意前，均不应再获受雇于现场工作。</w:t>
      </w:r>
    </w:p>
    <w:p>
      <w:pPr>
        <w:pStyle w:val="77"/>
        <w:ind w:firstLine="480"/>
        <w:rPr>
          <w:color w:val="000000" w:themeColor="text1"/>
          <w14:textFill>
            <w14:solidFill>
              <w14:schemeClr w14:val="tx1"/>
            </w14:solidFill>
          </w14:textFill>
        </w:rPr>
      </w:pPr>
      <w:bookmarkStart w:id="232" w:name="_Toc44492455"/>
      <w:bookmarkStart w:id="233" w:name="_Toc30837"/>
      <w:bookmarkStart w:id="234" w:name="_Toc19513"/>
      <w:r>
        <w:rPr>
          <w:rFonts w:hint="eastAsia"/>
          <w:color w:val="000000" w:themeColor="text1"/>
          <w14:textFill>
            <w14:solidFill>
              <w14:schemeClr w14:val="tx1"/>
            </w14:solidFill>
          </w14:textFill>
        </w:rPr>
        <w:t>9.2.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治安保卫</w:t>
      </w:r>
      <w:bookmarkEnd w:id="232"/>
      <w:bookmarkEnd w:id="233"/>
      <w:bookmarkEnd w:id="23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分包人除应协助现场治安管理机构或联防组织维护施工场地的社会治安外，还应做好包括生活区在内的管辖区的治安保卫工作。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工程施工过程中，发生暴乱、爆炸等恐怖事件，以及群殴、械斗等群体性突发治安事件的，承包人和分包人应立即向当地政府报告。分包人应积极协助当地有关部门采取措施平息事态，防止事态扩大，尽量减少财产损失和避免人员伤亡。</w:t>
      </w:r>
    </w:p>
    <w:p>
      <w:pPr>
        <w:pStyle w:val="77"/>
        <w:ind w:firstLine="480"/>
        <w:rPr>
          <w:color w:val="000000" w:themeColor="text1"/>
          <w14:textFill>
            <w14:solidFill>
              <w14:schemeClr w14:val="tx1"/>
            </w14:solidFill>
          </w14:textFill>
        </w:rPr>
      </w:pPr>
      <w:bookmarkStart w:id="235" w:name="_Toc44492456"/>
      <w:bookmarkStart w:id="236" w:name="_Toc1459"/>
      <w:bookmarkStart w:id="237" w:name="_Toc21139"/>
      <w:r>
        <w:rPr>
          <w:rFonts w:hint="eastAsia"/>
          <w:color w:val="000000" w:themeColor="text1"/>
          <w14:textFill>
            <w14:solidFill>
              <w14:schemeClr w14:val="tx1"/>
            </w14:solidFill>
          </w14:textFill>
        </w:rPr>
        <w:t>9.3.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环境保护</w:t>
      </w:r>
      <w:bookmarkEnd w:id="235"/>
      <w:bookmarkEnd w:id="236"/>
      <w:bookmarkEnd w:id="23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分包人在施工过程中，应遵守有关环境保护的法律，履行合同约定的环境保护义务，并对违反法律和合同约定义务所造成的环境破坏、人身伤害和财产损失负责。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分包人应按合同约定的环保工作内容，编制施工环保措施计划，通过承包人报送监理人或业主审批。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9.3.3.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有序地堆放和处理施工废弃物，避免对环境造成破坏。因分包人任意堆放或弃置施工废弃物造成妨碍公共交通、影响城镇居民生活、降低河流行洪能力、危及居民安全、破坏周边环境，或者影响其他分包人施工等后果的，分包人应承担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9.3.4.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分包人应按合同约定，加强对噪声、粉尘、废气、废水和废油的控制，努力降低噪声，控制粉尘和废气浓度，做好废水和废油的治理和排放。</w:t>
      </w:r>
    </w:p>
    <w:p>
      <w:pPr>
        <w:pStyle w:val="77"/>
        <w:ind w:firstLine="480"/>
        <w:rPr>
          <w:color w:val="000000" w:themeColor="text1"/>
          <w14:textFill>
            <w14:solidFill>
              <w14:schemeClr w14:val="tx1"/>
            </w14:solidFill>
          </w14:textFill>
        </w:rPr>
      </w:pPr>
      <w:bookmarkStart w:id="238" w:name="_Toc6004"/>
      <w:bookmarkStart w:id="239" w:name="_Toc44492457"/>
      <w:bookmarkStart w:id="240" w:name="_Toc21843"/>
      <w:r>
        <w:rPr>
          <w:rFonts w:hint="eastAsia"/>
          <w:color w:val="000000" w:themeColor="text1"/>
          <w14:textFill>
            <w14:solidFill>
              <w14:schemeClr w14:val="tx1"/>
            </w14:solidFill>
          </w14:textFill>
        </w:rPr>
        <w:t>9.4.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事故处理</w:t>
      </w:r>
      <w:bookmarkEnd w:id="238"/>
      <w:bookmarkEnd w:id="239"/>
      <w:bookmarkEnd w:id="24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施工过程中发生事故的，分包人应通过承包人立即通知监理人和发包人，并立即组织人员和设备进行紧急抢救和抢修，减少人员伤亡和财产损失，防止事故扩大，并保护事故现场。事故处理的费用在事故处理结束后由确定的责任方承担，分包人不得以事故责任或费用承担的争议为由拒不进行抢救和抢修。事故原因系由分包人引起，则分包人无权要求顺延工期或增加价款；由此给发包人造成损失的（包括政府部门对于发包人作出的处罚），承包人按总承包合同约定赔偿发包人，分包人相应赔偿承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发包人、承包人、分包人对事故责任有争议时，应按政府有关部门的认定处理。</w:t>
      </w:r>
    </w:p>
    <w:p>
      <w:pPr>
        <w:pStyle w:val="73"/>
        <w:rPr>
          <w:color w:val="000000" w:themeColor="text1"/>
          <w14:textFill>
            <w14:solidFill>
              <w14:schemeClr w14:val="tx1"/>
            </w14:solidFill>
          </w14:textFill>
        </w:rPr>
      </w:pPr>
      <w:bookmarkStart w:id="241" w:name="_Toc44492458"/>
      <w:bookmarkStart w:id="242" w:name="_Toc28501"/>
      <w:bookmarkStart w:id="243" w:name="_Toc47512240"/>
      <w:bookmarkStart w:id="244" w:name="_Toc407356003"/>
      <w:bookmarkStart w:id="245" w:name="_Toc44227991"/>
      <w:bookmarkStart w:id="246" w:name="_Toc91082302"/>
      <w:bookmarkStart w:id="247" w:name="_Toc31865"/>
      <w:r>
        <w:rPr>
          <w:rFonts w:hint="eastAsia"/>
          <w:color w:val="000000" w:themeColor="text1"/>
          <w14:textFill>
            <w14:solidFill>
              <w14:schemeClr w14:val="tx1"/>
            </w14:solidFill>
          </w14:textFill>
        </w:rPr>
        <w:t>10.进度计划</w:t>
      </w:r>
      <w:bookmarkEnd w:id="241"/>
      <w:bookmarkEnd w:id="242"/>
      <w:bookmarkEnd w:id="243"/>
      <w:bookmarkEnd w:id="244"/>
      <w:bookmarkEnd w:id="245"/>
      <w:bookmarkEnd w:id="246"/>
      <w:bookmarkEnd w:id="247"/>
    </w:p>
    <w:p>
      <w:pPr>
        <w:pStyle w:val="77"/>
        <w:ind w:firstLine="480"/>
        <w:rPr>
          <w:color w:val="000000" w:themeColor="text1"/>
          <w14:textFill>
            <w14:solidFill>
              <w14:schemeClr w14:val="tx1"/>
            </w14:solidFill>
          </w14:textFill>
        </w:rPr>
      </w:pPr>
      <w:bookmarkStart w:id="248" w:name="_Toc4295"/>
      <w:bookmarkStart w:id="249" w:name="_Toc10547"/>
      <w:bookmarkStart w:id="250" w:name="_Toc44492459"/>
      <w:r>
        <w:rPr>
          <w:rFonts w:hint="eastAsia"/>
          <w:color w:val="000000" w:themeColor="text1"/>
          <w14:textFill>
            <w14:solidFill>
              <w14:schemeClr w14:val="tx1"/>
            </w14:solidFill>
          </w14:textFill>
        </w:rPr>
        <w:t>10.1.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合同进度计划</w:t>
      </w:r>
      <w:bookmarkEnd w:id="248"/>
      <w:bookmarkEnd w:id="249"/>
      <w:bookmarkEnd w:id="25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专用条款约定的内容和期限，编制详细的施工进度计划通过承包人报送监理人或发包人。监理人应在专用条款约定的期限内征求发包人意见后，批复或提出修改意见。经监理人批准的施工进度计划为合同进度计划，是控制合同工程进度的依据。分包人还应根据合同进度计划，编制更为详细的分阶段或分项进度计划，通过承包人报监理人或发包人审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合同实施过程中发包人控制的工期节点时间在专用条款中说明。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必须按发包人、监理人和承包人确认的进度计划组织施工，接受承包人、发包人和监理人对进度的检查、监督。工程实际进度与经确认的进度计划不符时，分包人应按承包人、发包人和监理人的要求提出改进措施，经承包人、发包人和监理人确认后执行。因分包人的原因导致实际进度与进度计划不符，分包人不但无权就改进措施提出追加合同价款。</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专用条款约定的日期通过承包人向发包人及监理人报送当月完工报表及下月施工计划（月计划必须满足工程总体计划要求），如不按时报送或所报计划不能满足承包人及发包人要求，承包人可延期支付工程进度款。</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无论发包人何时需要，分包人还应以书面形式通过承包人提交一份对其进行分包工程的施工安排和拟采用方法的总体说明，供发包人参考。如果发包人认为分包工程的实际进度不符合他已同意的进度计划时，分包人应根据发包人的要求提交一份修订的进度计划，表明为保证分包工程在分包人的竣工时间内完工而对原进度计划所作的必要修改，但发包人对分包人的管理不能免除承包人对分包的管理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分包人保证承包项目在合同工期内完成，同时保证给予分包项目以合理的施工衔接环节与施工进度时间，确保各项工程均在合同工期内同步进行。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进度计划是分包人出具的对承包人、发包人的最低承诺，发包人或监理人对施工进度计划的批准,并不解除分包人根据合同规定应承担的责任，经发包人或监理人批准的施工进度计划本身出现问题或错误时，一切额外支出和工期延误由分包人负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发包人代表或监理人认为工程的进度滞后于原定的施工计划，不能按工期完成时，发包人代表或监理人有权通过承包人通知分包人采取适当的、必要的措施，在保证工程质量和安全的前提下加快工程进度以便按时完工。分包人采取这种措施无权另收费用。</w:t>
      </w:r>
      <w:bookmarkStart w:id="251" w:name="_Toc11979"/>
      <w:bookmarkStart w:id="252" w:name="_Toc15433"/>
      <w:bookmarkStart w:id="253" w:name="_Toc4449246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合同进度计划的修订</w:t>
      </w:r>
      <w:bookmarkEnd w:id="251"/>
      <w:bookmarkEnd w:id="252"/>
      <w:bookmarkEnd w:id="253"/>
      <w:bookmarkStart w:id="254" w:name="_Toc4449246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论何种原因造成工程的实际进度与第10.1款的合同进度计划不符时，分包人可以通过承包人向监理人或发包人提交修订合同进度计划的申请报告，并附有关措施和相关资料，报监理人及发包人审批；发包人认为本工程或其中任何部分工程进度滞后而不能按预定工期完工，有权通过承包人向分包人发出修订工程进度计划的书面指令。分包人应在接到发包人指令后的七（7）天内将修订后的进度计划通过承包人提交给发包人。修改后的工程进度计划，仍应保证本合同工程在合同约定的工期内完成。同时分包人应加大投入，确保工程能在合同约定的工期内完成。如分包人未能在此时限内提交修订后的进度计划或未采取有效措施，发包人有权要求承包人单方面解除合同，或要求承包人将未完工程的全部或一部分另行安排给其他有能力的分包商，分包人必须无条件服从，由此产生的费用由分包人承担，发包人有权通过承包人从应支付给分包人的任何款项中予以扣除，且不免除分包人应负的责任和义务。监理人也可以直接通过承包人向分包人作出修订合同进度计划的指示，分包人应按该指示修订合同进度计划，通过承包人报监理人审批，监理人在批复前应获得发包人同意。</w:t>
      </w:r>
      <w:bookmarkEnd w:id="254"/>
    </w:p>
    <w:p>
      <w:pPr>
        <w:pStyle w:val="73"/>
        <w:rPr>
          <w:color w:val="000000" w:themeColor="text1"/>
          <w14:textFill>
            <w14:solidFill>
              <w14:schemeClr w14:val="tx1"/>
            </w14:solidFill>
          </w14:textFill>
        </w:rPr>
      </w:pPr>
      <w:bookmarkStart w:id="255" w:name="_Toc407356004"/>
      <w:bookmarkStart w:id="256" w:name="_Toc44492462"/>
      <w:bookmarkStart w:id="257" w:name="_Toc7010"/>
      <w:bookmarkStart w:id="258" w:name="_Toc44227992"/>
      <w:bookmarkStart w:id="259" w:name="_Toc29027"/>
      <w:bookmarkStart w:id="260" w:name="_Toc91082303"/>
      <w:bookmarkStart w:id="261" w:name="_Toc47512241"/>
      <w:r>
        <w:rPr>
          <w:rFonts w:hint="eastAsia"/>
          <w:color w:val="000000" w:themeColor="text1"/>
          <w14:textFill>
            <w14:solidFill>
              <w14:schemeClr w14:val="tx1"/>
            </w14:solidFill>
          </w14:textFill>
        </w:rPr>
        <w:t>11.开工和竣工</w:t>
      </w:r>
      <w:bookmarkEnd w:id="255"/>
      <w:bookmarkEnd w:id="256"/>
      <w:bookmarkEnd w:id="257"/>
      <w:bookmarkEnd w:id="258"/>
      <w:bookmarkEnd w:id="259"/>
      <w:bookmarkEnd w:id="260"/>
      <w:bookmarkEnd w:id="261"/>
    </w:p>
    <w:p>
      <w:pPr>
        <w:pStyle w:val="77"/>
        <w:ind w:firstLine="480"/>
        <w:rPr>
          <w:color w:val="000000" w:themeColor="text1"/>
          <w14:textFill>
            <w14:solidFill>
              <w14:schemeClr w14:val="tx1"/>
            </w14:solidFill>
          </w14:textFill>
        </w:rPr>
      </w:pPr>
      <w:bookmarkStart w:id="262" w:name="_Toc44492463"/>
      <w:bookmarkStart w:id="263" w:name="_Toc15206"/>
      <w:bookmarkStart w:id="264" w:name="_Toc13747"/>
      <w:r>
        <w:rPr>
          <w:rFonts w:hint="eastAsia"/>
          <w:color w:val="000000" w:themeColor="text1"/>
          <w14:textFill>
            <w14:solidFill>
              <w14:schemeClr w14:val="tx1"/>
            </w14:solidFill>
          </w14:textFill>
        </w:rPr>
        <w:t>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开工</w:t>
      </w:r>
      <w:bookmarkEnd w:id="262"/>
      <w:bookmarkEnd w:id="263"/>
      <w:bookmarkEnd w:id="26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的合同进度计划，通过承包人向监理人或发包人提交工程开工报审表，经监理人或发包人审批后执行。开工报审表应详细说明按合同进度计划正常施工所需的施工道路、临时设施、材料设备、施工人员等施工组织措施的落实情况以及工程的进度安排。</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在开工前检查本工程工地上已由其他施工单位完成而又会影响到本工程的所有工程之标高、定位、尺寸、质量等，只要该等工程符合国家规范要求，分包人就必须接收施工场地。若此等已完成工程内存在错误或不符合本工程的需要，分包人应当立刻书面通知发包人。一旦分包人接收施工场地或本工程已经开工，且未通知发包人已完成工程内存在的错误或不配合本工程需要之处，则均视为前条所述已完工程均已符合国家规范并满足本工程需要，此后如发现该等已完工程仍存在需要整改或修补或不满足本工程需要的情形，则一切责任由分包人自行承担，本合同项下工期及各项暂定合同总价均不作调整。</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不能按时开工的，应当不迟于发包人要求的开工日期前7天，以书面形式向发包人和监理人提出延期开工的理由和要求。发包人和监理人应当在接到延期开工申请后的48小时内以书面形式答复分包人。发包人和监理人在接到延期开工申请后48小时内不答复，视为同意分包人要求，工期相应顺延。发包人和监理人不同意延期要求或分包人未在规定时间内提出延期开工要求，工期不予顺延。</w:t>
      </w:r>
    </w:p>
    <w:p>
      <w:pPr>
        <w:pStyle w:val="77"/>
        <w:ind w:firstLine="480"/>
        <w:rPr>
          <w:color w:val="000000" w:themeColor="text1"/>
          <w14:textFill>
            <w14:solidFill>
              <w14:schemeClr w14:val="tx1"/>
            </w14:solidFill>
          </w14:textFill>
        </w:rPr>
      </w:pPr>
      <w:bookmarkStart w:id="265" w:name="_Toc29150"/>
      <w:bookmarkStart w:id="266" w:name="_Toc44492464"/>
      <w:bookmarkStart w:id="267" w:name="_Toc15601"/>
      <w:r>
        <w:rPr>
          <w:rFonts w:hint="eastAsia"/>
          <w:color w:val="000000" w:themeColor="text1"/>
          <w14:textFill>
            <w14:solidFill>
              <w14:schemeClr w14:val="tx1"/>
            </w14:solidFill>
          </w14:textFill>
        </w:rPr>
        <w:t>11.2.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w:t>
      </w:r>
      <w:bookmarkEnd w:id="265"/>
      <w:bookmarkEnd w:id="266"/>
      <w:bookmarkEnd w:id="26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分包人应在合同约定的期限内完成合同工程。</w:t>
      </w:r>
    </w:p>
    <w:p>
      <w:pPr>
        <w:pStyle w:val="77"/>
        <w:ind w:firstLine="480"/>
        <w:rPr>
          <w:color w:val="000000" w:themeColor="text1"/>
          <w14:textFill>
            <w14:solidFill>
              <w14:schemeClr w14:val="tx1"/>
            </w14:solidFill>
          </w14:textFill>
        </w:rPr>
      </w:pPr>
      <w:bookmarkStart w:id="268" w:name="_Toc6841"/>
      <w:bookmarkStart w:id="269" w:name="_Toc17979"/>
      <w:bookmarkStart w:id="270" w:name="_Toc44492465"/>
      <w:r>
        <w:rPr>
          <w:rFonts w:hint="eastAsia"/>
          <w:color w:val="000000" w:themeColor="text1"/>
          <w14:textFill>
            <w14:solidFill>
              <w14:schemeClr w14:val="tx1"/>
            </w14:solidFill>
          </w14:textFill>
        </w:rPr>
        <w:t>11.3.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发包人的工期延误</w:t>
      </w:r>
      <w:bookmarkEnd w:id="268"/>
      <w:bookmarkEnd w:id="269"/>
      <w:bookmarkEnd w:id="27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在履行合同过程中，由于发包人的下列原因造成工期延误，分包人有权通过承包人要求发包人延长工期，但不得因此索赔费用。需要修订合同进度计划的，按照第10.2款的约定办理。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发包人未能按的约定提供图纸及开工条件；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发包人迟延提供材料、工程设备；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约定的其他情形。</w:t>
      </w:r>
    </w:p>
    <w:p>
      <w:pPr>
        <w:pStyle w:val="77"/>
        <w:ind w:firstLine="480"/>
        <w:rPr>
          <w:color w:val="000000" w:themeColor="text1"/>
          <w14:textFill>
            <w14:solidFill>
              <w14:schemeClr w14:val="tx1"/>
            </w14:solidFill>
          </w14:textFill>
        </w:rPr>
      </w:pPr>
      <w:bookmarkStart w:id="271" w:name="_Toc44492466"/>
      <w:bookmarkStart w:id="272" w:name="_Toc1176"/>
      <w:bookmarkStart w:id="273" w:name="_Toc506"/>
      <w:r>
        <w:rPr>
          <w:rFonts w:hint="eastAsia"/>
          <w:color w:val="000000" w:themeColor="text1"/>
          <w14:textFill>
            <w14:solidFill>
              <w14:schemeClr w14:val="tx1"/>
            </w14:solidFill>
          </w14:textFill>
        </w:rPr>
        <w:t>11.4.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异常恶劣的气候条件</w:t>
      </w:r>
      <w:bookmarkEnd w:id="271"/>
      <w:bookmarkEnd w:id="272"/>
      <w:bookmarkEnd w:id="27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由于出现专用条款规定的异常恶劣气候的条件导致工期延误的，分包人有权通过承包人要求发包人延长工期。</w:t>
      </w:r>
    </w:p>
    <w:p>
      <w:pPr>
        <w:pStyle w:val="77"/>
        <w:ind w:firstLine="480"/>
        <w:rPr>
          <w:color w:val="000000" w:themeColor="text1"/>
          <w14:textFill>
            <w14:solidFill>
              <w14:schemeClr w14:val="tx1"/>
            </w14:solidFill>
          </w14:textFill>
        </w:rPr>
      </w:pPr>
      <w:bookmarkStart w:id="274" w:name="_Toc27117"/>
      <w:bookmarkStart w:id="275" w:name="_Toc32260"/>
      <w:bookmarkStart w:id="276" w:name="_Toc44492467"/>
      <w:r>
        <w:rPr>
          <w:rFonts w:hint="eastAsia"/>
          <w:color w:val="000000" w:themeColor="text1"/>
          <w14:textFill>
            <w14:solidFill>
              <w14:schemeClr w14:val="tx1"/>
            </w14:solidFill>
          </w14:textFill>
        </w:rPr>
        <w:t>11.5.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分包人的工期延误</w:t>
      </w:r>
      <w:bookmarkEnd w:id="274"/>
      <w:bookmarkEnd w:id="275"/>
      <w:bookmarkEnd w:id="27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由于分包人原因，未能按合同进度计划完成工作，或监理人认为分包人施工进度不能满足合同工期要求的，分包人应采取措施加快进度，并承担加快进度所增加的费用。由于分包人原因造成节点工期延误和(或)竣工工期延误，分包人应支付逾期节点工期违约金和(或)竣工违约金给承包人，承包人按总承包合同的约定支付相应的违约金给发包人。分包人支付逾期竣工违约金，不免除分包人完成工程及修补缺陷的义务。分包人工期延误的其他约定见专用条款。</w:t>
      </w:r>
    </w:p>
    <w:p>
      <w:pPr>
        <w:pStyle w:val="77"/>
        <w:ind w:firstLine="480"/>
        <w:rPr>
          <w:color w:val="000000" w:themeColor="text1"/>
          <w14:textFill>
            <w14:solidFill>
              <w14:schemeClr w14:val="tx1"/>
            </w14:solidFill>
          </w14:textFill>
        </w:rPr>
      </w:pPr>
      <w:bookmarkStart w:id="277" w:name="_Toc27291"/>
      <w:bookmarkStart w:id="278" w:name="_Toc20343"/>
      <w:bookmarkStart w:id="279" w:name="_Toc44492468"/>
      <w:r>
        <w:rPr>
          <w:rFonts w:hint="eastAsia"/>
          <w:color w:val="000000" w:themeColor="text1"/>
          <w14:textFill>
            <w14:solidFill>
              <w14:schemeClr w14:val="tx1"/>
            </w14:solidFill>
          </w14:textFill>
        </w:rPr>
        <w:t>11.6.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工期提前</w:t>
      </w:r>
      <w:bookmarkEnd w:id="277"/>
      <w:bookmarkEnd w:id="278"/>
      <w:bookmarkEnd w:id="27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11.6.1.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发包人通过承包人要求分包人提前竣工，或分包人提出提前竣工的建议能够给发包人带来效益的，应由监理人与承包人、分包人共同协商采取加快工程进度的措施，修订合同进度计划。 工期提前的具体奖惩约定见专用条款。</w:t>
      </w:r>
    </w:p>
    <w:p>
      <w:pPr>
        <w:pStyle w:val="73"/>
        <w:rPr>
          <w:color w:val="000000" w:themeColor="text1"/>
          <w14:textFill>
            <w14:solidFill>
              <w14:schemeClr w14:val="tx1"/>
            </w14:solidFill>
          </w14:textFill>
        </w:rPr>
      </w:pPr>
      <w:bookmarkStart w:id="280" w:name="_Toc44227993"/>
      <w:bookmarkStart w:id="281" w:name="_Toc24689"/>
      <w:bookmarkStart w:id="282" w:name="_Toc407356005"/>
      <w:bookmarkStart w:id="283" w:name="_Toc91082304"/>
      <w:bookmarkStart w:id="284" w:name="_Toc44492469"/>
      <w:bookmarkStart w:id="285" w:name="_Toc47512242"/>
      <w:bookmarkStart w:id="286" w:name="_Toc14815"/>
      <w:r>
        <w:rPr>
          <w:rFonts w:hint="eastAsia"/>
          <w:color w:val="000000" w:themeColor="text1"/>
          <w14:textFill>
            <w14:solidFill>
              <w14:schemeClr w14:val="tx1"/>
            </w14:solidFill>
          </w14:textFill>
        </w:rPr>
        <w:t>12.暂停施工</w:t>
      </w:r>
      <w:bookmarkEnd w:id="280"/>
      <w:bookmarkEnd w:id="281"/>
      <w:bookmarkEnd w:id="282"/>
      <w:bookmarkEnd w:id="283"/>
      <w:bookmarkEnd w:id="284"/>
      <w:bookmarkEnd w:id="285"/>
      <w:bookmarkEnd w:id="286"/>
    </w:p>
    <w:p>
      <w:pPr>
        <w:pStyle w:val="77"/>
        <w:ind w:firstLine="480"/>
        <w:rPr>
          <w:color w:val="000000" w:themeColor="text1"/>
          <w14:textFill>
            <w14:solidFill>
              <w14:schemeClr w14:val="tx1"/>
            </w14:solidFill>
          </w14:textFill>
        </w:rPr>
      </w:pPr>
      <w:bookmarkStart w:id="287" w:name="_Toc4096"/>
      <w:bookmarkStart w:id="288" w:name="_Toc44492470"/>
      <w:bookmarkStart w:id="289" w:name="_Toc14730"/>
      <w:r>
        <w:rPr>
          <w:rFonts w:hint="eastAsia"/>
          <w:color w:val="000000" w:themeColor="text1"/>
          <w14:textFill>
            <w14:solidFill>
              <w14:schemeClr w14:val="tx1"/>
            </w14:solidFill>
          </w14:textFill>
        </w:rPr>
        <w:t>12.1.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分包人暂停施工的责任</w:t>
      </w:r>
      <w:bookmarkEnd w:id="287"/>
      <w:bookmarkEnd w:id="288"/>
      <w:bookmarkEnd w:id="28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因下列暂停施工增加的费用和（或）工期延误由分包人承担：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分包人违约引起的暂停施工；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由于分包人原因为工程合理施工和安全保障所必需的暂停施工；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分包人擅自暂停施工；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分包人其他原因引起的暂停施工。</w:t>
      </w:r>
    </w:p>
    <w:p>
      <w:pPr>
        <w:pStyle w:val="77"/>
        <w:ind w:firstLine="480"/>
        <w:rPr>
          <w:color w:val="000000" w:themeColor="text1"/>
          <w14:textFill>
            <w14:solidFill>
              <w14:schemeClr w14:val="tx1"/>
            </w14:solidFill>
          </w14:textFill>
        </w:rPr>
      </w:pPr>
      <w:bookmarkStart w:id="290" w:name="_Toc30240"/>
      <w:bookmarkStart w:id="291" w:name="_Toc23100"/>
      <w:bookmarkStart w:id="292" w:name="_Toc44492471"/>
      <w:r>
        <w:rPr>
          <w:rFonts w:hint="eastAsia"/>
          <w:color w:val="000000" w:themeColor="text1"/>
          <w14:textFill>
            <w14:solidFill>
              <w14:schemeClr w14:val="tx1"/>
            </w14:solidFill>
          </w14:textFill>
        </w:rPr>
        <w:t>12.2.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承包人暂停施工的责任</w:t>
      </w:r>
      <w:bookmarkEnd w:id="290"/>
      <w:bookmarkEnd w:id="291"/>
      <w:bookmarkEnd w:id="29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由于承包人原因引起的暂停施工造成工期延误的，分包人有权通过承包人要求发包人延长工期和（或）增加费用。具体约定见专用条款。</w:t>
      </w:r>
    </w:p>
    <w:p>
      <w:pPr>
        <w:pStyle w:val="77"/>
        <w:ind w:firstLine="480"/>
        <w:rPr>
          <w:color w:val="000000" w:themeColor="text1"/>
          <w14:textFill>
            <w14:solidFill>
              <w14:schemeClr w14:val="tx1"/>
            </w14:solidFill>
          </w14:textFill>
        </w:rPr>
      </w:pPr>
      <w:bookmarkStart w:id="293" w:name="_Toc16810"/>
      <w:bookmarkStart w:id="294" w:name="_Toc12192"/>
      <w:bookmarkStart w:id="295" w:name="_Toc44492472"/>
      <w:r>
        <w:rPr>
          <w:rFonts w:hint="eastAsia"/>
          <w:color w:val="000000" w:themeColor="text1"/>
          <w14:textFill>
            <w14:solidFill>
              <w14:schemeClr w14:val="tx1"/>
            </w14:solidFill>
          </w14:textFill>
        </w:rPr>
        <w:t>12.3.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监理人暂停施工指示</w:t>
      </w:r>
      <w:bookmarkEnd w:id="293"/>
      <w:bookmarkEnd w:id="294"/>
      <w:bookmarkEnd w:id="29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认为有必要时，经发包人同意，可通过承包人向分包人作出暂停施工的指示，分包人应按监理人指示暂停施工。不论由于何种原因引起的暂停施工，暂停施工期间分包人应负责妥善保护工程并提供安全保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由于发包人的原因发生暂停施工的紧急情况，且监理人未及时下达暂停施工指示的，分包人应及时通过承包人向监理人和发包人提出暂停施工的请求。监理人和发包人应在接到请求后的24小时内予以答复，逾期未答复的，视为不同意分包人的暂停施工请求。</w:t>
      </w:r>
    </w:p>
    <w:p>
      <w:pPr>
        <w:pStyle w:val="77"/>
        <w:ind w:firstLine="480"/>
        <w:rPr>
          <w:color w:val="000000" w:themeColor="text1"/>
          <w14:textFill>
            <w14:solidFill>
              <w14:schemeClr w14:val="tx1"/>
            </w14:solidFill>
          </w14:textFill>
        </w:rPr>
      </w:pPr>
      <w:bookmarkStart w:id="296" w:name="_Toc1375"/>
      <w:bookmarkStart w:id="297" w:name="_Toc44492473"/>
      <w:bookmarkStart w:id="298" w:name="_Toc4186"/>
      <w:r>
        <w:rPr>
          <w:rFonts w:hint="eastAsia"/>
          <w:color w:val="000000" w:themeColor="text1"/>
          <w14:textFill>
            <w14:solidFill>
              <w14:schemeClr w14:val="tx1"/>
            </w14:solidFill>
          </w14:textFill>
        </w:rPr>
        <w:t>12.4.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暂停施工后的复工</w:t>
      </w:r>
      <w:bookmarkEnd w:id="296"/>
      <w:bookmarkEnd w:id="297"/>
      <w:bookmarkEnd w:id="29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暂停施工后，监理人应与发包人和承包人、分包人协商，采取有效措施积极消除暂停施工的影响，促成达到复工条件。当工程具备复工条件时，监理人应在取得发包人同意后通过承包人立即向分包人发出复工通知。分包人收到复工通知后，应在监理人指定的期限内复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发出复工通知后，监理人应和承包人、分包人一起对受到暂停施工影响的工程、材料和工程设备进行检查。分包人负责修复在暂停施工期间发生在工程、材料和工程设备上的任何损蚀、缺陷或损失，有关费用承担的约定见专用条款12.2.1条的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12.4.3.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分包人无故拖延和拒绝复工的，由此增加的费用和工期延误由分包人承担；因发包人原因无法按时复工的，分包人有权通过承包人要求发包人延长工期和（或）增加费用。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12.4.4.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其他约定见专用条款。</w:t>
      </w:r>
    </w:p>
    <w:p>
      <w:pPr>
        <w:pStyle w:val="77"/>
        <w:ind w:firstLine="480"/>
        <w:rPr>
          <w:color w:val="000000" w:themeColor="text1"/>
          <w14:textFill>
            <w14:solidFill>
              <w14:schemeClr w14:val="tx1"/>
            </w14:solidFill>
          </w14:textFill>
        </w:rPr>
      </w:pPr>
      <w:bookmarkStart w:id="299" w:name="_Toc27597"/>
      <w:bookmarkStart w:id="300" w:name="_Toc44492474"/>
      <w:bookmarkStart w:id="301" w:name="_Toc12498"/>
      <w:r>
        <w:rPr>
          <w:rFonts w:hint="eastAsia"/>
          <w:color w:val="000000" w:themeColor="text1"/>
          <w14:textFill>
            <w14:solidFill>
              <w14:schemeClr w14:val="tx1"/>
            </w14:solidFill>
          </w14:textFill>
        </w:rPr>
        <w:t>12.5.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分包人采取合理措施防止损失扩大</w:t>
      </w:r>
      <w:bookmarkEnd w:id="299"/>
      <w:bookmarkEnd w:id="300"/>
      <w:bookmarkEnd w:id="30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无论任何原因，在工程暂停的情况下，分包人应采取合理措施，避免损失的进一步扩大。该等合理措施包括，在工程暂停期间，妥善保管已完工程，合理安排驻守工地的施工人员和机械，具体方案分包人需通过承包人报经发包人和监理人批准后实施。一旦对于窝工损失发生争议，则分包人应当证明其采取了所有可能采取的合理措施以避免损失扩大，并应当提供书面的记录或文件予以佐证。</w:t>
      </w:r>
    </w:p>
    <w:p>
      <w:pPr>
        <w:pStyle w:val="73"/>
        <w:rPr>
          <w:color w:val="000000" w:themeColor="text1"/>
          <w14:textFill>
            <w14:solidFill>
              <w14:schemeClr w14:val="tx1"/>
            </w14:solidFill>
          </w14:textFill>
        </w:rPr>
      </w:pPr>
      <w:bookmarkStart w:id="302" w:name="_Toc44227994"/>
      <w:bookmarkStart w:id="303" w:name="_Toc44492475"/>
      <w:bookmarkStart w:id="304" w:name="_Toc407356006"/>
      <w:bookmarkStart w:id="305" w:name="_Toc2177"/>
      <w:bookmarkStart w:id="306" w:name="_Toc47512243"/>
      <w:bookmarkStart w:id="307" w:name="_Toc1325"/>
      <w:bookmarkStart w:id="308" w:name="_Toc91082305"/>
      <w:r>
        <w:rPr>
          <w:rFonts w:hint="eastAsia"/>
          <w:color w:val="000000" w:themeColor="text1"/>
          <w14:textFill>
            <w14:solidFill>
              <w14:schemeClr w14:val="tx1"/>
            </w14:solidFill>
          </w14:textFill>
        </w:rPr>
        <w:t>13.工程质量</w:t>
      </w:r>
      <w:bookmarkEnd w:id="302"/>
      <w:bookmarkEnd w:id="303"/>
      <w:bookmarkEnd w:id="304"/>
      <w:bookmarkEnd w:id="305"/>
      <w:bookmarkEnd w:id="306"/>
      <w:bookmarkEnd w:id="307"/>
      <w:bookmarkEnd w:id="308"/>
    </w:p>
    <w:p>
      <w:pPr>
        <w:pStyle w:val="77"/>
        <w:ind w:firstLine="480"/>
        <w:rPr>
          <w:color w:val="000000" w:themeColor="text1"/>
          <w14:textFill>
            <w14:solidFill>
              <w14:schemeClr w14:val="tx1"/>
            </w14:solidFill>
          </w14:textFill>
        </w:rPr>
      </w:pPr>
      <w:bookmarkStart w:id="309" w:name="_Toc2053"/>
      <w:bookmarkStart w:id="310" w:name="_Toc31261"/>
      <w:bookmarkStart w:id="311" w:name="_Toc44492476"/>
      <w:r>
        <w:rPr>
          <w:rFonts w:hint="eastAsia"/>
          <w:color w:val="000000" w:themeColor="text1"/>
          <w14:textFill>
            <w14:solidFill>
              <w14:schemeClr w14:val="tx1"/>
            </w14:solidFill>
          </w14:textFill>
        </w:rPr>
        <w:t>13.1.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工程质量要求</w:t>
      </w:r>
      <w:bookmarkEnd w:id="309"/>
      <w:bookmarkEnd w:id="310"/>
      <w:bookmarkEnd w:id="31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工程质量验收按合同专用条款和法律法规规章、规范性文件规定的验收标准执行。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因分包人原因造成工程质量达不到合同约定验收标准的，监理人有权通过承包人要求分包人返工直至符合合同要求为止，由此造成的费用增加和（或）工期延误由分包人承担。</w:t>
      </w:r>
    </w:p>
    <w:p>
      <w:pPr>
        <w:pStyle w:val="77"/>
        <w:ind w:firstLine="480"/>
        <w:rPr>
          <w:color w:val="000000" w:themeColor="text1"/>
          <w14:textFill>
            <w14:solidFill>
              <w14:schemeClr w14:val="tx1"/>
            </w14:solidFill>
          </w14:textFill>
        </w:rPr>
      </w:pPr>
      <w:bookmarkStart w:id="312" w:name="_Toc13256"/>
      <w:bookmarkStart w:id="313" w:name="_Toc3972"/>
      <w:bookmarkStart w:id="314" w:name="_Toc44492477"/>
      <w:r>
        <w:rPr>
          <w:rFonts w:hint="eastAsia"/>
          <w:color w:val="000000" w:themeColor="text1"/>
          <w14:textFill>
            <w14:solidFill>
              <w14:schemeClr w14:val="tx1"/>
            </w14:solidFill>
          </w14:textFill>
        </w:rPr>
        <w:t>13.2.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分包人的质量管理</w:t>
      </w:r>
      <w:bookmarkEnd w:id="312"/>
      <w:bookmarkEnd w:id="313"/>
      <w:bookmarkEnd w:id="31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分包人应在施工场地设置专门的质量检查机构或人员，建立完善的质量检查制度。分包人应在合同约定的期限内，提交工程质量保证措施文件，包括质量检查机构或质量检查人员岗位责任、质检人员的组成、质量检查程序和实施细则等，报送监理人审批。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分包人应加强对施工人员的质量教育和技术培训，定期考核施工人员的劳动技能，严格执行规范和操作规程。</w:t>
      </w:r>
    </w:p>
    <w:p>
      <w:pPr>
        <w:pStyle w:val="77"/>
        <w:ind w:firstLine="480"/>
        <w:rPr>
          <w:color w:val="000000" w:themeColor="text1"/>
          <w14:textFill>
            <w14:solidFill>
              <w14:schemeClr w14:val="tx1"/>
            </w14:solidFill>
          </w14:textFill>
        </w:rPr>
      </w:pPr>
      <w:bookmarkStart w:id="315" w:name="_Toc28683"/>
      <w:bookmarkStart w:id="316" w:name="_Toc21520"/>
      <w:bookmarkStart w:id="317" w:name="_Toc44492478"/>
      <w:r>
        <w:rPr>
          <w:rFonts w:hint="eastAsia"/>
          <w:color w:val="000000" w:themeColor="text1"/>
          <w14:textFill>
            <w14:solidFill>
              <w14:schemeClr w14:val="tx1"/>
            </w14:solidFill>
          </w14:textFill>
        </w:rPr>
        <w:t>13.3.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分包人的质量检查</w:t>
      </w:r>
      <w:bookmarkEnd w:id="315"/>
      <w:bookmarkEnd w:id="316"/>
      <w:bookmarkEnd w:id="31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分包人应按合同约定对材料、工程设备以及工程的所有部位及其施工工艺进行全过程的质量检查和检验，并作详细记录，编制工程质量报表，通过承包人报送监理人审查。</w:t>
      </w:r>
    </w:p>
    <w:p>
      <w:pPr>
        <w:pStyle w:val="77"/>
        <w:ind w:firstLine="480"/>
        <w:rPr>
          <w:color w:val="000000" w:themeColor="text1"/>
          <w14:textFill>
            <w14:solidFill>
              <w14:schemeClr w14:val="tx1"/>
            </w14:solidFill>
          </w14:textFill>
        </w:rPr>
      </w:pPr>
      <w:bookmarkStart w:id="318" w:name="_Toc44492479"/>
      <w:bookmarkStart w:id="319" w:name="_Toc10065"/>
      <w:bookmarkStart w:id="320" w:name="_Toc28118"/>
      <w:r>
        <w:rPr>
          <w:rFonts w:hint="eastAsia"/>
          <w:color w:val="000000" w:themeColor="text1"/>
          <w14:textFill>
            <w14:solidFill>
              <w14:schemeClr w14:val="tx1"/>
            </w14:solidFill>
          </w14:textFill>
        </w:rPr>
        <w:t>13.4.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监理人的质量检查</w:t>
      </w:r>
      <w:bookmarkEnd w:id="318"/>
      <w:bookmarkEnd w:id="319"/>
      <w:bookmarkEnd w:id="32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有权对工程的所有部位及其施工工艺、材料和工程设备进行检查和检验。分包人应为监理人的检查和检验提供方便，包括监理人到施工场地，或制造、加工地点，或合同约定的其他地方进行察看和查阅施工原始记录。分包人还应按监理人指示，进行施工场地取样试验、工程复核测量和设备性能检测，提供试验样品、提交试验报告和测量成果以及监理人要求进行的其他工作。监理人的检查和检验，不免除分包人按合同约定应负的责任。</w:t>
      </w:r>
    </w:p>
    <w:p>
      <w:pPr>
        <w:pStyle w:val="77"/>
        <w:ind w:firstLine="480"/>
        <w:rPr>
          <w:color w:val="000000" w:themeColor="text1"/>
          <w14:textFill>
            <w14:solidFill>
              <w14:schemeClr w14:val="tx1"/>
            </w14:solidFill>
          </w14:textFill>
        </w:rPr>
      </w:pPr>
      <w:bookmarkStart w:id="321" w:name="_Toc32064"/>
      <w:bookmarkStart w:id="322" w:name="_Toc44492480"/>
      <w:bookmarkStart w:id="323" w:name="_Toc18740"/>
      <w:r>
        <w:rPr>
          <w:rFonts w:hint="eastAsia"/>
          <w:color w:val="000000" w:themeColor="text1"/>
          <w14:textFill>
            <w14:solidFill>
              <w14:schemeClr w14:val="tx1"/>
            </w14:solidFill>
          </w14:textFill>
        </w:rPr>
        <w:t>13.5.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工程隐蔽部位覆盖前的检查</w:t>
      </w:r>
      <w:bookmarkEnd w:id="321"/>
      <w:bookmarkEnd w:id="322"/>
      <w:bookmarkEnd w:id="32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通知监理人检查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经分包人自检确认的工程隐蔽部位具备覆盖条件后，分包人应通过承包人通知监理人在约定的期限内检查并通知发包人到场。</w:t>
      </w:r>
      <w:r>
        <w:rPr>
          <w:rFonts w:hint="eastAsia" w:ascii="宋体" w:hAnsi="宋体"/>
          <w:color w:val="000000" w:themeColor="text1"/>
          <w14:textFill>
            <w14:solidFill>
              <w14:schemeClr w14:val="tx1"/>
            </w14:solidFill>
          </w14:textFill>
        </w:rPr>
        <w:t>除专用合同条款另有规定外，分包人应在共同检查前48小时</w:t>
      </w:r>
      <w:r>
        <w:rPr>
          <w:rFonts w:hint="eastAsia"/>
          <w:color w:val="000000" w:themeColor="text1"/>
          <w14:textFill>
            <w14:solidFill>
              <w14:schemeClr w14:val="tx1"/>
            </w14:solidFill>
          </w14:textFill>
        </w:rPr>
        <w:t>通过承包人</w:t>
      </w:r>
      <w:r>
        <w:rPr>
          <w:rFonts w:hint="eastAsia" w:ascii="宋体" w:hAnsi="宋体"/>
          <w:color w:val="000000" w:themeColor="text1"/>
          <w14:textFill>
            <w14:solidFill>
              <w14:schemeClr w14:val="tx1"/>
            </w14:solidFill>
          </w14:textFill>
        </w:rPr>
        <w:t>书面通知发包人和监理人。</w:t>
      </w:r>
      <w:r>
        <w:rPr>
          <w:rFonts w:hint="eastAsia"/>
          <w:color w:val="000000" w:themeColor="text1"/>
          <w14:textFill>
            <w14:solidFill>
              <w14:schemeClr w14:val="tx1"/>
            </w14:solidFill>
          </w14:textFill>
        </w:rPr>
        <w:t>分包人的通知应附有自检记录和必要的检查资料。监理人应按时到场检查经监理人检查确认质量符合隐蔽要求，并在检查记录上签字后，分包人才能进行覆盖。如监理人检查确认质量不合格的，分包人应在监理人指示的时间内完成修复，并通知监理人重新检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13.5.2.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监理人未到场检查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监理人未按第13.5.1项约定的时间到场检查的，除监理人另有指示外，分包人须在发包人、承包人在场的情况下自行完成覆盖工作（发包人在场并不视同发包人对该隐蔽部位质量的认可，同时不免除分包人按合同约定应负的责任），并作相应记录报送监理人，监理人应签字确认。监理人事后对检查记录有疑问的，可按第13.5.3项的约定重新检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13.5.3.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监理人重新检查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按第13.5.1项或第13.5.2项覆盖工程隐蔽部位后，监理人对质量有疑问的，经发包人同意后,可通过承包人要求分包人对已覆盖的部位进行钻孔探测或揭开重新检验，分包人应遵照执行，并在检验后重新覆盖恢复原状。重新检查时，分包人应通过承包人通知发包人到场，经检验证明工程质量符合合同要求的，由发包人承担由此增加的费用和（或）工期延误（根据总承包合同，发包人支付相关增加费用给承包人，承包人根据本合同把响应金额支付给分包人）；经检验证明工程质量不符合合同要求的，由此增加的费用和（或）工期延误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13.5.4.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分包人私自覆盖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分包人未通过承包人通知监理人到场检查，私自将工程隐蔽部位覆盖的，监理人有权通过承包人指示分包人钻孔探测或揭开检查，由此增加的费用和（或）工期延误由分包人承担。</w:t>
      </w:r>
    </w:p>
    <w:p>
      <w:pPr>
        <w:pStyle w:val="77"/>
        <w:ind w:firstLine="480"/>
        <w:rPr>
          <w:color w:val="000000" w:themeColor="text1"/>
          <w14:textFill>
            <w14:solidFill>
              <w14:schemeClr w14:val="tx1"/>
            </w14:solidFill>
          </w14:textFill>
        </w:rPr>
      </w:pPr>
      <w:bookmarkStart w:id="324" w:name="_Toc44492481"/>
      <w:bookmarkStart w:id="325" w:name="_Toc2141"/>
      <w:bookmarkStart w:id="326" w:name="_Toc24635"/>
      <w:r>
        <w:rPr>
          <w:rFonts w:hint="eastAsia"/>
          <w:color w:val="000000" w:themeColor="text1"/>
          <w14:textFill>
            <w14:solidFill>
              <w14:schemeClr w14:val="tx1"/>
            </w14:solidFill>
          </w14:textFill>
        </w:rPr>
        <w:t>13.6.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清除不合格工程</w:t>
      </w:r>
      <w:bookmarkEnd w:id="324"/>
      <w:bookmarkEnd w:id="325"/>
      <w:bookmarkEnd w:id="32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13.6.1.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使用不合格材料、工程设备，或采用不适当的施工工艺，或施工不当，造成工程不合格的，监理人可以随时发出指示，要求分包人立即采取措施进行补救，直至达到合同要求的质量标准，由此增加的费用和（或）工期延误由分包人承担。</w:t>
      </w:r>
    </w:p>
    <w:p>
      <w:pPr>
        <w:pStyle w:val="73"/>
        <w:rPr>
          <w:color w:val="000000" w:themeColor="text1"/>
          <w14:textFill>
            <w14:solidFill>
              <w14:schemeClr w14:val="tx1"/>
            </w14:solidFill>
          </w14:textFill>
        </w:rPr>
      </w:pPr>
      <w:bookmarkStart w:id="327" w:name="_Toc30255"/>
      <w:bookmarkStart w:id="328" w:name="_Toc47512244"/>
      <w:bookmarkStart w:id="329" w:name="_Toc407356007"/>
      <w:bookmarkStart w:id="330" w:name="_Toc32698"/>
      <w:bookmarkStart w:id="331" w:name="_Toc44492482"/>
      <w:bookmarkStart w:id="332" w:name="_Toc44227995"/>
      <w:bookmarkStart w:id="333" w:name="_Toc91082306"/>
      <w:r>
        <w:rPr>
          <w:rFonts w:hint="eastAsia"/>
          <w:color w:val="000000" w:themeColor="text1"/>
          <w14:textFill>
            <w14:solidFill>
              <w14:schemeClr w14:val="tx1"/>
            </w14:solidFill>
          </w14:textFill>
        </w:rPr>
        <w:t>14.试验和检验</w:t>
      </w:r>
      <w:bookmarkEnd w:id="327"/>
      <w:bookmarkEnd w:id="328"/>
      <w:bookmarkEnd w:id="329"/>
      <w:bookmarkEnd w:id="330"/>
      <w:bookmarkEnd w:id="331"/>
      <w:bookmarkEnd w:id="332"/>
      <w:bookmarkEnd w:id="333"/>
    </w:p>
    <w:p>
      <w:pPr>
        <w:pStyle w:val="77"/>
        <w:ind w:firstLine="480"/>
        <w:rPr>
          <w:color w:val="000000" w:themeColor="text1"/>
          <w14:textFill>
            <w14:solidFill>
              <w14:schemeClr w14:val="tx1"/>
            </w14:solidFill>
          </w14:textFill>
        </w:rPr>
      </w:pPr>
      <w:bookmarkStart w:id="334" w:name="_Toc20790"/>
      <w:bookmarkStart w:id="335" w:name="_Toc44492483"/>
      <w:bookmarkStart w:id="336" w:name="_Toc24556"/>
      <w:r>
        <w:rPr>
          <w:rFonts w:hint="eastAsia"/>
          <w:color w:val="000000" w:themeColor="text1"/>
          <w14:textFill>
            <w14:solidFill>
              <w14:schemeClr w14:val="tx1"/>
            </w14:solidFill>
          </w14:textFill>
        </w:rPr>
        <w:t>14.1.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材料、工程设备和工程的试验和检验</w:t>
      </w:r>
      <w:bookmarkEnd w:id="334"/>
      <w:bookmarkEnd w:id="335"/>
      <w:bookmarkEnd w:id="33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进行材料、工程设备和工程的试验和检验，并为监理人对上述材料、工程设备和工程的质量检查提供必要的试验资料和原始记录。按合同约定应由监理人与分包人共同进行试验和检验的，由分包人负责提供必要的试验资料和原始记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监理人未按合同约定派员参加试验和检验的，除监理人另有指示外，分包人可自行试验和检验，并应立即将试验和检验结果通过承包人报送监理人，监理人应签字确认。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监理人对分包人的试验和检验结果有疑问的，或为查清分包人试验和检验成果的可靠性要求经发包人同意后, 可要求分包人重新试验和检验。重新试验和检验的结果证明该项材料、工程设备或工程的质量不符合合同要求的，由此增加的费用和（或）工期延误由分包人承担；重新试验和检验结果证明该项材料、工程设备和工程符合合同要求，由发包人承担由此增加的费用和（或）工期延误。</w:t>
      </w:r>
    </w:p>
    <w:p>
      <w:pPr>
        <w:pStyle w:val="77"/>
        <w:ind w:firstLine="480"/>
        <w:rPr>
          <w:color w:val="000000" w:themeColor="text1"/>
          <w14:textFill>
            <w14:solidFill>
              <w14:schemeClr w14:val="tx1"/>
            </w14:solidFill>
          </w14:textFill>
        </w:rPr>
      </w:pPr>
      <w:bookmarkStart w:id="337" w:name="_Toc44492484"/>
      <w:bookmarkStart w:id="338" w:name="_Toc10712"/>
      <w:bookmarkStart w:id="339" w:name="_Toc28922"/>
      <w:r>
        <w:rPr>
          <w:rFonts w:hint="eastAsia"/>
          <w:color w:val="000000" w:themeColor="text1"/>
          <w14:textFill>
            <w14:solidFill>
              <w14:schemeClr w14:val="tx1"/>
            </w14:solidFill>
          </w14:textFill>
        </w:rPr>
        <w:t>14.2.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现场材料试验</w:t>
      </w:r>
      <w:bookmarkEnd w:id="337"/>
      <w:bookmarkEnd w:id="338"/>
      <w:bookmarkEnd w:id="33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分包人根据合同约定或监理人指示进行的现场材料试验，应由分包人提供试验场所、试验人员、试验设备器材以及其他必要的试验条件。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监理人在必要时可以使用分包人的试验场所、试验设备器材以及其他试验条件，进行以工程质量检查为目的的复核性材料试验，分包人应予以协助。</w:t>
      </w:r>
    </w:p>
    <w:p>
      <w:pPr>
        <w:pStyle w:val="77"/>
        <w:ind w:firstLine="480"/>
        <w:rPr>
          <w:color w:val="000000" w:themeColor="text1"/>
          <w14:textFill>
            <w14:solidFill>
              <w14:schemeClr w14:val="tx1"/>
            </w14:solidFill>
          </w14:textFill>
        </w:rPr>
      </w:pPr>
      <w:bookmarkStart w:id="340" w:name="_Toc44492485"/>
      <w:bookmarkStart w:id="341" w:name="_Toc25649"/>
      <w:bookmarkStart w:id="342" w:name="_Toc22748"/>
      <w:r>
        <w:rPr>
          <w:rFonts w:hint="eastAsia"/>
          <w:color w:val="000000" w:themeColor="text1"/>
          <w14:textFill>
            <w14:solidFill>
              <w14:schemeClr w14:val="tx1"/>
            </w14:solidFill>
          </w14:textFill>
        </w:rPr>
        <w:t>14.3.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现场工艺试验</w:t>
      </w:r>
      <w:bookmarkEnd w:id="340"/>
      <w:bookmarkEnd w:id="341"/>
      <w:bookmarkEnd w:id="34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分包人应按合同约定或监理人指示进行现场工艺试验。对大型的现场工艺试验，监理人认为必要时，应由分包人根据监理人提出的工艺试验要求，编制工艺试验措施计划，通过承包人报送监理人审批。</w:t>
      </w:r>
    </w:p>
    <w:p>
      <w:pPr>
        <w:pStyle w:val="77"/>
        <w:ind w:firstLine="480"/>
        <w:rPr>
          <w:color w:val="000000" w:themeColor="text1"/>
          <w14:textFill>
            <w14:solidFill>
              <w14:schemeClr w14:val="tx1"/>
            </w14:solidFill>
          </w14:textFill>
        </w:rPr>
      </w:pPr>
      <w:bookmarkStart w:id="343" w:name="_Toc44492486"/>
      <w:bookmarkStart w:id="344" w:name="_Toc32490"/>
      <w:bookmarkStart w:id="345" w:name="_Toc9590"/>
      <w:r>
        <w:rPr>
          <w:rFonts w:hint="eastAsia"/>
          <w:color w:val="000000" w:themeColor="text1"/>
          <w14:textFill>
            <w14:solidFill>
              <w14:schemeClr w14:val="tx1"/>
            </w14:solidFill>
          </w14:textFill>
        </w:rPr>
        <w:t>14.4.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发包人提供的材料和工程设备的试验和检验</w:t>
      </w:r>
      <w:bookmarkEnd w:id="343"/>
      <w:bookmarkEnd w:id="344"/>
      <w:bookmarkEnd w:id="34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提供的材料和工程设备到货后，发包人、监理人及分包人共同验收时，由发包人负责提供该材料和工程设备的合格证明及其他国家规范标准要求的必要产品质量证明文件及检验试验合格证明文件。分包人需对发包人提供的材料设备质量证明文件进行核查，以确保其满足工程规范和合同质量要求。若分包人对发包人所供材料和工程设备质量、安全及性能等提出质疑要求重新检验试验时，由发包人、监理人与分包人共同进行。重新试验和检验的结果证明该项材料和工程设备的质量、安全及性能不符合合同及规范标准要求的，由此增加的费用和延误的工期由发包人承担；重新试验和检验的结果证明该项材料设备的质量、安全及性能符合合同及规范标准要求的，由分包人承担由此增加的费用和延误的工期。</w:t>
      </w:r>
    </w:p>
    <w:p>
      <w:pPr>
        <w:pStyle w:val="73"/>
        <w:rPr>
          <w:color w:val="000000" w:themeColor="text1"/>
          <w14:textFill>
            <w14:solidFill>
              <w14:schemeClr w14:val="tx1"/>
            </w14:solidFill>
          </w14:textFill>
        </w:rPr>
      </w:pPr>
      <w:bookmarkStart w:id="346" w:name="_Toc47512245"/>
      <w:bookmarkStart w:id="347" w:name="_Toc91082307"/>
      <w:bookmarkStart w:id="348" w:name="_Toc407356008"/>
      <w:bookmarkStart w:id="349" w:name="_Toc6551"/>
      <w:bookmarkStart w:id="350" w:name="_Toc44492487"/>
      <w:bookmarkStart w:id="351" w:name="_Toc44227996"/>
      <w:bookmarkStart w:id="352" w:name="_Toc10020"/>
      <w:r>
        <w:rPr>
          <w:rFonts w:hint="eastAsia"/>
          <w:color w:val="000000" w:themeColor="text1"/>
          <w14:textFill>
            <w14:solidFill>
              <w14:schemeClr w14:val="tx1"/>
            </w14:solidFill>
          </w14:textFill>
        </w:rPr>
        <w:t>15.变更</w:t>
      </w:r>
      <w:bookmarkEnd w:id="346"/>
      <w:bookmarkEnd w:id="347"/>
      <w:bookmarkEnd w:id="348"/>
      <w:bookmarkEnd w:id="349"/>
      <w:bookmarkEnd w:id="350"/>
      <w:bookmarkEnd w:id="351"/>
      <w:bookmarkEnd w:id="352"/>
    </w:p>
    <w:p>
      <w:pPr>
        <w:pStyle w:val="77"/>
        <w:ind w:firstLine="480"/>
        <w:rPr>
          <w:color w:val="000000" w:themeColor="text1"/>
          <w14:textFill>
            <w14:solidFill>
              <w14:schemeClr w14:val="tx1"/>
            </w14:solidFill>
          </w14:textFill>
        </w:rPr>
      </w:pPr>
      <w:bookmarkStart w:id="353" w:name="_Toc44492488"/>
      <w:bookmarkStart w:id="354" w:name="_Toc15187"/>
      <w:bookmarkStart w:id="355" w:name="_Toc1079"/>
      <w:r>
        <w:rPr>
          <w:rFonts w:hint="eastAsia"/>
          <w:color w:val="000000" w:themeColor="text1"/>
          <w14:textFill>
            <w14:solidFill>
              <w14:schemeClr w14:val="tx1"/>
            </w14:solidFill>
          </w14:textFill>
        </w:rPr>
        <w:t>15.1.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变更程序</w:t>
      </w:r>
      <w:bookmarkEnd w:id="353"/>
      <w:bookmarkEnd w:id="354"/>
      <w:bookmarkEnd w:id="355"/>
    </w:p>
    <w:p>
      <w:pPr>
        <w:pStyle w:val="52"/>
        <w:ind w:firstLine="420"/>
        <w:rPr>
          <w:color w:val="000000" w:themeColor="text1"/>
          <w14:textFill>
            <w14:solidFill>
              <w14:schemeClr w14:val="tx1"/>
            </w14:solidFill>
          </w14:textFill>
        </w:rPr>
      </w:pPr>
      <w:bookmarkStart w:id="356" w:name="_Toc44492489"/>
      <w:r>
        <w:rPr>
          <w:rFonts w:hint="eastAsia"/>
          <w:color w:val="000000" w:themeColor="text1"/>
          <w14:textFill>
            <w14:solidFill>
              <w14:schemeClr w14:val="tx1"/>
            </w14:solidFill>
          </w14:textFill>
        </w:rPr>
        <w:t>15.1.1.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中发包人需对原工程进行变更时，应提前以书面形式通过承包人向分包人发出变更通知，并提供变更的相应图纸和（或）说明。分包人应当按照发包人发出的变更通知及有关要求实施变更。分包人不得以指示所涉及的费用未确定为由不执行或拖延执行。当通过承包人、分包人接到发包人的指示后三（3）天内，分包人仍未开始执行有关的工作（按工程实际情况不可能立即执行的除外），发包人可通过承包人雇用第三人代为执行，分包人应承担承包人雇佣第三人所造成的价差，同时需按专用条款的约定承担违约责任。承包人可从应支付或将会支付给分包人的款项中扣回或当作债务向分包人追讨。</w:t>
      </w:r>
      <w:bookmarkEnd w:id="35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15.1.2   分包人进场之前，发包人将通过承包人书面通知分包人签证流程、签证单格式，双方应遵照执行。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发包人有权通过承包人发出指令要求变更，分包人不得拒绝。除得到发包人书面指令外，分包人不能擅自做出变更。任何发包人要求的或发包人随后追认的变更皆不会使本合同失效。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15.1.4.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如分包人超出合同文件的要求进行施工，则无论本工程是否通过了竣工验收，均不能认为发包人同意支付该等超出合同文件的要求进行施工的费用，由此增加的费用和延误的工期均由分包人承担。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15.1.5.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采用或更改任何施工方案、施工工序、施工措施、施工工艺的，均不构成签证变更，由分包人承担由此增加的费用和延误的工期，即便发包人对前述方案、工序、措施和工艺进行了签证，也只是对技术的确认，发包人、承包人不因此而承担任何费用及工期延误的责任，</w:t>
      </w:r>
      <w:r>
        <w:rPr>
          <w:color w:val="000000" w:themeColor="text1"/>
          <w14:textFill>
            <w14:solidFill>
              <w14:schemeClr w14:val="tx1"/>
            </w14:solidFill>
          </w14:textFill>
        </w:rPr>
        <w:t>如果因此给发包人造成损失，分包人应当全额赔偿</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15.1.6.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按照指示完成变更及办理经济签证不得影响工程的连续施工。除非合同另有约定，分包人不得以发包人和承包人或分包人之间未能就变更、签证工作的计价达成一致而拒绝实施变更工作。</w:t>
      </w:r>
    </w:p>
    <w:p>
      <w:pPr>
        <w:pStyle w:val="52"/>
        <w:ind w:firstLine="420"/>
        <w:rPr>
          <w:bCs/>
          <w:color w:val="000000" w:themeColor="text1"/>
          <w14:textFill>
            <w14:solidFill>
              <w14:schemeClr w14:val="tx1"/>
            </w14:solidFill>
          </w14:textFill>
        </w:rPr>
      </w:pPr>
      <w:bookmarkStart w:id="357" w:name="_Toc44492490"/>
      <w:r>
        <w:rPr>
          <w:rFonts w:hint="eastAsia"/>
          <w:color w:val="000000" w:themeColor="text1"/>
          <w14:textFill>
            <w14:solidFill>
              <w14:schemeClr w14:val="tx1"/>
            </w14:solidFill>
          </w14:textFill>
        </w:rPr>
        <w:t xml:space="preserve">15.1.7. </w:t>
      </w:r>
      <w:r>
        <w:rPr>
          <w:rFonts w:hint="eastAsia"/>
          <w:bCs/>
          <w:color w:val="000000" w:themeColor="text1"/>
          <w14:textFill>
            <w14:solidFill>
              <w14:schemeClr w14:val="tx1"/>
            </w14:solidFill>
          </w14:textFill>
        </w:rPr>
        <w:t>设计人提出的设计变更，必须经发包人批准后，并通过承包人通知分包人才能按图进行施工，如设计变更未经发包人批准分包人安排施工，所需费用由分包人承担，且发包人有权通过承包人提出拆除及恢复，分包人承担由此造成的费用；如设计变更未经发包人批准分包人安排施工，且设计变更不合理，其施工费用、恢复费用及由此造成的损失由分包人承担，同时分包人应按专用条款的约定承担违约责任。</w:t>
      </w:r>
      <w:bookmarkEnd w:id="357"/>
      <w:bookmarkStart w:id="358" w:name="_Toc44492491"/>
      <w:bookmarkStart w:id="359" w:name="_Toc10741"/>
      <w:bookmarkStart w:id="360" w:name="_Toc15591"/>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15.2.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变更价款的确定</w:t>
      </w:r>
      <w:bookmarkEnd w:id="358"/>
      <w:bookmarkEnd w:id="359"/>
      <w:bookmarkEnd w:id="360"/>
    </w:p>
    <w:p>
      <w:pPr>
        <w:pStyle w:val="77"/>
        <w:ind w:firstLine="420"/>
        <w:rPr>
          <w:color w:val="000000" w:themeColor="text1"/>
          <w14:textFill>
            <w14:solidFill>
              <w14:schemeClr w14:val="tx1"/>
            </w14:solidFill>
          </w14:textFill>
        </w:rPr>
      </w:pPr>
      <w:bookmarkStart w:id="361" w:name="_Toc44492492"/>
      <w:r>
        <w:rPr>
          <w:rFonts w:hint="eastAsia" w:eastAsia="仿宋_GB2312"/>
          <w:bCs w:val="0"/>
          <w:color w:val="000000" w:themeColor="text1"/>
          <w:kern w:val="0"/>
          <w:sz w:val="21"/>
          <w14:textFill>
            <w14:solidFill>
              <w14:schemeClr w14:val="tx1"/>
            </w14:solidFill>
          </w14:textFill>
        </w:rPr>
        <w:t>变更价款</w:t>
      </w:r>
      <w:r>
        <w:rPr>
          <w:rFonts w:eastAsia="仿宋_GB2312"/>
          <w:bCs w:val="0"/>
          <w:color w:val="000000" w:themeColor="text1"/>
          <w:kern w:val="0"/>
          <w:sz w:val="21"/>
          <w14:textFill>
            <w14:solidFill>
              <w14:schemeClr w14:val="tx1"/>
            </w14:solidFill>
          </w14:textFill>
        </w:rPr>
        <w:t>的确定在专用条款中说明。</w:t>
      </w:r>
      <w:bookmarkEnd w:id="361"/>
    </w:p>
    <w:p>
      <w:pPr>
        <w:pStyle w:val="77"/>
        <w:ind w:firstLine="480"/>
        <w:rPr>
          <w:color w:val="000000" w:themeColor="text1"/>
          <w14:textFill>
            <w14:solidFill>
              <w14:schemeClr w14:val="tx1"/>
            </w14:solidFill>
          </w14:textFill>
        </w:rPr>
      </w:pPr>
      <w:bookmarkStart w:id="362" w:name="_Toc28558"/>
      <w:bookmarkStart w:id="363" w:name="_Toc44492493"/>
      <w:bookmarkStart w:id="364" w:name="_Toc14333"/>
      <w:r>
        <w:rPr>
          <w:rFonts w:hint="eastAsia"/>
          <w:color w:val="000000" w:themeColor="text1"/>
          <w14:textFill>
            <w14:solidFill>
              <w14:schemeClr w14:val="tx1"/>
            </w14:solidFill>
          </w14:textFill>
        </w:rPr>
        <w:t>15.3.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分包人的合理化建议</w:t>
      </w:r>
      <w:bookmarkEnd w:id="362"/>
      <w:bookmarkEnd w:id="363"/>
      <w:bookmarkEnd w:id="36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履行合同过程中，分包人通过承包人对发包人提供的图纸、技术要求以及其他方面提出的合理化建议，均应以书面形式通过承包人提交监理人。合理化建议书的内容应包括建议工作的详细说明、进度计划和效益以及与其他工作的协调等，并附必要的设计文件。监理人应与发包人协商是否采纳建议。建议被采纳并构成变更的，按照变更程序执行。</w:t>
      </w:r>
    </w:p>
    <w:p>
      <w:pPr>
        <w:pStyle w:val="52"/>
        <w:ind w:firstLine="420"/>
        <w:rPr>
          <w:color w:val="000000" w:themeColor="text1"/>
          <w14:textFill>
            <w14:solidFill>
              <w14:schemeClr w14:val="tx1"/>
            </w14:solidFill>
          </w14:textFill>
        </w:rPr>
      </w:pPr>
      <w:r>
        <w:rPr>
          <w:rFonts w:hint="eastAsia"/>
          <w:bCs/>
          <w:color w:val="000000" w:themeColor="text1"/>
          <w14:textFill>
            <w14:solidFill>
              <w14:schemeClr w14:val="tx1"/>
            </w14:solidFill>
          </w14:textFill>
        </w:rPr>
        <w:t>15.3.2.</w:t>
      </w:r>
      <w:r>
        <w:rPr>
          <w:rFonts w:hint="eastAsia"/>
          <w:bCs/>
          <w:color w:val="000000" w:themeColor="text1"/>
          <w14:textFill>
            <w14:solidFill>
              <w14:schemeClr w14:val="tx1"/>
            </w14:solidFill>
          </w14:textFill>
        </w:rPr>
        <w:tab/>
      </w:r>
      <w:r>
        <w:rPr>
          <w:rFonts w:hint="eastAsia"/>
          <w:bCs/>
          <w:color w:val="000000" w:themeColor="text1"/>
          <w14:textFill>
            <w14:solidFill>
              <w14:schemeClr w14:val="tx1"/>
            </w14:solidFill>
          </w14:textFill>
        </w:rPr>
        <w:t>分包人在施工中提出的合理化建议涉及到对设计图纸或施工组织设计的更改及对材料、设备的换用，须</w:t>
      </w:r>
      <w:r>
        <w:rPr>
          <w:rFonts w:hint="eastAsia"/>
          <w:color w:val="000000" w:themeColor="text1"/>
          <w14:textFill>
            <w14:solidFill>
              <w14:schemeClr w14:val="tx1"/>
            </w14:solidFill>
          </w14:textFill>
        </w:rPr>
        <w:t>通过承包人</w:t>
      </w:r>
      <w:r>
        <w:rPr>
          <w:rFonts w:hint="eastAsia"/>
          <w:bCs/>
          <w:color w:val="000000" w:themeColor="text1"/>
          <w14:textFill>
            <w14:solidFill>
              <w14:schemeClr w14:val="tx1"/>
            </w14:solidFill>
          </w14:textFill>
        </w:rPr>
        <w:t>经发包人同意。未经同意擅自更改或换用时，分包人承担由此发生的费用，并赔偿发包人的有关损失，延误的工期不予顺延。</w:t>
      </w:r>
      <w:bookmarkStart w:id="365" w:name="_Toc407356009"/>
    </w:p>
    <w:p>
      <w:pPr>
        <w:pStyle w:val="73"/>
        <w:rPr>
          <w:color w:val="000000" w:themeColor="text1"/>
          <w14:textFill>
            <w14:solidFill>
              <w14:schemeClr w14:val="tx1"/>
            </w14:solidFill>
          </w14:textFill>
        </w:rPr>
      </w:pPr>
      <w:bookmarkStart w:id="366" w:name="_Toc44227997"/>
      <w:bookmarkStart w:id="367" w:name="_Toc91082308"/>
      <w:bookmarkStart w:id="368" w:name="_Toc7205"/>
      <w:bookmarkStart w:id="369" w:name="_Toc44492494"/>
      <w:bookmarkStart w:id="370" w:name="_Toc16336"/>
      <w:bookmarkStart w:id="371" w:name="_Toc47512246"/>
      <w:r>
        <w:rPr>
          <w:rFonts w:hint="eastAsia"/>
          <w:color w:val="000000" w:themeColor="text1"/>
          <w14:textFill>
            <w14:solidFill>
              <w14:schemeClr w14:val="tx1"/>
            </w14:solidFill>
          </w14:textFill>
        </w:rPr>
        <w:t>16.价格调整</w:t>
      </w:r>
      <w:bookmarkEnd w:id="365"/>
      <w:bookmarkEnd w:id="366"/>
      <w:bookmarkEnd w:id="367"/>
      <w:bookmarkEnd w:id="368"/>
      <w:bookmarkEnd w:id="369"/>
      <w:bookmarkEnd w:id="370"/>
      <w:bookmarkEnd w:id="371"/>
    </w:p>
    <w:p>
      <w:pPr>
        <w:pStyle w:val="77"/>
        <w:ind w:firstLine="480"/>
        <w:rPr>
          <w:rFonts w:ascii="仿宋_GB2312" w:eastAsia="仿宋_GB2312"/>
          <w:color w:val="000000" w:themeColor="text1"/>
          <w:sz w:val="21"/>
          <w:szCs w:val="21"/>
          <w14:textFill>
            <w14:solidFill>
              <w14:schemeClr w14:val="tx1"/>
            </w14:solidFill>
          </w14:textFill>
        </w:rPr>
      </w:pPr>
      <w:bookmarkStart w:id="372" w:name="_Toc30895"/>
      <w:bookmarkStart w:id="373" w:name="_Toc4996"/>
      <w:bookmarkStart w:id="374" w:name="_Toc44492495"/>
      <w:r>
        <w:rPr>
          <w:rFonts w:hint="eastAsia" w:eastAsia="仿宋_GB2312"/>
          <w:color w:val="000000" w:themeColor="text1"/>
          <w:kern w:val="0"/>
          <w:szCs w:val="24"/>
          <w14:textFill>
            <w14:solidFill>
              <w14:schemeClr w14:val="tx1"/>
            </w14:solidFill>
          </w14:textFill>
        </w:rPr>
        <w:t>16.1.</w:t>
      </w:r>
      <w:r>
        <w:rPr>
          <w:rFonts w:hint="eastAsia" w:ascii="仿宋_GB2312" w:eastAsia="仿宋_GB2312"/>
          <w:color w:val="000000" w:themeColor="text1"/>
          <w:szCs w:val="24"/>
          <w14:textFill>
            <w14:solidFill>
              <w14:schemeClr w14:val="tx1"/>
            </w14:solidFill>
          </w14:textFill>
        </w:rPr>
        <w:t xml:space="preserve"> </w:t>
      </w:r>
      <w:r>
        <w:rPr>
          <w:rFonts w:hint="eastAsia" w:ascii="仿宋_GB2312" w:eastAsia="仿宋_GB2312"/>
          <w:color w:val="000000" w:themeColor="text1"/>
          <w:sz w:val="21"/>
          <w:szCs w:val="21"/>
          <w14:textFill>
            <w14:solidFill>
              <w14:schemeClr w14:val="tx1"/>
            </w14:solidFill>
          </w14:textFill>
        </w:rPr>
        <w:t xml:space="preserve">  </w:t>
      </w:r>
      <w:r>
        <w:rPr>
          <w:rFonts w:hint="eastAsia" w:ascii="黑体"/>
          <w:color w:val="000000" w:themeColor="text1"/>
          <w:szCs w:val="24"/>
          <w14:textFill>
            <w14:solidFill>
              <w14:schemeClr w14:val="tx1"/>
            </w14:solidFill>
          </w14:textFill>
        </w:rPr>
        <w:t>物价波动引起的价格调整</w:t>
      </w:r>
      <w:bookmarkEnd w:id="372"/>
      <w:bookmarkEnd w:id="373"/>
      <w:bookmarkEnd w:id="374"/>
    </w:p>
    <w:p>
      <w:pPr>
        <w:pStyle w:val="52"/>
        <w:ind w:firstLine="420"/>
        <w:rPr>
          <w:rFonts w:ascii="仿宋_GB2312"/>
          <w:color w:val="000000" w:themeColor="text1"/>
          <w:szCs w:val="21"/>
          <w14:textFill>
            <w14:solidFill>
              <w14:schemeClr w14:val="tx1"/>
            </w14:solidFill>
          </w14:textFill>
        </w:rPr>
      </w:pPr>
      <w:r>
        <w:rPr>
          <w:rFonts w:hint="eastAsia" w:ascii="仿宋_GB2312"/>
          <w:color w:val="000000" w:themeColor="text1"/>
          <w:szCs w:val="21"/>
          <w14:textFill>
            <w14:solidFill>
              <w14:schemeClr w14:val="tx1"/>
            </w14:solidFill>
          </w14:textFill>
        </w:rPr>
        <w:t>物价波动引起的价格调整在专用条款中说明。</w:t>
      </w:r>
    </w:p>
    <w:p>
      <w:pPr>
        <w:pStyle w:val="77"/>
        <w:ind w:firstLine="480"/>
        <w:rPr>
          <w:rFonts w:ascii="仿宋_GB2312" w:eastAsia="仿宋_GB2312"/>
          <w:color w:val="000000" w:themeColor="text1"/>
          <w:sz w:val="21"/>
          <w:szCs w:val="21"/>
          <w14:textFill>
            <w14:solidFill>
              <w14:schemeClr w14:val="tx1"/>
            </w14:solidFill>
          </w14:textFill>
        </w:rPr>
      </w:pPr>
      <w:bookmarkStart w:id="375" w:name="_Toc44492496"/>
      <w:bookmarkStart w:id="376" w:name="_Toc27734"/>
      <w:bookmarkStart w:id="377" w:name="_Toc5134"/>
      <w:r>
        <w:rPr>
          <w:rFonts w:hint="eastAsia" w:eastAsia="仿宋_GB2312"/>
          <w:color w:val="000000" w:themeColor="text1"/>
          <w:kern w:val="0"/>
          <w:szCs w:val="24"/>
          <w14:textFill>
            <w14:solidFill>
              <w14:schemeClr w14:val="tx1"/>
            </w14:solidFill>
          </w14:textFill>
        </w:rPr>
        <w:t xml:space="preserve">16.2. </w:t>
      </w:r>
      <w:r>
        <w:rPr>
          <w:rFonts w:hint="eastAsia" w:ascii="仿宋_GB2312" w:eastAsia="仿宋_GB2312"/>
          <w:color w:val="000000" w:themeColor="text1"/>
          <w:sz w:val="21"/>
          <w:szCs w:val="21"/>
          <w14:textFill>
            <w14:solidFill>
              <w14:schemeClr w14:val="tx1"/>
            </w14:solidFill>
          </w14:textFill>
        </w:rPr>
        <w:t xml:space="preserve">  </w:t>
      </w:r>
      <w:r>
        <w:rPr>
          <w:rFonts w:hint="eastAsia" w:ascii="黑体"/>
          <w:color w:val="000000" w:themeColor="text1"/>
          <w:szCs w:val="24"/>
          <w14:textFill>
            <w14:solidFill>
              <w14:schemeClr w14:val="tx1"/>
            </w14:solidFill>
          </w14:textFill>
        </w:rPr>
        <w:t>价格不予调整的情形</w:t>
      </w:r>
      <w:bookmarkEnd w:id="375"/>
      <w:bookmarkEnd w:id="376"/>
      <w:bookmarkEnd w:id="377"/>
    </w:p>
    <w:p>
      <w:pPr>
        <w:pStyle w:val="52"/>
        <w:ind w:firstLine="420"/>
        <w:rPr>
          <w:rFonts w:ascii="仿宋_GB2312"/>
          <w:color w:val="000000" w:themeColor="text1"/>
          <w:szCs w:val="21"/>
          <w14:textFill>
            <w14:solidFill>
              <w14:schemeClr w14:val="tx1"/>
            </w14:solidFill>
          </w14:textFill>
        </w:rPr>
      </w:pPr>
      <w:r>
        <w:rPr>
          <w:rFonts w:hint="eastAsia" w:ascii="仿宋_GB2312"/>
          <w:color w:val="000000" w:themeColor="text1"/>
          <w:szCs w:val="21"/>
          <w14:textFill>
            <w14:solidFill>
              <w14:schemeClr w14:val="tx1"/>
            </w14:solidFill>
          </w14:textFill>
        </w:rPr>
        <w:t>价格不予调整的情形在专用条款中说明。</w:t>
      </w:r>
    </w:p>
    <w:p>
      <w:pPr>
        <w:pStyle w:val="77"/>
        <w:ind w:firstLine="480"/>
        <w:rPr>
          <w:rFonts w:ascii="仿宋_GB2312" w:eastAsia="仿宋_GB2312"/>
          <w:color w:val="000000" w:themeColor="text1"/>
          <w:sz w:val="21"/>
          <w:szCs w:val="21"/>
          <w14:textFill>
            <w14:solidFill>
              <w14:schemeClr w14:val="tx1"/>
            </w14:solidFill>
          </w14:textFill>
        </w:rPr>
      </w:pPr>
      <w:bookmarkStart w:id="378" w:name="_Toc10220"/>
      <w:bookmarkStart w:id="379" w:name="_Toc44492497"/>
      <w:bookmarkStart w:id="380" w:name="_Toc9473"/>
      <w:r>
        <w:rPr>
          <w:rFonts w:hint="eastAsia" w:eastAsia="仿宋_GB2312"/>
          <w:color w:val="000000" w:themeColor="text1"/>
          <w:kern w:val="0"/>
          <w:szCs w:val="24"/>
          <w14:textFill>
            <w14:solidFill>
              <w14:schemeClr w14:val="tx1"/>
            </w14:solidFill>
          </w14:textFill>
        </w:rPr>
        <w:t xml:space="preserve">16.3. </w:t>
      </w:r>
      <w:r>
        <w:rPr>
          <w:rFonts w:hint="eastAsia" w:ascii="仿宋_GB2312" w:eastAsia="仿宋_GB2312"/>
          <w:color w:val="000000" w:themeColor="text1"/>
          <w:sz w:val="21"/>
          <w:szCs w:val="21"/>
          <w14:textFill>
            <w14:solidFill>
              <w14:schemeClr w14:val="tx1"/>
            </w14:solidFill>
          </w14:textFill>
        </w:rPr>
        <w:t xml:space="preserve"> </w:t>
      </w:r>
      <w:r>
        <w:rPr>
          <w:rFonts w:hint="eastAsia" w:ascii="仿宋_GB2312" w:eastAsia="仿宋_GB2312"/>
          <w:b/>
          <w:color w:val="000000" w:themeColor="text1"/>
          <w:sz w:val="21"/>
          <w:szCs w:val="21"/>
          <w14:textFill>
            <w14:solidFill>
              <w14:schemeClr w14:val="tx1"/>
            </w14:solidFill>
          </w14:textFill>
        </w:rPr>
        <w:t xml:space="preserve"> </w:t>
      </w:r>
      <w:r>
        <w:rPr>
          <w:rFonts w:hint="eastAsia" w:ascii="黑体"/>
          <w:color w:val="000000" w:themeColor="text1"/>
          <w:szCs w:val="24"/>
          <w14:textFill>
            <w14:solidFill>
              <w14:schemeClr w14:val="tx1"/>
            </w14:solidFill>
          </w14:textFill>
        </w:rPr>
        <w:t>价格调整的补充说明</w:t>
      </w:r>
      <w:bookmarkEnd w:id="378"/>
      <w:bookmarkEnd w:id="379"/>
      <w:bookmarkEnd w:id="380"/>
    </w:p>
    <w:p>
      <w:pPr>
        <w:pStyle w:val="52"/>
        <w:ind w:firstLine="420"/>
        <w:rPr>
          <w:rFonts w:ascii="仿宋_GB2312"/>
          <w:color w:val="000000" w:themeColor="text1"/>
          <w:szCs w:val="21"/>
          <w14:textFill>
            <w14:solidFill>
              <w14:schemeClr w14:val="tx1"/>
            </w14:solidFill>
          </w14:textFill>
        </w:rPr>
      </w:pPr>
      <w:r>
        <w:rPr>
          <w:rFonts w:hint="eastAsia" w:ascii="仿宋_GB2312"/>
          <w:color w:val="000000" w:themeColor="text1"/>
          <w:szCs w:val="21"/>
          <w14:textFill>
            <w14:solidFill>
              <w14:schemeClr w14:val="tx1"/>
            </w14:solidFill>
          </w14:textFill>
        </w:rPr>
        <w:t>价格调整的补充说明在专用条款中说明。</w:t>
      </w:r>
    </w:p>
    <w:p>
      <w:pPr>
        <w:pStyle w:val="73"/>
        <w:rPr>
          <w:color w:val="000000" w:themeColor="text1"/>
          <w14:textFill>
            <w14:solidFill>
              <w14:schemeClr w14:val="tx1"/>
            </w14:solidFill>
          </w14:textFill>
        </w:rPr>
      </w:pPr>
      <w:bookmarkStart w:id="381" w:name="_Toc29134"/>
      <w:bookmarkStart w:id="382" w:name="_Toc91082309"/>
      <w:bookmarkStart w:id="383" w:name="_Toc21140"/>
      <w:bookmarkStart w:id="384" w:name="_Toc407356010"/>
      <w:bookmarkStart w:id="385" w:name="_Toc44227998"/>
      <w:bookmarkStart w:id="386" w:name="_Toc44492498"/>
      <w:bookmarkStart w:id="387" w:name="_Toc47512247"/>
      <w:r>
        <w:rPr>
          <w:rFonts w:hint="eastAsia"/>
          <w:color w:val="000000" w:themeColor="text1"/>
          <w14:textFill>
            <w14:solidFill>
              <w14:schemeClr w14:val="tx1"/>
            </w14:solidFill>
          </w14:textFill>
        </w:rPr>
        <w:t>17.计量与支付</w:t>
      </w:r>
      <w:bookmarkEnd w:id="381"/>
      <w:bookmarkEnd w:id="382"/>
      <w:bookmarkEnd w:id="383"/>
      <w:bookmarkEnd w:id="384"/>
      <w:bookmarkEnd w:id="385"/>
      <w:bookmarkEnd w:id="386"/>
      <w:bookmarkEnd w:id="387"/>
    </w:p>
    <w:p>
      <w:pPr>
        <w:pStyle w:val="77"/>
        <w:ind w:firstLine="480"/>
        <w:rPr>
          <w:color w:val="000000" w:themeColor="text1"/>
          <w14:textFill>
            <w14:solidFill>
              <w14:schemeClr w14:val="tx1"/>
            </w14:solidFill>
          </w14:textFill>
        </w:rPr>
      </w:pPr>
      <w:bookmarkStart w:id="388" w:name="_Toc20973"/>
      <w:bookmarkStart w:id="389" w:name="_Toc44492499"/>
      <w:bookmarkStart w:id="390" w:name="_Toc27587"/>
      <w:r>
        <w:rPr>
          <w:rFonts w:hint="eastAsia"/>
          <w:color w:val="000000" w:themeColor="text1"/>
          <w14:textFill>
            <w14:solidFill>
              <w14:schemeClr w14:val="tx1"/>
            </w14:solidFill>
          </w14:textFill>
        </w:rPr>
        <w:t>17.1.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计量</w:t>
      </w:r>
      <w:bookmarkEnd w:id="388"/>
      <w:bookmarkEnd w:id="389"/>
      <w:bookmarkEnd w:id="39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计量时间在专用条款中说明。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对分包人超出设计图纸范围和因分包人原因造成返工、质量不合格的工程量，承包人、发包人及监理人不予计量。</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发包人、承包人对工程进度款的批准，不视为对分包人实际完成工程量的批准，只作为发包人、承包人进行工程目标管理和控制进度款支付的依据。</w:t>
      </w:r>
    </w:p>
    <w:p>
      <w:pPr>
        <w:pStyle w:val="77"/>
        <w:ind w:firstLine="480"/>
        <w:rPr>
          <w:color w:val="000000" w:themeColor="text1"/>
          <w14:textFill>
            <w14:solidFill>
              <w14:schemeClr w14:val="tx1"/>
            </w14:solidFill>
          </w14:textFill>
        </w:rPr>
      </w:pPr>
      <w:bookmarkStart w:id="391" w:name="_Toc12523"/>
      <w:bookmarkStart w:id="392" w:name="_Toc44492500"/>
      <w:bookmarkStart w:id="393" w:name="_Toc7469"/>
      <w:r>
        <w:rPr>
          <w:rFonts w:hint="eastAsia"/>
          <w:color w:val="000000" w:themeColor="text1"/>
          <w14:textFill>
            <w14:solidFill>
              <w14:schemeClr w14:val="tx1"/>
            </w14:solidFill>
          </w14:textFill>
        </w:rPr>
        <w:t>17.2.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工程价款</w:t>
      </w:r>
      <w:bookmarkEnd w:id="391"/>
      <w:bookmarkEnd w:id="392"/>
      <w:bookmarkEnd w:id="39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本合同采用固定综合单价包干方式执行: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本合同采用固定综合单价承包方式，合同总价为暂定总价。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已标价的工程量及单价清单中的综合单价为固定综合单价。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本合同工程量清单中的综合单价，应认为已均包含了所有的人工、材料、机械、设备及劳工、材料、机械和设备的杂费，所有消耗费，专利费用，包装费，运费，保险费，设备调试费，装卸费，仓储费及其他临时在外的存储费用、运抵费、安装费、升降费及固定费，处理费，监管费，内外部管理费用，利润，加班费，与知识产权相关的费用及其他由分包人向政府缴纳的保证金，风险费，水电费，治安、消防、安全、环保、主管部门因进行工程所规定应由施工单位所交纳的任何收费，民扰及扰民费，试验费，以及其他为按时按质完成合同所规定工作的所有除措施费及规费、税金以外的所有费用，不论图纸、规范、技术要求、工程量清单中有没有说明。除非合同另有其他明确约定外，该综合单价不做任何调整。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风险费用的计算方法在专用条款中写明。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措施项目清单所列项目综合单价及费率固定不变，在工程实施过程可能发生但在措施清单中未列出的措施费用视其已包含在措施项目清单所列项目中。</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其他可调整合同价款的情况在专用条款中写明。</w:t>
      </w:r>
    </w:p>
    <w:p>
      <w:pPr>
        <w:pStyle w:val="77"/>
        <w:ind w:firstLine="480"/>
        <w:rPr>
          <w:color w:val="000000" w:themeColor="text1"/>
          <w14:textFill>
            <w14:solidFill>
              <w14:schemeClr w14:val="tx1"/>
            </w14:solidFill>
          </w14:textFill>
        </w:rPr>
      </w:pPr>
      <w:bookmarkStart w:id="394" w:name="_Toc23241"/>
      <w:bookmarkStart w:id="395" w:name="_Toc44492501"/>
      <w:bookmarkStart w:id="396" w:name="_Toc31491"/>
      <w:r>
        <w:rPr>
          <w:rFonts w:hint="eastAsia"/>
          <w:color w:val="000000" w:themeColor="text1"/>
          <w14:textFill>
            <w14:solidFill>
              <w14:schemeClr w14:val="tx1"/>
            </w14:solidFill>
          </w14:textFill>
        </w:rPr>
        <w:t>17.3.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总承包服务费</w:t>
      </w:r>
      <w:bookmarkEnd w:id="394"/>
      <w:bookmarkEnd w:id="395"/>
      <w:bookmarkEnd w:id="39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总承包服务费对应的总包服务、管理、配合工作内容详见附件《总承包管理与配合服务管理办法》。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与《总承包管理与配合服务管理办法</w:t>
      </w:r>
      <w:r>
        <w:rPr>
          <w:color w:val="000000" w:themeColor="text1"/>
          <w14:textFill>
            <w14:solidFill>
              <w14:schemeClr w14:val="tx1"/>
            </w14:solidFill>
          </w14:textFill>
        </w:rPr>
        <w:t>》相对应的总承包服务费由发包人统一向承包人支付</w:t>
      </w:r>
      <w:r>
        <w:rPr>
          <w:rFonts w:hint="eastAsia"/>
          <w:color w:val="000000" w:themeColor="text1"/>
          <w14:textFill>
            <w14:solidFill>
              <w14:schemeClr w14:val="tx1"/>
            </w14:solidFill>
          </w14:textFill>
        </w:rPr>
        <w:t>，分包人无需再向承包人支付</w:t>
      </w:r>
      <w:r>
        <w:rPr>
          <w:color w:val="000000" w:themeColor="text1"/>
          <w14:textFill>
            <w14:solidFill>
              <w14:schemeClr w14:val="tx1"/>
            </w14:solidFill>
          </w14:textFill>
        </w:rPr>
        <w:t>总承包服务费。</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 xml:space="preserve">17.3.3. </w:t>
      </w:r>
      <w:r>
        <w:rPr>
          <w:rFonts w:hint="eastAsia"/>
          <w:color w:val="000000" w:themeColor="text1"/>
          <w14:textFill>
            <w14:solidFill>
              <w14:schemeClr w14:val="tx1"/>
            </w14:solidFill>
          </w14:textFill>
        </w:rPr>
        <w:t>其他</w:t>
      </w:r>
      <w:r>
        <w:rPr>
          <w:color w:val="000000" w:themeColor="text1"/>
          <w14:textFill>
            <w14:solidFill>
              <w14:schemeClr w14:val="tx1"/>
            </w14:solidFill>
          </w14:textFill>
        </w:rPr>
        <w:t>约定在专用条款中写明</w:t>
      </w:r>
      <w:r>
        <w:rPr>
          <w:rFonts w:hint="eastAsia"/>
          <w:color w:val="000000" w:themeColor="text1"/>
          <w14:textFill>
            <w14:solidFill>
              <w14:schemeClr w14:val="tx1"/>
            </w14:solidFill>
          </w14:textFill>
        </w:rPr>
        <w:t>。</w:t>
      </w:r>
    </w:p>
    <w:p>
      <w:pPr>
        <w:pStyle w:val="77"/>
        <w:ind w:firstLine="480"/>
        <w:rPr>
          <w:color w:val="000000" w:themeColor="text1"/>
          <w14:textFill>
            <w14:solidFill>
              <w14:schemeClr w14:val="tx1"/>
            </w14:solidFill>
          </w14:textFill>
        </w:rPr>
      </w:pPr>
      <w:bookmarkStart w:id="397" w:name="_Toc44492502"/>
      <w:bookmarkStart w:id="398" w:name="_Toc23406"/>
      <w:bookmarkStart w:id="399" w:name="_Toc12002"/>
      <w:r>
        <w:rPr>
          <w:rFonts w:hint="eastAsia"/>
          <w:color w:val="000000" w:themeColor="text1"/>
          <w14:textFill>
            <w14:solidFill>
              <w14:schemeClr w14:val="tx1"/>
            </w14:solidFill>
          </w14:textFill>
        </w:rPr>
        <w:t>17.4.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预付款</w:t>
      </w:r>
      <w:bookmarkEnd w:id="397"/>
      <w:bookmarkEnd w:id="398"/>
      <w:bookmarkEnd w:id="39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预付款用于分包人为合同工程施工购置材料、工程设备、施工设备、修建临时设施以及组织施工队伍进场并支付劳务费用等。预付款的额度和预付办法在专用条款中约定。预付款必须专用于合同工程。</w:t>
      </w:r>
    </w:p>
    <w:p>
      <w:pPr>
        <w:pStyle w:val="77"/>
        <w:ind w:firstLine="480"/>
        <w:rPr>
          <w:color w:val="000000" w:themeColor="text1"/>
          <w14:textFill>
            <w14:solidFill>
              <w14:schemeClr w14:val="tx1"/>
            </w14:solidFill>
          </w14:textFill>
        </w:rPr>
      </w:pPr>
      <w:bookmarkStart w:id="400" w:name="_Toc25174"/>
      <w:bookmarkStart w:id="401" w:name="_Toc44492503"/>
      <w:bookmarkStart w:id="402" w:name="_Toc17512"/>
      <w:r>
        <w:rPr>
          <w:rFonts w:hint="eastAsia"/>
          <w:color w:val="000000" w:themeColor="text1"/>
          <w14:textFill>
            <w14:solidFill>
              <w14:schemeClr w14:val="tx1"/>
            </w14:solidFill>
          </w14:textFill>
        </w:rPr>
        <w:t>17.5.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工程进度付款</w:t>
      </w:r>
      <w:bookmarkEnd w:id="400"/>
      <w:bookmarkEnd w:id="401"/>
      <w:bookmarkEnd w:id="40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在确认计量结果和价款后，发包人通过承包人向分包人支付工程进度款。</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工程进度款的支付时间额度和要求在专用条款中说明。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如因发包人原因导致承包人支付进度款逾期的，则随后的28天视为宽限期。在宽限期内，分包人不得行使任何追讨的权利，且承包人无需向分包人承担逾期付款的违约责任。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因发包人原因未能在宽限期结束前支付承包人分包工程进度款，分包人在宽限期结束后可通过承包人向发包人发出要求付款的通知，发包人收到通知后仍不能按要求付款，承包人可与分包人协商签订延期付款协议，经分包人同意后可延期支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进度款与质量、安全挂钩，若申报工作的质量、安全达不到验收规范要求，发包人、承包人有权暂缓支付该部分工程款，直至合格为止。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双方确认，分包人在每月申请进度款时，均应按照政府主管部门备案要求向承包人、发包人提供当月已完工程的全部施工验收资料（包括但不限于进场材料检验、检验批验收、分部和分项验收、单位工程验收、隐蔽工程验收等），否则，发包人、承包人有权拒绝支付进度款，分包人不得据此延迟工期，由此产生的损失由分包人自行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发包人或承包人有权在付款中扣除如下任何款项：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如果分包人提供的任何材料、工程设备或完成的工作不符合合同要求，在完成修正和更换前，扣除该修正和更换所需费用；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如果分包人未能按照合同要求履行任何工作或义务，在该项工作或义务完成前，扣除该工作或义务的价值；</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分包人按照本合同约定应承担的任何违约责任或发包人可扣留的任何款项。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 施工期内为付款而对工程量的核实，纯粹作为付款用。不能视为工程已验收合格的依据，亦不得视为对结算工程量的最终确认。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发票的要求在专用条款里写明。</w:t>
      </w:r>
    </w:p>
    <w:p>
      <w:pPr>
        <w:pStyle w:val="77"/>
        <w:ind w:firstLine="480"/>
        <w:rPr>
          <w:color w:val="000000" w:themeColor="text1"/>
          <w14:textFill>
            <w14:solidFill>
              <w14:schemeClr w14:val="tx1"/>
            </w14:solidFill>
          </w14:textFill>
        </w:rPr>
      </w:pPr>
      <w:bookmarkStart w:id="403" w:name="_Toc44492504"/>
      <w:bookmarkStart w:id="404" w:name="_Toc21331"/>
      <w:bookmarkStart w:id="405" w:name="_Toc31125"/>
      <w:r>
        <w:rPr>
          <w:rFonts w:hint="eastAsia"/>
          <w:color w:val="000000" w:themeColor="text1"/>
          <w14:textFill>
            <w14:solidFill>
              <w14:schemeClr w14:val="tx1"/>
            </w14:solidFill>
          </w14:textFill>
        </w:rPr>
        <w:t>17.6.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质量</w:t>
      </w:r>
      <w:bookmarkEnd w:id="403"/>
      <w:bookmarkEnd w:id="404"/>
      <w:bookmarkEnd w:id="405"/>
      <w:r>
        <w:rPr>
          <w:rFonts w:hint="eastAsia"/>
          <w:color w:val="000000" w:themeColor="text1"/>
          <w14:textFill>
            <w14:solidFill>
              <w14:schemeClr w14:val="tx1"/>
            </w14:solidFill>
          </w14:textFill>
        </w:rPr>
        <w:t>担保</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17.6.1.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质量保证金的担保额度按专用条款约定。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17.6.2.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质量保证金的返还在专用条款约定。在缺陷责任期满时，分包人没有完成保修责任的，发包人、承包人有权要求延长缺陷责任期，直至完成缺陷修复工作为止。 </w:t>
      </w:r>
    </w:p>
    <w:p>
      <w:pPr>
        <w:pStyle w:val="77"/>
        <w:ind w:firstLine="480"/>
        <w:rPr>
          <w:color w:val="000000" w:themeColor="text1"/>
          <w14:textFill>
            <w14:solidFill>
              <w14:schemeClr w14:val="tx1"/>
            </w14:solidFill>
          </w14:textFill>
        </w:rPr>
      </w:pPr>
      <w:bookmarkStart w:id="406" w:name="_Toc44492505"/>
      <w:bookmarkStart w:id="407" w:name="_Toc14150"/>
      <w:bookmarkStart w:id="408" w:name="_Toc25400"/>
      <w:r>
        <w:rPr>
          <w:rFonts w:hint="eastAsia"/>
          <w:color w:val="000000" w:themeColor="text1"/>
          <w14:textFill>
            <w14:solidFill>
              <w14:schemeClr w14:val="tx1"/>
            </w14:solidFill>
          </w14:textFill>
        </w:rPr>
        <w:t>17.7.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竣工结算</w:t>
      </w:r>
      <w:bookmarkEnd w:id="406"/>
      <w:bookmarkEnd w:id="407"/>
      <w:bookmarkEnd w:id="40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竣工验收合格后28天内，经承包人审核确认后分包人，向发包人递交结算书及相关文件。若发包人要求分包人提交其他数据，分包人需加以配合提供。结算书及相关资料内容在专用条款中明确。</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发包人在收到分包人提交的结算书及一切所需相关资料后，按专用条款约定的结算期限，进行工程竣工结算。</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分包人提交的结算书必须是完整的，发包人在结算审价过程中，分包人无权利提出任何补充结算资料（图纸、签证变更单、价格凭证等）的要求，结算书中若有结算遗漏项目的均由分包人自行承担。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分包人提交的结算书应包括分包人认为其有权获得的全部工程价款、赔偿、补偿及其他任何金额。任何未在竣工结算报告中载明的项目，视为发包人无须支付，及分包人放弃了要求发包人支付的权利（如有）。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收到通过承包人提交的分包人结算书后，除非发包人以书面形式表示认可或接受，否则发包人的任何作为与不作为（包括要求分包人补充资料、不同意的表示、质疑、要求协商的会议、要求签订与分包人提出的报告不一致的协议或备忘录等）均视为对分包人结算书的不认可。</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结算书经发包人内部审计并与承包人、分包人三方确认后的价款被认为是本工程的全部工程总价，本合同任何需要调整工程总价的因素均已获考虑，不得做任何调整。</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对工程结算的其他约定在专用条款中写明。</w:t>
      </w:r>
    </w:p>
    <w:p>
      <w:pPr>
        <w:pStyle w:val="73"/>
        <w:rPr>
          <w:color w:val="000000" w:themeColor="text1"/>
          <w14:textFill>
            <w14:solidFill>
              <w14:schemeClr w14:val="tx1"/>
            </w14:solidFill>
          </w14:textFill>
        </w:rPr>
      </w:pPr>
      <w:bookmarkStart w:id="409" w:name="_Toc47512248"/>
      <w:bookmarkStart w:id="410" w:name="_Toc91082310"/>
      <w:bookmarkStart w:id="411" w:name="_Toc20645"/>
      <w:bookmarkStart w:id="412" w:name="_Toc44227999"/>
      <w:bookmarkStart w:id="413" w:name="_Toc407356011"/>
      <w:bookmarkStart w:id="414" w:name="_Toc27445"/>
      <w:bookmarkStart w:id="415" w:name="_Toc44492506"/>
      <w:r>
        <w:rPr>
          <w:rFonts w:hint="eastAsia"/>
          <w:color w:val="000000" w:themeColor="text1"/>
          <w14:textFill>
            <w14:solidFill>
              <w14:schemeClr w14:val="tx1"/>
            </w14:solidFill>
          </w14:textFill>
        </w:rPr>
        <w:t>18.竣工验收</w:t>
      </w:r>
      <w:bookmarkEnd w:id="409"/>
      <w:bookmarkEnd w:id="410"/>
      <w:bookmarkEnd w:id="411"/>
      <w:bookmarkEnd w:id="412"/>
      <w:bookmarkEnd w:id="413"/>
      <w:bookmarkEnd w:id="414"/>
      <w:bookmarkEnd w:id="415"/>
    </w:p>
    <w:p>
      <w:pPr>
        <w:pStyle w:val="77"/>
        <w:ind w:firstLine="480"/>
        <w:rPr>
          <w:color w:val="000000" w:themeColor="text1"/>
          <w14:textFill>
            <w14:solidFill>
              <w14:schemeClr w14:val="tx1"/>
            </w14:solidFill>
          </w14:textFill>
        </w:rPr>
      </w:pPr>
      <w:bookmarkStart w:id="416" w:name="_Toc2720"/>
      <w:bookmarkStart w:id="417" w:name="_Toc14925"/>
      <w:bookmarkStart w:id="418" w:name="_Toc44492507"/>
      <w:r>
        <w:rPr>
          <w:rFonts w:hint="eastAsia"/>
          <w:color w:val="000000" w:themeColor="text1"/>
          <w14:textFill>
            <w14:solidFill>
              <w14:schemeClr w14:val="tx1"/>
            </w14:solidFill>
          </w14:textFill>
        </w:rPr>
        <w:t>18.1.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竣工验收的含义</w:t>
      </w:r>
      <w:bookmarkEnd w:id="416"/>
      <w:bookmarkEnd w:id="417"/>
      <w:bookmarkEnd w:id="41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竣工验收指分包人完成了全部合同工作后，发包人、承包人按要求进行的验收。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竣工验收所采用的各项验收和评定标准应符合国家验收标准。发包人和承包人、分包人为工程验收提供的各项工程验收资料应符合国家验收的要求。 </w:t>
      </w:r>
    </w:p>
    <w:p>
      <w:pPr>
        <w:pStyle w:val="77"/>
        <w:ind w:firstLine="480"/>
        <w:rPr>
          <w:color w:val="000000" w:themeColor="text1"/>
          <w14:textFill>
            <w14:solidFill>
              <w14:schemeClr w14:val="tx1"/>
            </w14:solidFill>
          </w14:textFill>
        </w:rPr>
      </w:pPr>
      <w:bookmarkStart w:id="419" w:name="_Toc13959"/>
      <w:bookmarkStart w:id="420" w:name="_Toc44492508"/>
      <w:bookmarkStart w:id="421" w:name="_Toc20054"/>
      <w:r>
        <w:rPr>
          <w:rFonts w:hint="eastAsia"/>
          <w:color w:val="000000" w:themeColor="text1"/>
          <w14:textFill>
            <w14:solidFill>
              <w14:schemeClr w14:val="tx1"/>
            </w14:solidFill>
          </w14:textFill>
        </w:rPr>
        <w:t>18.2.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竣工验收申请</w:t>
      </w:r>
      <w:bookmarkEnd w:id="419"/>
      <w:bookmarkEnd w:id="420"/>
      <w:bookmarkEnd w:id="42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当工程具备以下条件时，分包人通过承包人即可向监理人报送竣工验收申请：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除监理人同意列入缺陷责任期内完成的尾工（甩项）工程和缺陷修补工作外，合同范围内的全部单位工程以及有关工作，包括合同要求的试验、试运行以及检验和验收均已完成，并符合合同要求；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已按合同约定的内容和份数备齐了符合要求的工程资料；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已按监理人的要求编制了在缺陷责任期内完成的尾工（甩项）工程和缺陷修补工作清单以及相应施工计划；</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已完成监理人要求在竣工验收前应完成的其他工作；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已备妥监理人要求提交的竣工验收资料清单中的全部资料。</w:t>
      </w:r>
    </w:p>
    <w:p>
      <w:pPr>
        <w:pStyle w:val="77"/>
        <w:ind w:firstLine="480"/>
        <w:rPr>
          <w:color w:val="000000" w:themeColor="text1"/>
          <w14:textFill>
            <w14:solidFill>
              <w14:schemeClr w14:val="tx1"/>
            </w14:solidFill>
          </w14:textFill>
        </w:rPr>
      </w:pPr>
      <w:bookmarkStart w:id="422" w:name="_Toc1265"/>
      <w:bookmarkStart w:id="423" w:name="_Toc18116"/>
      <w:bookmarkStart w:id="424" w:name="_Toc44492509"/>
      <w:r>
        <w:rPr>
          <w:rFonts w:hint="eastAsia"/>
          <w:color w:val="000000" w:themeColor="text1"/>
          <w14:textFill>
            <w14:solidFill>
              <w14:schemeClr w14:val="tx1"/>
            </w14:solidFill>
          </w14:textFill>
        </w:rPr>
        <w:t>18.3.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验收</w:t>
      </w:r>
      <w:bookmarkEnd w:id="422"/>
      <w:bookmarkEnd w:id="423"/>
      <w:bookmarkEnd w:id="42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监理人收到分包人提交的竣工验收申请报告后，应审查申请报告的各项内容，并按以下不同情况进行处理。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审查后认为尚不具备工程验收条件的，应在收到竣工验收申请报告后的28天内通过承包人通知分包人，指出在竣工验收前分包人还需进行的工作内容。分包人完成监理人通知的全部工作内容后，应再次通过承包人提交竣工验收申请报告，直至监理人同意为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监理人审查后认为已具备竣工验收条件的，应在收到承包人最后一次提交的竣工验收申请报告后的28天内提请发包人进行工程验收。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经过验收后同意接受工程的，发包人、监理人、承包人、分包人共同书面确认竣工验收通过。发包人验收后同意接收工程但提出整修和完善要求的，承包人、分包人进行整修和完善，整修和完善工作完成后，监理人复查达到要求的，经发包人同意后，发包人、监理人、承包人、分包人书面确认竣工验收通过。发包人、监理人、承包人、分包人四方书面确认竣工验收通过之日为竣工验收合格日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验收后不同意接收工程的，监理人应按照发包人的验收意见发出指示，通过承包人要求分包人对不合格工程认真返工重作或进行补救处理，并承担由此产生的费用。分包人在完成不合格工程的返工重作或补救工作后，应重新通过承包人提交竣工验收申请报告。</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因分包人工期拖延，造成工程无法按合同约定的整体竣工验收合格日期通过竣工验收的，为了避免损失的扩大，分包人无条件同意发包人提前使用未经竣工验收的工程或有权让业主、用户入住、使用或按政府要求交付给业主或客户入住、使用工程，上述情况不视为分包人所承包本合同项下的工程已竣工或验收合格或已交付，分包人仍应当承担工期逾期或质量违约赔偿责任（包括但不限于因分包人上述违约行为而导致发包人逾期交房或政府罚款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根据合同文件应当承担的质量保证责任不因为本工程验收合格而免除，本工程通过竣工验收在任何意义上都不意味着发包人、承包人放弃了追究分包人工程质量不合格的违约责任的权利。发包人、承包人进一步确认，若分包人未按合同文件要求的标准完成施工，无论本工程是否通过竣工验收，发包人、承包人均有权随时要求分包人对不符合合同约定的部分予以修理、补救或更换，直至达到符合合同约定为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当随同工程的移交，将与本工程相关的所有技术资料、保修资料、操作指南、质量合格证明、培训手册、程序、密码、数据等一并移交，并负责训练发包人的有关员工对于本工程的操作、维修及紧急程序等，否则发包人有权拒绝向承包人支付任何分包工程款项而发包人、承包人不承担任何延期付款的责任。本合同因任何原因提前终止或解除时，分包人亦需遵守本条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分包人负责整理和提交的竣工验收资料应当符合工程所在地建设行政主管部门和（或）城市建设档案管理机构有关施工资料的要求。竣工验收资料要求在专用条款中说明。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18.3.8.</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除非合同中另有约定，所有本合同工程的竣工资料（含竣工图纸）的准备、编制、整理和装订的费用均由分包人承担，该等费用已经包含在分包人的合同签约合同价格中，承包人不再为此另行支付。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符合竣工备案要求的全套竣工资料是工程竣工验收和结算的前提条件。竣工备案日期为取得当地城市建设档案管理机构竣工备案回执之日。如果分包人提供的竣工资料不能完全反映项目现场工程情况，则发包人有权要求承包人、分包人修改，分包人应在发包人规定时间内完成修改使之满足承包人、发包人和当地城市建设档案管理机构的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18.3.10.</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若分包人不遵照发包人或监理人的指示移交工程，则自发包人或监理人通过承包人发出催告通知之日起，分包人应当按照合同条款约定承担相当于逾期竣工违约责任，直至分包人按照发包人或监理人或承包人的要求完成工程移交为止。</w:t>
      </w:r>
    </w:p>
    <w:p>
      <w:pPr>
        <w:pStyle w:val="77"/>
        <w:ind w:firstLine="480"/>
        <w:rPr>
          <w:color w:val="000000" w:themeColor="text1"/>
          <w14:textFill>
            <w14:solidFill>
              <w14:schemeClr w14:val="tx1"/>
            </w14:solidFill>
          </w14:textFill>
        </w:rPr>
      </w:pPr>
      <w:bookmarkStart w:id="425" w:name="_Toc6102"/>
      <w:bookmarkStart w:id="426" w:name="_Toc44492510"/>
      <w:bookmarkStart w:id="427" w:name="_Toc764"/>
      <w:r>
        <w:rPr>
          <w:rFonts w:hint="eastAsia"/>
          <w:color w:val="000000" w:themeColor="text1"/>
          <w14:textFill>
            <w14:solidFill>
              <w14:schemeClr w14:val="tx1"/>
            </w14:solidFill>
          </w14:textFill>
        </w:rPr>
        <w:t>18.4.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施工期运行</w:t>
      </w:r>
      <w:bookmarkEnd w:id="425"/>
      <w:bookmarkEnd w:id="426"/>
      <w:bookmarkEnd w:id="42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施工期运行是指合同工程尚未全部竣工，其中某项或某几项单位工程或工程设备安装已竣工，根据专用条款约定，需要投入施工期运行的，经发包人验收合格，证明能确保安全后，才能在施工期投入运行。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18.4.2.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在施工期运行中发现工程或工程设备损坏或存在缺陷的，由分包人进行修复。</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18.4.3.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若合同文件说明部分工程包含调试，则分包人须负责按合同文件规定对该部分工程进行调试，并依法安排当地政府有关部门对整体安装的现状调试直至验收合格并发予运行/转准字或批文，有关费用已包括在分包人的合同签约合同价格内。</w:t>
      </w:r>
    </w:p>
    <w:p>
      <w:pPr>
        <w:pStyle w:val="77"/>
        <w:ind w:firstLine="480"/>
        <w:rPr>
          <w:color w:val="000000" w:themeColor="text1"/>
          <w14:textFill>
            <w14:solidFill>
              <w14:schemeClr w14:val="tx1"/>
            </w14:solidFill>
          </w14:textFill>
        </w:rPr>
      </w:pPr>
      <w:bookmarkStart w:id="428" w:name="_Toc21626"/>
      <w:bookmarkStart w:id="429" w:name="_Toc44492511"/>
      <w:bookmarkStart w:id="430" w:name="_Toc18231"/>
      <w:r>
        <w:rPr>
          <w:rFonts w:hint="eastAsia"/>
          <w:color w:val="000000" w:themeColor="text1"/>
          <w14:textFill>
            <w14:solidFill>
              <w14:schemeClr w14:val="tx1"/>
            </w14:solidFill>
          </w14:textFill>
        </w:rPr>
        <w:t>18.5.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试运行</w:t>
      </w:r>
      <w:bookmarkEnd w:id="428"/>
      <w:bookmarkEnd w:id="429"/>
      <w:bookmarkEnd w:id="43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分包人按专用条款约定进行工程及工程设备试运行，负责提供试运行所需的人员、器材和必要的条件，并承担全部试运行费用。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18.5.2.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由于分包人的原因导致试运行失败的，分包人应采取措施保证试运行合格，并承担相应费用。由于发包人或承包人的原因导致试运行失败的，分包人应当采取措施保证试运行合格，发包人或承包人应承担由此产生的费用。</w:t>
      </w:r>
    </w:p>
    <w:p>
      <w:pPr>
        <w:pStyle w:val="77"/>
        <w:ind w:firstLine="480"/>
        <w:rPr>
          <w:color w:val="000000" w:themeColor="text1"/>
          <w14:textFill>
            <w14:solidFill>
              <w14:schemeClr w14:val="tx1"/>
            </w14:solidFill>
          </w14:textFill>
        </w:rPr>
      </w:pPr>
      <w:bookmarkStart w:id="431" w:name="_Toc44492512"/>
      <w:bookmarkStart w:id="432" w:name="_Toc9921"/>
      <w:bookmarkStart w:id="433" w:name="_Toc7253"/>
      <w:r>
        <w:rPr>
          <w:rFonts w:hint="eastAsia"/>
          <w:color w:val="000000" w:themeColor="text1"/>
          <w14:textFill>
            <w14:solidFill>
              <w14:schemeClr w14:val="tx1"/>
            </w14:solidFill>
          </w14:textFill>
        </w:rPr>
        <w:t>18.6.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竣工清场</w:t>
      </w:r>
      <w:bookmarkEnd w:id="431"/>
      <w:bookmarkEnd w:id="432"/>
      <w:bookmarkEnd w:id="43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18.6.1.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工程竣工验收通过后，分包人应按以下要求对施工场地进行清理，直至监理人检验合格为止。竣工清场费用由分包人承担。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施工场地内残留的垃圾已全部清除出场；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临时工程已拆除，场地已按合同要求进行清理、平整或复原；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按合同约定应撤离的分包人设备和剩余的材料，包括废弃的施工设备和材料，已按计划撤离施工场地；</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工程建筑物周边及其附近道路、河道的施工堆积物，已按监理人指示全部清理；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监理人指示的其他的场地清理工作已全部完成。</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除专用合同条款另有约定外，分包人应予工程竣工验收通过后10天内完成上述清理工作。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18.6.2.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未按监理人的要求恢复临时占地，或者场地清理未达到合同约定的，承包人有权委托其他人恢复或清理，所发生的费用从应支付给分包人的款项中扣除。分包人未搬离而遗留在施工场地或其周围的物品，包括但不限于设备、器械、工具、材料等，均视为分包人已将其丢弃、放弃，发包人有权自行或委托第三人予以处置，无须承担任何责任，所发生的费用从应支付给分包人的款项中扣除。第18.7条情形亦同。</w:t>
      </w:r>
    </w:p>
    <w:p>
      <w:pPr>
        <w:pStyle w:val="77"/>
        <w:ind w:firstLine="480"/>
        <w:rPr>
          <w:color w:val="000000" w:themeColor="text1"/>
          <w14:textFill>
            <w14:solidFill>
              <w14:schemeClr w14:val="tx1"/>
            </w14:solidFill>
          </w14:textFill>
        </w:rPr>
      </w:pPr>
      <w:bookmarkStart w:id="434" w:name="_Toc44492513"/>
      <w:bookmarkStart w:id="435" w:name="_Toc24812"/>
      <w:bookmarkStart w:id="436" w:name="_Toc4119"/>
      <w:r>
        <w:rPr>
          <w:rFonts w:hint="eastAsia"/>
          <w:color w:val="000000" w:themeColor="text1"/>
          <w14:textFill>
            <w14:solidFill>
              <w14:schemeClr w14:val="tx1"/>
            </w14:solidFill>
          </w14:textFill>
        </w:rPr>
        <w:t>18.7.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施工队伍的撤离</w:t>
      </w:r>
      <w:bookmarkEnd w:id="434"/>
      <w:bookmarkEnd w:id="435"/>
      <w:bookmarkEnd w:id="43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18.7.1.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整体工程竣工验收通过后，除需进行工程整改或经监理人同意在缺陷责任期内继续工作和使用的人员、施工设备和临时工程外，其余的人员、施工设备和临时工程均应撤离施工场地或拆除。除专用合同条款另有约定外，分包人应予工程竣工验收通过后10天内完成该等撤离和拆除。除合同另有约定外，缺陷责任期满时，分包人的人员和施工设备应全部撤离施工场地。</w:t>
      </w:r>
      <w:bookmarkStart w:id="437" w:name="_Toc15940"/>
      <w:bookmarkStart w:id="438" w:name="_Toc22089"/>
      <w:bookmarkStart w:id="439" w:name="_Toc407356012"/>
      <w:bookmarkStart w:id="440" w:name="_Toc44228000"/>
      <w:bookmarkStart w:id="441" w:name="_Toc91082311"/>
      <w:bookmarkStart w:id="442" w:name="_Toc44492514"/>
      <w:bookmarkStart w:id="443" w:name="_Toc47512249"/>
    </w:p>
    <w:p>
      <w:pPr>
        <w:pStyle w:val="73"/>
        <w:rPr>
          <w:color w:val="000000" w:themeColor="text1"/>
          <w14:textFill>
            <w14:solidFill>
              <w14:schemeClr w14:val="tx1"/>
            </w14:solidFill>
          </w14:textFill>
        </w:rPr>
      </w:pPr>
      <w:r>
        <w:rPr>
          <w:rFonts w:hint="eastAsia"/>
          <w:color w:val="000000" w:themeColor="text1"/>
          <w14:textFill>
            <w14:solidFill>
              <w14:schemeClr w14:val="tx1"/>
            </w14:solidFill>
          </w14:textFill>
        </w:rPr>
        <w:t>19.缺陷责任</w:t>
      </w:r>
      <w:bookmarkEnd w:id="437"/>
      <w:bookmarkEnd w:id="438"/>
      <w:bookmarkEnd w:id="439"/>
      <w:bookmarkEnd w:id="440"/>
      <w:r>
        <w:rPr>
          <w:rFonts w:hint="eastAsia"/>
          <w:color w:val="000000" w:themeColor="text1"/>
          <w14:textFill>
            <w14:solidFill>
              <w14:schemeClr w14:val="tx1"/>
            </w14:solidFill>
          </w14:textFill>
        </w:rPr>
        <w:t>与</w:t>
      </w:r>
      <w:r>
        <w:rPr>
          <w:color w:val="000000" w:themeColor="text1"/>
          <w14:textFill>
            <w14:solidFill>
              <w14:schemeClr w14:val="tx1"/>
            </w14:solidFill>
          </w14:textFill>
        </w:rPr>
        <w:t>保修</w:t>
      </w:r>
      <w:bookmarkEnd w:id="441"/>
      <w:bookmarkEnd w:id="442"/>
      <w:bookmarkEnd w:id="443"/>
      <w:bookmarkStart w:id="444" w:name="_Toc44492515"/>
      <w:bookmarkStart w:id="445" w:name="_Toc22"/>
      <w:bookmarkStart w:id="446" w:name="_Toc21762"/>
    </w:p>
    <w:p>
      <w:pPr>
        <w:pStyle w:val="77"/>
        <w:ind w:firstLine="480"/>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19.1.</w:t>
      </w:r>
      <w:r>
        <w:rPr>
          <w:bCs w:val="0"/>
          <w:color w:val="000000" w:themeColor="text1"/>
          <w14:textFill>
            <w14:solidFill>
              <w14:schemeClr w14:val="tx1"/>
            </w14:solidFill>
          </w14:textFill>
        </w:rPr>
        <w:t xml:space="preserve"> </w:t>
      </w:r>
      <w:r>
        <w:rPr>
          <w:rFonts w:hint="eastAsia"/>
          <w:bCs w:val="0"/>
          <w:color w:val="000000" w:themeColor="text1"/>
          <w14:textFill>
            <w14:solidFill>
              <w14:schemeClr w14:val="tx1"/>
            </w14:solidFill>
          </w14:textFill>
        </w:rPr>
        <w:t>工</w:t>
      </w:r>
      <w:r>
        <w:rPr>
          <w:bCs w:val="0"/>
          <w:color w:val="000000" w:themeColor="text1"/>
          <w14:textFill>
            <w14:solidFill>
              <w14:schemeClr w14:val="tx1"/>
            </w14:solidFill>
          </w14:textFill>
        </w:rPr>
        <w:t>程保修的原则</w:t>
      </w:r>
      <w:bookmarkEnd w:id="444"/>
      <w:bookmarkStart w:id="447" w:name="_Toc4449251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在工程移交发包人后，因分包人原因产生的质量缺陷，分包人应承担质量缺陷责任和保修义务。缺陷责任期届满，分包人仍应按合同约定的工程各部位保修年限承担保修义务。</w:t>
      </w:r>
      <w:bookmarkEnd w:id="447"/>
      <w:r>
        <w:rPr>
          <w:rFonts w:hint="eastAsia"/>
          <w:color w:val="000000" w:themeColor="text1"/>
          <w14:textFill>
            <w14:solidFill>
              <w14:schemeClr w14:val="tx1"/>
            </w14:solidFill>
          </w14:textFill>
        </w:rPr>
        <w:tab/>
      </w:r>
      <w:bookmarkStart w:id="448" w:name="_Toc44492517"/>
    </w:p>
    <w:p>
      <w:pPr>
        <w:pStyle w:val="77"/>
        <w:ind w:firstLine="480"/>
        <w:rPr>
          <w:bCs w:val="0"/>
          <w:color w:val="000000" w:themeColor="text1"/>
          <w14:textFill>
            <w14:solidFill>
              <w14:schemeClr w14:val="tx1"/>
            </w14:solidFill>
          </w14:textFill>
        </w:rPr>
      </w:pPr>
      <w:r>
        <w:rPr>
          <w:rFonts w:hint="eastAsia"/>
          <w:bCs w:val="0"/>
          <w:color w:val="000000" w:themeColor="text1"/>
          <w14:textFill>
            <w14:solidFill>
              <w14:schemeClr w14:val="tx1"/>
            </w14:solidFill>
          </w14:textFill>
        </w:rPr>
        <w:t>19.2缺陷责任期</w:t>
      </w:r>
      <w:bookmarkEnd w:id="445"/>
      <w:bookmarkEnd w:id="446"/>
      <w:bookmarkEnd w:id="448"/>
      <w:bookmarkStart w:id="449" w:name="_Toc44492518"/>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 xml:space="preserve">19.2.1. </w:t>
      </w:r>
      <w:r>
        <w:rPr>
          <w:rFonts w:hint="eastAsia"/>
          <w:color w:val="000000" w:themeColor="text1"/>
          <w14:textFill>
            <w14:solidFill>
              <w14:schemeClr w14:val="tx1"/>
            </w14:solidFill>
          </w14:textFill>
        </w:rPr>
        <w:t>缺陷责任期起止时间按照专用条款的约定执行。</w:t>
      </w:r>
      <w:bookmarkEnd w:id="449"/>
      <w:bookmarkStart w:id="450" w:name="_Toc44492519"/>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9.2.2. 项目整体竣工验收合格后，因分包人原因导致的缺陷或损坏致使工程、单位工程或某项主要设备不能按原定目的使用的，则发包人有权要求承包人、分包人延长缺陷责任期，并应在原缺陷责任期届满前发出延长通知。</w:t>
      </w:r>
      <w:bookmarkEnd w:id="450"/>
      <w:bookmarkStart w:id="451" w:name="_Toc4449252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19.2.3任何一项缺陷或损坏修复后，经检查证明其影响了工程或工程设备的使用性能，分包人应重新进行合同约定的试验和试运行，试验和试运行的全部费用应由责任方承担。</w:t>
      </w:r>
      <w:bookmarkEnd w:id="451"/>
    </w:p>
    <w:p>
      <w:pPr>
        <w:pStyle w:val="52"/>
        <w:ind w:firstLine="420"/>
        <w:rPr>
          <w:b/>
          <w:bCs/>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bookmarkStart w:id="452" w:name="_Toc44492521"/>
      <w:r>
        <w:rPr>
          <w:color w:val="000000" w:themeColor="text1"/>
          <w14:textFill>
            <w14:solidFill>
              <w14:schemeClr w14:val="tx1"/>
            </w14:solidFill>
          </w14:textFill>
        </w:rPr>
        <w:t>19.2.4</w:t>
      </w:r>
      <w:r>
        <w:rPr>
          <w:rFonts w:hint="eastAsia"/>
          <w:color w:val="000000" w:themeColor="text1"/>
          <w14:textFill>
            <w14:solidFill>
              <w14:schemeClr w14:val="tx1"/>
            </w14:solidFill>
          </w14:textFill>
        </w:rPr>
        <w:t>除专用合同条款另有约定外，分包人应于缺陷责任期届满后7天内通过承包人向发包人发出缺陷责任期届满通知，发包人应在收到缺陷责任期满通知后14天内核实承包人、分包人是否履行缺陷修复义务，分包人未能履行缺陷修复义务的，承包人有权扣除相应金额的维修费用。</w:t>
      </w:r>
      <w:bookmarkEnd w:id="452"/>
    </w:p>
    <w:p>
      <w:pPr>
        <w:pStyle w:val="77"/>
        <w:ind w:firstLine="480"/>
        <w:rPr>
          <w:color w:val="000000" w:themeColor="text1"/>
          <w14:textFill>
            <w14:solidFill>
              <w14:schemeClr w14:val="tx1"/>
            </w14:solidFill>
          </w14:textFill>
        </w:rPr>
      </w:pPr>
      <w:bookmarkStart w:id="453" w:name="_Toc7448"/>
      <w:bookmarkStart w:id="454" w:name="_Toc44492522"/>
      <w:bookmarkStart w:id="455" w:name="_Toc23428"/>
      <w:r>
        <w:rPr>
          <w:rFonts w:hint="eastAsia"/>
          <w:color w:val="000000" w:themeColor="text1"/>
          <w14:textFill>
            <w14:solidFill>
              <w14:schemeClr w14:val="tx1"/>
            </w14:solidFill>
          </w14:textFill>
        </w:rPr>
        <w:t>19.</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缺陷责任程序</w:t>
      </w:r>
      <w:bookmarkEnd w:id="453"/>
      <w:bookmarkEnd w:id="454"/>
      <w:bookmarkEnd w:id="45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若分包人在合理时间内未完成发包人指明的缺陷的修复工程,或经发包人证实分包人在维修期间无故拖延，则发包人有权雇佣其他机构或人士进行修复和完成剩余工程。承包人有权从本工程质量保修金中扣除应由分包人承担的费用；质量保修金不足以清偿的，分包人应按发包人、承包人的通知另行支付、补足。</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w:t>
      </w:r>
      <w:r>
        <w:rPr>
          <w:color w:val="000000" w:themeColor="text1"/>
          <w14:textFill>
            <w14:solidFill>
              <w14:schemeClr w14:val="tx1"/>
            </w14:solidFill>
          </w14:textFill>
        </w:rPr>
        <w:t>3.2</w:t>
      </w:r>
      <w:bookmarkStart w:id="456" w:name="_Hlk47518290"/>
      <w:r>
        <w:rPr>
          <w:rFonts w:hint="eastAsia"/>
          <w:color w:val="000000" w:themeColor="text1"/>
          <w14:textFill>
            <w14:solidFill>
              <w14:schemeClr w14:val="tx1"/>
            </w14:solidFill>
          </w14:textFill>
        </w:rPr>
        <w:t>.</w:t>
      </w:r>
      <w:bookmarkEnd w:id="456"/>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缺陷责任期内分包人为缺陷修复工作需要，有权进入工程现场，但应遵守发包人的保安和保密规定。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质量保证金的退还并不表示分包人保修责任的结束，分包人仍须按照相关法律法规规章及本合同，包括但不限于专用条款的规定继续履行保修责任、质量责任。</w:t>
      </w:r>
    </w:p>
    <w:p>
      <w:pPr>
        <w:pStyle w:val="77"/>
        <w:ind w:firstLine="480"/>
        <w:rPr>
          <w:color w:val="000000" w:themeColor="text1"/>
          <w14:textFill>
            <w14:solidFill>
              <w14:schemeClr w14:val="tx1"/>
            </w14:solidFill>
          </w14:textFill>
        </w:rPr>
      </w:pPr>
      <w:bookmarkStart w:id="457" w:name="_Toc44492523"/>
      <w:r>
        <w:rPr>
          <w:rFonts w:hint="eastAsia"/>
          <w:color w:val="000000" w:themeColor="text1"/>
          <w14:textFill>
            <w14:solidFill>
              <w14:schemeClr w14:val="tx1"/>
            </w14:solidFill>
          </w14:textFill>
        </w:rPr>
        <w:t>19</w:t>
      </w:r>
      <w:r>
        <w:rPr>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保修</w:t>
      </w:r>
      <w:bookmarkEnd w:id="457"/>
    </w:p>
    <w:p>
      <w:pPr>
        <w:pStyle w:val="4"/>
        <w:keepNext w:val="0"/>
        <w:keepLines w:val="0"/>
        <w:numPr>
          <w:ilvl w:val="2"/>
          <w:numId w:val="0"/>
        </w:numPr>
        <w:adjustRightInd w:val="0"/>
        <w:snapToGrid w:val="0"/>
        <w:spacing w:before="0" w:after="0" w:line="360" w:lineRule="auto"/>
        <w:ind w:firstLine="420" w:firstLineChars="200"/>
        <w:jc w:val="left"/>
        <w:rPr>
          <w:rFonts w:eastAsia="仿宋_GB2312"/>
          <w:b w:val="0"/>
          <w:bCs w:val="0"/>
          <w:color w:val="000000" w:themeColor="text1"/>
          <w:kern w:val="0"/>
          <w:sz w:val="21"/>
          <w14:textFill>
            <w14:solidFill>
              <w14:schemeClr w14:val="tx1"/>
            </w14:solidFill>
          </w14:textFill>
        </w:rPr>
      </w:pPr>
      <w:bookmarkStart w:id="458" w:name="_Toc44492524"/>
      <w:r>
        <w:rPr>
          <w:rFonts w:hint="eastAsia" w:eastAsia="仿宋_GB2312"/>
          <w:b w:val="0"/>
          <w:bCs w:val="0"/>
          <w:color w:val="000000" w:themeColor="text1"/>
          <w:kern w:val="0"/>
          <w:sz w:val="21"/>
          <w14:textFill>
            <w14:solidFill>
              <w14:schemeClr w14:val="tx1"/>
            </w14:solidFill>
          </w14:textFill>
        </w:rPr>
        <w:t>19.4.1. 保修责任</w:t>
      </w:r>
      <w:bookmarkEnd w:id="458"/>
    </w:p>
    <w:p>
      <w:pPr>
        <w:adjustRightInd w:val="0"/>
        <w:snapToGrid w:val="0"/>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工程保修期及具体分部分项工程的保修期由合同当事人在专用合同条款中约定，但不得低于法定最低保修年限。在工程保修期内，分包人应当根据有关法律规定以及合同约定承担保修责任。</w:t>
      </w:r>
    </w:p>
    <w:p>
      <w:pPr>
        <w:pStyle w:val="4"/>
        <w:keepNext w:val="0"/>
        <w:keepLines w:val="0"/>
        <w:numPr>
          <w:ilvl w:val="2"/>
          <w:numId w:val="0"/>
        </w:numPr>
        <w:adjustRightInd w:val="0"/>
        <w:snapToGrid w:val="0"/>
        <w:spacing w:before="0" w:after="0" w:line="360" w:lineRule="auto"/>
        <w:ind w:firstLine="420" w:firstLineChars="200"/>
        <w:jc w:val="left"/>
        <w:rPr>
          <w:rFonts w:eastAsia="仿宋_GB2312"/>
          <w:b w:val="0"/>
          <w:bCs w:val="0"/>
          <w:color w:val="000000" w:themeColor="text1"/>
          <w:kern w:val="0"/>
          <w:sz w:val="21"/>
          <w14:textFill>
            <w14:solidFill>
              <w14:schemeClr w14:val="tx1"/>
            </w14:solidFill>
          </w14:textFill>
        </w:rPr>
      </w:pPr>
      <w:bookmarkStart w:id="459" w:name="_Toc44492525"/>
      <w:r>
        <w:rPr>
          <w:rFonts w:hint="eastAsia" w:eastAsia="仿宋_GB2312"/>
          <w:b w:val="0"/>
          <w:bCs w:val="0"/>
          <w:color w:val="000000" w:themeColor="text1"/>
          <w:kern w:val="0"/>
          <w:sz w:val="21"/>
          <w14:textFill>
            <w14:solidFill>
              <w14:schemeClr w14:val="tx1"/>
            </w14:solidFill>
          </w14:textFill>
        </w:rPr>
        <w:t>19.4.2. 修复费用</w:t>
      </w:r>
      <w:bookmarkEnd w:id="459"/>
    </w:p>
    <w:p>
      <w:pPr>
        <w:adjustRightInd w:val="0"/>
        <w:snapToGrid w:val="0"/>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保修期内，修复的费用按照以下约定处理：</w:t>
      </w:r>
    </w:p>
    <w:p>
      <w:pPr>
        <w:pStyle w:val="5"/>
        <w:keepNext w:val="0"/>
        <w:keepLines w:val="0"/>
        <w:adjustRightInd w:val="0"/>
        <w:snapToGrid w:val="0"/>
        <w:spacing w:before="0" w:after="0" w:line="360" w:lineRule="auto"/>
        <w:ind w:left="567"/>
        <w:jc w:val="left"/>
        <w:rPr>
          <w:rFonts w:ascii="Times New Roman" w:hAnsi="Times New Roman" w:eastAsia="仿宋_GB2312"/>
          <w:b w:val="0"/>
          <w:bCs w:val="0"/>
          <w:color w:val="000000" w:themeColor="text1"/>
          <w:kern w:val="0"/>
          <w:sz w:val="21"/>
          <w:szCs w:val="32"/>
          <w14:textFill>
            <w14:solidFill>
              <w14:schemeClr w14:val="tx1"/>
            </w14:solidFill>
          </w14:textFill>
        </w:rPr>
      </w:pPr>
      <w:r>
        <w:rPr>
          <w:rFonts w:hint="eastAsia" w:ascii="Times New Roman" w:hAnsi="Times New Roman" w:eastAsia="仿宋_GB2312"/>
          <w:b w:val="0"/>
          <w:bCs w:val="0"/>
          <w:color w:val="000000" w:themeColor="text1"/>
          <w:kern w:val="0"/>
          <w:sz w:val="21"/>
          <w:szCs w:val="32"/>
          <w14:textFill>
            <w14:solidFill>
              <w14:schemeClr w14:val="tx1"/>
            </w14:solidFill>
          </w14:textFill>
        </w:rPr>
        <w:t>1）保修期内，因分包人原因造成工程的缺陷、损坏，分包人应负责修复，并承担修复的费用以及因工程的缺陷、损坏造成的人身伤害和财产损失；</w:t>
      </w:r>
    </w:p>
    <w:p>
      <w:pPr>
        <w:pStyle w:val="5"/>
        <w:keepNext w:val="0"/>
        <w:keepLines w:val="0"/>
        <w:adjustRightInd w:val="0"/>
        <w:snapToGrid w:val="0"/>
        <w:spacing w:before="0" w:after="0" w:line="360" w:lineRule="auto"/>
        <w:ind w:left="567"/>
        <w:jc w:val="left"/>
        <w:rPr>
          <w:rFonts w:ascii="Times New Roman" w:hAnsi="Times New Roman" w:eastAsia="仿宋_GB2312"/>
          <w:b w:val="0"/>
          <w:bCs w:val="0"/>
          <w:color w:val="000000" w:themeColor="text1"/>
          <w:kern w:val="0"/>
          <w:sz w:val="21"/>
          <w:szCs w:val="32"/>
          <w14:textFill>
            <w14:solidFill>
              <w14:schemeClr w14:val="tx1"/>
            </w14:solidFill>
          </w14:textFill>
        </w:rPr>
      </w:pPr>
      <w:r>
        <w:rPr>
          <w:rFonts w:hint="eastAsia" w:ascii="Times New Roman" w:hAnsi="Times New Roman" w:eastAsia="仿宋_GB2312"/>
          <w:b w:val="0"/>
          <w:bCs w:val="0"/>
          <w:color w:val="000000" w:themeColor="text1"/>
          <w:kern w:val="0"/>
          <w:sz w:val="21"/>
          <w:szCs w:val="32"/>
          <w14:textFill>
            <w14:solidFill>
              <w14:schemeClr w14:val="tx1"/>
            </w14:solidFill>
          </w14:textFill>
        </w:rPr>
        <w:t>2）保修期内，因发包人使用不当造成工程的缺陷、损坏，可以委托分包人修复，但发包人应承担修复的费用；</w:t>
      </w:r>
    </w:p>
    <w:p>
      <w:pPr>
        <w:pStyle w:val="5"/>
        <w:keepNext w:val="0"/>
        <w:keepLines w:val="0"/>
        <w:adjustRightInd w:val="0"/>
        <w:snapToGrid w:val="0"/>
        <w:spacing w:before="0" w:after="0" w:line="360" w:lineRule="auto"/>
        <w:ind w:left="567"/>
        <w:jc w:val="left"/>
        <w:rPr>
          <w:rFonts w:ascii="Times New Roman" w:hAnsi="Times New Roman" w:eastAsia="仿宋_GB2312"/>
          <w:b w:val="0"/>
          <w:bCs w:val="0"/>
          <w:color w:val="000000" w:themeColor="text1"/>
          <w:kern w:val="0"/>
          <w:sz w:val="21"/>
          <w:szCs w:val="32"/>
          <w14:textFill>
            <w14:solidFill>
              <w14:schemeClr w14:val="tx1"/>
            </w14:solidFill>
          </w14:textFill>
        </w:rPr>
      </w:pPr>
      <w:r>
        <w:rPr>
          <w:rFonts w:hint="eastAsia" w:ascii="Times New Roman" w:hAnsi="Times New Roman" w:eastAsia="仿宋_GB2312"/>
          <w:b w:val="0"/>
          <w:bCs w:val="0"/>
          <w:color w:val="000000" w:themeColor="text1"/>
          <w:kern w:val="0"/>
          <w:sz w:val="21"/>
          <w:szCs w:val="32"/>
          <w14:textFill>
            <w14:solidFill>
              <w14:schemeClr w14:val="tx1"/>
            </w14:solidFill>
          </w14:textFill>
        </w:rPr>
        <w:t>3）因其他原因造成工程的缺陷、损坏，可以委托分包人修复，发包人应承担修复的费用，因工程的缺陷、损坏造成的人身伤害和财产损失由责任方承担。</w:t>
      </w:r>
    </w:p>
    <w:p>
      <w:pPr>
        <w:pStyle w:val="4"/>
        <w:keepNext w:val="0"/>
        <w:keepLines w:val="0"/>
        <w:numPr>
          <w:ilvl w:val="2"/>
          <w:numId w:val="0"/>
        </w:numPr>
        <w:adjustRightInd w:val="0"/>
        <w:snapToGrid w:val="0"/>
        <w:spacing w:before="0" w:after="0" w:line="360" w:lineRule="auto"/>
        <w:ind w:firstLine="420" w:firstLineChars="200"/>
        <w:jc w:val="left"/>
        <w:rPr>
          <w:rFonts w:eastAsia="仿宋_GB2312"/>
          <w:b w:val="0"/>
          <w:bCs w:val="0"/>
          <w:color w:val="000000" w:themeColor="text1"/>
          <w:kern w:val="0"/>
          <w:sz w:val="21"/>
          <w14:textFill>
            <w14:solidFill>
              <w14:schemeClr w14:val="tx1"/>
            </w14:solidFill>
          </w14:textFill>
        </w:rPr>
      </w:pPr>
      <w:bookmarkStart w:id="460" w:name="_Toc44492526"/>
      <w:r>
        <w:rPr>
          <w:rFonts w:hint="eastAsia" w:eastAsia="仿宋_GB2312"/>
          <w:b w:val="0"/>
          <w:bCs w:val="0"/>
          <w:color w:val="000000" w:themeColor="text1"/>
          <w:kern w:val="0"/>
          <w:sz w:val="21"/>
          <w14:textFill>
            <w14:solidFill>
              <w14:schemeClr w14:val="tx1"/>
            </w14:solidFill>
          </w14:textFill>
        </w:rPr>
        <w:t>19.4.3. 修复通知</w:t>
      </w:r>
      <w:bookmarkEnd w:id="460"/>
    </w:p>
    <w:p>
      <w:pPr>
        <w:adjustRightInd w:val="0"/>
        <w:snapToGrid w:val="0"/>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在保修期内，发包人在使用过程中，发现已接收的工程存在缺陷或损坏的，应通过承包人书面通知分包人予以修复，但情况紧急必须立即修复缺陷或损坏的，分包人在口头通知后48小时内书面确认，分包人应在专用合同条款约定的合理期限内到达工程现场并修复缺陷或损坏。</w:t>
      </w:r>
    </w:p>
    <w:p>
      <w:pPr>
        <w:pStyle w:val="4"/>
        <w:keepNext w:val="0"/>
        <w:keepLines w:val="0"/>
        <w:numPr>
          <w:ilvl w:val="2"/>
          <w:numId w:val="0"/>
        </w:numPr>
        <w:adjustRightInd w:val="0"/>
        <w:snapToGrid w:val="0"/>
        <w:spacing w:before="0" w:after="0" w:line="360" w:lineRule="auto"/>
        <w:ind w:firstLine="420" w:firstLineChars="200"/>
        <w:jc w:val="left"/>
        <w:rPr>
          <w:rFonts w:eastAsia="仿宋_GB2312"/>
          <w:b w:val="0"/>
          <w:bCs w:val="0"/>
          <w:color w:val="000000" w:themeColor="text1"/>
          <w:kern w:val="0"/>
          <w:sz w:val="21"/>
          <w14:textFill>
            <w14:solidFill>
              <w14:schemeClr w14:val="tx1"/>
            </w14:solidFill>
          </w14:textFill>
        </w:rPr>
      </w:pPr>
      <w:bookmarkStart w:id="461" w:name="_Toc44492527"/>
      <w:r>
        <w:rPr>
          <w:rFonts w:hint="eastAsia" w:eastAsia="仿宋_GB2312"/>
          <w:b w:val="0"/>
          <w:bCs w:val="0"/>
          <w:color w:val="000000" w:themeColor="text1"/>
          <w:kern w:val="0"/>
          <w:sz w:val="21"/>
          <w14:textFill>
            <w14:solidFill>
              <w14:schemeClr w14:val="tx1"/>
            </w14:solidFill>
          </w14:textFill>
        </w:rPr>
        <w:t>19.4.4. 未能修复</w:t>
      </w:r>
      <w:bookmarkEnd w:id="461"/>
    </w:p>
    <w:p>
      <w:pPr>
        <w:adjustRightInd w:val="0"/>
        <w:snapToGrid w:val="0"/>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因分包人原因造成工程的缺陷或损坏，分包人拒绝维修或未能在合理期限内修复缺陷或损坏，且经发包人、承包人书面催告后仍未修复的，发包人有权自行修复或委托第三方修复，所需费用由分包人承担。</w:t>
      </w:r>
    </w:p>
    <w:p>
      <w:pPr>
        <w:pStyle w:val="4"/>
        <w:keepNext w:val="0"/>
        <w:keepLines w:val="0"/>
        <w:numPr>
          <w:ilvl w:val="2"/>
          <w:numId w:val="0"/>
        </w:numPr>
        <w:adjustRightInd w:val="0"/>
        <w:snapToGrid w:val="0"/>
        <w:spacing w:before="0" w:after="0" w:line="360" w:lineRule="auto"/>
        <w:ind w:firstLine="420" w:firstLineChars="200"/>
        <w:jc w:val="left"/>
        <w:rPr>
          <w:rFonts w:eastAsia="仿宋_GB2312"/>
          <w:b w:val="0"/>
          <w:bCs w:val="0"/>
          <w:color w:val="000000" w:themeColor="text1"/>
          <w:kern w:val="0"/>
          <w:sz w:val="21"/>
          <w14:textFill>
            <w14:solidFill>
              <w14:schemeClr w14:val="tx1"/>
            </w14:solidFill>
          </w14:textFill>
        </w:rPr>
      </w:pPr>
      <w:bookmarkStart w:id="462" w:name="_Toc44492528"/>
      <w:r>
        <w:rPr>
          <w:rFonts w:hint="eastAsia" w:eastAsia="仿宋_GB2312"/>
          <w:b w:val="0"/>
          <w:bCs w:val="0"/>
          <w:color w:val="000000" w:themeColor="text1"/>
          <w:kern w:val="0"/>
          <w:sz w:val="21"/>
          <w14:textFill>
            <w14:solidFill>
              <w14:schemeClr w14:val="tx1"/>
            </w14:solidFill>
          </w14:textFill>
        </w:rPr>
        <w:t>19.4.5. 分包人出入权</w:t>
      </w:r>
      <w:bookmarkEnd w:id="462"/>
    </w:p>
    <w:p>
      <w:pPr>
        <w:adjustRightInd w:val="0"/>
        <w:snapToGrid w:val="0"/>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在保修期内，为了修复缺陷或损坏，分包人有权出入工程现场，除情况紧急必须立即修复缺陷或损坏外，分包人应通过承包人提前24小时通知发包人进场修复的时间。分包人进入工程现场前应获得发包人同意，且不应影响发包人正常的生产经营，并应遵守发包人有关保安和保密等规定。</w:t>
      </w:r>
    </w:p>
    <w:p>
      <w:pPr>
        <w:pStyle w:val="73"/>
        <w:rPr>
          <w:color w:val="000000" w:themeColor="text1"/>
          <w14:textFill>
            <w14:solidFill>
              <w14:schemeClr w14:val="tx1"/>
            </w14:solidFill>
          </w14:textFill>
        </w:rPr>
      </w:pPr>
      <w:bookmarkStart w:id="463" w:name="_Toc47512250"/>
      <w:bookmarkStart w:id="464" w:name="_Toc6968"/>
      <w:bookmarkStart w:id="465" w:name="_Toc44228001"/>
      <w:bookmarkStart w:id="466" w:name="_Toc91082312"/>
      <w:bookmarkStart w:id="467" w:name="_Toc44492529"/>
      <w:bookmarkStart w:id="468" w:name="_Toc407356013"/>
      <w:bookmarkStart w:id="469" w:name="_Toc3977"/>
      <w:r>
        <w:rPr>
          <w:rFonts w:hint="eastAsia"/>
          <w:color w:val="000000" w:themeColor="text1"/>
          <w14:textFill>
            <w14:solidFill>
              <w14:schemeClr w14:val="tx1"/>
            </w14:solidFill>
          </w14:textFill>
        </w:rPr>
        <w:t>20.保险</w:t>
      </w:r>
      <w:bookmarkEnd w:id="463"/>
      <w:bookmarkEnd w:id="464"/>
      <w:bookmarkEnd w:id="465"/>
      <w:bookmarkEnd w:id="466"/>
      <w:bookmarkEnd w:id="467"/>
      <w:bookmarkEnd w:id="468"/>
      <w:bookmarkEnd w:id="469"/>
    </w:p>
    <w:p>
      <w:pPr>
        <w:pStyle w:val="77"/>
        <w:ind w:firstLine="480"/>
        <w:rPr>
          <w:color w:val="000000" w:themeColor="text1"/>
          <w14:textFill>
            <w14:solidFill>
              <w14:schemeClr w14:val="tx1"/>
            </w14:solidFill>
          </w14:textFill>
        </w:rPr>
      </w:pPr>
      <w:bookmarkStart w:id="470" w:name="_Toc44492530"/>
      <w:bookmarkStart w:id="471" w:name="_Toc20941"/>
      <w:bookmarkStart w:id="472" w:name="_Toc2062"/>
      <w:r>
        <w:rPr>
          <w:rFonts w:hint="eastAsia"/>
          <w:color w:val="000000" w:themeColor="text1"/>
          <w14:textFill>
            <w14:solidFill>
              <w14:schemeClr w14:val="tx1"/>
            </w14:solidFill>
          </w14:textFill>
        </w:rPr>
        <w:t>20.1.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建筑工程一切险(含第三者责任险）</w:t>
      </w:r>
      <w:bookmarkEnd w:id="470"/>
      <w:bookmarkEnd w:id="471"/>
      <w:bookmarkEnd w:id="47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不免除或减少、降低分包人按本合同所承担的全部责任和义务的前提下，本工程项目应投保建筑工程一切险(含第三者责任险）。本工程项目应投保的建筑工程一切险（含第三者责任险）的相关费用均已包含在合同总价中。其具体的投保内容、保险金额、保险费率、保险期限、免赔额等有关内容在专用合同条款中约定。</w:t>
      </w:r>
    </w:p>
    <w:p>
      <w:pPr>
        <w:pStyle w:val="77"/>
        <w:ind w:firstLine="480"/>
        <w:rPr>
          <w:color w:val="000000" w:themeColor="text1"/>
          <w14:textFill>
            <w14:solidFill>
              <w14:schemeClr w14:val="tx1"/>
            </w14:solidFill>
          </w14:textFill>
        </w:rPr>
      </w:pPr>
      <w:bookmarkStart w:id="473" w:name="_Toc6123"/>
      <w:bookmarkStart w:id="474" w:name="_Toc44492531"/>
      <w:bookmarkStart w:id="475" w:name="_Toc4392"/>
      <w:r>
        <w:rPr>
          <w:rFonts w:hint="eastAsia"/>
          <w:color w:val="000000" w:themeColor="text1"/>
          <w14:textFill>
            <w14:solidFill>
              <w14:schemeClr w14:val="tx1"/>
            </w14:solidFill>
          </w14:textFill>
        </w:rPr>
        <w:t>20.2.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人身伤亡及财产损失责任险</w:t>
      </w:r>
      <w:bookmarkEnd w:id="473"/>
      <w:bookmarkEnd w:id="474"/>
      <w:bookmarkEnd w:id="47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须对与本工程有关或本工程进行期间发生的或因本工程引致的人身伤亡、财产损失的费用、责任、损失、索偿或诉讼负责，并须保障发包人免负此类责任，除非有关伤亡是发包人或其应负责的人直接责任所引致的。若发包人因有关法律规定司法裁判、行政决定裁决或调解、和解协议或维稳需要先行承担责任或承担连带责任的，分包人应予赔偿。</w:t>
      </w:r>
    </w:p>
    <w:p>
      <w:pPr>
        <w:pStyle w:val="77"/>
        <w:ind w:firstLine="480"/>
        <w:rPr>
          <w:color w:val="000000" w:themeColor="text1"/>
          <w14:textFill>
            <w14:solidFill>
              <w14:schemeClr w14:val="tx1"/>
            </w14:solidFill>
          </w14:textFill>
        </w:rPr>
      </w:pPr>
      <w:bookmarkStart w:id="476" w:name="_Toc2000"/>
      <w:bookmarkStart w:id="477" w:name="_Toc5802"/>
      <w:bookmarkStart w:id="478" w:name="_Toc44492532"/>
      <w:r>
        <w:rPr>
          <w:rFonts w:hint="eastAsia"/>
          <w:color w:val="000000" w:themeColor="text1"/>
          <w14:textFill>
            <w14:solidFill>
              <w14:schemeClr w14:val="tx1"/>
            </w14:solidFill>
          </w14:textFill>
        </w:rPr>
        <w:t>20.3.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雇员赔偿保险</w:t>
      </w:r>
      <w:bookmarkEnd w:id="476"/>
      <w:bookmarkEnd w:id="477"/>
      <w:bookmarkEnd w:id="47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分包人须对其雇员、工作人员、代理人、劳务人员的意外或伤亡负全责。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对任何承包单位的雇员、代理人、劳务人员或其他人的意外或伤亡，不论该人是受雇于承包人或其他分包单位，皆不负任何法律上的赔偿责任。承包人须保障发包人免负任何有关的索偿、要求、诉讼、成本、费用和支出。若发包人因有关法律规定或司法行政决定或和解协议需要先行承担责任或承担连带责任的，承包人应予赔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20.3.3.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分包人须为自己和对受雇于工地上或在当地任何地方从事与本工程有关的工作的所有员工、雇员、代理人、劳务人员或其他人的所有责任投有及维持所需的意外、工伤保险及社会保险等。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20.3.4.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假若有任何受雇于本工程或与本合同有关的雇员或其他人士，受到损伤，不论有无索偿，承包人须马上以书面形式将该损伤通知发包人。</w:t>
      </w:r>
    </w:p>
    <w:p>
      <w:pPr>
        <w:pStyle w:val="77"/>
        <w:ind w:firstLine="480"/>
        <w:rPr>
          <w:color w:val="000000" w:themeColor="text1"/>
          <w14:textFill>
            <w14:solidFill>
              <w14:schemeClr w14:val="tx1"/>
            </w14:solidFill>
          </w14:textFill>
        </w:rPr>
      </w:pPr>
      <w:bookmarkStart w:id="479" w:name="_Toc28705"/>
      <w:bookmarkStart w:id="480" w:name="_Toc44492533"/>
      <w:bookmarkStart w:id="481" w:name="_Toc15128"/>
      <w:r>
        <w:rPr>
          <w:rFonts w:hint="eastAsia"/>
          <w:color w:val="000000" w:themeColor="text1"/>
          <w14:textFill>
            <w14:solidFill>
              <w14:schemeClr w14:val="tx1"/>
            </w14:solidFill>
          </w14:textFill>
        </w:rPr>
        <w:t>20.4.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其他保险</w:t>
      </w:r>
      <w:bookmarkEnd w:id="479"/>
      <w:bookmarkEnd w:id="480"/>
      <w:bookmarkEnd w:id="48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20.4.1.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除专用条款另有约定外，分包人应为其施工设备、进场的材料和工程设备等办理保险。</w:t>
      </w:r>
    </w:p>
    <w:p>
      <w:pPr>
        <w:pStyle w:val="77"/>
        <w:ind w:firstLine="480"/>
        <w:rPr>
          <w:color w:val="000000" w:themeColor="text1"/>
          <w14:textFill>
            <w14:solidFill>
              <w14:schemeClr w14:val="tx1"/>
            </w14:solidFill>
          </w14:textFill>
        </w:rPr>
      </w:pPr>
      <w:bookmarkStart w:id="482" w:name="_Toc22569"/>
      <w:bookmarkStart w:id="483" w:name="_Toc21252"/>
      <w:bookmarkStart w:id="484" w:name="_Toc44492534"/>
      <w:r>
        <w:rPr>
          <w:rFonts w:hint="eastAsia"/>
          <w:color w:val="000000" w:themeColor="text1"/>
          <w14:textFill>
            <w14:solidFill>
              <w14:schemeClr w14:val="tx1"/>
            </w14:solidFill>
          </w14:textFill>
        </w:rPr>
        <w:t>20.5.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对各项保险的一般要求</w:t>
      </w:r>
      <w:bookmarkEnd w:id="482"/>
      <w:bookmarkEnd w:id="483"/>
      <w:bookmarkEnd w:id="48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分包人应向承包人、发包人提交各项保险生效的证据和保险单副本，保险单必须与专用条款约定的条件保持一致。</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将被视为对保险单内一切条款清楚明确，并积极地遵循保险条款和承保人关于解决索偿、追讨损失和防止意外的一切合理要求，并自费负责因未能遵循的后果。分包人应尊重保险索偿的结果并放弃对发包人因处理保险事宜引起的一切赔偿及责任追讨。分包人须自行承担保险单内规定的保险除外责任、免赔额、不负责项目或限制的费用，除非合同明确规定它们是属于发包人在本合同内应承担的风险或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需要变动保险合同条款时，应事先征得承包人、发包人同意，并通知监理人。保险人作出变动的，分包人应提异议的应及时提出异议、与其磋商，并在收到保险人通知后立即通知承包人、发包人和监理人，异议亦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分包人应与保险人保持联系，使保险人能够随时了解工程实施中的变动，并确保按保险合同条款要求持续保险。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当保险事故发生时，投保人应按照保险单规定的条件和期限及时向保险人报告。</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保险期若因分包人的过失而需延长，因此而增加的保险费由分包人负担。</w:t>
      </w:r>
    </w:p>
    <w:p>
      <w:pPr>
        <w:pStyle w:val="73"/>
        <w:rPr>
          <w:color w:val="000000" w:themeColor="text1"/>
          <w14:textFill>
            <w14:solidFill>
              <w14:schemeClr w14:val="tx1"/>
            </w14:solidFill>
          </w14:textFill>
        </w:rPr>
      </w:pPr>
      <w:bookmarkStart w:id="485" w:name="_Toc407356014"/>
      <w:bookmarkStart w:id="486" w:name="_Toc47512251"/>
      <w:bookmarkStart w:id="487" w:name="_Toc44492535"/>
      <w:bookmarkStart w:id="488" w:name="_Toc5318"/>
      <w:bookmarkStart w:id="489" w:name="_Toc1341"/>
      <w:bookmarkStart w:id="490" w:name="_Toc91082313"/>
      <w:bookmarkStart w:id="491" w:name="_Toc44228002"/>
      <w:r>
        <w:rPr>
          <w:rFonts w:hint="eastAsia"/>
          <w:color w:val="000000" w:themeColor="text1"/>
          <w14:textFill>
            <w14:solidFill>
              <w14:schemeClr w14:val="tx1"/>
            </w14:solidFill>
          </w14:textFill>
        </w:rPr>
        <w:t>21.不可抗力</w:t>
      </w:r>
      <w:bookmarkEnd w:id="485"/>
      <w:bookmarkEnd w:id="486"/>
      <w:bookmarkEnd w:id="487"/>
      <w:bookmarkEnd w:id="488"/>
      <w:bookmarkEnd w:id="489"/>
      <w:bookmarkEnd w:id="490"/>
      <w:bookmarkEnd w:id="491"/>
    </w:p>
    <w:p>
      <w:pPr>
        <w:pStyle w:val="77"/>
        <w:ind w:firstLine="480"/>
        <w:rPr>
          <w:color w:val="000000" w:themeColor="text1"/>
          <w14:textFill>
            <w14:solidFill>
              <w14:schemeClr w14:val="tx1"/>
            </w14:solidFill>
          </w14:textFill>
        </w:rPr>
      </w:pPr>
      <w:bookmarkStart w:id="492" w:name="_Toc5740"/>
      <w:bookmarkStart w:id="493" w:name="_Toc7859"/>
      <w:bookmarkStart w:id="494" w:name="_Toc44492536"/>
      <w:r>
        <w:rPr>
          <w:rFonts w:hint="eastAsia"/>
          <w:color w:val="000000" w:themeColor="text1"/>
          <w14:textFill>
            <w14:solidFill>
              <w14:schemeClr w14:val="tx1"/>
            </w14:solidFill>
          </w14:textFill>
        </w:rPr>
        <w:t>21.1.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不可抗力的确认</w:t>
      </w:r>
      <w:bookmarkEnd w:id="492"/>
      <w:bookmarkEnd w:id="493"/>
      <w:bookmarkEnd w:id="49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不可抗力是指分包人和承包人在订立合同时不可预见，在工程施工过程中不可避免发生并不能克服的自然灾害和社会性突发事件，如地震、海啸、瘟疫、水灾、骚乱、暴动、战争等。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可抗力发生后，发包人和承包人、分包人应及时认真统计所造成的损失，收集不可抗力造成损失的证据。合同当事人对是否属于不可抗力或其损失的意见不一致的，由三方商定或确定。发生争议时，按第23条的约定办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21.1.3不可抗力包括的范围以及事件处理同总包合同响应条款。</w:t>
      </w:r>
    </w:p>
    <w:p>
      <w:pPr>
        <w:pStyle w:val="77"/>
        <w:ind w:firstLine="480"/>
        <w:rPr>
          <w:color w:val="000000" w:themeColor="text1"/>
          <w14:textFill>
            <w14:solidFill>
              <w14:schemeClr w14:val="tx1"/>
            </w14:solidFill>
          </w14:textFill>
        </w:rPr>
      </w:pPr>
      <w:bookmarkStart w:id="495" w:name="_Toc14381"/>
      <w:bookmarkStart w:id="496" w:name="_Toc44492537"/>
      <w:bookmarkStart w:id="497" w:name="_Toc27173"/>
      <w:r>
        <w:rPr>
          <w:rFonts w:hint="eastAsia"/>
          <w:color w:val="000000" w:themeColor="text1"/>
          <w14:textFill>
            <w14:solidFill>
              <w14:schemeClr w14:val="tx1"/>
            </w14:solidFill>
          </w14:textFill>
        </w:rPr>
        <w:t>21.2.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不可抗力的通知</w:t>
      </w:r>
      <w:bookmarkEnd w:id="495"/>
      <w:bookmarkEnd w:id="496"/>
      <w:bookmarkEnd w:id="49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合同一方当事人遇到不可抗力事件，使其履行合同义务受到阻碍时，应立即通知合同另一方当事人、发包人和监理人，书面说明不可抗力和受阻碍的详细情况，并提供必要的证明。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如不可抗力持续发生，合同一方当事人应及时向合同另一方当事人、发包人和监理人提交中间报告，说明不可抗力和履行合同受阻的情况，并于不可抗力事件结束后28天内提交最终报告及有关资料。</w:t>
      </w:r>
    </w:p>
    <w:p>
      <w:pPr>
        <w:pStyle w:val="77"/>
        <w:ind w:firstLine="480"/>
        <w:rPr>
          <w:color w:val="000000" w:themeColor="text1"/>
          <w14:textFill>
            <w14:solidFill>
              <w14:schemeClr w14:val="tx1"/>
            </w14:solidFill>
          </w14:textFill>
        </w:rPr>
      </w:pPr>
      <w:bookmarkStart w:id="498" w:name="_Toc44492538"/>
      <w:bookmarkStart w:id="499" w:name="_Toc8796"/>
      <w:bookmarkStart w:id="500" w:name="_Toc7341"/>
      <w:r>
        <w:rPr>
          <w:rFonts w:hint="eastAsia"/>
          <w:color w:val="000000" w:themeColor="text1"/>
          <w14:textFill>
            <w14:solidFill>
              <w14:schemeClr w14:val="tx1"/>
            </w14:solidFill>
          </w14:textFill>
        </w:rPr>
        <w:t>21.3.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不可抗力后果及其处理</w:t>
      </w:r>
      <w:bookmarkEnd w:id="498"/>
      <w:bookmarkEnd w:id="499"/>
      <w:bookmarkEnd w:id="50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不可抗力发生后，发包人、承包人和分包人均应采取措施尽量避免和减少损失的扩大，任何一方没有采取有效措施导致损失扩大的，应对扩大的损失承担责任。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除专用条款另有约定外，不可抗力导致的人员伤亡、财产损失、费用增加和（或）工期延误等后果，由按以下原则承担：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永久工程，包括已运至施工场地的材料和工程设备的损害，以及因工程损害造成的第三者人员伤亡和财产损失由发包人承担；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分包人设备的损坏由分包人承担；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发包人、承包人和分包人各自承担其人员伤亡和其他财产损失及其相关费用；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分包人的停工损失由分包人承担，但停工期间应监理人要求照管工程和清理、修复工程的金额由发包人承担；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不能按期竣工的，应合理延长工期，分包人不需支付逾期竣工违约金。发包人要求赶工的，分包人应采取赶工措施，赶工费用由发包人承担。</w:t>
      </w:r>
    </w:p>
    <w:p>
      <w:pPr>
        <w:pStyle w:val="73"/>
        <w:rPr>
          <w:color w:val="000000" w:themeColor="text1"/>
          <w14:textFill>
            <w14:solidFill>
              <w14:schemeClr w14:val="tx1"/>
            </w14:solidFill>
          </w14:textFill>
        </w:rPr>
      </w:pPr>
      <w:bookmarkStart w:id="501" w:name="_Toc18285"/>
      <w:bookmarkStart w:id="502" w:name="_Toc5360"/>
      <w:bookmarkStart w:id="503" w:name="_Toc91082314"/>
      <w:bookmarkStart w:id="504" w:name="_Toc44492539"/>
      <w:bookmarkStart w:id="505" w:name="_Toc47512252"/>
      <w:bookmarkStart w:id="506" w:name="_Toc44228003"/>
      <w:bookmarkStart w:id="507" w:name="_Toc407356015"/>
      <w:r>
        <w:rPr>
          <w:rFonts w:hint="eastAsia"/>
          <w:color w:val="000000" w:themeColor="text1"/>
          <w14:textFill>
            <w14:solidFill>
              <w14:schemeClr w14:val="tx1"/>
            </w14:solidFill>
          </w14:textFill>
        </w:rPr>
        <w:t>22.违约</w:t>
      </w:r>
      <w:bookmarkEnd w:id="501"/>
      <w:bookmarkEnd w:id="502"/>
      <w:bookmarkEnd w:id="503"/>
      <w:bookmarkEnd w:id="504"/>
      <w:bookmarkEnd w:id="505"/>
      <w:bookmarkEnd w:id="506"/>
      <w:bookmarkEnd w:id="507"/>
    </w:p>
    <w:p>
      <w:pPr>
        <w:pStyle w:val="77"/>
        <w:ind w:firstLine="480"/>
        <w:rPr>
          <w:color w:val="000000" w:themeColor="text1"/>
          <w14:textFill>
            <w14:solidFill>
              <w14:schemeClr w14:val="tx1"/>
            </w14:solidFill>
          </w14:textFill>
        </w:rPr>
      </w:pPr>
      <w:bookmarkStart w:id="508" w:name="_Toc29125"/>
      <w:bookmarkStart w:id="509" w:name="_Toc44492540"/>
      <w:bookmarkStart w:id="510" w:name="_Toc22285"/>
      <w:r>
        <w:rPr>
          <w:rFonts w:hint="eastAsia"/>
          <w:color w:val="000000" w:themeColor="text1"/>
          <w14:textFill>
            <w14:solidFill>
              <w14:schemeClr w14:val="tx1"/>
            </w14:solidFill>
          </w14:textFill>
        </w:rPr>
        <w:t>22.1.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分包人违约</w:t>
      </w:r>
      <w:bookmarkEnd w:id="508"/>
      <w:bookmarkEnd w:id="509"/>
      <w:bookmarkEnd w:id="510"/>
    </w:p>
    <w:p>
      <w:pPr>
        <w:pStyle w:val="77"/>
        <w:ind w:firstLine="420"/>
        <w:outlineLvl w:val="9"/>
        <w:rPr>
          <w:rFonts w:eastAsia="仿宋_GB2312"/>
          <w:color w:val="000000" w:themeColor="text1"/>
          <w:kern w:val="0"/>
          <w:sz w:val="21"/>
          <w14:textFill>
            <w14:solidFill>
              <w14:schemeClr w14:val="tx1"/>
            </w14:solidFill>
          </w14:textFill>
        </w:rPr>
      </w:pPr>
      <w:r>
        <w:rPr>
          <w:rFonts w:hint="eastAsia" w:eastAsia="仿宋_GB2312"/>
          <w:color w:val="000000" w:themeColor="text1"/>
          <w:kern w:val="0"/>
          <w:sz w:val="21"/>
          <w14:textFill>
            <w14:solidFill>
              <w14:schemeClr w14:val="tx1"/>
            </w14:solidFill>
          </w14:textFill>
        </w:rPr>
        <w:t>22.1.1</w:t>
      </w:r>
      <w:r>
        <w:rPr>
          <w:rFonts w:eastAsia="仿宋_GB2312"/>
          <w:color w:val="000000" w:themeColor="text1"/>
          <w:kern w:val="0"/>
          <w:sz w:val="21"/>
          <w14:textFill>
            <w14:solidFill>
              <w14:schemeClr w14:val="tx1"/>
            </w14:solidFill>
          </w14:textFill>
        </w:rPr>
        <w:t>. 在履行合同过程中分包人</w:t>
      </w:r>
      <w:r>
        <w:rPr>
          <w:rFonts w:hint="eastAsia" w:eastAsia="仿宋_GB2312"/>
          <w:color w:val="000000" w:themeColor="text1"/>
          <w:kern w:val="0"/>
          <w:sz w:val="21"/>
          <w14:textFill>
            <w14:solidFill>
              <w14:schemeClr w14:val="tx1"/>
            </w14:solidFill>
          </w14:textFill>
        </w:rPr>
        <w:t>的</w:t>
      </w:r>
      <w:r>
        <w:rPr>
          <w:rFonts w:eastAsia="仿宋_GB2312"/>
          <w:color w:val="000000" w:themeColor="text1"/>
          <w:kern w:val="0"/>
          <w:sz w:val="21"/>
          <w14:textFill>
            <w14:solidFill>
              <w14:schemeClr w14:val="tx1"/>
            </w14:solidFill>
          </w14:textFill>
        </w:rPr>
        <w:t>违约</w:t>
      </w:r>
      <w:r>
        <w:rPr>
          <w:rFonts w:hint="eastAsia" w:eastAsia="仿宋_GB2312"/>
          <w:color w:val="000000" w:themeColor="text1"/>
          <w:kern w:val="0"/>
          <w:sz w:val="21"/>
          <w14:textFill>
            <w14:solidFill>
              <w14:schemeClr w14:val="tx1"/>
            </w14:solidFill>
          </w14:textFill>
        </w:rPr>
        <w:t>情况在专用合同条款约定。</w:t>
      </w:r>
    </w:p>
    <w:p>
      <w:pPr>
        <w:pStyle w:val="77"/>
        <w:spacing w:before="0" w:after="0"/>
        <w:ind w:firstLine="420"/>
        <w:outlineLvl w:val="9"/>
        <w:rPr>
          <w:rFonts w:eastAsia="仿宋_GB2312"/>
          <w:color w:val="000000" w:themeColor="text1"/>
          <w:kern w:val="0"/>
          <w:sz w:val="21"/>
          <w14:textFill>
            <w14:solidFill>
              <w14:schemeClr w14:val="tx1"/>
            </w14:solidFill>
          </w14:textFill>
        </w:rPr>
      </w:pPr>
      <w:r>
        <w:rPr>
          <w:rFonts w:hint="eastAsia" w:eastAsia="仿宋_GB2312"/>
          <w:color w:val="000000" w:themeColor="text1"/>
          <w:kern w:val="0"/>
          <w:sz w:val="21"/>
          <w14:textFill>
            <w14:solidFill>
              <w14:schemeClr w14:val="tx1"/>
            </w14:solidFill>
          </w14:textFill>
        </w:rPr>
        <w:t>22.1.2. 分包人有任何违反本合同义务的行为都构成违约，均须按法律和合同约定承担违约责任。</w:t>
      </w:r>
    </w:p>
    <w:p>
      <w:pPr>
        <w:pStyle w:val="77"/>
        <w:spacing w:before="0" w:after="0"/>
        <w:ind w:firstLine="420"/>
        <w:outlineLvl w:val="9"/>
        <w:rPr>
          <w:rFonts w:eastAsia="仿宋_GB2312"/>
          <w:color w:val="000000" w:themeColor="text1"/>
          <w:kern w:val="0"/>
          <w:sz w:val="21"/>
          <w14:textFill>
            <w14:solidFill>
              <w14:schemeClr w14:val="tx1"/>
            </w14:solidFill>
          </w14:textFill>
        </w:rPr>
      </w:pPr>
      <w:r>
        <w:rPr>
          <w:rFonts w:hint="eastAsia" w:eastAsia="仿宋_GB2312"/>
          <w:color w:val="000000" w:themeColor="text1"/>
          <w:kern w:val="0"/>
          <w:sz w:val="21"/>
          <w14:textFill>
            <w14:solidFill>
              <w14:schemeClr w14:val="tx1"/>
            </w14:solidFill>
          </w14:textFill>
        </w:rPr>
        <w:t>22.1.3. 对于分包人的违约行为，分包人承担违约责任的形式包括但不限于：</w:t>
      </w:r>
    </w:p>
    <w:p>
      <w:pPr>
        <w:pStyle w:val="77"/>
        <w:spacing w:before="0" w:after="0"/>
        <w:ind w:firstLine="630" w:firstLineChars="300"/>
        <w:outlineLvl w:val="9"/>
        <w:rPr>
          <w:rFonts w:eastAsia="仿宋_GB2312"/>
          <w:color w:val="000000" w:themeColor="text1"/>
          <w:kern w:val="0"/>
          <w:sz w:val="21"/>
          <w14:textFill>
            <w14:solidFill>
              <w14:schemeClr w14:val="tx1"/>
            </w14:solidFill>
          </w14:textFill>
        </w:rPr>
      </w:pPr>
      <w:r>
        <w:rPr>
          <w:rFonts w:eastAsia="仿宋_GB2312"/>
          <w:color w:val="000000" w:themeColor="text1"/>
          <w:kern w:val="0"/>
          <w:sz w:val="21"/>
          <w14:textFill>
            <w14:solidFill>
              <w14:schemeClr w14:val="tx1"/>
            </w14:solidFill>
          </w14:textFill>
        </w:rPr>
        <w:t>1</w:t>
      </w:r>
      <w:r>
        <w:rPr>
          <w:rFonts w:hint="eastAsia" w:eastAsia="仿宋_GB2312"/>
          <w:color w:val="000000" w:themeColor="text1"/>
          <w:kern w:val="0"/>
          <w:sz w:val="21"/>
          <w14:textFill>
            <w14:solidFill>
              <w14:schemeClr w14:val="tx1"/>
            </w14:solidFill>
          </w14:textFill>
        </w:rPr>
        <w:t>）严重违约责任：分包人违反合同义务符合承担严重违约责任的情形时，除按法律及合同约定承担其他违约责任外，每次还应当按专用合同条款的约定承担严重违约责任；</w:t>
      </w:r>
    </w:p>
    <w:p>
      <w:pPr>
        <w:pStyle w:val="4"/>
        <w:numPr>
          <w:ilvl w:val="2"/>
          <w:numId w:val="0"/>
        </w:numPr>
        <w:spacing w:before="0" w:after="0" w:line="360" w:lineRule="auto"/>
        <w:ind w:left="426" w:firstLine="140" w:firstLineChars="67"/>
        <w:rPr>
          <w:rFonts w:eastAsia="仿宋_GB2312"/>
          <w:b w:val="0"/>
          <w:bCs w:val="0"/>
          <w:color w:val="000000" w:themeColor="text1"/>
          <w:kern w:val="0"/>
          <w:sz w:val="21"/>
          <w14:textFill>
            <w14:solidFill>
              <w14:schemeClr w14:val="tx1"/>
            </w14:solidFill>
          </w14:textFill>
        </w:rPr>
      </w:pPr>
      <w:bookmarkStart w:id="511" w:name="_Toc44492541"/>
      <w:r>
        <w:rPr>
          <w:rFonts w:hint="eastAsia" w:eastAsia="仿宋_GB2312"/>
          <w:b w:val="0"/>
          <w:bCs w:val="0"/>
          <w:color w:val="000000" w:themeColor="text1"/>
          <w:kern w:val="0"/>
          <w:sz w:val="21"/>
          <w14:textFill>
            <w14:solidFill>
              <w14:schemeClr w14:val="tx1"/>
            </w14:solidFill>
          </w14:textFill>
        </w:rPr>
        <w:t>2）重大违约责任：分包人违反合同义务符合承担重大违约责任的情形时，除按法律及合同约定承担其他违约责任外，每次还应当按专用合同条款的约定承担重大违约责任；</w:t>
      </w:r>
      <w:bookmarkEnd w:id="511"/>
    </w:p>
    <w:p>
      <w:pPr>
        <w:pStyle w:val="4"/>
        <w:numPr>
          <w:ilvl w:val="2"/>
          <w:numId w:val="0"/>
        </w:numPr>
        <w:spacing w:before="0" w:after="0" w:line="360" w:lineRule="auto"/>
        <w:ind w:left="426" w:firstLine="140" w:firstLineChars="67"/>
        <w:rPr>
          <w:rFonts w:eastAsia="仿宋_GB2312"/>
          <w:b w:val="0"/>
          <w:bCs w:val="0"/>
          <w:color w:val="000000" w:themeColor="text1"/>
          <w:kern w:val="0"/>
          <w:sz w:val="21"/>
          <w14:textFill>
            <w14:solidFill>
              <w14:schemeClr w14:val="tx1"/>
            </w14:solidFill>
          </w14:textFill>
        </w:rPr>
      </w:pPr>
      <w:bookmarkStart w:id="512" w:name="_Toc44492542"/>
      <w:r>
        <w:rPr>
          <w:rFonts w:hint="eastAsia" w:eastAsia="仿宋_GB2312"/>
          <w:b w:val="0"/>
          <w:bCs w:val="0"/>
          <w:color w:val="000000" w:themeColor="text1"/>
          <w:kern w:val="0"/>
          <w:sz w:val="21"/>
          <w14:textFill>
            <w14:solidFill>
              <w14:schemeClr w14:val="tx1"/>
            </w14:solidFill>
          </w14:textFill>
        </w:rPr>
        <w:t>3）一般违约责任：分包人违反合同义务符合承担一般违约责任的情形时，除按法律及合同约定承担其他违约责任外，每次还应当按专用合同条款的约定承担一般违约责任；</w:t>
      </w:r>
      <w:bookmarkEnd w:id="512"/>
    </w:p>
    <w:p>
      <w:pPr>
        <w:pStyle w:val="4"/>
        <w:numPr>
          <w:ilvl w:val="2"/>
          <w:numId w:val="0"/>
        </w:numPr>
        <w:spacing w:before="0" w:after="0" w:line="360" w:lineRule="auto"/>
        <w:ind w:left="426" w:firstLine="140" w:firstLineChars="67"/>
        <w:rPr>
          <w:rFonts w:eastAsia="仿宋_GB2312"/>
          <w:b w:val="0"/>
          <w:bCs w:val="0"/>
          <w:color w:val="000000" w:themeColor="text1"/>
          <w:kern w:val="0"/>
          <w:sz w:val="21"/>
          <w14:textFill>
            <w14:solidFill>
              <w14:schemeClr w14:val="tx1"/>
            </w14:solidFill>
          </w14:textFill>
        </w:rPr>
      </w:pPr>
      <w:bookmarkStart w:id="513" w:name="_Toc44492543"/>
      <w:r>
        <w:rPr>
          <w:rFonts w:hint="eastAsia" w:eastAsia="仿宋_GB2312"/>
          <w:b w:val="0"/>
          <w:bCs w:val="0"/>
          <w:color w:val="000000" w:themeColor="text1"/>
          <w:kern w:val="0"/>
          <w:sz w:val="21"/>
          <w14:textFill>
            <w14:solidFill>
              <w14:schemeClr w14:val="tx1"/>
            </w14:solidFill>
          </w14:textFill>
        </w:rPr>
        <w:t>4）经发包人书面确认同意，因分包人违约造成承包人解除合同：分包人违反合同义务符合承包人可解除合同的情形时，承包人有权向分包人发出书面解除合同的通知，合同自该通知在送达分包人时即解除，分包人除按法律及合同约定承担其他违约责任外，还应当向承包人按专用条款约定承担违约责任。分包人向承包人承担违约责任并不免除分包人依法应承担的所有责任。</w:t>
      </w:r>
      <w:bookmarkEnd w:id="513"/>
    </w:p>
    <w:p>
      <w:pPr>
        <w:spacing w:line="360" w:lineRule="auto"/>
        <w:ind w:firstLine="567" w:firstLineChars="27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5）分包人其他责任以合同约定为准。</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22.1.4</w:t>
      </w:r>
      <w:r>
        <w:rPr>
          <w:rFonts w:eastAsia="仿宋_GB2312"/>
          <w:color w:val="000000" w:themeColor="text1"/>
          <w:kern w:val="0"/>
          <w:szCs w:val="32"/>
          <w14:textFill>
            <w14:solidFill>
              <w14:schemeClr w14:val="tx1"/>
            </w14:solidFill>
          </w14:textFill>
        </w:rPr>
        <w:t xml:space="preserve">. </w:t>
      </w:r>
      <w:r>
        <w:rPr>
          <w:rFonts w:hint="eastAsia" w:eastAsia="仿宋_GB2312"/>
          <w:color w:val="000000" w:themeColor="text1"/>
          <w:kern w:val="0"/>
          <w:szCs w:val="32"/>
          <w14:textFill>
            <w14:solidFill>
              <w14:schemeClr w14:val="tx1"/>
            </w14:solidFill>
          </w14:textFill>
        </w:rPr>
        <w:t>分包人支付违约金和承担其他违约责任的方法包括但不限于：</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1</w:t>
      </w:r>
      <w:r>
        <w:rPr>
          <w:rFonts w:hint="eastAsia" w:eastAsia="仿宋_GB2312"/>
          <w:color w:val="000000" w:themeColor="text1"/>
          <w:kern w:val="0"/>
          <w:szCs w:val="32"/>
          <w14:textFill>
            <w14:solidFill>
              <w14:schemeClr w14:val="tx1"/>
            </w14:solidFill>
          </w14:textFill>
        </w:rPr>
        <w:t>）发包人有权从应支付给分包人的工程款中直接扣除。</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2</w:t>
      </w:r>
      <w:r>
        <w:rPr>
          <w:rFonts w:hint="eastAsia" w:eastAsia="仿宋_GB2312"/>
          <w:color w:val="000000" w:themeColor="text1"/>
          <w:kern w:val="0"/>
          <w:szCs w:val="32"/>
          <w14:textFill>
            <w14:solidFill>
              <w14:schemeClr w14:val="tx1"/>
            </w14:solidFill>
          </w14:textFill>
        </w:rPr>
        <w:t>）发包人有权向分包人所提供履约保函的银行提取相应的履约保证金额或直接从质量保证金中扣除。</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3</w:t>
      </w:r>
      <w:r>
        <w:rPr>
          <w:rFonts w:hint="eastAsia" w:eastAsia="仿宋_GB2312"/>
          <w:color w:val="000000" w:themeColor="text1"/>
          <w:kern w:val="0"/>
          <w:szCs w:val="32"/>
          <w14:textFill>
            <w14:solidFill>
              <w14:schemeClr w14:val="tx1"/>
            </w14:solidFill>
          </w14:textFill>
        </w:rPr>
        <w:t>）发包人通知分包人支付或向分包人追偿，分包人应直接支付。</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4</w:t>
      </w:r>
      <w:r>
        <w:rPr>
          <w:rFonts w:hint="eastAsia" w:eastAsia="仿宋_GB2312"/>
          <w:color w:val="000000" w:themeColor="text1"/>
          <w:kern w:val="0"/>
          <w:szCs w:val="32"/>
          <w14:textFill>
            <w14:solidFill>
              <w14:schemeClr w14:val="tx1"/>
            </w14:solidFill>
          </w14:textFill>
        </w:rPr>
        <w:t>）分包人所支付的违约金不足弥补发包人损失的，分包人需赔偿发包人的全部损失。</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22.1.5. 除本合同另有约定外，分包人承担违约赔偿责任的范围包括但不限于发包人及承包人的直接经济损失、向第三方承担的违约责任以及发生的诉讼费、仲裁费、律师费等费用支出。</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22.1.6. 对分包人违约的整改通知</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1</w:t>
      </w:r>
      <w:r>
        <w:rPr>
          <w:rFonts w:hint="eastAsia" w:eastAsia="仿宋_GB2312"/>
          <w:color w:val="000000" w:themeColor="text1"/>
          <w:kern w:val="0"/>
          <w:szCs w:val="32"/>
          <w14:textFill>
            <w14:solidFill>
              <w14:schemeClr w14:val="tx1"/>
            </w14:solidFill>
          </w14:textFill>
        </w:rPr>
        <w:t>）分包人发生违约，但未达到可解除合同的情况时，除应承担合同约定的违约责任外，监理人还可向分包人发出整改通知，要求其在指定的期限内改正。分包人应承担其违约所引起的费用增加和（或）工期延误。</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2</w:t>
      </w:r>
      <w:r>
        <w:rPr>
          <w:rFonts w:hint="eastAsia" w:eastAsia="仿宋_GB2312"/>
          <w:color w:val="000000" w:themeColor="text1"/>
          <w:kern w:val="0"/>
          <w:szCs w:val="32"/>
          <w14:textFill>
            <w14:solidFill>
              <w14:schemeClr w14:val="tx1"/>
            </w14:solidFill>
          </w14:textFill>
        </w:rPr>
        <w:t>）监理人要求分包人停工整改的，经检查证明分包人已采取了有效措施纠正违约行为，具备复工条件的，可由监理人在取得发包人同意的情况下签发复工通知复工。</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3</w:t>
      </w:r>
      <w:r>
        <w:rPr>
          <w:rFonts w:hint="eastAsia" w:eastAsia="仿宋_GB2312"/>
          <w:color w:val="000000" w:themeColor="text1"/>
          <w:kern w:val="0"/>
          <w:szCs w:val="32"/>
          <w14:textFill>
            <w14:solidFill>
              <w14:schemeClr w14:val="tx1"/>
            </w14:solidFill>
          </w14:textFill>
        </w:rPr>
        <w:t>）监理人发出整改通知7天后，分包人仍不纠正违约行为的，经发包人书面同意，承包人有权向分包人发出解除合同通知。</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22.1.7. 分包人违约解除合同</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22.1.7.1.</w:t>
      </w:r>
      <w:r>
        <w:rPr>
          <w:rFonts w:hint="eastAsia" w:eastAsia="仿宋_GB2312"/>
          <w:color w:val="000000" w:themeColor="text1"/>
          <w:kern w:val="0"/>
          <w:szCs w:val="32"/>
          <w14:textFill>
            <w14:solidFill>
              <w14:schemeClr w14:val="tx1"/>
            </w14:solidFill>
          </w14:textFill>
        </w:rPr>
        <w:tab/>
      </w:r>
      <w:r>
        <w:rPr>
          <w:rFonts w:hint="eastAsia" w:eastAsia="仿宋_GB2312"/>
          <w:color w:val="000000" w:themeColor="text1"/>
          <w:kern w:val="0"/>
          <w:szCs w:val="32"/>
          <w14:textFill>
            <w14:solidFill>
              <w14:schemeClr w14:val="tx1"/>
            </w14:solidFill>
          </w14:textFill>
        </w:rPr>
        <w:t>合同解除后，发包人、承包人可派员进驻施工场地，另行组织人员或委托其他分包人施工。发包人、承包人因继续完成该工程的需要，有权扣留使用分包人在现场的材料、设备和临时设施。但发包人、承包人的这一行动不免除分包人应承担的违约责任，也不影响发包人、承包人根据合同约定享有的索赔权利。</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22.1.7.2. 因分包人违约导致合同解除后的估价、付款和结清</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1</w:t>
      </w:r>
      <w:r>
        <w:rPr>
          <w:rFonts w:hint="eastAsia" w:eastAsia="仿宋_GB2312"/>
          <w:color w:val="000000" w:themeColor="text1"/>
          <w:kern w:val="0"/>
          <w:szCs w:val="32"/>
          <w14:textFill>
            <w14:solidFill>
              <w14:schemeClr w14:val="tx1"/>
            </w14:solidFill>
          </w14:textFill>
        </w:rPr>
        <w:t>）合同解除后，发包人、承包人商定或确定分包人实际完成工作的价值，以及分包人已提供的材料、施工设备、工程设备和临时工程等的价值。</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2</w:t>
      </w:r>
      <w:r>
        <w:rPr>
          <w:rFonts w:hint="eastAsia" w:eastAsia="仿宋_GB2312"/>
          <w:color w:val="000000" w:themeColor="text1"/>
          <w:kern w:val="0"/>
          <w:szCs w:val="32"/>
          <w14:textFill>
            <w14:solidFill>
              <w14:schemeClr w14:val="tx1"/>
            </w14:solidFill>
          </w14:textFill>
        </w:rPr>
        <w:t>）合同解除后，发包人、承包人有权暂停对分包人的一切付款，核清各项付款和已扣款金额，以及分包人应支付的违约金。</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3</w:t>
      </w:r>
      <w:r>
        <w:rPr>
          <w:rFonts w:hint="eastAsia" w:eastAsia="仿宋_GB2312"/>
          <w:color w:val="000000" w:themeColor="text1"/>
          <w:kern w:val="0"/>
          <w:szCs w:val="32"/>
          <w14:textFill>
            <w14:solidFill>
              <w14:schemeClr w14:val="tx1"/>
            </w14:solidFill>
          </w14:textFill>
        </w:rPr>
        <w:t>）发包人、承包人有权没收履约担保项下的金额，并按合同约定扣留分包人一定比例的质量保证金，分包人应当按合同约定承担缺陷保修责任，计算缺陷责任期、保修期的开始时间由双方协商确定。</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4</w:t>
      </w:r>
      <w:r>
        <w:rPr>
          <w:rFonts w:hint="eastAsia" w:eastAsia="仿宋_GB2312"/>
          <w:color w:val="000000" w:themeColor="text1"/>
          <w:kern w:val="0"/>
          <w:szCs w:val="32"/>
          <w14:textFill>
            <w14:solidFill>
              <w14:schemeClr w14:val="tx1"/>
            </w14:solidFill>
          </w14:textFill>
        </w:rPr>
        <w:t>）合同解除后，发包人或承包人应向分包人索赔由于解除合同给发包人或承包人造成的全部损失。</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eastAsia="仿宋_GB2312"/>
          <w:color w:val="000000" w:themeColor="text1"/>
          <w:kern w:val="0"/>
          <w:szCs w:val="32"/>
          <w14:textFill>
            <w14:solidFill>
              <w14:schemeClr w14:val="tx1"/>
            </w14:solidFill>
          </w14:textFill>
        </w:rPr>
        <w:t>5</w:t>
      </w:r>
      <w:r>
        <w:rPr>
          <w:rFonts w:hint="eastAsia" w:eastAsia="仿宋_GB2312"/>
          <w:color w:val="000000" w:themeColor="text1"/>
          <w:kern w:val="0"/>
          <w:szCs w:val="32"/>
          <w14:textFill>
            <w14:solidFill>
              <w14:schemeClr w14:val="tx1"/>
            </w14:solidFill>
          </w14:textFill>
        </w:rPr>
        <w:t>）承包人和分包人未能就解除合同后的结清达成一致而形成争议的，按第23条的约定办理。</w:t>
      </w:r>
    </w:p>
    <w:p>
      <w:pPr>
        <w:spacing w:line="360" w:lineRule="auto"/>
        <w:ind w:firstLine="424" w:firstLineChars="202"/>
        <w:rPr>
          <w:color w:val="000000" w:themeColor="text1"/>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22.1.7.3</w:t>
      </w:r>
      <w:r>
        <w:rPr>
          <w:rFonts w:eastAsia="仿宋_GB2312"/>
          <w:color w:val="000000" w:themeColor="text1"/>
          <w:kern w:val="0"/>
          <w:szCs w:val="32"/>
          <w14:textFill>
            <w14:solidFill>
              <w14:schemeClr w14:val="tx1"/>
            </w14:solidFill>
          </w14:textFill>
        </w:rPr>
        <w:t xml:space="preserve"> </w:t>
      </w:r>
      <w:r>
        <w:rPr>
          <w:rFonts w:hint="eastAsia" w:eastAsia="仿宋_GB2312"/>
          <w:color w:val="000000" w:themeColor="text1"/>
          <w:kern w:val="0"/>
          <w:szCs w:val="32"/>
          <w14:textFill>
            <w14:solidFill>
              <w14:schemeClr w14:val="tx1"/>
            </w14:solidFill>
          </w14:textFill>
        </w:rPr>
        <w:t>协议利益的转让</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hint="eastAsia" w:eastAsia="仿宋_GB2312"/>
          <w:color w:val="000000" w:themeColor="text1"/>
          <w:kern w:val="0"/>
          <w:szCs w:val="32"/>
          <w14:textFill>
            <w14:solidFill>
              <w14:schemeClr w14:val="tx1"/>
            </w14:solidFill>
          </w14:textFill>
        </w:rPr>
        <w:t>因分包人违约解除合同或经发包人书面同意承包人因分包人违约而解除合同的，发包人有权要求分包人将其为实施合同而签订的材料和设备的订货协议或任何服务协议利益按不高于其项下待支付价款或届时市场批发价格（以低者为准）转让给承包人或承包人指定的接替分包人，并在解除合同后的14天内，依法办理转让手续。分包人应按承包人的要求办理。</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22.1.8</w:t>
      </w:r>
      <w:r>
        <w:rPr>
          <w:rFonts w:eastAsia="仿宋_GB2312"/>
          <w:color w:val="000000" w:themeColor="text1"/>
          <w:kern w:val="0"/>
          <w:szCs w:val="32"/>
          <w14:textFill>
            <w14:solidFill>
              <w14:schemeClr w14:val="tx1"/>
            </w14:solidFill>
          </w14:textFill>
        </w:rPr>
        <w:t xml:space="preserve">. </w:t>
      </w:r>
      <w:r>
        <w:rPr>
          <w:rFonts w:hint="eastAsia" w:eastAsia="仿宋_GB2312"/>
          <w:color w:val="000000" w:themeColor="text1"/>
          <w:kern w:val="0"/>
          <w:szCs w:val="32"/>
          <w14:textFill>
            <w14:solidFill>
              <w14:schemeClr w14:val="tx1"/>
            </w14:solidFill>
          </w14:textFill>
        </w:rPr>
        <w:t>紧急情况下无能力或不愿进行抢救</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ab/>
      </w:r>
      <w:r>
        <w:rPr>
          <w:rFonts w:hint="eastAsia" w:eastAsia="仿宋_GB2312"/>
          <w:color w:val="000000" w:themeColor="text1"/>
          <w:kern w:val="0"/>
          <w:szCs w:val="32"/>
          <w14:textFill>
            <w14:solidFill>
              <w14:schemeClr w14:val="tx1"/>
            </w14:solidFill>
          </w14:textFill>
        </w:rPr>
        <w:t>在工程实施期间或缺陷责任期、保修期内发生危及工程安全的事件，监理人通知分包人进行抢救，分包人声明无能力或不愿立即执行或实际执行不足的，发包人或承包人有权雇佣其他人员进行抢救。此类抢救按合同约定属于分包人义务的，由此发生的金额和（或）工期延误由分包人承担。</w:t>
      </w:r>
    </w:p>
    <w:p>
      <w:pPr>
        <w:spacing w:line="360" w:lineRule="auto"/>
        <w:ind w:firstLine="424" w:firstLineChars="202"/>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22.1.9. 分包人其它违约情况及处理方式在专用条款中说明。</w:t>
      </w:r>
    </w:p>
    <w:p>
      <w:pPr>
        <w:pStyle w:val="77"/>
        <w:ind w:firstLine="480"/>
        <w:rPr>
          <w:color w:val="000000" w:themeColor="text1"/>
          <w14:textFill>
            <w14:solidFill>
              <w14:schemeClr w14:val="tx1"/>
            </w14:solidFill>
          </w14:textFill>
        </w:rPr>
      </w:pPr>
      <w:bookmarkStart w:id="514" w:name="_Toc27357"/>
      <w:bookmarkStart w:id="515" w:name="_Toc28321"/>
      <w:bookmarkStart w:id="516" w:name="_Toc44492544"/>
      <w:r>
        <w:rPr>
          <w:rFonts w:hint="eastAsia"/>
          <w:color w:val="000000" w:themeColor="text1"/>
          <w14:textFill>
            <w14:solidFill>
              <w14:schemeClr w14:val="tx1"/>
            </w14:solidFill>
          </w14:textFill>
        </w:rPr>
        <w:t>22.2.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承包人违约</w:t>
      </w:r>
      <w:bookmarkEnd w:id="514"/>
      <w:bookmarkEnd w:id="515"/>
      <w:bookmarkEnd w:id="51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在履行合同过程中发生的下列情形，属承包人违约：</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承包人未能按合同约定付款的；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专用条款约定属承包人违约的其他情形。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22.2.2.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承包人发生违约情况时，分包人可向承包人发出通知，要求承包人采取有效措施纠正违约行为。承包人收到分包人通知后的28天内仍不履行合同义务，分包人可向发包人及监理请求协助。</w:t>
      </w:r>
    </w:p>
    <w:p>
      <w:pPr>
        <w:pStyle w:val="77"/>
        <w:ind w:firstLine="480"/>
        <w:rPr>
          <w:color w:val="000000" w:themeColor="text1"/>
          <w14:textFill>
            <w14:solidFill>
              <w14:schemeClr w14:val="tx1"/>
            </w14:solidFill>
          </w14:textFill>
        </w:rPr>
      </w:pPr>
      <w:bookmarkStart w:id="517" w:name="_Toc28541"/>
      <w:bookmarkStart w:id="518" w:name="_Toc19386"/>
      <w:bookmarkStart w:id="519" w:name="_Toc44492545"/>
      <w:r>
        <w:rPr>
          <w:rFonts w:hint="eastAsia"/>
          <w:color w:val="000000" w:themeColor="text1"/>
          <w14:textFill>
            <w14:solidFill>
              <w14:schemeClr w14:val="tx1"/>
            </w14:solidFill>
          </w14:textFill>
        </w:rPr>
        <w:t>22.3.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第三人造成的违约</w:t>
      </w:r>
      <w:bookmarkEnd w:id="517"/>
      <w:bookmarkEnd w:id="518"/>
      <w:bookmarkEnd w:id="51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在履行合同过程中，一方当事人因第三人的原因造成违约的，应当向对方当事人承担违约责任。一方当事人和第三人之间的纠纷，依照法律规定或者按照约定解决。</w:t>
      </w:r>
    </w:p>
    <w:p>
      <w:pPr>
        <w:pStyle w:val="73"/>
        <w:rPr>
          <w:color w:val="000000" w:themeColor="text1"/>
          <w14:textFill>
            <w14:solidFill>
              <w14:schemeClr w14:val="tx1"/>
            </w14:solidFill>
          </w14:textFill>
        </w:rPr>
      </w:pPr>
      <w:bookmarkStart w:id="520" w:name="_Toc407356016"/>
      <w:bookmarkStart w:id="521" w:name="_Toc47512253"/>
      <w:bookmarkStart w:id="522" w:name="_Toc9061"/>
      <w:bookmarkStart w:id="523" w:name="_Toc30164"/>
      <w:bookmarkStart w:id="524" w:name="_Toc91082315"/>
      <w:bookmarkStart w:id="525" w:name="_Toc44492546"/>
      <w:bookmarkStart w:id="526" w:name="_Toc44228004"/>
      <w:r>
        <w:rPr>
          <w:rFonts w:hint="eastAsia"/>
          <w:color w:val="000000" w:themeColor="text1"/>
          <w14:textFill>
            <w14:solidFill>
              <w14:schemeClr w14:val="tx1"/>
            </w14:solidFill>
          </w14:textFill>
        </w:rPr>
        <w:t>23.</w:t>
      </w:r>
      <w:bookmarkEnd w:id="520"/>
      <w:bookmarkStart w:id="527" w:name="_Toc407356017"/>
      <w:r>
        <w:rPr>
          <w:rFonts w:hint="eastAsia"/>
          <w:color w:val="000000" w:themeColor="text1"/>
          <w14:textFill>
            <w14:solidFill>
              <w14:schemeClr w14:val="tx1"/>
            </w14:solidFill>
          </w14:textFill>
        </w:rPr>
        <w:t>争议的解决</w:t>
      </w:r>
      <w:bookmarkEnd w:id="521"/>
      <w:bookmarkEnd w:id="522"/>
      <w:bookmarkEnd w:id="523"/>
      <w:bookmarkEnd w:id="524"/>
      <w:bookmarkEnd w:id="525"/>
      <w:bookmarkEnd w:id="526"/>
      <w:bookmarkEnd w:id="527"/>
    </w:p>
    <w:p>
      <w:pPr>
        <w:pStyle w:val="77"/>
        <w:ind w:firstLine="480"/>
        <w:rPr>
          <w:color w:val="000000" w:themeColor="text1"/>
          <w14:textFill>
            <w14:solidFill>
              <w14:schemeClr w14:val="tx1"/>
            </w14:solidFill>
          </w14:textFill>
        </w:rPr>
      </w:pPr>
      <w:bookmarkStart w:id="528" w:name="_Toc54"/>
      <w:bookmarkStart w:id="529" w:name="_Toc14938"/>
      <w:bookmarkStart w:id="530" w:name="_Toc44492547"/>
      <w:r>
        <w:rPr>
          <w:rFonts w:hint="eastAsia"/>
          <w:color w:val="000000" w:themeColor="text1"/>
          <w14:textFill>
            <w14:solidFill>
              <w14:schemeClr w14:val="tx1"/>
            </w14:solidFill>
          </w14:textFill>
        </w:rPr>
        <w:t>23.1.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争议的解决方式</w:t>
      </w:r>
      <w:bookmarkEnd w:id="528"/>
      <w:bookmarkEnd w:id="529"/>
      <w:bookmarkEnd w:id="53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23.1.1.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合同当事人双方在履行合同时发生争议，双方应友好协商，可以采取和解或者要求有关主管部门调解。当事人不愿和解、调解或者和解、调解不成的，采取向承包人住所地的人民法院提起诉讼的方式解决。</w:t>
      </w:r>
    </w:p>
    <w:p>
      <w:pPr>
        <w:pStyle w:val="77"/>
        <w:ind w:firstLine="480"/>
        <w:rPr>
          <w:color w:val="000000" w:themeColor="text1"/>
          <w14:textFill>
            <w14:solidFill>
              <w14:schemeClr w14:val="tx1"/>
            </w14:solidFill>
          </w14:textFill>
        </w:rPr>
      </w:pPr>
      <w:bookmarkStart w:id="531" w:name="_Toc27705"/>
      <w:bookmarkStart w:id="532" w:name="_Toc44492548"/>
      <w:bookmarkStart w:id="533" w:name="_Toc27034"/>
      <w:r>
        <w:rPr>
          <w:rFonts w:hint="eastAsia"/>
          <w:color w:val="000000" w:themeColor="text1"/>
          <w14:textFill>
            <w14:solidFill>
              <w14:schemeClr w14:val="tx1"/>
            </w14:solidFill>
          </w14:textFill>
        </w:rPr>
        <w:t>23.2.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争议的解决</w:t>
      </w:r>
      <w:bookmarkEnd w:id="531"/>
      <w:bookmarkEnd w:id="532"/>
      <w:bookmarkEnd w:id="53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23.2.1.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发生争议后，除非出现下列情况的，合同当事人双方都应继续履行合同，分包人保持施工连续，保护好已完工程：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 调解要求停止施工，且为合同当事人双方接受；</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 法院要求停止施工。</w:t>
      </w:r>
    </w:p>
    <w:bookmarkEnd w:id="53"/>
    <w:p>
      <w:pPr>
        <w:pStyle w:val="52"/>
        <w:ind w:firstLine="420"/>
        <w:rPr>
          <w:color w:val="000000" w:themeColor="text1"/>
          <w14:textFill>
            <w14:solidFill>
              <w14:schemeClr w14:val="tx1"/>
            </w14:solidFill>
          </w14:textFill>
        </w:rPr>
      </w:pPr>
    </w:p>
    <w:p>
      <w:pPr>
        <w:pStyle w:val="68"/>
        <w:rPr>
          <w:color w:val="000000" w:themeColor="text1"/>
          <w14:textFill>
            <w14:solidFill>
              <w14:schemeClr w14:val="tx1"/>
            </w14:solidFill>
          </w14:textFill>
        </w:rPr>
      </w:pPr>
      <w:bookmarkStart w:id="534" w:name="_Toc402450458"/>
      <w:r>
        <w:rPr>
          <w:color w:val="000000" w:themeColor="text1"/>
          <w14:textFill>
            <w14:solidFill>
              <w14:schemeClr w14:val="tx1"/>
            </w14:solidFill>
          </w14:textFill>
        </w:rPr>
        <w:br w:type="page"/>
      </w:r>
      <w:bookmarkStart w:id="535" w:name="_Toc6932"/>
      <w:bookmarkStart w:id="536" w:name="_Toc22266"/>
      <w:bookmarkStart w:id="537" w:name="_Toc44492549"/>
      <w:bookmarkStart w:id="538" w:name="_Toc31994"/>
      <w:bookmarkStart w:id="539" w:name="_Toc118446907"/>
      <w:bookmarkStart w:id="540" w:name="_Toc40186511"/>
      <w:bookmarkStart w:id="541" w:name="_Toc44227950"/>
      <w:r>
        <w:rPr>
          <w:rFonts w:hint="eastAsia"/>
          <w:color w:val="000000" w:themeColor="text1"/>
          <w14:textFill>
            <w14:solidFill>
              <w14:schemeClr w14:val="tx1"/>
            </w14:solidFill>
          </w14:textFill>
        </w:rPr>
        <w:t>第三部分 专用条款</w:t>
      </w:r>
      <w:bookmarkEnd w:id="534"/>
      <w:bookmarkEnd w:id="535"/>
      <w:bookmarkEnd w:id="536"/>
      <w:bookmarkEnd w:id="537"/>
      <w:bookmarkEnd w:id="538"/>
      <w:bookmarkEnd w:id="539"/>
      <w:bookmarkEnd w:id="540"/>
      <w:bookmarkEnd w:id="541"/>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bookmarkStart w:id="542" w:name="_Toc402450459"/>
      <w:r>
        <w:rPr>
          <w:rFonts w:ascii="仿宋" w:hAnsi="仿宋" w:eastAsia="仿宋"/>
          <w:b w:val="0"/>
          <w:color w:val="000000" w:themeColor="text1"/>
          <w:sz w:val="24"/>
          <w:szCs w:val="24"/>
          <w14:textFill>
            <w14:solidFill>
              <w14:schemeClr w14:val="tx1"/>
            </w14:solidFill>
          </w14:textFill>
        </w:rPr>
        <w:fldChar w:fldCharType="begin"/>
      </w:r>
      <w:r>
        <w:rPr>
          <w:rFonts w:ascii="仿宋" w:hAnsi="仿宋" w:eastAsia="仿宋"/>
          <w:b w:val="0"/>
          <w:color w:val="000000" w:themeColor="text1"/>
          <w:sz w:val="24"/>
          <w:szCs w:val="24"/>
          <w14:textFill>
            <w14:solidFill>
              <w14:schemeClr w14:val="tx1"/>
            </w14:solidFill>
          </w14:textFill>
        </w:rPr>
        <w:instrText xml:space="preserve"> </w:instrText>
      </w:r>
      <w:r>
        <w:rPr>
          <w:rFonts w:hint="eastAsia" w:ascii="仿宋" w:hAnsi="仿宋" w:eastAsia="仿宋"/>
          <w:b w:val="0"/>
          <w:color w:val="000000" w:themeColor="text1"/>
          <w:sz w:val="24"/>
          <w:szCs w:val="24"/>
          <w14:textFill>
            <w14:solidFill>
              <w14:schemeClr w14:val="tx1"/>
            </w14:solidFill>
          </w14:textFill>
        </w:rPr>
        <w:instrText xml:space="preserve">TOC \b p3 \o "1-2" \h \z \u</w:instrText>
      </w:r>
      <w:r>
        <w:rPr>
          <w:rFonts w:ascii="仿宋" w:hAnsi="仿宋" w:eastAsia="仿宋"/>
          <w:b w:val="0"/>
          <w:color w:val="000000" w:themeColor="text1"/>
          <w:sz w:val="24"/>
          <w:szCs w:val="24"/>
          <w14:textFill>
            <w14:solidFill>
              <w14:schemeClr w14:val="tx1"/>
            </w14:solidFill>
          </w14:textFill>
        </w:rPr>
        <w:instrText xml:space="preserve"> </w:instrText>
      </w:r>
      <w:r>
        <w:rPr>
          <w:rFonts w:ascii="仿宋" w:hAnsi="仿宋" w:eastAsia="仿宋"/>
          <w:b w:val="0"/>
          <w:color w:val="000000" w:themeColor="text1"/>
          <w:sz w:val="24"/>
          <w:szCs w:val="24"/>
          <w14:textFill>
            <w14:solidFill>
              <w14:schemeClr w14:val="tx1"/>
            </w14:solidFill>
          </w14:textFill>
        </w:rPr>
        <w:fldChar w:fldCharType="separate"/>
      </w:r>
      <w:r>
        <w:fldChar w:fldCharType="begin"/>
      </w:r>
      <w:r>
        <w:instrText xml:space="preserve"> HYPERLINK \l "_Toc91082434" </w:instrText>
      </w:r>
      <w:r>
        <w:fldChar w:fldCharType="separate"/>
      </w:r>
      <w:r>
        <w:rPr>
          <w:rStyle w:val="44"/>
          <w:b w:val="0"/>
          <w:color w:val="000000" w:themeColor="text1"/>
          <w:sz w:val="24"/>
          <w:szCs w:val="24"/>
          <w14:textFill>
            <w14:solidFill>
              <w14:schemeClr w14:val="tx1"/>
            </w14:solidFill>
          </w14:textFill>
        </w:rPr>
        <w:t>1.</w:t>
      </w:r>
      <w:r>
        <w:rPr>
          <w:rStyle w:val="44"/>
          <w:rFonts w:hint="eastAsia"/>
          <w:b w:val="0"/>
          <w:color w:val="000000" w:themeColor="text1"/>
          <w:sz w:val="24"/>
          <w:szCs w:val="24"/>
          <w14:textFill>
            <w14:solidFill>
              <w14:schemeClr w14:val="tx1"/>
            </w14:solidFill>
          </w14:textFill>
        </w:rPr>
        <w:t>一般约定</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_Toc91082434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51</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"_Toc91082435" </w:instrText>
      </w:r>
      <w:r>
        <w:fldChar w:fldCharType="separate"/>
      </w:r>
      <w:r>
        <w:rPr>
          <w:rStyle w:val="44"/>
          <w:b w:val="0"/>
          <w:color w:val="000000" w:themeColor="text1"/>
          <w:sz w:val="24"/>
          <w:szCs w:val="24"/>
          <w14:textFill>
            <w14:solidFill>
              <w14:schemeClr w14:val="tx1"/>
            </w14:solidFill>
          </w14:textFill>
        </w:rPr>
        <w:t>2.</w:t>
      </w:r>
      <w:r>
        <w:rPr>
          <w:rStyle w:val="44"/>
          <w:rFonts w:hint="eastAsia"/>
          <w:b w:val="0"/>
          <w:color w:val="000000" w:themeColor="text1"/>
          <w:sz w:val="24"/>
          <w:szCs w:val="24"/>
          <w14:textFill>
            <w14:solidFill>
              <w14:schemeClr w14:val="tx1"/>
            </w14:solidFill>
          </w14:textFill>
        </w:rPr>
        <w:t>承包人</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_Toc91082435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53</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"_Toc91082436" </w:instrText>
      </w:r>
      <w:r>
        <w:fldChar w:fldCharType="separate"/>
      </w:r>
      <w:r>
        <w:rPr>
          <w:rStyle w:val="44"/>
          <w:b w:val="0"/>
          <w:color w:val="000000" w:themeColor="text1"/>
          <w:sz w:val="24"/>
          <w:szCs w:val="24"/>
          <w14:textFill>
            <w14:solidFill>
              <w14:schemeClr w14:val="tx1"/>
            </w14:solidFill>
          </w14:textFill>
        </w:rPr>
        <w:t>3.</w:t>
      </w:r>
      <w:r>
        <w:rPr>
          <w:rStyle w:val="44"/>
          <w:rFonts w:hint="eastAsia"/>
          <w:b w:val="0"/>
          <w:color w:val="000000" w:themeColor="text1"/>
          <w:sz w:val="24"/>
          <w:szCs w:val="24"/>
          <w14:textFill>
            <w14:solidFill>
              <w14:schemeClr w14:val="tx1"/>
            </w14:solidFill>
          </w14:textFill>
        </w:rPr>
        <w:t>监理人及造价咨询人</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_Toc91082436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55</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"_Toc91082437" </w:instrText>
      </w:r>
      <w:r>
        <w:fldChar w:fldCharType="separate"/>
      </w:r>
      <w:r>
        <w:rPr>
          <w:rStyle w:val="44"/>
          <w:b w:val="0"/>
          <w:color w:val="000000" w:themeColor="text1"/>
          <w:sz w:val="24"/>
          <w:szCs w:val="24"/>
          <w14:textFill>
            <w14:solidFill>
              <w14:schemeClr w14:val="tx1"/>
            </w14:solidFill>
          </w14:textFill>
        </w:rPr>
        <w:t>4.</w:t>
      </w:r>
      <w:r>
        <w:rPr>
          <w:rStyle w:val="44"/>
          <w:rFonts w:hint="eastAsia"/>
          <w:b w:val="0"/>
          <w:color w:val="000000" w:themeColor="text1"/>
          <w:sz w:val="24"/>
          <w:szCs w:val="24"/>
          <w14:textFill>
            <w14:solidFill>
              <w14:schemeClr w14:val="tx1"/>
            </w14:solidFill>
          </w14:textFill>
        </w:rPr>
        <w:t>分包人</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_Toc91082437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55</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"_Toc91082438" </w:instrText>
      </w:r>
      <w:r>
        <w:fldChar w:fldCharType="separate"/>
      </w:r>
      <w:r>
        <w:rPr>
          <w:rStyle w:val="44"/>
          <w:b w:val="0"/>
          <w:color w:val="000000" w:themeColor="text1"/>
          <w:sz w:val="24"/>
          <w:szCs w:val="24"/>
          <w14:textFill>
            <w14:solidFill>
              <w14:schemeClr w14:val="tx1"/>
            </w14:solidFill>
          </w14:textFill>
        </w:rPr>
        <w:t>5.</w:t>
      </w:r>
      <w:r>
        <w:rPr>
          <w:rStyle w:val="44"/>
          <w:rFonts w:hint="eastAsia"/>
          <w:b w:val="0"/>
          <w:color w:val="000000" w:themeColor="text1"/>
          <w:sz w:val="24"/>
          <w:szCs w:val="24"/>
          <w14:textFill>
            <w14:solidFill>
              <w14:schemeClr w14:val="tx1"/>
            </w14:solidFill>
          </w14:textFill>
        </w:rPr>
        <w:t>材料和工程设备</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_Toc91082438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62</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"_Toc91082439" </w:instrText>
      </w:r>
      <w:r>
        <w:fldChar w:fldCharType="separate"/>
      </w:r>
      <w:r>
        <w:rPr>
          <w:rStyle w:val="44"/>
          <w:b w:val="0"/>
          <w:color w:val="000000" w:themeColor="text1"/>
          <w:sz w:val="24"/>
          <w:szCs w:val="24"/>
          <w14:textFill>
            <w14:solidFill>
              <w14:schemeClr w14:val="tx1"/>
            </w14:solidFill>
          </w14:textFill>
        </w:rPr>
        <w:t>6.</w:t>
      </w:r>
      <w:r>
        <w:rPr>
          <w:rStyle w:val="44"/>
          <w:rFonts w:hint="eastAsia"/>
          <w:b w:val="0"/>
          <w:color w:val="000000" w:themeColor="text1"/>
          <w:sz w:val="24"/>
          <w:szCs w:val="24"/>
          <w14:textFill>
            <w14:solidFill>
              <w14:schemeClr w14:val="tx1"/>
            </w14:solidFill>
          </w14:textFill>
        </w:rPr>
        <w:t>施工设备和临时设施</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_Toc91082439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66</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"_Toc91082440" </w:instrText>
      </w:r>
      <w:r>
        <w:fldChar w:fldCharType="separate"/>
      </w:r>
      <w:r>
        <w:rPr>
          <w:rStyle w:val="44"/>
          <w:b w:val="0"/>
          <w:color w:val="000000" w:themeColor="text1"/>
          <w:sz w:val="24"/>
          <w:szCs w:val="24"/>
          <w14:textFill>
            <w14:solidFill>
              <w14:schemeClr w14:val="tx1"/>
            </w14:solidFill>
          </w14:textFill>
        </w:rPr>
        <w:t>7.</w:t>
      </w:r>
      <w:r>
        <w:rPr>
          <w:rStyle w:val="44"/>
          <w:rFonts w:hint="eastAsia"/>
          <w:b w:val="0"/>
          <w:color w:val="000000" w:themeColor="text1"/>
          <w:sz w:val="24"/>
          <w:szCs w:val="24"/>
          <w14:textFill>
            <w14:solidFill>
              <w14:schemeClr w14:val="tx1"/>
            </w14:solidFill>
          </w14:textFill>
        </w:rPr>
        <w:t>交通运输</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_Toc91082440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66</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"_Toc91082441" </w:instrText>
      </w:r>
      <w:r>
        <w:fldChar w:fldCharType="separate"/>
      </w:r>
      <w:r>
        <w:rPr>
          <w:rStyle w:val="44"/>
          <w:b w:val="0"/>
          <w:color w:val="000000" w:themeColor="text1"/>
          <w:sz w:val="24"/>
          <w:szCs w:val="24"/>
          <w14:textFill>
            <w14:solidFill>
              <w14:schemeClr w14:val="tx1"/>
            </w14:solidFill>
          </w14:textFill>
        </w:rPr>
        <w:t>8.</w:t>
      </w:r>
      <w:r>
        <w:rPr>
          <w:rStyle w:val="44"/>
          <w:rFonts w:hint="eastAsia"/>
          <w:b w:val="0"/>
          <w:color w:val="000000" w:themeColor="text1"/>
          <w:sz w:val="24"/>
          <w:szCs w:val="24"/>
          <w14:textFill>
            <w14:solidFill>
              <w14:schemeClr w14:val="tx1"/>
            </w14:solidFill>
          </w14:textFill>
        </w:rPr>
        <w:t>测量放线</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_Toc91082441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67</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"_Toc91082442" </w:instrText>
      </w:r>
      <w:r>
        <w:fldChar w:fldCharType="separate"/>
      </w:r>
      <w:r>
        <w:rPr>
          <w:rStyle w:val="44"/>
          <w:b w:val="0"/>
          <w:color w:val="000000" w:themeColor="text1"/>
          <w:sz w:val="24"/>
          <w:szCs w:val="24"/>
          <w14:textFill>
            <w14:solidFill>
              <w14:schemeClr w14:val="tx1"/>
            </w14:solidFill>
          </w14:textFill>
        </w:rPr>
        <w:t>9.</w:t>
      </w:r>
      <w:r>
        <w:rPr>
          <w:rStyle w:val="44"/>
          <w:rFonts w:hint="eastAsia"/>
          <w:b w:val="0"/>
          <w:color w:val="000000" w:themeColor="text1"/>
          <w:sz w:val="24"/>
          <w:szCs w:val="24"/>
          <w14:textFill>
            <w14:solidFill>
              <w14:schemeClr w14:val="tx1"/>
            </w14:solidFill>
          </w14:textFill>
        </w:rPr>
        <w:t>施工安全、治安保卫和环境保护</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_Toc91082442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67</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"_Toc91082443" </w:instrText>
      </w:r>
      <w:r>
        <w:fldChar w:fldCharType="separate"/>
      </w:r>
      <w:r>
        <w:rPr>
          <w:rStyle w:val="44"/>
          <w:b w:val="0"/>
          <w:color w:val="000000" w:themeColor="text1"/>
          <w:sz w:val="24"/>
          <w:szCs w:val="24"/>
          <w14:textFill>
            <w14:solidFill>
              <w14:schemeClr w14:val="tx1"/>
            </w14:solidFill>
          </w14:textFill>
        </w:rPr>
        <w:t>10.</w:t>
      </w:r>
      <w:r>
        <w:rPr>
          <w:rStyle w:val="44"/>
          <w:rFonts w:hint="eastAsia"/>
          <w:b w:val="0"/>
          <w:color w:val="000000" w:themeColor="text1"/>
          <w:sz w:val="24"/>
          <w:szCs w:val="24"/>
          <w14:textFill>
            <w14:solidFill>
              <w14:schemeClr w14:val="tx1"/>
            </w14:solidFill>
          </w14:textFill>
        </w:rPr>
        <w:t>进度计划</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_Toc91082443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71</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"_Toc91082444" </w:instrText>
      </w:r>
      <w:r>
        <w:fldChar w:fldCharType="separate"/>
      </w:r>
      <w:r>
        <w:rPr>
          <w:rStyle w:val="44"/>
          <w:b w:val="0"/>
          <w:color w:val="000000" w:themeColor="text1"/>
          <w:sz w:val="24"/>
          <w:szCs w:val="24"/>
          <w14:textFill>
            <w14:solidFill>
              <w14:schemeClr w14:val="tx1"/>
            </w14:solidFill>
          </w14:textFill>
        </w:rPr>
        <w:t>11.</w:t>
      </w:r>
      <w:r>
        <w:rPr>
          <w:rStyle w:val="44"/>
          <w:rFonts w:hint="eastAsia"/>
          <w:b w:val="0"/>
          <w:color w:val="000000" w:themeColor="text1"/>
          <w:sz w:val="24"/>
          <w:szCs w:val="24"/>
          <w14:textFill>
            <w14:solidFill>
              <w14:schemeClr w14:val="tx1"/>
            </w14:solidFill>
          </w14:textFill>
        </w:rPr>
        <w:t>开工和竣工</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_Toc91082444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75</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"_Toc91082445" </w:instrText>
      </w:r>
      <w:r>
        <w:fldChar w:fldCharType="separate"/>
      </w:r>
      <w:r>
        <w:rPr>
          <w:rStyle w:val="44"/>
          <w:b w:val="0"/>
          <w:color w:val="000000" w:themeColor="text1"/>
          <w:sz w:val="24"/>
          <w:szCs w:val="24"/>
          <w14:textFill>
            <w14:solidFill>
              <w14:schemeClr w14:val="tx1"/>
            </w14:solidFill>
          </w14:textFill>
        </w:rPr>
        <w:t>12.</w:t>
      </w:r>
      <w:r>
        <w:rPr>
          <w:rStyle w:val="44"/>
          <w:rFonts w:hint="eastAsia"/>
          <w:b w:val="0"/>
          <w:color w:val="000000" w:themeColor="text1"/>
          <w:sz w:val="24"/>
          <w:szCs w:val="24"/>
          <w14:textFill>
            <w14:solidFill>
              <w14:schemeClr w14:val="tx1"/>
            </w14:solidFill>
          </w14:textFill>
        </w:rPr>
        <w:t>暂停施工</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_Toc91082445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77</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"_Toc91082446" </w:instrText>
      </w:r>
      <w:r>
        <w:fldChar w:fldCharType="separate"/>
      </w:r>
      <w:r>
        <w:rPr>
          <w:rStyle w:val="44"/>
          <w:b w:val="0"/>
          <w:color w:val="000000" w:themeColor="text1"/>
          <w:sz w:val="24"/>
          <w:szCs w:val="24"/>
          <w14:textFill>
            <w14:solidFill>
              <w14:schemeClr w14:val="tx1"/>
            </w14:solidFill>
          </w14:textFill>
        </w:rPr>
        <w:t>13.</w:t>
      </w:r>
      <w:r>
        <w:rPr>
          <w:rStyle w:val="44"/>
          <w:rFonts w:hint="eastAsia"/>
          <w:b w:val="0"/>
          <w:color w:val="000000" w:themeColor="text1"/>
          <w:sz w:val="24"/>
          <w:szCs w:val="24"/>
          <w14:textFill>
            <w14:solidFill>
              <w14:schemeClr w14:val="tx1"/>
            </w14:solidFill>
          </w14:textFill>
        </w:rPr>
        <w:t>工程质量</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_Toc91082446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78</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"_Toc91082447" </w:instrText>
      </w:r>
      <w:r>
        <w:fldChar w:fldCharType="separate"/>
      </w:r>
      <w:r>
        <w:rPr>
          <w:rStyle w:val="44"/>
          <w:b w:val="0"/>
          <w:color w:val="000000" w:themeColor="text1"/>
          <w:sz w:val="24"/>
          <w:szCs w:val="24"/>
          <w14:textFill>
            <w14:solidFill>
              <w14:schemeClr w14:val="tx1"/>
            </w14:solidFill>
          </w14:textFill>
        </w:rPr>
        <w:t>14.</w:t>
      </w:r>
      <w:r>
        <w:rPr>
          <w:rStyle w:val="44"/>
          <w:rFonts w:hint="eastAsia"/>
          <w:b w:val="0"/>
          <w:color w:val="000000" w:themeColor="text1"/>
          <w:sz w:val="24"/>
          <w:szCs w:val="24"/>
          <w14:textFill>
            <w14:solidFill>
              <w14:schemeClr w14:val="tx1"/>
            </w14:solidFill>
          </w14:textFill>
        </w:rPr>
        <w:t>试验和检验</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_Toc91082447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79</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"_Toc91082448" </w:instrText>
      </w:r>
      <w:r>
        <w:fldChar w:fldCharType="separate"/>
      </w:r>
      <w:r>
        <w:rPr>
          <w:rStyle w:val="44"/>
          <w:b w:val="0"/>
          <w:color w:val="000000" w:themeColor="text1"/>
          <w:sz w:val="24"/>
          <w:szCs w:val="24"/>
          <w14:textFill>
            <w14:solidFill>
              <w14:schemeClr w14:val="tx1"/>
            </w14:solidFill>
          </w14:textFill>
        </w:rPr>
        <w:t>15.</w:t>
      </w:r>
      <w:r>
        <w:rPr>
          <w:rStyle w:val="44"/>
          <w:rFonts w:hint="eastAsia"/>
          <w:b w:val="0"/>
          <w:color w:val="000000" w:themeColor="text1"/>
          <w:sz w:val="24"/>
          <w:szCs w:val="24"/>
          <w14:textFill>
            <w14:solidFill>
              <w14:schemeClr w14:val="tx1"/>
            </w14:solidFill>
          </w14:textFill>
        </w:rPr>
        <w:t>变更</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_Toc91082448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80</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"_Toc91082450" </w:instrText>
      </w:r>
      <w:r>
        <w:fldChar w:fldCharType="separate"/>
      </w:r>
      <w:r>
        <w:rPr>
          <w:rStyle w:val="44"/>
          <w:b w:val="0"/>
          <w:color w:val="000000" w:themeColor="text1"/>
          <w:sz w:val="24"/>
          <w:szCs w:val="24"/>
          <w14:textFill>
            <w14:solidFill>
              <w14:schemeClr w14:val="tx1"/>
            </w14:solidFill>
          </w14:textFill>
        </w:rPr>
        <w:t>16.</w:t>
      </w:r>
      <w:r>
        <w:rPr>
          <w:rStyle w:val="44"/>
          <w:rFonts w:hint="eastAsia"/>
          <w:b w:val="0"/>
          <w:color w:val="000000" w:themeColor="text1"/>
          <w:sz w:val="24"/>
          <w:szCs w:val="24"/>
          <w14:textFill>
            <w14:solidFill>
              <w14:schemeClr w14:val="tx1"/>
            </w14:solidFill>
          </w14:textFill>
        </w:rPr>
        <w:t>价格调整</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_Toc91082450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85</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"_Toc91082451" </w:instrText>
      </w:r>
      <w:r>
        <w:fldChar w:fldCharType="separate"/>
      </w:r>
      <w:r>
        <w:rPr>
          <w:rStyle w:val="44"/>
          <w:b w:val="0"/>
          <w:color w:val="000000" w:themeColor="text1"/>
          <w:sz w:val="24"/>
          <w:szCs w:val="24"/>
          <w14:textFill>
            <w14:solidFill>
              <w14:schemeClr w14:val="tx1"/>
            </w14:solidFill>
          </w14:textFill>
        </w:rPr>
        <w:t>17.</w:t>
      </w:r>
      <w:r>
        <w:rPr>
          <w:rStyle w:val="44"/>
          <w:rFonts w:hint="eastAsia"/>
          <w:b w:val="0"/>
          <w:color w:val="000000" w:themeColor="text1"/>
          <w:sz w:val="24"/>
          <w:szCs w:val="24"/>
          <w14:textFill>
            <w14:solidFill>
              <w14:schemeClr w14:val="tx1"/>
            </w14:solidFill>
          </w14:textFill>
        </w:rPr>
        <w:t>计量与支付</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_Toc91082451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89</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"_Toc91082452" </w:instrText>
      </w:r>
      <w:r>
        <w:fldChar w:fldCharType="separate"/>
      </w:r>
      <w:r>
        <w:rPr>
          <w:rStyle w:val="44"/>
          <w:b w:val="0"/>
          <w:color w:val="000000" w:themeColor="text1"/>
          <w:sz w:val="24"/>
          <w:szCs w:val="24"/>
          <w14:textFill>
            <w14:solidFill>
              <w14:schemeClr w14:val="tx1"/>
            </w14:solidFill>
          </w14:textFill>
        </w:rPr>
        <w:t>18.</w:t>
      </w:r>
      <w:r>
        <w:rPr>
          <w:rStyle w:val="44"/>
          <w:rFonts w:hint="eastAsia"/>
          <w:b w:val="0"/>
          <w:color w:val="000000" w:themeColor="text1"/>
          <w:sz w:val="24"/>
          <w:szCs w:val="24"/>
          <w14:textFill>
            <w14:solidFill>
              <w14:schemeClr w14:val="tx1"/>
            </w14:solidFill>
          </w14:textFill>
        </w:rPr>
        <w:t>竣工验收</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_Toc91082452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97</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"_Toc91082453" </w:instrText>
      </w:r>
      <w:r>
        <w:fldChar w:fldCharType="separate"/>
      </w:r>
      <w:r>
        <w:rPr>
          <w:rStyle w:val="44"/>
          <w:b w:val="0"/>
          <w:color w:val="000000" w:themeColor="text1"/>
          <w:sz w:val="24"/>
          <w:szCs w:val="24"/>
          <w14:textFill>
            <w14:solidFill>
              <w14:schemeClr w14:val="tx1"/>
            </w14:solidFill>
          </w14:textFill>
        </w:rPr>
        <w:t>19.</w:t>
      </w:r>
      <w:r>
        <w:rPr>
          <w:rStyle w:val="44"/>
          <w:rFonts w:hint="eastAsia"/>
          <w:b w:val="0"/>
          <w:color w:val="000000" w:themeColor="text1"/>
          <w:sz w:val="24"/>
          <w:szCs w:val="24"/>
          <w14:textFill>
            <w14:solidFill>
              <w14:schemeClr w14:val="tx1"/>
            </w14:solidFill>
          </w14:textFill>
        </w:rPr>
        <w:t>缺陷责任与保修</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_Toc91082453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99</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"_Toc91082454" </w:instrText>
      </w:r>
      <w:r>
        <w:fldChar w:fldCharType="separate"/>
      </w:r>
      <w:r>
        <w:rPr>
          <w:rStyle w:val="44"/>
          <w:b w:val="0"/>
          <w:color w:val="000000" w:themeColor="text1"/>
          <w:sz w:val="24"/>
          <w:szCs w:val="24"/>
          <w14:textFill>
            <w14:solidFill>
              <w14:schemeClr w14:val="tx1"/>
            </w14:solidFill>
          </w14:textFill>
        </w:rPr>
        <w:t>20.</w:t>
      </w:r>
      <w:r>
        <w:rPr>
          <w:rStyle w:val="44"/>
          <w:rFonts w:hint="eastAsia"/>
          <w:b w:val="0"/>
          <w:color w:val="000000" w:themeColor="text1"/>
          <w:sz w:val="24"/>
          <w:szCs w:val="24"/>
          <w14:textFill>
            <w14:solidFill>
              <w14:schemeClr w14:val="tx1"/>
            </w14:solidFill>
          </w14:textFill>
        </w:rPr>
        <w:t>保险</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_Toc91082454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99</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"_Toc91082455" </w:instrText>
      </w:r>
      <w:r>
        <w:fldChar w:fldCharType="separate"/>
      </w:r>
      <w:r>
        <w:rPr>
          <w:rStyle w:val="44"/>
          <w:b w:val="0"/>
          <w:color w:val="000000" w:themeColor="text1"/>
          <w:sz w:val="24"/>
          <w:szCs w:val="24"/>
          <w14:textFill>
            <w14:solidFill>
              <w14:schemeClr w14:val="tx1"/>
            </w14:solidFill>
          </w14:textFill>
        </w:rPr>
        <w:t>21.</w:t>
      </w:r>
      <w:r>
        <w:rPr>
          <w:rStyle w:val="44"/>
          <w:rFonts w:hint="eastAsia"/>
          <w:b w:val="0"/>
          <w:color w:val="000000" w:themeColor="text1"/>
          <w:sz w:val="24"/>
          <w:szCs w:val="24"/>
          <w14:textFill>
            <w14:solidFill>
              <w14:schemeClr w14:val="tx1"/>
            </w14:solidFill>
          </w14:textFill>
        </w:rPr>
        <w:t>不可抗力</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_Toc91082455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101</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"_Toc91082456" </w:instrText>
      </w:r>
      <w:r>
        <w:fldChar w:fldCharType="separate"/>
      </w:r>
      <w:r>
        <w:rPr>
          <w:rStyle w:val="44"/>
          <w:b w:val="0"/>
          <w:color w:val="000000" w:themeColor="text1"/>
          <w:sz w:val="24"/>
          <w:szCs w:val="24"/>
          <w14:textFill>
            <w14:solidFill>
              <w14:schemeClr w14:val="tx1"/>
            </w14:solidFill>
          </w14:textFill>
        </w:rPr>
        <w:t>22.</w:t>
      </w:r>
      <w:r>
        <w:rPr>
          <w:rStyle w:val="44"/>
          <w:rFonts w:hint="eastAsia"/>
          <w:b w:val="0"/>
          <w:color w:val="000000" w:themeColor="text1"/>
          <w:sz w:val="24"/>
          <w:szCs w:val="24"/>
          <w14:textFill>
            <w14:solidFill>
              <w14:schemeClr w14:val="tx1"/>
            </w14:solidFill>
          </w14:textFill>
        </w:rPr>
        <w:t>违约</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_Toc91082456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101</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left" w:pos="2100"/>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"_Toc91082457" </w:instrText>
      </w:r>
      <w:r>
        <w:fldChar w:fldCharType="separate"/>
      </w:r>
      <w:r>
        <w:rPr>
          <w:rStyle w:val="44"/>
          <w:b w:val="0"/>
          <w:color w:val="000000" w:themeColor="text1"/>
          <w:sz w:val="24"/>
          <w:szCs w:val="24"/>
          <w14:textFill>
            <w14:solidFill>
              <w14:schemeClr w14:val="tx1"/>
            </w14:solidFill>
          </w14:textFill>
        </w:rPr>
        <w:t>23.</w:t>
      </w:r>
      <w:r>
        <w:rPr>
          <w:rStyle w:val="44"/>
          <w:rFonts w:hint="eastAsia"/>
          <w:b w:val="0"/>
          <w:color w:val="000000" w:themeColor="text1"/>
          <w:sz w:val="24"/>
          <w:szCs w:val="24"/>
          <w14:textFill>
            <w14:solidFill>
              <w14:schemeClr w14:val="tx1"/>
            </w14:solidFill>
          </w14:textFill>
        </w:rPr>
        <w:t>争议的解决</w:t>
      </w:r>
      <w:r>
        <w:rPr>
          <w:rStyle w:val="44"/>
          <w:b w:val="0"/>
          <w:color w:val="000000" w:themeColor="text1"/>
          <w:sz w:val="24"/>
          <w:szCs w:val="24"/>
          <w14:textFill>
            <w14:solidFill>
              <w14:schemeClr w14:val="tx1"/>
            </w14:solidFill>
          </w14:textFill>
        </w:rPr>
        <w:t>………</w:t>
      </w:r>
      <w:r>
        <w:rPr>
          <w:rStyle w:val="44"/>
          <w:rFonts w:hint="eastAsia"/>
          <w:b w:val="0"/>
          <w:color w:val="000000" w:themeColor="text1"/>
          <w:sz w:val="24"/>
          <w:szCs w:val="24"/>
          <w14:textFill>
            <w14:solidFill>
              <w14:schemeClr w14:val="tx1"/>
            </w14:solidFill>
          </w14:textFill>
        </w:rPr>
        <w:t>.</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_Toc91082457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108</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32"/>
        <w:tabs>
          <w:tab w:val="right" w:leader="dot" w:pos="8494"/>
        </w:tabs>
        <w:spacing w:line="360" w:lineRule="auto"/>
        <w:ind w:left="0" w:leftChars="0"/>
        <w:rPr>
          <w:rFonts w:asciiTheme="minorHAnsi" w:hAnsiTheme="minorHAnsi" w:eastAsiaTheme="minorEastAsia" w:cstheme="minorBidi"/>
          <w:b w:val="0"/>
          <w:color w:val="000000" w:themeColor="text1"/>
          <w:sz w:val="24"/>
          <w:szCs w:val="24"/>
          <w14:textFill>
            <w14:solidFill>
              <w14:schemeClr w14:val="tx1"/>
            </w14:solidFill>
          </w14:textFill>
        </w:rPr>
      </w:pPr>
      <w:r>
        <w:fldChar w:fldCharType="begin"/>
      </w:r>
      <w:r>
        <w:instrText xml:space="preserve"> HYPERLINK \l "_Toc91082458" </w:instrText>
      </w:r>
      <w:r>
        <w:fldChar w:fldCharType="separate"/>
      </w:r>
      <w:r>
        <w:rPr>
          <w:rStyle w:val="44"/>
          <w:b w:val="0"/>
          <w:color w:val="000000" w:themeColor="text1"/>
          <w:sz w:val="24"/>
          <w:szCs w:val="24"/>
          <w14:textFill>
            <w14:solidFill>
              <w14:schemeClr w14:val="tx1"/>
            </w14:solidFill>
          </w14:textFill>
        </w:rPr>
        <w:t>24.</w:t>
      </w:r>
      <w:r>
        <w:rPr>
          <w:rStyle w:val="44"/>
          <w:rFonts w:hint="eastAsia"/>
          <w:b w:val="0"/>
          <w:color w:val="000000" w:themeColor="text1"/>
          <w:sz w:val="24"/>
          <w:szCs w:val="24"/>
          <w14:textFill>
            <w14:solidFill>
              <w14:schemeClr w14:val="tx1"/>
            </w14:solidFill>
          </w14:textFill>
        </w:rPr>
        <w:t>合同的解除</w:t>
      </w:r>
      <w:r>
        <w:rPr>
          <w:b w:val="0"/>
          <w:color w:val="000000" w:themeColor="text1"/>
          <w:sz w:val="24"/>
          <w:szCs w:val="24"/>
          <w14:textFill>
            <w14:solidFill>
              <w14:schemeClr w14:val="tx1"/>
            </w14:solidFill>
          </w14:textFill>
        </w:rPr>
        <w:tab/>
      </w:r>
      <w:r>
        <w:rPr>
          <w:b w:val="0"/>
          <w:color w:val="000000" w:themeColor="text1"/>
          <w:sz w:val="24"/>
          <w:szCs w:val="24"/>
          <w14:textFill>
            <w14:solidFill>
              <w14:schemeClr w14:val="tx1"/>
            </w14:solidFill>
          </w14:textFill>
        </w:rPr>
        <w:fldChar w:fldCharType="begin"/>
      </w:r>
      <w:r>
        <w:rPr>
          <w:b w:val="0"/>
          <w:color w:val="000000" w:themeColor="text1"/>
          <w:sz w:val="24"/>
          <w:szCs w:val="24"/>
          <w14:textFill>
            <w14:solidFill>
              <w14:schemeClr w14:val="tx1"/>
            </w14:solidFill>
          </w14:textFill>
        </w:rPr>
        <w:instrText xml:space="preserve"> PAGEREF _Toc91082458 \h </w:instrText>
      </w:r>
      <w:r>
        <w:rPr>
          <w:b w:val="0"/>
          <w:color w:val="000000" w:themeColor="text1"/>
          <w:sz w:val="24"/>
          <w:szCs w:val="24"/>
          <w14:textFill>
            <w14:solidFill>
              <w14:schemeClr w14:val="tx1"/>
            </w14:solidFill>
          </w14:textFill>
        </w:rPr>
        <w:fldChar w:fldCharType="separate"/>
      </w:r>
      <w:r>
        <w:rPr>
          <w:b w:val="0"/>
          <w:color w:val="000000" w:themeColor="text1"/>
          <w:sz w:val="24"/>
          <w:szCs w:val="24"/>
          <w14:textFill>
            <w14:solidFill>
              <w14:schemeClr w14:val="tx1"/>
            </w14:solidFill>
          </w14:textFill>
        </w:rPr>
        <w:t>108</w:t>
      </w:r>
      <w:r>
        <w:rPr>
          <w:b w:val="0"/>
          <w:color w:val="000000" w:themeColor="text1"/>
          <w:sz w:val="24"/>
          <w:szCs w:val="24"/>
          <w14:textFill>
            <w14:solidFill>
              <w14:schemeClr w14:val="tx1"/>
            </w14:solidFill>
          </w14:textFill>
        </w:rPr>
        <w:fldChar w:fldCharType="end"/>
      </w:r>
      <w:r>
        <w:rPr>
          <w:b w:val="0"/>
          <w:color w:val="000000" w:themeColor="text1"/>
          <w:sz w:val="24"/>
          <w:szCs w:val="24"/>
          <w14:textFill>
            <w14:solidFill>
              <w14:schemeClr w14:val="tx1"/>
            </w14:solidFill>
          </w14:textFill>
        </w:rPr>
        <w:fldChar w:fldCharType="end"/>
      </w:r>
    </w:p>
    <w:p>
      <w:pPr>
        <w:pStyle w:val="52"/>
        <w:ind w:firstLine="0" w:firstLineChars="0"/>
        <w:rPr>
          <w:rFonts w:ascii="仿宋" w:hAnsi="仿宋" w:eastAsia="仿宋"/>
          <w:color w:val="000000" w:themeColor="text1"/>
          <w:sz w:val="28"/>
          <w:szCs w:val="28"/>
          <w14:textFill>
            <w14:solidFill>
              <w14:schemeClr w14:val="tx1"/>
            </w14:solidFill>
          </w14:textFill>
        </w:rPr>
      </w:pPr>
      <w:r>
        <w:rPr>
          <w:rFonts w:ascii="仿宋" w:hAnsi="仿宋" w:eastAsia="仿宋"/>
          <w:color w:val="000000" w:themeColor="text1"/>
          <w:sz w:val="24"/>
          <w:szCs w:val="24"/>
          <w14:textFill>
            <w14:solidFill>
              <w14:schemeClr w14:val="tx1"/>
            </w14:solidFill>
          </w14:textFill>
        </w:rPr>
        <w:fldChar w:fldCharType="end"/>
      </w:r>
    </w:p>
    <w:p>
      <w:pPr>
        <w:pStyle w:val="52"/>
        <w:spacing w:line="440" w:lineRule="exact"/>
        <w:ind w:firstLine="0" w:firstLineChars="0"/>
        <w:rPr>
          <w:rFonts w:eastAsia="黑体"/>
          <w:bCs/>
          <w:color w:val="000000" w:themeColor="text1"/>
          <w:sz w:val="30"/>
          <w14:textFill>
            <w14:solidFill>
              <w14:schemeClr w14:val="tx1"/>
            </w14:solidFill>
          </w14:textFill>
        </w:rPr>
      </w:pPr>
      <w:r>
        <w:rPr>
          <w:rFonts w:ascii="仿宋" w:hAnsi="仿宋" w:eastAsia="仿宋"/>
          <w:color w:val="000000" w:themeColor="text1"/>
          <w:sz w:val="28"/>
          <w:szCs w:val="28"/>
          <w14:textFill>
            <w14:solidFill>
              <w14:schemeClr w14:val="tx1"/>
            </w14:solidFill>
          </w14:textFill>
        </w:rPr>
        <w:br w:type="page"/>
      </w:r>
    </w:p>
    <w:p>
      <w:pPr>
        <w:pStyle w:val="73"/>
        <w:rPr>
          <w:color w:val="000000" w:themeColor="text1"/>
          <w14:textFill>
            <w14:solidFill>
              <w14:schemeClr w14:val="tx1"/>
            </w14:solidFill>
          </w14:textFill>
        </w:rPr>
      </w:pPr>
      <w:bookmarkStart w:id="543" w:name="_Toc23052"/>
      <w:bookmarkStart w:id="544" w:name="_Toc10189"/>
      <w:bookmarkStart w:id="545" w:name="_Toc26596"/>
      <w:bookmarkStart w:id="546" w:name="_Toc44228153"/>
      <w:bookmarkStart w:id="547" w:name="_Toc38987270"/>
      <w:bookmarkStart w:id="548" w:name="_Toc44492550"/>
      <w:bookmarkStart w:id="549" w:name="_Toc91082434"/>
      <w:bookmarkStart w:id="550" w:name="p3"/>
      <w:r>
        <w:rPr>
          <w:rFonts w:hint="eastAsia"/>
          <w:color w:val="000000" w:themeColor="text1"/>
          <w14:textFill>
            <w14:solidFill>
              <w14:schemeClr w14:val="tx1"/>
            </w14:solidFill>
          </w14:textFill>
        </w:rPr>
        <w:t>1.一般约定</w:t>
      </w:r>
      <w:bookmarkEnd w:id="542"/>
      <w:bookmarkEnd w:id="543"/>
      <w:bookmarkEnd w:id="544"/>
      <w:bookmarkEnd w:id="545"/>
      <w:bookmarkEnd w:id="546"/>
      <w:bookmarkEnd w:id="547"/>
      <w:bookmarkEnd w:id="548"/>
      <w:bookmarkEnd w:id="549"/>
    </w:p>
    <w:p>
      <w:pPr>
        <w:pStyle w:val="77"/>
        <w:ind w:firstLine="420"/>
        <w:rPr>
          <w:rFonts w:eastAsia="仿宋_GB2312"/>
          <w:color w:val="000000" w:themeColor="text1"/>
          <w:kern w:val="0"/>
          <w:sz w:val="21"/>
          <w14:textFill>
            <w14:solidFill>
              <w14:schemeClr w14:val="tx1"/>
            </w14:solidFill>
          </w14:textFill>
        </w:rPr>
      </w:pPr>
      <w:bookmarkStart w:id="551" w:name="_Toc27074"/>
      <w:bookmarkStart w:id="552" w:name="_Toc44492551"/>
      <w:bookmarkStart w:id="553" w:name="_Toc16615"/>
      <w:r>
        <w:rPr>
          <w:rFonts w:eastAsia="仿宋_GB2312"/>
          <w:color w:val="000000" w:themeColor="text1"/>
          <w:kern w:val="0"/>
          <w:sz w:val="21"/>
          <w14:textFill>
            <w14:solidFill>
              <w14:schemeClr w14:val="tx1"/>
            </w14:solidFill>
          </w14:textFill>
        </w:rPr>
        <w:t>1.1.</w:t>
      </w:r>
      <w:r>
        <w:rPr>
          <w:rFonts w:hint="eastAsia" w:eastAsia="仿宋_GB2312"/>
          <w:color w:val="000000" w:themeColor="text1"/>
          <w:kern w:val="0"/>
          <w:sz w:val="21"/>
          <w14:textFill>
            <w14:solidFill>
              <w14:schemeClr w14:val="tx1"/>
            </w14:solidFill>
          </w14:textFill>
        </w:rPr>
        <w:t>6现金支付：指采用支票或银行转账等无账期的支付方式。</w:t>
      </w:r>
    </w:p>
    <w:p>
      <w:pPr>
        <w:pStyle w:val="77"/>
        <w:ind w:firstLine="420"/>
        <w:rPr>
          <w:rFonts w:eastAsia="仿宋_GB2312"/>
          <w:color w:val="000000" w:themeColor="text1"/>
          <w:kern w:val="0"/>
          <w:sz w:val="21"/>
          <w14:textFill>
            <w14:solidFill>
              <w14:schemeClr w14:val="tx1"/>
            </w14:solidFill>
          </w14:textFill>
        </w:rPr>
      </w:pPr>
      <w:r>
        <w:rPr>
          <w:rFonts w:eastAsia="仿宋_GB2312"/>
          <w:color w:val="000000" w:themeColor="text1"/>
          <w:kern w:val="0"/>
          <w:sz w:val="21"/>
          <w14:textFill>
            <w14:solidFill>
              <w14:schemeClr w14:val="tx1"/>
            </w14:solidFill>
          </w14:textFill>
        </w:rPr>
        <w:t>1.1.</w:t>
      </w:r>
      <w:r>
        <w:rPr>
          <w:rFonts w:hint="eastAsia" w:eastAsia="仿宋_GB2312"/>
          <w:color w:val="000000" w:themeColor="text1"/>
          <w:kern w:val="0"/>
          <w:sz w:val="21"/>
          <w14:textFill>
            <w14:solidFill>
              <w14:schemeClr w14:val="tx1"/>
            </w14:solidFill>
          </w14:textFill>
        </w:rPr>
        <w:t>7非现金支付：指采用包括但不限于商业承兑汇票、供应链票据等有账期的支付方式。</w:t>
      </w:r>
    </w:p>
    <w:p>
      <w:pPr>
        <w:pStyle w:val="77"/>
        <w:ind w:firstLine="420"/>
        <w:rPr>
          <w:rFonts w:eastAsia="仿宋_GB2312"/>
          <w:color w:val="000000" w:themeColor="text1"/>
          <w:kern w:val="0"/>
          <w:sz w:val="21"/>
          <w14:textFill>
            <w14:solidFill>
              <w14:schemeClr w14:val="tx1"/>
            </w14:solidFill>
          </w14:textFill>
        </w:rPr>
      </w:pPr>
      <w:r>
        <w:rPr>
          <w:rFonts w:hint="eastAsia" w:eastAsia="仿宋_GB2312"/>
          <w:color w:val="000000" w:themeColor="text1"/>
          <w:kern w:val="0"/>
          <w:sz w:val="21"/>
          <w14:textFill>
            <w14:solidFill>
              <w14:schemeClr w14:val="tx1"/>
            </w14:solidFill>
          </w14:textFill>
        </w:rPr>
        <w:t>1.1.8签约合同价格：是指发包人和承包人在合同协议书中确定的总金额，包括绿色施工安全防护措施费、暂估价及暂列金额等。</w:t>
      </w:r>
    </w:p>
    <w:p>
      <w:pPr>
        <w:pStyle w:val="77"/>
        <w:ind w:firstLine="420"/>
        <w:rPr>
          <w:rFonts w:eastAsia="仿宋_GB2312"/>
          <w:color w:val="000000" w:themeColor="text1"/>
          <w:kern w:val="0"/>
          <w:sz w:val="21"/>
          <w14:textFill>
            <w14:solidFill>
              <w14:schemeClr w14:val="tx1"/>
            </w14:solidFill>
          </w14:textFill>
        </w:rPr>
      </w:pPr>
      <w:r>
        <w:rPr>
          <w:rFonts w:hint="eastAsia" w:eastAsia="仿宋_GB2312"/>
          <w:color w:val="000000" w:themeColor="text1"/>
          <w:kern w:val="0"/>
          <w:sz w:val="21"/>
          <w14:textFill>
            <w14:solidFill>
              <w14:schemeClr w14:val="tx1"/>
            </w14:solidFill>
          </w14:textFill>
        </w:rPr>
        <w:t>1.1.9合同价格：是指发包人用于支付承包人按照合同约定完成承包范围内全部工作的金额，包括合同履行过程中按合同约定发生的价格变化。</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 语言文字</w:t>
      </w:r>
      <w:bookmarkEnd w:id="551"/>
      <w:bookmarkEnd w:id="552"/>
      <w:bookmarkEnd w:id="55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1.2.1. 本合同除使用汉语外，还使用</w:t>
      </w:r>
      <w:r>
        <w:rPr>
          <w:rFonts w:hint="eastAsia"/>
          <w:color w:val="000000" w:themeColor="text1"/>
          <w:u w:val="single"/>
          <w14:textFill>
            <w14:solidFill>
              <w14:schemeClr w14:val="tx1"/>
            </w14:solidFill>
          </w14:textFill>
        </w:rPr>
        <w:t xml:space="preserve"> </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语言文字。</w:t>
      </w:r>
    </w:p>
    <w:p>
      <w:pPr>
        <w:pStyle w:val="77"/>
        <w:ind w:firstLine="480"/>
        <w:rPr>
          <w:color w:val="000000" w:themeColor="text1"/>
          <w14:textFill>
            <w14:solidFill>
              <w14:schemeClr w14:val="tx1"/>
            </w14:solidFill>
          </w14:textFill>
        </w:rPr>
      </w:pPr>
      <w:bookmarkStart w:id="554" w:name="_Toc44492552"/>
      <w:bookmarkStart w:id="555" w:name="_Toc3575"/>
      <w:bookmarkStart w:id="556" w:name="_Toc3979"/>
      <w:r>
        <w:rPr>
          <w:rFonts w:hint="eastAsia"/>
          <w:color w:val="000000" w:themeColor="text1"/>
          <w14:textFill>
            <w14:solidFill>
              <w14:schemeClr w14:val="tx1"/>
            </w14:solidFill>
          </w14:textFill>
        </w:rPr>
        <w:t>1.3.适用法律、标准及规范</w:t>
      </w:r>
      <w:bookmarkEnd w:id="554"/>
      <w:bookmarkEnd w:id="555"/>
      <w:bookmarkEnd w:id="55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 本合同需要特别明示所适用的法律、行政法规有：</w:t>
      </w:r>
      <w:r>
        <w:rPr>
          <w:rFonts w:hint="eastAsia"/>
          <w:color w:val="000000" w:themeColor="text1"/>
          <w:u w:val="single"/>
          <w14:textFill>
            <w14:solidFill>
              <w14:schemeClr w14:val="tx1"/>
            </w14:solidFill>
          </w14:textFill>
        </w:rPr>
        <w:t xml:space="preserve">   /                        </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1.3.2. 本合同适用的标准、规范为中华人民共和国现行的有关工程建设与施工的技术标准与规范，包括但不限于：</w:t>
      </w:r>
      <w:r>
        <w:rPr>
          <w:rFonts w:hint="eastAsia"/>
          <w:color w:val="000000" w:themeColor="text1"/>
          <w:u w:val="single"/>
          <w14:textFill>
            <w14:solidFill>
              <w14:schemeClr w14:val="tx1"/>
            </w14:solidFill>
          </w14:textFill>
        </w:rPr>
        <w:t>《建筑工程施工与验收规范》中适用于本工程的施工与验收规范、其他技术标准及要求在合同附件中约定。</w:t>
      </w:r>
      <w:r>
        <w:rPr>
          <w:rFonts w:hint="eastAsia"/>
          <w:color w:val="000000" w:themeColor="text1"/>
          <w14:textFill>
            <w14:solidFill>
              <w14:schemeClr w14:val="tx1"/>
            </w14:solidFill>
          </w14:textFill>
        </w:rPr>
        <w:t xml:space="preserve"> </w:t>
      </w:r>
    </w:p>
    <w:p>
      <w:pPr>
        <w:pStyle w:val="52"/>
        <w:ind w:firstLine="42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1.4</w:t>
      </w:r>
      <w:r>
        <w:rPr>
          <w:rFonts w:eastAsia="黑体"/>
          <w:bCs/>
          <w:color w:val="000000" w:themeColor="text1"/>
          <w:kern w:val="2"/>
          <w:sz w:val="24"/>
          <w14:textFill>
            <w14:solidFill>
              <w14:schemeClr w14:val="tx1"/>
            </w14:solidFill>
          </w14:textFill>
        </w:rPr>
        <w:t xml:space="preserve"> </w:t>
      </w:r>
      <w:r>
        <w:rPr>
          <w:rFonts w:hint="eastAsia" w:eastAsia="黑体"/>
          <w:bCs/>
          <w:color w:val="000000" w:themeColor="text1"/>
          <w:kern w:val="2"/>
          <w:sz w:val="24"/>
          <w14:textFill>
            <w14:solidFill>
              <w14:schemeClr w14:val="tx1"/>
            </w14:solidFill>
          </w14:textFill>
        </w:rPr>
        <w:t>合同文件的优先顺序</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1.4.1 通用条款1.4.1修订为：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下列文件均为合同的组成部分，互为补充和解释。若合同文件中对本工程质量、进度、安全等要求有不一致的，分包人应在施工前通过承包人向发包人提出，除发包人明确指示适用何种规定外，以对分包人义务、责任要求高者严者为准；其他内容出现不一致的，除本合同另有明文规定外，按以下排列在前者为准，同一顺序文件出现不一致的，以时间在后者为准；经发包人认定分包人的有关承诺比顺序在前的文件对发包人更有利的，就该承诺事项以该特定承诺为准。</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1）本合同的补充合同（若有）；</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2）协议书；</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3）中标通知书；</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4）本合同专用条款、合同附件；</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5）通用条款</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6）技术标准和要求；</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7）图纸；</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8）已标价工程量清单；</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投标文件（另册，但投标文件以符合招标文件和经招标人书面同意者为准，投标文件承诺的投标人的义务、责任比招标文件更高更严者，适用该等对招标人有利的承诺；投标文件低于招标文件要求的或对招标人不利的，以招标文件为准。）；</w:t>
      </w:r>
    </w:p>
    <w:p>
      <w:pPr>
        <w:pStyle w:val="52"/>
        <w:ind w:left="42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10）招标文件（另册）；</w:t>
      </w:r>
    </w:p>
    <w:p>
      <w:pPr>
        <w:pStyle w:val="52"/>
        <w:ind w:firstLine="840" w:firstLineChars="400"/>
        <w:rPr>
          <w:color w:val="000000" w:themeColor="text1"/>
          <w14:textFill>
            <w14:solidFill>
              <w14:schemeClr w14:val="tx1"/>
            </w14:solidFill>
          </w14:textFill>
        </w:rPr>
      </w:pPr>
      <w:r>
        <w:rPr>
          <w:rFonts w:hint="eastAsia"/>
          <w:color w:val="000000" w:themeColor="text1"/>
          <w14:textFill>
            <w14:solidFill>
              <w14:schemeClr w14:val="tx1"/>
            </w14:solidFill>
          </w14:textFill>
        </w:rPr>
        <w:t>11）经双方认可的其他有关书面文件。</w:t>
      </w:r>
    </w:p>
    <w:p>
      <w:pPr>
        <w:pStyle w:val="77"/>
        <w:ind w:firstLine="480"/>
        <w:rPr>
          <w:color w:val="000000" w:themeColor="text1"/>
          <w14:textFill>
            <w14:solidFill>
              <w14:schemeClr w14:val="tx1"/>
            </w14:solidFill>
          </w14:textFill>
        </w:rPr>
      </w:pPr>
      <w:bookmarkStart w:id="557" w:name="_Toc6960"/>
      <w:bookmarkStart w:id="558" w:name="_Toc105"/>
      <w:bookmarkStart w:id="559" w:name="_Toc44492553"/>
      <w:r>
        <w:rPr>
          <w:rFonts w:hint="eastAsia"/>
          <w:color w:val="000000" w:themeColor="text1"/>
          <w14:textFill>
            <w14:solidFill>
              <w14:schemeClr w14:val="tx1"/>
            </w14:solidFill>
          </w14:textFill>
        </w:rPr>
        <w:t>1.6. 图纸和分包人文件</w:t>
      </w:r>
      <w:bookmarkEnd w:id="557"/>
      <w:bookmarkEnd w:id="558"/>
      <w:bookmarkEnd w:id="559"/>
    </w:p>
    <w:p>
      <w:pPr>
        <w:pStyle w:val="75"/>
        <w:ind w:firstLine="422"/>
        <w:rPr>
          <w:color w:val="000000" w:themeColor="text1"/>
          <w14:textFill>
            <w14:solidFill>
              <w14:schemeClr w14:val="tx1"/>
            </w14:solidFill>
          </w14:textFill>
        </w:rPr>
      </w:pPr>
      <w:bookmarkStart w:id="560" w:name="_Toc24632"/>
      <w:r>
        <w:rPr>
          <w:rFonts w:hint="eastAsia"/>
          <w:color w:val="000000" w:themeColor="text1"/>
          <w14:textFill>
            <w14:solidFill>
              <w14:schemeClr w14:val="tx1"/>
            </w14:solidFill>
          </w14:textFill>
        </w:rPr>
        <w:t>1.6.1. 承包人提供的图纸</w:t>
      </w:r>
      <w:bookmarkEnd w:id="56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承包人在</w:t>
      </w:r>
      <w:r>
        <w:rPr>
          <w:rFonts w:hint="eastAsia"/>
          <w:color w:val="000000" w:themeColor="text1"/>
          <w:u w:val="single"/>
          <w14:textFill>
            <w14:solidFill>
              <w14:schemeClr w14:val="tx1"/>
            </w14:solidFill>
          </w14:textFill>
        </w:rPr>
        <w:t xml:space="preserve"> 工程开工前 </w:t>
      </w:r>
      <w:r>
        <w:rPr>
          <w:rFonts w:hint="eastAsia"/>
          <w:color w:val="000000" w:themeColor="text1"/>
          <w14:textFill>
            <w14:solidFill>
              <w14:schemeClr w14:val="tx1"/>
            </w14:solidFill>
          </w14:textFill>
        </w:rPr>
        <w:t>向分包人提供</w:t>
      </w:r>
      <w:r>
        <w:rPr>
          <w:rFonts w:hint="eastAsia"/>
          <w:color w:val="000000" w:themeColor="text1"/>
          <w:u w:val="single"/>
          <w14:textFill>
            <w14:solidFill>
              <w14:schemeClr w14:val="tx1"/>
            </w14:solidFill>
          </w14:textFill>
        </w:rPr>
        <w:t xml:space="preserve">  施工图纸  </w:t>
      </w:r>
      <w:r>
        <w:rPr>
          <w:rFonts w:hint="eastAsia"/>
          <w:color w:val="000000" w:themeColor="text1"/>
          <w14:textFill>
            <w14:solidFill>
              <w14:schemeClr w14:val="tx1"/>
            </w14:solidFill>
          </w14:textFill>
        </w:rPr>
        <w:t>一式</w:t>
      </w:r>
      <w:r>
        <w:rPr>
          <w:rFonts w:hint="eastAsia"/>
          <w:color w:val="000000" w:themeColor="text1"/>
          <w:u w:val="single"/>
          <w14:textFill>
            <w14:solidFill>
              <w14:schemeClr w14:val="tx1"/>
            </w14:solidFill>
          </w14:textFill>
        </w:rPr>
        <w:t xml:space="preserve">肆 </w:t>
      </w:r>
      <w:r>
        <w:rPr>
          <w:rFonts w:hint="eastAsia"/>
          <w:color w:val="000000" w:themeColor="text1"/>
          <w14:textFill>
            <w14:solidFill>
              <w14:schemeClr w14:val="tx1"/>
            </w14:solidFill>
          </w14:textFill>
        </w:rPr>
        <w:t>份（含分包人制作竣工图所用的</w:t>
      </w:r>
      <w:r>
        <w:rPr>
          <w:rFonts w:hint="eastAsia"/>
          <w:color w:val="000000" w:themeColor="text1"/>
          <w:u w:val="single"/>
          <w14:textFill>
            <w14:solidFill>
              <w14:schemeClr w14:val="tx1"/>
            </w14:solidFill>
          </w14:textFill>
        </w:rPr>
        <w:t>叁</w:t>
      </w:r>
      <w:r>
        <w:rPr>
          <w:rFonts w:hint="eastAsia"/>
          <w:color w:val="000000" w:themeColor="text1"/>
          <w14:textFill>
            <w14:solidFill>
              <w14:schemeClr w14:val="tx1"/>
            </w14:solidFill>
          </w14:textFill>
        </w:rPr>
        <w:t>套）。</w:t>
      </w:r>
    </w:p>
    <w:p>
      <w:pPr>
        <w:pStyle w:val="75"/>
        <w:ind w:firstLine="422"/>
        <w:rPr>
          <w:color w:val="000000" w:themeColor="text1"/>
          <w14:textFill>
            <w14:solidFill>
              <w14:schemeClr w14:val="tx1"/>
            </w14:solidFill>
          </w14:textFill>
        </w:rPr>
      </w:pPr>
      <w:bookmarkStart w:id="561" w:name="_Toc11577"/>
      <w:r>
        <w:rPr>
          <w:rFonts w:hint="eastAsia"/>
          <w:color w:val="000000" w:themeColor="text1"/>
          <w14:textFill>
            <w14:solidFill>
              <w14:schemeClr w14:val="tx1"/>
            </w14:solidFill>
          </w14:textFill>
        </w:rPr>
        <w:t>1.6.2. 分包人提供的图纸</w:t>
      </w:r>
      <w:bookmarkEnd w:id="561"/>
    </w:p>
    <w:p>
      <w:pPr>
        <w:pStyle w:val="52"/>
        <w:ind w:firstLine="420"/>
        <w:rPr>
          <w:rFonts w:ascii="仿宋" w:hAnsi="仿宋" w:eastAsia="仿宋" w:cs="宋体"/>
          <w:color w:val="000000" w:themeColor="text1"/>
          <w14:textFill>
            <w14:solidFill>
              <w14:schemeClr w14:val="tx1"/>
            </w14:solidFill>
          </w14:textFill>
        </w:rPr>
      </w:pPr>
      <w:r>
        <w:rPr>
          <w:rFonts w:hint="eastAsia" w:ascii="仿宋" w:hAnsi="仿宋" w:eastAsia="仿宋" w:cs="宋体"/>
          <w:color w:val="000000" w:themeColor="text1"/>
          <w14:textFill>
            <w14:solidFill>
              <w14:schemeClr w14:val="tx1"/>
            </w14:solidFill>
          </w14:textFill>
        </w:rPr>
        <w:t>1)</w:t>
      </w:r>
      <w:r>
        <w:rPr>
          <w:rFonts w:hint="eastAsia" w:ascii="仿宋" w:hAnsi="仿宋" w:eastAsia="仿宋" w:cs="宋体"/>
          <w:color w:val="000000" w:themeColor="text1"/>
          <w14:textFill>
            <w14:solidFill>
              <w14:schemeClr w14:val="tx1"/>
            </w14:solidFill>
          </w14:textFill>
        </w:rPr>
        <w:tab/>
      </w:r>
      <w:r>
        <w:rPr>
          <w:rFonts w:hint="eastAsia" w:ascii="仿宋" w:hAnsi="仿宋" w:eastAsia="仿宋" w:cs="宋体"/>
          <w:color w:val="000000" w:themeColor="text1"/>
          <w14:textFill>
            <w14:solidFill>
              <w14:schemeClr w14:val="tx1"/>
            </w14:solidFill>
          </w14:textFill>
        </w:rPr>
        <w:t>分包人需提交的深化设计图纸：具体详附件2。</w:t>
      </w:r>
    </w:p>
    <w:p>
      <w:pPr>
        <w:pStyle w:val="52"/>
        <w:ind w:firstLine="42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提交的数量为：壹式八份。所提交的资料需同时包括纸质版与电子版（CAD文档与PDF文档）。</w:t>
      </w:r>
    </w:p>
    <w:p>
      <w:pPr>
        <w:pStyle w:val="52"/>
        <w:ind w:firstLine="420"/>
        <w:rPr>
          <w:color w:val="000000" w:themeColor="text1"/>
          <w14:textFill>
            <w14:solidFill>
              <w14:schemeClr w14:val="tx1"/>
            </w14:solidFill>
          </w14:textFill>
        </w:rPr>
      </w:pPr>
      <w:bookmarkStart w:id="562" w:name="_Toc495653031"/>
      <w:bookmarkStart w:id="563" w:name="_Toc496532146"/>
      <w:bookmarkStart w:id="564" w:name="_Toc495652728"/>
      <w:bookmarkStart w:id="565" w:name="_Toc496531120"/>
      <w:bookmarkStart w:id="566" w:name="_Toc495916046"/>
      <w:bookmarkStart w:id="567" w:name="_Toc498960541"/>
      <w:r>
        <w:rPr>
          <w:rFonts w:hint="eastAsia"/>
          <w:color w:val="000000" w:themeColor="text1"/>
          <w14:textFill>
            <w14:solidFill>
              <w14:schemeClr w14:val="tx1"/>
            </w14:solidFill>
          </w14:textFill>
        </w:rPr>
        <w:t>深化设计的相关费用、施工期间因各方原因之深化设计修改费用、深化设计图审核费及深化设计出图费用已含于本合同签约合同价格中，由分包人承担，承包人不再另行支付。分包人在图纸会审后20天内完成施工图纸节点方案深化设计。否则，每超过一天，分包人须支付1万元/天的违约金，且不免除分包人需完成的深化设计任务。</w:t>
      </w:r>
      <w:bookmarkEnd w:id="562"/>
      <w:bookmarkEnd w:id="563"/>
      <w:bookmarkEnd w:id="564"/>
      <w:bookmarkEnd w:id="565"/>
      <w:bookmarkEnd w:id="566"/>
      <w:bookmarkEnd w:id="56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分包人提供的竣工图的份数：竣工图纸壹式叁份及相应的电子磁盘资料叁套。</w:t>
      </w:r>
    </w:p>
    <w:p>
      <w:pPr>
        <w:pStyle w:val="52"/>
        <w:ind w:firstLine="420"/>
        <w:rPr>
          <w:bCs/>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其他需分包人提供的图纸及其要求：</w:t>
      </w:r>
      <w:r>
        <w:rPr>
          <w:rFonts w:hint="eastAsia"/>
          <w:bCs/>
          <w:color w:val="000000" w:themeColor="text1"/>
          <w14:textFill>
            <w14:solidFill>
              <w14:schemeClr w14:val="tx1"/>
            </w14:solidFill>
          </w14:textFill>
        </w:rPr>
        <w:t>竣工资料及竣工图纸必须准确真实的反映实际施工情况（含电子版文件叁套）。竣工图（含整改前、整改后）由分包人编制，相关费用（包括但不限于编制费及出图费（如需）由分包人承担）在合同签约合同价格中综合考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  深化设计相关要求：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由分包人负责专业工程设计深化的，深化设计费用已在投标报价中综合考虑，不另行支付。设计深化是在原招标图及下发施工图基础上结合现场实际情况对图纸进行完善、补充、细化后，绘制成具有可实施性的现场施工图纸，通过发包人审查，图形合一，直接指导现场施工。深化设计文件深度要满足施工、维护等工程需求，包含但不限于以下内容：图纸、计算书、技术文档、调试安装手册等。深化设计文件需要符合本工程资质的设计院盖章。</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深化设计必须实现原设计所有功能，并不低于原有设计要求。不因设计深化图纸经发包人审核确认而免除分包人深化设计后图纸不满足原方案设计、技术要求、设计施工规范之违约责任。经审批深化设计后，本工程或分项工程或子系统的功能、需求、档次、材质、材料规格超出（优于）原设计的，合同价款不予增加；本工程或分项工程或子系统的功能、需求、档次、材质、材料规格低于原设计的，合同价款相应调减。</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③分包人提交的深化设计图纸必须一次性满足发包人和承包人的深化设计要求，否则，每超过一次，分包人须按专用条款第22.1条向承包人承担违约责任，且不免除分包人需完成的深化设计义务。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④施工方案由分包人负责编制，承包人及发包人确认后方可实施。符合以下特点的工作需要编制施工方案：危险性较大、工序较多、工作时间长、涉及多 个单位配合协调及其他需要经承包人审核后报发包人批准方可实施的工作。</w:t>
      </w:r>
    </w:p>
    <w:p>
      <w:pPr>
        <w:pStyle w:val="52"/>
        <w:ind w:firstLine="420"/>
        <w:rPr>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⑤</w:t>
      </w:r>
      <w:r>
        <w:rPr>
          <w:rFonts w:hint="eastAsia"/>
          <w:color w:val="000000" w:themeColor="text1"/>
          <w14:textFill>
            <w14:solidFill>
              <w14:schemeClr w14:val="tx1"/>
            </w14:solidFill>
          </w14:textFill>
        </w:rPr>
        <w:t>如分包人的施工组织设计无法满足工期要求的，由分包人自行优化达到发包人和承包人的工期要求，相关费用由分包人承担。</w:t>
      </w:r>
    </w:p>
    <w:p>
      <w:pPr>
        <w:widowControl/>
        <w:spacing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color w:val="000000" w:themeColor="text1"/>
          <w14:textFill>
            <w14:solidFill>
              <w14:schemeClr w14:val="tx1"/>
            </w14:solidFill>
          </w14:textFill>
        </w:rPr>
        <w:t>⑥</w:t>
      </w:r>
      <w:r>
        <w:rPr>
          <w:rFonts w:hint="eastAsia" w:ascii="Times New Roman" w:hAnsi="Times New Roman" w:eastAsia="仿宋_GB2312"/>
          <w:color w:val="000000" w:themeColor="text1"/>
          <w:kern w:val="0"/>
          <w:szCs w:val="32"/>
          <w14:textFill>
            <w14:solidFill>
              <w14:schemeClr w14:val="tx1"/>
            </w14:solidFill>
          </w14:textFill>
        </w:rPr>
        <w:t>由分包人负责完成的图纸深化设计、施工组织设计等存在缺陷造成的任何支出，由分包人承担。</w:t>
      </w:r>
    </w:p>
    <w:p>
      <w:pPr>
        <w:widowControl/>
        <w:spacing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宋体" w:hAnsi="宋体"/>
          <w:color w:val="000000" w:themeColor="text1"/>
          <w:kern w:val="0"/>
          <w:szCs w:val="32"/>
          <w14:textFill>
            <w14:solidFill>
              <w14:schemeClr w14:val="tx1"/>
            </w14:solidFill>
          </w14:textFill>
        </w:rPr>
        <w:t>⑦</w:t>
      </w:r>
      <w:r>
        <w:rPr>
          <w:rFonts w:hint="eastAsia" w:ascii="Times New Roman" w:hAnsi="Times New Roman" w:eastAsia="仿宋_GB2312"/>
          <w:color w:val="000000" w:themeColor="text1"/>
          <w:kern w:val="0"/>
          <w:szCs w:val="32"/>
          <w14:textFill>
            <w14:solidFill>
              <w14:schemeClr w14:val="tx1"/>
            </w14:solidFill>
          </w14:textFill>
        </w:rPr>
        <w:t>深化设计的内容包括但不限于：雕塑、软装、铺装、景墙、铝板、水景、乔木点等施工过程中设计到二次设计内容。</w:t>
      </w:r>
    </w:p>
    <w:p>
      <w:pPr>
        <w:pStyle w:val="77"/>
        <w:ind w:firstLine="480"/>
        <w:rPr>
          <w:color w:val="000000" w:themeColor="text1"/>
          <w14:textFill>
            <w14:solidFill>
              <w14:schemeClr w14:val="tx1"/>
            </w14:solidFill>
          </w14:textFill>
        </w:rPr>
      </w:pPr>
      <w:bookmarkStart w:id="568" w:name="_Toc28022"/>
      <w:bookmarkStart w:id="569" w:name="_Toc31011"/>
      <w:bookmarkStart w:id="570" w:name="_Toc44492554"/>
      <w:r>
        <w:rPr>
          <w:rFonts w:hint="eastAsia"/>
          <w:color w:val="000000" w:themeColor="text1"/>
          <w14:textFill>
            <w14:solidFill>
              <w14:schemeClr w14:val="tx1"/>
            </w14:solidFill>
          </w14:textFill>
        </w:rPr>
        <w:t>1.9.</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文物和地下障碍物</w:t>
      </w:r>
      <w:bookmarkEnd w:id="568"/>
      <w:bookmarkEnd w:id="569"/>
      <w:bookmarkEnd w:id="57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1.9.1. 通用条款第1.9.1条中“由此导致工期延误超过7天的，顺延延误的工期。如发现后隐瞒不报，致使文物遭受破坏，责任者依法承担相应责任”修订为：由此导致工期延误超过7天的，顺延延误超过7天（不含本数）以上部分的工期，工期延误在7天及以内的，工期不顺延。如发现后隐瞒不报，致使文物遭受破坏，责任者依法承担相应责任。</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.9.3. </w:t>
      </w:r>
      <w:r>
        <w:rPr>
          <w:color w:val="000000" w:themeColor="text1"/>
          <w14:textFill>
            <w14:solidFill>
              <w14:schemeClr w14:val="tx1"/>
            </w14:solidFill>
          </w14:textFill>
        </w:rPr>
        <w:t>发包人和承包人向分包人提供的有关现场的所有基础资料和数据（包括地下管线、气象和水文观测、地质勘察资料和地下工程等有关基础资料），是发包人和承包人现有的能供分包人利用的资料，发包人和承包人对分包人由此而做出的理解、推论、结论和决策等概不负责。分包人有义务对所有基础资料的真实性、准确性和完整性进行复核确认，不得以资料不齐全、不真实、不准确等向发包人或承包人提出索赔。</w:t>
      </w:r>
    </w:p>
    <w:p>
      <w:pPr>
        <w:pStyle w:val="73"/>
        <w:rPr>
          <w:color w:val="000000" w:themeColor="text1"/>
          <w14:textFill>
            <w14:solidFill>
              <w14:schemeClr w14:val="tx1"/>
            </w14:solidFill>
          </w14:textFill>
        </w:rPr>
      </w:pPr>
      <w:bookmarkStart w:id="571" w:name="_Toc44492555"/>
      <w:bookmarkStart w:id="572" w:name="_Toc2911"/>
      <w:bookmarkStart w:id="573" w:name="_Toc38987271"/>
      <w:bookmarkStart w:id="574" w:name="_Toc44228154"/>
      <w:bookmarkStart w:id="575" w:name="_Toc22419"/>
      <w:bookmarkStart w:id="576" w:name="_Toc19507"/>
      <w:bookmarkStart w:id="577" w:name="_Toc91082435"/>
      <w:r>
        <w:rPr>
          <w:rFonts w:hint="eastAsia"/>
          <w:color w:val="000000" w:themeColor="text1"/>
          <w14:textFill>
            <w14:solidFill>
              <w14:schemeClr w14:val="tx1"/>
            </w14:solidFill>
          </w14:textFill>
        </w:rPr>
        <w:t>2.</w:t>
      </w:r>
      <w:bookmarkEnd w:id="571"/>
      <w:bookmarkEnd w:id="572"/>
      <w:bookmarkEnd w:id="573"/>
      <w:bookmarkEnd w:id="574"/>
      <w:bookmarkEnd w:id="575"/>
      <w:bookmarkEnd w:id="576"/>
      <w:r>
        <w:rPr>
          <w:rFonts w:hint="eastAsia"/>
          <w:color w:val="000000" w:themeColor="text1"/>
          <w14:textFill>
            <w14:solidFill>
              <w14:schemeClr w14:val="tx1"/>
            </w14:solidFill>
          </w14:textFill>
        </w:rPr>
        <w:t>承包人</w:t>
      </w:r>
      <w:bookmarkEnd w:id="577"/>
    </w:p>
    <w:p>
      <w:pPr>
        <w:pStyle w:val="77"/>
        <w:ind w:firstLine="480"/>
        <w:rPr>
          <w:color w:val="000000" w:themeColor="text1"/>
          <w14:textFill>
            <w14:solidFill>
              <w14:schemeClr w14:val="tx1"/>
            </w14:solidFill>
          </w14:textFill>
        </w:rPr>
      </w:pPr>
      <w:bookmarkStart w:id="578" w:name="_Toc9080"/>
      <w:bookmarkStart w:id="579" w:name="_Toc5409"/>
      <w:bookmarkStart w:id="580" w:name="_Toc44492556"/>
      <w:r>
        <w:rPr>
          <w:rFonts w:hint="eastAsia"/>
          <w:color w:val="000000" w:themeColor="text1"/>
          <w14:textFill>
            <w14:solidFill>
              <w14:schemeClr w14:val="tx1"/>
            </w14:solidFill>
          </w14:textFill>
        </w:rPr>
        <w:t>2.1. 承包人代表</w:t>
      </w:r>
      <w:bookmarkEnd w:id="578"/>
      <w:bookmarkEnd w:id="579"/>
      <w:bookmarkEnd w:id="58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2.1.1. 承包人代表的姓名：</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，职务：</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，联系电话：</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2.1.2.承包人赋予承包人代表的其他权限：</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 xml:space="preserve">。 </w:t>
      </w:r>
    </w:p>
    <w:p>
      <w:pPr>
        <w:pStyle w:val="75"/>
        <w:ind w:firstLine="422"/>
        <w:rPr>
          <w:color w:val="000000" w:themeColor="text1"/>
          <w14:textFill>
            <w14:solidFill>
              <w14:schemeClr w14:val="tx1"/>
            </w14:solidFill>
          </w14:textFill>
        </w:rPr>
      </w:pPr>
      <w:bookmarkStart w:id="581" w:name="_Toc28717"/>
      <w:r>
        <w:rPr>
          <w:rFonts w:hint="eastAsia"/>
          <w:color w:val="000000" w:themeColor="text1"/>
          <w14:textFill>
            <w14:solidFill>
              <w14:schemeClr w14:val="tx1"/>
            </w14:solidFill>
          </w14:textFill>
        </w:rPr>
        <w:t>2.2. 承包人一般权利义务</w:t>
      </w:r>
      <w:bookmarkEnd w:id="581"/>
    </w:p>
    <w:p>
      <w:pPr>
        <w:pStyle w:val="75"/>
        <w:ind w:firstLine="420"/>
        <w:rPr>
          <w:b w:val="0"/>
          <w:color w:val="000000" w:themeColor="text1"/>
          <w14:textFill>
            <w14:solidFill>
              <w14:schemeClr w14:val="tx1"/>
            </w14:solidFill>
          </w14:textFill>
        </w:rPr>
      </w:pPr>
      <w:bookmarkStart w:id="582" w:name="_Toc1856"/>
      <w:bookmarkStart w:id="583" w:name="_Toc21967"/>
      <w:r>
        <w:rPr>
          <w:rFonts w:hint="eastAsia"/>
          <w:b w:val="0"/>
          <w:color w:val="000000" w:themeColor="text1"/>
          <w14:textFill>
            <w14:solidFill>
              <w14:schemeClr w14:val="tx1"/>
            </w14:solidFill>
          </w14:textFill>
        </w:rPr>
        <w:t>2.2.1</w:t>
      </w:r>
      <w:r>
        <w:rPr>
          <w:b w:val="0"/>
          <w:color w:val="000000" w:themeColor="text1"/>
          <w14:textFill>
            <w14:solidFill>
              <w14:schemeClr w14:val="tx1"/>
            </w14:solidFill>
          </w14:textFill>
        </w:rPr>
        <w:t xml:space="preserve">. </w:t>
      </w:r>
      <w:r>
        <w:rPr>
          <w:rFonts w:eastAsia="仿宋_GB2312"/>
          <w:b w:val="0"/>
          <w:color w:val="000000" w:themeColor="text1"/>
          <w14:textFill>
            <w14:solidFill>
              <w14:schemeClr w14:val="tx1"/>
            </w14:solidFill>
          </w14:textFill>
        </w:rPr>
        <w:t>经发包人书面同意</w:t>
      </w:r>
      <w:r>
        <w:rPr>
          <w:rFonts w:hint="eastAsia" w:eastAsia="仿宋_GB2312"/>
          <w:b w:val="0"/>
          <w:color w:val="000000" w:themeColor="text1"/>
          <w14:textFill>
            <w14:solidFill>
              <w14:schemeClr w14:val="tx1"/>
            </w14:solidFill>
          </w14:textFill>
        </w:rPr>
        <w:t>，承包人在实施过程中根据本工程实际情况需要有权增减部分内容。</w:t>
      </w:r>
      <w:bookmarkEnd w:id="582"/>
    </w:p>
    <w:p>
      <w:pPr>
        <w:pStyle w:val="75"/>
        <w:ind w:firstLine="420"/>
        <w:rPr>
          <w:rFonts w:ascii="仿宋" w:hAnsi="仿宋" w:eastAsia="仿宋"/>
          <w:b w:val="0"/>
          <w:color w:val="000000" w:themeColor="text1"/>
          <w14:textFill>
            <w14:solidFill>
              <w14:schemeClr w14:val="tx1"/>
            </w14:solidFill>
          </w14:textFill>
        </w:rPr>
      </w:pPr>
      <w:r>
        <w:rPr>
          <w:rFonts w:hint="eastAsia" w:ascii="仿宋" w:hAnsi="仿宋" w:eastAsia="仿宋"/>
          <w:b w:val="0"/>
          <w:color w:val="000000" w:themeColor="text1"/>
          <w14:textFill>
            <w14:solidFill>
              <w14:schemeClr w14:val="tx1"/>
            </w14:solidFill>
          </w14:textFill>
        </w:rPr>
        <w:t>2.2.4. 承包人完成以下工作：</w:t>
      </w:r>
      <w:bookmarkEnd w:id="58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 通用条款第2.2.4条第1）款增加内容：设计交底后，分包人应当继续审查相关图纸中可能存在的不符合法律规定、适用标准、施工规范的任何错误、冲突，并在</w:t>
      </w:r>
      <w:r>
        <w:rPr>
          <w:color w:val="000000" w:themeColor="text1"/>
          <w:u w:val="single"/>
          <w14:textFill>
            <w14:solidFill>
              <w14:schemeClr w14:val="tx1"/>
            </w14:solidFill>
          </w14:textFill>
        </w:rPr>
        <w:t>7</w:t>
      </w:r>
      <w:r>
        <w:rPr>
          <w:rFonts w:hint="eastAsia"/>
          <w:color w:val="000000" w:themeColor="text1"/>
          <w14:textFill>
            <w14:solidFill>
              <w14:schemeClr w14:val="tx1"/>
            </w14:solidFill>
          </w14:textFill>
        </w:rPr>
        <w:t>天内以书面方式报承包人、发包人及监理人。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其他由承包人完成的工作： </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分包人进场后，承包人提供水平控制线，进行现场交验。</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分包人进场后，向分包人提供施工场地的工程地质和地上（下）管线资料。分包人对地上（下）管线负有保护责任，如因分包人原因造成损坏，由分包人负责维修并承担费用。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2.2.5 施</w:t>
      </w:r>
      <w:r>
        <w:rPr>
          <w:color w:val="000000" w:themeColor="text1"/>
          <w14:textFill>
            <w14:solidFill>
              <w14:schemeClr w14:val="tx1"/>
            </w14:solidFill>
          </w14:textFill>
        </w:rPr>
        <w:t>工所需水、电、电讯线路说明：</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）关于施工所需水、电的具体约定：施工所需水、电由承包人位提供， 现场施工用的水电费已由发包人支付给承包人，分包人不需再向承包人支付水电费；生活区的水电费由分包人向承包人支付。</w:t>
      </w:r>
    </w:p>
    <w:p>
      <w:pPr>
        <w:pStyle w:val="52"/>
        <w:ind w:firstLine="422"/>
        <w:rPr>
          <w:color w:val="000000" w:themeColor="text1"/>
          <w14:textFill>
            <w14:solidFill>
              <w14:schemeClr w14:val="tx1"/>
            </w14:solidFill>
          </w14:textFill>
        </w:rPr>
      </w:pPr>
      <w:bookmarkStart w:id="584" w:name="_Toc18813"/>
      <w:r>
        <w:rPr>
          <w:rFonts w:hint="eastAsia"/>
          <w:b/>
          <w:color w:val="000000" w:themeColor="text1"/>
          <w14:textFill>
            <w14:solidFill>
              <w14:schemeClr w14:val="tx1"/>
            </w14:solidFill>
          </w14:textFill>
        </w:rPr>
        <w:t>2.2.6. 承包人委托分包人办理的工作</w:t>
      </w:r>
      <w:r>
        <w:rPr>
          <w:rFonts w:hint="eastAsia"/>
          <w:color w:val="000000" w:themeColor="text1"/>
          <w14:textFill>
            <w14:solidFill>
              <w14:schemeClr w14:val="tx1"/>
            </w14:solidFill>
          </w14:textFill>
        </w:rPr>
        <w:t>（包括但不限于）</w:t>
      </w:r>
      <w:r>
        <w:rPr>
          <w:rFonts w:hint="eastAsia"/>
          <w:b/>
          <w:color w:val="000000" w:themeColor="text1"/>
          <w14:textFill>
            <w14:solidFill>
              <w14:schemeClr w14:val="tx1"/>
            </w14:solidFill>
          </w14:textFill>
        </w:rPr>
        <w:t>：</w:t>
      </w:r>
      <w:bookmarkEnd w:id="58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1）负责办理本合同范围内工程开工至竣工验收所必须的行政许可、报审、报批、报备等手续（如需）。</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2）与承包人协助发包人办理相关设计图纸的审核、审查、备案及项目的报批、报建、验收等相关手续。</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3）负责协调施工过程中的相关职能部门及周边在建其他项目，包括且不限于：街道居委、公安派出所、交通部门、质安监、建管等（如需）。</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4）分包人完成以上工作内容所需的一切费用均包含在合同价款其他措施费用中，承包人无需另行支付费用。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 承包人应向分包人提供一份总包合同(有关承包工程的价格内容除外)的副本或复印件。分包人应全面了解总包合同的各项规定(有关承包工程的价格内容除外)。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2.2.8.除本合同条款另有约定，分包人应履行并承担总包合同中与分包工程有关的承包人的所有义务与责任，同时应避免因分包人自身行为或疏漏造成承包人违反总包合同中约定的承包人义务的情况发生。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2.2.9.分包人须服从承包人转发的发包人有关的指令。未经承包人允许，分包人不得以任何理由与发包人发生直接书面工作联系，分包人不得直接致函发包人，也不得直接接受发包人的指令。分包人提交文件、资料由承包人审核后（2个工作日内），再由承包人报送发包人。</w:t>
      </w:r>
    </w:p>
    <w:p>
      <w:pPr>
        <w:pStyle w:val="89"/>
        <w:ind w:firstLine="420"/>
        <w:rPr>
          <w:rFonts w:ascii="Times New Roman" w:hAnsi="Times New Roman" w:eastAsia="黑体"/>
          <w:color w:val="000000" w:themeColor="text1"/>
          <w:szCs w:val="32"/>
          <w14:textFill>
            <w14:solidFill>
              <w14:schemeClr w14:val="tx1"/>
            </w14:solidFill>
          </w14:textFill>
        </w:rPr>
      </w:pPr>
      <w:bookmarkStart w:id="585" w:name="_Toc44492557"/>
      <w:r>
        <w:rPr>
          <w:rFonts w:hint="eastAsia" w:ascii="仿宋_GB2312" w:hAnsi="Times New Roman" w:eastAsia="仿宋_GB2312"/>
          <w:color w:val="000000" w:themeColor="text1"/>
          <w14:textFill>
            <w14:solidFill>
              <w14:schemeClr w14:val="tx1"/>
            </w14:solidFill>
          </w14:textFill>
        </w:rPr>
        <w:t>2.</w:t>
      </w:r>
      <w:r>
        <w:rPr>
          <w:rFonts w:ascii="仿宋_GB2312" w:hAnsi="Times New Roman" w:eastAsia="仿宋_GB2312"/>
          <w:color w:val="000000" w:themeColor="text1"/>
          <w14:textFill>
            <w14:solidFill>
              <w14:schemeClr w14:val="tx1"/>
            </w14:solidFill>
          </w14:textFill>
        </w:rPr>
        <w:t>3</w:t>
      </w:r>
      <w:r>
        <w:rPr>
          <w:rFonts w:hint="eastAsia" w:ascii="Times New Roman" w:hAnsi="Times New Roman" w:eastAsia="黑体"/>
          <w:color w:val="000000" w:themeColor="text1"/>
          <w:szCs w:val="32"/>
          <w14:textFill>
            <w14:solidFill>
              <w14:schemeClr w14:val="tx1"/>
            </w14:solidFill>
          </w14:textFill>
        </w:rPr>
        <w:t>检查配合工作</w:t>
      </w:r>
      <w:bookmarkEnd w:id="585"/>
    </w:p>
    <w:p>
      <w:pPr>
        <w:pStyle w:val="52"/>
        <w:ind w:firstLine="424" w:firstLineChars="202"/>
        <w:rPr>
          <w:color w:val="000000" w:themeColor="text1"/>
          <w14:textFill>
            <w14:solidFill>
              <w14:schemeClr w14:val="tx1"/>
            </w14:solidFill>
          </w14:textFill>
        </w:rPr>
      </w:pPr>
      <w:r>
        <w:rPr>
          <w:color w:val="000000" w:themeColor="text1"/>
          <w14:textFill>
            <w14:solidFill>
              <w14:schemeClr w14:val="tx1"/>
            </w14:solidFill>
          </w14:textFill>
        </w:rPr>
        <w:t>2.3</w:t>
      </w:r>
      <w:r>
        <w:rPr>
          <w:rFonts w:hint="eastAsia"/>
          <w:color w:val="000000" w:themeColor="text1"/>
          <w14:textFill>
            <w14:solidFill>
              <w14:schemeClr w14:val="tx1"/>
            </w14:solidFill>
          </w14:textFill>
        </w:rPr>
        <w:t>.1 发包人将根据合同情况自主或引入第三方质量、安全等评估单位进行现场检查，检查内容包括但不限于现场实测实量、质量及安全风险、现场管理行为、安全文明、资料、人员等。承包人、分包人需对发包人下发的评价体系充分掌握、内部宣讲，并配合现场检查；发包人将按需对检查结果进行公布、下发整改单、排名及通报批评；必要时根据发包人的管理需要，可在通报栏处增加分包人董事长相片及姓名信息。</w:t>
      </w:r>
    </w:p>
    <w:p>
      <w:pPr>
        <w:pStyle w:val="73"/>
        <w:rPr>
          <w:color w:val="000000" w:themeColor="text1"/>
          <w14:textFill>
            <w14:solidFill>
              <w14:schemeClr w14:val="tx1"/>
            </w14:solidFill>
          </w14:textFill>
        </w:rPr>
      </w:pPr>
      <w:bookmarkStart w:id="586" w:name="_Toc8075"/>
      <w:bookmarkStart w:id="587" w:name="_Toc44492558"/>
      <w:bookmarkStart w:id="588" w:name="_Toc38987272"/>
      <w:bookmarkStart w:id="589" w:name="_Toc30903"/>
      <w:bookmarkStart w:id="590" w:name="_Toc16467"/>
      <w:bookmarkStart w:id="591" w:name="_Toc44228155"/>
      <w:bookmarkStart w:id="592" w:name="_Toc91082436"/>
      <w:r>
        <w:rPr>
          <w:rFonts w:hint="eastAsia"/>
          <w:color w:val="000000" w:themeColor="text1"/>
          <w14:textFill>
            <w14:solidFill>
              <w14:schemeClr w14:val="tx1"/>
            </w14:solidFill>
          </w14:textFill>
        </w:rPr>
        <w:t>3.监理人及造价咨询人</w:t>
      </w:r>
      <w:bookmarkEnd w:id="586"/>
      <w:bookmarkEnd w:id="587"/>
      <w:bookmarkEnd w:id="588"/>
      <w:bookmarkEnd w:id="589"/>
      <w:bookmarkEnd w:id="590"/>
      <w:bookmarkEnd w:id="591"/>
      <w:bookmarkEnd w:id="592"/>
    </w:p>
    <w:p>
      <w:pPr>
        <w:pStyle w:val="77"/>
        <w:ind w:firstLine="480"/>
        <w:rPr>
          <w:color w:val="000000" w:themeColor="text1"/>
          <w14:textFill>
            <w14:solidFill>
              <w14:schemeClr w14:val="tx1"/>
            </w14:solidFill>
          </w14:textFill>
        </w:rPr>
      </w:pPr>
      <w:bookmarkStart w:id="593" w:name="_Toc44492559"/>
      <w:bookmarkStart w:id="594" w:name="_Toc20538"/>
      <w:bookmarkStart w:id="595" w:name="_Toc22118"/>
      <w:r>
        <w:rPr>
          <w:rFonts w:hint="eastAsia"/>
          <w:color w:val="000000" w:themeColor="text1"/>
          <w14:textFill>
            <w14:solidFill>
              <w14:schemeClr w14:val="tx1"/>
            </w14:solidFill>
          </w14:textFill>
        </w:rPr>
        <w:t xml:space="preserve">3.1. </w:t>
      </w:r>
      <w:bookmarkEnd w:id="593"/>
      <w:bookmarkEnd w:id="594"/>
      <w:bookmarkEnd w:id="595"/>
      <w:r>
        <w:rPr>
          <w:rFonts w:hint="eastAsia"/>
          <w:color w:val="000000" w:themeColor="text1"/>
          <w14:textFill>
            <w14:solidFill>
              <w14:schemeClr w14:val="tx1"/>
            </w14:solidFill>
          </w14:textFill>
        </w:rPr>
        <w:t>监理人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3.1.2. 总监理工程师的姓名：</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，职务：</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，联系电话：</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3.1.3. 发包人另行委托的职权：</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 xml:space="preserve">。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3.1.4. 监理人需要取得发包人批准才能行使的其他职权为：</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 xml:space="preserve">。 </w:t>
      </w:r>
    </w:p>
    <w:p>
      <w:pPr>
        <w:pStyle w:val="77"/>
        <w:ind w:firstLine="480"/>
        <w:rPr>
          <w:color w:val="000000" w:themeColor="text1"/>
          <w14:textFill>
            <w14:solidFill>
              <w14:schemeClr w14:val="tx1"/>
            </w14:solidFill>
          </w14:textFill>
        </w:rPr>
      </w:pPr>
      <w:bookmarkStart w:id="596" w:name="_Toc17131"/>
      <w:bookmarkStart w:id="597" w:name="_Toc5085"/>
      <w:bookmarkStart w:id="598" w:name="_Toc44492560"/>
      <w:r>
        <w:rPr>
          <w:rFonts w:hint="eastAsia"/>
          <w:color w:val="000000" w:themeColor="text1"/>
          <w14:textFill>
            <w14:solidFill>
              <w14:schemeClr w14:val="tx1"/>
            </w14:solidFill>
          </w14:textFill>
        </w:rPr>
        <w:t>3.2监理人的指示</w:t>
      </w:r>
    </w:p>
    <w:p>
      <w:pPr>
        <w:pStyle w:val="77"/>
        <w:ind w:firstLine="420"/>
        <w:rPr>
          <w:rFonts w:eastAsia="仿宋_GB2312"/>
          <w:color w:val="000000" w:themeColor="text1"/>
          <w:kern w:val="0"/>
          <w:sz w:val="21"/>
          <w14:textFill>
            <w14:solidFill>
              <w14:schemeClr w14:val="tx1"/>
            </w14:solidFill>
          </w14:textFill>
        </w:rPr>
      </w:pPr>
      <w:r>
        <w:rPr>
          <w:rFonts w:hint="eastAsia" w:eastAsia="仿宋_GB2312"/>
          <w:color w:val="000000" w:themeColor="text1"/>
          <w:kern w:val="0"/>
          <w:sz w:val="21"/>
          <w14:textFill>
            <w14:solidFill>
              <w14:schemeClr w14:val="tx1"/>
            </w14:solidFill>
          </w14:textFill>
        </w:rPr>
        <w:t>3.2.2. 补充：分包人进场后发包人应向分包人提供《监理合同》并办理收发记录。若发包人未及时向分包人提供《监理合同》的，分包人有义务根据本合同3.2条约定向发包人索要相关资料。</w:t>
      </w:r>
    </w:p>
    <w:bookmarkEnd w:id="596"/>
    <w:bookmarkEnd w:id="597"/>
    <w:bookmarkEnd w:id="598"/>
    <w:p>
      <w:pPr>
        <w:pStyle w:val="73"/>
        <w:rPr>
          <w:color w:val="000000" w:themeColor="text1"/>
          <w14:textFill>
            <w14:solidFill>
              <w14:schemeClr w14:val="tx1"/>
            </w14:solidFill>
          </w14:textFill>
        </w:rPr>
      </w:pPr>
      <w:bookmarkStart w:id="599" w:name="_Toc44492561"/>
      <w:bookmarkStart w:id="600" w:name="_Toc19988"/>
      <w:bookmarkStart w:id="601" w:name="_Toc38987273"/>
      <w:bookmarkStart w:id="602" w:name="_Toc16975"/>
      <w:bookmarkStart w:id="603" w:name="_Toc44228156"/>
      <w:bookmarkStart w:id="604" w:name="_Toc24371"/>
      <w:bookmarkStart w:id="605" w:name="_Toc91082437"/>
      <w:r>
        <w:rPr>
          <w:rFonts w:hint="eastAsia"/>
          <w:color w:val="000000" w:themeColor="text1"/>
          <w14:textFill>
            <w14:solidFill>
              <w14:schemeClr w14:val="tx1"/>
            </w14:solidFill>
          </w14:textFill>
        </w:rPr>
        <w:t>4.</w:t>
      </w:r>
      <w:bookmarkEnd w:id="599"/>
      <w:bookmarkEnd w:id="600"/>
      <w:bookmarkEnd w:id="601"/>
      <w:bookmarkEnd w:id="602"/>
      <w:bookmarkEnd w:id="603"/>
      <w:bookmarkEnd w:id="604"/>
      <w:r>
        <w:rPr>
          <w:rFonts w:hint="eastAsia"/>
          <w:color w:val="000000" w:themeColor="text1"/>
          <w14:textFill>
            <w14:solidFill>
              <w14:schemeClr w14:val="tx1"/>
            </w14:solidFill>
          </w14:textFill>
        </w:rPr>
        <w:t>分包人</w:t>
      </w:r>
      <w:bookmarkEnd w:id="605"/>
    </w:p>
    <w:p>
      <w:pPr>
        <w:pStyle w:val="77"/>
        <w:ind w:firstLine="480"/>
        <w:rPr>
          <w:color w:val="000000" w:themeColor="text1"/>
          <w14:textFill>
            <w14:solidFill>
              <w14:schemeClr w14:val="tx1"/>
            </w14:solidFill>
          </w14:textFill>
        </w:rPr>
      </w:pPr>
      <w:bookmarkStart w:id="606" w:name="_Toc12934"/>
      <w:bookmarkStart w:id="607" w:name="_Toc19631"/>
      <w:bookmarkStart w:id="608" w:name="_Toc44492562"/>
      <w:r>
        <w:rPr>
          <w:rFonts w:hint="eastAsia"/>
          <w:color w:val="000000" w:themeColor="text1"/>
          <w14:textFill>
            <w14:solidFill>
              <w14:schemeClr w14:val="tx1"/>
            </w14:solidFill>
          </w14:textFill>
        </w:rPr>
        <w:t xml:space="preserve">4.1 </w:t>
      </w:r>
      <w:bookmarkEnd w:id="606"/>
      <w:bookmarkEnd w:id="607"/>
      <w:r>
        <w:rPr>
          <w:rFonts w:hint="eastAsia"/>
          <w:color w:val="000000" w:themeColor="text1"/>
          <w14:textFill>
            <w14:solidFill>
              <w14:schemeClr w14:val="tx1"/>
            </w14:solidFill>
          </w14:textFill>
        </w:rPr>
        <w:t>分包人的一般</w:t>
      </w:r>
      <w:r>
        <w:rPr>
          <w:color w:val="000000" w:themeColor="text1"/>
          <w14:textFill>
            <w14:solidFill>
              <w14:schemeClr w14:val="tx1"/>
            </w14:solidFill>
          </w14:textFill>
        </w:rPr>
        <w:t>义务</w:t>
      </w:r>
      <w:bookmarkEnd w:id="608"/>
    </w:p>
    <w:p>
      <w:pPr>
        <w:pStyle w:val="75"/>
        <w:ind w:firstLine="422"/>
        <w:rPr>
          <w:color w:val="000000" w:themeColor="text1"/>
          <w14:textFill>
            <w14:solidFill>
              <w14:schemeClr w14:val="tx1"/>
            </w14:solidFill>
          </w14:textFill>
        </w:rPr>
      </w:pPr>
      <w:bookmarkStart w:id="609" w:name="_Toc19231"/>
      <w:r>
        <w:rPr>
          <w:rFonts w:hint="eastAsia"/>
          <w:color w:val="000000" w:themeColor="text1"/>
          <w14:textFill>
            <w14:solidFill>
              <w14:schemeClr w14:val="tx1"/>
            </w14:solidFill>
          </w14:textFill>
        </w:rPr>
        <w:t>4.1.1.完成以下各项承包工作：</w:t>
      </w:r>
      <w:bookmarkEnd w:id="60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3）对分包人工作的补充约定如下：</w:t>
      </w:r>
    </w:p>
    <w:p>
      <w:pPr>
        <w:pStyle w:val="52"/>
        <w:ind w:firstLine="420"/>
        <w:rPr>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①</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分包人义务补充约定：</w:t>
      </w:r>
    </w:p>
    <w:p>
      <w:pPr>
        <w:pStyle w:val="52"/>
        <w:spacing w:before="31" w:after="31"/>
        <w:ind w:firstLine="420"/>
        <w:rPr>
          <w:color w:val="000000" w:themeColor="text1"/>
          <w14:textFill>
            <w14:solidFill>
              <w14:schemeClr w14:val="tx1"/>
            </w14:solidFill>
          </w14:textFill>
        </w:rPr>
      </w:pPr>
      <w:r>
        <w:rPr>
          <w:color w:val="000000" w:themeColor="text1"/>
          <w14:textFill>
            <w14:solidFill>
              <w14:schemeClr w14:val="tx1"/>
            </w14:solidFill>
          </w14:textFill>
        </w:rPr>
        <w:t>按照合同约定的标准、规范、工程的功能、规模、考核目标和竣工日期，完成</w:t>
      </w:r>
      <w:r>
        <w:rPr>
          <w:rFonts w:hint="eastAsia"/>
          <w:color w:val="000000" w:themeColor="text1"/>
          <w14:textFill>
            <w14:solidFill>
              <w14:schemeClr w14:val="tx1"/>
            </w14:solidFill>
          </w14:textFill>
        </w:rPr>
        <w:t>本合同承包范围内的深化</w:t>
      </w:r>
      <w:r>
        <w:rPr>
          <w:color w:val="000000" w:themeColor="text1"/>
          <w14:textFill>
            <w14:solidFill>
              <w14:schemeClr w14:val="tx1"/>
            </w14:solidFill>
          </w14:textFill>
        </w:rPr>
        <w:t>设计、采购、施工、调试、竣工试验和竣工</w:t>
      </w:r>
      <w:r>
        <w:rPr>
          <w:rFonts w:hint="eastAsia"/>
          <w:color w:val="000000" w:themeColor="text1"/>
          <w14:textFill>
            <w14:solidFill>
              <w14:schemeClr w14:val="tx1"/>
            </w14:solidFill>
          </w14:textFill>
        </w:rPr>
        <w:t>备案、质量保修等</w:t>
      </w:r>
      <w:r>
        <w:rPr>
          <w:color w:val="000000" w:themeColor="text1"/>
          <w14:textFill>
            <w14:solidFill>
              <w14:schemeClr w14:val="tx1"/>
            </w14:solidFill>
          </w14:textFill>
        </w:rPr>
        <w:t>。</w:t>
      </w:r>
    </w:p>
    <w:p>
      <w:pPr>
        <w:spacing w:before="31" w:after="31" w:line="360" w:lineRule="auto"/>
        <w:ind w:firstLine="420" w:firstLineChars="200"/>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分包人在施工前应仔细核对发包人</w:t>
      </w:r>
      <w:r>
        <w:rPr>
          <w:rFonts w:hint="eastAsia" w:eastAsia="仿宋_GB2312"/>
          <w:color w:val="000000" w:themeColor="text1"/>
          <w:kern w:val="0"/>
          <w:szCs w:val="32"/>
          <w14:textFill>
            <w14:solidFill>
              <w14:schemeClr w14:val="tx1"/>
            </w14:solidFill>
          </w14:textFill>
        </w:rPr>
        <w:t>通过</w:t>
      </w:r>
      <w:r>
        <w:rPr>
          <w:rFonts w:eastAsia="仿宋_GB2312"/>
          <w:color w:val="000000" w:themeColor="text1"/>
          <w:kern w:val="0"/>
          <w:szCs w:val="32"/>
          <w14:textFill>
            <w14:solidFill>
              <w14:schemeClr w14:val="tx1"/>
            </w14:solidFill>
          </w14:textFill>
        </w:rPr>
        <w:t>承包人提供的图纸</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并深刻消化</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领会和接受设计图纸的设计意图</w:t>
      </w:r>
      <w:r>
        <w:rPr>
          <w:rFonts w:hint="eastAsia" w:eastAsia="仿宋_GB2312"/>
          <w:color w:val="000000" w:themeColor="text1"/>
          <w:kern w:val="0"/>
          <w:szCs w:val="32"/>
          <w14:textFill>
            <w14:solidFill>
              <w14:schemeClr w14:val="tx1"/>
            </w14:solidFill>
          </w14:textFill>
        </w:rPr>
        <w:t>。对于设计图纸存在的矛盾、缺陷或错误之处应及时通过承包人书面告知发包人并等待发包人指示，若分包人未等待承包人指示或不按承包人指示执行，由此造成的工期延误及返工费用由分包人承担。</w:t>
      </w:r>
    </w:p>
    <w:p>
      <w:pPr>
        <w:spacing w:before="31" w:after="31" w:line="360" w:lineRule="auto"/>
        <w:ind w:firstLine="420" w:firstLineChars="200"/>
        <w:rPr>
          <w:rFonts w:eastAsia="仿宋_GB2312"/>
          <w:color w:val="000000" w:themeColor="text1"/>
          <w:kern w:val="0"/>
          <w:szCs w:val="32"/>
          <w14:textFill>
            <w14:solidFill>
              <w14:schemeClr w14:val="tx1"/>
            </w14:solidFill>
          </w14:textFill>
        </w:rPr>
      </w:pPr>
      <w:r>
        <w:rPr>
          <w:rFonts w:hint="eastAsia" w:ascii="仿宋" w:hAnsi="仿宋" w:eastAsia="仿宋" w:cs="仿宋"/>
          <w:color w:val="000000" w:themeColor="text1"/>
          <w:kern w:val="0"/>
          <w:szCs w:val="32"/>
          <w14:textFill>
            <w14:solidFill>
              <w14:schemeClr w14:val="tx1"/>
            </w14:solidFill>
          </w14:textFill>
        </w:rPr>
        <w:t>②</w:t>
      </w:r>
      <w:r>
        <w:rPr>
          <w:rFonts w:hint="eastAsia" w:eastAsia="仿宋_GB2312"/>
          <w:color w:val="000000" w:themeColor="text1"/>
          <w:kern w:val="0"/>
          <w:szCs w:val="32"/>
          <w14:textFill>
            <w14:solidFill>
              <w14:schemeClr w14:val="tx1"/>
            </w14:solidFill>
          </w14:textFill>
        </w:rPr>
        <w:t>分包人需对本项目成立专门的领导小组和技术小组，领导小组需由分包人的公司领导任组长、技术小组由分包人的总工或副总工任组长。分包人所提供的施工图纸审核意见、深化图纸、施工组织方案、安全文明措施方案需由技术小组审批后方能通过承包人审核后提供给发包人，领导小组负责有关项目重大事宜的协调工作（含安全事故、进度滞后、质量事故等）；分包人进场后一个月内需提交加盖公章的领导小组及技术小组名单（包含联系方式）通过承包人给发包人。</w:t>
      </w:r>
    </w:p>
    <w:p>
      <w:pPr>
        <w:spacing w:before="31" w:after="31" w:line="360" w:lineRule="auto"/>
        <w:ind w:firstLine="420" w:firstLineChars="200"/>
        <w:rPr>
          <w:rFonts w:eastAsia="仿宋_GB2312"/>
          <w:color w:val="000000" w:themeColor="text1"/>
          <w:kern w:val="0"/>
          <w:szCs w:val="32"/>
          <w14:textFill>
            <w14:solidFill>
              <w14:schemeClr w14:val="tx1"/>
            </w14:solidFill>
          </w14:textFill>
        </w:rPr>
      </w:pPr>
      <w:r>
        <w:rPr>
          <w:rFonts w:hint="eastAsia" w:ascii="仿宋" w:hAnsi="仿宋" w:eastAsia="仿宋" w:cs="仿宋"/>
          <w:color w:val="000000" w:themeColor="text1"/>
          <w:kern w:val="0"/>
          <w:szCs w:val="32"/>
          <w14:textFill>
            <w14:solidFill>
              <w14:schemeClr w14:val="tx1"/>
            </w14:solidFill>
          </w14:textFill>
        </w:rPr>
        <w:t>③</w:t>
      </w:r>
      <w:r>
        <w:rPr>
          <w:rFonts w:hint="eastAsia" w:eastAsia="仿宋_GB2312"/>
          <w:color w:val="000000" w:themeColor="text1"/>
          <w:kern w:val="0"/>
          <w:szCs w:val="32"/>
          <w14:textFill>
            <w14:solidFill>
              <w14:schemeClr w14:val="tx1"/>
            </w14:solidFill>
          </w14:textFill>
        </w:rPr>
        <w:t>负责协调处理各方面关系；为确保项目顺利开工和施工，分包人应主动协调与各级政府、政府各级主管部门（如需）、周边单位、周边居民的关系；主动协助承包人完成各类报批报建手续；主动协调解决渣场、道路运输、临时道路、临时营地建设、临时用电、用水等问题，确保工程顺利实施。</w:t>
      </w:r>
    </w:p>
    <w:p>
      <w:pPr>
        <w:spacing w:before="31" w:after="31" w:line="360" w:lineRule="auto"/>
        <w:ind w:firstLine="420" w:firstLineChars="200"/>
        <w:rPr>
          <w:rFonts w:eastAsia="仿宋_GB2312"/>
          <w:color w:val="000000" w:themeColor="text1"/>
          <w:kern w:val="0"/>
          <w:szCs w:val="32"/>
          <w14:textFill>
            <w14:solidFill>
              <w14:schemeClr w14:val="tx1"/>
            </w14:solidFill>
          </w14:textFill>
        </w:rPr>
      </w:pPr>
      <w:r>
        <w:rPr>
          <w:rFonts w:hint="eastAsia" w:ascii="仿宋" w:hAnsi="仿宋" w:eastAsia="仿宋"/>
          <w:color w:val="000000" w:themeColor="text1"/>
          <w:kern w:val="0"/>
          <w:szCs w:val="32"/>
          <w14:textFill>
            <w14:solidFill>
              <w14:schemeClr w14:val="tx1"/>
            </w14:solidFill>
          </w14:textFill>
        </w:rPr>
        <w:t>④</w:t>
      </w:r>
      <w:r>
        <w:rPr>
          <w:rFonts w:hint="eastAsia" w:eastAsia="仿宋_GB2312"/>
          <w:color w:val="000000" w:themeColor="text1"/>
          <w:kern w:val="0"/>
          <w:szCs w:val="32"/>
          <w14:textFill>
            <w14:solidFill>
              <w14:schemeClr w14:val="tx1"/>
            </w14:solidFill>
          </w14:textFill>
        </w:rPr>
        <w:t>分包人需对本工程成立专门的实测实量小组（如需），对需实测实量的每道工序及时进行实测实量并保留完整测量数据。实测实量完成后3天内需将测量结果上墙并将书面测量成果通过承包人反馈至监理单位与发包人，监理单位、第三方评估单位及发包人对测量成果文件通过承包人提出整改意见的，分包人应在限定时间内完成整改。</w:t>
      </w:r>
    </w:p>
    <w:p>
      <w:pPr>
        <w:pStyle w:val="75"/>
        <w:ind w:firstLine="422"/>
        <w:rPr>
          <w:color w:val="000000" w:themeColor="text1"/>
          <w14:textFill>
            <w14:solidFill>
              <w14:schemeClr w14:val="tx1"/>
            </w14:solidFill>
          </w14:textFill>
        </w:rPr>
      </w:pPr>
      <w:r>
        <w:rPr>
          <w:rFonts w:hint="eastAsia"/>
          <w:color w:val="000000" w:themeColor="text1"/>
          <w14:textFill>
            <w14:solidFill>
              <w14:schemeClr w14:val="tx1"/>
            </w14:solidFill>
          </w14:textFill>
        </w:rPr>
        <w:t>4.1.4.负责施工场地及其周边环境与生态的保护工作</w:t>
      </w:r>
    </w:p>
    <w:p>
      <w:pPr>
        <w:spacing w:before="31" w:after="31"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4）对分包人的补充约定：</w:t>
      </w:r>
      <w:r>
        <w:rPr>
          <w:rFonts w:hint="eastAsia" w:eastAsia="仿宋_GB2312"/>
          <w:color w:val="000000" w:themeColor="text1"/>
          <w:kern w:val="0"/>
          <w:szCs w:val="32"/>
          <w:u w:val="single"/>
          <w14:textFill>
            <w14:solidFill>
              <w14:schemeClr w14:val="tx1"/>
            </w14:solidFill>
          </w14:textFill>
        </w:rPr>
        <w:t xml:space="preserve"> </w:t>
      </w:r>
      <w:r>
        <w:rPr>
          <w:rFonts w:hint="eastAsia" w:ascii="Times New Roman" w:hAnsi="Times New Roman" w:eastAsia="仿宋_GB2312"/>
          <w:color w:val="000000" w:themeColor="text1"/>
          <w:kern w:val="0"/>
          <w:szCs w:val="32"/>
          <w:u w:val="single"/>
          <w14:textFill>
            <w14:solidFill>
              <w14:schemeClr w14:val="tx1"/>
            </w14:solidFill>
          </w14:textFill>
        </w:rPr>
        <w:t>分包人应保证其施工范围内的场地清洁符合环境卫生管理的有关要求，做到工完场清，即建筑垃圾须及时清运至承包人指定堆放地点；需服从承包人相关现场统一管理要求。分包人现场垃圾清理不及时、不合格且经催告不及时改正的，监理人或承包人有权要求承包人委托第三方进行清理，同时分包人应按本合同专用条款第2</w:t>
      </w:r>
      <w:r>
        <w:rPr>
          <w:rFonts w:ascii="Times New Roman" w:hAnsi="Times New Roman" w:eastAsia="仿宋_GB2312"/>
          <w:color w:val="000000" w:themeColor="text1"/>
          <w:kern w:val="0"/>
          <w:szCs w:val="32"/>
          <w:u w:val="single"/>
          <w14:textFill>
            <w14:solidFill>
              <w14:schemeClr w14:val="tx1"/>
            </w14:solidFill>
          </w14:textFill>
        </w:rPr>
        <w:t>2条规定承担第三方清理费用并承担违约责任</w:t>
      </w:r>
      <w:r>
        <w:rPr>
          <w:rFonts w:hint="eastAsia" w:eastAsia="仿宋_GB2312"/>
          <w:color w:val="000000" w:themeColor="text1"/>
          <w:kern w:val="0"/>
          <w:szCs w:val="32"/>
          <w14:textFill>
            <w14:solidFill>
              <w14:schemeClr w14:val="tx1"/>
            </w14:solidFill>
          </w14:textFill>
        </w:rPr>
        <w:t>。</w:t>
      </w:r>
    </w:p>
    <w:p>
      <w:pPr>
        <w:adjustRightInd w:val="0"/>
        <w:snapToGrid w:val="0"/>
        <w:spacing w:line="360" w:lineRule="auto"/>
        <w:ind w:firstLine="422" w:firstLineChars="200"/>
        <w:rPr>
          <w:rFonts w:ascii="Times New Roman" w:hAnsi="Times New Roman"/>
          <w:b/>
          <w:color w:val="000000" w:themeColor="text1"/>
          <w:kern w:val="0"/>
          <w:szCs w:val="32"/>
          <w14:textFill>
            <w14:solidFill>
              <w14:schemeClr w14:val="tx1"/>
            </w14:solidFill>
          </w14:textFill>
        </w:rPr>
      </w:pPr>
      <w:r>
        <w:rPr>
          <w:rFonts w:hint="eastAsia" w:ascii="Times New Roman" w:hAnsi="Times New Roman"/>
          <w:b/>
          <w:color w:val="000000" w:themeColor="text1"/>
          <w:kern w:val="0"/>
          <w:szCs w:val="32"/>
          <w14:textFill>
            <w14:solidFill>
              <w14:schemeClr w14:val="tx1"/>
            </w14:solidFill>
          </w14:textFill>
        </w:rPr>
        <w:t>4.1.6.为他人提供方便</w:t>
      </w:r>
    </w:p>
    <w:p>
      <w:pPr>
        <w:adjustRightInd w:val="0"/>
        <w:snapToGrid w:val="0"/>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5）对分包人补充约定：本工程验收且移交后，分包人或其分包人的施工人员、材料、设备必须在 1</w:t>
      </w:r>
      <w:r>
        <w:rPr>
          <w:rFonts w:eastAsia="仿宋_GB2312"/>
          <w:color w:val="000000" w:themeColor="text1"/>
          <w:kern w:val="0"/>
          <w:szCs w:val="32"/>
          <w14:textFill>
            <w14:solidFill>
              <w14:schemeClr w14:val="tx1"/>
            </w14:solidFill>
          </w14:textFill>
        </w:rPr>
        <w:t>5</w:t>
      </w:r>
      <w:r>
        <w:rPr>
          <w:rFonts w:hint="eastAsia" w:eastAsia="仿宋_GB2312"/>
          <w:color w:val="000000" w:themeColor="text1"/>
          <w:kern w:val="0"/>
          <w:szCs w:val="32"/>
          <w14:textFill>
            <w14:solidFill>
              <w14:schemeClr w14:val="tx1"/>
            </w14:solidFill>
          </w14:textFill>
        </w:rPr>
        <w:t xml:space="preserve"> 天内全部退出现场，分包人每延迟一天退场应按本合同专用条款第22.1.9.2条约定向承包人缴纳违约金。</w:t>
      </w:r>
    </w:p>
    <w:p>
      <w:pPr>
        <w:spacing w:before="31" w:after="31"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双方协议终止合同或任何一方解除合同的，分包人或其分包人的施工人员、材料、设备必须在 15 天内全部退出现场，分包人每延迟一天退场应按本合同专用条款第22.1.9.2条约定向承包人缴纳违约金。</w:t>
      </w:r>
    </w:p>
    <w:p>
      <w:pPr>
        <w:pStyle w:val="75"/>
        <w:ind w:firstLine="422"/>
        <w:rPr>
          <w:color w:val="000000" w:themeColor="text1"/>
          <w14:textFill>
            <w14:solidFill>
              <w14:schemeClr w14:val="tx1"/>
            </w14:solidFill>
          </w14:textFill>
        </w:rPr>
      </w:pPr>
      <w:bookmarkStart w:id="610" w:name="_Toc29178"/>
      <w:r>
        <w:rPr>
          <w:rFonts w:hint="eastAsia"/>
          <w:color w:val="000000" w:themeColor="text1"/>
          <w14:textFill>
            <w14:solidFill>
              <w14:schemeClr w14:val="tx1"/>
            </w14:solidFill>
          </w14:textFill>
        </w:rPr>
        <w:t>4.1.7. 工程的维护和照管</w:t>
      </w:r>
      <w:bookmarkEnd w:id="61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1）场地移交前完工工程成品保护的特殊要求及费用承担，该条通用条款对应内容修订为：</w:t>
      </w:r>
      <w:r>
        <w:rPr>
          <w:rFonts w:hint="eastAsia"/>
          <w:color w:val="000000" w:themeColor="text1"/>
          <w:u w:val="single"/>
          <w14:textFill>
            <w14:solidFill>
              <w14:schemeClr w14:val="tx1"/>
            </w14:solidFill>
          </w14:textFill>
        </w:rPr>
        <w:t>本工程验收合格及场地移交前，分包人负责工程（包括发包人提供的材料和工程设备及发包人采购安放在现场的办公家具等）的照管和维护工作。保护期间发生损坏，分包人自费予以修复。</w:t>
      </w:r>
    </w:p>
    <w:p>
      <w:pPr>
        <w:pStyle w:val="52"/>
        <w:ind w:firstLine="422"/>
        <w:rPr>
          <w:b/>
          <w:color w:val="000000" w:themeColor="text1"/>
          <w14:textFill>
            <w14:solidFill>
              <w14:schemeClr w14:val="tx1"/>
            </w14:solidFill>
          </w14:textFill>
        </w:rPr>
      </w:pPr>
      <w:r>
        <w:rPr>
          <w:b/>
          <w:color w:val="000000" w:themeColor="text1"/>
          <w14:textFill>
            <w14:solidFill>
              <w14:schemeClr w14:val="tx1"/>
            </w14:solidFill>
          </w14:textFill>
        </w:rPr>
        <w:t>4.1.9.</w:t>
      </w:r>
      <w:r>
        <w:rPr>
          <w:rFonts w:hint="eastAsia"/>
          <w:b/>
          <w:color w:val="000000" w:themeColor="text1"/>
          <w14:textFill>
            <w14:solidFill>
              <w14:schemeClr w14:val="tx1"/>
            </w14:solidFill>
          </w14:textFill>
        </w:rPr>
        <w:t xml:space="preserve"> 分包人的其它义务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6）分包人的其它义务补充约定如下：</w:t>
      </w:r>
    </w:p>
    <w:p>
      <w:pPr>
        <w:pStyle w:val="52"/>
        <w:ind w:firstLine="420"/>
        <w:rPr>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①</w:t>
      </w:r>
      <w:r>
        <w:rPr>
          <w:rFonts w:hint="eastAsia"/>
          <w:color w:val="000000" w:themeColor="text1"/>
          <w14:textFill>
            <w14:solidFill>
              <w14:schemeClr w14:val="tx1"/>
            </w14:solidFill>
          </w14:textFill>
        </w:rPr>
        <w:t>分包人在进场前应与承包人签订施工总承包管理配合协议，承包人应向专业工程分包人提供必要的施工条件与配合，专业工程分包人应服从承包人现场管理要求。</w:t>
      </w:r>
    </w:p>
    <w:p>
      <w:pPr>
        <w:pStyle w:val="52"/>
        <w:ind w:firstLine="420"/>
        <w:rPr>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②</w:t>
      </w:r>
      <w:r>
        <w:rPr>
          <w:rFonts w:hint="eastAsia"/>
          <w:color w:val="000000" w:themeColor="text1"/>
          <w14:textFill>
            <w14:solidFill>
              <w14:schemeClr w14:val="tx1"/>
            </w14:solidFill>
          </w14:textFill>
        </w:rPr>
        <w:t>分包人应及时支付其采购的材料、设备等款项，如因分包人拖欠支付该等款项导致影响工程进度或影响本工程正常运行，或发生供货单位向承包人或发包人或有关单位投诉的情况，承包人有权代为垫付材料、设备款项，该等垫付款项从应付合同款中抵扣。</w:t>
      </w:r>
    </w:p>
    <w:p>
      <w:pPr>
        <w:pStyle w:val="52"/>
        <w:ind w:firstLine="420"/>
        <w:rPr>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③</w:t>
      </w:r>
      <w:r>
        <w:rPr>
          <w:rFonts w:hint="eastAsia"/>
          <w:color w:val="000000" w:themeColor="text1"/>
          <w14:textFill>
            <w14:solidFill>
              <w14:schemeClr w14:val="tx1"/>
            </w14:solidFill>
          </w14:textFill>
        </w:rPr>
        <w:t>由于分包人原因发生安全责任事故导致的一切责任及费用均由分包人承担。对该项赔偿责任，分包人不愿承担或不向相关方支付的，承包人有权直接从工程款中直接扣取并代为向相关方支付。若承包人先行赔付或承担连带责任或遭致处罚的，承包人因此而支付的全部款项均由分包人予以赔偿（承包人亦有权从合同价款或履约担保金额等款项中扣取）并按本专用合同条款第22.1.9.4条约定要求分包人支付违约金。</w:t>
      </w:r>
    </w:p>
    <w:p>
      <w:pPr>
        <w:pStyle w:val="52"/>
        <w:ind w:firstLine="420"/>
        <w:rPr>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④</w:t>
      </w:r>
      <w:r>
        <w:rPr>
          <w:rFonts w:hint="eastAsia"/>
          <w:color w:val="000000" w:themeColor="text1"/>
          <w14:textFill>
            <w14:solidFill>
              <w14:schemeClr w14:val="tx1"/>
            </w14:solidFill>
          </w14:textFill>
        </w:rPr>
        <w:t>分包人应执行承包人与监理人相关管理规定和指令，包括但不限于安全管理、质量管理、进度管理、成本管理等全部要求，否则应按本专用合同条款第22.1.9.5条约定承担违约责任。</w:t>
      </w:r>
    </w:p>
    <w:p>
      <w:pPr>
        <w:pStyle w:val="52"/>
        <w:ind w:firstLine="420"/>
        <w:rPr>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⑤</w:t>
      </w:r>
      <w:r>
        <w:rPr>
          <w:color w:val="000000" w:themeColor="text1"/>
          <w14:textFill>
            <w14:solidFill>
              <w14:schemeClr w14:val="tx1"/>
            </w14:solidFill>
          </w14:textFill>
        </w:rPr>
        <w:t>当监理</w:t>
      </w:r>
      <w:r>
        <w:rPr>
          <w:rFonts w:hint="eastAsia"/>
          <w:color w:val="000000" w:themeColor="text1"/>
          <w14:textFill>
            <w14:solidFill>
              <w14:schemeClr w14:val="tx1"/>
            </w14:solidFill>
          </w14:textFill>
        </w:rPr>
        <w:t>人</w:t>
      </w:r>
      <w:r>
        <w:rPr>
          <w:color w:val="000000" w:themeColor="text1"/>
          <w14:textFill>
            <w14:solidFill>
              <w14:schemeClr w14:val="tx1"/>
            </w14:solidFill>
          </w14:textFill>
        </w:rPr>
        <w:t>或</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提出分包人施工作业面需增加作业工人或机械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增加临时</w:t>
      </w:r>
      <w:r>
        <w:rPr>
          <w:rFonts w:hint="eastAsia"/>
          <w:color w:val="000000" w:themeColor="text1"/>
          <w14:textFill>
            <w14:solidFill>
              <w14:schemeClr w14:val="tx1"/>
            </w14:solidFill>
          </w14:textFill>
        </w:rPr>
        <w:t>安</w:t>
      </w:r>
      <w:r>
        <w:rPr>
          <w:color w:val="000000" w:themeColor="text1"/>
          <w14:textFill>
            <w14:solidFill>
              <w14:schemeClr w14:val="tx1"/>
            </w14:solidFill>
          </w14:textFill>
        </w:rPr>
        <w:t>全防护通道</w:t>
      </w:r>
      <w:r>
        <w:rPr>
          <w:rFonts w:hint="eastAsia"/>
          <w:color w:val="000000" w:themeColor="text1"/>
          <w14:textFill>
            <w14:solidFill>
              <w14:schemeClr w14:val="tx1"/>
            </w14:solidFill>
          </w14:textFill>
        </w:rPr>
        <w:t>的要求时，分包人应当按指令要求积极配合实施。</w:t>
      </w:r>
    </w:p>
    <w:p>
      <w:pPr>
        <w:pStyle w:val="52"/>
        <w:ind w:firstLine="420"/>
        <w:rPr>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⑥</w:t>
      </w:r>
      <w:r>
        <w:rPr>
          <w:rFonts w:hint="eastAsia"/>
          <w:color w:val="000000" w:themeColor="text1"/>
          <w14:textFill>
            <w14:solidFill>
              <w14:schemeClr w14:val="tx1"/>
            </w14:solidFill>
          </w14:textFill>
        </w:rPr>
        <w:t>分包人</w:t>
      </w:r>
      <w:r>
        <w:rPr>
          <w:color w:val="000000" w:themeColor="text1"/>
          <w14:textFill>
            <w14:solidFill>
              <w14:schemeClr w14:val="tx1"/>
            </w14:solidFill>
          </w14:textFill>
        </w:rPr>
        <w:t>应当与</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分别签署安全管理协议</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质量管理协议</w:t>
      </w:r>
      <w:r>
        <w:rPr>
          <w:rFonts w:hint="eastAsia"/>
          <w:color w:val="000000" w:themeColor="text1"/>
          <w14:textFill>
            <w14:solidFill>
              <w14:schemeClr w14:val="tx1"/>
            </w14:solidFill>
          </w14:textFill>
        </w:rPr>
        <w:t>、现场管理协议、农民工工资支付协议等，并服从承包人现场管理；若需签署分包人、承包人、发包人三方协议的，分包人应当积极配合签署；若需与承包人签署农民工工资支付协议的，分包人应当积极配合签署；因分包人原因前</w:t>
      </w:r>
      <w:r>
        <w:rPr>
          <w:color w:val="000000" w:themeColor="text1"/>
          <w14:textFill>
            <w14:solidFill>
              <w14:schemeClr w14:val="tx1"/>
            </w14:solidFill>
          </w14:textFill>
        </w:rPr>
        <w:t>述协议签署不及时而</w:t>
      </w:r>
      <w:r>
        <w:rPr>
          <w:rFonts w:hint="eastAsia"/>
          <w:color w:val="000000" w:themeColor="text1"/>
          <w14:textFill>
            <w14:solidFill>
              <w14:schemeClr w14:val="tx1"/>
            </w14:solidFill>
          </w14:textFill>
        </w:rPr>
        <w:t>导致发包人遭受损失的，分包人应承担补偿责任。</w:t>
      </w:r>
    </w:p>
    <w:p>
      <w:pPr>
        <w:pStyle w:val="52"/>
        <w:ind w:firstLine="422"/>
        <w:rPr>
          <w:rFonts w:ascii="仿宋_GB2312"/>
          <w:b/>
          <w:color w:val="000000" w:themeColor="text1"/>
          <w14:textFill>
            <w14:solidFill>
              <w14:schemeClr w14:val="tx1"/>
            </w14:solidFill>
          </w14:textFill>
        </w:rPr>
      </w:pPr>
      <w:r>
        <w:rPr>
          <w:rFonts w:hint="eastAsia" w:ascii="仿宋_GB2312"/>
          <w:b/>
          <w:color w:val="000000" w:themeColor="text1"/>
          <w14:textFill>
            <w14:solidFill>
              <w14:schemeClr w14:val="tx1"/>
            </w14:solidFill>
          </w14:textFill>
        </w:rPr>
        <w:t>⑦分包人应配合承包人和发包人在节假日的施工计划与安排。</w:t>
      </w:r>
    </w:p>
    <w:p>
      <w:pPr>
        <w:pStyle w:val="52"/>
        <w:ind w:firstLine="422"/>
        <w:rPr>
          <w:rFonts w:ascii="仿宋" w:hAnsi="仿宋" w:eastAsia="仿宋"/>
          <w:b/>
          <w:color w:val="000000" w:themeColor="text1"/>
          <w14:textFill>
            <w14:solidFill>
              <w14:schemeClr w14:val="tx1"/>
            </w14:solidFill>
          </w14:textFill>
        </w:rPr>
      </w:pPr>
      <w:r>
        <w:rPr>
          <w:rFonts w:hint="eastAsia" w:ascii="仿宋" w:hAnsi="仿宋" w:eastAsia="仿宋"/>
          <w:b/>
          <w:color w:val="000000" w:themeColor="text1"/>
          <w14:textFill>
            <w14:solidFill>
              <w14:schemeClr w14:val="tx1"/>
            </w14:solidFill>
          </w14:textFill>
        </w:rPr>
        <w:t>⑧合同签订后30日历天内，分包人应向承包人提交本工程的的安全文明施工费的押金，押金金额为本合同暂定金额的1%计取且总金额不超过5万元。押金如因扣款等原因减少，分包人须按上述要求补足。</w:t>
      </w:r>
    </w:p>
    <w:p>
      <w:pPr>
        <w:pStyle w:val="52"/>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4.1.10 本项目列入分包人的公司总经理项目办公会(如有)议程，且分包人项目部应该每月不少于1次与分包人的公司总经理全面汇报一次项目情况（进度、质量、安全及资源投入），并将会议纪要或备忘录通过承包人报备给发包人（项目公司），有未报备情况的，分包人承担5000元/次违约责任。</w:t>
      </w:r>
    </w:p>
    <w:p>
      <w:pPr>
        <w:pStyle w:val="77"/>
        <w:ind w:firstLine="480"/>
        <w:rPr>
          <w:color w:val="000000" w:themeColor="text1"/>
          <w14:textFill>
            <w14:solidFill>
              <w14:schemeClr w14:val="tx1"/>
            </w14:solidFill>
          </w14:textFill>
        </w:rPr>
      </w:pPr>
      <w:bookmarkStart w:id="611" w:name="_Toc9254"/>
      <w:bookmarkStart w:id="612" w:name="_Toc10013"/>
      <w:bookmarkStart w:id="613" w:name="_Toc44492563"/>
      <w:r>
        <w:rPr>
          <w:rFonts w:hint="eastAsia"/>
          <w:color w:val="000000" w:themeColor="text1"/>
          <w14:textFill>
            <w14:solidFill>
              <w14:schemeClr w14:val="tx1"/>
            </w14:solidFill>
          </w14:textFill>
        </w:rPr>
        <w:t>4.2. 履约担保</w:t>
      </w:r>
      <w:bookmarkEnd w:id="611"/>
      <w:bookmarkEnd w:id="612"/>
      <w:bookmarkEnd w:id="61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4.2.3.履约保函的担保额度为本合同签约合同价格的</w:t>
      </w:r>
      <w:r>
        <w:rPr>
          <w:rFonts w:hint="eastAsia"/>
          <w:color w:val="000000" w:themeColor="text1"/>
          <w:u w:val="single"/>
          <w14:textFill>
            <w14:solidFill>
              <w14:schemeClr w14:val="tx1"/>
            </w14:solidFill>
          </w14:textFill>
        </w:rPr>
        <w:t xml:space="preserve"> </w:t>
      </w:r>
      <w:r>
        <w:rPr>
          <w:color w:val="000000" w:themeColor="text1"/>
          <w:u w:val="single"/>
          <w14:textFill>
            <w14:solidFill>
              <w14:schemeClr w14:val="tx1"/>
            </w14:solidFill>
          </w14:textFill>
        </w:rPr>
        <w:t>10</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分包人应向承包人提供履约保函，履约担保的格式见附件《履约保函》。分包人应按本合同所附履约保函格式，在合同签订后30天内向承包人提供不可撤销银行履约保函，其对承包人的保障不得低于合同所附履约保函格式的要求。履约保函的有效期从合同生效之日起至合同项下工程竣工验收合格、结算完成且工程交付发包人（以时间较晚者为准）后第30天止。</w:t>
      </w:r>
    </w:p>
    <w:p>
      <w:pPr>
        <w:pStyle w:val="52"/>
        <w:ind w:firstLine="420"/>
        <w:rPr>
          <w:color w:val="000000" w:themeColor="text1"/>
          <w14:textFill>
            <w14:solidFill>
              <w14:schemeClr w14:val="tx1"/>
            </w14:solidFill>
          </w14:textFill>
        </w:rPr>
      </w:pPr>
      <w:r>
        <w:rPr>
          <w:rFonts w:hint="eastAsia" w:hAnsi="宋体"/>
          <w:color w:val="000000" w:themeColor="text1"/>
          <w:szCs w:val="24"/>
          <w:lang w:val="zh-CN"/>
          <w14:textFill>
            <w14:solidFill>
              <w14:schemeClr w14:val="tx1"/>
            </w14:solidFill>
          </w14:textFill>
        </w:rPr>
        <w:t>4</w:t>
      </w:r>
      <w:r>
        <w:rPr>
          <w:rFonts w:hAnsi="宋体"/>
          <w:color w:val="000000" w:themeColor="text1"/>
          <w:szCs w:val="24"/>
          <w:lang w:val="zh-CN"/>
          <w14:textFill>
            <w14:solidFill>
              <w14:schemeClr w14:val="tx1"/>
            </w14:solidFill>
          </w14:textFill>
        </w:rPr>
        <w:t>.2.</w:t>
      </w:r>
      <w:r>
        <w:rPr>
          <w:rFonts w:hint="eastAsia" w:hAnsi="宋体"/>
          <w:color w:val="000000" w:themeColor="text1"/>
          <w:szCs w:val="24"/>
          <w14:textFill>
            <w14:solidFill>
              <w14:schemeClr w14:val="tx1"/>
            </w14:solidFill>
          </w14:textFill>
        </w:rPr>
        <w:t>4</w:t>
      </w:r>
      <w:r>
        <w:rPr>
          <w:rFonts w:hAnsi="宋体"/>
          <w:color w:val="000000" w:themeColor="text1"/>
          <w:szCs w:val="24"/>
          <w:lang w:val="zh-CN"/>
          <w14:textFill>
            <w14:solidFill>
              <w14:schemeClr w14:val="tx1"/>
            </w14:solidFill>
          </w14:textFill>
        </w:rPr>
        <w:t xml:space="preserve"> </w:t>
      </w:r>
      <w:r>
        <w:rPr>
          <w:rFonts w:hint="eastAsia" w:hAnsi="宋体"/>
          <w:color w:val="000000" w:themeColor="text1"/>
          <w:szCs w:val="24"/>
          <w:lang w:val="zh-CN"/>
          <w14:textFill>
            <w14:solidFill>
              <w14:schemeClr w14:val="tx1"/>
            </w14:solidFill>
          </w14:textFill>
        </w:rPr>
        <w:t>分包人应承担的各项违约金、赔偿金及其他费用，承包人均有权从履约担保中直接扣除。如分包人因违约或其他原因被承包人提取履约保函的担保金额的，分包人应在接到发包人关于提取履约保函担保金额的通知后7天内补足被提取的履约担保金额，承包人亦可从应付合同价款中直接扣除相应金额补足履约担保金额。</w:t>
      </w:r>
    </w:p>
    <w:p>
      <w:pPr>
        <w:pStyle w:val="77"/>
        <w:ind w:firstLine="480"/>
        <w:rPr>
          <w:color w:val="000000" w:themeColor="text1"/>
          <w14:textFill>
            <w14:solidFill>
              <w14:schemeClr w14:val="tx1"/>
            </w14:solidFill>
          </w14:textFill>
        </w:rPr>
      </w:pPr>
      <w:bookmarkStart w:id="614" w:name="_Toc29078"/>
      <w:bookmarkStart w:id="615" w:name="_Toc44492565"/>
      <w:bookmarkStart w:id="616" w:name="_Toc15092"/>
      <w:r>
        <w:rPr>
          <w:rFonts w:hint="eastAsia"/>
          <w:color w:val="000000" w:themeColor="text1"/>
          <w14:textFill>
            <w14:solidFill>
              <w14:schemeClr w14:val="tx1"/>
            </w14:solidFill>
          </w14:textFill>
        </w:rPr>
        <w:t>4.4. 分包人项目经理</w:t>
      </w:r>
      <w:bookmarkEnd w:id="614"/>
      <w:bookmarkEnd w:id="615"/>
      <w:bookmarkEnd w:id="61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4.4.1. 分包人项目经理的姓名：</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，职务：</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，联系电话：</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 xml:space="preserve">。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4.4.3. 对分包人项目经理的管理要求：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本合同中明确的项目经理，不得擅自变更，开工时或施工过程中若有擅自变更，则分包人应按本合同专用</w:t>
      </w:r>
      <w:r>
        <w:rPr>
          <w:color w:val="000000" w:themeColor="text1"/>
          <w14:textFill>
            <w14:solidFill>
              <w14:schemeClr w14:val="tx1"/>
            </w14:solidFill>
          </w14:textFill>
        </w:rPr>
        <w:t>条款</w:t>
      </w:r>
      <w:r>
        <w:rPr>
          <w:color w:val="000000" w:themeColor="text1"/>
          <w:szCs w:val="21"/>
          <w14:textFill>
            <w14:solidFill>
              <w14:schemeClr w14:val="tx1"/>
            </w14:solidFill>
          </w14:textFill>
        </w:rPr>
        <w:t>约定支付违约金</w:t>
      </w:r>
      <w:r>
        <w:rPr>
          <w:rFonts w:hint="eastAsia"/>
          <w:color w:val="000000" w:themeColor="text1"/>
          <w14:textFill>
            <w14:solidFill>
              <w14:schemeClr w14:val="tx1"/>
            </w14:solidFill>
          </w14:textFill>
        </w:rPr>
        <w:t>。同时，承包人亦有权选择解除本合同。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对分包人项目经理的其他管理要求：</w:t>
      </w:r>
      <w:r>
        <w:rPr>
          <w:rFonts w:hint="eastAsia"/>
          <w:color w:val="000000" w:themeColor="text1"/>
          <w:u w:val="single"/>
          <w14:textFill>
            <w14:solidFill>
              <w14:schemeClr w14:val="tx1"/>
            </w14:solidFill>
          </w14:textFill>
        </w:rPr>
        <w:t xml:space="preserve">  /     </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.4.4. 通用条款</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.4.4修订为</w:t>
      </w:r>
      <w:r>
        <w:rPr>
          <w:rFonts w:hint="eastAsia"/>
          <w:color w:val="000000" w:themeColor="text1"/>
          <w14:textFill>
            <w14:solidFill>
              <w14:schemeClr w14:val="tx1"/>
            </w14:solidFill>
          </w14:textFill>
        </w:rPr>
        <w:t>：分包人如需更换项目经理，应至少提前7天将备选项目经理资料报发包人，备选项目经理的资历、职称等级、过往业绩应与合同约定的要求达到同等或以上，征得承包人及发包人同意后方可更换项目经理。后任继续行使合同文件约定的前任的职权，履行前任的义务。</w:t>
      </w:r>
    </w:p>
    <w:p>
      <w:pPr>
        <w:pStyle w:val="77"/>
        <w:ind w:firstLine="480"/>
        <w:rPr>
          <w:color w:val="000000" w:themeColor="text1"/>
          <w14:textFill>
            <w14:solidFill>
              <w14:schemeClr w14:val="tx1"/>
            </w14:solidFill>
          </w14:textFill>
        </w:rPr>
      </w:pPr>
      <w:bookmarkStart w:id="617" w:name="_Toc19792"/>
      <w:bookmarkStart w:id="618" w:name="_Toc32468"/>
      <w:bookmarkStart w:id="619" w:name="_Toc44492566"/>
      <w:r>
        <w:rPr>
          <w:rFonts w:hint="eastAsia"/>
          <w:color w:val="000000" w:themeColor="text1"/>
          <w14:textFill>
            <w14:solidFill>
              <w14:schemeClr w14:val="tx1"/>
            </w14:solidFill>
          </w14:textFill>
        </w:rPr>
        <w:t>4.5 分包人人员的管理</w:t>
      </w:r>
      <w:bookmarkEnd w:id="617"/>
      <w:bookmarkEnd w:id="618"/>
      <w:bookmarkEnd w:id="61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4.5.2为完成合同约定的各项工作，分包人应向施工场地派遣或雇佣足够数量的下列人员：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分包人应按投标文件中承诺的项目团队配置标准和数量为本工程施工场地配置人员，详见本合同附件16《拟投项目管理机构人员汇总表》。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4.5.6.如分包人投入的人员数量、业务水平、专业配置等不能满足工作所需时，经发包人书面同意，承包人有权要求分包人聘请符合工作所需要的工程技术管理人员作为分包人从事本工程施工管理工作的人员；所聘请工程技术管理人员的工资待遇由分包人与所聘人员协商确定，相关费用已包括在本工程合同价内，由分包人向所聘用人员支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4.5.7.未经承包人同意，分包人不得擅自更换人员，因特殊情况需要更换的，分包人应至少提前7天以书面形式通过承包人向监理人与发包人提出申请，并征得发包人同意。分包人必须保证后任人员的资质、资历、业绩、实际工作能力不低于前任人员的素质。即使发包人、承包人同意更换，也不免除分包人应承担的违约责任。合同期间实际投入的管理人员替换率超过</w:t>
      </w:r>
      <w:r>
        <w:rPr>
          <w:rFonts w:hint="eastAsia"/>
          <w:color w:val="000000" w:themeColor="text1"/>
          <w:u w:val="single"/>
          <w14:textFill>
            <w14:solidFill>
              <w14:schemeClr w14:val="tx1"/>
            </w14:solidFill>
          </w14:textFill>
        </w:rPr>
        <w:t xml:space="preserve"> 30%</w:t>
      </w:r>
      <w:r>
        <w:rPr>
          <w:rFonts w:hint="eastAsia"/>
          <w:color w:val="000000" w:themeColor="text1"/>
          <w14:textFill>
            <w14:solidFill>
              <w14:schemeClr w14:val="tx1"/>
            </w14:solidFill>
          </w14:textFill>
        </w:rPr>
        <w:t>的属于违约行为，经发包人书面同意，承包人有权解除合同，分包人须按专用条款第22.1.9.1条第5）款向承包人承担违约责任。若分包人擅自更换或调走工程管理人员或工程技术人员的，每发生一次则分包人应向承包人承担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4.5.8.分包人的所有管理人员均应向发包人提供不少于一年在分包人公司的社保证明，分包人未能提供社保证明的须按本合同专用条款第22.1.9.1条1）款约定向承包人支付违约金，直到提供社保证明为止或另派管理人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4.5.9.分包人参与本项目承建的主要管理人员及团队需经承包人指定的项目负责人和发包人进行专业性的面试及考核合格后才能进场，如考核面试不合格，分包人须在规定时间内通过承包人向发包人提供合格的对应岗位管理人员。分包人违约的，须按专用条款22.1向承包人承担违约责任。</w:t>
      </w:r>
    </w:p>
    <w:p>
      <w:pPr>
        <w:pStyle w:val="77"/>
        <w:ind w:firstLine="480"/>
        <w:rPr>
          <w:color w:val="000000" w:themeColor="text1"/>
          <w14:textFill>
            <w14:solidFill>
              <w14:schemeClr w14:val="tx1"/>
            </w14:solidFill>
          </w14:textFill>
        </w:rPr>
      </w:pPr>
      <w:bookmarkStart w:id="620" w:name="_Toc25277"/>
      <w:bookmarkStart w:id="621" w:name="_Toc30996"/>
      <w:bookmarkStart w:id="622" w:name="_Toc44492567"/>
      <w:r>
        <w:rPr>
          <w:rFonts w:hint="eastAsia"/>
          <w:color w:val="000000" w:themeColor="text1"/>
          <w14:textFill>
            <w14:solidFill>
              <w14:schemeClr w14:val="tx1"/>
            </w14:solidFill>
          </w14:textFill>
        </w:rPr>
        <w:t>4.6. 撤换分包人项目经理和其他人员</w:t>
      </w:r>
      <w:bookmarkEnd w:id="620"/>
      <w:bookmarkEnd w:id="621"/>
      <w:bookmarkEnd w:id="62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4.6.2. 当发包人或监理人每月有权对对分包人现场管理的项目经理及管理人员进行评分（具体评分表由发包人制定），每月评分不合格的现场管理人员进行通报批评并抄送承包人、分包人，连续两个月评分不合格的管理人员，承包人应要求分包人进行替换，分包人在收到承包人的书面</w:t>
      </w:r>
      <w:r>
        <w:rPr>
          <w:color w:val="000000" w:themeColor="text1"/>
          <w14:textFill>
            <w14:solidFill>
              <w14:schemeClr w14:val="tx1"/>
            </w14:solidFill>
          </w14:textFill>
        </w:rPr>
        <w:t>通知</w:t>
      </w:r>
      <w:r>
        <w:rPr>
          <w:rFonts w:hint="eastAsia"/>
          <w:color w:val="000000" w:themeColor="text1"/>
          <w14:textFill>
            <w14:solidFill>
              <w14:schemeClr w14:val="tx1"/>
            </w14:solidFill>
          </w14:textFill>
        </w:rPr>
        <w:t>后，应在</w:t>
      </w:r>
      <w:r>
        <w:rPr>
          <w:rFonts w:hint="eastAsia"/>
          <w:color w:val="000000" w:themeColor="text1"/>
          <w:u w:val="single"/>
          <w14:textFill>
            <w14:solidFill>
              <w14:schemeClr w14:val="tx1"/>
            </w14:solidFill>
          </w14:textFill>
        </w:rPr>
        <w:t xml:space="preserve"> 7</w:t>
      </w:r>
      <w:r>
        <w:rPr>
          <w:rFonts w:hint="eastAsia"/>
          <w:color w:val="000000" w:themeColor="text1"/>
          <w14:textFill>
            <w14:solidFill>
              <w14:schemeClr w14:val="tx1"/>
            </w14:solidFill>
          </w14:textFill>
        </w:rPr>
        <w:t>天内递交更换相关人员的相关资料，经承包人及发包人审核确认后到岗，分包人必须保证不因人员更换而使工程受到任何影响。分包人未按照承包人要求更换相关人员或更换人员不及时的，应按本合同专用条款第22.1.9.1条第</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 xml:space="preserve">）款约定向承包人支付违约金。未经承包人及发包人书面同意，分包人被更换员工不得再在本工程从事任何工作。 </w:t>
      </w:r>
    </w:p>
    <w:p>
      <w:pPr>
        <w:pStyle w:val="89"/>
        <w:ind w:firstLine="420"/>
        <w:rPr>
          <w:rFonts w:ascii="Times New Roman" w:hAnsi="Times New Roman" w:eastAsia="黑体"/>
          <w:color w:val="000000" w:themeColor="text1"/>
          <w:szCs w:val="32"/>
          <w14:textFill>
            <w14:solidFill>
              <w14:schemeClr w14:val="tx1"/>
            </w14:solidFill>
          </w14:textFill>
        </w:rPr>
      </w:pPr>
      <w:bookmarkStart w:id="623" w:name="_Toc21911"/>
      <w:bookmarkStart w:id="624" w:name="_Toc16989"/>
      <w:bookmarkStart w:id="625" w:name="_Toc44492568"/>
      <w:r>
        <w:rPr>
          <w:rFonts w:hint="eastAsia" w:ascii="Times New Roman" w:hAnsi="Times New Roman" w:eastAsia="黑体"/>
          <w:color w:val="000000" w:themeColor="text1"/>
          <w:szCs w:val="32"/>
          <w14:textFill>
            <w14:solidFill>
              <w14:schemeClr w14:val="tx1"/>
            </w14:solidFill>
          </w14:textFill>
        </w:rPr>
        <w:t>4.</w:t>
      </w:r>
      <w:r>
        <w:rPr>
          <w:rFonts w:ascii="Times New Roman" w:hAnsi="Times New Roman" w:eastAsia="黑体"/>
          <w:color w:val="000000" w:themeColor="text1"/>
          <w:szCs w:val="32"/>
          <w14:textFill>
            <w14:solidFill>
              <w14:schemeClr w14:val="tx1"/>
            </w14:solidFill>
          </w14:textFill>
        </w:rPr>
        <w:t>7.</w:t>
      </w:r>
      <w:bookmarkEnd w:id="623"/>
      <w:bookmarkEnd w:id="624"/>
      <w:r>
        <w:rPr>
          <w:rFonts w:hint="eastAsia" w:ascii="Times New Roman" w:hAnsi="Times New Roman" w:eastAsia="黑体"/>
          <w:color w:val="000000" w:themeColor="text1"/>
          <w:szCs w:val="32"/>
          <w14:textFill>
            <w14:solidFill>
              <w14:schemeClr w14:val="tx1"/>
            </w14:solidFill>
          </w14:textFill>
        </w:rPr>
        <w:t>保障分包人人</w:t>
      </w:r>
      <w:r>
        <w:rPr>
          <w:rFonts w:ascii="Times New Roman" w:hAnsi="Times New Roman" w:eastAsia="黑体"/>
          <w:color w:val="000000" w:themeColor="text1"/>
          <w:szCs w:val="32"/>
          <w14:textFill>
            <w14:solidFill>
              <w14:schemeClr w14:val="tx1"/>
            </w14:solidFill>
          </w14:textFill>
        </w:rPr>
        <w:t>员的合法权益</w:t>
      </w:r>
      <w:bookmarkEnd w:id="625"/>
    </w:p>
    <w:p>
      <w:pPr>
        <w:pStyle w:val="89"/>
        <w:ind w:firstLine="420"/>
        <w:rPr>
          <w:rFonts w:ascii="Times New Roman" w:hAnsi="Times New Roman" w:eastAsia="黑体"/>
          <w:color w:val="000000" w:themeColor="text1"/>
          <w:szCs w:val="32"/>
          <w14:textFill>
            <w14:solidFill>
              <w14:schemeClr w14:val="tx1"/>
            </w14:solidFill>
          </w14:textFill>
        </w:rPr>
      </w:pPr>
      <w:bookmarkStart w:id="626" w:name="_Toc44492569"/>
      <w:r>
        <w:rPr>
          <w:rFonts w:hint="eastAsia" w:ascii="Times New Roman" w:hAnsi="Times New Roman" w:eastAsia="黑体"/>
          <w:color w:val="000000" w:themeColor="text1"/>
          <w:szCs w:val="32"/>
          <w14:textFill>
            <w14:solidFill>
              <w14:schemeClr w14:val="tx1"/>
            </w14:solidFill>
          </w14:textFill>
        </w:rPr>
        <w:t>4.7.6 对</w:t>
      </w:r>
      <w:r>
        <w:rPr>
          <w:rFonts w:ascii="Times New Roman" w:hAnsi="Times New Roman" w:eastAsia="黑体"/>
          <w:color w:val="000000" w:themeColor="text1"/>
          <w:szCs w:val="32"/>
          <w14:textFill>
            <w14:solidFill>
              <w14:schemeClr w14:val="tx1"/>
            </w14:solidFill>
          </w14:textFill>
        </w:rPr>
        <w:t>工人工资的约定</w:t>
      </w:r>
      <w:bookmarkEnd w:id="626"/>
    </w:p>
    <w:p>
      <w:pPr>
        <w:pStyle w:val="52"/>
        <w:ind w:firstLine="420"/>
        <w:rPr>
          <w:color w:val="000000" w:themeColor="text1"/>
          <w14:textFill>
            <w14:solidFill>
              <w14:schemeClr w14:val="tx1"/>
            </w14:solidFill>
          </w14:textFill>
        </w:rPr>
      </w:pPr>
      <w:bookmarkStart w:id="627" w:name="_Toc33616278"/>
      <w:r>
        <w:rPr>
          <w:rFonts w:hint="eastAsia"/>
          <w:color w:val="000000" w:themeColor="text1"/>
          <w14:textFill>
            <w14:solidFill>
              <w14:schemeClr w14:val="tx1"/>
            </w14:solidFill>
          </w14:textFill>
        </w:rPr>
        <w:t>4.</w:t>
      </w:r>
      <w:r>
        <w:rPr>
          <w:b/>
          <w:bCs/>
          <w:color w:val="000000" w:themeColor="text1"/>
          <w14:textFill>
            <w14:solidFill>
              <w14:schemeClr w14:val="tx1"/>
            </w14:solidFill>
          </w14:textFill>
        </w:rPr>
        <w:t>7</w:t>
      </w:r>
      <w:r>
        <w:rPr>
          <w:color w:val="000000" w:themeColor="text1"/>
          <w14:textFill>
            <w14:solidFill>
              <w14:schemeClr w14:val="tx1"/>
            </w14:solidFill>
          </w14:textFill>
        </w:rPr>
        <w:t>.6.1</w:t>
      </w:r>
      <w:r>
        <w:rPr>
          <w:rFonts w:hint="eastAsia"/>
          <w:color w:val="000000" w:themeColor="text1"/>
          <w14:textFill>
            <w14:solidFill>
              <w14:schemeClr w14:val="tx1"/>
            </w14:solidFill>
          </w14:textFill>
        </w:rPr>
        <w:t>承</w:t>
      </w:r>
      <w:r>
        <w:rPr>
          <w:color w:val="000000" w:themeColor="text1"/>
          <w14:textFill>
            <w14:solidFill>
              <w14:schemeClr w14:val="tx1"/>
            </w14:solidFill>
          </w14:textFill>
        </w:rPr>
        <w:t>包人设立工人工资支付专用账户，该账户与其他款项实行分开银行账户管理。工人工资支付专用账户内的资金除发放工人工资外，不得用于其他用途，不得开通网上银行等电子支付渠道，不得提取现金。</w:t>
      </w:r>
      <w:r>
        <w:rPr>
          <w:rFonts w:hint="eastAsia"/>
          <w:color w:val="000000" w:themeColor="text1"/>
          <w14:textFill>
            <w14:solidFill>
              <w14:schemeClr w14:val="tx1"/>
            </w14:solidFill>
          </w14:textFill>
        </w:rPr>
        <w:t>承</w:t>
      </w:r>
      <w:r>
        <w:rPr>
          <w:color w:val="000000" w:themeColor="text1"/>
          <w14:textFill>
            <w14:solidFill>
              <w14:schemeClr w14:val="tx1"/>
            </w14:solidFill>
          </w14:textFill>
        </w:rPr>
        <w:t>包人设立的工人工资支付专用账户信息（开户银行名称及</w:t>
      </w:r>
      <w:r>
        <w:rPr>
          <w:rFonts w:hint="eastAsia"/>
          <w:color w:val="000000" w:themeColor="text1"/>
          <w14:textFill>
            <w14:solidFill>
              <w14:schemeClr w14:val="tx1"/>
            </w14:solidFill>
          </w14:textFill>
        </w:rPr>
        <w:t>账号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承</w:t>
      </w:r>
      <w:r>
        <w:rPr>
          <w:color w:val="000000" w:themeColor="text1"/>
          <w14:textFill>
            <w14:solidFill>
              <w14:schemeClr w14:val="tx1"/>
            </w14:solidFill>
          </w14:textFill>
        </w:rPr>
        <w:t>包人必须在</w:t>
      </w:r>
      <w:r>
        <w:rPr>
          <w:rFonts w:hint="eastAsia"/>
          <w:color w:val="000000" w:themeColor="text1"/>
          <w14:textFill>
            <w14:solidFill>
              <w14:schemeClr w14:val="tx1"/>
            </w14:solidFill>
          </w14:textFill>
        </w:rPr>
        <w:t>本</w:t>
      </w:r>
      <w:r>
        <w:rPr>
          <w:color w:val="000000" w:themeColor="text1"/>
          <w14:textFill>
            <w14:solidFill>
              <w14:schemeClr w14:val="tx1"/>
            </w14:solidFill>
          </w14:textFill>
        </w:rPr>
        <w:t>合同签订后、</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第一次支付款项前提供给</w:t>
      </w:r>
      <w:r>
        <w:rPr>
          <w:rFonts w:hint="eastAsia"/>
          <w:color w:val="000000" w:themeColor="text1"/>
          <w14:textFill>
            <w14:solidFill>
              <w14:schemeClr w14:val="tx1"/>
            </w14:solidFill>
          </w14:textFill>
        </w:rPr>
        <w:t>分包人</w:t>
      </w:r>
      <w:r>
        <w:rPr>
          <w:color w:val="000000" w:themeColor="text1"/>
          <w14:textFill>
            <w14:solidFill>
              <w14:schemeClr w14:val="tx1"/>
            </w14:solidFill>
          </w14:textFill>
        </w:rPr>
        <w:t>。</w:t>
      </w:r>
      <w:bookmarkEnd w:id="627"/>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4</w:t>
      </w:r>
      <w:r>
        <w:rPr>
          <w:rFonts w:eastAsia="仿宋_GB2312"/>
          <w:color w:val="000000" w:themeColor="text1"/>
          <w:kern w:val="0"/>
          <w:szCs w:val="32"/>
          <w14:textFill>
            <w14:solidFill>
              <w14:schemeClr w14:val="tx1"/>
            </w14:solidFill>
          </w14:textFill>
        </w:rPr>
        <w:t>.7.6.2分包人</w:t>
      </w:r>
      <w:r>
        <w:rPr>
          <w:rFonts w:hint="eastAsia" w:eastAsia="仿宋_GB2312"/>
          <w:color w:val="000000" w:themeColor="text1"/>
          <w:kern w:val="0"/>
          <w:szCs w:val="32"/>
          <w14:textFill>
            <w14:solidFill>
              <w14:schemeClr w14:val="tx1"/>
            </w14:solidFill>
          </w14:textFill>
        </w:rPr>
        <w:t>应严格执行政府颁发的《建筑工人实名制管理办法》的相关要求，</w:t>
      </w:r>
      <w:r>
        <w:rPr>
          <w:rFonts w:eastAsia="仿宋_GB2312"/>
          <w:color w:val="000000" w:themeColor="text1"/>
          <w:kern w:val="0"/>
          <w:szCs w:val="32"/>
          <w14:textFill>
            <w14:solidFill>
              <w14:schemeClr w14:val="tx1"/>
            </w14:solidFill>
          </w14:textFill>
        </w:rPr>
        <w:t>必须对所有进场建筑工人进行实名制管理，</w:t>
      </w:r>
      <w:r>
        <w:rPr>
          <w:rFonts w:hint="eastAsia" w:eastAsia="仿宋_GB2312"/>
          <w:color w:val="000000" w:themeColor="text1"/>
          <w:kern w:val="0"/>
          <w:szCs w:val="32"/>
          <w14:textFill>
            <w14:solidFill>
              <w14:schemeClr w14:val="tx1"/>
            </w14:solidFill>
          </w14:textFill>
        </w:rPr>
        <w:t>将施工人员名单造册提交承包人监督，发生施工人员变动时必须及时提交变更后名单；因未提交施工人员名单或名单不准确的，在发生欠薪讨薪事件时，以承包人认定的施工人员范围为准；承包人应</w:t>
      </w:r>
      <w:r>
        <w:rPr>
          <w:rFonts w:eastAsia="仿宋_GB2312"/>
          <w:color w:val="000000" w:themeColor="text1"/>
          <w:kern w:val="0"/>
          <w:szCs w:val="32"/>
          <w14:textFill>
            <w14:solidFill>
              <w14:schemeClr w14:val="tx1"/>
            </w14:solidFill>
          </w14:textFill>
        </w:rPr>
        <w:t>为每一位工人办理工资个人账户，建立工人工资支付台账，每月定期将工资直接支付给工人本人。</w:t>
      </w:r>
      <w:r>
        <w:rPr>
          <w:rFonts w:hint="eastAsia" w:eastAsia="仿宋_GB2312"/>
          <w:color w:val="000000" w:themeColor="text1"/>
          <w:kern w:val="0"/>
          <w:szCs w:val="32"/>
          <w14:textFill>
            <w14:solidFill>
              <w14:schemeClr w14:val="tx1"/>
            </w14:solidFill>
          </w14:textFill>
        </w:rPr>
        <w:t>承包人</w:t>
      </w:r>
      <w:r>
        <w:rPr>
          <w:rFonts w:eastAsia="仿宋_GB2312"/>
          <w:color w:val="000000" w:themeColor="text1"/>
          <w:kern w:val="0"/>
          <w:szCs w:val="32"/>
          <w14:textFill>
            <w14:solidFill>
              <w14:schemeClr w14:val="tx1"/>
            </w14:solidFill>
          </w14:textFill>
        </w:rPr>
        <w:t>有权（但无义务）对建筑工人的个人银行账户的真实性和分包人的工资发放进行检查监督。</w:t>
      </w:r>
    </w:p>
    <w:p>
      <w:pPr>
        <w:spacing w:before="31" w:after="31"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4.</w:t>
      </w:r>
      <w:r>
        <w:rPr>
          <w:rFonts w:eastAsia="仿宋_GB2312"/>
          <w:color w:val="000000" w:themeColor="text1"/>
          <w:kern w:val="0"/>
          <w:szCs w:val="32"/>
          <w14:textFill>
            <w14:solidFill>
              <w14:schemeClr w14:val="tx1"/>
            </w14:solidFill>
          </w14:textFill>
        </w:rPr>
        <w:t>7.6.3</w:t>
      </w:r>
      <w:r>
        <w:rPr>
          <w:rFonts w:hint="eastAsia" w:eastAsia="仿宋_GB2312"/>
          <w:color w:val="000000" w:themeColor="text1"/>
          <w:kern w:val="0"/>
          <w:szCs w:val="32"/>
          <w14:textFill>
            <w14:solidFill>
              <w14:schemeClr w14:val="tx1"/>
            </w14:solidFill>
          </w14:textFill>
        </w:rPr>
        <w:t>承</w:t>
      </w:r>
      <w:r>
        <w:rPr>
          <w:rFonts w:eastAsia="仿宋_GB2312"/>
          <w:color w:val="000000" w:themeColor="text1"/>
          <w:kern w:val="0"/>
          <w:szCs w:val="32"/>
          <w14:textFill>
            <w14:solidFill>
              <w14:schemeClr w14:val="tx1"/>
            </w14:solidFill>
          </w14:textFill>
        </w:rPr>
        <w:t>包人应当建立工人考勤、工资结算和支付等管理台账，存档备查，并将相关信息按月报送建设行业主管部门。工人考勤明细表应当在施工现场公示栏进行公示，公示期不少于5天，工人考勤和工资结算明细表须经工人签名确认。</w:t>
      </w:r>
    </w:p>
    <w:p>
      <w:pPr>
        <w:spacing w:before="31" w:after="31"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4.</w:t>
      </w:r>
      <w:r>
        <w:rPr>
          <w:rFonts w:eastAsia="仿宋_GB2312"/>
          <w:color w:val="000000" w:themeColor="text1"/>
          <w:kern w:val="0"/>
          <w:szCs w:val="32"/>
          <w14:textFill>
            <w14:solidFill>
              <w14:schemeClr w14:val="tx1"/>
            </w14:solidFill>
          </w14:textFill>
        </w:rPr>
        <w:t>7.6.4分包人每期申请进度款时，</w:t>
      </w:r>
      <w:r>
        <w:rPr>
          <w:rFonts w:hint="eastAsia" w:eastAsia="仿宋_GB2312"/>
          <w:color w:val="000000" w:themeColor="text1"/>
          <w:kern w:val="0"/>
          <w:szCs w:val="32"/>
          <w14:textFill>
            <w14:solidFill>
              <w14:schemeClr w14:val="tx1"/>
            </w14:solidFill>
          </w14:textFill>
        </w:rPr>
        <w:t>承包人按照分包人提供并经承包人审批确认后的农民工工资费用数额，且在合同约定的付款条件满足后</w:t>
      </w:r>
      <w:r>
        <w:rPr>
          <w:rFonts w:eastAsia="仿宋_GB2312"/>
          <w:color w:val="000000" w:themeColor="text1"/>
          <w:kern w:val="0"/>
          <w:szCs w:val="32"/>
          <w14:textFill>
            <w14:solidFill>
              <w14:schemeClr w14:val="tx1"/>
            </w14:solidFill>
          </w14:textFill>
        </w:rPr>
        <w:t>向</w:t>
      </w:r>
      <w:r>
        <w:rPr>
          <w:rFonts w:hint="eastAsia" w:eastAsia="仿宋_GB2312"/>
          <w:color w:val="000000" w:themeColor="text1"/>
          <w:kern w:val="0"/>
          <w:szCs w:val="32"/>
          <w14:textFill>
            <w14:solidFill>
              <w14:schemeClr w14:val="tx1"/>
            </w14:solidFill>
          </w14:textFill>
        </w:rPr>
        <w:t>分包人</w:t>
      </w:r>
      <w:r>
        <w:rPr>
          <w:rFonts w:eastAsia="仿宋_GB2312"/>
          <w:color w:val="000000" w:themeColor="text1"/>
          <w:kern w:val="0"/>
          <w:szCs w:val="32"/>
          <w14:textFill>
            <w14:solidFill>
              <w14:schemeClr w14:val="tx1"/>
            </w14:solidFill>
          </w14:textFill>
        </w:rPr>
        <w:t>拨付工人工资款项。</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7.6.5</w:t>
      </w:r>
      <w:r>
        <w:rPr>
          <w:rFonts w:hint="eastAsia"/>
          <w:color w:val="000000" w:themeColor="text1"/>
          <w14:textFill>
            <w14:solidFill>
              <w14:schemeClr w14:val="tx1"/>
            </w14:solidFill>
          </w14:textFill>
        </w:rPr>
        <w:t>分</w:t>
      </w:r>
      <w:r>
        <w:rPr>
          <w:color w:val="000000" w:themeColor="text1"/>
          <w14:textFill>
            <w14:solidFill>
              <w14:schemeClr w14:val="tx1"/>
            </w14:solidFill>
          </w14:textFill>
        </w:rPr>
        <w:t>包人设立工人工资支付专用账户、按时足额支付工人工资，不得拖欠工人工资或影响发包人施工许可证办理及施工进度等。否则，</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有权从应付分包人的工程款中直接向工人支付工资，可以按照工人的主张和工人提供的</w:t>
      </w:r>
      <w:r>
        <w:rPr>
          <w:rFonts w:hint="eastAsia"/>
          <w:color w:val="000000" w:themeColor="text1"/>
          <w14:textFill>
            <w14:solidFill>
              <w14:schemeClr w14:val="tx1"/>
            </w14:solidFill>
          </w14:textFill>
        </w:rPr>
        <w:t>初步</w:t>
      </w:r>
      <w:r>
        <w:rPr>
          <w:color w:val="000000" w:themeColor="text1"/>
          <w14:textFill>
            <w14:solidFill>
              <w14:schemeClr w14:val="tx1"/>
            </w14:solidFill>
          </w14:textFill>
        </w:rPr>
        <w:t>证明资料（如银行流水）确定发放金额，但</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不对金额的正确性负责，</w:t>
      </w:r>
      <w:r>
        <w:rPr>
          <w:rFonts w:hint="eastAsia"/>
          <w:color w:val="000000" w:themeColor="text1"/>
          <w14:textFill>
            <w14:solidFill>
              <w14:schemeClr w14:val="tx1"/>
            </w14:solidFill>
          </w14:textFill>
        </w:rPr>
        <w:t>分</w:t>
      </w:r>
      <w:r>
        <w:rPr>
          <w:color w:val="000000" w:themeColor="text1"/>
          <w14:textFill>
            <w14:solidFill>
              <w14:schemeClr w14:val="tx1"/>
            </w14:solidFill>
          </w14:textFill>
        </w:rPr>
        <w:t>包人有异议的，应自行与工人协商解决，</w:t>
      </w:r>
      <w:r>
        <w:rPr>
          <w:rFonts w:hint="eastAsia"/>
          <w:color w:val="000000" w:themeColor="text1"/>
          <w14:textFill>
            <w14:solidFill>
              <w14:schemeClr w14:val="tx1"/>
            </w14:solidFill>
          </w14:textFill>
        </w:rPr>
        <w:t>分包人按专用条款第22.1.9.9目承担相关违约责任</w:t>
      </w:r>
      <w:r>
        <w:rPr>
          <w:color w:val="000000" w:themeColor="text1"/>
          <w14:textFill>
            <w14:solidFill>
              <w14:schemeClr w14:val="tx1"/>
            </w14:solidFill>
          </w14:textFill>
        </w:rPr>
        <w:t>。</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4.7</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.6 承包人应当按照有关规定存储工资保证金，专项用于支付为所承包工程提供劳动的农民工被拖欠的工资。</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4.7.6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7 分包人与承包人或者分包人因工程数量、质量、造价等产生争议的，分包人也不得因争议不按照合同约定发放工资。</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4.7.6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8凡是分包人不按合同及有关规定按时足额支付相关款项（包括但不限于施工人员工资、设备材料采购货款等）而出现纠纷影响到承包人或发包人或政府有关部门的，分包人除应遵守本合同其它条款的约定外，还必须优先服从发包人的以下措施和指令：</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①分包人须在接到承包人通知后1小时内将工人领回；</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②承包人有权要求分包人携带现金前往承包人或发包人处或政府有关部门，现场支付所拖欠的工人工资合同价款；</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③承包人有权立即采取提取履约保函、扣除履约保证金、扣除工程进度款等方式，向施工人员或设备材料供应商支付其所拖欠的款项；</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④分包人法定代表人或项目负责人须在接到承包人通知后1小时内前往承包人或发包人处当面汇报对工人投诉或集体上访事件的处理方案；</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⑤分包人须在发生投诉或集体上访事件后3日内向承包人及发包人出具对事件的书面检查报告；</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⑥承包人有权上报省、市、区主管部门；</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⑦分包人在承包人要求的时间内不予处理的，承包人有权垫付有关费用并暂停支付工程进度款。</w:t>
      </w:r>
      <w:r>
        <w:rPr>
          <w:rFonts w:hint="eastAsia"/>
          <w:color w:val="000000" w:themeColor="text1"/>
          <w:lang w:bidi="ar"/>
          <w14:textFill>
            <w14:solidFill>
              <w14:schemeClr w14:val="tx1"/>
            </w14:solidFill>
          </w14:textFill>
        </w:rPr>
        <w:t>如分包人的款项不足以支付承包人所垫付的工资和相应的违约金与利息或损失的，应以分包人财产承担，承包人可按照农民工签字确认的拖欠工资总额，直接向法院申请对分包人的财产包括房产、汽车、现金、银行账户及其他资产等采取冻结、扣押、强制划拨、先予执行、先行给付等法律手段予以抵偿</w:t>
      </w:r>
      <w:r>
        <w:rPr>
          <w:rFonts w:hint="eastAsia"/>
          <w:color w:val="000000" w:themeColor="text1"/>
          <w14:textFill>
            <w14:solidFill>
              <w14:schemeClr w14:val="tx1"/>
            </w14:solidFill>
          </w14:textFill>
        </w:rPr>
        <w:t>。</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4.7.6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9 分包人应在施工现场醒目位置设立维权信息告示牌，明确标示建设单位、施工总承包企业及所在项目部、分包企业、行业监管部门等基本信息；明确标示劳动用工相关法律法规、当地最低工资标准、工资支付日期等信息；明确标示属地行业监管部门投诉举报电话和劳动争议调解仲裁、劳动保障监察投诉举报电话等信息，实现所有施工场地全覆盖。</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10承包人应无条件遵守《保障农民工工资支付条例》及当地关于农民工工资支付的要求，配合发包人办理相关事宜，包括设立工资保证金、设立农民工工资专用账户、按时足额支付工人工资、不得影响发包人施工许可证办理及施工进度等。因承包人未执行国家、地方相关保障农民工工资支付的规定（包括但不限于拒不通过农民工工资专用账户支付农民工工资），给发包人或承包人造成的一切经济损失与法律后果（包括但不限于行政部门对发包人的罚款、行政部门要求项目停工产生的停工损失、行政部门要求发包人垫付劳动者报酬等），均由承包人承担，并按照本专用合同条款相关约定承担违约责任。</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 xml:space="preserve"> 特别强调：任何情况下，分包人不得因延迟或推迟支付工人的工资而引发社会矛盾，从而影响承包人工程总进展及发包人的经营。如果因分包人延迟或推迟支付工人工资导致本工程发生下列事件：</w:t>
      </w:r>
    </w:p>
    <w:p>
      <w:pPr>
        <w:pStyle w:val="52"/>
        <w:ind w:firstLine="424" w:firstLineChars="202"/>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 分包人的工人直接向承包人或发包人要求支付工人工资的；</w:t>
      </w:r>
    </w:p>
    <w:p>
      <w:pPr>
        <w:pStyle w:val="52"/>
        <w:ind w:firstLine="424" w:firstLineChars="202"/>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）分包人在本工程被媒体披露欠薪的情况；</w:t>
      </w:r>
    </w:p>
    <w:p>
      <w:pPr>
        <w:pStyle w:val="52"/>
        <w:ind w:firstLine="424" w:firstLineChars="202"/>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 发生分包人工人因欠薪而有组织的上访；</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 工人因欠薪而引起的有组织的集会以及其他事件，尤其是对发包人的经营、工程进展产生影响的事件。</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以上事件每发生一次分包人不仅须限期支付处理该事件的费用，还应按如下约定向承包人承担违约责任</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1）应向承包人支付违约金额20万人民币；</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2）赔偿承包人因此产生的所有损失（如因此导致发包人产生损失的，由承包人赔偿发包人相应损失），包括第三方向承包人的索赔；</w:t>
      </w:r>
      <w:r>
        <w:rPr>
          <w:color w:val="000000" w:themeColor="text1"/>
          <w14:textFill>
            <w14:solidFill>
              <w14:schemeClr w14:val="tx1"/>
            </w14:solidFill>
          </w14:textFill>
        </w:rPr>
        <w:t xml:space="preserve"> </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3）经发包人书面同意，承包人有权解除合同；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4）作为供应商评价考核评审依据限制分包人参与发包人及其集团公司系统内的工程投标或承接工程的活动。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4.7.6.12承包人须按照《广州市建设领域工人工资支付分账管理实施细则》（穗建规字[2020]37号文）、关于印发《广州市建设领域施工企业工人工资支付保证金管理办法》的通知（穗人社规字[2019]7号文）等政府有关部门的文件执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4.7.6.13 承包人根据分包人提供的劳务人员工资表所列当期应付劳务工资总额，将等额的工程款支付到劳务人员工资发放专用账户，承包人对劳务人员工资专款专用，承包人应在财务账目中单独列项备查，不得挪作他用。</w:t>
      </w:r>
    </w:p>
    <w:p>
      <w:pPr>
        <w:pStyle w:val="52"/>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4.9 分包人</w:t>
      </w:r>
      <w:r>
        <w:rPr>
          <w:color w:val="000000" w:themeColor="text1"/>
          <w14:textFill>
            <w14:solidFill>
              <w14:schemeClr w14:val="tx1"/>
            </w14:solidFill>
          </w14:textFill>
        </w:rPr>
        <w:t>现场查勘：</w:t>
      </w:r>
    </w:p>
    <w:p>
      <w:pPr>
        <w:pStyle w:val="52"/>
        <w:ind w:firstLine="424" w:firstLineChars="202"/>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4.9.2. 承包人</w:t>
      </w:r>
      <w:r>
        <w:rPr>
          <w:color w:val="000000" w:themeColor="text1"/>
          <w14:textFill>
            <w14:solidFill>
              <w14:schemeClr w14:val="tx1"/>
            </w14:solidFill>
          </w14:textFill>
        </w:rPr>
        <w:t>向分包人提供的其他资料：</w:t>
      </w:r>
      <w:r>
        <w:rPr>
          <w:rFonts w:hint="eastAsia"/>
          <w:color w:val="000000" w:themeColor="text1"/>
          <w:u w:val="single"/>
          <w14:textFill>
            <w14:solidFill>
              <w14:schemeClr w14:val="tx1"/>
            </w14:solidFill>
          </w14:textFill>
        </w:rPr>
        <w:t>1、施工场地的地质勘探资料、地下管网线路、地下构筑物资料、现场水文气象资料。分包人应对其阅读上述有关资料后所作出的解释和推断负责。如因分包人原因造成损坏，由分包人负责维修并承担费用。2、承包人将水平控制点提供给分包人，并于现场交验。水平控制点交验完毕，即由分包人自费负责保护，此后由于破坏或失准带来的重新测量、放点费用及由此造成的其他损失均由分包人负担。</w:t>
      </w:r>
    </w:p>
    <w:p>
      <w:pPr>
        <w:pStyle w:val="52"/>
        <w:ind w:firstLine="487" w:firstLineChars="202"/>
        <w:rPr>
          <w:rFonts w:eastAsia="黑体"/>
          <w:b/>
          <w:bCs/>
          <w:color w:val="000000" w:themeColor="text1"/>
          <w:kern w:val="2"/>
          <w:sz w:val="24"/>
          <w14:textFill>
            <w14:solidFill>
              <w14:schemeClr w14:val="tx1"/>
            </w14:solidFill>
          </w14:textFill>
        </w:rPr>
      </w:pPr>
      <w:r>
        <w:rPr>
          <w:rFonts w:hint="eastAsia" w:eastAsia="黑体"/>
          <w:b/>
          <w:bCs/>
          <w:color w:val="000000" w:themeColor="text1"/>
          <w:kern w:val="2"/>
          <w:sz w:val="24"/>
          <w14:textFill>
            <w14:solidFill>
              <w14:schemeClr w14:val="tx1"/>
            </w14:solidFill>
          </w14:textFill>
        </w:rPr>
        <w:t>4.11.转包</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建设工程项目禁止转包或肢解后以分包名义进行转包。分包人存在下列情形之一的应认定为转包：</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①分包人将其承包的全部工程转给其他单位或个人施工的；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②分包人将其承包的全部工程肢解以后，以分包的名义分别转给其他单位或个人施工的；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③分包人通过采取合作、联营、个人承包等形式或名义，直接或变相将其他承包的全部工程转给其他单位或个人施工的。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④其他属于《建筑工程施工转包违法分包等违法行为认定查处管理办法（试行）》认定的转包情形。</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分包人出现以上转包情形的，经发包人书面同意，承包人有权单方解除合同，由此造成承包人或发包人损失的，由分包人负责赔偿。</w:t>
      </w:r>
    </w:p>
    <w:p>
      <w:pPr>
        <w:widowControl/>
        <w:spacing w:line="360" w:lineRule="auto"/>
        <w:ind w:firstLine="482" w:firstLineChars="200"/>
        <w:jc w:val="left"/>
        <w:rPr>
          <w:rFonts w:eastAsia="黑体"/>
          <w:b/>
          <w:bCs/>
          <w:color w:val="000000" w:themeColor="text1"/>
          <w:sz w:val="24"/>
          <w14:textFill>
            <w14:solidFill>
              <w14:schemeClr w14:val="tx1"/>
            </w14:solidFill>
          </w14:textFill>
        </w:rPr>
      </w:pPr>
      <w:r>
        <w:rPr>
          <w:rFonts w:hint="eastAsia" w:eastAsia="黑体"/>
          <w:b/>
          <w:bCs/>
          <w:color w:val="000000" w:themeColor="text1"/>
          <w:sz w:val="24"/>
          <w14:textFill>
            <w14:solidFill>
              <w14:schemeClr w14:val="tx1"/>
            </w14:solidFill>
          </w14:textFill>
        </w:rPr>
        <w:t>4.12.挂靠</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分包人存在下列情形之一的，应认定为挂靠：</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①分包人允许没有资质的单位或个人借用其资质承揽工程的；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②分包人通过采取合作、联营、个人承包等形式或名义，直接或变相将其承包的全部工程转给其他单位或个人施工的；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③分包人收到工程款后又将款项转拨给其他单位和个人，又不能进行合理解释并提供材料证明的；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④其他属于《建筑工程施工转包违法分包等违法行为认定查处管理办法（试行）》认定的挂靠情形。</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分包人出现以上挂靠情形的，经发包人同意，承包人有权单方解除合同，由此造成承包人或发包人损失的，由分包人负责赔偿。</w:t>
      </w:r>
    </w:p>
    <w:p>
      <w:pPr>
        <w:widowControl/>
        <w:spacing w:line="360" w:lineRule="auto"/>
        <w:ind w:firstLine="482"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黑体"/>
          <w:b/>
          <w:bCs/>
          <w:color w:val="000000" w:themeColor="text1"/>
          <w:sz w:val="24"/>
          <w:szCs w:val="32"/>
          <w14:textFill>
            <w14:solidFill>
              <w14:schemeClr w14:val="tx1"/>
            </w14:solidFill>
          </w14:textFill>
        </w:rPr>
        <w:t>4.13.遵守法律</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分包人在履行合同期间应遵守法律，并保证承包人免于承担因分包人违反法律而引起的任何责任。遵守国家、省、市有关社会信用体系建设工作的法律法规和部门规章，严格执行信用承诺制度，违背信用承诺约定时，承担违约责任，并依法承担相应法律责任。分包人在本工程项目中存在下列行为的，将被拒绝参与发包人及其集团系内后续工程项目的投标，拒绝投标时限由发包人视分包人违法、违规严重程度确定：</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①将中标工程转包或者违法再分包的；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②在中标工程中不执行质量、安全生产相关规定，造成严重质量或安全事故的；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③存在围标或串标情形的；</w:t>
      </w:r>
    </w:p>
    <w:p>
      <w:pPr>
        <w:widowControl/>
        <w:spacing w:line="360" w:lineRule="auto"/>
        <w:ind w:firstLine="420" w:firstLineChars="200"/>
        <w:jc w:val="left"/>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④存在弄虚作假骗取中标情形的；</w:t>
      </w:r>
    </w:p>
    <w:p>
      <w:pPr>
        <w:widowControl/>
        <w:spacing w:line="360" w:lineRule="auto"/>
        <w:ind w:firstLine="420" w:firstLineChars="200"/>
        <w:jc w:val="left"/>
        <w:rPr>
          <w:rFonts w:eastAsia="仿宋_GB2312"/>
          <w:color w:val="000000" w:themeColor="text1"/>
          <w:kern w:val="0"/>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⑤存在因过错行为被生效法律文书认定承担违约或侵权责任的；</w:t>
      </w:r>
    </w:p>
    <w:p>
      <w:pPr>
        <w:pStyle w:val="52"/>
        <w:ind w:firstLine="424" w:firstLineChars="202"/>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⑥分包人的不良行为导致发包人对其信用评价得分在60分以下或不及格的。</w:t>
      </w:r>
    </w:p>
    <w:p>
      <w:pPr>
        <w:pStyle w:val="73"/>
        <w:rPr>
          <w:color w:val="000000" w:themeColor="text1"/>
          <w14:textFill>
            <w14:solidFill>
              <w14:schemeClr w14:val="tx1"/>
            </w14:solidFill>
          </w14:textFill>
        </w:rPr>
      </w:pPr>
      <w:bookmarkStart w:id="628" w:name="_Toc38987274"/>
      <w:bookmarkStart w:id="629" w:name="_Toc44492570"/>
      <w:bookmarkStart w:id="630" w:name="_Toc44228157"/>
      <w:bookmarkStart w:id="631" w:name="_Toc19925"/>
      <w:bookmarkStart w:id="632" w:name="_Toc6484"/>
      <w:bookmarkStart w:id="633" w:name="_Toc18650"/>
      <w:bookmarkStart w:id="634" w:name="_Toc91082438"/>
      <w:r>
        <w:rPr>
          <w:rFonts w:hint="eastAsia"/>
          <w:color w:val="000000" w:themeColor="text1"/>
          <w14:textFill>
            <w14:solidFill>
              <w14:schemeClr w14:val="tx1"/>
            </w14:solidFill>
          </w14:textFill>
        </w:rPr>
        <w:t>5.材料和工程设备</w:t>
      </w:r>
      <w:bookmarkEnd w:id="628"/>
      <w:bookmarkEnd w:id="629"/>
      <w:bookmarkEnd w:id="630"/>
      <w:bookmarkEnd w:id="631"/>
      <w:bookmarkEnd w:id="632"/>
      <w:bookmarkEnd w:id="633"/>
      <w:bookmarkEnd w:id="634"/>
    </w:p>
    <w:p>
      <w:pPr>
        <w:pStyle w:val="77"/>
        <w:ind w:firstLine="480"/>
        <w:rPr>
          <w:color w:val="000000" w:themeColor="text1"/>
          <w14:textFill>
            <w14:solidFill>
              <w14:schemeClr w14:val="tx1"/>
            </w14:solidFill>
          </w14:textFill>
        </w:rPr>
      </w:pPr>
      <w:bookmarkStart w:id="635" w:name="_Toc44492571"/>
      <w:bookmarkStart w:id="636" w:name="_Toc27607"/>
      <w:bookmarkStart w:id="637" w:name="_Toc10882"/>
      <w:r>
        <w:rPr>
          <w:rFonts w:hint="eastAsia"/>
          <w:color w:val="000000" w:themeColor="text1"/>
          <w14:textFill>
            <w14:solidFill>
              <w14:schemeClr w14:val="tx1"/>
            </w14:solidFill>
          </w14:textFill>
        </w:rPr>
        <w:t>5.1. 分包人提供的材料和工程设备</w:t>
      </w:r>
      <w:bookmarkEnd w:id="635"/>
      <w:bookmarkEnd w:id="636"/>
      <w:bookmarkEnd w:id="637"/>
    </w:p>
    <w:p>
      <w:pPr>
        <w:pStyle w:val="52"/>
        <w:ind w:firstLine="42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5.1.1.甲控乙供的材料和工程设备详见合同附件4。分包人进场后7天内须完成材料设备品牌、系列型号的报审工作，包括：清单内的所有主材、设备、合同附件4约定的材料设备，有技术文件约定参数的材料设备，其他需要报审的材料设备。品牌报审同时完成以下计划申报工作：《材料设备进场计划》、《材料设备排产计划》。分包人原则上必须选用合同材料设备品牌推荐表（详合同附件4）中明确的材料设备品牌，并通过承包人报发包人审批同意后方可用于本合同工程。如分包人使用“或相当于的品牌”，则通过承包人报发包人最终书面确认后方可使用，如发包人认为该品牌不属于“或相当于的品牌”的，发包人有权通过承包人要求分包人按合同材料设备品牌推荐表确定最终选用品牌，且相关费用将不再增加。</w:t>
      </w:r>
    </w:p>
    <w:p>
      <w:pPr>
        <w:pStyle w:val="52"/>
        <w:ind w:firstLine="420"/>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5.1.2.发包人、承包人对分包人提供材料和工程设备的另行约定为：对于投标书中已承诺并经发包人确认的材料（设备），经总监理工程师和发包人、承包人核实，在施工当时已停产或施工当时有生产但市场上的数量不能满足施工需要的，若招标时发包人已提供参考品牌的，由发包人在推荐品牌中选择与投标书中已承诺材料同一档次或高一档次的品牌材料，主材或设备价格按原投标材料（设备）单价；若招标时发包人未明确参考品牌的，分包人须采购发包人认可的与其投标书承诺品牌同一档次的材料（设备），价格按原投标单价；若招标时发包人未明确参考品牌的，且分包人在其投标书中亦未对相关材料（设备）品牌进行承诺的，须采购满足相关技术要求且发包人认可的材料（设备），价格按原投标单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5.1.4. 分包人自行采购的材料设备，订货前至少3天（属监造设备的订货前至少/天），通过承包人审核后，由承包人向监理人及发包人提供相关的材料、设备文件（包括但不限于品牌、产地、规格、等级、技术性能指标检测检验报告等证明材料、设备满足图纸及技术文件要求，且与发包人推荐品牌相当档次的文件、资料），经承包人及发包人审批同意后方可采购；并对需要封样的产品进行三方封样, 作为进场验收和施工复核的依据。分包人所购材料设备必须是原厂、正品、全新的产品。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材料、设备所配套申报的生产及加工厂家、代理商需要满足招标文件中相关要求，并配合发包人进行相关考察，考察结果不能满足项目需求的，承包人或发包人有权拒绝使用该项产品。材料、设备进场前7天，需要向承包人和发包人提供分包人或其经发包人审批的相关厂家、授权代理商签订的供货合同、出厂合格证、各种产品质量认证证书、出厂试验报告、型式试验报告、第三方检测报告、相关保证函、厂家联系方式、验证方式、厂家确认的出货单等相关正规渠道出货证明，进口材料设备还需要提供报关单、原产地证明、商检证明文件，甲供材料还需签署：《材料设备收货单》、《材料设备领料单》。授权代理商须提供项目授权或年度授权证明。材料、设备、辅材的采购不得由劳务分包代购。材料、设备未附相关采购合同的，进度款中承包人不予支付相关材料、设备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分包人需要根据承包人及发包人要求制定材料设备的进场计划并与厂家制定材料设备排产计划和监造大纲。按监造大纲组织到厂监造。需监造的材料设备：</w:t>
      </w:r>
      <w:r>
        <w:rPr>
          <w:color w:val="000000" w:themeColor="text1"/>
          <w:u w:val="single"/>
          <w14:textFill>
            <w14:solidFill>
              <w14:schemeClr w14:val="tx1"/>
            </w14:solidFill>
          </w14:textFill>
        </w:rPr>
        <w:t xml:space="preserve"> / </w:t>
      </w:r>
      <w:r>
        <w:rPr>
          <w:rFonts w:hint="eastAsia"/>
          <w:color w:val="000000" w:themeColor="text1"/>
          <w14:textFill>
            <w14:solidFill>
              <w14:schemeClr w14:val="tx1"/>
            </w14:solidFill>
          </w14:textFill>
        </w:rPr>
        <w:t>。监造材料设备的相关费用根据各付各费原则各自承担。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自行采购的材料、设备（或元件）未按合同约定报承包人及发包人审批同意的，分包人应按该批材料、设备（或元件）的“数量×分项清单价”20％（且不少于1000元）支付违约金。承包人有权要求分包人拆除、退场或重新采购，并承担由此发生的费用，工期不予顺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原则上必须选用工程材料设备品牌推荐表中明确的材料设备品牌，并经承包人及发包人审批同意后方可用于本合同工程。对于分包人上报的品牌，经承包人核实后，报总监理工程师和发包人核实，在施工当时已停产或施工当时有生产但市场上的数量不能满足施工需要的，由发包人在推荐品牌中选定其他品牌材料（设备），主材或设备价格按原投标材料（设备）单价；若分包人使用材料设备品牌推荐表以外的同档次或更优产品的，主材或设备价格按原投标材料（设备）单价下浮30%计价；若招标时发包人未明确参考品牌的，分包人须采购发包人认可的与其投标书承诺品牌同一档次的材料（设备），价格按原投标单价；若招标时发包人未明确参考品牌的，且分包人在其投标书中亦未对相关材料（设备）品牌进行承诺的，须采购满足相关技术要求且发包人认可的材料（设备），价格按原投标单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发包人有权对原《甲控乙供材料设备一览表》的部分品牌进行更换或取消，对新增的材料设备品牌价格由双方协商确定。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对于垄断性（消防、电力、防雷、市政给水、排污、环保、燃气、网络通讯等）部门要求验收的材料，分包人必须使用在工程所在地有相关工程业绩的材料并提交相关工程业绩的证明。</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5.1.8.检测费用承担方式：</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合同工程相关的第三方检测由发包人另行委托，不在本合同范围内，发包人只承担相应的检测费，其他一切相关费用及工作均由分包人承担且已经包含在本合同价款内（包括但不限于：需提供检测所需的材料并承担材料及材料损耗及检测配合的相关费用）。除根据政策要求的第三方检测和监理相关检测外，根据工程实际情况，发包人对有疑问、高价值、对效果有重大影响、易产生不合格品的材料设备有权实施抽检，且分包人不得以该抽检工作为由提出工期索赔。检验的结果证明该项材料、设备不符合合同要求的，因此增加的费用由分包人承担；检验结果证明该项材料、设备符合合同要求的，由发包人承担因此增加的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各项检查中已经出现不合格品的材料、设备整改后需要加倍抽检或全检，分包人承担全额费用，工期不予顺延。不论是否通过发包人、监理人的抽查、验收，监理人及发包人对材料、设备的检验、抽查意见均不免除分包人提供的材料设备不符合合同约定的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5.1.9. 分包人采购和（或）使用不符合设计和合同要求的材料、设备（或元件）时，应按该批材料、设备（或元件）的“数量×分项清单价”20％（且不少于1000元）支付违约金。发包人或承包人有权要求分包人拆除、退场或重新采购，并承担由此发生的费用，工期不予顺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若分包人将假冒伪劣材料设备用于本工程，</w:t>
      </w:r>
      <w:r>
        <w:rPr>
          <w:rFonts w:hint="eastAsia"/>
          <w:color w:val="000000" w:themeColor="text1"/>
          <w:u w:val="single"/>
          <w14:textFill>
            <w14:solidFill>
              <w14:schemeClr w14:val="tx1"/>
            </w14:solidFill>
          </w14:textFill>
        </w:rPr>
        <w:t>则每发生一例，经发包人书面通知，承包人有权要求分包人承担相当于该批材料价款2倍的违约金，该款项直接从工程款中扣除，无需经分包人同意。</w:t>
      </w:r>
      <w:r>
        <w:rPr>
          <w:rFonts w:hint="eastAsia"/>
          <w:color w:val="000000" w:themeColor="text1"/>
          <w14:textFill>
            <w14:solidFill>
              <w14:schemeClr w14:val="tx1"/>
            </w14:solidFill>
          </w14:textFill>
        </w:rPr>
        <w:t xml:space="preserve"> 分包人并应无条件负责修复、拆除并将所购材料设备退场，并承担由此产生的一切费用及责任，由此延误的工期由分包人承担责任。 </w:t>
      </w:r>
    </w:p>
    <w:p>
      <w:pPr>
        <w:pStyle w:val="77"/>
        <w:ind w:firstLine="480"/>
        <w:rPr>
          <w:color w:val="000000" w:themeColor="text1"/>
          <w14:textFill>
            <w14:solidFill>
              <w14:schemeClr w14:val="tx1"/>
            </w14:solidFill>
          </w14:textFill>
        </w:rPr>
      </w:pPr>
      <w:bookmarkStart w:id="638" w:name="_Toc44492572"/>
      <w:bookmarkStart w:id="639" w:name="_Toc28464"/>
      <w:bookmarkStart w:id="640" w:name="_Toc9193"/>
      <w:r>
        <w:rPr>
          <w:rFonts w:hint="eastAsia"/>
          <w:color w:val="000000" w:themeColor="text1"/>
          <w14:textFill>
            <w14:solidFill>
              <w14:schemeClr w14:val="tx1"/>
            </w14:solidFill>
          </w14:textFill>
        </w:rPr>
        <w:t>5.2.   发包人提供的材料和工程设备</w:t>
      </w:r>
      <w:bookmarkEnd w:id="638"/>
      <w:bookmarkEnd w:id="639"/>
      <w:bookmarkEnd w:id="640"/>
    </w:p>
    <w:p>
      <w:pPr>
        <w:pStyle w:val="75"/>
        <w:ind w:firstLine="420"/>
        <w:rPr>
          <w:rFonts w:eastAsia="仿宋_GB2312"/>
          <w:b w:val="0"/>
          <w:color w:val="000000" w:themeColor="text1"/>
          <w14:textFill>
            <w14:solidFill>
              <w14:schemeClr w14:val="tx1"/>
            </w14:solidFill>
          </w14:textFill>
        </w:rPr>
      </w:pPr>
      <w:bookmarkStart w:id="641" w:name="_Toc10356"/>
      <w:r>
        <w:rPr>
          <w:rFonts w:hint="eastAsia" w:eastAsia="仿宋_GB2312"/>
          <w:b w:val="0"/>
          <w:color w:val="000000" w:themeColor="text1"/>
          <w14:textFill>
            <w14:solidFill>
              <w14:schemeClr w14:val="tx1"/>
            </w14:solidFill>
          </w14:textFill>
        </w:rPr>
        <w:t>5.2.1. 发包人提供的材料和工程设备清单：本合同无甲供材料及设备。</w:t>
      </w:r>
    </w:p>
    <w:bookmarkEnd w:id="641"/>
    <w:p>
      <w:pPr>
        <w:pStyle w:val="77"/>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5.4.</w:t>
      </w:r>
      <w:r>
        <w:rPr>
          <w:rFonts w:hint="eastAsia"/>
          <w:b/>
          <w:color w:val="000000" w:themeColor="text1"/>
          <w14:textFill>
            <w14:solidFill>
              <w14:schemeClr w14:val="tx1"/>
            </w14:solidFill>
          </w14:textFill>
        </w:rPr>
        <w:tab/>
      </w:r>
      <w:r>
        <w:rPr>
          <w:rFonts w:hint="eastAsia"/>
          <w:b/>
          <w:color w:val="000000" w:themeColor="text1"/>
          <w14:textFill>
            <w14:solidFill>
              <w14:schemeClr w14:val="tx1"/>
            </w14:solidFill>
          </w14:textFill>
        </w:rPr>
        <w:t>禁止使用不合格的材料和工程设备</w:t>
      </w:r>
    </w:p>
    <w:p>
      <w:pPr>
        <w:adjustRightInd w:val="0"/>
        <w:snapToGrid w:val="0"/>
        <w:spacing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5.4.4.分包人使用了不合格材料或工程设备，工程质量达不到标准要求，又拒绝整改的，分包人应按合同专用条款第22.1.9.3条第9）款约定承担违约责任。</w:t>
      </w:r>
    </w:p>
    <w:p>
      <w:pPr>
        <w:pStyle w:val="73"/>
        <w:rPr>
          <w:color w:val="000000" w:themeColor="text1"/>
          <w14:textFill>
            <w14:solidFill>
              <w14:schemeClr w14:val="tx1"/>
            </w14:solidFill>
          </w14:textFill>
        </w:rPr>
      </w:pPr>
      <w:bookmarkStart w:id="642" w:name="_Toc91082439"/>
      <w:bookmarkStart w:id="643" w:name="_Toc44492573"/>
      <w:bookmarkStart w:id="644" w:name="_Toc31629"/>
      <w:bookmarkStart w:id="645" w:name="_Toc13460"/>
      <w:bookmarkStart w:id="646" w:name="_Toc20736"/>
      <w:bookmarkStart w:id="647" w:name="_Toc38987275"/>
      <w:bookmarkStart w:id="648" w:name="_Toc44228158"/>
      <w:r>
        <w:rPr>
          <w:rFonts w:hint="eastAsia"/>
          <w:color w:val="000000" w:themeColor="text1"/>
          <w14:textFill>
            <w14:solidFill>
              <w14:schemeClr w14:val="tx1"/>
            </w14:solidFill>
          </w14:textFill>
        </w:rPr>
        <w:t>6.施工设备和临时设施</w:t>
      </w:r>
      <w:bookmarkEnd w:id="642"/>
      <w:bookmarkEnd w:id="643"/>
      <w:bookmarkEnd w:id="644"/>
      <w:bookmarkEnd w:id="645"/>
      <w:bookmarkEnd w:id="646"/>
      <w:bookmarkEnd w:id="647"/>
      <w:bookmarkEnd w:id="648"/>
    </w:p>
    <w:p>
      <w:pPr>
        <w:pStyle w:val="77"/>
        <w:ind w:firstLine="482"/>
        <w:rPr>
          <w:b/>
          <w:color w:val="000000" w:themeColor="text1"/>
          <w14:textFill>
            <w14:solidFill>
              <w14:schemeClr w14:val="tx1"/>
            </w14:solidFill>
          </w14:textFill>
        </w:rPr>
      </w:pPr>
      <w:bookmarkStart w:id="649" w:name="_Toc2314"/>
      <w:bookmarkStart w:id="650" w:name="_Toc44492574"/>
      <w:bookmarkStart w:id="651" w:name="_Toc25127"/>
      <w:r>
        <w:rPr>
          <w:rFonts w:hint="eastAsia"/>
          <w:b/>
          <w:color w:val="000000" w:themeColor="text1"/>
          <w14:textFill>
            <w14:solidFill>
              <w14:schemeClr w14:val="tx1"/>
            </w14:solidFill>
          </w14:textFill>
        </w:rPr>
        <w:t>6.1. 分包人提供的施工设备和临时设施</w:t>
      </w:r>
      <w:bookmarkEnd w:id="649"/>
      <w:bookmarkEnd w:id="650"/>
      <w:bookmarkEnd w:id="65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6.1.2. 分包人提供的施工设备或临时设施：</w:t>
      </w:r>
      <w:r>
        <w:rPr>
          <w:rFonts w:hint="eastAsia"/>
          <w:color w:val="000000" w:themeColor="text1"/>
          <w:u w:val="single"/>
          <w14:textFill>
            <w14:solidFill>
              <w14:schemeClr w14:val="tx1"/>
            </w14:solidFill>
          </w14:textFill>
        </w:rPr>
        <w:t xml:space="preserve"> </w:t>
      </w:r>
      <w:r>
        <w:rPr>
          <w:rFonts w:hint="eastAsia" w:hAnsi="宋体"/>
          <w:color w:val="000000" w:themeColor="text1"/>
          <w:u w:val="single"/>
          <w14:textFill>
            <w14:solidFill>
              <w14:schemeClr w14:val="tx1"/>
            </w14:solidFill>
          </w14:textFill>
        </w:rPr>
        <w:t>分包人提供的施工设备或临时设施不得低于分包人投标文件中明确的数量、规格及投入时间等承诺标准，详见本合同附件17《主要施工机械设备表》；如合同附件17中提供的施工设备或临时设施无法满足按约定的时间、质量标准等完成本合同工程的要求，分包人应自行增加、完善投入的施工设备和临时设施；如承包人认为分包人投入的施工设备或临时设施不足，已影响到工程进度、安全、质量，承包人有权要求分包人在</w:t>
      </w:r>
      <w:r>
        <w:rPr>
          <w:rFonts w:hAnsi="宋体"/>
          <w:color w:val="000000" w:themeColor="text1"/>
          <w:u w:val="single"/>
          <w14:textFill>
            <w14:solidFill>
              <w14:schemeClr w14:val="tx1"/>
            </w14:solidFill>
          </w14:textFill>
        </w:rPr>
        <w:t>48小时内增加及完善投入的施工设备和临时设施，否则分包人</w:t>
      </w:r>
      <w:r>
        <w:rPr>
          <w:rFonts w:hint="eastAsia" w:hAnsi="宋体"/>
          <w:color w:val="000000" w:themeColor="text1"/>
          <w:u w:val="single"/>
          <w14:textFill>
            <w14:solidFill>
              <w14:schemeClr w14:val="tx1"/>
            </w14:solidFill>
          </w14:textFill>
        </w:rPr>
        <w:t>每次</w:t>
      </w:r>
      <w:r>
        <w:rPr>
          <w:rFonts w:hAnsi="宋体"/>
          <w:color w:val="000000" w:themeColor="text1"/>
          <w:u w:val="single"/>
          <w14:textFill>
            <w14:solidFill>
              <w14:schemeClr w14:val="tx1"/>
            </w14:solidFill>
          </w14:textFill>
        </w:rPr>
        <w:t>须向发包人</w:t>
      </w:r>
      <w:r>
        <w:rPr>
          <w:rFonts w:hint="eastAsia" w:hAnsi="宋体"/>
          <w:color w:val="000000" w:themeColor="text1"/>
          <w:u w:val="single"/>
          <w14:textFill>
            <w14:solidFill>
              <w14:schemeClr w14:val="tx1"/>
            </w14:solidFill>
          </w14:textFill>
        </w:rPr>
        <w:t>按下述6.1.3条约定承担违约责任，且不免除工期违约责任。增加及完善投入的施工设备和临时设施相关费用由分包人承担，包含在签约合同价格中</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.1.3分包人不得以任何理由中途停工，或变相减少施工组织中规定的施工设备，否则经承包人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发包人和</w:t>
      </w:r>
      <w:r>
        <w:rPr>
          <w:rFonts w:hint="eastAsia"/>
          <w:color w:val="000000" w:themeColor="text1"/>
          <w14:textFill>
            <w14:solidFill>
              <w14:schemeClr w14:val="tx1"/>
            </w14:solidFill>
          </w14:textFill>
        </w:rPr>
        <w:t>监理人</w:t>
      </w:r>
      <w:r>
        <w:rPr>
          <w:color w:val="000000" w:themeColor="text1"/>
          <w14:textFill>
            <w14:solidFill>
              <w14:schemeClr w14:val="tx1"/>
            </w14:solidFill>
          </w14:textFill>
        </w:rPr>
        <w:t>确认，视为分包人违约，违约金规定如下：施工</w:t>
      </w:r>
      <w:r>
        <w:rPr>
          <w:color w:val="000000" w:themeColor="text1"/>
          <w:u w:val="single"/>
          <w14:textFill>
            <w14:solidFill>
              <w14:schemeClr w14:val="tx1"/>
            </w14:solidFill>
          </w14:textFill>
        </w:rPr>
        <w:t>设备</w:t>
      </w:r>
      <w:r>
        <w:rPr>
          <w:rFonts w:hint="eastAsia"/>
          <w:color w:val="000000" w:themeColor="text1"/>
          <w:u w:val="single"/>
          <w14:textFill>
            <w14:solidFill>
              <w14:schemeClr w14:val="tx1"/>
            </w14:solidFill>
          </w14:textFill>
        </w:rPr>
        <w:t>2</w:t>
      </w:r>
      <w:r>
        <w:rPr>
          <w:color w:val="000000" w:themeColor="text1"/>
          <w:u w:val="single"/>
          <w14:textFill>
            <w14:solidFill>
              <w14:schemeClr w14:val="tx1"/>
            </w14:solidFill>
          </w14:textFill>
        </w:rPr>
        <w:t>000元/台/天</w:t>
      </w:r>
      <w:r>
        <w:rPr>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6.1.4 分包人施工所需的临时设施应全部在拟建工程占地范围内布置，承包人不提供额外的施工用地。如果分包人出于任何正当的理由，要求临时占用任何额外的施工用地，应尽可能协助分包人获得其所需的临时用地，但所有的费用都应由分包人承担。承包人不承诺保证获得或提供分包人要求的任何临时用地。</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6.1.5 分包人应绘制场地平面布置图，编制施工场地布置方案报承包人、监理人审批、发包人认可，场地布置应满足办公、生活、施工、消防、环保、污水处理一体化等要求。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6.1.6 分包人的</w:t>
      </w:r>
      <w:r>
        <w:rPr>
          <w:rFonts w:hint="eastAsia" w:hAnsi="宋体"/>
          <w:color w:val="000000" w:themeColor="text1"/>
          <w14:textFill>
            <w14:solidFill>
              <w14:schemeClr w14:val="tx1"/>
            </w14:solidFill>
          </w14:textFill>
        </w:rPr>
        <w:t>施工人员住宿由分包人自行于工地范围外解决并自行考虑住宿费用。本工程场地不能保证场地内材料存放与加工布置需求，分包人应根据现场踏勘情况及施工组织需求综合自行考虑所连带发生的相关费用。</w:t>
      </w:r>
    </w:p>
    <w:p>
      <w:pPr>
        <w:pStyle w:val="77"/>
        <w:ind w:firstLine="482"/>
        <w:rPr>
          <w:b/>
          <w:color w:val="000000" w:themeColor="text1"/>
          <w14:textFill>
            <w14:solidFill>
              <w14:schemeClr w14:val="tx1"/>
            </w14:solidFill>
          </w14:textFill>
        </w:rPr>
      </w:pPr>
      <w:bookmarkStart w:id="652" w:name="_Toc18204"/>
      <w:bookmarkStart w:id="653" w:name="_Toc17285"/>
      <w:bookmarkStart w:id="654" w:name="_Toc44492575"/>
      <w:r>
        <w:rPr>
          <w:rFonts w:hint="eastAsia"/>
          <w:b/>
          <w:color w:val="000000" w:themeColor="text1"/>
          <w14:textFill>
            <w14:solidFill>
              <w14:schemeClr w14:val="tx1"/>
            </w14:solidFill>
          </w14:textFill>
        </w:rPr>
        <w:t>6.2. 承包人提供的施工设备和临时设施</w:t>
      </w:r>
      <w:bookmarkEnd w:id="652"/>
      <w:bookmarkEnd w:id="653"/>
      <w:bookmarkEnd w:id="654"/>
    </w:p>
    <w:p>
      <w:pPr>
        <w:pStyle w:val="52"/>
        <w:ind w:firstLine="420"/>
        <w:rPr>
          <w:color w:val="000000" w:themeColor="text1"/>
          <w14:textFill>
            <w14:solidFill>
              <w14:schemeClr w14:val="tx1"/>
            </w14:solidFill>
          </w14:textFill>
        </w:rPr>
      </w:pPr>
      <w:r>
        <w:rPr>
          <w:rFonts w:hint="eastAsia" w:hAnsi="宋体"/>
          <w:color w:val="000000" w:themeColor="text1"/>
          <w14:textFill>
            <w14:solidFill>
              <w14:schemeClr w14:val="tx1"/>
            </w14:solidFill>
          </w14:textFill>
        </w:rPr>
        <w:t>6.2.1. 承包人提供的施工设备或临时设施：</w:t>
      </w:r>
      <w:r>
        <w:rPr>
          <w:rFonts w:hint="eastAsia" w:hAnsi="宋体"/>
          <w:color w:val="000000" w:themeColor="text1"/>
          <w:u w:val="single"/>
          <w14:textFill>
            <w14:solidFill>
              <w14:schemeClr w14:val="tx1"/>
            </w14:solidFill>
          </w14:textFill>
        </w:rPr>
        <w:t>详见合同附件6。</w:t>
      </w:r>
    </w:p>
    <w:p>
      <w:pPr>
        <w:pStyle w:val="73"/>
        <w:rPr>
          <w:color w:val="000000" w:themeColor="text1"/>
          <w14:textFill>
            <w14:solidFill>
              <w14:schemeClr w14:val="tx1"/>
            </w14:solidFill>
          </w14:textFill>
        </w:rPr>
      </w:pPr>
      <w:bookmarkStart w:id="655" w:name="_Toc44492576"/>
      <w:bookmarkStart w:id="656" w:name="_Toc16549"/>
      <w:bookmarkStart w:id="657" w:name="_Toc19119"/>
      <w:bookmarkStart w:id="658" w:name="_Toc44228159"/>
      <w:bookmarkStart w:id="659" w:name="_Toc91082440"/>
      <w:bookmarkStart w:id="660" w:name="_Toc21484"/>
      <w:bookmarkStart w:id="661" w:name="_Toc38987276"/>
      <w:r>
        <w:rPr>
          <w:rFonts w:hint="eastAsia"/>
          <w:color w:val="000000" w:themeColor="text1"/>
          <w14:textFill>
            <w14:solidFill>
              <w14:schemeClr w14:val="tx1"/>
            </w14:solidFill>
          </w14:textFill>
        </w:rPr>
        <w:t>7.交通运输</w:t>
      </w:r>
      <w:bookmarkEnd w:id="655"/>
      <w:bookmarkEnd w:id="656"/>
      <w:bookmarkEnd w:id="657"/>
      <w:bookmarkEnd w:id="658"/>
      <w:bookmarkEnd w:id="659"/>
      <w:bookmarkEnd w:id="660"/>
      <w:bookmarkEnd w:id="661"/>
    </w:p>
    <w:p>
      <w:pPr>
        <w:pStyle w:val="77"/>
        <w:ind w:firstLine="480"/>
        <w:rPr>
          <w:color w:val="000000" w:themeColor="text1"/>
          <w14:textFill>
            <w14:solidFill>
              <w14:schemeClr w14:val="tx1"/>
            </w14:solidFill>
          </w14:textFill>
        </w:rPr>
      </w:pPr>
      <w:bookmarkStart w:id="662" w:name="_Toc44492577"/>
      <w:bookmarkStart w:id="663" w:name="_Toc18123"/>
      <w:bookmarkStart w:id="664" w:name="_Toc20281"/>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场外交通</w:t>
      </w:r>
      <w:bookmarkEnd w:id="662"/>
      <w:bookmarkEnd w:id="663"/>
      <w:bookmarkEnd w:id="66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 xml:space="preserve"> 分包人车辆外出行驶所需的场外公共道路的通行费、养路费和税款等由分包人自行承担。</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 xml:space="preserve">7.1.3 </w:t>
      </w:r>
      <w:r>
        <w:rPr>
          <w:rFonts w:hint="eastAsia"/>
          <w:color w:val="000000" w:themeColor="text1"/>
          <w14:textFill>
            <w14:solidFill>
              <w14:schemeClr w14:val="tx1"/>
            </w14:solidFill>
          </w14:textFill>
        </w:rPr>
        <w:t>因分包人施工措施配置需求导致场外临时道路用地范围内的绿化迁移、地面附着物拆迁、管线迁改等工作（如需），相关费用由分包人自行承担。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.1.4 </w:t>
      </w:r>
      <w:r>
        <w:rPr>
          <w:rFonts w:hint="eastAsia"/>
          <w:color w:val="000000" w:themeColor="text1"/>
          <w14:textFill>
            <w14:solidFill>
              <w14:schemeClr w14:val="tx1"/>
            </w14:solidFill>
          </w14:textFill>
        </w:rPr>
        <w:t>使用于本项目的泥头车、搅拌车和非道路移动工程机械应满足国家和地方现行法规、政策、规范的全部要求，相关费用（包括环保要求、外运弃置费用等）均已考虑并全部包含在合同价款当中。</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超大件和超重件的运输</w:t>
      </w:r>
    </w:p>
    <w:p>
      <w:pPr>
        <w:adjustRightInd w:val="0"/>
        <w:snapToGrid w:val="0"/>
        <w:spacing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宋体" w:hAnsi="宋体"/>
          <w:color w:val="000000" w:themeColor="text1"/>
          <w14:textFill>
            <w14:solidFill>
              <w14:schemeClr w14:val="tx1"/>
            </w14:solidFill>
          </w14:textFill>
        </w:rPr>
        <w:t>7.3.1.</w:t>
      </w:r>
      <w:r>
        <w:rPr>
          <w:rFonts w:hint="eastAsia" w:ascii="宋体" w:hAnsi="宋体"/>
          <w:color w:val="000000" w:themeColor="text1"/>
          <w14:textFill>
            <w14:solidFill>
              <w14:schemeClr w14:val="tx1"/>
            </w14:solidFill>
          </w14:textFill>
        </w:rPr>
        <w:tab/>
      </w:r>
      <w:r>
        <w:rPr>
          <w:rFonts w:hint="eastAsia" w:ascii="Times New Roman" w:hAnsi="Times New Roman" w:eastAsia="仿宋_GB2312"/>
          <w:color w:val="000000" w:themeColor="text1"/>
          <w:kern w:val="0"/>
          <w:szCs w:val="32"/>
          <w14:textFill>
            <w14:solidFill>
              <w14:schemeClr w14:val="tx1"/>
            </w14:solidFill>
          </w14:textFill>
        </w:rPr>
        <w:t>由分包人负责运输的超大件或超重件，应由分包人负责向交通管理部门办理申请手续。运输超大件或超重件所需的道路和桥梁临时加固改造费用和其他有关费用，由分包人承担。</w:t>
      </w:r>
    </w:p>
    <w:p>
      <w:pPr>
        <w:pStyle w:val="73"/>
        <w:rPr>
          <w:color w:val="000000" w:themeColor="text1"/>
          <w14:textFill>
            <w14:solidFill>
              <w14:schemeClr w14:val="tx1"/>
            </w14:solidFill>
          </w14:textFill>
        </w:rPr>
      </w:pPr>
      <w:bookmarkStart w:id="665" w:name="_Toc30971"/>
      <w:bookmarkStart w:id="666" w:name="_Toc91082441"/>
      <w:bookmarkStart w:id="667" w:name="_Toc18052"/>
      <w:bookmarkStart w:id="668" w:name="_Toc38987277"/>
      <w:bookmarkStart w:id="669" w:name="_Toc44492578"/>
      <w:bookmarkStart w:id="670" w:name="_Toc44228160"/>
      <w:bookmarkStart w:id="671" w:name="_Toc13069"/>
      <w:r>
        <w:rPr>
          <w:rFonts w:hint="eastAsia"/>
          <w:color w:val="000000" w:themeColor="text1"/>
          <w14:textFill>
            <w14:solidFill>
              <w14:schemeClr w14:val="tx1"/>
            </w14:solidFill>
          </w14:textFill>
        </w:rPr>
        <w:t>8.测量放线</w:t>
      </w:r>
      <w:bookmarkEnd w:id="665"/>
      <w:bookmarkEnd w:id="666"/>
      <w:bookmarkEnd w:id="667"/>
      <w:bookmarkEnd w:id="668"/>
      <w:bookmarkEnd w:id="669"/>
      <w:bookmarkEnd w:id="670"/>
      <w:bookmarkEnd w:id="671"/>
      <w:bookmarkStart w:id="672" w:name="_Toc38987278"/>
    </w:p>
    <w:p>
      <w:pPr>
        <w:adjustRightInd w:val="0"/>
        <w:snapToGrid w:val="0"/>
        <w:spacing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8.2.关于测量放线的其他约定：</w:t>
      </w:r>
    </w:p>
    <w:p>
      <w:pPr>
        <w:adjustRightInd w:val="0"/>
        <w:snapToGrid w:val="0"/>
        <w:spacing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8.2.1承包人应向分包人提供测量基准点、基准线和水准点及其书面资料。分包人应根据国家测绘基准、测绘系统和工程测量技术规范，按上述基准点（线）以及合同工程精度要求，测设施工控制网，将施工控制网资料报承包人审核并报送监理人审批。</w:t>
      </w:r>
    </w:p>
    <w:p>
      <w:pPr>
        <w:adjustRightInd w:val="0"/>
        <w:snapToGrid w:val="0"/>
        <w:spacing w:line="360" w:lineRule="auto"/>
        <w:ind w:firstLine="420" w:firstLineChars="200"/>
        <w:rPr>
          <w:rFonts w:ascii="Times New Roman" w:hAnsi="Times New Roman"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8.2.2分包人应对承包人移交的测量基准点进行复核并负责管理施工控制网点。施工控制网点丢失或损坏的，分包人应及时修复。分包人应承担施工控制网点的管理与修复费用，并在工程竣工后将施工控制网点移交承包人或发包人。</w:t>
      </w:r>
    </w:p>
    <w:p>
      <w:pPr>
        <w:pStyle w:val="73"/>
        <w:rPr>
          <w:color w:val="000000" w:themeColor="text1"/>
          <w14:textFill>
            <w14:solidFill>
              <w14:schemeClr w14:val="tx1"/>
            </w14:solidFill>
          </w14:textFill>
        </w:rPr>
      </w:pPr>
      <w:bookmarkStart w:id="673" w:name="_Toc16520"/>
      <w:bookmarkStart w:id="674" w:name="_Toc44228161"/>
      <w:bookmarkStart w:id="675" w:name="_Toc44492579"/>
      <w:bookmarkStart w:id="676" w:name="_Toc91082442"/>
      <w:bookmarkStart w:id="677" w:name="_Toc23381"/>
      <w:bookmarkStart w:id="678" w:name="_Toc23142"/>
      <w:r>
        <w:rPr>
          <w:rFonts w:hint="eastAsia"/>
          <w:color w:val="000000" w:themeColor="text1"/>
          <w14:textFill>
            <w14:solidFill>
              <w14:schemeClr w14:val="tx1"/>
            </w14:solidFill>
          </w14:textFill>
        </w:rPr>
        <w:t>9.施工安全、治安保卫和环境保护</w:t>
      </w:r>
      <w:bookmarkEnd w:id="672"/>
      <w:bookmarkEnd w:id="673"/>
      <w:bookmarkEnd w:id="674"/>
      <w:bookmarkEnd w:id="675"/>
      <w:bookmarkEnd w:id="676"/>
      <w:bookmarkEnd w:id="677"/>
      <w:bookmarkEnd w:id="678"/>
    </w:p>
    <w:p>
      <w:pPr>
        <w:pStyle w:val="77"/>
        <w:ind w:firstLine="480"/>
        <w:rPr>
          <w:color w:val="000000" w:themeColor="text1"/>
          <w14:textFill>
            <w14:solidFill>
              <w14:schemeClr w14:val="tx1"/>
            </w14:solidFill>
          </w14:textFill>
        </w:rPr>
      </w:pPr>
      <w:bookmarkStart w:id="679" w:name="_Toc44492580"/>
      <w:bookmarkStart w:id="680" w:name="_Toc28038"/>
      <w:bookmarkStart w:id="681" w:name="_Toc30574"/>
      <w:r>
        <w:rPr>
          <w:rFonts w:hint="eastAsia"/>
          <w:color w:val="000000" w:themeColor="text1"/>
          <w14:textFill>
            <w14:solidFill>
              <w14:schemeClr w14:val="tx1"/>
            </w14:solidFill>
          </w14:textFill>
        </w:rPr>
        <w:t>9.1.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分包人的施工安全责任</w:t>
      </w:r>
      <w:bookmarkEnd w:id="679"/>
      <w:bookmarkEnd w:id="680"/>
      <w:bookmarkEnd w:id="68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9.1.2. 分包人向承包人、监理人及发包人报送施工安全措施计划的期限：</w:t>
      </w:r>
      <w:r>
        <w:rPr>
          <w:rFonts w:hint="eastAsia" w:hAnsi="宋体"/>
          <w:color w:val="000000" w:themeColor="text1"/>
          <w:u w:val="single"/>
          <w14:textFill>
            <w14:solidFill>
              <w14:schemeClr w14:val="tx1"/>
            </w14:solidFill>
          </w14:textFill>
        </w:rPr>
        <w:t>进场后</w:t>
      </w:r>
      <w:r>
        <w:rPr>
          <w:rFonts w:hAnsi="宋体"/>
          <w:color w:val="000000" w:themeColor="text1"/>
          <w:u w:val="single"/>
          <w14:textFill>
            <w14:solidFill>
              <w14:schemeClr w14:val="tx1"/>
            </w14:solidFill>
          </w14:textFill>
        </w:rPr>
        <w:t>3天内</w:t>
      </w:r>
      <w:r>
        <w:rPr>
          <w:rFonts w:hint="eastAsia" w:hAnsi="宋体"/>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9.1.11. 分包人须对其承包范围内（含其分包人）的施工安全进行统一管理，因安全管理问题而引致的损失、被索赔及罚款均由分包人负责。分包人须在开工前7天，提交安全施工管理方案、安全负责人及安全管理团队的名称和资历通过承包人报发包人审批，安全管理团队应与中标文件保持一致。未经发包人及承包人书面同意，分包人不得擅自更换安全负责人，否则分包人应按本合同专用</w:t>
      </w:r>
      <w:r>
        <w:rPr>
          <w:color w:val="000000" w:themeColor="text1"/>
          <w14:textFill>
            <w14:solidFill>
              <w14:schemeClr w14:val="tx1"/>
            </w14:solidFill>
          </w14:textFill>
        </w:rPr>
        <w:t>条款</w:t>
      </w:r>
      <w:r>
        <w:rPr>
          <w:rFonts w:hint="eastAsia"/>
          <w:color w:val="000000" w:themeColor="text1"/>
          <w14:textFill>
            <w14:solidFill>
              <w14:schemeClr w14:val="tx1"/>
            </w14:solidFill>
          </w14:textFill>
        </w:rPr>
        <w:t>第</w:t>
      </w:r>
      <w:r>
        <w:rPr>
          <w:color w:val="000000" w:themeColor="text1"/>
          <w:szCs w:val="21"/>
          <w14:textFill>
            <w14:solidFill>
              <w14:schemeClr w14:val="tx1"/>
            </w14:solidFill>
          </w14:textFill>
        </w:rPr>
        <w:t>22.1</w:t>
      </w:r>
      <w:r>
        <w:rPr>
          <w:rFonts w:hint="eastAsia"/>
          <w:color w:val="000000" w:themeColor="text1"/>
          <w:szCs w:val="21"/>
          <w14:textFill>
            <w14:solidFill>
              <w14:schemeClr w14:val="tx1"/>
            </w14:solidFill>
          </w14:textFill>
        </w:rPr>
        <w:t>.9.1目第</w:t>
      </w: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）点约定</w:t>
      </w:r>
      <w:r>
        <w:rPr>
          <w:color w:val="000000" w:themeColor="text1"/>
          <w:szCs w:val="21"/>
          <w14:textFill>
            <w14:solidFill>
              <w14:schemeClr w14:val="tx1"/>
            </w14:solidFill>
          </w14:textFill>
        </w:rPr>
        <w:t>支付违约金</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9.1.12. 安全作业环境及安全施工措施所需费用，已包含在本合同签约合同价格中。</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分包人应当加强对台风、暴雨、洪水、雷暴等自然灾害的预防。对于因自然灾害可能导致事故灾难的隐患，应当按照有关法律、法规、标准的要求排查治理，采取可靠的预防措施，制定应急预案。在接到有关自然灾害预报时，应当及时发出预警通知;发生自然灾害可能危及人员安全的情况时，应当采取撤离人员、停止作业、加强监测等安全措施，并及时向当地人民政府及其有关部门报告。如分包人未及时采取上述预防措施和安全措施的，造成的损失及扩大损失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9.1.14 分包人应遵守本项目承包人的有关现场安全的相关规定，并按本合同附件《安全管理专篇》中要求落实其承包范围内的安全措施并负安全责任，违约的应按《安全管理专篇》违约条款向承包人支付违约金。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9.1.15 分包人应严格遵守发包人及其上级公司已颁布和合同签订后再颁布的安全生产、环境保护等方面制度。</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9.1.16 发包人及其上级单位根据公司制度对分包人定期进行安全生产考核，分包人应无条件配合。发包人可将本合同分包人履约情况及时通报上级单位粤海集团。粤海集团有权对分包人的履约情况进行评价（含扣分处理），有权对粤海集团系内承包商进行统筹考核排名并在粤海集团及其下属公司范围内进行公示。</w:t>
      </w:r>
    </w:p>
    <w:p>
      <w:pPr>
        <w:pStyle w:val="77"/>
        <w:ind w:firstLine="480"/>
        <w:rPr>
          <w:color w:val="000000" w:themeColor="text1"/>
          <w14:textFill>
            <w14:solidFill>
              <w14:schemeClr w14:val="tx1"/>
            </w14:solidFill>
          </w14:textFill>
        </w:rPr>
      </w:pPr>
      <w:bookmarkStart w:id="682" w:name="_Toc3355"/>
      <w:bookmarkStart w:id="683" w:name="_Toc19840"/>
      <w:bookmarkStart w:id="684" w:name="_Toc24193085"/>
      <w:bookmarkStart w:id="685" w:name="_Toc44492581"/>
      <w:r>
        <w:rPr>
          <w:rFonts w:hint="eastAsia"/>
          <w:color w:val="000000" w:themeColor="text1"/>
          <w14:textFill>
            <w14:solidFill>
              <w14:schemeClr w14:val="tx1"/>
            </w14:solidFill>
          </w14:textFill>
        </w:rPr>
        <w:t>9.2.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治安保卫</w:t>
      </w:r>
      <w:bookmarkEnd w:id="682"/>
      <w:bookmarkEnd w:id="683"/>
      <w:bookmarkEnd w:id="684"/>
      <w:bookmarkEnd w:id="68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9.2.1 通用条款9.2.1修订为：分包人除遵守承包人现场治安管理要求并维护施工场地的社会治安外，还应做好其承包范围内（包括生活区在内）的管辖区的治安保卫工作并负直接责任。</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9.3 环境保护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9.3.5 分包人应按照当地政府要求，完善各项环境保护措施，相关费用已包含在合同暂定价款内。</w:t>
      </w:r>
    </w:p>
    <w:p>
      <w:pPr>
        <w:adjustRightInd w:val="0"/>
        <w:snapToGrid w:val="0"/>
        <w:spacing w:line="360" w:lineRule="auto"/>
        <w:ind w:firstLine="480" w:firstLineChars="200"/>
        <w:rPr>
          <w:rFonts w:ascii="Times New Roman" w:hAnsi="Times New Roman" w:eastAsia="黑体"/>
          <w:bCs/>
          <w:color w:val="000000" w:themeColor="text1"/>
          <w:sz w:val="24"/>
          <w:szCs w:val="32"/>
          <w14:textFill>
            <w14:solidFill>
              <w14:schemeClr w14:val="tx1"/>
            </w14:solidFill>
          </w14:textFill>
        </w:rPr>
      </w:pPr>
      <w:r>
        <w:rPr>
          <w:rFonts w:hint="eastAsia" w:ascii="Times New Roman" w:hAnsi="Times New Roman" w:eastAsia="黑体"/>
          <w:bCs/>
          <w:color w:val="000000" w:themeColor="text1"/>
          <w:sz w:val="24"/>
          <w:szCs w:val="32"/>
          <w14:textFill>
            <w14:solidFill>
              <w14:schemeClr w14:val="tx1"/>
            </w14:solidFill>
          </w14:textFill>
        </w:rPr>
        <w:t>9.4.</w:t>
      </w:r>
      <w:r>
        <w:rPr>
          <w:rFonts w:hint="eastAsia" w:ascii="Times New Roman" w:hAnsi="Times New Roman" w:eastAsia="黑体"/>
          <w:bCs/>
          <w:color w:val="000000" w:themeColor="text1"/>
          <w:sz w:val="24"/>
          <w:szCs w:val="32"/>
          <w14:textFill>
            <w14:solidFill>
              <w14:schemeClr w14:val="tx1"/>
            </w14:solidFill>
          </w14:textFill>
        </w:rPr>
        <w:tab/>
      </w:r>
      <w:r>
        <w:rPr>
          <w:rFonts w:hint="eastAsia" w:ascii="Times New Roman" w:hAnsi="Times New Roman" w:eastAsia="黑体"/>
          <w:bCs/>
          <w:color w:val="000000" w:themeColor="text1"/>
          <w:sz w:val="24"/>
          <w:szCs w:val="32"/>
          <w14:textFill>
            <w14:solidFill>
              <w14:schemeClr w14:val="tx1"/>
            </w14:solidFill>
          </w14:textFill>
        </w:rPr>
        <w:t>事故处理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9.4.3 本合同有关施工安全、治安保卫和环境保护的事故违约责任按本合同附件9和15及本合同其他条款及附件约定执行。</w:t>
      </w:r>
    </w:p>
    <w:p>
      <w:pPr>
        <w:pStyle w:val="52"/>
        <w:ind w:firstLine="480"/>
        <w:rPr>
          <w:rFonts w:eastAsia="黑体"/>
          <w:bCs/>
          <w:color w:val="000000" w:themeColor="text1"/>
          <w:kern w:val="2"/>
          <w:sz w:val="24"/>
          <w14:textFill>
            <w14:solidFill>
              <w14:schemeClr w14:val="tx1"/>
            </w14:solidFill>
          </w14:textFill>
        </w:rPr>
      </w:pPr>
      <w:r>
        <w:rPr>
          <w:rFonts w:hint="eastAsia" w:eastAsia="黑体"/>
          <w:bCs/>
          <w:color w:val="000000" w:themeColor="text1"/>
          <w:kern w:val="2"/>
          <w:sz w:val="24"/>
          <w14:textFill>
            <w14:solidFill>
              <w14:schemeClr w14:val="tx1"/>
            </w14:solidFill>
          </w14:textFill>
        </w:rPr>
        <w:t>9.5 绿色施工安全防护措施</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9.5.1分包人的绿色施工安全防护措施除满足国家、规章、规范及当地相关政府主管部门要求外，还需满足以下要求：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应严格遵守国家及地方政府颁发的安全施工、文明施工等规范、条例。发包人和监理人及承包人的现场施工管理规定是本合同的组成部分，分包人有义务遵守。分包人施工用设施的搭设应报监理批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（2）分包人现场办公室应配置安全、完好的办公设备，包括复印机、电脑、打印机、传真机等。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（3）分包人全体现场施工人员应统一管理，全部施工人员应佩带工作牌。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施工期间，所有机械、工具、材料等应堆放整齐，场地平整。施工过程中分包人承包范围内每个楼层的多余材料、建筑垃圾必须通过井架或垃圾槽运输到承包人指定位置，严禁从高空直接向下抛物，所有绿色施工安全防护措施标注必须符合规范、当地政府主管部门、承包人、发包人及监理人要求。文明施工措施费应包含在投标报价中，若漏报，则视为让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（5）施工用设备及场地要求具体要求包括不限于以下内容：</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现场临电的低压配电系统均必须为三相五线制，分包人的现场用电必须至少有两级漏电开关，分包人的漏电开关必须至少接在分包人其中一级的漏电开关之后。分包人对分包人用电进行管理，违反上述约定应对分包人进行处罚。</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）须在项目施工场地车辆出入口位置设车辆冲洗装置（须自动喷淋洗车池）和排水沟、沉沙池，并安排24小时不少于2人进行冲洗，冲洗水宜循环重复利用，保证带有泥土的车辆经冲洗后才能驶入城市街道。</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分包人进场后不按上述要求施工的，则承包人有权委托第三方单位施工，并扣减分包人对应的合同价款。同时，分包人应按第三方施工单位所有实际施工费用的2倍向发包人支付违约金，且承包人有权从向分包人支付的工程款中直接扣减。</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）对于发包人或监理下发的安全文明整改通知单，分包人必须无条件予以整改并达到承包人、发包人验收要求，否则按违约处理，承包人有权利在分包人应付工程款中直接扣除相应的违约金。</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分包人为本合同承包范围内的现场绿色施工安全防护措施的责任单位，有权利和责任管理其项下分包的绿色施工安全防护措施并应与分包方在进场后15天内签定绿色施工安全防护措施协议，该协议需报发包人、监理人、承包人审核及备案，因分包人对各分包人缺乏安全监管或防控的原因，造成安全事故的和财产损失的，分包人应承担连带责任。相应的费用由分包人在报价中综合考虑。</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6</w:t>
      </w:r>
      <w:r>
        <w:rPr>
          <w:rFonts w:hint="eastAsia"/>
          <w:color w:val="000000" w:themeColor="text1"/>
          <w14:textFill>
            <w14:solidFill>
              <w14:schemeClr w14:val="tx1"/>
            </w14:solidFill>
          </w14:textFill>
        </w:rPr>
        <w:t>）分包人全体现场施工人员用餐必需到指定食堂或者划分的指定区域，发现违规者承包人有权处罚每人每次100～500元。</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9.5.2 分包人应遵守国家有关环境保护、卫生监督的法律，按照合同约定采取有效措施，保证施工场地达到环境保护、卫生部门的管理要求。在本工程竣工验收及场地移交后的</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天内，清理现场，运走全部施工设备、剩余材料和垃圾，保持施工场地和合同工程的清洁整齐。否则，承包人可自行处理或委托第三方处理留下的物品，所得金额在扣除由此发生的清理处置费用之后，将余额退还给分包人。</w:t>
      </w:r>
    </w:p>
    <w:p>
      <w:pPr>
        <w:pStyle w:val="52"/>
        <w:ind w:firstLine="480"/>
        <w:rPr>
          <w:rFonts w:eastAsia="黑体"/>
          <w:bCs/>
          <w:color w:val="000000" w:themeColor="text1"/>
          <w:kern w:val="2"/>
          <w:sz w:val="24"/>
          <w14:textFill>
            <w14:solidFill>
              <w14:schemeClr w14:val="tx1"/>
            </w14:solidFill>
          </w14:textFill>
        </w:rPr>
      </w:pPr>
      <w:r>
        <w:rPr>
          <w:rFonts w:hint="eastAsia" w:eastAsia="黑体"/>
          <w:bCs/>
          <w:color w:val="000000" w:themeColor="text1"/>
          <w:kern w:val="2"/>
          <w:sz w:val="24"/>
          <w14:textFill>
            <w14:solidFill>
              <w14:schemeClr w14:val="tx1"/>
            </w14:solidFill>
          </w14:textFill>
        </w:rPr>
        <w:t xml:space="preserve">9.6安全管理机构及人员配备要求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9.6.1分包人必须达到《建筑施工企业安全生产管理机构设置及专职安全生产管理人员配备办法》要求，配备足够专职安全生产管理人员。</w:t>
      </w:r>
    </w:p>
    <w:p>
      <w:pPr>
        <w:pStyle w:val="52"/>
        <w:ind w:firstLine="420"/>
        <w:rPr>
          <w:rFonts w:ascii="仿宋_GB2312"/>
          <w:color w:val="000000" w:themeColor="text1"/>
          <w:szCs w:val="21"/>
          <w14:textFill>
            <w14:solidFill>
              <w14:schemeClr w14:val="tx1"/>
            </w14:solidFill>
          </w14:textFill>
        </w:rPr>
      </w:pPr>
      <w:r>
        <w:rPr>
          <w:rFonts w:hint="eastAsia"/>
          <w:color w:val="000000" w:themeColor="text1"/>
          <w14:textFill>
            <w14:solidFill>
              <w14:schemeClr w14:val="tx1"/>
            </w14:solidFill>
          </w14:textFill>
        </w:rPr>
        <w:t>9.6.2如不能达到安全管理要求的岗位能力，承包人有权要求更换安全管理人员，分包人必须无条件执行。</w:t>
      </w:r>
    </w:p>
    <w:p>
      <w:pPr>
        <w:pStyle w:val="52"/>
        <w:ind w:firstLine="480"/>
        <w:rPr>
          <w:rFonts w:eastAsia="黑体"/>
          <w:bCs/>
          <w:color w:val="000000" w:themeColor="text1"/>
          <w:kern w:val="2"/>
          <w:sz w:val="24"/>
          <w14:textFill>
            <w14:solidFill>
              <w14:schemeClr w14:val="tx1"/>
            </w14:solidFill>
          </w14:textFill>
        </w:rPr>
      </w:pPr>
      <w:r>
        <w:rPr>
          <w:rFonts w:hint="eastAsia" w:eastAsia="黑体"/>
          <w:bCs/>
          <w:color w:val="000000" w:themeColor="text1"/>
          <w:kern w:val="2"/>
          <w:sz w:val="24"/>
          <w14:textFill>
            <w14:solidFill>
              <w14:schemeClr w14:val="tx1"/>
            </w14:solidFill>
          </w14:textFill>
        </w:rPr>
        <w:t>9.7施工准备阶段的安全生产工作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9.7.1严格贯彻住建部令37号《危险性较大的分部分项工程安全管理规定》要求，施工前必须编制施工组织设计（方案）、专项工程施工方案和安全生产保证措施；组织专家评审危险性较大的专项工程施工方案，评审未通过的不得进入施工阶段。</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9.7.2建立健全工程安全生产责任制度、安全生产保证体系，根据工程施工特点，配备相应职业资格等级及数量的专职安全管理人员。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9.7.3结合风险特点，编制与工程相适应的生产安全事故应急救援预案，落实救援器材、设备的储备，配备足够的应急救援机构人员；开展应急管理，组织应急演练，提高作业人员应急处置能力。</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9.7.4制定工程的安全生产、文明施工措施费使用计划和相关保证措施，配置施工安全防护用具、用品。</w:t>
      </w:r>
    </w:p>
    <w:p>
      <w:pPr>
        <w:pStyle w:val="52"/>
        <w:ind w:firstLine="420"/>
        <w:rPr>
          <w:rFonts w:ascii="仿宋_GB2312"/>
          <w:color w:val="000000" w:themeColor="text1"/>
          <w:szCs w:val="21"/>
          <w14:textFill>
            <w14:solidFill>
              <w14:schemeClr w14:val="tx1"/>
            </w14:solidFill>
          </w14:textFill>
        </w:rPr>
      </w:pPr>
      <w:r>
        <w:rPr>
          <w:rFonts w:hint="eastAsia"/>
          <w:color w:val="000000" w:themeColor="text1"/>
          <w14:textFill>
            <w14:solidFill>
              <w14:schemeClr w14:val="tx1"/>
            </w14:solidFill>
          </w14:textFill>
        </w:rPr>
        <w:t>9.7.5需分包人按规定办理的有关施工场地交通、环境保护、施工噪音、绿色施工安全防护措施等手续：分包人应在签订本合同之日起30个日历天内或承包人另行通知的时间内，负责按法律、法规和规章及有关部门要求办理完成为履行本工程施工所需的所有场地交通、环境保护、施工噪音、绿色施工安全防护措施、夜间施工、泥浆及污水排放、安全生产管理、质量安全监督、渣土运输等相关手续，并由分包人承担所有费用，该等费用已包含在本合同价款中。若因上述手续未及时办理影响施工或造成政府部门处罚，工期不予延长，承包人不给予任何费用补偿，由此给承包人带来的损失由分包人承担。</w:t>
      </w:r>
    </w:p>
    <w:p>
      <w:pPr>
        <w:pStyle w:val="52"/>
        <w:ind w:firstLine="480"/>
        <w:rPr>
          <w:rFonts w:eastAsia="黑体"/>
          <w:bCs/>
          <w:color w:val="000000" w:themeColor="text1"/>
          <w:kern w:val="2"/>
          <w:sz w:val="24"/>
          <w14:textFill>
            <w14:solidFill>
              <w14:schemeClr w14:val="tx1"/>
            </w14:solidFill>
          </w14:textFill>
        </w:rPr>
      </w:pPr>
      <w:r>
        <w:rPr>
          <w:rFonts w:hint="eastAsia" w:eastAsia="黑体"/>
          <w:bCs/>
          <w:color w:val="000000" w:themeColor="text1"/>
          <w:kern w:val="2"/>
          <w:sz w:val="24"/>
          <w14:textFill>
            <w14:solidFill>
              <w14:schemeClr w14:val="tx1"/>
            </w14:solidFill>
          </w14:textFill>
        </w:rPr>
        <w:t>9.8施工实施阶段的安全生产工作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9.8.1严格按照发包人及承包人审查认可的施工组织设计（方案）、专项工程施工方案和安全生产保证措施组织施工；严格安全生产、文明施工措施费的使用计划，单列措施费台账，确保安全生产措施费用根据项目实际进展的有效投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9.8.2所有进入施工现场的作业人员，必须经过安全生产教育培训，未经教育培训或者教育培训考核不合格的人员，不得上岗作业；工程施工前，分包人负责工程管理的技术人员应当对有关安全施工的技术要求向施工作业班组、作业人员作出详细说明，并由双方签字确认；工程所采用的新技术、新工艺、新设备、新材料，应当对作业人员进行相应的安全生产教育培训；电工、金属焊接(切割)工、垂直运输机械作业人员、安装拆卸工、起重信号工、登高架设高处作业人员等特种作业人员，必须按照国家有关规定经过专门的安全作业培训，并取得特种作业操作资格证书后，方可上岗作业；对现场从事危险作业的人员办理意外伤害保险；不得在尚未竣工的建筑物内设置员工集体宿舍。</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9.8.3对所承担工程进行定期和专项安全检查，并做好隐患排查治理，保存好安全检查记录；同时必须强化重点风险作业过程安全管控，尤其是动火作业、起重吊装、高处作业、基坑施工、施工用电等方面。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9.8.4对进入现场的安全防护用具、用品、机械设备、施工机具及配件等，必须核查其生产、检验（测）等相应证书，无生产、检验（测）合格记录等相应证书的不得使用，并做好日常检查、维修和保养以及相应记录资料归档工作；在使用施工起重机械、垂直升降机械设施前，必须依法组织进行登记验收，验收合格后方可使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9.8.5在工程现场入口处、施工起重机械、临时用电设施、脚手架、出入通道口、楼梯口、电梯井口、孔洞口、基坑边沿、易燃物以及有害危险气体和液体存放处等危险部位，必须设置明显的安全警示标志。</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9.8.6根据不同施工阶段和周围环境及季节、气候的变化，在施工现场必须采取相应的安全施工措施。</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9.8.7工程施工需要实施劳务作业，分包人必须分包给具有相应资质、安全条件的劳务分包企业，在签订分包合同中应当明确各自的安全生产方面的权利、义务，并进行施工安全生产交底。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9.8.8保证安全设施、环保设施、消防设施、劳动安全卫生设施及设备的质量和安装质量，确保通过验收。</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9.9合同安全管理专篇</w:t>
      </w:r>
    </w:p>
    <w:p>
      <w:pPr>
        <w:pStyle w:val="77"/>
        <w:ind w:firstLine="420"/>
        <w:outlineLvl w:val="9"/>
        <w:rPr>
          <w:color w:val="000000" w:themeColor="text1"/>
          <w14:textFill>
            <w14:solidFill>
              <w14:schemeClr w14:val="tx1"/>
            </w14:solidFill>
          </w14:textFill>
        </w:rPr>
      </w:pPr>
      <w:r>
        <w:rPr>
          <w:rFonts w:hint="eastAsia" w:eastAsia="仿宋_GB2312"/>
          <w:color w:val="000000" w:themeColor="text1"/>
          <w:kern w:val="0"/>
          <w:sz w:val="21"/>
          <w14:textFill>
            <w14:solidFill>
              <w14:schemeClr w14:val="tx1"/>
            </w14:solidFill>
          </w14:textFill>
        </w:rPr>
        <w:t>除以上施工安全、治安保卫、环境保护相关要求外，分包人应按本合同附件15《安全管理专篇》严格落实安全生产管理要求，且须在签署本合同的同时与承包人签署本合同附件14《安全管理协议书》。另外，分包人必须遵守承包人对本工程施工现场安全、治安保卫、环境保护等统一管理要求及其他总包管理与服务，不得以任何理由拒绝与承包人签署安全管理协议及其他与总包管理与服务相关的协议。若本合同第9.1~9.8款施工安全、治安保护和环境保护的相关约定与《合同安全管理专篇》、《安全管理协议书》约定有重复的，以从严约定为准执行。</w:t>
      </w:r>
    </w:p>
    <w:p>
      <w:pPr>
        <w:pStyle w:val="73"/>
        <w:rPr>
          <w:color w:val="000000" w:themeColor="text1"/>
          <w14:textFill>
            <w14:solidFill>
              <w14:schemeClr w14:val="tx1"/>
            </w14:solidFill>
          </w14:textFill>
        </w:rPr>
      </w:pPr>
      <w:bookmarkStart w:id="686" w:name="_Toc31420"/>
      <w:bookmarkStart w:id="687" w:name="_Toc44228162"/>
      <w:bookmarkStart w:id="688" w:name="_Toc18500"/>
      <w:bookmarkStart w:id="689" w:name="_Toc44492582"/>
      <w:bookmarkStart w:id="690" w:name="_Toc38987279"/>
      <w:bookmarkStart w:id="691" w:name="_Toc17702"/>
      <w:bookmarkStart w:id="692" w:name="_Toc91082443"/>
      <w:r>
        <w:rPr>
          <w:rFonts w:hint="eastAsia"/>
          <w:color w:val="000000" w:themeColor="text1"/>
          <w14:textFill>
            <w14:solidFill>
              <w14:schemeClr w14:val="tx1"/>
            </w14:solidFill>
          </w14:textFill>
        </w:rPr>
        <w:t>10.进度计划</w:t>
      </w:r>
      <w:bookmarkEnd w:id="686"/>
      <w:bookmarkEnd w:id="687"/>
      <w:bookmarkEnd w:id="688"/>
      <w:bookmarkEnd w:id="689"/>
      <w:bookmarkEnd w:id="690"/>
      <w:bookmarkEnd w:id="691"/>
      <w:bookmarkEnd w:id="692"/>
    </w:p>
    <w:p>
      <w:pPr>
        <w:pStyle w:val="77"/>
        <w:ind w:firstLine="480"/>
        <w:rPr>
          <w:color w:val="000000" w:themeColor="text1"/>
          <w14:textFill>
            <w14:solidFill>
              <w14:schemeClr w14:val="tx1"/>
            </w14:solidFill>
          </w14:textFill>
        </w:rPr>
      </w:pPr>
      <w:bookmarkStart w:id="693" w:name="_Toc11459"/>
      <w:bookmarkStart w:id="694" w:name="_Toc29779"/>
      <w:bookmarkStart w:id="695" w:name="_Toc44492583"/>
      <w:r>
        <w:rPr>
          <w:rFonts w:hint="eastAsia"/>
          <w:color w:val="000000" w:themeColor="text1"/>
          <w14:textFill>
            <w14:solidFill>
              <w14:schemeClr w14:val="tx1"/>
            </w14:solidFill>
          </w14:textFill>
        </w:rPr>
        <w:t>10.1.   合同进度计划</w:t>
      </w:r>
      <w:bookmarkEnd w:id="693"/>
      <w:bookmarkEnd w:id="694"/>
      <w:bookmarkEnd w:id="69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10.1.1.  </w:t>
      </w:r>
      <w:r>
        <w:rPr>
          <w:rFonts w:hint="eastAsia" w:hAnsi="宋体"/>
          <w:color w:val="000000" w:themeColor="text1"/>
          <w14:textFill>
            <w14:solidFill>
              <w14:schemeClr w14:val="tx1"/>
            </w14:solidFill>
          </w14:textFill>
        </w:rPr>
        <w:t>分包人向承包人提供的计划、报表名称及提交时间：</w:t>
      </w:r>
      <w:r>
        <w:rPr>
          <w:rFonts w:hint="eastAsia"/>
          <w:color w:val="000000" w:themeColor="text1"/>
          <w14:textFill>
            <w14:solidFill>
              <w14:schemeClr w14:val="tx1"/>
            </w14:solidFill>
          </w14:textFill>
        </w:rPr>
        <w:t>分包人签订合同后7天内</w:t>
      </w:r>
      <w:r>
        <w:rPr>
          <w:rFonts w:hint="eastAsia"/>
          <w:color w:val="000000" w:themeColor="text1"/>
          <w:u w:val="single"/>
          <w14:textFill>
            <w14:solidFill>
              <w14:schemeClr w14:val="tx1"/>
            </w14:solidFill>
          </w14:textFill>
        </w:rPr>
        <w:t>按发包人、监理人、承包人要求提供施工组织计划及总进度计划、材料设备报批及采购计划（包括按合同要求报审报批材料设备、提供材料设备样品及材料设备进场及施工安装等计划）总计划等资料。</w:t>
      </w:r>
      <w:r>
        <w:rPr>
          <w:rFonts w:hint="eastAsia"/>
          <w:color w:val="000000" w:themeColor="text1"/>
          <w14:textFill>
            <w14:solidFill>
              <w14:schemeClr w14:val="tx1"/>
            </w14:solidFill>
          </w14:textFill>
        </w:rPr>
        <w:t>如分包人未按时提交或中标后7天内提交的施工计划不满足要求，则需按照5000元/天向承包人支付违约金，直至提交计划合格。</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10.1.2. 合同实施过程中承包人控制的关键工期节点时间及违约金如下表：</w:t>
      </w:r>
    </w:p>
    <w:tbl>
      <w:tblPr>
        <w:tblStyle w:val="38"/>
        <w:tblW w:w="95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1936"/>
        <w:gridCol w:w="1091"/>
        <w:gridCol w:w="1411"/>
        <w:gridCol w:w="1067"/>
        <w:gridCol w:w="2858"/>
        <w:tblGridChange w:id="0">
          <w:tblGrid>
            <w:gridCol w:w="1149"/>
            <w:gridCol w:w="1936"/>
            <w:gridCol w:w="1091"/>
            <w:gridCol w:w="1411"/>
            <w:gridCol w:w="1067"/>
            <w:gridCol w:w="2858"/>
          </w:tblGrid>
        </w:tblGridChange>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512" w:type="dxa"/>
            <w:gridSpan w:val="6"/>
            <w:noWrap/>
            <w:vAlign w:val="center"/>
          </w:tcPr>
          <w:p>
            <w:pPr>
              <w:widowControl/>
              <w:jc w:val="center"/>
              <w:rPr>
                <w:rFonts w:ascii="宋体" w:hAnsi="宋体" w:cs="宋体"/>
                <w:b/>
                <w:bCs/>
                <w:color w:val="000000" w:themeColor="text1"/>
                <w:kern w:val="0"/>
                <w:szCs w:val="21"/>
                <w14:textFill>
                  <w14:solidFill>
                    <w14:schemeClr w14:val="tx1"/>
                  </w14:solidFill>
                </w14:textFill>
              </w:rPr>
            </w:pPr>
            <w:r>
              <w:rPr>
                <w:rFonts w:hint="eastAsia" w:ascii="宋体" w:hAnsi="宋体" w:cs="宋体"/>
                <w:b/>
                <w:bCs/>
                <w:color w:val="000000" w:themeColor="text1"/>
                <w:kern w:val="0"/>
                <w:szCs w:val="21"/>
                <w14:textFill>
                  <w14:solidFill>
                    <w14:schemeClr w14:val="tx1"/>
                  </w14:solidFill>
                </w14:textFill>
              </w:rPr>
              <w:t>9#地块园林工程工期节点计划表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149" w:type="dxa"/>
            <w:tcBorders>
              <w:bottom w:val="single" w:color="auto" w:sz="4" w:space="0"/>
            </w:tcBorders>
          </w:tcPr>
          <w:p>
            <w:pPr>
              <w:widowControl/>
              <w:jc w:val="cente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工程项目</w:t>
            </w:r>
          </w:p>
        </w:tc>
        <w:tc>
          <w:tcPr>
            <w:tcW w:w="1936" w:type="dxa"/>
            <w:tcBorders>
              <w:bottom w:val="single" w:color="auto" w:sz="4" w:space="0"/>
            </w:tcBorders>
            <w:noWrap/>
          </w:tcPr>
          <w:p>
            <w:pPr>
              <w:widowControl/>
              <w:spacing w:line="240" w:lineRule="exact"/>
              <w:jc w:val="cente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楼栋</w:t>
            </w:r>
          </w:p>
        </w:tc>
        <w:tc>
          <w:tcPr>
            <w:tcW w:w="1091" w:type="dxa"/>
            <w:tcBorders>
              <w:bottom w:val="single" w:color="auto" w:sz="4" w:space="0"/>
            </w:tcBorders>
            <w:noWrap/>
          </w:tcPr>
          <w:p>
            <w:pPr>
              <w:widowControl/>
              <w:spacing w:line="240" w:lineRule="exact"/>
              <w:jc w:val="cente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开始时间（天）</w:t>
            </w:r>
          </w:p>
        </w:tc>
        <w:tc>
          <w:tcPr>
            <w:tcW w:w="1411" w:type="dxa"/>
            <w:tcBorders>
              <w:bottom w:val="single" w:color="auto" w:sz="4" w:space="0"/>
            </w:tcBorders>
            <w:noWrap/>
          </w:tcPr>
          <w:p>
            <w:pPr>
              <w:widowControl/>
              <w:spacing w:line="240" w:lineRule="exact"/>
              <w:jc w:val="cente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完成时间（天）</w:t>
            </w:r>
          </w:p>
        </w:tc>
        <w:tc>
          <w:tcPr>
            <w:tcW w:w="1067" w:type="dxa"/>
            <w:tcBorders>
              <w:bottom w:val="single" w:color="auto" w:sz="4" w:space="0"/>
            </w:tcBorders>
          </w:tcPr>
          <w:p>
            <w:pPr>
              <w:widowControl/>
              <w:spacing w:line="240" w:lineRule="exact"/>
              <w:jc w:val="center"/>
              <w:rPr>
                <w:rFonts w:ascii="仿宋" w:hAnsi="仿宋" w:eastAsia="仿宋" w:cs="宋体"/>
                <w:color w:val="000000" w:themeColor="text1"/>
                <w:kern w:val="0"/>
                <w:szCs w:val="21"/>
                <w14:textFill>
                  <w14:solidFill>
                    <w14:schemeClr w14:val="tx1"/>
                  </w14:solidFill>
                </w14:textFill>
              </w:rPr>
            </w:pPr>
            <w:r>
              <w:rPr>
                <w:rFonts w:ascii="仿宋" w:hAnsi="仿宋" w:eastAsia="仿宋" w:cs="宋体"/>
                <w:color w:val="000000" w:themeColor="text1"/>
                <w:kern w:val="0"/>
                <w:szCs w:val="21"/>
                <w14:textFill>
                  <w14:solidFill>
                    <w14:schemeClr w14:val="tx1"/>
                  </w14:solidFill>
                </w14:textFill>
              </w:rPr>
              <w:t>工期</w:t>
            </w:r>
          </w:p>
        </w:tc>
        <w:tc>
          <w:tcPr>
            <w:tcW w:w="2858" w:type="dxa"/>
            <w:noWrap/>
          </w:tcPr>
          <w:p>
            <w:pPr>
              <w:widowControl/>
              <w:jc w:val="cente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jc w:val="center"/>
        </w:trPr>
        <w:tc>
          <w:tcPr>
            <w:tcW w:w="1149" w:type="dxa"/>
            <w:vMerge w:val="restart"/>
            <w:tcBorders>
              <w:top w:val="single" w:color="auto" w:sz="4" w:space="0"/>
              <w:left w:val="single" w:color="auto" w:sz="4" w:space="0"/>
              <w:right w:val="single" w:color="auto" w:sz="4" w:space="0"/>
            </w:tcBorders>
            <w:vAlign w:val="center"/>
          </w:tcPr>
          <w:p>
            <w:pPr>
              <w:widowControl/>
              <w:spacing w:line="240" w:lineRule="exact"/>
              <w:jc w:val="cente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第一阶段</w:t>
            </w:r>
          </w:p>
        </w:tc>
        <w:tc>
          <w:tcPr>
            <w:tcW w:w="1936"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幼儿园区域</w:t>
            </w:r>
          </w:p>
        </w:tc>
        <w:tc>
          <w:tcPr>
            <w:tcW w:w="109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A</w:t>
            </w:r>
          </w:p>
          <w:p>
            <w:pPr>
              <w:spacing w:line="240" w:lineRule="exact"/>
              <w:ind w:firstLine="2100"/>
              <w:jc w:val="center"/>
              <w:rPr>
                <w:rFonts w:ascii="仿宋" w:hAnsi="仿宋" w:eastAsia="仿宋"/>
                <w:color w:val="000000" w:themeColor="text1"/>
                <w:szCs w:val="21"/>
                <w14:textFill>
                  <w14:solidFill>
                    <w14:schemeClr w14:val="tx1"/>
                  </w14:solidFill>
                </w14:textFill>
              </w:rPr>
            </w:pPr>
          </w:p>
        </w:tc>
        <w:tc>
          <w:tcPr>
            <w:tcW w:w="141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A</w:t>
            </w:r>
            <w:r>
              <w:rPr>
                <w:rFonts w:ascii="仿宋" w:hAnsi="仿宋" w:eastAsia="仿宋"/>
                <w:color w:val="000000" w:themeColor="text1"/>
                <w:szCs w:val="21"/>
                <w14:textFill>
                  <w14:solidFill>
                    <w14:schemeClr w14:val="tx1"/>
                  </w14:solidFill>
                </w14:textFill>
              </w:rPr>
              <w:t>+</w:t>
            </w:r>
            <w:r>
              <w:rPr>
                <w:rFonts w:hint="eastAsia" w:ascii="仿宋" w:hAnsi="仿宋" w:eastAsia="仿宋"/>
                <w:color w:val="000000" w:themeColor="text1"/>
                <w:szCs w:val="21"/>
                <w14:textFill>
                  <w14:solidFill>
                    <w14:schemeClr w14:val="tx1"/>
                  </w14:solidFill>
                </w14:textFill>
              </w:rPr>
              <w:t>45</w:t>
            </w:r>
          </w:p>
          <w:p>
            <w:pPr>
              <w:spacing w:line="240" w:lineRule="exact"/>
              <w:ind w:firstLine="2100"/>
              <w:jc w:val="center"/>
              <w:rPr>
                <w:rFonts w:ascii="仿宋" w:hAnsi="仿宋" w:eastAsia="仿宋"/>
                <w:color w:val="000000" w:themeColor="text1"/>
                <w:szCs w:val="21"/>
                <w14:textFill>
                  <w14:solidFill>
                    <w14:schemeClr w14:val="tx1"/>
                  </w14:solidFill>
                </w14:textFill>
              </w:rPr>
            </w:pP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45</w:t>
            </w:r>
          </w:p>
        </w:tc>
        <w:tc>
          <w:tcPr>
            <w:tcW w:w="2858" w:type="dxa"/>
            <w:vMerge w:val="restart"/>
            <w:tcBorders>
              <w:left w:val="single" w:color="auto" w:sz="4" w:space="0"/>
            </w:tcBorders>
            <w:noWrap/>
          </w:tcPr>
          <w:p>
            <w:pP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A暂定为2023年7月25日，B暂定为2023年12月5日，C暂定为2024年2月25日，D暂定为2025年1月5日，E暂定为2025年1月15日，F</w:t>
            </w:r>
            <w:r>
              <w:rPr>
                <w:rFonts w:hint="eastAsia" w:ascii="仿宋" w:hAnsi="仿宋" w:eastAsia="仿宋" w:cs="宋体"/>
                <w:color w:val="000000" w:themeColor="text1"/>
                <w:kern w:val="0"/>
                <w:szCs w:val="21"/>
                <w:highlight w:val="none"/>
                <w14:textFill>
                  <w14:solidFill>
                    <w14:schemeClr w14:val="tx1"/>
                  </w14:solidFill>
                </w14:textFill>
              </w:rPr>
              <w:t>待</w:t>
            </w:r>
            <w:r>
              <w:rPr>
                <w:rFonts w:hint="eastAsia" w:ascii="仿宋" w:hAnsi="仿宋" w:eastAsia="仿宋" w:cs="宋体"/>
                <w:color w:val="000000" w:themeColor="text1"/>
                <w:kern w:val="0"/>
                <w:szCs w:val="21"/>
                <w14:textFill>
                  <w14:solidFill>
                    <w14:schemeClr w14:val="tx1"/>
                  </w14:solidFill>
                </w14:textFill>
              </w:rPr>
              <w:t>定，各阶段的具体进场时间以发包人书面下发的通知开工时间为准；</w:t>
            </w:r>
          </w:p>
          <w:p>
            <w:pPr>
              <w:rPr>
                <w:rFonts w:ascii="仿宋" w:hAnsi="仿宋" w:eastAsia="仿宋" w:cs="宋体"/>
                <w:color w:val="000000" w:themeColor="text1"/>
                <w:kern w:val="0"/>
                <w:szCs w:val="21"/>
                <w14:textFill>
                  <w14:solidFill>
                    <w14:schemeClr w14:val="tx1"/>
                  </w14:solidFill>
                </w14:textFill>
              </w:rPr>
            </w:pPr>
          </w:p>
          <w:p>
            <w:pPr>
              <w:jc w:val="left"/>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2、工期为202</w:t>
            </w:r>
            <w:r>
              <w:rPr>
                <w:rFonts w:ascii="仿宋" w:hAnsi="仿宋" w:eastAsia="仿宋" w:cs="宋体"/>
                <w:color w:val="000000" w:themeColor="text1"/>
                <w:kern w:val="0"/>
                <w:szCs w:val="21"/>
                <w14:textFill>
                  <w14:solidFill>
                    <w14:schemeClr w14:val="tx1"/>
                  </w14:solidFill>
                </w14:textFill>
              </w:rPr>
              <w:t>3</w:t>
            </w:r>
            <w:r>
              <w:rPr>
                <w:rFonts w:hint="eastAsia" w:ascii="仿宋" w:hAnsi="仿宋" w:eastAsia="仿宋" w:cs="宋体"/>
                <w:color w:val="000000" w:themeColor="text1"/>
                <w:kern w:val="0"/>
                <w:szCs w:val="21"/>
                <w14:textFill>
                  <w14:solidFill>
                    <w14:schemeClr w14:val="tx1"/>
                  </w14:solidFill>
                </w14:textFill>
              </w:rPr>
              <w:t>年</w:t>
            </w:r>
            <w:r>
              <w:rPr>
                <w:rFonts w:ascii="仿宋" w:hAnsi="仿宋" w:eastAsia="仿宋" w:cs="宋体"/>
                <w:color w:val="000000" w:themeColor="text1"/>
                <w:kern w:val="0"/>
                <w:szCs w:val="21"/>
                <w14:textFill>
                  <w14:solidFill>
                    <w14:schemeClr w14:val="tx1"/>
                  </w14:solidFill>
                </w14:textFill>
              </w:rPr>
              <w:t>7</w:t>
            </w:r>
            <w:r>
              <w:rPr>
                <w:rFonts w:hint="eastAsia" w:ascii="仿宋" w:hAnsi="仿宋" w:eastAsia="仿宋" w:cs="宋体"/>
                <w:color w:val="000000" w:themeColor="text1"/>
                <w:kern w:val="0"/>
                <w:szCs w:val="21"/>
                <w14:textFill>
                  <w14:solidFill>
                    <w14:schemeClr w14:val="tx1"/>
                  </w14:solidFill>
                </w14:textFill>
              </w:rPr>
              <w:t>月</w:t>
            </w:r>
            <w:r>
              <w:rPr>
                <w:rFonts w:ascii="仿宋" w:hAnsi="仿宋" w:eastAsia="仿宋" w:cs="宋体"/>
                <w:color w:val="000000" w:themeColor="text1"/>
                <w:kern w:val="0"/>
                <w:szCs w:val="21"/>
                <w14:textFill>
                  <w14:solidFill>
                    <w14:schemeClr w14:val="tx1"/>
                  </w14:solidFill>
                </w14:textFill>
              </w:rPr>
              <w:t>25</w:t>
            </w:r>
            <w:r>
              <w:rPr>
                <w:rFonts w:hint="eastAsia" w:ascii="仿宋" w:hAnsi="仿宋" w:eastAsia="仿宋" w:cs="宋体"/>
                <w:color w:val="000000" w:themeColor="text1"/>
                <w:kern w:val="0"/>
                <w:szCs w:val="21"/>
                <w14:textFill>
                  <w14:solidFill>
                    <w14:schemeClr w14:val="tx1"/>
                  </w14:solidFill>
                </w14:textFill>
              </w:rPr>
              <w:t>日至202</w:t>
            </w:r>
            <w:r>
              <w:rPr>
                <w:rFonts w:ascii="仿宋" w:hAnsi="仿宋" w:eastAsia="仿宋" w:cs="宋体"/>
                <w:color w:val="000000" w:themeColor="text1"/>
                <w:kern w:val="0"/>
                <w:szCs w:val="21"/>
                <w14:textFill>
                  <w14:solidFill>
                    <w14:schemeClr w14:val="tx1"/>
                  </w14:solidFill>
                </w14:textFill>
              </w:rPr>
              <w:t>5</w:t>
            </w:r>
            <w:r>
              <w:rPr>
                <w:rFonts w:hint="eastAsia" w:ascii="仿宋" w:hAnsi="仿宋" w:eastAsia="仿宋" w:cs="宋体"/>
                <w:color w:val="000000" w:themeColor="text1"/>
                <w:kern w:val="0"/>
                <w:szCs w:val="21"/>
                <w14:textFill>
                  <w14:solidFill>
                    <w14:schemeClr w14:val="tx1"/>
                  </w14:solidFill>
                </w14:textFill>
              </w:rPr>
              <w:t>年</w:t>
            </w:r>
            <w:r>
              <w:rPr>
                <w:rFonts w:ascii="仿宋" w:hAnsi="仿宋" w:eastAsia="仿宋" w:cs="宋体"/>
                <w:color w:val="000000" w:themeColor="text1"/>
                <w:kern w:val="0"/>
                <w:szCs w:val="21"/>
                <w14:textFill>
                  <w14:solidFill>
                    <w14:schemeClr w14:val="tx1"/>
                  </w14:solidFill>
                </w14:textFill>
              </w:rPr>
              <w:t>3</w:t>
            </w:r>
            <w:r>
              <w:rPr>
                <w:rFonts w:hint="eastAsia" w:ascii="仿宋" w:hAnsi="仿宋" w:eastAsia="仿宋" w:cs="宋体"/>
                <w:color w:val="000000" w:themeColor="text1"/>
                <w:kern w:val="0"/>
                <w:szCs w:val="21"/>
                <w14:textFill>
                  <w14:solidFill>
                    <w14:schemeClr w14:val="tx1"/>
                  </w14:solidFill>
                </w14:textFill>
              </w:rPr>
              <w:t>月</w:t>
            </w:r>
            <w:r>
              <w:rPr>
                <w:rFonts w:ascii="仿宋" w:hAnsi="仿宋" w:eastAsia="仿宋" w:cs="宋体"/>
                <w:color w:val="000000" w:themeColor="text1"/>
                <w:kern w:val="0"/>
                <w:szCs w:val="21"/>
                <w14:textFill>
                  <w14:solidFill>
                    <w14:schemeClr w14:val="tx1"/>
                  </w14:solidFill>
                </w14:textFill>
              </w:rPr>
              <w:t>15</w:t>
            </w:r>
            <w:r>
              <w:rPr>
                <w:rFonts w:hint="eastAsia" w:ascii="仿宋" w:hAnsi="仿宋" w:eastAsia="仿宋" w:cs="宋体"/>
                <w:color w:val="000000" w:themeColor="text1"/>
                <w:kern w:val="0"/>
                <w:szCs w:val="21"/>
                <w14:textFill>
                  <w14:solidFill>
                    <w14:schemeClr w14:val="tx1"/>
                  </w14:solidFill>
                </w14:textFill>
              </w:rPr>
              <w:t>日，共</w:t>
            </w:r>
            <w:r>
              <w:rPr>
                <w:rFonts w:ascii="仿宋" w:hAnsi="仿宋" w:eastAsia="仿宋" w:cs="宋体"/>
                <w:color w:val="000000" w:themeColor="text1"/>
                <w:kern w:val="0"/>
                <w:szCs w:val="21"/>
                <w14:textFill>
                  <w14:solidFill>
                    <w14:schemeClr w14:val="tx1"/>
                  </w14:solidFill>
                </w14:textFill>
              </w:rPr>
              <w:t>600</w:t>
            </w:r>
            <w:r>
              <w:rPr>
                <w:rFonts w:hint="eastAsia" w:ascii="仿宋" w:hAnsi="仿宋" w:eastAsia="仿宋" w:cs="宋体"/>
                <w:color w:val="000000" w:themeColor="text1"/>
                <w:kern w:val="0"/>
                <w:szCs w:val="21"/>
                <w14:textFill>
                  <w14:solidFill>
                    <w14:schemeClr w14:val="tx1"/>
                  </w14:solidFill>
                </w14:textFill>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1149" w:type="dxa"/>
            <w:vMerge w:val="continue"/>
            <w:tcBorders>
              <w:left w:val="single" w:color="auto" w:sz="4" w:space="0"/>
              <w:right w:val="single" w:color="auto" w:sz="4" w:space="0"/>
            </w:tcBorders>
            <w:vAlign w:val="center"/>
          </w:tcPr>
          <w:p>
            <w:pPr>
              <w:widowControl/>
              <w:spacing w:line="240" w:lineRule="exact"/>
              <w:jc w:val="center"/>
              <w:rPr>
                <w:rFonts w:ascii="仿宋" w:hAnsi="仿宋" w:eastAsia="仿宋" w:cs="宋体"/>
                <w:color w:val="000000" w:themeColor="text1"/>
                <w:kern w:val="0"/>
                <w:szCs w:val="21"/>
                <w14:textFill>
                  <w14:solidFill>
                    <w14:schemeClr w14:val="tx1"/>
                  </w14:solidFill>
                </w14:textFill>
              </w:rPr>
            </w:pPr>
          </w:p>
        </w:tc>
        <w:tc>
          <w:tcPr>
            <w:tcW w:w="1936"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首开区</w:t>
            </w:r>
          </w:p>
          <w:p>
            <w:pPr>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（3#、4#周边区域）</w:t>
            </w:r>
          </w:p>
        </w:tc>
        <w:tc>
          <w:tcPr>
            <w:tcW w:w="109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B</w:t>
            </w:r>
          </w:p>
        </w:tc>
        <w:tc>
          <w:tcPr>
            <w:tcW w:w="141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B+120</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120</w:t>
            </w:r>
          </w:p>
        </w:tc>
        <w:tc>
          <w:tcPr>
            <w:tcW w:w="2858" w:type="dxa"/>
            <w:vMerge w:val="continue"/>
            <w:tcBorders>
              <w:left w:val="single" w:color="auto" w:sz="4" w:space="0"/>
            </w:tcBorders>
            <w:noWrap/>
            <w:vAlign w:val="center"/>
          </w:tcPr>
          <w:p>
            <w:pPr>
              <w:widowControl/>
              <w:ind w:firstLine="2200"/>
              <w:jc w:val="center"/>
              <w:rPr>
                <w:rFonts w:ascii="宋体" w:hAnsi="宋体" w:cs="宋体"/>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1149" w:type="dxa"/>
            <w:vMerge w:val="continue"/>
            <w:tcBorders>
              <w:left w:val="single" w:color="auto" w:sz="4" w:space="0"/>
              <w:bottom w:val="single" w:color="auto" w:sz="4" w:space="0"/>
              <w:right w:val="single" w:color="auto" w:sz="4" w:space="0"/>
            </w:tcBorders>
            <w:vAlign w:val="center"/>
          </w:tcPr>
          <w:p>
            <w:pPr>
              <w:widowControl/>
              <w:spacing w:line="240" w:lineRule="exact"/>
              <w:ind w:firstLine="2100"/>
              <w:jc w:val="center"/>
              <w:rPr>
                <w:rFonts w:ascii="仿宋" w:hAnsi="仿宋" w:eastAsia="仿宋" w:cs="宋体"/>
                <w:color w:val="000000" w:themeColor="text1"/>
                <w:kern w:val="0"/>
                <w:szCs w:val="21"/>
                <w14:textFill>
                  <w14:solidFill>
                    <w14:schemeClr w14:val="tx1"/>
                  </w14:solidFill>
                </w14:textFill>
              </w:rPr>
            </w:pPr>
          </w:p>
        </w:tc>
        <w:tc>
          <w:tcPr>
            <w:tcW w:w="1936"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后开区</w:t>
            </w:r>
          </w:p>
          <w:p>
            <w:pPr>
              <w:jc w:val="center"/>
            </w:pPr>
            <w:r>
              <w:rPr>
                <w:rFonts w:hint="eastAsia" w:ascii="仿宋" w:hAnsi="仿宋" w:eastAsia="仿宋"/>
                <w:color w:val="000000" w:themeColor="text1"/>
                <w:szCs w:val="21"/>
                <w14:textFill>
                  <w14:solidFill>
                    <w14:schemeClr w14:val="tx1"/>
                  </w14:solidFill>
                </w14:textFill>
              </w:rPr>
              <w:t>（1#、2#、5#、6#周边区域）</w:t>
            </w:r>
          </w:p>
          <w:p>
            <w:pPr>
              <w:spacing w:line="240" w:lineRule="exact"/>
              <w:jc w:val="center"/>
              <w:rPr>
                <w:rFonts w:ascii="仿宋" w:hAnsi="仿宋" w:eastAsia="仿宋"/>
                <w:color w:val="000000" w:themeColor="text1"/>
                <w:szCs w:val="21"/>
                <w14:textFill>
                  <w14:solidFill>
                    <w14:schemeClr w14:val="tx1"/>
                  </w14:solidFill>
                </w14:textFill>
              </w:rPr>
            </w:pPr>
          </w:p>
        </w:tc>
        <w:tc>
          <w:tcPr>
            <w:tcW w:w="109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C</w:t>
            </w:r>
          </w:p>
        </w:tc>
        <w:tc>
          <w:tcPr>
            <w:tcW w:w="141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C+160</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160</w:t>
            </w:r>
          </w:p>
        </w:tc>
        <w:tc>
          <w:tcPr>
            <w:tcW w:w="2858" w:type="dxa"/>
            <w:vMerge w:val="continue"/>
            <w:tcBorders>
              <w:left w:val="single" w:color="auto" w:sz="4" w:space="0"/>
            </w:tcBorders>
            <w:noWrap/>
            <w:vAlign w:val="center"/>
          </w:tcPr>
          <w:p>
            <w:pPr>
              <w:widowControl/>
              <w:ind w:firstLine="2200"/>
              <w:jc w:val="center"/>
              <w:rPr>
                <w:rFonts w:ascii="宋体" w:hAnsi="宋体" w:cs="宋体"/>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1149" w:type="dxa"/>
            <w:vMerge w:val="restart"/>
            <w:tcBorders>
              <w:top w:val="single" w:color="auto" w:sz="4" w:space="0"/>
              <w:left w:val="single" w:color="auto" w:sz="4" w:space="0"/>
              <w:right w:val="single" w:color="auto" w:sz="4" w:space="0"/>
            </w:tcBorders>
            <w:vAlign w:val="center"/>
          </w:tcPr>
          <w:p>
            <w:pPr>
              <w:widowControl/>
              <w:spacing w:line="240" w:lineRule="exact"/>
              <w:jc w:val="center"/>
              <w:rPr>
                <w:rFonts w:ascii="仿宋" w:hAnsi="仿宋" w:eastAsia="仿宋" w:cs="宋体"/>
                <w:color w:val="000000" w:themeColor="text1"/>
                <w:kern w:val="0"/>
                <w:szCs w:val="21"/>
                <w14:textFill>
                  <w14:solidFill>
                    <w14:schemeClr w14:val="tx1"/>
                  </w14:solidFill>
                </w14:textFill>
              </w:rPr>
            </w:pPr>
            <w:r>
              <w:rPr>
                <w:rFonts w:hint="eastAsia" w:ascii="仿宋" w:hAnsi="仿宋" w:eastAsia="仿宋" w:cs="宋体"/>
                <w:color w:val="000000" w:themeColor="text1"/>
                <w:kern w:val="0"/>
                <w:szCs w:val="21"/>
                <w14:textFill>
                  <w14:solidFill>
                    <w14:schemeClr w14:val="tx1"/>
                  </w14:solidFill>
                </w14:textFill>
              </w:rPr>
              <w:t>第二阶段</w:t>
            </w:r>
          </w:p>
        </w:tc>
        <w:tc>
          <w:tcPr>
            <w:tcW w:w="1936"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首开区</w:t>
            </w:r>
          </w:p>
          <w:p>
            <w:pPr>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（3#、4#周边区域）</w:t>
            </w:r>
          </w:p>
        </w:tc>
        <w:tc>
          <w:tcPr>
            <w:tcW w:w="109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D</w:t>
            </w:r>
          </w:p>
        </w:tc>
        <w:tc>
          <w:tcPr>
            <w:tcW w:w="141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D+70</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70</w:t>
            </w:r>
          </w:p>
        </w:tc>
        <w:tc>
          <w:tcPr>
            <w:tcW w:w="2858" w:type="dxa"/>
            <w:vMerge w:val="continue"/>
            <w:tcBorders>
              <w:left w:val="single" w:color="auto" w:sz="4" w:space="0"/>
            </w:tcBorders>
            <w:noWrap/>
            <w:vAlign w:val="center"/>
          </w:tcPr>
          <w:p>
            <w:pPr>
              <w:widowControl/>
              <w:ind w:firstLine="2200"/>
              <w:jc w:val="center"/>
              <w:rPr>
                <w:rFonts w:ascii="宋体" w:hAnsi="宋体" w:cs="宋体"/>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1149" w:type="dxa"/>
            <w:vMerge w:val="continue"/>
            <w:tcBorders>
              <w:left w:val="single" w:color="auto" w:sz="4" w:space="0"/>
              <w:right w:val="single" w:color="auto" w:sz="4" w:space="0"/>
            </w:tcBorders>
            <w:vAlign w:val="center"/>
          </w:tcPr>
          <w:p>
            <w:pPr>
              <w:widowControl/>
              <w:spacing w:line="240" w:lineRule="exact"/>
              <w:ind w:firstLine="2100"/>
              <w:jc w:val="center"/>
              <w:rPr>
                <w:rFonts w:ascii="仿宋" w:hAnsi="仿宋" w:eastAsia="仿宋" w:cs="宋体"/>
                <w:color w:val="000000" w:themeColor="text1"/>
                <w:kern w:val="0"/>
                <w:szCs w:val="21"/>
                <w14:textFill>
                  <w14:solidFill>
                    <w14:schemeClr w14:val="tx1"/>
                  </w14:solidFill>
                </w14:textFill>
              </w:rPr>
            </w:pPr>
          </w:p>
        </w:tc>
        <w:tc>
          <w:tcPr>
            <w:tcW w:w="1936"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后开区</w:t>
            </w:r>
          </w:p>
          <w:p>
            <w:pPr>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（1#、2#、5#、6#周边区域）</w:t>
            </w:r>
          </w:p>
        </w:tc>
        <w:tc>
          <w:tcPr>
            <w:tcW w:w="109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E</w:t>
            </w:r>
          </w:p>
        </w:tc>
        <w:tc>
          <w:tcPr>
            <w:tcW w:w="1411" w:type="dxa"/>
            <w:tcBorders>
              <w:top w:val="single" w:color="auto" w:sz="4" w:space="0"/>
              <w:left w:val="single" w:color="auto" w:sz="4" w:space="0"/>
              <w:bottom w:val="single" w:color="auto" w:sz="4" w:space="0"/>
              <w:right w:val="single" w:color="auto" w:sz="4" w:space="0"/>
            </w:tcBorders>
            <w:noWrap/>
            <w:vAlign w:val="center"/>
          </w:tcPr>
          <w:p>
            <w:pPr>
              <w:jc w:val="center"/>
              <w:rPr>
                <w:rFonts w:eastAsia="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E</w:t>
            </w:r>
            <w:r>
              <w:rPr>
                <w:rFonts w:ascii="仿宋" w:hAnsi="仿宋" w:eastAsia="仿宋" w:cs="仿宋"/>
                <w:color w:val="000000" w:themeColor="text1"/>
                <w14:textFill>
                  <w14:solidFill>
                    <w14:schemeClr w14:val="tx1"/>
                  </w14:solidFill>
                </w14:textFill>
              </w:rPr>
              <w:t>+</w:t>
            </w:r>
            <w:r>
              <w:rPr>
                <w:rFonts w:hint="eastAsia" w:ascii="仿宋" w:hAnsi="仿宋" w:eastAsia="仿宋" w:cs="仿宋"/>
                <w:color w:val="000000" w:themeColor="text1"/>
                <w14:textFill>
                  <w14:solidFill>
                    <w14:schemeClr w14:val="tx1"/>
                  </w14:solidFill>
                </w14:textFill>
              </w:rPr>
              <w:t>60</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60</w:t>
            </w:r>
          </w:p>
        </w:tc>
        <w:tc>
          <w:tcPr>
            <w:tcW w:w="2858" w:type="dxa"/>
            <w:vMerge w:val="continue"/>
            <w:tcBorders>
              <w:left w:val="single" w:color="auto" w:sz="4" w:space="0"/>
            </w:tcBorders>
            <w:noWrap/>
            <w:vAlign w:val="center"/>
          </w:tcPr>
          <w:p>
            <w:pPr>
              <w:widowControl/>
              <w:ind w:firstLine="2200"/>
              <w:jc w:val="center"/>
              <w:rPr>
                <w:rFonts w:ascii="宋体" w:hAnsi="宋体" w:cs="宋体"/>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1149" w:type="dxa"/>
            <w:vMerge w:val="continue"/>
            <w:tcBorders>
              <w:left w:val="single" w:color="auto" w:sz="4" w:space="0"/>
              <w:bottom w:val="single" w:color="auto" w:sz="4" w:space="0"/>
              <w:right w:val="single" w:color="auto" w:sz="4" w:space="0"/>
            </w:tcBorders>
            <w:vAlign w:val="center"/>
          </w:tcPr>
          <w:p>
            <w:pPr>
              <w:widowControl/>
              <w:spacing w:line="240" w:lineRule="exact"/>
              <w:ind w:firstLine="2100"/>
              <w:jc w:val="center"/>
              <w:rPr>
                <w:rFonts w:ascii="仿宋" w:hAnsi="仿宋" w:eastAsia="仿宋" w:cs="宋体"/>
                <w:color w:val="000000" w:themeColor="text1"/>
                <w:kern w:val="0"/>
                <w:szCs w:val="21"/>
                <w14:textFill>
                  <w14:solidFill>
                    <w14:schemeClr w14:val="tx1"/>
                  </w14:solidFill>
                </w14:textFill>
              </w:rPr>
            </w:pPr>
          </w:p>
        </w:tc>
        <w:tc>
          <w:tcPr>
            <w:tcW w:w="1936" w:type="dxa"/>
            <w:tcBorders>
              <w:top w:val="single" w:color="auto" w:sz="4" w:space="0"/>
              <w:left w:val="single" w:color="auto" w:sz="4" w:space="0"/>
              <w:bottom w:val="single" w:color="auto" w:sz="4" w:space="0"/>
              <w:right w:val="single" w:color="auto" w:sz="4" w:space="0"/>
            </w:tcBorders>
            <w:noWrap/>
            <w:vAlign w:val="center"/>
          </w:tcPr>
          <w:p>
            <w:pPr>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幼儿园区域</w:t>
            </w:r>
          </w:p>
        </w:tc>
        <w:tc>
          <w:tcPr>
            <w:tcW w:w="1091" w:type="dxa"/>
            <w:tcBorders>
              <w:top w:val="single" w:color="auto" w:sz="4" w:space="0"/>
              <w:left w:val="single" w:color="auto" w:sz="4" w:space="0"/>
              <w:bottom w:val="single" w:color="auto" w:sz="4" w:space="0"/>
              <w:right w:val="single" w:color="auto" w:sz="4" w:space="0"/>
            </w:tcBorders>
            <w:noWrap/>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F</w:t>
            </w:r>
          </w:p>
        </w:tc>
        <w:tc>
          <w:tcPr>
            <w:tcW w:w="1411" w:type="dxa"/>
            <w:tcBorders>
              <w:top w:val="single" w:color="auto" w:sz="4" w:space="0"/>
              <w:left w:val="single" w:color="auto" w:sz="4" w:space="0"/>
              <w:bottom w:val="single" w:color="auto" w:sz="4" w:space="0"/>
              <w:right w:val="single" w:color="auto" w:sz="4" w:space="0"/>
            </w:tcBorders>
            <w:noWrap/>
            <w:vAlign w:val="center"/>
          </w:tcPr>
          <w:p>
            <w:pPr>
              <w:jc w:val="center"/>
              <w:rPr>
                <w:rFonts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F+60</w:t>
            </w:r>
          </w:p>
        </w:tc>
        <w:tc>
          <w:tcPr>
            <w:tcW w:w="106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60</w:t>
            </w:r>
          </w:p>
        </w:tc>
        <w:tc>
          <w:tcPr>
            <w:tcW w:w="2858" w:type="dxa"/>
            <w:vMerge w:val="continue"/>
            <w:tcBorders>
              <w:left w:val="single" w:color="auto" w:sz="4" w:space="0"/>
            </w:tcBorders>
            <w:noWrap/>
            <w:vAlign w:val="center"/>
          </w:tcPr>
          <w:p>
            <w:pPr>
              <w:widowControl/>
              <w:ind w:firstLine="2200"/>
              <w:jc w:val="center"/>
              <w:rPr>
                <w:rFonts w:ascii="宋体" w:hAnsi="宋体" w:cs="宋体"/>
                <w:color w:val="000000" w:themeColor="text1"/>
                <w:kern w:val="0"/>
                <w:szCs w:val="21"/>
                <w14:textFill>
                  <w14:solidFill>
                    <w14:schemeClr w14:val="tx1"/>
                  </w14:solidFill>
                </w14:textFill>
              </w:rPr>
            </w:pPr>
          </w:p>
        </w:tc>
      </w:tr>
    </w:tbl>
    <w:p>
      <w:pPr>
        <w:pStyle w:val="52"/>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注：</w:t>
      </w:r>
    </w:p>
    <w:p>
      <w:pPr>
        <w:pStyle w:val="52"/>
        <w:numPr>
          <w:ilvl w:val="0"/>
          <w:numId w:val="3"/>
        </w:numPr>
        <w:spacing w:before="120" w:beforeLines="50"/>
        <w:ind w:firstLine="42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以上工期节点为本合同的关键控制节点，除本合同另有约定外，分包人未在上述约定的工期节点完成的，每延迟一天，承包人有权按</w:t>
      </w:r>
      <w:r>
        <w:rPr>
          <w:rFonts w:hint="eastAsia"/>
          <w:color w:val="000000" w:themeColor="text1"/>
          <w:u w:val="single"/>
          <w14:textFill>
            <w14:solidFill>
              <w14:schemeClr w14:val="tx1"/>
            </w14:solidFill>
          </w14:textFill>
        </w:rPr>
        <w:t xml:space="preserve"> 2 </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天的标准暂缓支付当期应付工程款。如分包人在下一个关键工期完成节点将累计已延误的工期赶回的（即下一个工期节点按时完成），则承包人将前期因工期延误而暂缓支付的工程款返还给分包人；如分包人未能在下一个关键工期完成节点赶回已延误工期的，除暂缓支付当期工程款外，上期已暂缓支付的工程款转为分包人节点工期延误违约金处理。本合同对工期延误违约约定与关键工期节点重叠的，按并处违约执行。工期延误违约处理</w:t>
      </w:r>
      <w:r>
        <w:rPr>
          <w:rFonts w:hint="eastAsia" w:hAnsi="宋体"/>
          <w:color w:val="000000" w:themeColor="text1"/>
          <w14:textFill>
            <w14:solidFill>
              <w14:schemeClr w14:val="tx1"/>
            </w14:solidFill>
          </w14:textFill>
        </w:rPr>
        <w:t>并不免除分包人需按本合同约定完成履约的义务。</w:t>
      </w:r>
    </w:p>
    <w:p>
      <w:pPr>
        <w:pStyle w:val="52"/>
        <w:numPr>
          <w:ilvl w:val="0"/>
          <w:numId w:val="3"/>
        </w:numPr>
        <w:ind w:firstLine="42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分包人原因导致逾期开工15天以内的，每逾期一天，应向承包人偿付</w:t>
      </w:r>
      <w:r>
        <w:rPr>
          <w:rFonts w:hint="eastAsia"/>
          <w:color w:val="000000" w:themeColor="text1"/>
          <w:u w:val="single"/>
          <w14:textFill>
            <w14:solidFill>
              <w14:schemeClr w14:val="tx1"/>
            </w14:solidFill>
          </w14:textFill>
        </w:rPr>
        <w:t>本工程合同中标价（合同签约合同价格）万分之五</w:t>
      </w:r>
      <w:r>
        <w:rPr>
          <w:rFonts w:hint="eastAsia"/>
          <w:color w:val="000000" w:themeColor="text1"/>
          <w14:textFill>
            <w14:solidFill>
              <w14:schemeClr w14:val="tx1"/>
            </w14:solidFill>
          </w14:textFill>
        </w:rPr>
        <w:t>的违约金；累计逾期15天以上的，经发包人书面同意，承包人有权单方面解除合同，分包人应向承包人支付</w:t>
      </w:r>
      <w:r>
        <w:rPr>
          <w:rFonts w:hint="eastAsia"/>
          <w:color w:val="000000" w:themeColor="text1"/>
          <w:u w:val="single"/>
          <w14:textFill>
            <w14:solidFill>
              <w14:schemeClr w14:val="tx1"/>
            </w14:solidFill>
          </w14:textFill>
        </w:rPr>
        <w:t>签约合同价格的2</w:t>
      </w:r>
      <w:r>
        <w:rPr>
          <w:color w:val="000000" w:themeColor="text1"/>
          <w:u w:val="single"/>
          <w14:textFill>
            <w14:solidFill>
              <w14:schemeClr w14:val="tx1"/>
            </w14:solidFill>
          </w14:textFill>
        </w:rPr>
        <w:t>0%</w:t>
      </w:r>
      <w:r>
        <w:rPr>
          <w:rFonts w:hint="eastAsia"/>
          <w:color w:val="000000" w:themeColor="text1"/>
          <w14:textFill>
            <w14:solidFill>
              <w14:schemeClr w14:val="tx1"/>
            </w14:solidFill>
          </w14:textFill>
        </w:rPr>
        <w:t>作为违约金，同时补偿因逾期开工而发生的承包人的所有损失。</w:t>
      </w:r>
    </w:p>
    <w:p>
      <w:pPr>
        <w:pStyle w:val="52"/>
        <w:numPr>
          <w:ilvl w:val="0"/>
          <w:numId w:val="3"/>
        </w:numPr>
        <w:ind w:firstLine="42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分包人原因导致逾期竣工，每逾期一天，应向承包人偿付</w:t>
      </w:r>
      <w:r>
        <w:rPr>
          <w:rFonts w:hint="eastAsia"/>
          <w:color w:val="000000" w:themeColor="text1"/>
          <w:u w:val="single"/>
          <w14:textFill>
            <w14:solidFill>
              <w14:schemeClr w14:val="tx1"/>
            </w14:solidFill>
          </w14:textFill>
        </w:rPr>
        <w:t>签约合同价格的万分之五</w:t>
      </w:r>
      <w:r>
        <w:rPr>
          <w:rFonts w:hint="eastAsia"/>
          <w:color w:val="000000" w:themeColor="text1"/>
          <w14:textFill>
            <w14:solidFill>
              <w14:schemeClr w14:val="tx1"/>
            </w14:solidFill>
          </w14:textFill>
        </w:rPr>
        <w:t>的违约金。</w:t>
      </w:r>
    </w:p>
    <w:p>
      <w:pPr>
        <w:pStyle w:val="52"/>
        <w:numPr>
          <w:ilvl w:val="0"/>
          <w:numId w:val="3"/>
        </w:numPr>
        <w:ind w:firstLine="42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分包人原因导致工期延误引起第三方索赔的，分包人除按上述工期延误或节点延误承担违约责任外，另应承担第三方索赔及承包人全部损失。</w:t>
      </w:r>
    </w:p>
    <w:p>
      <w:pPr>
        <w:pStyle w:val="4"/>
        <w:numPr>
          <w:ilvl w:val="2"/>
          <w:numId w:val="0"/>
        </w:numPr>
        <w:tabs>
          <w:tab w:val="left" w:pos="0"/>
        </w:tabs>
        <w:spacing w:before="0" w:after="0"/>
        <w:ind w:firstLine="420" w:firstLineChars="200"/>
        <w:rPr>
          <w:rFonts w:eastAsia="仿宋_GB2312"/>
          <w:b w:val="0"/>
          <w:bCs w:val="0"/>
          <w:color w:val="000000" w:themeColor="text1"/>
          <w:kern w:val="0"/>
          <w:sz w:val="21"/>
          <w14:textFill>
            <w14:solidFill>
              <w14:schemeClr w14:val="tx1"/>
            </w14:solidFill>
          </w14:textFill>
        </w:rPr>
      </w:pPr>
      <w:r>
        <w:rPr>
          <w:rFonts w:hint="eastAsia" w:eastAsia="仿宋_GB2312"/>
          <w:b w:val="0"/>
          <w:bCs w:val="0"/>
          <w:color w:val="000000" w:themeColor="text1"/>
          <w:kern w:val="0"/>
          <w:sz w:val="21"/>
          <w14:textFill>
            <w14:solidFill>
              <w14:schemeClr w14:val="tx1"/>
            </w14:solidFill>
          </w14:textFill>
        </w:rPr>
        <w:t>10.1.3分包人按照发包人及承包人要求根据总工期计划按时制定月度计划及周计划报予承包人、发包人审核并实施，承包人将根据经审批通过的月度计划及周计划考核分包人。分包人未按经审批通过的月度计划完成施工任务或延期完成的，承包人有权视影响进度的严重程度依据考核结果向分包人索赔，分包人未按月度或周计划完成施工任务，每延误一天且对工期产生实质性影响的，分包人则应向承包人按</w:t>
      </w:r>
      <w:r>
        <w:rPr>
          <w:rFonts w:hint="eastAsia" w:eastAsia="仿宋_GB2312"/>
          <w:b w:val="0"/>
          <w:bCs w:val="0"/>
          <w:color w:val="000000" w:themeColor="text1"/>
          <w:kern w:val="0"/>
          <w:sz w:val="21"/>
          <w:u w:val="single"/>
          <w14:textFill>
            <w14:solidFill>
              <w14:schemeClr w14:val="tx1"/>
            </w14:solidFill>
          </w14:textFill>
        </w:rPr>
        <w:t xml:space="preserve"> </w:t>
      </w:r>
      <w:r>
        <w:rPr>
          <w:rFonts w:eastAsia="仿宋_GB2312"/>
          <w:b w:val="0"/>
          <w:bCs w:val="0"/>
          <w:color w:val="000000" w:themeColor="text1"/>
          <w:kern w:val="0"/>
          <w:sz w:val="21"/>
          <w:u w:val="single"/>
          <w14:textFill>
            <w14:solidFill>
              <w14:schemeClr w14:val="tx1"/>
            </w14:solidFill>
          </w14:textFill>
        </w:rPr>
        <w:t>500</w:t>
      </w:r>
      <w:r>
        <w:rPr>
          <w:rFonts w:hint="eastAsia" w:eastAsia="仿宋_GB2312"/>
          <w:b w:val="0"/>
          <w:bCs w:val="0"/>
          <w:color w:val="000000" w:themeColor="text1"/>
          <w:kern w:val="0"/>
          <w:sz w:val="21"/>
          <w:u w:val="single"/>
          <w14:textFill>
            <w14:solidFill>
              <w14:schemeClr w14:val="tx1"/>
            </w14:solidFill>
          </w14:textFill>
        </w:rPr>
        <w:t>~</w:t>
      </w:r>
      <w:r>
        <w:rPr>
          <w:rFonts w:eastAsia="仿宋_GB2312"/>
          <w:b w:val="0"/>
          <w:bCs w:val="0"/>
          <w:color w:val="000000" w:themeColor="text1"/>
          <w:kern w:val="0"/>
          <w:sz w:val="21"/>
          <w:u w:val="single"/>
          <w14:textFill>
            <w14:solidFill>
              <w14:schemeClr w14:val="tx1"/>
            </w14:solidFill>
          </w14:textFill>
        </w:rPr>
        <w:t>3000</w:t>
      </w:r>
      <w:r>
        <w:rPr>
          <w:rFonts w:hint="eastAsia" w:eastAsia="仿宋_GB2312"/>
          <w:b w:val="0"/>
          <w:bCs w:val="0"/>
          <w:color w:val="000000" w:themeColor="text1"/>
          <w:kern w:val="0"/>
          <w:sz w:val="21"/>
          <w14:textFill>
            <w14:solidFill>
              <w14:schemeClr w14:val="tx1"/>
            </w14:solidFill>
          </w14:textFill>
        </w:rPr>
        <w:t>元/天的标准支付违约金，并不免除分包人需完成的施工任务。若因分包人原因未能于下月内完成上月重要的原计划事项的，则违约金将加倍收取，以此类推。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10.1.4. 分包人每月</w:t>
      </w:r>
      <w:r>
        <w:rPr>
          <w:rFonts w:hint="eastAsia"/>
          <w:color w:val="000000" w:themeColor="text1"/>
          <w:u w:val="single"/>
          <w14:textFill>
            <w14:solidFill>
              <w14:schemeClr w14:val="tx1"/>
            </w14:solidFill>
          </w14:textFill>
        </w:rPr>
        <w:t>2</w:t>
      </w:r>
      <w:r>
        <w:rPr>
          <w:color w:val="000000" w:themeColor="text1"/>
          <w:u w:val="single"/>
          <w14:textFill>
            <w14:solidFill>
              <w14:schemeClr w14:val="tx1"/>
            </w14:solidFill>
          </w14:textFill>
        </w:rPr>
        <w:t>5</w:t>
      </w:r>
      <w:r>
        <w:rPr>
          <w:rFonts w:hint="eastAsia"/>
          <w:color w:val="000000" w:themeColor="text1"/>
          <w14:textFill>
            <w14:solidFill>
              <w14:schemeClr w14:val="tx1"/>
            </w14:solidFill>
          </w14:textFill>
        </w:rPr>
        <w:t>日前通过承包人分别向发包人及监理人</w:t>
      </w:r>
      <w:r>
        <w:rPr>
          <w:rFonts w:hint="eastAsia" w:hAnsi="宋体"/>
          <w:color w:val="000000" w:themeColor="text1"/>
          <w14:textFill>
            <w14:solidFill>
              <w14:schemeClr w14:val="tx1"/>
            </w14:solidFill>
          </w14:textFill>
        </w:rPr>
        <w:t>提供详细的</w:t>
      </w:r>
      <w:r>
        <w:rPr>
          <w:rFonts w:hint="eastAsia" w:hAnsi="宋体"/>
          <w:color w:val="000000" w:themeColor="text1"/>
          <w:u w:val="single"/>
          <w14:textFill>
            <w14:solidFill>
              <w14:schemeClr w14:val="tx1"/>
            </w14:solidFill>
          </w14:textFill>
        </w:rPr>
        <w:t>上月20日至当月20日</w:t>
      </w:r>
      <w:r>
        <w:rPr>
          <w:rFonts w:hint="eastAsia" w:hAnsi="宋体"/>
          <w:color w:val="000000" w:themeColor="text1"/>
          <w14:textFill>
            <w14:solidFill>
              <w14:schemeClr w14:val="tx1"/>
            </w14:solidFill>
          </w14:textFill>
        </w:rPr>
        <w:t>已完形象进度与工程量报表（含材料进场记录等报表资料、设计变更及工程签证）及下月施工进度计划</w:t>
      </w:r>
      <w:r>
        <w:rPr>
          <w:rFonts w:hint="eastAsia"/>
          <w:color w:val="000000" w:themeColor="text1"/>
          <w14:textFill>
            <w14:solidFill>
              <w14:schemeClr w14:val="tx1"/>
            </w14:solidFill>
          </w14:textFill>
        </w:rPr>
        <w:t>，承包人收到资料后3天内完成审核并提交发包人及监理人。</w:t>
      </w:r>
    </w:p>
    <w:p>
      <w:pPr>
        <w:pStyle w:val="52"/>
        <w:spacing w:before="120" w:beforeLines="50"/>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10.3计划管理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10.3.1施工计划的提交：分包人中标后7天内应通过承包人提交满足以下要求的项目施工计划至监理人及发包单位审核。</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1）施工计划各节点均不得超出投标版本计划；</w:t>
      </w:r>
    </w:p>
    <w:p>
      <w:pPr>
        <w:pStyle w:val="52"/>
        <w:ind w:firstLine="420"/>
        <w:rPr>
          <w:rFonts w:eastAsia="宋体"/>
          <w:color w:val="000000" w:themeColor="text1"/>
          <w14:textFill>
            <w14:solidFill>
              <w14:schemeClr w14:val="tx1"/>
            </w14:solidFill>
          </w14:textFill>
        </w:rPr>
      </w:pPr>
      <w:r>
        <w:rPr>
          <w:rFonts w:hint="eastAsia"/>
          <w:color w:val="000000" w:themeColor="text1"/>
          <w14:textFill>
            <w14:solidFill>
              <w14:schemeClr w14:val="tx1"/>
            </w14:solidFill>
          </w14:textFill>
        </w:rPr>
        <w:t>2）施工计划中各期计划必须包含10.1.2表内的关键施工节点；</w:t>
      </w:r>
      <w:r>
        <w:rPr>
          <w:rStyle w:val="45"/>
          <w:rFonts w:hint="eastAsia" w:ascii="Calibri" w:hAnsi="Calibri"/>
          <w:color w:val="000000" w:themeColor="text1"/>
          <w:kern w:val="2"/>
          <w14:textFill>
            <w14:solidFill>
              <w14:schemeClr w14:val="tx1"/>
            </w14:solidFill>
          </w14:textFill>
        </w:rPr>
        <w:t xml:space="preserve">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3）施工计划应加盖分包人公章并获承包人书面确认；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4）不得超出招标文件中对工期的要求；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10.3.2分包人有责任根据现场工作的开展进度更新及/或重新编制进度计划和施工组织设计,分包人应在七日内书面将修改后的新计划报发包人和监理审阅备案，特殊情况下分包人可向发包人申请适当延期提供。如分包人原因不能按时提供最新的计划，每逾期一天，承包人有关按专用条款10.1.1向分包人索赔。</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10.3.3分包人应按时提供月度工程施工计划及报表，该部分计划和报表应包括工程量清单、工程造价、施工进度、质量状况，以及人力安排、增加人力的来源、各种材料、设备的用量和消耗等，同时根据发包人和监理的要求提供周计划。月计划须于上一月的25日前提供下一个月的月计划和上一个月的月度报告；周计划须在每周工程例会前一天下午16:00之前报送发包人和监理人。不按时上报分解计划及报表的，月计划每延期一天收取违约金5000元，周计划每延期一天收取违约金5000元。所报计划无量化指标者按相应延期处罚。</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10.3.4</w:t>
      </w:r>
      <w:r>
        <w:rPr>
          <w:rFonts w:hint="eastAsia"/>
          <w:color w:val="000000" w:themeColor="text1"/>
          <w14:textFill>
            <w14:solidFill>
              <w14:schemeClr w14:val="tx1"/>
            </w14:solidFill>
          </w14:textFill>
        </w:rPr>
        <w:t>分包人所报的施工总进度计划又称三级进度或合同进度，它应当较为详细、完整并符合发包人的工程总进度计划（即二级进度）。该进度计划应包括竣工时间、各分项工程的开始、完（竣）工和验收时间等。此施工总进度计划一经发包人和监理及承包人确认后，无论是否已发生变更，分包人均有义务至少应在每个季度的最后一个月的</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日，向承包人、发包人和监理提交最新的、经过修改的、动态的施工总进度计划，并由其审核备案，但对于发包人和承包人明确不得延误的阶段性施工目标不得擅自更改（合同已明确规定需延期或非分包人原因影响的除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10.3.5分包人应当按照本合同约定的竣工日期竣工。为确保工程的顺利进行,发包人和承包人有权要求分包人合理调整施工的顺序和非关键路径的工期安排。</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10.3.6除非合同已有其他约定，否则分包人承诺不以现场及周边环境、政府和行业的检查及管理、节假日、法定假日、农忙、人员短缺等为由提出各种形式的工期和费用的索赔。</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10.3.7在合同期内，分包人应按合同和发包人及承包人的要求提交所需要的全部资料和文件，包括但不限于分包人的施工组织设计、施工总进度计划、资金需求和工程产值计划、劳动力需求计划、材料设备的供货和配合计划、专项进度计划、质量保证大纲和手册、施工机械进退场计划等。如分包人不能按时提供上述计划或文件，每逾期一天，需支付的违约金同专用条款“10.1.1及10.3.3”。</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10.3.8 分包人施工计划应与经发包人批准的总承包施工计划相匹配，充分考虑各搭接专业及搭接合同段的施工配合。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10.3.9分包人的总体施工进度由分包人协调平衡，以满足发包人和监理人及承包人对整个施工过程中阶段性工期的控制要求，对此分包人负有不可推卸的责任。分包人在编制所有工程施工计划时，应充分考虑相关专业、部位和工序的施工顺序应合理安排进度，确保分包人和各专业工程分包人都能按计划有序地完成各自的工程施工任务。</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10.3.1</w:t>
      </w:r>
      <w:r>
        <w:rPr>
          <w:rFonts w:hint="eastAsia"/>
          <w:color w:val="000000" w:themeColor="text1"/>
          <w14:textFill>
            <w14:solidFill>
              <w14:schemeClr w14:val="tx1"/>
            </w14:solidFill>
          </w14:textFill>
        </w:rPr>
        <w:t>0不论是何原因（包括工程发生较大调整、设计、施工、发包人和监理指令等），导致分包人所报计划需重新制订或部分调整修改，分包人应在该原因发生后七日内以书面形式将修改后的新计划报承包人、发包人和监理人审核审批，特殊情况下分包人可通过承包人向发包人申请适当延期提供。如分包人不能按时提供修改后的新计划，每逾期一天，需支付的违约金同专用条款“10.1.1”。</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10.3.11每周工程例会前一天向发包人和监理及承包人报送周报，包括上周计划和完成情况、对未完工作的情况说明和拟采取的措施（包括拟采取措施、最终完成时间）、本周计划和其他事项等。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10.3.12分包人提交的施工机械进退场计划应包括施工机械的名称、数量、已使用的年限、折旧总年限、规格型号、主要的性能、进退场的时间、目前的状态、来源、合同期内的维修保养计划等内容。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10.3.13发包人和监理人及承包人对分包人所提交的所有进度计划、施工组织设计、施工方案的批准和认可，不</w:t>
      </w:r>
      <w:r>
        <w:rPr>
          <w:color w:val="000000" w:themeColor="text1"/>
          <w14:textFill>
            <w14:solidFill>
              <w14:schemeClr w14:val="tx1"/>
            </w14:solidFill>
          </w14:textFill>
        </w:rPr>
        <w:t>视为对</w:t>
      </w:r>
      <w:r>
        <w:rPr>
          <w:rFonts w:hint="eastAsia"/>
          <w:color w:val="000000" w:themeColor="text1"/>
          <w14:textFill>
            <w14:solidFill>
              <w14:schemeClr w14:val="tx1"/>
            </w14:solidFill>
          </w14:textFill>
        </w:rPr>
        <w:t>本</w:t>
      </w:r>
      <w:r>
        <w:rPr>
          <w:color w:val="000000" w:themeColor="text1"/>
          <w14:textFill>
            <w14:solidFill>
              <w14:schemeClr w14:val="tx1"/>
            </w14:solidFill>
          </w14:textFill>
        </w:rPr>
        <w:t>合同工期</w:t>
      </w:r>
      <w:r>
        <w:rPr>
          <w:rFonts w:hint="eastAsia"/>
          <w:color w:val="000000" w:themeColor="text1"/>
          <w14:textFill>
            <w14:solidFill>
              <w14:schemeClr w14:val="tx1"/>
            </w14:solidFill>
          </w14:textFill>
        </w:rPr>
        <w:t>、质量、安全、价格等约定</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调</w:t>
      </w:r>
      <w:r>
        <w:rPr>
          <w:color w:val="000000" w:themeColor="text1"/>
          <w14:textFill>
            <w14:solidFill>
              <w14:schemeClr w14:val="tx1"/>
            </w14:solidFill>
          </w14:textFill>
        </w:rPr>
        <w:t>整，</w:t>
      </w:r>
      <w:r>
        <w:rPr>
          <w:rFonts w:hint="eastAsia"/>
          <w:color w:val="000000" w:themeColor="text1"/>
          <w14:textFill>
            <w14:solidFill>
              <w14:schemeClr w14:val="tx1"/>
            </w14:solidFill>
          </w14:textFill>
        </w:rPr>
        <w:t>均不应减轻</w:t>
      </w:r>
      <w:r>
        <w:rPr>
          <w:color w:val="000000" w:themeColor="text1"/>
          <w14:textFill>
            <w14:solidFill>
              <w14:schemeClr w14:val="tx1"/>
            </w14:solidFill>
          </w14:textFill>
        </w:rPr>
        <w:t>或</w:t>
      </w:r>
      <w:r>
        <w:rPr>
          <w:rFonts w:hint="eastAsia"/>
          <w:color w:val="000000" w:themeColor="text1"/>
          <w14:textFill>
            <w14:solidFill>
              <w14:schemeClr w14:val="tx1"/>
            </w14:solidFill>
          </w14:textFill>
        </w:rPr>
        <w:t>免除分包人应承担的责任和义务。</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10.3.14分包人通过承包人提交给发包人和监理人的所有计划和报表以及文件等的时间，均以发包人或监理人的书面签收为准，如果分包人虽按时提供但不符合合同要求，需一日内修正完毕并重新上报。对不能按合同要求按时提供（发包人书面认可的特殊情况下的延期除外）或上报文件不符合合同要求时未能按时修正重新上报的，按照5000元/天向承包人支付违约金，直至提交计划合格。</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10.3.15分包人与承包人签订现场管理协议后，向承包人申请办理相关进场手续。</w:t>
      </w:r>
    </w:p>
    <w:p>
      <w:pPr>
        <w:pStyle w:val="73"/>
        <w:rPr>
          <w:color w:val="000000" w:themeColor="text1"/>
          <w14:textFill>
            <w14:solidFill>
              <w14:schemeClr w14:val="tx1"/>
            </w14:solidFill>
          </w14:textFill>
        </w:rPr>
      </w:pPr>
      <w:bookmarkStart w:id="696" w:name="_Toc26381"/>
      <w:bookmarkStart w:id="697" w:name="_Toc44228163"/>
      <w:bookmarkStart w:id="698" w:name="_Toc38987280"/>
      <w:bookmarkStart w:id="699" w:name="_Toc26413"/>
      <w:bookmarkStart w:id="700" w:name="_Toc44492584"/>
      <w:bookmarkStart w:id="701" w:name="_Toc91082444"/>
      <w:bookmarkStart w:id="702" w:name="_Toc1274"/>
      <w:r>
        <w:rPr>
          <w:rFonts w:hint="eastAsia"/>
          <w:color w:val="000000" w:themeColor="text1"/>
          <w14:textFill>
            <w14:solidFill>
              <w14:schemeClr w14:val="tx1"/>
            </w14:solidFill>
          </w14:textFill>
        </w:rPr>
        <w:t>11.开工和竣工</w:t>
      </w:r>
      <w:bookmarkEnd w:id="696"/>
      <w:bookmarkEnd w:id="697"/>
      <w:bookmarkEnd w:id="698"/>
      <w:bookmarkEnd w:id="699"/>
      <w:bookmarkEnd w:id="700"/>
      <w:bookmarkEnd w:id="701"/>
      <w:bookmarkEnd w:id="702"/>
    </w:p>
    <w:p>
      <w:pPr>
        <w:pStyle w:val="77"/>
        <w:ind w:firstLine="480"/>
        <w:rPr>
          <w:color w:val="000000" w:themeColor="text1"/>
          <w14:textFill>
            <w14:solidFill>
              <w14:schemeClr w14:val="tx1"/>
            </w14:solidFill>
          </w14:textFill>
        </w:rPr>
      </w:pPr>
      <w:bookmarkStart w:id="703" w:name="_Toc30101"/>
      <w:bookmarkStart w:id="704" w:name="_Toc25354"/>
      <w:bookmarkStart w:id="705" w:name="_Toc44492585"/>
      <w:r>
        <w:rPr>
          <w:rFonts w:hint="eastAsia"/>
          <w:color w:val="000000" w:themeColor="text1"/>
          <w14:textFill>
            <w14:solidFill>
              <w14:schemeClr w14:val="tx1"/>
            </w14:solidFill>
          </w14:textFill>
        </w:rPr>
        <w:t>11.1.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开工</w:t>
      </w:r>
      <w:bookmarkEnd w:id="703"/>
      <w:bookmarkEnd w:id="704"/>
      <w:bookmarkEnd w:id="705"/>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通用条款11.1.3修改为：分包人不能按时开工的，应当不迟于承包人要求的开工日期前7天，通过承包人以书面形式向发包人和监理人提出延期开工的理由和要求。发包人和监理人应当在接到延期开工申请后的48小时内以书面形式答复承包人、分包人。发包人和监理人在接到延期开工申请后48小时内不答复，视为不同意分包人要求，工期不相应顺延。发包人和监理人不同意延期要求或分包人未在规定时间内提出延期开工要求，工期不予顺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11.1.4 分包人的人员、设备必须按照合同及经承包人、监理人和发包人确认的时间表进场，分包人不得拖延、调换或减少。若监理人认为合同规定的进场机械、材料和劳动力不能满足施工进度要求，有权指令分包人增加设备、材料和劳动力投入，分包人不得拒绝。分包人不按照合同约定的人员、设备按时进场，承包人有权要求不满足合同要求的人员、设备退场，由此造成的工期、费用损失，由分包人负责。</w:t>
      </w:r>
    </w:p>
    <w:p>
      <w:pPr>
        <w:pStyle w:val="77"/>
        <w:ind w:firstLine="480"/>
        <w:rPr>
          <w:color w:val="000000" w:themeColor="text1"/>
          <w14:textFill>
            <w14:solidFill>
              <w14:schemeClr w14:val="tx1"/>
            </w14:solidFill>
          </w14:textFill>
        </w:rPr>
      </w:pPr>
      <w:bookmarkStart w:id="706" w:name="_Toc28431"/>
      <w:bookmarkStart w:id="707" w:name="_Toc751"/>
      <w:bookmarkStart w:id="708" w:name="_Toc44492586"/>
      <w:r>
        <w:rPr>
          <w:rFonts w:hint="eastAsia"/>
          <w:color w:val="000000" w:themeColor="text1"/>
          <w14:textFill>
            <w14:solidFill>
              <w14:schemeClr w14:val="tx1"/>
            </w14:solidFill>
          </w14:textFill>
        </w:rPr>
        <w:t>11.3. 发包人的工期延误</w:t>
      </w:r>
      <w:bookmarkEnd w:id="706"/>
      <w:bookmarkEnd w:id="707"/>
      <w:bookmarkEnd w:id="70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11.3.1. 合同当事人双方约定工期顺延的其他情况：</w:t>
      </w:r>
      <w:r>
        <w:rPr>
          <w:rFonts w:hint="eastAsia"/>
          <w:color w:val="000000" w:themeColor="text1"/>
          <w:u w:val="single"/>
          <w14:textFill>
            <w14:solidFill>
              <w14:schemeClr w14:val="tx1"/>
            </w14:solidFill>
          </w14:textFill>
        </w:rPr>
        <w:t xml:space="preserve">     /    </w:t>
      </w:r>
      <w:r>
        <w:rPr>
          <w:rFonts w:hint="eastAsia"/>
          <w:color w:val="000000" w:themeColor="text1"/>
          <w14:textFill>
            <w14:solidFill>
              <w14:schemeClr w14:val="tx1"/>
            </w14:solidFill>
          </w14:textFill>
        </w:rPr>
        <w:t>。</w:t>
      </w:r>
    </w:p>
    <w:p>
      <w:pPr>
        <w:pStyle w:val="77"/>
        <w:ind w:firstLine="480"/>
        <w:rPr>
          <w:color w:val="000000" w:themeColor="text1"/>
          <w14:textFill>
            <w14:solidFill>
              <w14:schemeClr w14:val="tx1"/>
            </w14:solidFill>
          </w14:textFill>
        </w:rPr>
      </w:pPr>
      <w:bookmarkStart w:id="709" w:name="_Toc44492587"/>
      <w:bookmarkStart w:id="710" w:name="_Toc16575"/>
      <w:bookmarkStart w:id="711" w:name="_Toc10205"/>
      <w:r>
        <w:rPr>
          <w:rFonts w:hint="eastAsia"/>
          <w:color w:val="000000" w:themeColor="text1"/>
          <w14:textFill>
            <w14:solidFill>
              <w14:schemeClr w14:val="tx1"/>
            </w14:solidFill>
          </w14:textFill>
        </w:rPr>
        <w:t>11.4. 异常恶劣的气候条件</w:t>
      </w:r>
      <w:bookmarkEnd w:id="709"/>
      <w:bookmarkEnd w:id="710"/>
      <w:bookmarkEnd w:id="71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11.4.1. 异常恶劣的气候条件是指: </w:t>
      </w:r>
      <w:r>
        <w:rPr>
          <w:rFonts w:hint="eastAsia"/>
          <w:color w:val="000000" w:themeColor="text1"/>
          <w:u w:val="single"/>
          <w14:textFill>
            <w14:solidFill>
              <w14:schemeClr w14:val="tx1"/>
            </w14:solidFill>
          </w14:textFill>
        </w:rPr>
        <w:t>24小时内（午夜至午夜）当地气象局记录显示降雨量150 mm或以上或8级及以上的台风，以主管部门发布的正式文件为准。</w:t>
      </w:r>
    </w:p>
    <w:p>
      <w:pPr>
        <w:pStyle w:val="77"/>
        <w:ind w:firstLine="480"/>
        <w:rPr>
          <w:color w:val="000000" w:themeColor="text1"/>
          <w14:textFill>
            <w14:solidFill>
              <w14:schemeClr w14:val="tx1"/>
            </w14:solidFill>
          </w14:textFill>
        </w:rPr>
      </w:pPr>
      <w:bookmarkStart w:id="712" w:name="_Toc18931"/>
      <w:bookmarkStart w:id="713" w:name="_Toc27301"/>
      <w:bookmarkStart w:id="714" w:name="_Toc44492588"/>
      <w:r>
        <w:rPr>
          <w:rFonts w:hint="eastAsia"/>
          <w:color w:val="000000" w:themeColor="text1"/>
          <w14:textFill>
            <w14:solidFill>
              <w14:schemeClr w14:val="tx1"/>
            </w14:solidFill>
          </w14:textFill>
        </w:rPr>
        <w:t>11.5. 分包人的工期延误</w:t>
      </w:r>
      <w:bookmarkEnd w:id="712"/>
      <w:bookmarkEnd w:id="713"/>
      <w:bookmarkEnd w:id="714"/>
    </w:p>
    <w:p>
      <w:pPr>
        <w:pStyle w:val="75"/>
        <w:ind w:firstLine="422"/>
        <w:rPr>
          <w:color w:val="000000" w:themeColor="text1"/>
          <w14:textFill>
            <w14:solidFill>
              <w14:schemeClr w14:val="tx1"/>
            </w14:solidFill>
          </w14:textFill>
        </w:rPr>
      </w:pPr>
      <w:bookmarkStart w:id="715" w:name="_Toc26971"/>
      <w:r>
        <w:rPr>
          <w:rFonts w:hint="eastAsia"/>
          <w:color w:val="000000" w:themeColor="text1"/>
          <w14:textFill>
            <w14:solidFill>
              <w14:schemeClr w14:val="tx1"/>
            </w14:solidFill>
          </w14:textFill>
        </w:rPr>
        <w:t>11.5.1. 对分包人工期延误的约定</w:t>
      </w:r>
      <w:bookmarkEnd w:id="715"/>
    </w:p>
    <w:p>
      <w:pPr>
        <w:pStyle w:val="52"/>
        <w:ind w:firstLine="42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分包人原因导致</w:t>
      </w:r>
      <w:r>
        <w:rPr>
          <w:rFonts w:hint="eastAsia"/>
          <w:color w:val="000000" w:themeColor="text1"/>
          <w:u w:val="single"/>
          <w14:textFill>
            <w14:solidFill>
              <w14:schemeClr w14:val="tx1"/>
            </w14:solidFill>
          </w14:textFill>
        </w:rPr>
        <w:t>工程不能按合同竣工日期验收合格或移交发包人的，每延误一天，分包人应按签约合同价格</w:t>
      </w:r>
      <w:r>
        <w:rPr>
          <w:rFonts w:hint="eastAsia"/>
          <w:color w:val="000000" w:themeColor="text1"/>
          <w:u w:val="single"/>
          <w14:textFill>
            <w14:solidFill>
              <w14:schemeClr w14:val="tx1"/>
            </w14:solidFill>
          </w14:textFill>
        </w:rPr>
        <w:t>的</w:t>
      </w:r>
      <w:r>
        <w:rPr>
          <w:rFonts w:hint="eastAsia"/>
          <w:color w:val="000000" w:themeColor="text1"/>
          <w:u w:val="single"/>
          <w14:textFill>
            <w14:solidFill>
              <w14:schemeClr w14:val="tx1"/>
            </w14:solidFill>
          </w14:textFill>
        </w:rPr>
        <w:t xml:space="preserve">万分之五向承包人支付违约金（如果工期延误引起小业主或其他人相关损失，分包人应负全部赔偿责任）。承包人可从应向分包人支付的进度款及结算款中扣除此项违约金，不足部分由分包人另行赔偿，此赔偿费的支付并不能解除分包人应完成工程的责任或本合同规定的其他责任。 </w:t>
      </w:r>
    </w:p>
    <w:p>
      <w:pPr>
        <w:adjustRightInd w:val="0"/>
        <w:snapToGrid w:val="0"/>
        <w:spacing w:line="360" w:lineRule="auto"/>
        <w:ind w:firstLine="420" w:firstLineChars="200"/>
        <w:rPr>
          <w:color w:val="000000" w:themeColor="text1"/>
          <w:u w:val="single"/>
          <w14:textFill>
            <w14:solidFill>
              <w14:schemeClr w14:val="tx1"/>
            </w14:solidFill>
          </w14:textFill>
        </w:rPr>
      </w:pPr>
      <w:r>
        <w:rPr>
          <w:rFonts w:hint="eastAsia" w:ascii="Times New Roman" w:hAnsi="Times New Roman" w:eastAsia="仿宋_GB2312"/>
          <w:color w:val="000000" w:themeColor="text1"/>
          <w:kern w:val="0"/>
          <w:szCs w:val="32"/>
          <w:u w:val="single"/>
          <w14:textFill>
            <w14:solidFill>
              <w14:schemeClr w14:val="tx1"/>
            </w14:solidFill>
          </w14:textFill>
        </w:rPr>
        <w:t>2）如因分包人责任造成实际施工进度滞后于合同规定的控制节点超过20天，经发包人书面同意，承包人有权单方面解除合同或将分包人所承包的部分工程委托给第三方单位负责施工，由此造成的一切损失均由分包人负责。经发包人书面同意，承包人将该部分工程直接委托给第三方单位负责施工且与第三方单位直接发生合同关系的，则应相应调减本合同承包范围及合同价款，同时分包人应按第三方单位实施该部分工程造价的20%向承包人支付违约金，同时承担工期等违约责任及承包人相关损失。承包人单方面解除合同的，分包人应补偿发包人及其他相关专业分包人等的所有损失。</w:t>
      </w:r>
    </w:p>
    <w:p>
      <w:pPr>
        <w:pStyle w:val="77"/>
        <w:ind w:firstLine="480"/>
        <w:rPr>
          <w:color w:val="000000" w:themeColor="text1"/>
          <w14:textFill>
            <w14:solidFill>
              <w14:schemeClr w14:val="tx1"/>
            </w14:solidFill>
          </w14:textFill>
        </w:rPr>
      </w:pPr>
      <w:bookmarkStart w:id="716" w:name="_Toc4423"/>
      <w:bookmarkStart w:id="717" w:name="_Toc44492589"/>
      <w:bookmarkStart w:id="718" w:name="_Toc31650"/>
      <w:r>
        <w:rPr>
          <w:rFonts w:hint="eastAsia"/>
          <w:color w:val="000000" w:themeColor="text1"/>
          <w14:textFill>
            <w14:solidFill>
              <w14:schemeClr w14:val="tx1"/>
            </w14:solidFill>
          </w14:textFill>
        </w:rPr>
        <w:t>11.6. 工期提前</w:t>
      </w:r>
      <w:bookmarkEnd w:id="716"/>
      <w:bookmarkEnd w:id="717"/>
      <w:bookmarkEnd w:id="71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11.6.1. </w:t>
      </w:r>
      <w:r>
        <w:rPr>
          <w:rFonts w:hint="eastAsia"/>
          <w:color w:val="000000" w:themeColor="text1"/>
          <w:u w:val="single"/>
          <w14:textFill>
            <w14:solidFill>
              <w14:schemeClr w14:val="tx1"/>
            </w14:solidFill>
          </w14:textFill>
        </w:rPr>
        <w:t>分包人按合同工期要求按时完成合同内容的不奖不罚，在此基础上如承包人要求提前完成关键节点或提前验收时，合同当事人双方可签订提前竣工补充协议，分包人按新的工期要求重新制定施工计划报承包人确认后执行。如承包</w:t>
      </w:r>
      <w:r>
        <w:rPr>
          <w:color w:val="000000" w:themeColor="text1"/>
          <w:u w:val="single"/>
          <w14:textFill>
            <w14:solidFill>
              <w14:schemeClr w14:val="tx1"/>
            </w14:solidFill>
          </w14:textFill>
        </w:rPr>
        <w:t>人未要求提前</w:t>
      </w:r>
      <w:r>
        <w:rPr>
          <w:rFonts w:hint="eastAsia"/>
          <w:color w:val="000000" w:themeColor="text1"/>
          <w:u w:val="single"/>
          <w14:textFill>
            <w14:solidFill>
              <w14:schemeClr w14:val="tx1"/>
            </w14:solidFill>
          </w14:textFill>
        </w:rPr>
        <w:t>完成关键节点或提前</w:t>
      </w:r>
      <w:r>
        <w:rPr>
          <w:color w:val="000000" w:themeColor="text1"/>
          <w:u w:val="single"/>
          <w14:textFill>
            <w14:solidFill>
              <w14:schemeClr w14:val="tx1"/>
            </w14:solidFill>
          </w14:textFill>
        </w:rPr>
        <w:t>验收，分包人的实际竣工日期比合同工期提前时，</w:t>
      </w:r>
      <w:r>
        <w:rPr>
          <w:rFonts w:hint="eastAsia"/>
          <w:color w:val="000000" w:themeColor="text1"/>
          <w:u w:val="single"/>
          <w14:textFill>
            <w14:solidFill>
              <w14:schemeClr w14:val="tx1"/>
            </w14:solidFill>
          </w14:textFill>
        </w:rPr>
        <w:t>承包人</w:t>
      </w:r>
      <w:r>
        <w:rPr>
          <w:color w:val="000000" w:themeColor="text1"/>
          <w:u w:val="single"/>
          <w14:textFill>
            <w14:solidFill>
              <w14:schemeClr w14:val="tx1"/>
            </w14:solidFill>
          </w14:textFill>
        </w:rPr>
        <w:t>无须支付赶工措施费。</w:t>
      </w:r>
      <w:r>
        <w:rPr>
          <w:rFonts w:hint="eastAsia"/>
          <w:color w:val="000000" w:themeColor="text1"/>
          <w14:textFill>
            <w14:solidFill>
              <w14:schemeClr w14:val="tx1"/>
            </w14:solidFill>
          </w14:textFill>
        </w:rPr>
        <w:t xml:space="preserve">    </w:t>
      </w:r>
    </w:p>
    <w:p>
      <w:pPr>
        <w:pStyle w:val="73"/>
        <w:rPr>
          <w:color w:val="000000" w:themeColor="text1"/>
          <w14:textFill>
            <w14:solidFill>
              <w14:schemeClr w14:val="tx1"/>
            </w14:solidFill>
          </w14:textFill>
        </w:rPr>
      </w:pPr>
      <w:bookmarkStart w:id="719" w:name="_Toc44228164"/>
      <w:bookmarkStart w:id="720" w:name="_Toc91082445"/>
      <w:bookmarkStart w:id="721" w:name="_Toc8585"/>
      <w:bookmarkStart w:id="722" w:name="_Toc6620"/>
      <w:bookmarkStart w:id="723" w:name="_Toc27745"/>
      <w:bookmarkStart w:id="724" w:name="_Toc38987281"/>
      <w:bookmarkStart w:id="725" w:name="_Toc44492590"/>
      <w:r>
        <w:rPr>
          <w:rFonts w:hint="eastAsia"/>
          <w:color w:val="000000" w:themeColor="text1"/>
          <w14:textFill>
            <w14:solidFill>
              <w14:schemeClr w14:val="tx1"/>
            </w14:solidFill>
          </w14:textFill>
        </w:rPr>
        <w:t>12.暂停施工</w:t>
      </w:r>
      <w:bookmarkEnd w:id="719"/>
      <w:bookmarkEnd w:id="720"/>
      <w:bookmarkEnd w:id="721"/>
      <w:bookmarkEnd w:id="722"/>
      <w:bookmarkEnd w:id="723"/>
      <w:bookmarkEnd w:id="724"/>
      <w:bookmarkEnd w:id="725"/>
    </w:p>
    <w:p>
      <w:pPr>
        <w:pStyle w:val="77"/>
        <w:ind w:firstLine="480"/>
        <w:rPr>
          <w:color w:val="000000" w:themeColor="text1"/>
          <w14:textFill>
            <w14:solidFill>
              <w14:schemeClr w14:val="tx1"/>
            </w14:solidFill>
          </w14:textFill>
        </w:rPr>
      </w:pPr>
      <w:bookmarkStart w:id="726" w:name="_Toc18790"/>
      <w:bookmarkStart w:id="727" w:name="_Toc29712"/>
      <w:bookmarkStart w:id="728" w:name="_Toc44492591"/>
      <w:r>
        <w:rPr>
          <w:rFonts w:hint="eastAsia"/>
          <w:color w:val="000000" w:themeColor="text1"/>
          <w14:textFill>
            <w14:solidFill>
              <w14:schemeClr w14:val="tx1"/>
            </w14:solidFill>
          </w14:textFill>
        </w:rPr>
        <w:t>12.1.分包人暂停施工的责任</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12.1.1 </w:t>
      </w:r>
    </w:p>
    <w:p>
      <w:pPr>
        <w:pStyle w:val="77"/>
        <w:ind w:firstLine="420"/>
        <w:rPr>
          <w:color w:val="000000" w:themeColor="text1"/>
          <w14:textFill>
            <w14:solidFill>
              <w14:schemeClr w14:val="tx1"/>
            </w14:solidFill>
          </w14:textFill>
        </w:rPr>
      </w:pPr>
      <w:r>
        <w:rPr>
          <w:rFonts w:hint="eastAsia" w:eastAsia="仿宋_GB2312"/>
          <w:color w:val="000000" w:themeColor="text1"/>
          <w:kern w:val="0"/>
          <w:sz w:val="21"/>
          <w:u w:val="single"/>
          <w14:textFill>
            <w14:solidFill>
              <w14:schemeClr w14:val="tx1"/>
            </w14:solidFill>
          </w14:textFill>
        </w:rPr>
        <w:t>5）因现场气候条件（不可抗力除外）导致的必要停工。</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12.2. 承包人暂停施工的责任</w:t>
      </w:r>
      <w:bookmarkEnd w:id="726"/>
      <w:bookmarkEnd w:id="727"/>
      <w:bookmarkEnd w:id="728"/>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12.2.1. 由于发包人的原因导致承包人未能按本合同的约定提供开工条件（包括未按合同约定提供施工现场、施工条件、基础资料、许可、批准等开工条件及征地拆迁补偿等问题）造成分包人延期开工，或因发包人原因导致承包人要求分包人暂停施工、分包人无法按时复工的，如因上述原因导致的全面停工3个月内（含3个月），仅顺延工期，分包人不得主张任何利润或费用补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如因发包人的原因导致的全面停工超过3个月的，除可顺延工期外，经三方（发包人、承包人、分包人）协商，可支付分包人自第4个月起的停工增加费用。</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工期延误，是指有确凿证据证实发包人原因造成关键节点工期延误，否则均视为承包人原因造成的工期延误或未构成工期延误。</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对于发包人原因发生的工期延误，承包人应当在工期延误发生后7天内就延误的内容、工期需调整的情况及相关证明文件向发包人提出书面报告；逾期不报告的，发包人不予确认。</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因停工增加费用，分包人需按索赔流程办理，分包人应及时通过承包人向发包人报审停工期间的处置方案（包括驻守人员、机械情况，工程保管情况等），三方根据处置方案及时确认需签证确认的停窝工及机械停滞等情况，凡处置方案未经发包人审批同意或未及时按索赔流程通知及报审或未及时办理签证的，视为无效，不得计算费用。停工增加费用计算办法如下：</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①停工过程中发生的停窝工按广州市建设工程造价管理站发布的当期《广州市建设工程价格信息及有关计价办法的通知》中规定的停工的日工资计算停窝工费，规定如下：工程发生停工，其日工资价格按普工劳务日工资中值的 75%计算，并计取税金。窝工费不分工种及技术等级，均按普工计算。</w:t>
      </w:r>
    </w:p>
    <w:p>
      <w:pPr>
        <w:pStyle w:val="52"/>
        <w:ind w:firstLine="210" w:firstLineChars="10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②停工过程中发生的机械停滞费按《广东省建设工程施工机具台班费用编制规则2018》规定计算，并计取税金。规定如下：机械台班停滞费=折旧费+机上人工费+其他费用。机械停滞费不分自有设备和租赁设备，均按此约定计价。当停工期间的停滞费超过原机械价值时，不得再计取停滞费。</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③一旦合同当事人三方对于停工损失费用发生争议，则分包人应提供合同要求提供的相关文件予以佐证。</w:t>
      </w:r>
    </w:p>
    <w:p>
      <w:pPr>
        <w:pStyle w:val="52"/>
        <w:ind w:firstLine="480"/>
        <w:rPr>
          <w:rFonts w:eastAsia="黑体"/>
          <w:bCs/>
          <w:color w:val="000000" w:themeColor="text1"/>
          <w:kern w:val="2"/>
          <w:sz w:val="24"/>
          <w14:textFill>
            <w14:solidFill>
              <w14:schemeClr w14:val="tx1"/>
            </w14:solidFill>
          </w14:textFill>
        </w:rPr>
      </w:pPr>
      <w:bookmarkStart w:id="729" w:name="_Toc44492592"/>
      <w:bookmarkStart w:id="730" w:name="_Toc25740"/>
      <w:bookmarkStart w:id="731" w:name="_Toc27207"/>
      <w:r>
        <w:rPr>
          <w:rFonts w:hint="eastAsia" w:eastAsia="黑体"/>
          <w:bCs/>
          <w:color w:val="000000" w:themeColor="text1"/>
          <w:kern w:val="2"/>
          <w:sz w:val="24"/>
          <w14:textFill>
            <w14:solidFill>
              <w14:schemeClr w14:val="tx1"/>
            </w14:solidFill>
          </w14:textFill>
        </w:rPr>
        <w:t>12.3.</w:t>
      </w:r>
      <w:r>
        <w:rPr>
          <w:rFonts w:hint="eastAsia" w:eastAsia="黑体"/>
          <w:bCs/>
          <w:color w:val="000000" w:themeColor="text1"/>
          <w:kern w:val="2"/>
          <w:sz w:val="24"/>
          <w14:textFill>
            <w14:solidFill>
              <w14:schemeClr w14:val="tx1"/>
            </w14:solidFill>
          </w14:textFill>
        </w:rPr>
        <w:tab/>
      </w:r>
      <w:r>
        <w:rPr>
          <w:rFonts w:hint="eastAsia" w:eastAsia="黑体"/>
          <w:bCs/>
          <w:color w:val="000000" w:themeColor="text1"/>
          <w:kern w:val="2"/>
          <w:sz w:val="24"/>
          <w14:textFill>
            <w14:solidFill>
              <w14:schemeClr w14:val="tx1"/>
            </w14:solidFill>
          </w14:textFill>
        </w:rPr>
        <w:t>监理人暂停施工指示</w:t>
      </w:r>
      <w:bookmarkEnd w:id="729"/>
      <w:bookmarkEnd w:id="730"/>
      <w:bookmarkEnd w:id="73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2.3.3 </w:t>
      </w:r>
      <w:r>
        <w:rPr>
          <w:rFonts w:hint="eastAsia"/>
          <w:color w:val="000000" w:themeColor="text1"/>
          <w14:textFill>
            <w14:solidFill>
              <w14:schemeClr w14:val="tx1"/>
            </w14:solidFill>
          </w14:textFill>
        </w:rPr>
        <w:t>凡出现下列情形之一的，经发包人同意，监理人有权通过承包人通知分包人暂停施工并限期整改，由此发生的全部费用由分包人承担，工期不予顺延：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（1）分包人不遵守有关安全文明生产规定的；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（2）出现重大质量事故或安全事故的；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（3）存在安全隐患，未按安监部门、监理人或发包人的要求及时进行整改的；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（4）工程存在质量问题经发包人或监理人提出后未在规定期限内按要求完成整改的；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（5）因噪音或污染等方面问题而被有关部门罚款或勒令停工且未及时整改的；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（6）分包人使用的材料或设备有质量问题的；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（7）擅自采用未经监理人、发包人及承包人认可的材料或设备的；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（8）不执行或拖延执行承包人、发包人或监理人的指令；或有执行不力、敷衍应付、曲解指令等情况或执行情况难以达到合同目的的；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（9）未经监理人验收检验而进行下一道工序作业的；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（10）图纸未经批准而擅自施工或未按图纸施工的；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（11）擅自变更设计图纸的；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（12）分包人违反合同或法律法规规章规定的其他情形。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若分包人拒绝整改或未能在限期内妥善完成整改的，属于拒不执行监理人指令，按专用条款22.1承担违约责任。</w:t>
      </w:r>
    </w:p>
    <w:p>
      <w:pPr>
        <w:pStyle w:val="77"/>
        <w:ind w:firstLine="480"/>
        <w:rPr>
          <w:color w:val="000000" w:themeColor="text1"/>
          <w14:textFill>
            <w14:solidFill>
              <w14:schemeClr w14:val="tx1"/>
            </w14:solidFill>
          </w14:textFill>
        </w:rPr>
      </w:pPr>
      <w:bookmarkStart w:id="732" w:name="_Toc3455"/>
      <w:bookmarkStart w:id="733" w:name="_Toc44492593"/>
      <w:bookmarkStart w:id="734" w:name="_Toc13783"/>
      <w:r>
        <w:rPr>
          <w:rFonts w:hint="eastAsia"/>
          <w:color w:val="000000" w:themeColor="text1"/>
          <w14:textFill>
            <w14:solidFill>
              <w14:schemeClr w14:val="tx1"/>
            </w14:solidFill>
          </w14:textFill>
        </w:rPr>
        <w:t>12.4. 暂停施工后的复工</w:t>
      </w:r>
      <w:bookmarkEnd w:id="732"/>
      <w:bookmarkEnd w:id="733"/>
      <w:bookmarkEnd w:id="734"/>
    </w:p>
    <w:p>
      <w:pPr>
        <w:spacing w:line="360" w:lineRule="auto"/>
        <w:ind w:firstLine="525" w:firstLineChars="25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12.4.4. 由于承包人责任引起的暂停施工，监理人经发包人同意后发出暂停施工指示后56天内未向分包人发出复工通知，并且该暂停施工不在12.1.1.款范围之内，分包人可通过承包人向监理人和发包人提交书面通知，要求监理人和发包人在收到书面通知后28天内准许已暂停施工的工程或其中一部分工程继续施工。监理人和发包人在收到书面通知后28天内未予回复的，视为不予准许继续施工。如果发包人准许已暂停施工的工程或其中一部分工程恢复施工，则分包人应合理安排人员组织恢复施工。</w:t>
      </w:r>
      <w:bookmarkStart w:id="735" w:name="_Toc38987282"/>
    </w:p>
    <w:p>
      <w:pPr>
        <w:pStyle w:val="73"/>
        <w:rPr>
          <w:color w:val="000000" w:themeColor="text1"/>
          <w14:textFill>
            <w14:solidFill>
              <w14:schemeClr w14:val="tx1"/>
            </w14:solidFill>
          </w14:textFill>
        </w:rPr>
      </w:pPr>
      <w:bookmarkStart w:id="736" w:name="_Toc15004"/>
      <w:bookmarkStart w:id="737" w:name="_Toc91082446"/>
      <w:bookmarkStart w:id="738" w:name="_Toc44228165"/>
      <w:bookmarkStart w:id="739" w:name="_Toc27159"/>
      <w:bookmarkStart w:id="740" w:name="_Toc13570"/>
      <w:bookmarkStart w:id="741" w:name="_Toc44492594"/>
      <w:r>
        <w:rPr>
          <w:rFonts w:hint="eastAsia"/>
          <w:color w:val="000000" w:themeColor="text1"/>
          <w14:textFill>
            <w14:solidFill>
              <w14:schemeClr w14:val="tx1"/>
            </w14:solidFill>
          </w14:textFill>
        </w:rPr>
        <w:t>13.工程质量</w:t>
      </w:r>
      <w:bookmarkEnd w:id="735"/>
      <w:bookmarkEnd w:id="736"/>
      <w:bookmarkEnd w:id="737"/>
      <w:bookmarkEnd w:id="738"/>
      <w:bookmarkEnd w:id="739"/>
      <w:bookmarkEnd w:id="740"/>
      <w:bookmarkEnd w:id="741"/>
    </w:p>
    <w:p>
      <w:pPr>
        <w:pStyle w:val="77"/>
        <w:ind w:firstLine="480"/>
        <w:rPr>
          <w:color w:val="000000" w:themeColor="text1"/>
          <w14:textFill>
            <w14:solidFill>
              <w14:schemeClr w14:val="tx1"/>
            </w14:solidFill>
          </w14:textFill>
        </w:rPr>
      </w:pPr>
      <w:bookmarkStart w:id="742" w:name="_Toc11122"/>
      <w:bookmarkStart w:id="743" w:name="_Toc24372"/>
      <w:bookmarkStart w:id="744" w:name="_Toc44492595"/>
      <w:r>
        <w:rPr>
          <w:rFonts w:hint="eastAsia"/>
          <w:color w:val="000000" w:themeColor="text1"/>
          <w14:textFill>
            <w14:solidFill>
              <w14:schemeClr w14:val="tx1"/>
            </w14:solidFill>
          </w14:textFill>
        </w:rPr>
        <w:t>13.1. 工程质量要求</w:t>
      </w:r>
      <w:bookmarkEnd w:id="742"/>
      <w:bookmarkEnd w:id="743"/>
      <w:bookmarkEnd w:id="74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13.1.1. 工程质量必须达到合同约定的质量标准，若竣工验收工程质量达不到标准要求，分包人必须按承包人、发包人和监理人指定的期限对不合格工程返工、修复或采取发包人认可的其他补救措施，使之达到合同和法定标准要求。发包方或监理人指定的期限届满，分包人返工、修复和（或）采取其他补救措施后重新验收仍未通过，即该部分工程仍不合格的，</w:t>
      </w:r>
      <w:r>
        <w:rPr>
          <w:rFonts w:hint="eastAsia"/>
          <w:color w:val="000000" w:themeColor="text1"/>
          <w:u w:val="none"/>
          <w14:textFill>
            <w14:solidFill>
              <w14:schemeClr w14:val="tx1"/>
            </w14:solidFill>
          </w14:textFill>
        </w:rPr>
        <w:t>分包人应向承包人支付该部分质量缺陷工程对应合同造价20%的违约金。承包人经发包人书面同意有权按以下其中一种方式解决：（1）有权要求分包人继续整改至满足验收要求。（2）如发包人认为分包人无法整改至满足验收要求，</w:t>
      </w:r>
      <w:r>
        <w:rPr>
          <w:rFonts w:hint="eastAsia"/>
          <w:color w:val="000000" w:themeColor="text1"/>
          <w14:textFill>
            <w14:solidFill>
              <w14:schemeClr w14:val="tx1"/>
            </w14:solidFill>
          </w14:textFill>
        </w:rPr>
        <w:t>经发包人书面同意，承包人可委托第三方返工、修复和（或）采取其他补救措施，则相关费用在分包人的工程款中扣除</w:t>
      </w:r>
      <w:r>
        <w:rPr>
          <w:rFonts w:hint="eastAsia"/>
          <w:color w:val="000000" w:themeColor="text1"/>
          <w:u w:val="none"/>
          <w14:textFill>
            <w14:solidFill>
              <w14:schemeClr w14:val="tx1"/>
            </w14:solidFill>
          </w14:textFill>
        </w:rPr>
        <w:t>。（3）如发包人认为分包人无法整改至满足验收要求，经发包人书面同意，承包人有权解除本合同</w:t>
      </w:r>
      <w:r>
        <w:rPr>
          <w:rFonts w:hint="eastAsia"/>
          <w:color w:val="000000" w:themeColor="text1"/>
          <w14:textFill>
            <w14:solidFill>
              <w14:schemeClr w14:val="tx1"/>
            </w14:solidFill>
          </w14:textFill>
        </w:rPr>
        <w:t>，承包人无需向分包人支付该部分工程价款，分包人还应补偿因此对承包人所造成的损失。如上述情况（第（3）种除外）导致达到合同验收标准的时间比合同约定工期时间推迟的，分包人同时应按本合同相关约定向承包人支付延期竣工、延期交付工程逾期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13.1.3.分包人在施工过程中，因质量问题需对已完工程进行整改、返工的，产生的费用由分包人全部负责。若分包人有违反质量评定标准的质量问题，视情节轻重，每次（项）须按本合同专用条款第22条承担对应违约责任，同时亦不免除、也不减轻分包人对不合格工程进行整改、返工的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13.1.4.分包人未按发包人及承包人审定的施工方案、施工工艺进行施工的，每次（项）须按本合同专用条款第22条承担对应违约责任，同时亦不免除、也不减轻分包人对不合格施工方案、施工工艺的整改责任。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13.1.5.分包人对监理通知指出的质量问题未按时整改并回复，分包人应限期整改完成并按本合同专用条款第22条向承包人承担对应违约责任。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13.1.6.因分包人原因出现质量问题影响其他专业工程施工的，分包人应限期整改完成并向承包人承担工期违约责任且专业工程因此而提出的索赔应由分包人承担。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13.1.7.工程施工期间和工程质量保修期内，由于分包人责任出现质量问题、安全事故或者其他原因，使发包人或项目受到报纸、电视等媒体的曝光或政府有关主管部门的通报批评的，每出现一次，分包人应按本合同专用条款第22条向承包人承担对应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13.1.8.分包人未经报验，擅自进行下道工序施工的，分包人应拆除擅自施工的部位，并按本合同专用条款第22条向承包人承担对应违约责任。</w:t>
      </w:r>
    </w:p>
    <w:p>
      <w:pPr>
        <w:pStyle w:val="73"/>
        <w:rPr>
          <w:color w:val="000000" w:themeColor="text1"/>
          <w14:textFill>
            <w14:solidFill>
              <w14:schemeClr w14:val="tx1"/>
            </w14:solidFill>
          </w14:textFill>
        </w:rPr>
      </w:pPr>
      <w:bookmarkStart w:id="745" w:name="_Toc38987283"/>
      <w:bookmarkStart w:id="746" w:name="_Toc18906"/>
      <w:bookmarkStart w:id="747" w:name="_Toc813"/>
      <w:bookmarkStart w:id="748" w:name="_Toc44492596"/>
      <w:bookmarkStart w:id="749" w:name="_Toc44228166"/>
      <w:bookmarkStart w:id="750" w:name="_Toc91082447"/>
      <w:r>
        <w:rPr>
          <w:rFonts w:hint="eastAsia"/>
          <w:color w:val="000000" w:themeColor="text1"/>
          <w14:textFill>
            <w14:solidFill>
              <w14:schemeClr w14:val="tx1"/>
            </w14:solidFill>
          </w14:textFill>
        </w:rPr>
        <w:t>14.试验和检验</w:t>
      </w:r>
      <w:bookmarkEnd w:id="745"/>
      <w:bookmarkEnd w:id="746"/>
      <w:bookmarkEnd w:id="747"/>
      <w:bookmarkEnd w:id="748"/>
      <w:bookmarkEnd w:id="749"/>
      <w:bookmarkEnd w:id="750"/>
    </w:p>
    <w:p>
      <w:pPr>
        <w:pStyle w:val="52"/>
        <w:ind w:firstLine="420"/>
        <w:rPr>
          <w:b/>
          <w:bCs/>
          <w:color w:val="000000" w:themeColor="text1"/>
          <w14:textFill>
            <w14:solidFill>
              <w14:schemeClr w14:val="tx1"/>
            </w14:solidFill>
          </w14:textFill>
        </w:rPr>
      </w:pPr>
      <w:r>
        <w:rPr>
          <w:rFonts w:hint="eastAsia"/>
          <w:color w:val="000000" w:themeColor="text1"/>
          <w14:textFill>
            <w14:solidFill>
              <w14:schemeClr w14:val="tx1"/>
            </w14:solidFill>
          </w14:textFill>
        </w:rPr>
        <w:t>14.1.4承包人抽检：除根据政策要求的第三方检测和监理相关检测外，根据工程实际情况，发包人对有疑问、高价值、对效果有重大影响、易产生不合格品的材料设备有权实施抽检，承包人抽检清单内的抽检不得提出工期索赔。检验的结果证明该项材料、设备不符合合同要求的，因此增加的费用和（或）工期延误由分包人承担，如果因此给承包人造成损失，分包人应当向承包人全额赔偿；检验结果证明该项材料、设备符合合同要求的，由承包人承担本次抽检的检验费用，工期不予顺延。</w:t>
      </w:r>
    </w:p>
    <w:p>
      <w:pPr>
        <w:pStyle w:val="73"/>
        <w:rPr>
          <w:color w:val="000000" w:themeColor="text1"/>
          <w14:textFill>
            <w14:solidFill>
              <w14:schemeClr w14:val="tx1"/>
            </w14:solidFill>
          </w14:textFill>
        </w:rPr>
      </w:pPr>
      <w:bookmarkStart w:id="751" w:name="_Toc44492597"/>
      <w:bookmarkStart w:id="752" w:name="_Toc17971"/>
      <w:bookmarkStart w:id="753" w:name="_Toc11237"/>
      <w:bookmarkStart w:id="754" w:name="_Toc44228167"/>
      <w:bookmarkStart w:id="755" w:name="_Toc38987284"/>
      <w:bookmarkStart w:id="756" w:name="_Toc7025"/>
      <w:bookmarkStart w:id="757" w:name="_Toc91082448"/>
      <w:r>
        <w:rPr>
          <w:rFonts w:hint="eastAsia"/>
          <w:color w:val="000000" w:themeColor="text1"/>
          <w14:textFill>
            <w14:solidFill>
              <w14:schemeClr w14:val="tx1"/>
            </w14:solidFill>
          </w14:textFill>
        </w:rPr>
        <w:t>15.变更</w:t>
      </w:r>
      <w:bookmarkEnd w:id="751"/>
      <w:bookmarkEnd w:id="752"/>
      <w:bookmarkEnd w:id="753"/>
      <w:bookmarkEnd w:id="754"/>
      <w:bookmarkEnd w:id="755"/>
      <w:bookmarkEnd w:id="756"/>
      <w:bookmarkEnd w:id="757"/>
    </w:p>
    <w:p>
      <w:pPr>
        <w:pStyle w:val="73"/>
        <w:outlineLvl w:val="9"/>
        <w:rPr>
          <w:color w:val="000000" w:themeColor="text1"/>
          <w:sz w:val="24"/>
          <w14:textFill>
            <w14:solidFill>
              <w14:schemeClr w14:val="tx1"/>
            </w14:solidFill>
          </w14:textFill>
        </w:rPr>
      </w:pPr>
      <w:r>
        <w:rPr>
          <w:color w:val="000000" w:themeColor="text1"/>
          <w:sz w:val="24"/>
          <w14:textFill>
            <w14:solidFill>
              <w14:schemeClr w14:val="tx1"/>
            </w14:solidFill>
          </w14:textFill>
        </w:rPr>
        <w:tab/>
      </w:r>
      <w:bookmarkStart w:id="758" w:name="_Toc91082449"/>
      <w:bookmarkStart w:id="759" w:name="_Toc15158"/>
      <w:bookmarkStart w:id="760" w:name="_Toc18109"/>
      <w:bookmarkStart w:id="761" w:name="_Toc27548"/>
      <w:bookmarkStart w:id="762" w:name="_Toc939"/>
      <w:r>
        <w:rPr>
          <w:color w:val="000000" w:themeColor="text1"/>
          <w:sz w:val="24"/>
          <w14:textFill>
            <w14:solidFill>
              <w14:schemeClr w14:val="tx1"/>
            </w14:solidFill>
          </w14:textFill>
        </w:rPr>
        <w:t>15.1变更程序</w:t>
      </w:r>
      <w:bookmarkEnd w:id="758"/>
      <w:bookmarkEnd w:id="759"/>
      <w:bookmarkEnd w:id="760"/>
      <w:bookmarkEnd w:id="761"/>
      <w:bookmarkEnd w:id="762"/>
    </w:p>
    <w:p>
      <w:pPr>
        <w:pStyle w:val="52"/>
        <w:ind w:firstLine="420"/>
        <w:rPr>
          <w:color w:val="000000" w:themeColor="text1"/>
          <w:u w:val="single"/>
          <w14:textFill>
            <w14:solidFill>
              <w14:schemeClr w14:val="tx1"/>
            </w14:solidFill>
          </w14:textFill>
        </w:rPr>
      </w:pPr>
      <w:bookmarkStart w:id="763" w:name="_Toc44492598"/>
      <w:bookmarkStart w:id="764" w:name="_Toc18456"/>
      <w:bookmarkStart w:id="765" w:name="_Toc32378"/>
      <w:r>
        <w:rPr>
          <w:color w:val="000000" w:themeColor="text1"/>
          <w14:textFill>
            <w14:solidFill>
              <w14:schemeClr w14:val="tx1"/>
            </w14:solidFill>
          </w14:textFill>
        </w:rPr>
        <w:t>15.1.</w:t>
      </w:r>
      <w:r>
        <w:rPr>
          <w:rFonts w:hint="eastAsia"/>
          <w:color w:val="000000" w:themeColor="text1"/>
          <w14:textFill>
            <w14:solidFill>
              <w14:schemeClr w14:val="tx1"/>
            </w14:solidFill>
          </w14:textFill>
        </w:rPr>
        <w:t>1通用条款15.1.1.修订为</w:t>
      </w:r>
      <w:r>
        <w:rPr>
          <w:rFonts w:hint="eastAsia"/>
          <w:color w:val="000000" w:themeColor="text1"/>
          <w:u w:val="none"/>
          <w14:textFill>
            <w14:solidFill>
              <w14:schemeClr w14:val="tx1"/>
            </w14:solidFill>
          </w14:textFill>
        </w:rPr>
        <w:t>：</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1) 发包人通过承包人向分包人下发变更指令。分包人接到发包人的变更通知且经承包人书面确认后，有义务在3天内（变更较大时可征得发包人和承包人同意后适当延长）向承包人提交书面建议报告。若发包人要求分包人立刻实施变更的，经承包人书面确认，分包人应无条件执行。</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2)分包人通过承包人向发包人提交的书面建议报告中应包括但不限于：支持此项变更的理由、实施此项变更的工作内容、设备、材料、人力、机具、周转材料、消耗材料等资源消耗，以及相关管理费用和合理利润的估算。此项变更引起竣工日期延长时，应在报告中说明理由，并提交与此变更相关的进度计划。分包人未提交增加费用的估算及完工日期或竣工日期延长，视为该项变更不涉及合同价格调整或完全接受发包人主张的变更价款和不涉及完工日期或竣工日期延长。</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3) 如分包人不接受发包人变更通知中的变更时，建议报告中应包括不支持此项变更的理由，理由包括但不限于：</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（1）此变更不符合法律、法规等有关规定；</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（2）分包人难以取得变更所需的特殊设备、材料、部件；</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（3）分包人难以取得变更所需的工艺、技术；</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（4）变更将降低工程的安全性、稳定性、适用性；</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（5）对生产性能保证值、使用功能保证的实现产生不利影响等。</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4)发包人应在接到书面建议报告后10天内对此项报告给予审查，并发出批准、撤销、改变、提出进一步要求的书面通知。分包人在等待发包人回复的时间内，不能停止或延误任何工作。发包人对书面建议报告中的理由、估算、和（或）完工或竣工日期延长经发包人批准后，应以书面形式下达变更指令。</w:t>
      </w:r>
    </w:p>
    <w:p>
      <w:pPr>
        <w:pStyle w:val="52"/>
        <w:ind w:firstLine="420"/>
        <w:rPr>
          <w:color w:val="000000" w:themeColor="text1"/>
          <w14:textFill>
            <w14:solidFill>
              <w14:schemeClr w14:val="tx1"/>
            </w14:solidFill>
          </w14:textFill>
        </w:rPr>
      </w:pPr>
      <w:r>
        <w:rPr>
          <w:rFonts w:hint="eastAsia" w:ascii="仿宋_GB2312" w:hAnsi="仿宋"/>
          <w:color w:val="000000" w:themeColor="text1"/>
          <w:szCs w:val="21"/>
          <w14:textFill>
            <w14:solidFill>
              <w14:schemeClr w14:val="tx1"/>
            </w14:solidFill>
          </w14:textFill>
        </w:rPr>
        <w:t>5) 发包人对书面建议报告进行审查后，经承包人向分包人发出继续执行、改变、提出进一步补充资料的书面指示，分包人应无条件予以执行。如</w:t>
      </w:r>
      <w:r>
        <w:rPr>
          <w:rFonts w:hint="eastAsia"/>
          <w:color w:val="000000" w:themeColor="text1"/>
          <w14:textFill>
            <w14:solidFill>
              <w14:schemeClr w14:val="tx1"/>
            </w14:solidFill>
          </w14:textFill>
        </w:rPr>
        <w:t>分包人接到发包人的指示后三（3）天内，分包人仍未开始执行有关的工作（按工程实际情况不可能立即执行的除外），发包人可通过承包人雇用第三人代为执行，</w:t>
      </w:r>
      <w:r>
        <w:rPr>
          <w:rFonts w:hint="eastAsia"/>
          <w:color w:val="000000" w:themeColor="text1"/>
          <w:u w:val="single"/>
          <w14:textFill>
            <w14:solidFill>
              <w14:schemeClr w14:val="tx1"/>
            </w14:solidFill>
          </w14:textFill>
        </w:rPr>
        <w:t>分包人应承担该部分工程双倍费用的违约金。</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6)分包人在收到发包人或监理人的变更指示，完工后20天内通过承包人向发包人提出变更工程价款的书面报告（格式应满足发包人管理要求），经发包人和监理人书面审核批准，才能作为变更工程完工后进度款支付的依据。当发包人、承包人及分包人对变更核价有争议时，分包人应无条件按变更指令实施变更，监理人有义务协助尽快落实争议问题。</w:t>
      </w:r>
      <w:r>
        <w:rPr>
          <w:rFonts w:eastAsia="仿宋_GB2312"/>
          <w:b/>
          <w:bCs/>
          <w:color w:val="000000" w:themeColor="text1"/>
          <w:kern w:val="0"/>
          <w:szCs w:val="32"/>
          <w14:textFill>
            <w14:solidFill>
              <w14:schemeClr w14:val="tx1"/>
            </w14:solidFill>
          </w14:textFill>
        </w:rPr>
        <w:t>分包人不得以核价等任何理由停工或拖延施工</w:t>
      </w:r>
      <w:r>
        <w:rPr>
          <w:rFonts w:hint="eastAsia"/>
          <w:b/>
          <w:bCs/>
          <w:color w:val="000000" w:themeColor="text1"/>
          <w:kern w:val="0"/>
          <w:szCs w:val="32"/>
          <w14:textFill>
            <w14:solidFill>
              <w14:schemeClr w14:val="tx1"/>
            </w14:solidFill>
          </w14:textFill>
        </w:rPr>
        <w:t>。</w:t>
      </w:r>
      <w:r>
        <w:rPr>
          <w:rFonts w:hint="eastAsia" w:ascii="仿宋_GB2312" w:hAnsi="仿宋" w:eastAsia="仿宋_GB2312"/>
          <w:color w:val="000000" w:themeColor="text1"/>
          <w:szCs w:val="21"/>
          <w14:textFill>
            <w14:solidFill>
              <w14:schemeClr w14:val="tx1"/>
            </w14:solidFill>
          </w14:textFill>
        </w:rPr>
        <w:t>若分包人以核价争议等理由停工或拖延施工的，由此导致的工期延误，由分包人自行承担，且分包人应按停工或拖延施工天数承担10000元/天的违约金</w:t>
      </w:r>
      <w:r>
        <w:rPr>
          <w:rFonts w:eastAsia="仿宋_GB2312"/>
          <w:color w:val="000000" w:themeColor="text1"/>
          <w:kern w:val="0"/>
          <w:szCs w:val="32"/>
          <w14:textFill>
            <w14:solidFill>
              <w14:schemeClr w14:val="tx1"/>
            </w14:solidFill>
          </w14:textFill>
        </w:rPr>
        <w:t>。</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7)变更实施完成后，分包人原则上应在28天内通过承包人向发包人申报变更完成确认。经承包人、监理人与发包人书面确认的变更完成，且变更核价审批确认后，变更价款可并入最近一期工程进度款按进度款支付比例支付或扣除。当分包人、承包人、发包人对该阶段的变更核价仍有争议时，仅支付无争议部分的变更价款，争议部分待竣工结算时一并解决落实。</w:t>
      </w:r>
    </w:p>
    <w:p>
      <w:pPr>
        <w:pStyle w:val="52"/>
        <w:ind w:firstLine="42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15.1.4. 通用条款第15.1.4条修订为：如分包人未经承包人、发包人和监理单位同意而擅自超出合同文件的要求进行施工，或者擅自变更承包范围内施工内容的，则无论本工程是否通过了竣工验收，均不视为变更且发包人不支付该等擅自施工所发生的费用，由此增加的费用和延误的工期均由分包人承担。</w:t>
      </w:r>
    </w:p>
    <w:p>
      <w:pPr>
        <w:pStyle w:val="52"/>
        <w:ind w:firstLine="42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15.1</w:t>
      </w:r>
      <w:r>
        <w:rPr>
          <w:rFonts w:hAnsi="宋体"/>
          <w:color w:val="000000" w:themeColor="text1"/>
          <w14:textFill>
            <w14:solidFill>
              <w14:schemeClr w14:val="tx1"/>
            </w14:solidFill>
          </w14:textFill>
        </w:rPr>
        <w:t>.7.</w:t>
      </w:r>
      <w:r>
        <w:rPr>
          <w:rFonts w:hint="eastAsia" w:hAnsi="宋体"/>
          <w:color w:val="000000" w:themeColor="text1"/>
          <w14:textFill>
            <w14:solidFill>
              <w14:schemeClr w14:val="tx1"/>
            </w14:solidFill>
          </w14:textFill>
        </w:rPr>
        <w:t>设计人提出的设计变更，必须经发包人书面批准及承包人书面确认后向分包人下发，分包人才能变更指令进行施工，如设计变更未经发包人批准或承包人书面确认的，分包人安排施工，所需费用由分包人承担；如设计变更未经发包人批准或承包人书面确认的，分包人安排施工，且设计变更不合理，发包人有权要求承包人提出拆除及恢复，分包人承担由此造成的费用，其施工费用、恢复费用、延误工期及由此造成的损失由分包人承担，同时分包人每次须按</w:t>
      </w:r>
      <w:r>
        <w:rPr>
          <w:rFonts w:hAnsi="宋体"/>
          <w:color w:val="000000" w:themeColor="text1"/>
          <w:u w:val="single"/>
          <w14:textFill>
            <w14:solidFill>
              <w14:schemeClr w14:val="tx1"/>
            </w14:solidFill>
          </w14:textFill>
        </w:rPr>
        <w:t>2000</w:t>
      </w:r>
      <w:r>
        <w:rPr>
          <w:rFonts w:hint="eastAsia" w:hAnsi="宋体"/>
          <w:color w:val="000000" w:themeColor="text1"/>
          <w14:textFill>
            <w14:solidFill>
              <w14:schemeClr w14:val="tx1"/>
            </w14:solidFill>
          </w14:textFill>
        </w:rPr>
        <w:t>元/次向承包人承担违约责任。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15.1.8.发包人有权对材料设备的品牌、规格、型号进行变更。</w:t>
      </w:r>
    </w:p>
    <w:p>
      <w:pPr>
        <w:pStyle w:val="52"/>
        <w:ind w:firstLine="420"/>
        <w:rPr>
          <w:b/>
          <w:color w:val="000000" w:themeColor="text1"/>
          <w14:textFill>
            <w14:solidFill>
              <w14:schemeClr w14:val="tx1"/>
            </w14:solidFill>
          </w14:textFill>
        </w:rPr>
      </w:pPr>
      <w:r>
        <w:rPr>
          <w:bCs/>
          <w:color w:val="000000" w:themeColor="text1"/>
          <w14:textFill>
            <w14:solidFill>
              <w14:schemeClr w14:val="tx1"/>
            </w14:solidFill>
          </w14:textFill>
        </w:rPr>
        <w:t>15.1.9</w:t>
      </w:r>
      <w:r>
        <w:rPr>
          <w:rFonts w:hint="eastAsia"/>
          <w:bCs/>
          <w:color w:val="000000" w:themeColor="text1"/>
          <w14:textFill>
            <w14:solidFill>
              <w14:schemeClr w14:val="tx1"/>
            </w14:solidFill>
          </w14:textFill>
        </w:rPr>
        <w:t>变更程序其他约定（现场签证的变更程序按专用条款15.2.</w:t>
      </w:r>
      <w:r>
        <w:rPr>
          <w:bCs/>
          <w:color w:val="000000" w:themeColor="text1"/>
          <w14:textFill>
            <w14:solidFill>
              <w14:schemeClr w14:val="tx1"/>
            </w14:solidFill>
          </w14:textFill>
        </w:rPr>
        <w:t>2</w:t>
      </w:r>
      <w:r>
        <w:rPr>
          <w:rFonts w:hint="eastAsia"/>
          <w:bCs/>
          <w:color w:val="000000" w:themeColor="text1"/>
          <w14:textFill>
            <w14:solidFill>
              <w14:schemeClr w14:val="tx1"/>
            </w14:solidFill>
          </w14:textFill>
        </w:rPr>
        <w:t>约定执行）：</w:t>
      </w:r>
    </w:p>
    <w:p>
      <w:pPr>
        <w:adjustRightInd w:val="0"/>
        <w:snapToGrid w:val="0"/>
        <w:spacing w:line="360" w:lineRule="auto"/>
        <w:ind w:firstLine="420" w:firstLineChars="200"/>
        <w:jc w:val="left"/>
        <w:rPr>
          <w:rFonts w:ascii="仿宋_GB2312" w:hAnsi="仿宋" w:eastAsia="仿宋_GB2312"/>
          <w:color w:val="000000" w:themeColor="text1"/>
          <w:szCs w:val="21"/>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1)如果分包人因施工现场情况、施工方法等原因，为便于组织施工或为了施工安全、避免干扰等原因需采取相应的技术措施而提出的施工组织措施等相关调整，除须得到承包人、发包人和监理人的书面批准外，因此增加的费用由分包人自行承担。若该项调整导致本工程合同价款减少的，则承包人有权从应支付的工程进度款或工程结算款中扣除。</w:t>
      </w:r>
    </w:p>
    <w:p>
      <w:pPr>
        <w:spacing w:line="360" w:lineRule="auto"/>
        <w:ind w:firstLine="420" w:firstLineChars="200"/>
        <w:rPr>
          <w:rFonts w:eastAsia="仿宋_GB2312"/>
          <w:color w:val="000000" w:themeColor="text1"/>
          <w:kern w:val="0"/>
          <w:szCs w:val="32"/>
          <w:u w:val="single"/>
          <w14:textFill>
            <w14:solidFill>
              <w14:schemeClr w14:val="tx1"/>
            </w14:solidFill>
          </w14:textFill>
        </w:rPr>
      </w:pPr>
      <w:r>
        <w:rPr>
          <w:rFonts w:hint="eastAsia" w:ascii="仿宋_GB2312" w:hAnsi="仿宋" w:eastAsia="仿宋_GB2312"/>
          <w:color w:val="000000" w:themeColor="text1"/>
          <w:szCs w:val="21"/>
          <w14:textFill>
            <w14:solidFill>
              <w14:schemeClr w14:val="tx1"/>
            </w14:solidFill>
          </w14:textFill>
        </w:rPr>
        <w:t>2）如果发包人发出的变更指令是由于分包人的深化设计、采购、施工、调试等过错或分包人违反合同等造成的，工期不予顺延，导致工程款减少的，则承包人有权从应支付的工程进度款或工程结算款中扣除，因此引起的任何额外费用除由分包人自行承担外，还应赔偿因此造成发包人或承包人的实际经济损失，同时分包人应承担对应的违约责任。</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15.2. 变更价款的确定</w:t>
      </w:r>
      <w:bookmarkEnd w:id="763"/>
      <w:bookmarkEnd w:id="764"/>
      <w:bookmarkEnd w:id="765"/>
    </w:p>
    <w:p>
      <w:pPr>
        <w:spacing w:line="360" w:lineRule="auto"/>
        <w:ind w:firstLine="422" w:firstLineChars="200"/>
        <w:rPr>
          <w:rFonts w:eastAsia="仿宋_GB2312"/>
          <w:color w:val="000000" w:themeColor="text1"/>
          <w:kern w:val="0"/>
          <w:szCs w:val="32"/>
          <w:u w:val="single"/>
          <w14:textFill>
            <w14:solidFill>
              <w14:schemeClr w14:val="tx1"/>
            </w14:solidFill>
          </w14:textFill>
        </w:rPr>
      </w:pPr>
      <w:r>
        <w:rPr>
          <w:rFonts w:hint="eastAsia" w:eastAsia="仿宋_GB2312"/>
          <w:b/>
          <w:bCs/>
          <w:color w:val="000000" w:themeColor="text1"/>
          <w:kern w:val="0"/>
          <w:szCs w:val="32"/>
          <w14:textFill>
            <w14:solidFill>
              <w14:schemeClr w14:val="tx1"/>
            </w14:solidFill>
          </w14:textFill>
        </w:rPr>
        <w:t>15.2.1</w:t>
      </w:r>
      <w:r>
        <w:rPr>
          <w:rFonts w:eastAsia="仿宋_GB2312"/>
          <w:b/>
          <w:bCs/>
          <w:color w:val="000000" w:themeColor="text1"/>
          <w:kern w:val="0"/>
          <w:szCs w:val="32"/>
          <w14:textFill>
            <w14:solidFill>
              <w14:schemeClr w14:val="tx1"/>
            </w14:solidFill>
          </w14:textFill>
        </w:rPr>
        <w:t>变更、签证工程和新增工程</w:t>
      </w:r>
      <w:r>
        <w:rPr>
          <w:rFonts w:hint="eastAsia" w:eastAsia="仿宋_GB2312"/>
          <w:b/>
          <w:bCs/>
          <w:color w:val="000000" w:themeColor="text1"/>
          <w:kern w:val="0"/>
          <w:szCs w:val="32"/>
          <w14:textFill>
            <w14:solidFill>
              <w14:schemeClr w14:val="tx1"/>
            </w14:solidFill>
          </w14:textFill>
        </w:rPr>
        <w:t>价款确认原则如下</w:t>
      </w:r>
      <w:r>
        <w:rPr>
          <w:rFonts w:eastAsia="仿宋_GB2312"/>
          <w:b/>
          <w:bCs/>
          <w:color w:val="000000" w:themeColor="text1"/>
          <w:kern w:val="0"/>
          <w:szCs w:val="32"/>
          <w14:textFill>
            <w14:solidFill>
              <w14:schemeClr w14:val="tx1"/>
            </w14:solidFill>
          </w14:textFill>
        </w:rPr>
        <w:t>：</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w:t>
      </w:r>
      <w:r>
        <w:rPr>
          <w:rFonts w:eastAsia="仿宋_GB2312"/>
          <w:color w:val="000000" w:themeColor="text1"/>
          <w:kern w:val="0"/>
          <w:szCs w:val="32"/>
          <w14:textFill>
            <w14:solidFill>
              <w14:schemeClr w14:val="tx1"/>
            </w14:solidFill>
          </w14:textFill>
        </w:rPr>
        <w:t>合同</w:t>
      </w:r>
      <w:r>
        <w:rPr>
          <w:rFonts w:hint="eastAsia" w:eastAsia="仿宋_GB2312"/>
          <w:color w:val="000000" w:themeColor="text1"/>
          <w:kern w:val="0"/>
          <w:szCs w:val="32"/>
          <w14:textFill>
            <w14:solidFill>
              <w14:schemeClr w14:val="tx1"/>
            </w14:solidFill>
          </w14:textFill>
        </w:rPr>
        <w:t>已标价</w:t>
      </w:r>
      <w:r>
        <w:rPr>
          <w:rFonts w:eastAsia="仿宋_GB2312"/>
          <w:color w:val="000000" w:themeColor="text1"/>
          <w:kern w:val="0"/>
          <w:szCs w:val="32"/>
          <w14:textFill>
            <w14:solidFill>
              <w14:schemeClr w14:val="tx1"/>
            </w14:solidFill>
          </w14:textFill>
        </w:rPr>
        <w:t>工程量清单中有相同适用项目的，则采用该项目综合单价；合同</w:t>
      </w:r>
      <w:r>
        <w:rPr>
          <w:rFonts w:hint="eastAsia" w:eastAsia="仿宋_GB2312"/>
          <w:color w:val="000000" w:themeColor="text1"/>
          <w:kern w:val="0"/>
          <w:szCs w:val="32"/>
          <w14:textFill>
            <w14:solidFill>
              <w14:schemeClr w14:val="tx1"/>
            </w14:solidFill>
          </w14:textFill>
        </w:rPr>
        <w:t>已标价</w:t>
      </w:r>
      <w:r>
        <w:rPr>
          <w:rFonts w:eastAsia="仿宋_GB2312"/>
          <w:color w:val="000000" w:themeColor="text1"/>
          <w:kern w:val="0"/>
          <w:szCs w:val="32"/>
          <w14:textFill>
            <w14:solidFill>
              <w14:schemeClr w14:val="tx1"/>
            </w14:solidFill>
          </w14:textFill>
        </w:rPr>
        <w:t>工程量清单中相同适用项目有多个的，</w:t>
      </w:r>
      <w:r>
        <w:rPr>
          <w:rFonts w:hint="eastAsia" w:eastAsia="仿宋_GB2312"/>
          <w:color w:val="000000" w:themeColor="text1"/>
          <w:kern w:val="0"/>
          <w:szCs w:val="32"/>
          <w14:textFill>
            <w14:solidFill>
              <w14:schemeClr w14:val="tx1"/>
            </w14:solidFill>
          </w14:textFill>
        </w:rPr>
        <w:t>则由发包人选择</w:t>
      </w:r>
      <w:r>
        <w:rPr>
          <w:rFonts w:eastAsia="仿宋_GB2312"/>
          <w:color w:val="000000" w:themeColor="text1"/>
          <w:kern w:val="0"/>
          <w:szCs w:val="32"/>
          <w14:textFill>
            <w14:solidFill>
              <w14:schemeClr w14:val="tx1"/>
            </w14:solidFill>
          </w14:textFill>
        </w:rPr>
        <w:t>有利于发包人的相同适用项目综合单价（但发包人认为综合单价</w:t>
      </w:r>
      <w:r>
        <w:rPr>
          <w:rFonts w:hint="eastAsia" w:eastAsia="仿宋_GB2312"/>
          <w:color w:val="000000" w:themeColor="text1"/>
          <w:kern w:val="0"/>
          <w:szCs w:val="32"/>
          <w14:textFill>
            <w14:solidFill>
              <w14:schemeClr w14:val="tx1"/>
            </w14:solidFill>
          </w14:textFill>
        </w:rPr>
        <w:t>均</w:t>
      </w:r>
      <w:r>
        <w:rPr>
          <w:rFonts w:eastAsia="仿宋_GB2312"/>
          <w:color w:val="000000" w:themeColor="text1"/>
          <w:kern w:val="0"/>
          <w:szCs w:val="32"/>
          <w14:textFill>
            <w14:solidFill>
              <w14:schemeClr w14:val="tx1"/>
            </w14:solidFill>
          </w14:textFill>
        </w:rPr>
        <w:t>明显不合理</w:t>
      </w:r>
      <w:r>
        <w:rPr>
          <w:rFonts w:hint="eastAsia" w:eastAsia="仿宋_GB2312"/>
          <w:color w:val="000000" w:themeColor="text1"/>
          <w:kern w:val="0"/>
          <w:szCs w:val="32"/>
          <w14:textFill>
            <w14:solidFill>
              <w14:schemeClr w14:val="tx1"/>
            </w14:solidFill>
          </w14:textFill>
        </w:rPr>
        <w:t>，明显偏离市场价格且对发包人不利时，按本项第（4）目约定执行</w:t>
      </w:r>
      <w:r>
        <w:rPr>
          <w:rFonts w:eastAsia="仿宋_GB2312"/>
          <w:color w:val="000000" w:themeColor="text1"/>
          <w:kern w:val="0"/>
          <w:szCs w:val="32"/>
          <w14:textFill>
            <w14:solidFill>
              <w14:schemeClr w14:val="tx1"/>
            </w14:solidFill>
          </w14:textFill>
        </w:rPr>
        <w:t>），不论工程量怎样增加或减少，综合单价都不予调整</w:t>
      </w:r>
      <w:r>
        <w:rPr>
          <w:rFonts w:hint="eastAsia" w:eastAsia="仿宋_GB2312"/>
          <w:color w:val="000000" w:themeColor="text1"/>
          <w:kern w:val="0"/>
          <w:szCs w:val="32"/>
          <w14:textFill>
            <w14:solidFill>
              <w14:schemeClr w14:val="tx1"/>
            </w14:solidFill>
          </w14:textFill>
        </w:rPr>
        <w:t>，本合同另有约定的除外</w:t>
      </w:r>
      <w:r>
        <w:rPr>
          <w:rFonts w:eastAsia="仿宋_GB2312"/>
          <w:color w:val="000000" w:themeColor="text1"/>
          <w:kern w:val="0"/>
          <w:szCs w:val="32"/>
          <w14:textFill>
            <w14:solidFill>
              <w14:schemeClr w14:val="tx1"/>
            </w14:solidFill>
          </w14:textFill>
        </w:rPr>
        <w:t>。</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w:t>
      </w:r>
      <w:r>
        <w:rPr>
          <w:rFonts w:eastAsia="仿宋_GB2312"/>
          <w:color w:val="000000" w:themeColor="text1"/>
          <w:kern w:val="0"/>
          <w:szCs w:val="32"/>
          <w14:textFill>
            <w14:solidFill>
              <w14:schemeClr w14:val="tx1"/>
            </w14:solidFill>
          </w14:textFill>
        </w:rPr>
        <w:t>合同</w:t>
      </w:r>
      <w:r>
        <w:rPr>
          <w:rFonts w:hint="eastAsia" w:eastAsia="仿宋_GB2312"/>
          <w:color w:val="000000" w:themeColor="text1"/>
          <w:kern w:val="0"/>
          <w:szCs w:val="32"/>
          <w14:textFill>
            <w14:solidFill>
              <w14:schemeClr w14:val="tx1"/>
            </w14:solidFill>
          </w14:textFill>
        </w:rPr>
        <w:t>已标价</w:t>
      </w:r>
      <w:r>
        <w:rPr>
          <w:rFonts w:eastAsia="仿宋_GB2312"/>
          <w:color w:val="000000" w:themeColor="text1"/>
          <w:kern w:val="0"/>
          <w:szCs w:val="32"/>
          <w14:textFill>
            <w14:solidFill>
              <w14:schemeClr w14:val="tx1"/>
            </w14:solidFill>
          </w14:textFill>
        </w:rPr>
        <w:t>工程量清单中无相同适用项目、只有类似适用项目的，则</w:t>
      </w:r>
      <w:r>
        <w:rPr>
          <w:rFonts w:hint="eastAsia" w:eastAsia="仿宋_GB2312"/>
          <w:color w:val="000000" w:themeColor="text1"/>
          <w:kern w:val="0"/>
          <w:szCs w:val="32"/>
          <w14:textFill>
            <w14:solidFill>
              <w14:schemeClr w14:val="tx1"/>
            </w14:solidFill>
          </w14:textFill>
        </w:rPr>
        <w:t>对</w:t>
      </w:r>
      <w:r>
        <w:rPr>
          <w:rFonts w:eastAsia="仿宋_GB2312"/>
          <w:color w:val="000000" w:themeColor="text1"/>
          <w:kern w:val="0"/>
          <w:szCs w:val="32"/>
          <w14:textFill>
            <w14:solidFill>
              <w14:schemeClr w14:val="tx1"/>
            </w14:solidFill>
          </w14:textFill>
        </w:rPr>
        <w:t>类似项目的综合单价</w:t>
      </w:r>
      <w:r>
        <w:rPr>
          <w:rFonts w:hint="eastAsia" w:eastAsia="仿宋_GB2312"/>
          <w:color w:val="000000" w:themeColor="text1"/>
          <w:kern w:val="0"/>
          <w:szCs w:val="32"/>
          <w14:textFill>
            <w14:solidFill>
              <w14:schemeClr w14:val="tx1"/>
            </w14:solidFill>
          </w14:textFill>
        </w:rPr>
        <w:t>中</w:t>
      </w:r>
      <w:r>
        <w:rPr>
          <w:rFonts w:eastAsia="仿宋_GB2312"/>
          <w:color w:val="000000" w:themeColor="text1"/>
          <w:kern w:val="0"/>
          <w:szCs w:val="32"/>
          <w14:textFill>
            <w14:solidFill>
              <w14:schemeClr w14:val="tx1"/>
            </w14:solidFill>
          </w14:textFill>
        </w:rPr>
        <w:t>相应子目</w:t>
      </w:r>
      <w:r>
        <w:rPr>
          <w:rFonts w:hint="eastAsia" w:eastAsia="仿宋_GB2312"/>
          <w:color w:val="000000" w:themeColor="text1"/>
          <w:kern w:val="0"/>
          <w:szCs w:val="32"/>
          <w14:textFill>
            <w14:solidFill>
              <w14:schemeClr w14:val="tx1"/>
            </w14:solidFill>
          </w14:textFill>
        </w:rPr>
        <w:t>或材料设备</w:t>
      </w:r>
      <w:r>
        <w:rPr>
          <w:rFonts w:eastAsia="仿宋_GB2312"/>
          <w:color w:val="000000" w:themeColor="text1"/>
          <w:kern w:val="0"/>
          <w:szCs w:val="32"/>
          <w14:textFill>
            <w14:solidFill>
              <w14:schemeClr w14:val="tx1"/>
            </w14:solidFill>
          </w14:textFill>
        </w:rPr>
        <w:t>消耗量</w:t>
      </w:r>
      <w:r>
        <w:rPr>
          <w:rFonts w:hint="eastAsia" w:eastAsia="仿宋_GB2312"/>
          <w:color w:val="000000" w:themeColor="text1"/>
          <w:kern w:val="0"/>
          <w:szCs w:val="32"/>
          <w14:textFill>
            <w14:solidFill>
              <w14:schemeClr w14:val="tx1"/>
            </w14:solidFill>
          </w14:textFill>
        </w:rPr>
        <w:t>或</w:t>
      </w:r>
      <w:r>
        <w:rPr>
          <w:rFonts w:eastAsia="仿宋_GB2312"/>
          <w:color w:val="000000" w:themeColor="text1"/>
          <w:kern w:val="0"/>
          <w:szCs w:val="32"/>
          <w14:textFill>
            <w14:solidFill>
              <w14:schemeClr w14:val="tx1"/>
            </w14:solidFill>
          </w14:textFill>
        </w:rPr>
        <w:t>材料设备价格等进行调整换算，原管理费、利润水平不变，仅调整</w:t>
      </w:r>
      <w:r>
        <w:rPr>
          <w:rFonts w:hint="eastAsia" w:eastAsia="仿宋_GB2312"/>
          <w:color w:val="000000" w:themeColor="text1"/>
          <w:kern w:val="0"/>
          <w:szCs w:val="32"/>
          <w14:textFill>
            <w14:solidFill>
              <w14:schemeClr w14:val="tx1"/>
            </w14:solidFill>
          </w14:textFill>
        </w:rPr>
        <w:t>相应子目或材料设备消耗量或材料</w:t>
      </w:r>
      <w:r>
        <w:rPr>
          <w:rFonts w:eastAsia="仿宋_GB2312"/>
          <w:color w:val="000000" w:themeColor="text1"/>
          <w:kern w:val="0"/>
          <w:szCs w:val="32"/>
          <w14:textFill>
            <w14:solidFill>
              <w14:schemeClr w14:val="tx1"/>
            </w14:solidFill>
          </w14:textFill>
        </w:rPr>
        <w:t>设备价格（但发包人认为综合单价</w:t>
      </w:r>
      <w:r>
        <w:rPr>
          <w:rFonts w:hint="eastAsia" w:eastAsia="仿宋_GB2312"/>
          <w:color w:val="000000" w:themeColor="text1"/>
          <w:kern w:val="0"/>
          <w:szCs w:val="32"/>
          <w14:textFill>
            <w14:solidFill>
              <w14:schemeClr w14:val="tx1"/>
            </w14:solidFill>
          </w14:textFill>
        </w:rPr>
        <w:t>均</w:t>
      </w:r>
      <w:r>
        <w:rPr>
          <w:rFonts w:eastAsia="仿宋_GB2312"/>
          <w:color w:val="000000" w:themeColor="text1"/>
          <w:kern w:val="0"/>
          <w:szCs w:val="32"/>
          <w14:textFill>
            <w14:solidFill>
              <w14:schemeClr w14:val="tx1"/>
            </w14:solidFill>
          </w14:textFill>
        </w:rPr>
        <w:t>明显不合理</w:t>
      </w:r>
      <w:r>
        <w:rPr>
          <w:rFonts w:hint="eastAsia" w:eastAsia="仿宋_GB2312"/>
          <w:color w:val="000000" w:themeColor="text1"/>
          <w:kern w:val="0"/>
          <w:szCs w:val="32"/>
          <w14:textFill>
            <w14:solidFill>
              <w14:schemeClr w14:val="tx1"/>
            </w14:solidFill>
          </w14:textFill>
        </w:rPr>
        <w:t>，明显偏离市场价格且对发包人不利时，按本项第（4）目约定执行</w:t>
      </w:r>
      <w:r>
        <w:rPr>
          <w:rFonts w:eastAsia="仿宋_GB2312"/>
          <w:color w:val="000000" w:themeColor="text1"/>
          <w:kern w:val="0"/>
          <w:szCs w:val="32"/>
          <w14:textFill>
            <w14:solidFill>
              <w14:schemeClr w14:val="tx1"/>
            </w14:solidFill>
          </w14:textFill>
        </w:rPr>
        <w:t>）。如合同</w:t>
      </w:r>
      <w:r>
        <w:rPr>
          <w:rFonts w:hint="eastAsia" w:eastAsia="仿宋_GB2312"/>
          <w:color w:val="000000" w:themeColor="text1"/>
          <w:kern w:val="0"/>
          <w:szCs w:val="32"/>
          <w14:textFill>
            <w14:solidFill>
              <w14:schemeClr w14:val="tx1"/>
            </w14:solidFill>
          </w14:textFill>
        </w:rPr>
        <w:t>已标价</w:t>
      </w:r>
      <w:r>
        <w:rPr>
          <w:rFonts w:eastAsia="仿宋_GB2312"/>
          <w:color w:val="000000" w:themeColor="text1"/>
          <w:kern w:val="0"/>
          <w:szCs w:val="32"/>
          <w14:textFill>
            <w14:solidFill>
              <w14:schemeClr w14:val="tx1"/>
            </w14:solidFill>
          </w14:textFill>
        </w:rPr>
        <w:t>工程量清单中类似项目的综合单价有两个或两个以上，则由发包人</w:t>
      </w:r>
      <w:r>
        <w:rPr>
          <w:rFonts w:hint="eastAsia" w:eastAsia="仿宋_GB2312"/>
          <w:color w:val="000000" w:themeColor="text1"/>
          <w:kern w:val="0"/>
          <w:szCs w:val="32"/>
          <w14:textFill>
            <w14:solidFill>
              <w14:schemeClr w14:val="tx1"/>
            </w14:solidFill>
          </w14:textFill>
        </w:rPr>
        <w:t>选择</w:t>
      </w:r>
      <w:r>
        <w:rPr>
          <w:rFonts w:eastAsia="仿宋_GB2312"/>
          <w:color w:val="000000" w:themeColor="text1"/>
          <w:kern w:val="0"/>
          <w:szCs w:val="32"/>
          <w14:textFill>
            <w14:solidFill>
              <w14:schemeClr w14:val="tx1"/>
            </w14:solidFill>
          </w14:textFill>
        </w:rPr>
        <w:t>有利于发包人的综合单价进行换算。</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所换算主材及设备价格首先执行工程造价管理机构发布的施工当期《广州市建设工程价格信息及有关计价办法的通知》并按本工程投标净下浮率下浮，（投标净下浮率=[1-（中标金额-不可竞争费）/（招标控制价-不可竞争费）]*100%）（实际施工跨月/季度的，则按发包人、监理单位共同确认的各月/季度施工完成的合格工程量为基础分别进行计算）；《广州市建筑工程价格信息及有关计价办法的通知》没有的主材及设备单价，由发包人、承包人和分包人结合市场价共同协商确定，主材价格不再下浮。</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招标控制价为在广州市建设工程造价监管平台备案的招标控制价格。</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3）</w:t>
      </w:r>
      <w:r>
        <w:rPr>
          <w:rFonts w:eastAsia="仿宋_GB2312"/>
          <w:color w:val="000000" w:themeColor="text1"/>
          <w:kern w:val="0"/>
          <w:szCs w:val="32"/>
          <w14:textFill>
            <w14:solidFill>
              <w14:schemeClr w14:val="tx1"/>
            </w14:solidFill>
          </w14:textFill>
        </w:rPr>
        <w:t>合同</w:t>
      </w:r>
      <w:r>
        <w:rPr>
          <w:rFonts w:hint="eastAsia" w:eastAsia="仿宋_GB2312"/>
          <w:color w:val="000000" w:themeColor="text1"/>
          <w:kern w:val="0"/>
          <w:szCs w:val="32"/>
          <w14:textFill>
            <w14:solidFill>
              <w14:schemeClr w14:val="tx1"/>
            </w14:solidFill>
          </w14:textFill>
        </w:rPr>
        <w:t>已标价</w:t>
      </w:r>
      <w:r>
        <w:rPr>
          <w:rFonts w:eastAsia="仿宋_GB2312"/>
          <w:color w:val="000000" w:themeColor="text1"/>
          <w:kern w:val="0"/>
          <w:szCs w:val="32"/>
          <w14:textFill>
            <w14:solidFill>
              <w14:schemeClr w14:val="tx1"/>
            </w14:solidFill>
          </w14:textFill>
        </w:rPr>
        <w:t>工程量清单中没有相同或类似适用项目的；或者合同</w:t>
      </w:r>
      <w:r>
        <w:rPr>
          <w:rFonts w:hint="eastAsia" w:eastAsia="仿宋_GB2312"/>
          <w:color w:val="000000" w:themeColor="text1"/>
          <w:kern w:val="0"/>
          <w:szCs w:val="32"/>
          <w14:textFill>
            <w14:solidFill>
              <w14:schemeClr w14:val="tx1"/>
            </w14:solidFill>
          </w14:textFill>
        </w:rPr>
        <w:t>已标价</w:t>
      </w:r>
      <w:r>
        <w:rPr>
          <w:rFonts w:eastAsia="仿宋_GB2312"/>
          <w:color w:val="000000" w:themeColor="text1"/>
          <w:kern w:val="0"/>
          <w:szCs w:val="32"/>
          <w14:textFill>
            <w14:solidFill>
              <w14:schemeClr w14:val="tx1"/>
            </w14:solidFill>
          </w14:textFill>
        </w:rPr>
        <w:t>工程量清单中有相同或类似适用项目，但发包人</w:t>
      </w:r>
      <w:r>
        <w:rPr>
          <w:rFonts w:hint="eastAsia" w:eastAsia="仿宋_GB2312"/>
          <w:color w:val="000000" w:themeColor="text1"/>
          <w:kern w:val="0"/>
          <w:szCs w:val="32"/>
          <w14:textFill>
            <w14:solidFill>
              <w14:schemeClr w14:val="tx1"/>
            </w14:solidFill>
          </w14:textFill>
        </w:rPr>
        <w:t>均</w:t>
      </w:r>
      <w:r>
        <w:rPr>
          <w:rFonts w:eastAsia="仿宋_GB2312"/>
          <w:color w:val="000000" w:themeColor="text1"/>
          <w:kern w:val="0"/>
          <w:szCs w:val="32"/>
          <w14:textFill>
            <w14:solidFill>
              <w14:schemeClr w14:val="tx1"/>
            </w14:solidFill>
          </w14:textFill>
        </w:rPr>
        <w:t>认为综合单价明显不合理的，按以下原则计价：</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sym w:font="Wingdings 2" w:char="F06A"/>
      </w:r>
      <w:r>
        <w:rPr>
          <w:rFonts w:hint="eastAsia" w:eastAsia="仿宋_GB2312"/>
          <w:color w:val="000000" w:themeColor="text1"/>
          <w:kern w:val="0"/>
          <w:szCs w:val="32"/>
          <w14:textFill>
            <w14:solidFill>
              <w14:schemeClr w14:val="tx1"/>
            </w14:solidFill>
          </w14:textFill>
        </w:rPr>
        <w:t>由分包人依据变更工程资料，按《房屋建筑与装饰工程工程量计算规范（</w:t>
      </w:r>
      <w:r>
        <w:rPr>
          <w:rFonts w:eastAsia="仿宋_GB2312"/>
          <w:color w:val="000000" w:themeColor="text1"/>
          <w:kern w:val="0"/>
          <w:szCs w:val="32"/>
          <w14:textFill>
            <w14:solidFill>
              <w14:schemeClr w14:val="tx1"/>
            </w14:solidFill>
          </w14:textFill>
        </w:rPr>
        <w:t>2013</w:t>
      </w:r>
      <w:r>
        <w:rPr>
          <w:rFonts w:hint="eastAsia" w:eastAsia="仿宋_GB2312"/>
          <w:color w:val="000000" w:themeColor="text1"/>
          <w:kern w:val="0"/>
          <w:szCs w:val="32"/>
          <w14:textFill>
            <w14:solidFill>
              <w14:schemeClr w14:val="tx1"/>
            </w14:solidFill>
          </w14:textFill>
        </w:rPr>
        <w:t>）》、《房屋建筑安装工程工程量计算规范（</w:t>
      </w:r>
      <w:r>
        <w:rPr>
          <w:rFonts w:eastAsia="仿宋_GB2312"/>
          <w:color w:val="000000" w:themeColor="text1"/>
          <w:kern w:val="0"/>
          <w:szCs w:val="32"/>
          <w14:textFill>
            <w14:solidFill>
              <w14:schemeClr w14:val="tx1"/>
            </w14:solidFill>
          </w14:textFill>
        </w:rPr>
        <w:t>2013</w:t>
      </w:r>
      <w:r>
        <w:rPr>
          <w:rFonts w:hint="eastAsia" w:eastAsia="仿宋_GB2312"/>
          <w:color w:val="000000" w:themeColor="text1"/>
          <w:kern w:val="0"/>
          <w:szCs w:val="32"/>
          <w14:textFill>
            <w14:solidFill>
              <w14:schemeClr w14:val="tx1"/>
            </w14:solidFill>
          </w14:textFill>
        </w:rPr>
        <w:t>）》、《市政工程工程量计算规范（</w:t>
      </w:r>
      <w:r>
        <w:rPr>
          <w:rFonts w:eastAsia="仿宋_GB2312"/>
          <w:color w:val="000000" w:themeColor="text1"/>
          <w:kern w:val="0"/>
          <w:szCs w:val="32"/>
          <w14:textFill>
            <w14:solidFill>
              <w14:schemeClr w14:val="tx1"/>
            </w14:solidFill>
          </w14:textFill>
        </w:rPr>
        <w:t>2013</w:t>
      </w:r>
      <w:r>
        <w:rPr>
          <w:rFonts w:hint="eastAsia" w:eastAsia="仿宋_GB2312"/>
          <w:color w:val="000000" w:themeColor="text1"/>
          <w:kern w:val="0"/>
          <w:szCs w:val="32"/>
          <w14:textFill>
            <w14:solidFill>
              <w14:schemeClr w14:val="tx1"/>
            </w14:solidFill>
          </w14:textFill>
        </w:rPr>
        <w:t>）》、《园林绿化工程工程量计算规范（</w:t>
      </w:r>
      <w:r>
        <w:rPr>
          <w:rFonts w:eastAsia="仿宋_GB2312"/>
          <w:color w:val="000000" w:themeColor="text1"/>
          <w:kern w:val="0"/>
          <w:szCs w:val="32"/>
          <w14:textFill>
            <w14:solidFill>
              <w14:schemeClr w14:val="tx1"/>
            </w14:solidFill>
          </w14:textFill>
        </w:rPr>
        <w:t>2013</w:t>
      </w:r>
      <w:r>
        <w:rPr>
          <w:rFonts w:hint="eastAsia" w:eastAsia="仿宋_GB2312"/>
          <w:color w:val="000000" w:themeColor="text1"/>
          <w:kern w:val="0"/>
          <w:szCs w:val="32"/>
          <w14:textFill>
            <w14:solidFill>
              <w14:schemeClr w14:val="tx1"/>
            </w14:solidFill>
          </w14:textFill>
        </w:rPr>
        <w:t>）》，执行广东省</w:t>
      </w:r>
      <w:r>
        <w:rPr>
          <w:rFonts w:eastAsia="仿宋_GB2312"/>
          <w:color w:val="000000" w:themeColor="text1"/>
          <w:kern w:val="0"/>
          <w:szCs w:val="32"/>
          <w14:textFill>
            <w14:solidFill>
              <w14:schemeClr w14:val="tx1"/>
            </w14:solidFill>
          </w14:textFill>
        </w:rPr>
        <w:t>2018</w:t>
      </w:r>
      <w:r>
        <w:rPr>
          <w:rFonts w:hint="eastAsia" w:eastAsia="仿宋_GB2312"/>
          <w:color w:val="000000" w:themeColor="text1"/>
          <w:kern w:val="0"/>
          <w:szCs w:val="32"/>
          <w14:textFill>
            <w14:solidFill>
              <w14:schemeClr w14:val="tx1"/>
            </w14:solidFill>
          </w14:textFill>
        </w:rPr>
        <w:t>年相关定额标准及工程造价管理机构发布的施工当期《广州市建设工程价格信息及有关计价办法的通知》材料设备参考价格编制综合单价，并按税前下浮</w:t>
      </w:r>
      <w:r>
        <w:rPr>
          <w:rFonts w:eastAsia="仿宋_GB2312"/>
          <w:color w:val="000000" w:themeColor="text1"/>
          <w:kern w:val="0"/>
          <w:szCs w:val="32"/>
          <w14:textFill>
            <w14:solidFill>
              <w14:schemeClr w14:val="tx1"/>
            </w14:solidFill>
          </w14:textFill>
        </w:rPr>
        <w:t>10 %</w:t>
      </w:r>
      <w:r>
        <w:rPr>
          <w:rFonts w:hint="eastAsia" w:eastAsia="仿宋_GB2312"/>
          <w:color w:val="000000" w:themeColor="text1"/>
          <w:kern w:val="0"/>
          <w:szCs w:val="32"/>
          <w14:textFill>
            <w14:solidFill>
              <w14:schemeClr w14:val="tx1"/>
            </w14:solidFill>
          </w14:textFill>
        </w:rPr>
        <w:t>确认变更项目不含税综合单价。若《广州市建设工程价格信息及有关计价办法的通知》没有的材料、设备单价，由发包人、监理人（若需）、承包人、分包人结合市场价共同协商确定，主材价格不再下浮。</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sym w:font="Wingdings 2" w:char="F06B"/>
      </w:r>
      <w:r>
        <w:rPr>
          <w:rFonts w:eastAsia="仿宋_GB2312"/>
          <w:color w:val="000000" w:themeColor="text1"/>
          <w:kern w:val="0"/>
          <w:szCs w:val="32"/>
          <w14:textFill>
            <w14:solidFill>
              <w14:schemeClr w14:val="tx1"/>
            </w14:solidFill>
          </w14:textFill>
        </w:rPr>
        <w:t>合同</w:t>
      </w:r>
      <w:r>
        <w:rPr>
          <w:rFonts w:hint="eastAsia" w:eastAsia="仿宋_GB2312"/>
          <w:color w:val="000000" w:themeColor="text1"/>
          <w:kern w:val="0"/>
          <w:szCs w:val="32"/>
          <w14:textFill>
            <w14:solidFill>
              <w14:schemeClr w14:val="tx1"/>
            </w14:solidFill>
          </w14:textFill>
        </w:rPr>
        <w:t>已标价</w:t>
      </w:r>
      <w:r>
        <w:rPr>
          <w:rFonts w:eastAsia="仿宋_GB2312"/>
          <w:color w:val="000000" w:themeColor="text1"/>
          <w:kern w:val="0"/>
          <w:szCs w:val="32"/>
          <w14:textFill>
            <w14:solidFill>
              <w14:schemeClr w14:val="tx1"/>
            </w14:solidFill>
          </w14:textFill>
        </w:rPr>
        <w:t>工程量清单没有相同或相类似且无相关定额</w:t>
      </w:r>
      <w:r>
        <w:rPr>
          <w:rFonts w:hint="eastAsia" w:eastAsia="仿宋_GB2312"/>
          <w:color w:val="000000" w:themeColor="text1"/>
          <w:kern w:val="0"/>
          <w:szCs w:val="32"/>
          <w14:textFill>
            <w14:solidFill>
              <w14:schemeClr w14:val="tx1"/>
            </w14:solidFill>
          </w14:textFill>
        </w:rPr>
        <w:t>子目可套用</w:t>
      </w:r>
      <w:r>
        <w:rPr>
          <w:rFonts w:eastAsia="仿宋_GB2312"/>
          <w:color w:val="000000" w:themeColor="text1"/>
          <w:kern w:val="0"/>
          <w:szCs w:val="32"/>
          <w14:textFill>
            <w14:solidFill>
              <w14:schemeClr w14:val="tx1"/>
            </w14:solidFill>
          </w14:textFill>
        </w:rPr>
        <w:t>的项目，由发包人、承包人</w:t>
      </w:r>
      <w:r>
        <w:rPr>
          <w:rFonts w:hint="eastAsia" w:eastAsia="仿宋_GB2312"/>
          <w:color w:val="000000" w:themeColor="text1"/>
          <w:kern w:val="0"/>
          <w:szCs w:val="32"/>
          <w14:textFill>
            <w14:solidFill>
              <w14:schemeClr w14:val="tx1"/>
            </w14:solidFill>
          </w14:textFill>
        </w:rPr>
        <w:t>、分包人</w:t>
      </w:r>
      <w:r>
        <w:rPr>
          <w:rFonts w:eastAsia="仿宋_GB2312"/>
          <w:color w:val="000000" w:themeColor="text1"/>
          <w:kern w:val="0"/>
          <w:szCs w:val="32"/>
          <w14:textFill>
            <w14:solidFill>
              <w14:schemeClr w14:val="tx1"/>
            </w14:solidFill>
          </w14:textFill>
        </w:rPr>
        <w:t>结合市场价共同协商确定。</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4）当</w:t>
      </w:r>
      <w:r>
        <w:rPr>
          <w:rFonts w:eastAsia="仿宋_GB2312"/>
          <w:color w:val="000000" w:themeColor="text1"/>
          <w:kern w:val="0"/>
          <w:szCs w:val="32"/>
          <w14:textFill>
            <w14:solidFill>
              <w14:schemeClr w14:val="tx1"/>
            </w14:solidFill>
          </w14:textFill>
        </w:rPr>
        <w:t>发包人认为</w:t>
      </w:r>
      <w:r>
        <w:rPr>
          <w:rFonts w:hint="eastAsia" w:eastAsia="仿宋_GB2312"/>
          <w:color w:val="000000" w:themeColor="text1"/>
          <w:kern w:val="0"/>
          <w:szCs w:val="32"/>
          <w14:textFill>
            <w14:solidFill>
              <w14:schemeClr w14:val="tx1"/>
            </w14:solidFill>
          </w14:textFill>
        </w:rPr>
        <w:t>变更前合同已标价工程量清单项目单价或合同已标价工程量清单中</w:t>
      </w:r>
      <w:r>
        <w:rPr>
          <w:rFonts w:eastAsia="仿宋_GB2312"/>
          <w:color w:val="000000" w:themeColor="text1"/>
          <w:kern w:val="0"/>
          <w:szCs w:val="32"/>
          <w14:textFill>
            <w14:solidFill>
              <w14:schemeClr w14:val="tx1"/>
            </w14:solidFill>
          </w14:textFill>
        </w:rPr>
        <w:t>相同适用项目</w:t>
      </w:r>
      <w:r>
        <w:rPr>
          <w:rFonts w:hint="eastAsia" w:eastAsia="仿宋_GB2312"/>
          <w:color w:val="000000" w:themeColor="text1"/>
          <w:kern w:val="0"/>
          <w:szCs w:val="32"/>
          <w14:textFill>
            <w14:solidFill>
              <w14:schemeClr w14:val="tx1"/>
            </w14:solidFill>
          </w14:textFill>
        </w:rPr>
        <w:t>单价或</w:t>
      </w:r>
      <w:r>
        <w:rPr>
          <w:rFonts w:eastAsia="仿宋_GB2312"/>
          <w:color w:val="000000" w:themeColor="text1"/>
          <w:kern w:val="0"/>
          <w:szCs w:val="32"/>
          <w14:textFill>
            <w14:solidFill>
              <w14:schemeClr w14:val="tx1"/>
            </w14:solidFill>
          </w14:textFill>
        </w:rPr>
        <w:t>类似适用项目</w:t>
      </w:r>
      <w:r>
        <w:rPr>
          <w:rFonts w:hint="eastAsia" w:eastAsia="仿宋_GB2312"/>
          <w:color w:val="000000" w:themeColor="text1"/>
          <w:kern w:val="0"/>
          <w:szCs w:val="32"/>
          <w14:textFill>
            <w14:solidFill>
              <w14:schemeClr w14:val="tx1"/>
            </w14:solidFill>
          </w14:textFill>
        </w:rPr>
        <w:t>单价</w:t>
      </w:r>
      <w:r>
        <w:rPr>
          <w:rFonts w:eastAsia="仿宋_GB2312"/>
          <w:color w:val="000000" w:themeColor="text1"/>
          <w:kern w:val="0"/>
          <w:szCs w:val="32"/>
          <w14:textFill>
            <w14:solidFill>
              <w14:schemeClr w14:val="tx1"/>
            </w14:solidFill>
          </w14:textFill>
        </w:rPr>
        <w:t>明显不合理</w:t>
      </w:r>
      <w:r>
        <w:rPr>
          <w:rFonts w:hint="eastAsia" w:eastAsia="仿宋_GB2312"/>
          <w:color w:val="000000" w:themeColor="text1"/>
          <w:kern w:val="0"/>
          <w:szCs w:val="32"/>
          <w14:textFill>
            <w14:solidFill>
              <w14:schemeClr w14:val="tx1"/>
            </w14:solidFill>
          </w14:textFill>
        </w:rPr>
        <w:t>，明显偏离市场价格且对发包人不利时，变更价款按以下约定执行：</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sym w:font="Wingdings 2" w:char="F06A"/>
      </w:r>
      <w:r>
        <w:rPr>
          <w:rFonts w:hint="eastAsia" w:eastAsia="仿宋_GB2312"/>
          <w:color w:val="000000" w:themeColor="text1"/>
          <w:kern w:val="0"/>
          <w:szCs w:val="32"/>
          <w14:textFill>
            <w14:solidFill>
              <w14:schemeClr w14:val="tx1"/>
            </w14:solidFill>
          </w14:textFill>
        </w:rPr>
        <w:t>当变更前的合同已标价工程量清单项目单价明显偏低，明显偏离市场价格且对发包人不利时，则对应变更后的项目单价，参照本项第3）目编制综合单价，税前下浮，下浮率为1-变更前合同已标价工程量清单对应项目单价/中标控制价对应清单项目综合单价。</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sym w:font="Wingdings 2" w:char="F06B"/>
      </w:r>
      <w:r>
        <w:rPr>
          <w:rFonts w:hint="eastAsia" w:eastAsia="仿宋_GB2312"/>
          <w:color w:val="000000" w:themeColor="text1"/>
          <w:kern w:val="0"/>
          <w:szCs w:val="32"/>
          <w14:textFill>
            <w14:solidFill>
              <w14:schemeClr w14:val="tx1"/>
            </w14:solidFill>
          </w14:textFill>
        </w:rPr>
        <w:t>如果合同已标价工程量清单中</w:t>
      </w:r>
      <w:r>
        <w:rPr>
          <w:rFonts w:eastAsia="仿宋_GB2312"/>
          <w:color w:val="000000" w:themeColor="text1"/>
          <w:kern w:val="0"/>
          <w:szCs w:val="32"/>
          <w14:textFill>
            <w14:solidFill>
              <w14:schemeClr w14:val="tx1"/>
            </w14:solidFill>
          </w14:textFill>
        </w:rPr>
        <w:t>相同适用项目</w:t>
      </w:r>
      <w:r>
        <w:rPr>
          <w:rFonts w:hint="eastAsia" w:eastAsia="仿宋_GB2312"/>
          <w:color w:val="000000" w:themeColor="text1"/>
          <w:kern w:val="0"/>
          <w:szCs w:val="32"/>
          <w14:textFill>
            <w14:solidFill>
              <w14:schemeClr w14:val="tx1"/>
            </w14:solidFill>
          </w14:textFill>
        </w:rPr>
        <w:t>单价或</w:t>
      </w:r>
      <w:r>
        <w:rPr>
          <w:rFonts w:eastAsia="仿宋_GB2312"/>
          <w:color w:val="000000" w:themeColor="text1"/>
          <w:kern w:val="0"/>
          <w:szCs w:val="32"/>
          <w14:textFill>
            <w14:solidFill>
              <w14:schemeClr w14:val="tx1"/>
            </w14:solidFill>
          </w14:textFill>
        </w:rPr>
        <w:t>类似适用项目</w:t>
      </w:r>
      <w:r>
        <w:rPr>
          <w:rFonts w:hint="eastAsia" w:eastAsia="仿宋_GB2312"/>
          <w:color w:val="000000" w:themeColor="text1"/>
          <w:kern w:val="0"/>
          <w:szCs w:val="32"/>
          <w14:textFill>
            <w14:solidFill>
              <w14:schemeClr w14:val="tx1"/>
            </w14:solidFill>
          </w14:textFill>
        </w:rPr>
        <w:t>单价均存在第16.3.1项目第（1）目情况时，则变更后的项目单价按本项第（3）目约定重新组价。</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5）发包人或监理人发出的合理变更指令，经承包人书面确认，分包人应无条件执行。</w:t>
      </w:r>
      <w:r>
        <w:rPr>
          <w:rFonts w:eastAsia="仿宋_GB2312"/>
          <w:color w:val="000000" w:themeColor="text1"/>
          <w:kern w:val="0"/>
          <w:szCs w:val="32"/>
          <w14:textFill>
            <w14:solidFill>
              <w14:schemeClr w14:val="tx1"/>
            </w14:solidFill>
          </w14:textFill>
        </w:rPr>
        <w:t>分包人不得以变更价款未确认等理由</w:t>
      </w:r>
      <w:r>
        <w:rPr>
          <w:rFonts w:hint="eastAsia" w:eastAsia="仿宋_GB2312"/>
          <w:color w:val="000000" w:themeColor="text1"/>
          <w:kern w:val="0"/>
          <w:szCs w:val="32"/>
          <w14:textFill>
            <w14:solidFill>
              <w14:schemeClr w14:val="tx1"/>
            </w14:solidFill>
          </w14:textFill>
        </w:rPr>
        <w:t>暂停施工</w:t>
      </w:r>
      <w:r>
        <w:rPr>
          <w:rFonts w:eastAsia="仿宋_GB2312"/>
          <w:color w:val="000000" w:themeColor="text1"/>
          <w:kern w:val="0"/>
          <w:szCs w:val="32"/>
          <w14:textFill>
            <w14:solidFill>
              <w14:schemeClr w14:val="tx1"/>
            </w14:solidFill>
          </w14:textFill>
        </w:rPr>
        <w:t>或消极怠工</w:t>
      </w:r>
      <w:r>
        <w:rPr>
          <w:rFonts w:hint="eastAsia" w:eastAsia="仿宋_GB2312"/>
          <w:color w:val="000000" w:themeColor="text1"/>
          <w:kern w:val="0"/>
          <w:szCs w:val="32"/>
          <w14:textFill>
            <w14:solidFill>
              <w14:schemeClr w14:val="tx1"/>
            </w14:solidFill>
          </w14:textFill>
        </w:rPr>
        <w:t>或停工</w:t>
      </w:r>
      <w:r>
        <w:rPr>
          <w:rFonts w:eastAsia="仿宋_GB2312"/>
          <w:color w:val="000000" w:themeColor="text1"/>
          <w:kern w:val="0"/>
          <w:szCs w:val="32"/>
          <w14:textFill>
            <w14:solidFill>
              <w14:schemeClr w14:val="tx1"/>
            </w14:solidFill>
          </w14:textFill>
        </w:rPr>
        <w:t>，若由此导致的工期延误，由分包人自行承担，并根据相应条款</w:t>
      </w:r>
      <w:r>
        <w:rPr>
          <w:rFonts w:hint="eastAsia" w:eastAsia="仿宋_GB2312"/>
          <w:color w:val="000000" w:themeColor="text1"/>
          <w:kern w:val="0"/>
          <w:szCs w:val="32"/>
          <w14:textFill>
            <w14:solidFill>
              <w14:schemeClr w14:val="tx1"/>
            </w14:solidFill>
          </w14:textFill>
        </w:rPr>
        <w:t>承担违约责任及</w:t>
      </w:r>
      <w:r>
        <w:rPr>
          <w:rFonts w:eastAsia="仿宋_GB2312"/>
          <w:color w:val="000000" w:themeColor="text1"/>
          <w:kern w:val="0"/>
          <w:szCs w:val="32"/>
          <w14:textFill>
            <w14:solidFill>
              <w14:schemeClr w14:val="tx1"/>
            </w14:solidFill>
          </w14:textFill>
        </w:rPr>
        <w:t>赔</w:t>
      </w:r>
      <w:r>
        <w:rPr>
          <w:rFonts w:hint="eastAsia" w:eastAsia="仿宋_GB2312"/>
          <w:color w:val="000000" w:themeColor="text1"/>
          <w:kern w:val="0"/>
          <w:szCs w:val="32"/>
          <w14:textFill>
            <w14:solidFill>
              <w14:schemeClr w14:val="tx1"/>
            </w14:solidFill>
          </w14:textFill>
        </w:rPr>
        <w:t>偿发包人或承包人的损失</w:t>
      </w:r>
      <w:r>
        <w:rPr>
          <w:rFonts w:eastAsia="仿宋_GB2312"/>
          <w:color w:val="000000" w:themeColor="text1"/>
          <w:kern w:val="0"/>
          <w:szCs w:val="32"/>
          <w14:textFill>
            <w14:solidFill>
              <w14:schemeClr w14:val="tx1"/>
            </w14:solidFill>
          </w14:textFill>
        </w:rPr>
        <w:t>。</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6）应报而漏报或报价为零的清单项目，则视为其价格已含在签约合同价格中，发包人将不另行支付费用。如该类清单发生变更时，变更价款确认原则如下：变更前价款为招标控制价对应清单项目的综合单价乘以投标净下浮率乘以变更前工程量所得价款；变更后价款计价原则按合同第15.2.1款约定执行。</w:t>
      </w:r>
    </w:p>
    <w:p>
      <w:pPr>
        <w:pStyle w:val="75"/>
        <w:ind w:firstLine="422"/>
        <w:rPr>
          <w:color w:val="000000" w:themeColor="text1"/>
          <w14:textFill>
            <w14:solidFill>
              <w14:schemeClr w14:val="tx1"/>
            </w14:solidFill>
          </w14:textFill>
        </w:rPr>
      </w:pPr>
      <w:bookmarkStart w:id="766" w:name="_Toc32149"/>
      <w:r>
        <w:rPr>
          <w:rFonts w:hint="eastAsia"/>
          <w:color w:val="000000" w:themeColor="text1"/>
          <w14:textFill>
            <w14:solidFill>
              <w14:schemeClr w14:val="tx1"/>
            </w14:solidFill>
          </w14:textFill>
        </w:rPr>
        <w:t>15.2.2. 对于变更价款确定的其他约定</w:t>
      </w:r>
      <w:bookmarkEnd w:id="76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递交的关于任何变更的估价或报价应包括相应变更的工程量计算书；计算书应具有充分的可追溯性，用于计算的原始数字仅能来源于发包人通过承包人下发的图纸、发包人通过承包人下发的变更；计算书应注明计算所依据的图纸、变更或其他文件的编号、发生的区段位置（轴线和标高）、构件或房间号等索引信息，且应写明算术运算的过程，以便监理人及发包人能方便和快捷地根据合同文件进行追溯校核；变更工程量计算书和报价书的格式需经过承包人审核、监理人及发包人的审批。如果监理人或发包人要求，分包人应确保其工程量计算人员在要求的任何合理时间就其工程量计算的过程、计算书和价格组成明细等向监理人或发包人作必要解释，以确保变更计量和计价工作的及时性和准确性。</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分包人对图纸的不明确部分做出的任何澄清、明确和确认（除设计技术漏项外）以及工程指令单均不属于变更，不适用于工程变更的计量和计价。只有按发包人要求办理设计变更或现场签证完成确认审批流程的，方视为变更，并可根据确认结果调整合同价款。</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3）深化设计内容不属于变更。</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签证的资料要求：签证工程必须同时具有发包人签字盖章的指令单、设计变更单（若需）、签证单（有需要的须附上竣工图及验收单），如资料不全，工程造价增加的视为分包人放弃此项权利，工程造价减少的按实结算扣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5）签证的时限要求：分包人应在收到发包人发出的签证指令后</w:t>
      </w:r>
      <w:r>
        <w:rPr>
          <w:rFonts w:hint="eastAsia"/>
          <w:color w:val="000000" w:themeColor="text1"/>
          <w:u w:val="single"/>
          <w14:textFill>
            <w14:solidFill>
              <w14:schemeClr w14:val="tx1"/>
            </w14:solidFill>
          </w14:textFill>
        </w:rPr>
        <w:t>10天</w:t>
      </w:r>
      <w:r>
        <w:rPr>
          <w:rFonts w:hint="eastAsia"/>
          <w:color w:val="000000" w:themeColor="text1"/>
          <w14:textFill>
            <w14:solidFill>
              <w14:schemeClr w14:val="tx1"/>
            </w14:solidFill>
          </w14:textFill>
        </w:rPr>
        <w:t>内通过承包人向监理人和发包人申报《工程签证申请表》，并附签证指令、计划完成时间、预估签证费用等资料。</w:t>
      </w:r>
      <w:r>
        <w:rPr>
          <w:color w:val="000000" w:themeColor="text1"/>
          <w14:textFill>
            <w14:solidFill>
              <w14:schemeClr w14:val="tx1"/>
            </w14:solidFill>
          </w14:textFill>
        </w:rPr>
        <w:t>在发包人未回复具体的审核价</w:t>
      </w:r>
      <w:r>
        <w:rPr>
          <w:rFonts w:hint="eastAsia"/>
          <w:color w:val="000000" w:themeColor="text1"/>
          <w14:textFill>
            <w14:solidFill>
              <w14:schemeClr w14:val="tx1"/>
            </w14:solidFill>
          </w14:textFill>
        </w:rPr>
        <w:t>或双方对核价有争议时</w:t>
      </w:r>
      <w:r>
        <w:rPr>
          <w:color w:val="000000" w:themeColor="text1"/>
          <w14:textFill>
            <w14:solidFill>
              <w14:schemeClr w14:val="tx1"/>
            </w14:solidFill>
          </w14:textFill>
        </w:rPr>
        <w:t>，分包人不得以</w:t>
      </w:r>
      <w:r>
        <w:rPr>
          <w:rFonts w:hint="eastAsia"/>
          <w:color w:val="000000" w:themeColor="text1"/>
          <w14:textFill>
            <w14:solidFill>
              <w14:schemeClr w14:val="tx1"/>
            </w14:solidFill>
          </w14:textFill>
        </w:rPr>
        <w:t>核价等</w:t>
      </w:r>
      <w:r>
        <w:rPr>
          <w:color w:val="000000" w:themeColor="text1"/>
          <w14:textFill>
            <w14:solidFill>
              <w14:schemeClr w14:val="tx1"/>
            </w14:solidFill>
          </w14:textFill>
        </w:rPr>
        <w:t>任何理由停工或拖延施工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若</w:t>
      </w:r>
      <w:r>
        <w:rPr>
          <w:rFonts w:hint="eastAsia"/>
          <w:color w:val="000000" w:themeColor="text1"/>
          <w14:textFill>
            <w14:solidFill>
              <w14:schemeClr w14:val="tx1"/>
            </w14:solidFill>
          </w14:textFill>
        </w:rPr>
        <w:t>分包人</w:t>
      </w:r>
      <w:r>
        <w:rPr>
          <w:color w:val="000000" w:themeColor="text1"/>
          <w14:textFill>
            <w14:solidFill>
              <w14:schemeClr w14:val="tx1"/>
            </w14:solidFill>
          </w14:textFill>
        </w:rPr>
        <w:t>停工或拖延施工</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由此导致的工期延误，由分包人自行承担</w:t>
      </w:r>
      <w:r>
        <w:rPr>
          <w:rFonts w:hint="eastAsia"/>
          <w:color w:val="000000" w:themeColor="text1"/>
          <w14:textFill>
            <w14:solidFill>
              <w14:schemeClr w14:val="tx1"/>
            </w14:solidFill>
          </w14:textFill>
        </w:rPr>
        <w:t>，且分包人应按</w:t>
      </w:r>
      <w:r>
        <w:rPr>
          <w:color w:val="000000" w:themeColor="text1"/>
          <w14:textFill>
            <w14:solidFill>
              <w14:schemeClr w14:val="tx1"/>
            </w14:solidFill>
          </w14:textFill>
        </w:rPr>
        <w:t>停工或拖延施工</w:t>
      </w:r>
      <w:r>
        <w:rPr>
          <w:rFonts w:hint="eastAsia"/>
          <w:color w:val="000000" w:themeColor="text1"/>
          <w14:textFill>
            <w14:solidFill>
              <w14:schemeClr w14:val="tx1"/>
            </w14:solidFill>
          </w14:textFill>
        </w:rPr>
        <w:t>天数承担</w:t>
      </w:r>
      <w:r>
        <w:rPr>
          <w:rFonts w:hint="eastAsia"/>
          <w:color w:val="000000" w:themeColor="text1"/>
          <w:u w:val="single"/>
          <w14:textFill>
            <w14:solidFill>
              <w14:schemeClr w14:val="tx1"/>
            </w14:solidFill>
          </w14:textFill>
        </w:rPr>
        <w:t>10000元/天</w:t>
      </w:r>
      <w:r>
        <w:rPr>
          <w:rFonts w:hint="eastAsia"/>
          <w:color w:val="000000" w:themeColor="text1"/>
          <w14:textFill>
            <w14:solidFill>
              <w14:schemeClr w14:val="tx1"/>
            </w14:solidFill>
          </w14:textFill>
        </w:rPr>
        <w:t>的违约金</w:t>
      </w:r>
      <w:r>
        <w:rPr>
          <w:color w:val="000000" w:themeColor="text1"/>
          <w14:textFill>
            <w14:solidFill>
              <w14:schemeClr w14:val="tx1"/>
            </w14:solidFill>
          </w14:textFill>
        </w:rPr>
        <w:t>。</w:t>
      </w:r>
    </w:p>
    <w:p>
      <w:pPr>
        <w:spacing w:line="360" w:lineRule="auto"/>
        <w:ind w:firstLine="420" w:firstLineChars="200"/>
        <w:jc w:val="left"/>
        <w:rPr>
          <w:rFonts w:eastAsia="仿宋_GB2312"/>
          <w:color w:val="000000" w:themeColor="text1"/>
          <w:kern w:val="0"/>
          <w:szCs w:val="32"/>
          <w14:textFill>
            <w14:solidFill>
              <w14:schemeClr w14:val="tx1"/>
            </w14:solidFill>
          </w14:textFill>
        </w:rPr>
      </w:pPr>
      <w:r>
        <w:rPr>
          <w:rFonts w:hint="eastAsia"/>
          <w:color w:val="000000" w:themeColor="text1"/>
          <w14:textFill>
            <w14:solidFill>
              <w14:schemeClr w14:val="tx1"/>
            </w14:solidFill>
          </w14:textFill>
        </w:rPr>
        <w:t>6）</w:t>
      </w:r>
      <w:r>
        <w:rPr>
          <w:rFonts w:eastAsia="仿宋_GB2312"/>
          <w:color w:val="000000" w:themeColor="text1"/>
          <w:kern w:val="0"/>
          <w:szCs w:val="32"/>
          <w14:textFill>
            <w14:solidFill>
              <w14:schemeClr w14:val="tx1"/>
            </w14:solidFill>
          </w14:textFill>
        </w:rPr>
        <w:t>分包人应在</w:t>
      </w:r>
      <w:r>
        <w:rPr>
          <w:rFonts w:hint="eastAsia" w:eastAsia="仿宋_GB2312"/>
          <w:color w:val="000000" w:themeColor="text1"/>
          <w:kern w:val="0"/>
          <w:szCs w:val="32"/>
          <w14:textFill>
            <w14:solidFill>
              <w14:schemeClr w14:val="tx1"/>
            </w14:solidFill>
          </w14:textFill>
        </w:rPr>
        <w:t>签证实施</w:t>
      </w:r>
      <w:r>
        <w:rPr>
          <w:rFonts w:eastAsia="仿宋_GB2312"/>
          <w:color w:val="000000" w:themeColor="text1"/>
          <w:kern w:val="0"/>
          <w:szCs w:val="32"/>
          <w14:textFill>
            <w14:solidFill>
              <w14:schemeClr w14:val="tx1"/>
            </w14:solidFill>
          </w14:textFill>
        </w:rPr>
        <w:t>完成后</w:t>
      </w:r>
      <w:r>
        <w:rPr>
          <w:rFonts w:hint="eastAsia" w:eastAsia="仿宋_GB2312"/>
          <w:color w:val="000000" w:themeColor="text1"/>
          <w:kern w:val="0"/>
          <w:szCs w:val="32"/>
          <w:u w:val="single"/>
          <w14:textFill>
            <w14:solidFill>
              <w14:schemeClr w14:val="tx1"/>
            </w14:solidFill>
          </w14:textFill>
        </w:rPr>
        <w:t>15</w:t>
      </w:r>
      <w:r>
        <w:rPr>
          <w:rFonts w:eastAsia="仿宋_GB2312"/>
          <w:color w:val="000000" w:themeColor="text1"/>
          <w:kern w:val="0"/>
          <w:szCs w:val="32"/>
          <w:u w:val="single"/>
          <w14:textFill>
            <w14:solidFill>
              <w14:schemeClr w14:val="tx1"/>
            </w14:solidFill>
          </w14:textFill>
        </w:rPr>
        <w:t>天</w:t>
      </w:r>
      <w:r>
        <w:rPr>
          <w:rFonts w:eastAsia="仿宋_GB2312"/>
          <w:color w:val="000000" w:themeColor="text1"/>
          <w:kern w:val="0"/>
          <w:szCs w:val="32"/>
          <w14:textFill>
            <w14:solidFill>
              <w14:schemeClr w14:val="tx1"/>
            </w14:solidFill>
          </w14:textFill>
        </w:rPr>
        <w:t>内</w:t>
      </w:r>
      <w:r>
        <w:rPr>
          <w:rFonts w:hint="eastAsia" w:eastAsia="仿宋_GB2312"/>
          <w:color w:val="000000" w:themeColor="text1"/>
          <w:kern w:val="0"/>
          <w:szCs w:val="32"/>
          <w14:textFill>
            <w14:solidFill>
              <w14:schemeClr w14:val="tx1"/>
            </w14:solidFill>
          </w14:textFill>
        </w:rPr>
        <w:t>通过承包人向监理人和发包人申报《工程签证完成确认表》，并附签证指令、完成验收确认资料、签证完成费用等资料。签证手续不完整、不及时的，发包人不予认可，不能作为结算依据；签证手续不得补办，若分包人在变更发生后超过15天（经发包人同意的特殊事项可相应延长15天）仍未办理签证申请，视为自动放弃此部分权利，费用增加部分结算时不再计取，费用减少部分经发包人核定后结算时予以扣减。同时</w:t>
      </w:r>
      <w:r>
        <w:rPr>
          <w:rFonts w:eastAsia="仿宋_GB2312"/>
          <w:color w:val="000000" w:themeColor="text1"/>
          <w:kern w:val="0"/>
          <w:szCs w:val="32"/>
          <w14:textFill>
            <w14:solidFill>
              <w14:schemeClr w14:val="tx1"/>
            </w14:solidFill>
          </w14:textFill>
        </w:rPr>
        <w:t>,分包人每延迟1</w:t>
      </w:r>
      <w:r>
        <w:rPr>
          <w:rFonts w:hint="eastAsia" w:eastAsia="仿宋_GB2312"/>
          <w:color w:val="000000" w:themeColor="text1"/>
          <w:kern w:val="0"/>
          <w:szCs w:val="32"/>
          <w14:textFill>
            <w14:solidFill>
              <w14:schemeClr w14:val="tx1"/>
            </w14:solidFill>
          </w14:textFill>
        </w:rPr>
        <w:t>天申报完成确认的</w:t>
      </w:r>
      <w:r>
        <w:rPr>
          <w:rFonts w:eastAsia="仿宋_GB2312"/>
          <w:color w:val="000000" w:themeColor="text1"/>
          <w:kern w:val="0"/>
          <w:szCs w:val="32"/>
          <w14:textFill>
            <w14:solidFill>
              <w14:schemeClr w14:val="tx1"/>
            </w14:solidFill>
          </w14:textFill>
        </w:rPr>
        <w:t>,按</w:t>
      </w:r>
      <w:r>
        <w:rPr>
          <w:rFonts w:hint="eastAsia" w:eastAsia="仿宋_GB2312"/>
          <w:color w:val="000000" w:themeColor="text1"/>
          <w:kern w:val="0"/>
          <w:szCs w:val="32"/>
          <w:u w:val="single"/>
          <w14:textFill>
            <w14:solidFill>
              <w14:schemeClr w14:val="tx1"/>
            </w14:solidFill>
          </w14:textFill>
        </w:rPr>
        <w:t>3000元/（天.单）</w:t>
      </w:r>
      <w:r>
        <w:rPr>
          <w:rFonts w:eastAsia="仿宋_GB2312"/>
          <w:color w:val="000000" w:themeColor="text1"/>
          <w:kern w:val="0"/>
          <w:szCs w:val="32"/>
          <w14:textFill>
            <w14:solidFill>
              <w14:schemeClr w14:val="tx1"/>
            </w14:solidFill>
          </w14:textFill>
        </w:rPr>
        <w:t>承担违约金,</w:t>
      </w:r>
      <w:r>
        <w:rPr>
          <w:rFonts w:hint="eastAsia" w:eastAsia="仿宋_GB2312"/>
          <w:color w:val="000000" w:themeColor="text1"/>
          <w:kern w:val="0"/>
          <w:szCs w:val="32"/>
          <w14:textFill>
            <w14:solidFill>
              <w14:schemeClr w14:val="tx1"/>
            </w14:solidFill>
          </w14:textFill>
        </w:rPr>
        <w:t>违约金上限</w:t>
      </w:r>
      <w:r>
        <w:rPr>
          <w:rFonts w:eastAsia="仿宋_GB2312"/>
          <w:color w:val="000000" w:themeColor="text1"/>
          <w:kern w:val="0"/>
          <w:szCs w:val="32"/>
          <w14:textFill>
            <w14:solidFill>
              <w14:schemeClr w14:val="tx1"/>
            </w14:solidFill>
          </w14:textFill>
        </w:rPr>
        <w:t>为</w:t>
      </w:r>
      <w:r>
        <w:rPr>
          <w:rFonts w:hint="eastAsia" w:eastAsia="仿宋_GB2312"/>
          <w:color w:val="000000" w:themeColor="text1"/>
          <w:kern w:val="0"/>
          <w:szCs w:val="32"/>
          <w14:textFill>
            <w14:solidFill>
              <w14:schemeClr w14:val="tx1"/>
            </w14:solidFill>
          </w14:textFill>
        </w:rPr>
        <w:t>分包人自动放弃的签证增加费用</w:t>
      </w:r>
      <w:r>
        <w:rPr>
          <w:rFonts w:eastAsia="仿宋_GB2312"/>
          <w:color w:val="000000" w:themeColor="text1"/>
          <w:kern w:val="0"/>
          <w:szCs w:val="32"/>
          <w14:textFill>
            <w14:solidFill>
              <w14:schemeClr w14:val="tx1"/>
            </w14:solidFill>
          </w14:textFill>
        </w:rPr>
        <w:t>。</w:t>
      </w:r>
    </w:p>
    <w:p>
      <w:pPr>
        <w:spacing w:line="360" w:lineRule="auto"/>
        <w:ind w:firstLine="420" w:firstLineChars="200"/>
        <w:jc w:val="left"/>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7）由于承包人根据预留预埋图纸现场实际预留的机电孔洞与分包人实际施工的专业工程图纸不符时，由分包人牵头组织查找、核验差异原因并提出解决建议书面报告承包人、发包人与监理人，若非分包人原因导致的差异而需分包人发生打凿和修补，该部分产生的费用按合同关于工程签证的相关约定予以确认及计量。</w:t>
      </w:r>
    </w:p>
    <w:p>
      <w:pPr>
        <w:spacing w:line="360" w:lineRule="auto"/>
        <w:ind w:firstLine="420" w:firstLineChars="200"/>
        <w:jc w:val="left"/>
        <w:rPr>
          <w:rFonts w:eastAsia="仿宋_GB2312"/>
          <w:color w:val="000000" w:themeColor="text1"/>
          <w:kern w:val="0"/>
          <w:szCs w:val="32"/>
          <w14:textFill>
            <w14:solidFill>
              <w14:schemeClr w14:val="tx1"/>
            </w14:solidFill>
          </w14:textFill>
        </w:rPr>
      </w:pPr>
      <w:r>
        <w:rPr>
          <w:rFonts w:ascii="仿宋_GB2312" w:hAnsi="仿宋" w:eastAsia="仿宋_GB2312"/>
          <w:color w:val="000000" w:themeColor="text1"/>
          <w:szCs w:val="21"/>
          <w14:textFill>
            <w14:solidFill>
              <w14:schemeClr w14:val="tx1"/>
            </w14:solidFill>
          </w14:textFill>
        </w:rPr>
        <w:t>8</w:t>
      </w:r>
      <w:r>
        <w:rPr>
          <w:rFonts w:hint="eastAsia" w:ascii="仿宋_GB2312" w:hAnsi="仿宋" w:eastAsia="仿宋_GB2312"/>
          <w:color w:val="000000" w:themeColor="text1"/>
          <w:szCs w:val="21"/>
          <w14:textFill>
            <w14:solidFill>
              <w14:schemeClr w14:val="tx1"/>
            </w14:solidFill>
          </w14:textFill>
        </w:rPr>
        <w:t>）</w:t>
      </w:r>
      <w:r>
        <w:rPr>
          <w:rFonts w:hint="eastAsia" w:eastAsia="仿宋_GB2312"/>
          <w:color w:val="000000" w:themeColor="text1"/>
          <w:kern w:val="0"/>
          <w:szCs w:val="32"/>
          <w14:textFill>
            <w14:solidFill>
              <w14:schemeClr w14:val="tx1"/>
            </w14:solidFill>
          </w14:textFill>
        </w:rPr>
        <w:t>分包人须按专用条款第1</w:t>
      </w:r>
      <w:r>
        <w:rPr>
          <w:rFonts w:eastAsia="仿宋_GB2312"/>
          <w:color w:val="000000" w:themeColor="text1"/>
          <w:kern w:val="0"/>
          <w:szCs w:val="32"/>
          <w14:textFill>
            <w14:solidFill>
              <w14:schemeClr w14:val="tx1"/>
            </w14:solidFill>
          </w14:textFill>
        </w:rPr>
        <w:t>5条相关要求及时申报</w:t>
      </w:r>
      <w:r>
        <w:rPr>
          <w:rFonts w:hint="eastAsia" w:eastAsia="仿宋_GB2312"/>
          <w:color w:val="000000" w:themeColor="text1"/>
          <w:kern w:val="0"/>
          <w:szCs w:val="32"/>
          <w14:textFill>
            <w14:solidFill>
              <w14:schemeClr w14:val="tx1"/>
            </w14:solidFill>
          </w14:textFill>
        </w:rPr>
        <w:t>变</w:t>
      </w:r>
      <w:r>
        <w:rPr>
          <w:rFonts w:eastAsia="仿宋_GB2312"/>
          <w:color w:val="000000" w:themeColor="text1"/>
          <w:kern w:val="0"/>
          <w:szCs w:val="32"/>
          <w14:textFill>
            <w14:solidFill>
              <w14:schemeClr w14:val="tx1"/>
            </w14:solidFill>
          </w14:textFill>
        </w:rPr>
        <w:t>更申请与变更完成确认资料</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并按设计变更</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现场签证</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其他变更类别建立变更台账</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载明变更编号</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变更事项</w:t>
      </w:r>
      <w:r>
        <w:rPr>
          <w:rFonts w:hint="eastAsia" w:eastAsia="仿宋_GB2312"/>
          <w:color w:val="000000" w:themeColor="text1"/>
          <w:kern w:val="0"/>
          <w:szCs w:val="32"/>
          <w14:textFill>
            <w14:solidFill>
              <w14:schemeClr w14:val="tx1"/>
            </w14:solidFill>
          </w14:textFill>
        </w:rPr>
        <w:t>、变更原因、变更实施与完成日期、</w:t>
      </w:r>
      <w:r>
        <w:rPr>
          <w:rFonts w:eastAsia="仿宋_GB2312"/>
          <w:color w:val="000000" w:themeColor="text1"/>
          <w:kern w:val="0"/>
          <w:szCs w:val="32"/>
          <w14:textFill>
            <w14:solidFill>
              <w14:schemeClr w14:val="tx1"/>
            </w14:solidFill>
          </w14:textFill>
        </w:rPr>
        <w:t>变更金额</w:t>
      </w:r>
      <w:r>
        <w:rPr>
          <w:rFonts w:hint="eastAsia" w:eastAsia="仿宋_GB2312"/>
          <w:color w:val="000000" w:themeColor="text1"/>
          <w:kern w:val="0"/>
          <w:szCs w:val="32"/>
          <w14:textFill>
            <w14:solidFill>
              <w14:schemeClr w14:val="tx1"/>
            </w14:solidFill>
          </w14:textFill>
        </w:rPr>
        <w:t>、变更依据等。分包人应在每月7</w:t>
      </w:r>
      <w:r>
        <w:rPr>
          <w:rFonts w:eastAsia="仿宋_GB2312"/>
          <w:color w:val="000000" w:themeColor="text1"/>
          <w:kern w:val="0"/>
          <w:szCs w:val="32"/>
          <w14:textFill>
            <w14:solidFill>
              <w14:schemeClr w14:val="tx1"/>
            </w14:solidFill>
          </w14:textFill>
        </w:rPr>
        <w:t>日前将上月的变更台账通过承包人报至监理</w:t>
      </w:r>
      <w:r>
        <w:rPr>
          <w:rFonts w:hint="eastAsia" w:eastAsia="仿宋_GB2312"/>
          <w:color w:val="000000" w:themeColor="text1"/>
          <w:kern w:val="0"/>
          <w:szCs w:val="32"/>
          <w14:textFill>
            <w14:solidFill>
              <w14:schemeClr w14:val="tx1"/>
            </w14:solidFill>
          </w14:textFill>
        </w:rPr>
        <w:t>人、</w:t>
      </w:r>
      <w:r>
        <w:rPr>
          <w:rFonts w:eastAsia="仿宋_GB2312"/>
          <w:color w:val="000000" w:themeColor="text1"/>
          <w:kern w:val="0"/>
          <w:szCs w:val="32"/>
          <w14:textFill>
            <w14:solidFill>
              <w14:schemeClr w14:val="tx1"/>
            </w14:solidFill>
          </w14:textFill>
        </w:rPr>
        <w:t>发包人并与发包人核对台账</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但监理</w:t>
      </w:r>
      <w:r>
        <w:rPr>
          <w:rFonts w:hint="eastAsia" w:eastAsia="仿宋_GB2312"/>
          <w:color w:val="000000" w:themeColor="text1"/>
          <w:kern w:val="0"/>
          <w:szCs w:val="32"/>
          <w14:textFill>
            <w14:solidFill>
              <w14:schemeClr w14:val="tx1"/>
            </w14:solidFill>
          </w14:textFill>
        </w:rPr>
        <w:t>人、</w:t>
      </w:r>
      <w:r>
        <w:rPr>
          <w:rFonts w:eastAsia="仿宋_GB2312"/>
          <w:color w:val="000000" w:themeColor="text1"/>
          <w:kern w:val="0"/>
          <w:szCs w:val="32"/>
          <w14:textFill>
            <w14:solidFill>
              <w14:schemeClr w14:val="tx1"/>
            </w14:solidFill>
          </w14:textFill>
        </w:rPr>
        <w:t>发包人收到分包人变更台账的</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并不视为对变更事项或金额的确认</w:t>
      </w:r>
      <w:r>
        <w:rPr>
          <w:rFonts w:hint="eastAsia" w:eastAsia="仿宋_GB2312"/>
          <w:color w:val="000000" w:themeColor="text1"/>
          <w:kern w:val="0"/>
          <w:szCs w:val="32"/>
          <w14:textFill>
            <w14:solidFill>
              <w14:schemeClr w14:val="tx1"/>
            </w14:solidFill>
          </w14:textFill>
        </w:rPr>
        <w:t>；若分包人未及时向监理人、发包人抄报变更台账或台账存在严重质量问题或不配合核对台账的，视情节严重程度，分包人应向承包人按</w:t>
      </w:r>
      <w:r>
        <w:rPr>
          <w:rFonts w:eastAsia="仿宋_GB2312"/>
          <w:color w:val="000000" w:themeColor="text1"/>
          <w:kern w:val="0"/>
          <w:szCs w:val="32"/>
          <w14:textFill>
            <w14:solidFill>
              <w14:schemeClr w14:val="tx1"/>
            </w14:solidFill>
          </w14:textFill>
        </w:rPr>
        <w:t>500</w:t>
      </w:r>
      <w:r>
        <w:rPr>
          <w:rFonts w:hint="eastAsia" w:eastAsia="仿宋_GB2312"/>
          <w:color w:val="000000" w:themeColor="text1"/>
          <w:kern w:val="0"/>
          <w:szCs w:val="32"/>
          <w14:textFill>
            <w14:solidFill>
              <w14:schemeClr w14:val="tx1"/>
            </w14:solidFill>
          </w14:textFill>
        </w:rPr>
        <w:t>~</w:t>
      </w:r>
      <w:r>
        <w:rPr>
          <w:rFonts w:eastAsia="仿宋_GB2312"/>
          <w:color w:val="000000" w:themeColor="text1"/>
          <w:kern w:val="0"/>
          <w:szCs w:val="32"/>
          <w14:textFill>
            <w14:solidFill>
              <w14:schemeClr w14:val="tx1"/>
            </w14:solidFill>
          </w14:textFill>
        </w:rPr>
        <w:t>5000元</w:t>
      </w:r>
      <w:r>
        <w:rPr>
          <w:rFonts w:hint="eastAsia" w:eastAsia="仿宋_GB2312"/>
          <w:color w:val="000000" w:themeColor="text1"/>
          <w:kern w:val="0"/>
          <w:szCs w:val="32"/>
          <w14:textFill>
            <w14:solidFill>
              <w14:schemeClr w14:val="tx1"/>
            </w14:solidFill>
          </w14:textFill>
        </w:rPr>
        <w:t>/次支付违约金。</w:t>
      </w:r>
    </w:p>
    <w:p>
      <w:pPr>
        <w:spacing w:line="360" w:lineRule="auto"/>
        <w:ind w:firstLine="420" w:firstLineChars="200"/>
        <w:jc w:val="left"/>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9</w:t>
      </w:r>
      <w:r>
        <w:rPr>
          <w:rFonts w:hint="eastAsia" w:eastAsia="仿宋_GB2312"/>
          <w:color w:val="000000" w:themeColor="text1"/>
          <w:kern w:val="0"/>
          <w:szCs w:val="32"/>
          <w14:textFill>
            <w14:solidFill>
              <w14:schemeClr w14:val="tx1"/>
            </w14:solidFill>
          </w14:textFill>
        </w:rPr>
        <w:t>）监理单位、发包人代表或发包人现场工程师签署的现场确认变更资料应真实反映现场已完成的实际情况，营造做法内容完整、记录真实、说明详尽、文字表述无异议、图示尺寸准确。该类现场签署确认的变更资料，仅表明对实际发生事实的确认，变更计量计价原则应严格执行合同相关约定 。</w:t>
      </w:r>
    </w:p>
    <w:p>
      <w:pPr>
        <w:spacing w:line="360" w:lineRule="auto"/>
        <w:ind w:firstLine="480" w:firstLineChars="200"/>
        <w:rPr>
          <w:rFonts w:eastAsia="仿宋_GB2312"/>
          <w:color w:val="000000" w:themeColor="text1"/>
          <w:kern w:val="0"/>
          <w:szCs w:val="32"/>
          <w14:textFill>
            <w14:solidFill>
              <w14:schemeClr w14:val="tx1"/>
            </w14:solidFill>
          </w14:textFill>
        </w:rPr>
      </w:pPr>
      <w:r>
        <w:rPr>
          <w:rFonts w:hint="eastAsia" w:ascii="Times New Roman" w:hAnsi="Times New Roman" w:eastAsia="黑体"/>
          <w:bCs/>
          <w:color w:val="000000" w:themeColor="text1"/>
          <w:sz w:val="24"/>
          <w:szCs w:val="32"/>
          <w14:textFill>
            <w14:solidFill>
              <w14:schemeClr w14:val="tx1"/>
            </w14:solidFill>
          </w14:textFill>
        </w:rPr>
        <w:t>1</w:t>
      </w:r>
      <w:r>
        <w:rPr>
          <w:rFonts w:ascii="Times New Roman" w:hAnsi="Times New Roman" w:eastAsia="黑体"/>
          <w:bCs/>
          <w:color w:val="000000" w:themeColor="text1"/>
          <w:sz w:val="24"/>
          <w:szCs w:val="32"/>
          <w14:textFill>
            <w14:solidFill>
              <w14:schemeClr w14:val="tx1"/>
            </w14:solidFill>
          </w14:textFill>
        </w:rPr>
        <w:t xml:space="preserve">5.4. </w:t>
      </w:r>
      <w:r>
        <w:rPr>
          <w:rFonts w:hint="eastAsia" w:ascii="Times New Roman" w:hAnsi="Times New Roman" w:eastAsia="黑体"/>
          <w:bCs/>
          <w:color w:val="000000" w:themeColor="text1"/>
          <w:sz w:val="24"/>
          <w:szCs w:val="32"/>
          <w14:textFill>
            <w14:solidFill>
              <w14:schemeClr w14:val="tx1"/>
            </w14:solidFill>
          </w14:textFill>
        </w:rPr>
        <w:t>不予办理变更或签证的情形</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下列情形的工作内容不予办理工程变更或工程签证：</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1）招标文件及施工合同约定或已包括在合同价款内应由分包人自行承担的；</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2）分包人在投标文件中承诺自行承担的或投标时应预见的风险；</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3）非发包人原因，分包人为了便于组织施工需采取的技术措施的变更或临时工程变更；</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4）由分包人责任造成的工程量增加；</w:t>
      </w:r>
    </w:p>
    <w:p>
      <w:pPr>
        <w:spacing w:line="360" w:lineRule="auto"/>
        <w:ind w:firstLine="420" w:firstLineChars="200"/>
        <w:jc w:val="left"/>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5）法律、法规、规章规定不能办理的。</w:t>
      </w:r>
    </w:p>
    <w:p>
      <w:pPr>
        <w:pStyle w:val="73"/>
        <w:rPr>
          <w:color w:val="000000" w:themeColor="text1"/>
          <w14:textFill>
            <w14:solidFill>
              <w14:schemeClr w14:val="tx1"/>
            </w14:solidFill>
          </w14:textFill>
        </w:rPr>
      </w:pPr>
      <w:bookmarkStart w:id="767" w:name="_Toc91082450"/>
      <w:bookmarkStart w:id="768" w:name="_Toc24599"/>
      <w:bookmarkStart w:id="769" w:name="_Toc44228168"/>
      <w:bookmarkStart w:id="770" w:name="_Toc27433"/>
      <w:bookmarkStart w:id="771" w:name="_Toc44492600"/>
      <w:bookmarkStart w:id="772" w:name="_Toc38987285"/>
      <w:bookmarkStart w:id="773" w:name="_Toc5484"/>
      <w:r>
        <w:rPr>
          <w:rFonts w:hint="eastAsia"/>
          <w:color w:val="000000" w:themeColor="text1"/>
          <w14:textFill>
            <w14:solidFill>
              <w14:schemeClr w14:val="tx1"/>
            </w14:solidFill>
          </w14:textFill>
        </w:rPr>
        <w:t>16.价格调整</w:t>
      </w:r>
      <w:bookmarkEnd w:id="767"/>
      <w:bookmarkEnd w:id="768"/>
      <w:bookmarkEnd w:id="769"/>
      <w:bookmarkEnd w:id="770"/>
      <w:bookmarkEnd w:id="771"/>
      <w:bookmarkEnd w:id="772"/>
      <w:bookmarkEnd w:id="773"/>
    </w:p>
    <w:p>
      <w:pPr>
        <w:pStyle w:val="77"/>
        <w:ind w:firstLine="480"/>
        <w:rPr>
          <w:rFonts w:eastAsia="仿宋_GB2312"/>
          <w:bCs w:val="0"/>
          <w:color w:val="000000" w:themeColor="text1"/>
          <w:kern w:val="0"/>
          <w:sz w:val="21"/>
          <w14:textFill>
            <w14:solidFill>
              <w14:schemeClr w14:val="tx1"/>
            </w14:solidFill>
          </w14:textFill>
        </w:rPr>
      </w:pPr>
      <w:bookmarkStart w:id="774" w:name="_Toc615"/>
      <w:bookmarkStart w:id="775" w:name="_Toc1376"/>
      <w:bookmarkStart w:id="776" w:name="_Toc44492601"/>
      <w:r>
        <w:rPr>
          <w:rFonts w:hint="eastAsia"/>
          <w:color w:val="000000" w:themeColor="text1"/>
          <w14:textFill>
            <w14:solidFill>
              <w14:schemeClr w14:val="tx1"/>
            </w14:solidFill>
          </w14:textFill>
        </w:rPr>
        <w:t>16.1 物价波动引起的价格调整</w:t>
      </w:r>
      <w:bookmarkEnd w:id="774"/>
      <w:bookmarkEnd w:id="775"/>
      <w:bookmarkEnd w:id="776"/>
      <w:r>
        <w:rPr>
          <w:rFonts w:hint="eastAsia"/>
          <w:color w:val="000000" w:themeColor="text1"/>
          <w14:textFill>
            <w14:solidFill>
              <w14:schemeClr w14:val="tx1"/>
            </w14:solidFill>
          </w14:textFill>
        </w:rPr>
        <w:t>：</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16.1</w:t>
      </w:r>
      <w:r>
        <w:rPr>
          <w:rFonts w:eastAsia="仿宋_GB2312"/>
          <w:color w:val="000000" w:themeColor="text1"/>
          <w:kern w:val="0"/>
          <w:szCs w:val="32"/>
          <w14:textFill>
            <w14:solidFill>
              <w14:schemeClr w14:val="tx1"/>
            </w14:solidFill>
          </w14:textFill>
        </w:rPr>
        <w:t>物价波动引起的价格调整</w:t>
      </w:r>
      <w:r>
        <w:rPr>
          <w:rFonts w:hint="eastAsia" w:eastAsia="仿宋_GB2312"/>
          <w:color w:val="000000" w:themeColor="text1"/>
          <w:kern w:val="0"/>
          <w:szCs w:val="32"/>
          <w14:textFill>
            <w14:solidFill>
              <w14:schemeClr w14:val="tx1"/>
            </w14:solidFill>
          </w14:textFill>
        </w:rPr>
        <w:t>：</w:t>
      </w:r>
      <w:r>
        <w:rPr>
          <w:rFonts w:hint="eastAsia" w:ascii="楷体_GB2312" w:eastAsia="楷体_GB2312"/>
          <w:color w:val="000000" w:themeColor="text1"/>
          <w:szCs w:val="34"/>
          <w14:textFill>
            <w14:solidFill>
              <w14:schemeClr w14:val="tx1"/>
            </w14:solidFill>
          </w14:textFill>
        </w:rPr>
        <w:t>合同履行期间不因物价波动而调整合同价格。</w:t>
      </w:r>
    </w:p>
    <w:p>
      <w:pPr>
        <w:pStyle w:val="77"/>
        <w:ind w:firstLine="480"/>
        <w:rPr>
          <w:color w:val="000000" w:themeColor="text1"/>
          <w14:textFill>
            <w14:solidFill>
              <w14:schemeClr w14:val="tx1"/>
            </w14:solidFill>
          </w14:textFill>
        </w:rPr>
      </w:pPr>
      <w:bookmarkStart w:id="777" w:name="_Toc511"/>
      <w:bookmarkStart w:id="778" w:name="_Toc21708"/>
      <w:bookmarkStart w:id="779" w:name="_Toc44492602"/>
      <w:r>
        <w:rPr>
          <w:rFonts w:hint="eastAsia"/>
          <w:color w:val="000000" w:themeColor="text1"/>
          <w14:textFill>
            <w14:solidFill>
              <w14:schemeClr w14:val="tx1"/>
            </w14:solidFill>
          </w14:textFill>
        </w:rPr>
        <w:t>16.2价格不予调整的情形</w:t>
      </w:r>
      <w:bookmarkEnd w:id="777"/>
      <w:bookmarkEnd w:id="778"/>
      <w:bookmarkEnd w:id="77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16.2.1 分包人在投标报价时及签订本合同前已对本工程的全部招标文件、工程所在地周围环境、交通道路、现场地质资料、周围地下管网等情况详细研究，投标报价中已按招标文件和合同条款及施工组织设计中的工程承包范围、质量标准、工期、付款条件、临设要求、安全维护、文明施工措施等要求充分考虑了人工、材料、机械、包装运输、施工技术、成品保护、甲供材料保管、设备调试、检验试验、验收、样品、管理、利润、税金并已考虑垃圾排放（包括建筑垃圾）、冬雨季气候条件等价格风险因素（合同约定因物价波动引起的可进行价格调整的除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16.2.2任何合同综合单价中对分包人不利的组价不当或差错（包括但不限于工作内容理解的偏差、工料耗量水平的确定、生产要素市场价格的判断、取费等）等，均视为分包人采取投标技巧将相关费用包含在相应的综合单价中，结算时不作调整（合同另有约定的除外）。按独立费计价的项目（即不按定额计价的子目）不在上述调价范围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16.2.3因分包人的成员、雇员、分包人及进入施工现场的其它各方发生的各种事故、异常事件、人身伤害等给分包人造成的任何支出和损失均由分包人承担，分包人不得以此向发包人要求增加费用。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16.2.4 除非发生本合</w:t>
      </w:r>
      <w:r>
        <w:rPr>
          <w:color w:val="000000" w:themeColor="text1"/>
          <w14:textFill>
            <w14:solidFill>
              <w14:schemeClr w14:val="tx1"/>
            </w14:solidFill>
          </w14:textFill>
        </w:rPr>
        <w:t>同</w:t>
      </w:r>
      <w:r>
        <w:rPr>
          <w:rFonts w:hint="eastAsia"/>
          <w:color w:val="000000" w:themeColor="text1"/>
          <w14:textFill>
            <w14:solidFill>
              <w14:schemeClr w14:val="tx1"/>
            </w14:solidFill>
          </w14:textFill>
        </w:rPr>
        <w:t>规定的不可抗力事件外，因分包人原因导致的任何支出和损失均由分包人承担，分包人不得以此向发包人要求增加费用。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16.2.5 由分包人负责完成的图纸深化设计、施工组织设计等存在缺陷造成的任何支出，由分包人承担，即使此类内容已经获得发包人的审批。</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16.2.6. 发包人提供暂估价（含暂估材料、工程设备价）不适用以上调差约定。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16.2.7 风险费用包括在已标价的工程量及单价清单所列各项目的综合单价及报价中，不得调整。</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16.2.8 其他约定事项：</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w:t>
      </w:r>
    </w:p>
    <w:p>
      <w:pPr>
        <w:pStyle w:val="77"/>
        <w:ind w:firstLine="480"/>
        <w:rPr>
          <w:color w:val="000000" w:themeColor="text1"/>
          <w14:textFill>
            <w14:solidFill>
              <w14:schemeClr w14:val="tx1"/>
            </w14:solidFill>
          </w14:textFill>
        </w:rPr>
      </w:pPr>
      <w:bookmarkStart w:id="780" w:name="_Toc44492603"/>
      <w:bookmarkStart w:id="781" w:name="_Toc22042"/>
      <w:bookmarkStart w:id="782" w:name="_Toc30626"/>
      <w:r>
        <w:rPr>
          <w:rFonts w:hint="eastAsia"/>
          <w:color w:val="000000" w:themeColor="text1"/>
          <w14:textFill>
            <w14:solidFill>
              <w14:schemeClr w14:val="tx1"/>
            </w14:solidFill>
          </w14:textFill>
        </w:rPr>
        <w:t>16.3  价格调整的补充说明</w:t>
      </w:r>
      <w:bookmarkEnd w:id="780"/>
      <w:bookmarkEnd w:id="781"/>
      <w:bookmarkEnd w:id="78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16.3.1 不平衡报价的认定标准及修正办法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（1）不平衡报价的认定标准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不平衡报价指本合同已标价工程量清单的综合单价与按在广州市建设工程造价监管平台备案的招标控制价的对应清单子目综合单价）*投标净下浮率后的价格相比，超出</w:t>
      </w:r>
      <w:r>
        <w:rPr>
          <w:rFonts w:hint="eastAsia"/>
          <w:color w:val="000000" w:themeColor="text1"/>
          <w:u w:val="single"/>
          <w14:textFill>
            <w14:solidFill>
              <w14:schemeClr w14:val="tx1"/>
            </w14:solidFill>
          </w14:textFill>
        </w:rPr>
        <w:t>±</w:t>
      </w:r>
      <w:r>
        <w:rPr>
          <w:color w:val="000000" w:themeColor="text1"/>
          <w:u w:val="single"/>
          <w14:textFill>
            <w14:solidFill>
              <w14:schemeClr w14:val="tx1"/>
            </w14:solidFill>
          </w14:textFill>
        </w:rPr>
        <w:t>30</w:t>
      </w:r>
      <w:r>
        <w:rPr>
          <w:rFonts w:hint="eastAsia"/>
          <w:color w:val="000000" w:themeColor="text1"/>
          <w:u w:val="single"/>
          <w14:textFill>
            <w14:solidFill>
              <w14:schemeClr w14:val="tx1"/>
            </w14:solidFill>
          </w14:textFill>
        </w:rPr>
        <w:t>%</w:t>
      </w:r>
      <w:r>
        <w:rPr>
          <w:rFonts w:hint="eastAsia"/>
          <w:color w:val="000000" w:themeColor="text1"/>
          <w14:textFill>
            <w14:solidFill>
              <w14:schemeClr w14:val="tx1"/>
            </w14:solidFill>
          </w14:textFill>
        </w:rPr>
        <w:t>的清单项目综合单价，或发包人有对标证据或合理解释证明明显高于市场合理价格的分包人清单项目综合单价。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（2）不平衡报价的修正办法</w:t>
      </w:r>
    </w:p>
    <w:p>
      <w:pPr>
        <w:pStyle w:val="52"/>
        <w:ind w:firstLine="420"/>
        <w:rPr>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①</w:t>
      </w:r>
      <w:r>
        <w:rPr>
          <w:rFonts w:hint="eastAsia"/>
          <w:color w:val="000000" w:themeColor="text1"/>
          <w14:textFill>
            <w14:solidFill>
              <w14:schemeClr w14:val="tx1"/>
            </w14:solidFill>
          </w14:textFill>
        </w:rPr>
        <w:t>当不平衡报价清单项目的履约实际工程量超出已标价工程量清单不平衡报价清单项目工程量时，发包人有权直接对超出的工程量的综合单价进行修订，承包人、分包人须无条件配合并按修订后价格计价。若分包人拒不按修订后价格履约的，应按不平衡报价修订前与修订后合同价格差额的2倍向发包人支付违约金。</w:t>
      </w:r>
    </w:p>
    <w:p>
      <w:pPr>
        <w:pStyle w:val="52"/>
        <w:ind w:firstLine="420"/>
        <w:rPr>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②</w:t>
      </w:r>
      <w:r>
        <w:rPr>
          <w:rFonts w:hint="eastAsia"/>
          <w:color w:val="000000" w:themeColor="text1"/>
          <w14:textFill>
            <w14:solidFill>
              <w14:schemeClr w14:val="tx1"/>
            </w14:solidFill>
          </w14:textFill>
        </w:rPr>
        <w:t>修正原则：招标控制价的对应清单子目综合单价*（1-投标净下浮率）为修正后的综合单价；若招标控制价的清单子目综合单价有明显错误的，则按本合同专用条款第15.2.1项第3）目原则确定修正后的综合单位；本工程竣工结算时，不平衡报价清单项目超出已标价工程量清单相应项目工程量的综合单价按修正后综合单价据实结算，若发生变更的，按第15.2.1项约定执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u w:val="single"/>
          <w14:textFill>
            <w14:solidFill>
              <w14:schemeClr w14:val="tx1"/>
            </w14:solidFill>
          </w14:textFill>
        </w:rPr>
        <w:t>应报而漏报或报价为零的清单项目，则视为其价格已含在签约合同价格中，发包人将不另行支付费用。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16.3.2 政策影响的合同价格调整</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（1）截标日至本合同签署前发生增值税政策性调整的，调整后签约合同价格=不含增值税的中标金额*（1+政策调整后的增值税税率）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（2）当合同履约期间发生政策性调整增值税税率时，分包人提供增值税专用发票的增值税税率应按政策性调整后的税率执行；若分包人拒绝执行或不积极配合执行的，自行承担付款延期责任及其相关违约责任。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合同价格=政策性税率调整执行前累计已支付的不含税工程价款*（1+原合同增值税税率）+政策性税率调整执行时未支付的不含税工程价款*（1+政策性调整后的增值税税率）</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16.3.</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其他约定事项</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w:t>
      </w:r>
    </w:p>
    <w:p>
      <w:pPr>
        <w:pStyle w:val="73"/>
        <w:rPr>
          <w:color w:val="000000" w:themeColor="text1"/>
          <w14:textFill>
            <w14:solidFill>
              <w14:schemeClr w14:val="tx1"/>
            </w14:solidFill>
          </w14:textFill>
        </w:rPr>
      </w:pPr>
      <w:bookmarkStart w:id="783" w:name="_Toc38987286"/>
      <w:bookmarkStart w:id="784" w:name="_Toc44492604"/>
      <w:bookmarkStart w:id="785" w:name="_Toc7487"/>
      <w:bookmarkStart w:id="786" w:name="_Toc12032"/>
      <w:bookmarkStart w:id="787" w:name="_Toc8652"/>
      <w:bookmarkStart w:id="788" w:name="_Toc44228169"/>
      <w:bookmarkStart w:id="789" w:name="_Toc91082451"/>
      <w:r>
        <w:rPr>
          <w:rFonts w:hint="eastAsia"/>
          <w:color w:val="000000" w:themeColor="text1"/>
          <w14:textFill>
            <w14:solidFill>
              <w14:schemeClr w14:val="tx1"/>
            </w14:solidFill>
          </w14:textFill>
        </w:rPr>
        <w:t>17.计量与支付</w:t>
      </w:r>
      <w:bookmarkEnd w:id="783"/>
      <w:bookmarkEnd w:id="784"/>
      <w:bookmarkEnd w:id="785"/>
      <w:bookmarkEnd w:id="786"/>
      <w:bookmarkEnd w:id="787"/>
      <w:bookmarkEnd w:id="788"/>
      <w:bookmarkEnd w:id="789"/>
    </w:p>
    <w:p>
      <w:pPr>
        <w:pStyle w:val="77"/>
        <w:ind w:firstLine="480"/>
        <w:rPr>
          <w:color w:val="000000" w:themeColor="text1"/>
          <w14:textFill>
            <w14:solidFill>
              <w14:schemeClr w14:val="tx1"/>
            </w14:solidFill>
          </w14:textFill>
        </w:rPr>
      </w:pPr>
      <w:bookmarkStart w:id="790" w:name="_Toc44492605"/>
      <w:bookmarkStart w:id="791" w:name="_Toc28599"/>
      <w:bookmarkStart w:id="792" w:name="_Toc32282"/>
      <w:r>
        <w:rPr>
          <w:rFonts w:hint="eastAsia"/>
          <w:color w:val="000000" w:themeColor="text1"/>
          <w14:textFill>
            <w14:solidFill>
              <w14:schemeClr w14:val="tx1"/>
            </w14:solidFill>
          </w14:textFill>
        </w:rPr>
        <w:t>17.1. 计量</w:t>
      </w:r>
      <w:bookmarkEnd w:id="790"/>
      <w:bookmarkEnd w:id="791"/>
      <w:bookmarkEnd w:id="792"/>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17.1.1. 分包人通过承包人向发包人提交已完工程量报告的时间：</w:t>
      </w:r>
      <w:r>
        <w:rPr>
          <w:rFonts w:hint="eastAsia"/>
          <w:color w:val="000000" w:themeColor="text1"/>
          <w:u w:val="single"/>
          <w14:textFill>
            <w14:solidFill>
              <w14:schemeClr w14:val="tx1"/>
            </w14:solidFill>
          </w14:textFill>
        </w:rPr>
        <w:t xml:space="preserve"> 满足</w:t>
      </w:r>
      <w:r>
        <w:rPr>
          <w:rFonts w:hint="eastAsia" w:hAnsi="宋体"/>
          <w:color w:val="000000" w:themeColor="text1"/>
          <w:u w:val="single"/>
          <w14:textFill>
            <w14:solidFill>
              <w14:schemeClr w14:val="tx1"/>
            </w14:solidFill>
          </w14:textFill>
        </w:rPr>
        <w:t>每</w:t>
      </w:r>
      <w:r>
        <w:rPr>
          <w:rFonts w:hint="eastAsia"/>
          <w:color w:val="000000" w:themeColor="text1"/>
          <w:u w:val="single"/>
          <w14:textFill>
            <w14:solidFill>
              <w14:schemeClr w14:val="tx1"/>
            </w14:solidFill>
          </w14:textFill>
        </w:rPr>
        <w:t>期支付节点之日起</w:t>
      </w:r>
      <w:r>
        <w:rPr>
          <w:rFonts w:hint="eastAsia" w:hAnsi="宋体"/>
          <w:color w:val="000000" w:themeColor="text1"/>
          <w:u w:val="single"/>
          <w14:textFill>
            <w14:solidFill>
              <w14:schemeClr w14:val="tx1"/>
            </w14:solidFill>
          </w14:textFill>
        </w:rPr>
        <w:t>3日内，分包人通过承包人向监理人和发包人提交当期完成工作量统计报表</w:t>
      </w:r>
      <w:r>
        <w:rPr>
          <w:rFonts w:hint="eastAsia"/>
          <w:color w:val="000000" w:themeColor="text1"/>
          <w:u w:val="single"/>
          <w14:textFill>
            <w14:solidFill>
              <w14:schemeClr w14:val="tx1"/>
            </w14:solidFill>
          </w14:textFill>
        </w:rPr>
        <w:t>、已完工程造价明细资料、付款申请及附件资料等，并列明当期完成工作量对应的进度款</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17.1.4.工程量计算规则确定方式按合同附件</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“已标价工程量清单”中的“投标报价须知”的相关规定执行。</w:t>
      </w:r>
    </w:p>
    <w:p>
      <w:pPr>
        <w:pStyle w:val="77"/>
        <w:ind w:firstLine="480"/>
        <w:rPr>
          <w:color w:val="000000" w:themeColor="text1"/>
          <w14:textFill>
            <w14:solidFill>
              <w14:schemeClr w14:val="tx1"/>
            </w14:solidFill>
          </w14:textFill>
        </w:rPr>
      </w:pPr>
      <w:bookmarkStart w:id="793" w:name="_Toc3353"/>
      <w:bookmarkStart w:id="794" w:name="_Toc26057"/>
      <w:bookmarkStart w:id="795" w:name="_Toc44492606"/>
      <w:r>
        <w:rPr>
          <w:rFonts w:hint="eastAsia"/>
          <w:color w:val="000000" w:themeColor="text1"/>
          <w14:textFill>
            <w14:solidFill>
              <w14:schemeClr w14:val="tx1"/>
            </w14:solidFill>
          </w14:textFill>
        </w:rPr>
        <w:t>17.2.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工程价款</w:t>
      </w:r>
      <w:bookmarkEnd w:id="793"/>
      <w:bookmarkEnd w:id="794"/>
      <w:bookmarkEnd w:id="795"/>
    </w:p>
    <w:p>
      <w:pPr>
        <w:pStyle w:val="52"/>
        <w:ind w:firstLine="420"/>
        <w:rPr>
          <w:rFonts w:hAnsi="宋体"/>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17.2.1. </w:t>
      </w:r>
      <w:r>
        <w:rPr>
          <w:rFonts w:hint="eastAsia" w:hAnsi="宋体"/>
          <w:color w:val="000000" w:themeColor="text1"/>
          <w14:textFill>
            <w14:solidFill>
              <w14:schemeClr w14:val="tx1"/>
            </w14:solidFill>
          </w14:textFill>
        </w:rPr>
        <w:t>本合同价格包干方式为：分部分项工程及模板工程和脚手架工程以综合单价包干，措施项目（以费率计算的绿色施工安全防护措施费、模板工程和脚手架工程除外）固定总价包干；以费率计算的绿色施工安全防护措施费和其他项目费以综合费率包干；绿色施工安全防护措施费如按合同计算的费率超出定额规定的费率时，进度支付和结算按定额规定的费率计算；如按合同计算的费率低于定额规定的费率时，则按合同计算的费率计算。</w:t>
      </w:r>
    </w:p>
    <w:p>
      <w:pPr>
        <w:pStyle w:val="52"/>
        <w:ind w:firstLine="42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综合单价指完成工程量清单中一个规定计量单位按照施工图要求完成所有工作内容所需的费用，包括但不限于完成该规定清单项目所需的人工费、材料费和工程设备费、施工机具使用费、专利费用、扰民费、保险费、检验试验费（第三方检测除外）、赶工费和企业管理费、利润，以及合同明示或默示的风险费用等，综合单价除合同约定可调情况外不可调整。</w:t>
      </w:r>
    </w:p>
    <w:p>
      <w:pPr>
        <w:pStyle w:val="52"/>
        <w:ind w:firstLine="420"/>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通用条款第1）、2）、3）目不适用。</w:t>
      </w:r>
    </w:p>
    <w:p>
      <w:pPr>
        <w:pStyle w:val="52"/>
        <w:ind w:firstLine="42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 xml:space="preserve">4） 风险费用的计算方法： </w:t>
      </w:r>
      <w:r>
        <w:rPr>
          <w:rFonts w:hint="eastAsia"/>
          <w:color w:val="000000" w:themeColor="text1"/>
          <w:u w:val="single"/>
          <w14:textFill>
            <w14:solidFill>
              <w14:schemeClr w14:val="tx1"/>
            </w14:solidFill>
          </w14:textFill>
        </w:rPr>
        <w:t>已包含在本合同价格（包括但不限于固定综合单价、固定费率等）中，风险范围包括但不限于如下内容：</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①人工、设备、材料、施工机械使用费的市场价格变化（合同另有明确约定的除外）；</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②图纸虽未明确表示但按国家或地方规范必须实施的内容；</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③分包人投标时应报而漏报或报价为零或不平衡报价的清单项目；</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 xml:space="preserve"> ④分包人通常可以预料的风险；</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⑤合同中约定的其他属于分包人承担的风险。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5）其他可调整合同价款的情形：</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①图纸与已标价的工程量清单不一致的；</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②经设计人确认且发包人同意的设计变更；</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③经发包人确认的签证；</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④双方在本合同中约定可调整合同价款的其他情形。</w:t>
      </w:r>
    </w:p>
    <w:p>
      <w:pPr>
        <w:pStyle w:val="52"/>
        <w:ind w:firstLine="422"/>
        <w:rPr>
          <w:b/>
          <w:color w:val="000000" w:themeColor="text1"/>
          <w:u w:val="single"/>
          <w14:textFill>
            <w14:solidFill>
              <w14:schemeClr w14:val="tx1"/>
            </w14:solidFill>
          </w14:textFill>
        </w:rPr>
      </w:pPr>
      <w:r>
        <w:rPr>
          <w:b/>
          <w:color w:val="000000" w:themeColor="text1"/>
          <w:u w:val="single"/>
          <w14:textFill>
            <w14:solidFill>
              <w14:schemeClr w14:val="tx1"/>
            </w14:solidFill>
          </w14:textFill>
        </w:rPr>
        <w:t xml:space="preserve">17.2.2 </w:t>
      </w:r>
      <w:r>
        <w:rPr>
          <w:rFonts w:hint="eastAsia"/>
          <w:b/>
          <w:color w:val="000000" w:themeColor="text1"/>
          <w:u w:val="single"/>
          <w14:textFill>
            <w14:solidFill>
              <w14:schemeClr w14:val="tx1"/>
            </w14:solidFill>
          </w14:textFill>
        </w:rPr>
        <w:t>工程款支付方式</w:t>
      </w:r>
    </w:p>
    <w:p>
      <w:pPr>
        <w:pStyle w:val="52"/>
        <w:ind w:firstLine="422"/>
        <w:rPr>
          <w:b/>
          <w:color w:val="000000" w:themeColor="text1"/>
          <w:u w:val="single"/>
          <w14:textFill>
            <w14:solidFill>
              <w14:schemeClr w14:val="tx1"/>
            </w14:solidFill>
          </w14:textFill>
        </w:rPr>
      </w:pPr>
      <w:r>
        <w:rPr>
          <w:rFonts w:hint="eastAsia"/>
          <w:b/>
          <w:color w:val="000000" w:themeColor="text1"/>
          <w:u w:val="single"/>
          <w14:textFill>
            <w14:solidFill>
              <w14:schemeClr w14:val="tx1"/>
            </w14:solidFill>
          </w14:textFill>
        </w:rPr>
        <w:t>1）合同每期含税应付工程款50%采用现金支付；50%非现金支付，账期为6个月。</w:t>
      </w:r>
    </w:p>
    <w:p>
      <w:pPr>
        <w:pStyle w:val="52"/>
        <w:ind w:firstLine="422"/>
        <w:rPr>
          <w:b/>
          <w:color w:val="000000" w:themeColor="text1"/>
          <w:u w:val="single"/>
          <w14:textFill>
            <w14:solidFill>
              <w14:schemeClr w14:val="tx1"/>
            </w14:solidFill>
          </w14:textFill>
        </w:rPr>
      </w:pPr>
      <w:r>
        <w:rPr>
          <w:rFonts w:hint="eastAsia"/>
          <w:b/>
          <w:color w:val="000000" w:themeColor="text1"/>
          <w:u w:val="single"/>
          <w14:textFill>
            <w14:solidFill>
              <w14:schemeClr w14:val="tx1"/>
            </w14:solidFill>
          </w14:textFill>
        </w:rPr>
        <w:t>2）采用非现金支付，分包人在商业承兑汇票、供应链票据到期前进行贴现的，所有贴现相关费用由分包人自行承担；分包人将上述账期内对应的应收账款转让给保理公司进行保理融资的，由分包人与保理公司另行签署保理融资协议或合同，所有保理相关费用由分包人自行承担。</w:t>
      </w:r>
    </w:p>
    <w:p>
      <w:pPr>
        <w:pStyle w:val="52"/>
        <w:ind w:firstLine="422"/>
        <w:rPr>
          <w:b/>
          <w:color w:val="000000" w:themeColor="text1"/>
          <w:u w:val="single"/>
          <w14:textFill>
            <w14:solidFill>
              <w14:schemeClr w14:val="tx1"/>
            </w14:solidFill>
          </w14:textFill>
        </w:rPr>
      </w:pPr>
      <w:r>
        <w:rPr>
          <w:rFonts w:hint="eastAsia"/>
          <w:b/>
          <w:color w:val="000000" w:themeColor="text1"/>
          <w:u w:val="single"/>
          <w14:textFill>
            <w14:solidFill>
              <w14:schemeClr w14:val="tx1"/>
            </w14:solidFill>
          </w14:textFill>
        </w:rPr>
        <w:t>3）在发包人根据与承包人签署的承包合同向承包人支付本工程项目合同款（含非现金支付部分）前，承包人须向发包人提供经发包人审核同意的足额增值税专用发票；承包人根据与发包人签署的承包合同及本合同约定向分包人付款（含非现金支付部分）前，分包人应提供符合相关税收法规要求的发票。发包人采用非现金支付方式的，承包人、分包人同意无条件配合办理开具商业承兑汇票、供应链票据/凭证等支付工具的相关手续，否则视同违约，发包人可延后办理对应非现金付款手续且不承担任何责任。</w:t>
      </w:r>
    </w:p>
    <w:p>
      <w:pPr>
        <w:pStyle w:val="52"/>
        <w:ind w:firstLine="422"/>
        <w:rPr>
          <w:b/>
          <w:color w:val="000000" w:themeColor="text1"/>
          <w:u w:val="single"/>
          <w14:textFill>
            <w14:solidFill>
              <w14:schemeClr w14:val="tx1"/>
            </w14:solidFill>
          </w14:textFill>
        </w:rPr>
      </w:pPr>
      <w:r>
        <w:rPr>
          <w:rFonts w:hint="eastAsia"/>
          <w:b/>
          <w:color w:val="000000" w:themeColor="text1"/>
          <w:u w:val="single"/>
          <w14:textFill>
            <w14:solidFill>
              <w14:schemeClr w14:val="tx1"/>
            </w14:solidFill>
          </w14:textFill>
        </w:rPr>
        <w:t>4）支付每期应付合同款时，对本工程5</w:t>
      </w:r>
      <w:r>
        <w:rPr>
          <w:b/>
          <w:color w:val="000000" w:themeColor="text1"/>
          <w:u w:val="single"/>
          <w14:textFill>
            <w14:solidFill>
              <w14:schemeClr w14:val="tx1"/>
            </w14:solidFill>
          </w14:textFill>
        </w:rPr>
        <w:t>0</w:t>
      </w:r>
      <w:r>
        <w:rPr>
          <w:rFonts w:hint="eastAsia"/>
          <w:b/>
          <w:color w:val="000000" w:themeColor="text1"/>
          <w:u w:val="single"/>
          <w14:textFill>
            <w14:solidFill>
              <w14:schemeClr w14:val="tx1"/>
            </w14:solidFill>
          </w14:textFill>
        </w:rPr>
        <w:t>%</w:t>
      </w:r>
      <w:r>
        <w:rPr>
          <w:b/>
          <w:color w:val="000000" w:themeColor="text1"/>
          <w:u w:val="single"/>
          <w14:textFill>
            <w14:solidFill>
              <w14:schemeClr w14:val="tx1"/>
            </w14:solidFill>
          </w14:textFill>
        </w:rPr>
        <w:t>的非现金支付合同价款</w:t>
      </w:r>
      <w:r>
        <w:rPr>
          <w:rFonts w:hint="eastAsia"/>
          <w:b/>
          <w:color w:val="000000" w:themeColor="text1"/>
          <w:u w:val="single"/>
          <w14:textFill>
            <w14:solidFill>
              <w14:schemeClr w14:val="tx1"/>
            </w14:solidFill>
          </w14:textFill>
        </w:rPr>
        <w:t>：如在发包人与承包人签署的承包合同项下发包人选择商业承兑汇票或供应链票据/凭证方式向承包人支付的，承包人需将发包人开具的商业承兑汇票或供应链票据直接背书或转让予分包人；如在发包人与承包人签署的承包合同项下发包人选择使用现金方式向承包人支付的，承包人亦应采用现金支付方式向分包人支付，承包人与分包人无条件同意，按该5</w:t>
      </w:r>
      <w:r>
        <w:rPr>
          <w:b/>
          <w:color w:val="000000" w:themeColor="text1"/>
          <w:u w:val="single"/>
          <w14:textFill>
            <w14:solidFill>
              <w14:schemeClr w14:val="tx1"/>
            </w14:solidFill>
          </w14:textFill>
        </w:rPr>
        <w:t>0</w:t>
      </w:r>
      <w:r>
        <w:rPr>
          <w:rFonts w:hint="eastAsia"/>
          <w:b/>
          <w:color w:val="000000" w:themeColor="text1"/>
          <w:u w:val="single"/>
          <w14:textFill>
            <w14:solidFill>
              <w14:schemeClr w14:val="tx1"/>
            </w14:solidFill>
          </w14:textFill>
        </w:rPr>
        <w:t>%</w:t>
      </w:r>
      <w:r>
        <w:rPr>
          <w:b/>
          <w:color w:val="000000" w:themeColor="text1"/>
          <w:u w:val="single"/>
          <w14:textFill>
            <w14:solidFill>
              <w14:schemeClr w14:val="tx1"/>
            </w14:solidFill>
          </w14:textFill>
        </w:rPr>
        <w:t>非现金支付合同价款的</w:t>
      </w:r>
      <w:r>
        <w:rPr>
          <w:rFonts w:hint="eastAsia"/>
          <w:b/>
          <w:color w:val="000000" w:themeColor="text1"/>
          <w:u w:val="single"/>
          <w14:textFill>
            <w14:solidFill>
              <w14:schemeClr w14:val="tx1"/>
            </w14:solidFill>
          </w14:textFill>
        </w:rPr>
        <w:t>9</w:t>
      </w:r>
      <w:r>
        <w:rPr>
          <w:b/>
          <w:color w:val="000000" w:themeColor="text1"/>
          <w:u w:val="single"/>
          <w14:textFill>
            <w14:solidFill>
              <w14:schemeClr w14:val="tx1"/>
            </w14:solidFill>
          </w14:textFill>
        </w:rPr>
        <w:t>7.5</w:t>
      </w:r>
      <w:r>
        <w:rPr>
          <w:rFonts w:hint="eastAsia"/>
          <w:b/>
          <w:color w:val="000000" w:themeColor="text1"/>
          <w:u w:val="single"/>
          <w14:textFill>
            <w14:solidFill>
              <w14:schemeClr w14:val="tx1"/>
            </w14:solidFill>
          </w14:textFill>
        </w:rPr>
        <w:t>%</w:t>
      </w:r>
      <w:r>
        <w:rPr>
          <w:b/>
          <w:color w:val="000000" w:themeColor="text1"/>
          <w:u w:val="single"/>
          <w14:textFill>
            <w14:solidFill>
              <w14:schemeClr w14:val="tx1"/>
            </w14:solidFill>
          </w14:textFill>
        </w:rPr>
        <w:t>支付该期应付合同款的非现金支付部分</w:t>
      </w:r>
      <w:r>
        <w:rPr>
          <w:rFonts w:hint="eastAsia"/>
          <w:b/>
          <w:color w:val="000000" w:themeColor="text1"/>
          <w:u w:val="single"/>
          <w14:textFill>
            <w14:solidFill>
              <w14:schemeClr w14:val="tx1"/>
            </w14:solidFill>
          </w14:textFill>
        </w:rPr>
        <w:t>，</w:t>
      </w:r>
      <w:r>
        <w:rPr>
          <w:b/>
          <w:color w:val="000000" w:themeColor="text1"/>
          <w:u w:val="single"/>
          <w14:textFill>
            <w14:solidFill>
              <w14:schemeClr w14:val="tx1"/>
            </w14:solidFill>
          </w14:textFill>
        </w:rPr>
        <w:t>并确认该期应付合同款的</w:t>
      </w:r>
      <w:r>
        <w:rPr>
          <w:rFonts w:hint="eastAsia"/>
          <w:b/>
          <w:color w:val="000000" w:themeColor="text1"/>
          <w:u w:val="single"/>
          <w14:textFill>
            <w14:solidFill>
              <w14:schemeClr w14:val="tx1"/>
            </w14:solidFill>
          </w14:textFill>
        </w:rPr>
        <w:t>5</w:t>
      </w:r>
      <w:r>
        <w:rPr>
          <w:b/>
          <w:color w:val="000000" w:themeColor="text1"/>
          <w:u w:val="single"/>
          <w14:textFill>
            <w14:solidFill>
              <w14:schemeClr w14:val="tx1"/>
            </w14:solidFill>
          </w14:textFill>
        </w:rPr>
        <w:t>0</w:t>
      </w:r>
      <w:r>
        <w:rPr>
          <w:rFonts w:hint="eastAsia"/>
          <w:b/>
          <w:color w:val="000000" w:themeColor="text1"/>
          <w:u w:val="single"/>
          <w14:textFill>
            <w14:solidFill>
              <w14:schemeClr w14:val="tx1"/>
            </w14:solidFill>
          </w14:textFill>
        </w:rPr>
        <w:t>%</w:t>
      </w:r>
      <w:r>
        <w:rPr>
          <w:b/>
          <w:color w:val="000000" w:themeColor="text1"/>
          <w:u w:val="single"/>
          <w14:textFill>
            <w14:solidFill>
              <w14:schemeClr w14:val="tx1"/>
            </w14:solidFill>
          </w14:textFill>
        </w:rPr>
        <w:t>非现金支付部分已按现金支付方式足额支付</w:t>
      </w:r>
      <w:r>
        <w:rPr>
          <w:rFonts w:hint="eastAsia"/>
          <w:b/>
          <w:color w:val="000000" w:themeColor="text1"/>
          <w:u w:val="single"/>
          <w14:textFill>
            <w14:solidFill>
              <w14:schemeClr w14:val="tx1"/>
            </w14:solidFill>
          </w14:textFill>
        </w:rPr>
        <w:t>。</w:t>
      </w:r>
    </w:p>
    <w:p>
      <w:pPr>
        <w:pStyle w:val="52"/>
        <w:ind w:firstLine="42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17.3.3.总承包服务费其他约定：分包人应按照合同附件6《总承包管理与配合服务管理办法》履行相应义务及职责，遵从总承包服务管理，进场后与承包人签署管理协议并严格执行现场管理办法，</w:t>
      </w:r>
      <w:r>
        <w:rPr>
          <w:color w:val="000000" w:themeColor="text1"/>
          <w14:textFill>
            <w14:solidFill>
              <w14:schemeClr w14:val="tx1"/>
            </w14:solidFill>
          </w14:textFill>
        </w:rPr>
        <w:t>相对应的总承包服务费由发包人统一向承包人支付</w:t>
      </w:r>
      <w:r>
        <w:rPr>
          <w:rFonts w:hint="eastAsia"/>
          <w:color w:val="000000" w:themeColor="text1"/>
          <w14:textFill>
            <w14:solidFill>
              <w14:schemeClr w14:val="tx1"/>
            </w14:solidFill>
          </w14:textFill>
        </w:rPr>
        <w:t>，分包人无需再向承包人支付</w:t>
      </w:r>
      <w:r>
        <w:rPr>
          <w:color w:val="000000" w:themeColor="text1"/>
          <w14:textFill>
            <w14:solidFill>
              <w14:schemeClr w14:val="tx1"/>
            </w14:solidFill>
          </w14:textFill>
        </w:rPr>
        <w:t>总承包服务费。</w:t>
      </w:r>
    </w:p>
    <w:p>
      <w:pPr>
        <w:pStyle w:val="77"/>
        <w:ind w:firstLine="480"/>
        <w:rPr>
          <w:color w:val="000000" w:themeColor="text1"/>
          <w14:textFill>
            <w14:solidFill>
              <w14:schemeClr w14:val="tx1"/>
            </w14:solidFill>
          </w14:textFill>
        </w:rPr>
      </w:pPr>
      <w:bookmarkStart w:id="796" w:name="_Toc3610"/>
      <w:bookmarkStart w:id="797" w:name="_Toc21731"/>
      <w:bookmarkStart w:id="798" w:name="_Toc44492607"/>
      <w:r>
        <w:rPr>
          <w:rFonts w:hint="eastAsia"/>
          <w:color w:val="000000" w:themeColor="text1"/>
          <w14:textFill>
            <w14:solidFill>
              <w14:schemeClr w14:val="tx1"/>
            </w14:solidFill>
          </w14:textFill>
        </w:rPr>
        <w:t>17.4.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预付款</w:t>
      </w:r>
      <w:bookmarkEnd w:id="796"/>
      <w:bookmarkEnd w:id="797"/>
      <w:bookmarkEnd w:id="798"/>
    </w:p>
    <w:p>
      <w:pPr>
        <w:adjustRightInd w:val="0"/>
        <w:snapToGrid w:val="0"/>
        <w:spacing w:line="360" w:lineRule="auto"/>
        <w:ind w:firstLine="420" w:firstLineChars="200"/>
        <w:jc w:val="left"/>
        <w:outlineLvl w:val="2"/>
        <w:rPr>
          <w:rFonts w:ascii="Times New Roman" w:hAnsi="Times New Roman" w:eastAsia="仿宋_GB2312"/>
          <w:color w:val="000000" w:themeColor="text1"/>
          <w:kern w:val="0"/>
          <w:szCs w:val="32"/>
          <w:u w:val="single"/>
          <w14:textFill>
            <w14:solidFill>
              <w14:schemeClr w14:val="tx1"/>
            </w14:solidFill>
          </w14:textFill>
        </w:rPr>
      </w:pPr>
      <w:r>
        <w:rPr>
          <w:rFonts w:hint="eastAsia" w:ascii="Times New Roman" w:hAnsi="Times New Roman" w:eastAsia="仿宋_GB2312"/>
          <w:color w:val="000000" w:themeColor="text1"/>
          <w:kern w:val="0"/>
          <w:szCs w:val="32"/>
          <w:u w:val="single"/>
          <w14:textFill>
            <w14:solidFill>
              <w14:schemeClr w14:val="tx1"/>
            </w14:solidFill>
          </w14:textFill>
        </w:rPr>
        <w:t>17.4.1预付工程款金额：</w:t>
      </w:r>
      <w:r>
        <w:rPr>
          <w:rFonts w:hint="eastAsia" w:ascii="Times New Roman" w:hAnsi="Times New Roman" w:eastAsia="仿宋_GB2312"/>
          <w:b/>
          <w:color w:val="000000" w:themeColor="text1"/>
          <w:kern w:val="0"/>
          <w:szCs w:val="32"/>
          <w:u w:val="single"/>
          <w14:textFill>
            <w14:solidFill>
              <w14:schemeClr w14:val="tx1"/>
            </w14:solidFill>
          </w14:textFill>
        </w:rPr>
        <w:t>无</w:t>
      </w:r>
      <w:r>
        <w:rPr>
          <w:rFonts w:hint="eastAsia" w:ascii="Times New Roman" w:hAnsi="Times New Roman" w:eastAsia="仿宋_GB2312"/>
          <w:color w:val="000000" w:themeColor="text1"/>
          <w:kern w:val="0"/>
          <w:szCs w:val="32"/>
          <w:u w:val="single"/>
          <w14:textFill>
            <w14:solidFill>
              <w14:schemeClr w14:val="tx1"/>
            </w14:solidFill>
          </w14:textFill>
        </w:rPr>
        <w:t>。</w:t>
      </w:r>
    </w:p>
    <w:p>
      <w:pPr>
        <w:adjustRightInd w:val="0"/>
        <w:snapToGrid w:val="0"/>
        <w:spacing w:line="360" w:lineRule="auto"/>
        <w:ind w:firstLine="420" w:firstLineChars="200"/>
        <w:jc w:val="left"/>
        <w:rPr>
          <w:rFonts w:ascii="Times New Roman" w:hAnsi="Times New Roman" w:eastAsia="仿宋_GB2312"/>
          <w:color w:val="000000" w:themeColor="text1"/>
          <w:kern w:val="0"/>
          <w:szCs w:val="32"/>
          <w:u w:val="single"/>
          <w14:textFill>
            <w14:solidFill>
              <w14:schemeClr w14:val="tx1"/>
            </w14:solidFill>
          </w14:textFill>
        </w:rPr>
      </w:pPr>
      <w:r>
        <w:rPr>
          <w:rFonts w:hint="eastAsia" w:ascii="Times New Roman" w:hAnsi="Times New Roman" w:eastAsia="仿宋_GB2312"/>
          <w:color w:val="000000" w:themeColor="text1"/>
          <w:kern w:val="0"/>
          <w:szCs w:val="32"/>
          <w:u w:val="single"/>
          <w14:textFill>
            <w14:solidFill>
              <w14:schemeClr w14:val="tx1"/>
            </w14:solidFill>
          </w14:textFill>
        </w:rPr>
        <w:t>若</w:t>
      </w:r>
      <w:r>
        <w:rPr>
          <w:rFonts w:ascii="Times New Roman" w:hAnsi="Times New Roman" w:eastAsia="仿宋_GB2312"/>
          <w:color w:val="000000" w:themeColor="text1"/>
          <w:kern w:val="0"/>
          <w:szCs w:val="32"/>
          <w:u w:val="single"/>
          <w14:textFill>
            <w14:solidFill>
              <w14:schemeClr w14:val="tx1"/>
            </w14:solidFill>
          </w14:textFill>
        </w:rPr>
        <w:t>发包人</w:t>
      </w:r>
      <w:r>
        <w:rPr>
          <w:rFonts w:hint="eastAsia" w:ascii="Times New Roman" w:hAnsi="Times New Roman" w:eastAsia="仿宋_GB2312"/>
          <w:color w:val="000000" w:themeColor="text1"/>
          <w:kern w:val="0"/>
          <w:szCs w:val="32"/>
          <w:u w:val="single"/>
          <w14:textFill>
            <w14:solidFill>
              <w14:schemeClr w14:val="tx1"/>
            </w14:solidFill>
          </w14:textFill>
        </w:rPr>
        <w:t>或承包人为分包人代缴了劳动保险金或其他费用，则在支付款或者最近一期进度款</w:t>
      </w:r>
      <w:r>
        <w:rPr>
          <w:rFonts w:ascii="Times New Roman" w:hAnsi="Times New Roman" w:eastAsia="仿宋_GB2312"/>
          <w:color w:val="000000" w:themeColor="text1"/>
          <w:kern w:val="0"/>
          <w:szCs w:val="32"/>
          <w:u w:val="single"/>
          <w14:textFill>
            <w14:solidFill>
              <w14:schemeClr w14:val="tx1"/>
            </w14:solidFill>
          </w14:textFill>
        </w:rPr>
        <w:t>时，</w:t>
      </w:r>
      <w:r>
        <w:rPr>
          <w:rFonts w:hint="eastAsia" w:ascii="Times New Roman" w:hAnsi="Times New Roman" w:eastAsia="仿宋_GB2312"/>
          <w:color w:val="000000" w:themeColor="text1"/>
          <w:kern w:val="0"/>
          <w:szCs w:val="32"/>
          <w:u w:val="single"/>
          <w14:textFill>
            <w14:solidFill>
              <w14:schemeClr w14:val="tx1"/>
            </w14:solidFill>
          </w14:textFill>
        </w:rPr>
        <w:t>一次性抵</w:t>
      </w:r>
      <w:r>
        <w:rPr>
          <w:rFonts w:ascii="Times New Roman" w:hAnsi="Times New Roman" w:eastAsia="仿宋_GB2312"/>
          <w:color w:val="000000" w:themeColor="text1"/>
          <w:kern w:val="0"/>
          <w:szCs w:val="32"/>
          <w:u w:val="single"/>
          <w14:textFill>
            <w14:solidFill>
              <w14:schemeClr w14:val="tx1"/>
            </w14:solidFill>
          </w14:textFill>
        </w:rPr>
        <w:t>回发包人或承包人已缴劳动保险金额</w:t>
      </w:r>
      <w:r>
        <w:rPr>
          <w:rFonts w:hint="eastAsia" w:ascii="Times New Roman" w:hAnsi="Times New Roman" w:eastAsia="仿宋_GB2312"/>
          <w:color w:val="000000" w:themeColor="text1"/>
          <w:kern w:val="0"/>
          <w:szCs w:val="32"/>
          <w:u w:val="single"/>
          <w14:textFill>
            <w14:solidFill>
              <w14:schemeClr w14:val="tx1"/>
            </w14:solidFill>
          </w14:textFill>
        </w:rPr>
        <w:t>。</w:t>
      </w:r>
    </w:p>
    <w:p>
      <w:pPr>
        <w:pStyle w:val="77"/>
        <w:ind w:firstLine="480"/>
        <w:rPr>
          <w:color w:val="000000" w:themeColor="text1"/>
          <w14:textFill>
            <w14:solidFill>
              <w14:schemeClr w14:val="tx1"/>
            </w14:solidFill>
          </w14:textFill>
        </w:rPr>
      </w:pPr>
      <w:bookmarkStart w:id="799" w:name="_Toc30989"/>
      <w:bookmarkStart w:id="800" w:name="_Toc44492608"/>
      <w:bookmarkStart w:id="801" w:name="_Toc26072"/>
      <w:r>
        <w:rPr>
          <w:rFonts w:hint="eastAsia"/>
          <w:color w:val="000000" w:themeColor="text1"/>
          <w14:textFill>
            <w14:solidFill>
              <w14:schemeClr w14:val="tx1"/>
            </w14:solidFill>
          </w14:textFill>
        </w:rPr>
        <w:t>17.5.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工程进度付款</w:t>
      </w:r>
      <w:bookmarkEnd w:id="799"/>
      <w:bookmarkEnd w:id="800"/>
      <w:bookmarkEnd w:id="801"/>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17.5.1. 合同签订后30日历天内，分包人按照本合同的样式和条件向承包人提交本合同签约合同价格的10％的不可撤销的银行履约保函。且分包人应向承包人提交本工程的安全文明施工费押金，押金金额为本合同暂定金额的1%计取且总金额不超过5万元。押金如因扣款等原因减少，分包人须按上述要求补足。</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17.5.2. 工程进度款根据以下各施工节点形象进度完成情况支付: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（1）绿色施工安全防护措施费支付方式：</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sym w:font="Wingdings 2" w:char="00A3"/>
      </w:r>
      <w:r>
        <w:rPr>
          <w:rFonts w:hint="eastAsia"/>
          <w:color w:val="000000" w:themeColor="text1"/>
          <w14:textFill>
            <w14:solidFill>
              <w14:schemeClr w14:val="tx1"/>
            </w14:solidFill>
          </w14:textFill>
        </w:rPr>
        <w:t>方式一（适用于工期在一年以内的）：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在本工程开工日起计</w:t>
      </w:r>
      <w:r>
        <w:rPr>
          <w:rFonts w:hint="eastAsia"/>
          <w:color w:val="000000" w:themeColor="text1"/>
          <w:u w:val="single"/>
          <w14:textFill>
            <w14:solidFill>
              <w14:schemeClr w14:val="tx1"/>
            </w14:solidFill>
          </w14:textFill>
        </w:rPr>
        <w:t>第</w:t>
      </w:r>
      <w:r>
        <w:rPr>
          <w:color w:val="000000" w:themeColor="text1"/>
          <w:u w:val="single"/>
          <w14:textFill>
            <w14:solidFill>
              <w14:schemeClr w14:val="tx1"/>
            </w14:solidFill>
          </w14:textFill>
        </w:rPr>
        <w:t>28天</w:t>
      </w:r>
      <w:r>
        <w:rPr>
          <w:color w:val="000000" w:themeColor="text1"/>
          <w14:textFill>
            <w14:solidFill>
              <w14:schemeClr w14:val="tx1"/>
            </w14:solidFill>
          </w14:textFill>
        </w:rPr>
        <w:t>内</w:t>
      </w:r>
      <w:r>
        <w:rPr>
          <w:rFonts w:hint="eastAsia"/>
          <w:color w:val="000000" w:themeColor="text1"/>
          <w14:textFill>
            <w14:solidFill>
              <w14:schemeClr w14:val="tx1"/>
            </w14:solidFill>
          </w14:textFill>
        </w:rPr>
        <w:t>，且分包人已通过承包人向发包人提交满足本工程要求的绿色施工安全防护措施方案与计划后，分包人可通过承包人向发包人申请预付绿色施工安全防护措施费。经发包人审核满足支付条件后30天内，向分包人支付</w:t>
      </w:r>
      <w:r>
        <w:rPr>
          <w:rFonts w:hint="eastAsia"/>
          <w:b/>
          <w:color w:val="000000" w:themeColor="text1"/>
          <w14:textFill>
            <w14:solidFill>
              <w14:schemeClr w14:val="tx1"/>
            </w14:solidFill>
          </w14:textFill>
        </w:rPr>
        <w:t>至</w:t>
      </w:r>
      <w:r>
        <w:rPr>
          <w:rFonts w:hint="eastAsia"/>
          <w:color w:val="000000" w:themeColor="text1"/>
          <w14:textFill>
            <w14:solidFill>
              <w14:schemeClr w14:val="tx1"/>
            </w14:solidFill>
          </w14:textFill>
        </w:rPr>
        <w:t>绿色施工安全防护措施费总额的</w:t>
      </w:r>
      <w:r>
        <w:rPr>
          <w:rFonts w:hint="eastAsia"/>
          <w:color w:val="000000" w:themeColor="text1"/>
          <w:u w:val="single"/>
          <w14:textFill>
            <w14:solidFill>
              <w14:schemeClr w14:val="tx1"/>
            </w14:solidFill>
          </w14:textFill>
        </w:rPr>
        <w:t>50%。</w:t>
      </w:r>
      <w:r>
        <w:rPr>
          <w:rFonts w:hint="eastAsia"/>
          <w:color w:val="000000" w:themeColor="text1"/>
          <w14:textFill>
            <w14:solidFill>
              <w14:schemeClr w14:val="tx1"/>
            </w14:solidFill>
          </w14:textFill>
        </w:rPr>
        <w:t>该预付款项在支付第一期工程进度款时逐步扣减，每次扣减标准为当期已完工且合格工程估值中的对应绿色施工安全防护措施费，直至预付款项全部扣减完毕为止。自该预付款全部扣减完毕之日起，绿色施工安全防护措施费以当期工程进度完成的工程量为基础进行计算并随进度款同期支付。</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sym w:font="Wingdings 2" w:char="0052"/>
      </w:r>
      <w:r>
        <w:rPr>
          <w:rFonts w:hint="eastAsia"/>
          <w:color w:val="000000" w:themeColor="text1"/>
          <w14:textFill>
            <w14:solidFill>
              <w14:schemeClr w14:val="tx1"/>
            </w14:solidFill>
          </w14:textFill>
        </w:rPr>
        <w:t>方式二（适用于工期满一年及以上的）：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在本工程开工日起计</w:t>
      </w:r>
      <w:r>
        <w:rPr>
          <w:rFonts w:hint="eastAsia"/>
          <w:color w:val="000000" w:themeColor="text1"/>
          <w:u w:val="single"/>
          <w14:textFill>
            <w14:solidFill>
              <w14:schemeClr w14:val="tx1"/>
            </w14:solidFill>
          </w14:textFill>
        </w:rPr>
        <w:t>第</w:t>
      </w:r>
      <w:r>
        <w:rPr>
          <w:color w:val="000000" w:themeColor="text1"/>
          <w:u w:val="single"/>
          <w14:textFill>
            <w14:solidFill>
              <w14:schemeClr w14:val="tx1"/>
            </w14:solidFill>
          </w14:textFill>
        </w:rPr>
        <w:t>28天</w:t>
      </w:r>
      <w:r>
        <w:rPr>
          <w:color w:val="000000" w:themeColor="text1"/>
          <w14:textFill>
            <w14:solidFill>
              <w14:schemeClr w14:val="tx1"/>
            </w14:solidFill>
          </w14:textFill>
        </w:rPr>
        <w:t>内</w:t>
      </w:r>
      <w:r>
        <w:rPr>
          <w:rFonts w:hint="eastAsia"/>
          <w:color w:val="000000" w:themeColor="text1"/>
          <w14:textFill>
            <w14:solidFill>
              <w14:schemeClr w14:val="tx1"/>
            </w14:solidFill>
          </w14:textFill>
        </w:rPr>
        <w:t>，且分包人已通过承包人向发包人提交满足本工程要求的绿色施工安全防护措施方案与计划后，分包人可通过承包人向发包人申请预付绿色施工安全防护措施费。经发包人审核满足支付条件后30天内，向分包人支付</w:t>
      </w:r>
      <w:r>
        <w:rPr>
          <w:rFonts w:hint="eastAsia"/>
          <w:b/>
          <w:color w:val="000000" w:themeColor="text1"/>
          <w14:textFill>
            <w14:solidFill>
              <w14:schemeClr w14:val="tx1"/>
            </w14:solidFill>
          </w14:textFill>
        </w:rPr>
        <w:t>至</w:t>
      </w:r>
      <w:r>
        <w:rPr>
          <w:rFonts w:hint="eastAsia"/>
          <w:color w:val="000000" w:themeColor="text1"/>
          <w14:textFill>
            <w14:solidFill>
              <w14:schemeClr w14:val="tx1"/>
            </w14:solidFill>
          </w14:textFill>
        </w:rPr>
        <w:t>绿色施工安全防护措施费总额的</w:t>
      </w:r>
      <w:r>
        <w:rPr>
          <w:rFonts w:hint="eastAsia"/>
          <w:color w:val="000000" w:themeColor="text1"/>
          <w:u w:val="single"/>
          <w14:textFill>
            <w14:solidFill>
              <w14:schemeClr w14:val="tx1"/>
            </w14:solidFill>
          </w14:textFill>
        </w:rPr>
        <w:t>30%。</w:t>
      </w:r>
      <w:r>
        <w:rPr>
          <w:rFonts w:hint="eastAsia"/>
          <w:color w:val="000000" w:themeColor="text1"/>
          <w14:textFill>
            <w14:solidFill>
              <w14:schemeClr w14:val="tx1"/>
            </w14:solidFill>
          </w14:textFill>
        </w:rPr>
        <w:t>该预付款在承包人每期支付的工程进度款中按合同中的计价文件要求计算并扣回，其余绿色施工安全防护措施费随后期的进度款同步支付。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分包人应建立绿色施工安全防护措施费账户，确保转款专用，在财务管理中单独列出安全防护、文明施工措施费清单；发包人有权对建设工程安全防护、文明施工措施的组织实施进行现场监督检查。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（2）工程进度款</w:t>
      </w:r>
    </w:p>
    <w:p>
      <w:pPr>
        <w:adjustRightInd w:val="0"/>
        <w:snapToGrid w:val="0"/>
        <w:spacing w:line="360" w:lineRule="auto"/>
        <w:ind w:firstLine="420" w:firstLineChars="200"/>
        <w:jc w:val="left"/>
        <w:outlineLvl w:val="3"/>
        <w:rPr>
          <w:rFonts w:ascii="仿宋_GB2312" w:hAnsi="宋体" w:eastAsia="仿宋_GB2312" w:cs="宋体"/>
          <w:bCs/>
          <w:color w:val="000000" w:themeColor="text1"/>
          <w:kern w:val="0"/>
          <w:szCs w:val="28"/>
          <w14:textFill>
            <w14:solidFill>
              <w14:schemeClr w14:val="tx1"/>
            </w14:solidFill>
          </w14:textFill>
        </w:rPr>
      </w:pPr>
      <w:r>
        <w:rPr>
          <w:rFonts w:ascii="仿宋_GB2312" w:hAnsi="宋体" w:eastAsia="仿宋_GB2312" w:cs="宋体"/>
          <w:bCs/>
          <w:color w:val="000000" w:themeColor="text1"/>
          <w:kern w:val="0"/>
          <w:szCs w:val="28"/>
          <w14:textFill>
            <w14:solidFill>
              <w14:schemeClr w14:val="tx1"/>
            </w14:solidFill>
          </w14:textFill>
        </w:rPr>
        <w:t>1</w:t>
      </w:r>
      <w:r>
        <w:rPr>
          <w:rFonts w:hint="eastAsia" w:ascii="仿宋_GB2312" w:hAnsi="宋体" w:eastAsia="仿宋_GB2312" w:cs="宋体"/>
          <w:bCs/>
          <w:color w:val="000000" w:themeColor="text1"/>
          <w:kern w:val="0"/>
          <w:szCs w:val="28"/>
          <w14:textFill>
            <w14:solidFill>
              <w14:schemeClr w14:val="tx1"/>
            </w14:solidFill>
          </w14:textFill>
        </w:rPr>
        <w:t>）</w:t>
      </w:r>
      <w:r>
        <w:rPr>
          <w:rFonts w:hint="eastAsia" w:ascii="仿宋_GB2312" w:hAnsi="宋体" w:eastAsia="仿宋_GB2312" w:cs="宋体"/>
          <w:b/>
          <w:bCs/>
          <w:color w:val="000000" w:themeColor="text1"/>
          <w:kern w:val="0"/>
          <w:szCs w:val="28"/>
          <w14:textFill>
            <w14:solidFill>
              <w14:schemeClr w14:val="tx1"/>
            </w14:solidFill>
          </w14:textFill>
        </w:rPr>
        <w:t>本合同工人工资的比例为</w:t>
      </w:r>
      <w:r>
        <w:rPr>
          <w:rFonts w:ascii="仿宋_GB2312" w:hAnsi="宋体" w:eastAsia="仿宋_GB2312" w:cs="宋体"/>
          <w:b/>
          <w:bCs/>
          <w:color w:val="000000" w:themeColor="text1"/>
          <w:kern w:val="0"/>
          <w:szCs w:val="28"/>
          <w:u w:val="single"/>
          <w14:textFill>
            <w14:solidFill>
              <w14:schemeClr w14:val="tx1"/>
            </w14:solidFill>
          </w14:textFill>
        </w:rPr>
        <w:t xml:space="preserve">   </w:t>
      </w:r>
      <w:r>
        <w:rPr>
          <w:rFonts w:ascii="仿宋_GB2312" w:hAnsi="宋体" w:eastAsia="仿宋_GB2312" w:cs="宋体"/>
          <w:b/>
          <w:bCs/>
          <w:color w:val="000000" w:themeColor="text1"/>
          <w:kern w:val="0"/>
          <w:szCs w:val="28"/>
          <w14:textFill>
            <w14:solidFill>
              <w14:schemeClr w14:val="tx1"/>
            </w14:solidFill>
          </w14:textFill>
        </w:rPr>
        <w:t xml:space="preserve"> %</w:t>
      </w:r>
      <w:r>
        <w:rPr>
          <w:rFonts w:hint="eastAsia" w:ascii="仿宋_GB2312" w:hAnsi="宋体" w:eastAsia="仿宋_GB2312" w:cs="宋体"/>
          <w:b/>
          <w:bCs/>
          <w:color w:val="000000" w:themeColor="text1"/>
          <w:kern w:val="0"/>
          <w:szCs w:val="28"/>
          <w14:textFill>
            <w14:solidFill>
              <w14:schemeClr w14:val="tx1"/>
            </w14:solidFill>
          </w14:textFill>
        </w:rPr>
        <w:t>（按中标通知书载明的人工费金额/签约合同价格（需扣除暂列金额、暂估价）计算所得比例，如中标通知书载明的人工费金额与清单中累计人工费金额不一致时，以较高者为准，且工人工资比例不得低于3%，如比例低于3%，则按3%）。工人工资费用由</w:t>
      </w:r>
      <w:r>
        <w:rPr>
          <w:rFonts w:hint="eastAsia" w:ascii="仿宋_GB2312" w:hAnsi="宋体" w:eastAsia="仿宋_GB2312" w:cs="宋体"/>
          <w:bCs/>
          <w:color w:val="000000" w:themeColor="text1"/>
          <w:kern w:val="0"/>
          <w:szCs w:val="28"/>
          <w14:textFill>
            <w14:solidFill>
              <w14:schemeClr w14:val="tx1"/>
            </w14:solidFill>
          </w14:textFill>
        </w:rPr>
        <w:t>发包人支付至承包人工人工资支付专用账户（分包人工人工资委托承包人代发，分包人按月考核工人工作量并编制工期支付表，经工人本人签字确认后，与当月工程进度等情况一并交承包人。承包人根据分包人编制的工资支付表，通过工人工资账户直接将工资支付到工人本人的银行账户，并向分包人提供代发工资凭证。），其余部分款项承包人支付至协议书所注明的分包人银行账户。本合同条款中有关工人工资的约定与穗建筑【2020】431号不一致的，以穗建筑【2020】431号文为准，具体实施细节由发包人、承包人及分包人后续另行协商约定。如后续政府颁发有关工人工资的新要求，则以政府最新要求为准。</w:t>
      </w:r>
    </w:p>
    <w:p>
      <w:pPr>
        <w:adjustRightInd w:val="0"/>
        <w:snapToGrid w:val="0"/>
        <w:spacing w:line="360" w:lineRule="auto"/>
        <w:ind w:firstLine="420" w:firstLineChars="200"/>
        <w:jc w:val="left"/>
        <w:outlineLvl w:val="3"/>
        <w:rPr>
          <w:rFonts w:ascii="仿宋_GB2312" w:hAnsi="宋体" w:eastAsia="仿宋_GB2312" w:cs="宋体"/>
          <w:b/>
          <w:bCs/>
          <w:color w:val="000000" w:themeColor="text1"/>
          <w:kern w:val="0"/>
          <w:szCs w:val="28"/>
          <w14:textFill>
            <w14:solidFill>
              <w14:schemeClr w14:val="tx1"/>
            </w14:solidFill>
          </w14:textFill>
        </w:rPr>
      </w:pPr>
      <w:r>
        <w:rPr>
          <w:rFonts w:ascii="仿宋_GB2312" w:hAnsi="宋体" w:eastAsia="仿宋_GB2312" w:cs="宋体"/>
          <w:bCs/>
          <w:color w:val="000000" w:themeColor="text1"/>
          <w:kern w:val="0"/>
          <w:szCs w:val="28"/>
          <w14:textFill>
            <w14:solidFill>
              <w14:schemeClr w14:val="tx1"/>
            </w14:solidFill>
          </w14:textFill>
        </w:rPr>
        <w:t>2）</w:t>
      </w:r>
      <w:r>
        <w:rPr>
          <w:rFonts w:hint="eastAsia" w:ascii="仿宋_GB2312" w:hAnsi="宋体" w:eastAsia="仿宋_GB2312" w:cs="宋体"/>
          <w:bCs/>
          <w:color w:val="000000" w:themeColor="text1"/>
          <w:kern w:val="0"/>
          <w:szCs w:val="28"/>
          <w14:textFill>
            <w14:solidFill>
              <w14:schemeClr w14:val="tx1"/>
            </w14:solidFill>
          </w14:textFill>
        </w:rPr>
        <w:t>工程进度款每个月支付一次,每月25日前由分包人向承包人提出书面支付申请，经发包人和承包人审核，确认无误后，承包人向分包人支付上个月内已完成合格工程量估算价值的 80%。</w:t>
      </w:r>
    </w:p>
    <w:p>
      <w:pPr>
        <w:adjustRightInd w:val="0"/>
        <w:snapToGrid w:val="0"/>
        <w:spacing w:line="360" w:lineRule="auto"/>
        <w:ind w:firstLine="420" w:firstLineChars="200"/>
        <w:jc w:val="left"/>
        <w:outlineLvl w:val="3"/>
        <w:rPr>
          <w:rFonts w:ascii="仿宋_GB2312" w:hAnsi="宋体" w:eastAsia="仿宋_GB2312" w:cs="宋体"/>
          <w:bCs/>
          <w:color w:val="000000" w:themeColor="text1"/>
          <w:kern w:val="0"/>
          <w:szCs w:val="28"/>
          <w14:textFill>
            <w14:solidFill>
              <w14:schemeClr w14:val="tx1"/>
            </w14:solidFill>
          </w14:textFill>
        </w:rPr>
      </w:pPr>
      <w:r>
        <w:rPr>
          <w:rFonts w:hint="eastAsia" w:ascii="仿宋_GB2312" w:hAnsi="宋体" w:eastAsia="仿宋_GB2312" w:cs="宋体"/>
          <w:bCs/>
          <w:color w:val="000000" w:themeColor="text1"/>
          <w:kern w:val="0"/>
          <w:szCs w:val="28"/>
          <w14:textFill>
            <w14:solidFill>
              <w14:schemeClr w14:val="tx1"/>
            </w14:solidFill>
          </w14:textFill>
        </w:rPr>
        <w:t>3）现场签证和设计变更费用支付：经发包人盖章确认的现场签证和设计变更价款，随工程款同期同比例支付或扣回。</w:t>
      </w:r>
    </w:p>
    <w:p>
      <w:pPr>
        <w:adjustRightInd w:val="0"/>
        <w:snapToGrid w:val="0"/>
        <w:spacing w:line="360" w:lineRule="auto"/>
        <w:ind w:firstLine="420" w:firstLineChars="200"/>
        <w:jc w:val="left"/>
        <w:outlineLvl w:val="3"/>
        <w:rPr>
          <w:rFonts w:ascii="仿宋_GB2312" w:hAnsi="宋体" w:eastAsia="仿宋_GB2312" w:cs="宋体"/>
          <w:bCs/>
          <w:color w:val="000000" w:themeColor="text1"/>
          <w:kern w:val="0"/>
          <w:szCs w:val="28"/>
          <w14:textFill>
            <w14:solidFill>
              <w14:schemeClr w14:val="tx1"/>
            </w14:solidFill>
          </w14:textFill>
        </w:rPr>
      </w:pPr>
      <w:r>
        <w:rPr>
          <w:rFonts w:hint="eastAsia" w:ascii="仿宋_GB2312" w:hAnsi="宋体" w:eastAsia="仿宋_GB2312" w:cs="宋体"/>
          <w:bCs/>
          <w:color w:val="000000" w:themeColor="text1"/>
          <w:kern w:val="0"/>
          <w:szCs w:val="28"/>
          <w14:textFill>
            <w14:solidFill>
              <w14:schemeClr w14:val="tx1"/>
            </w14:solidFill>
          </w14:textFill>
        </w:rPr>
        <w:t>4）本工程分期（具体分期以发包人书面通知为准）竣工验收合格且收到完整结算资料后30天内，由分包人向承包人提出书面支付申请，经发包人和承包人审核，确认无误后，承包人向分包人累计支付至经发包人及承包人确认的本期或本批已完成工程量估算价值的85%。工程竣工验收合格后，分包人需二次进场施工，经发包人确认完成全部施工工作内容并验收合格后，支付该部分工程量估算价值的85%。各分期结算完成后，可支付至各分期结算金额的90%。</w:t>
      </w:r>
    </w:p>
    <w:p>
      <w:pPr>
        <w:adjustRightInd w:val="0"/>
        <w:snapToGrid w:val="0"/>
        <w:spacing w:line="360" w:lineRule="auto"/>
        <w:ind w:firstLine="420" w:firstLineChars="200"/>
        <w:jc w:val="left"/>
        <w:outlineLvl w:val="3"/>
        <w:rPr>
          <w:rFonts w:ascii="仿宋_GB2312" w:hAnsi="宋体" w:eastAsia="仿宋_GB2312" w:cs="宋体"/>
          <w:bCs/>
          <w:color w:val="000000" w:themeColor="text1"/>
          <w:kern w:val="0"/>
          <w:szCs w:val="28"/>
          <w14:textFill>
            <w14:solidFill>
              <w14:schemeClr w14:val="tx1"/>
            </w14:solidFill>
          </w14:textFill>
        </w:rPr>
      </w:pPr>
      <w:r>
        <w:rPr>
          <w:rFonts w:hint="eastAsia" w:ascii="仿宋_GB2312" w:hAnsi="宋体" w:eastAsia="仿宋_GB2312" w:cs="宋体"/>
          <w:bCs/>
          <w:color w:val="000000" w:themeColor="text1"/>
          <w:kern w:val="0"/>
          <w:szCs w:val="28"/>
          <w14:textFill>
            <w14:solidFill>
              <w14:schemeClr w14:val="tx1"/>
            </w14:solidFill>
          </w14:textFill>
        </w:rPr>
        <w:t>5）分包人将本工程的竣工资料和总结算资料一并通过承包人交付给发包人，发包人在审核确认、三方办理完毕总结算手续，分包人向承包人书面提出结算款申请支付，发包人可通过承包人向分包人付至竣工总结算价的97%，质量保证金为本合同工程总结算价的3%，根据本合同附件《工程质量保修书》约定无息支付，同时扣除应扣款项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上述付款条件成立后，分包人向承包人提出书面支付申请，并提供与应付款金额等额（合同另有约定的，从其约定）的税务部门验证合格的增值税专用发票；申请结算款时，应提供总结算价与已提交发票累计金额差额的税务部门验证合格的增值税专用发票。工程进度款审批期限为28天，自分包人通过承包人向发包人书面提出付款申请或经发包人要求后重新提出付款申请并附齐相关证明之日起计。若分包人未提供书面付款申请或未按合同要求提供增值税专用发票，承包人有权不予支付任何款项且无需承担逾期付款的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付款申请经发包人审核确认后，发包人通知承包人本期工程款应支付金额,承包人应按发包人审核确认的应付工程进度款金额100%（合同另有约定的，从其约定）向发包人开具合规增值税专用发票；申请结算款时，应提供总结算价与已提交发票累计金额差额的税务部门验证合格的增值税专用发票。发包人在收到承包人提供的增值税专用发票后28天内支付工程款。对付款金额有异议的，发包人将在该期限内先支付已确认部分的款项。承包人应及时报送工程验收资料，资料不完整的视作该项工作未完成，进度款中不予确认。</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7）工程进度款支付时，应满足当地政府主管部门对工人工资管理与支付的相关规定，承包人应及时办理工人工资支付专户开户及签署监管协议相关事宜。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17.5.9.增值税发票的要求：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支付预付款及支付工程进度款的最迟7个工作日前，分包人应向承包人开具满足承包人及主管税务机关要求且与经发包人审批确认的预付款或进度款金额一致的合法增值税专用发票，承包人应根据总承包合同的约定，向发包人开具满足发包人及主管税务机关要求且与经发包人审批确认的预付款或进度款金额一致的合法增值税专用发票；在支付工程结算款时，分包人应向承包人开具累计金额为竣工结算总价（含税价）100%的合法增值税专用发票，承包人向发包人开具竣工结算总价（含税价）100%的合法增值税专用发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发票由分包人按承包人要求提供，发票未足额提供给承包人前或不按承包人的要求提供的，承包人有权拒付工程款，承包人不因此承担违约责任。上述增值税专用发票必须符合国家《增值税专用发票使用规定》的相关要求，如分包人开具的增值税专用发票是无效或虚假发票，或者发生延迟开具增值税专用发票的情况，分包人应负责赔偿承包人因为分包人开具虚假发票或延迟开具发票所造成的一切损失或损害（包括但不限于税金、附加费、罚金、滞纳金等）。</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分包人开具的增值税专用发票（发票联及抵扣联）在送达承包人前如发生丢失、灭失或被盗等情况，导致相应票据未顺利送达承包人，或送达并经承包人签收后，发生丢失、灭失或被盗等情况的，分包人应向承包人提供丢失发票的记账联复印件（加盖发票专用章）等税收法规规定及主管税务机关要求提供的相关资料，并确保承包人顺利抵扣该增值税专用发票，否则，承包人因此遭受的经济损失由分包人负责赔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17.5.10.进度款支付要求：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工程款的计量及申请统一纳入承包人的工程款报审中，每期工程款由工人工资款项和其他工程款项两部分组成；工人工资款项由发包人支付给承包人工人工资账户，再由承包人支付给分包人；其他工程款项发包人支付至承包人的账户，再由承包人支付给分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承包人收到发包人支付的工程款（含工人工资款）后，承包人须在7个工作日内将款项支付给相应的分包人。承包人未按上述时间要求支付分包工程款的，视为一次违约且按总承包合同的约定向发包人支付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因承包人原因未按本合同约定支付工程款的，分包人应自承包人应支付期限届满之日起第10天后向承包人发出要求付款的通知，承包人在收到付款通知后5天内仍未按要求支付的，分包人有权按照中国人民银行公布的同期一年期存款基准利率向承包人要求支付利息（该利息的计算基数为应付未付工程款）。计息时间从款项应支付期限届满之后第16日算起计至应付未付款实际支付之日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17.5.11 分包人应将合同约定支付给分包人的各项价款专用于合同工程，存于分包人设立的工程款监管账户，由发包人、分包人和开户银行签订《建设资金三方监管协议》，共同委托开户银行监管，并接受发包人监管，任何情况下分包人不得进行资金归集，不得通过权益转让、抵押、质押、担保等任何其他方式使用监管账户的资金。为方便对建设资金的监管，工程款监管账户原则在发包人或工程所在地经发包人认可的银行开立。工程进度款专用监管账户的具体要求详合同附件19。</w:t>
      </w:r>
    </w:p>
    <w:p>
      <w:pPr>
        <w:pStyle w:val="77"/>
        <w:ind w:firstLine="480"/>
        <w:rPr>
          <w:color w:val="000000" w:themeColor="text1"/>
          <w14:textFill>
            <w14:solidFill>
              <w14:schemeClr w14:val="tx1"/>
            </w14:solidFill>
          </w14:textFill>
        </w:rPr>
      </w:pPr>
      <w:bookmarkStart w:id="802" w:name="_Toc44492609"/>
      <w:bookmarkStart w:id="803" w:name="_Toc18043"/>
      <w:bookmarkStart w:id="804" w:name="_Toc24990"/>
      <w:r>
        <w:rPr>
          <w:rFonts w:hint="eastAsia"/>
          <w:color w:val="000000" w:themeColor="text1"/>
          <w14:textFill>
            <w14:solidFill>
              <w14:schemeClr w14:val="tx1"/>
            </w14:solidFill>
          </w14:textFill>
        </w:rPr>
        <w:t>17.6.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质量担保</w:t>
      </w:r>
      <w:bookmarkEnd w:id="802"/>
      <w:bookmarkEnd w:id="803"/>
      <w:bookmarkEnd w:id="804"/>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17.6.1. 质量保证金的担保额度为</w:t>
      </w:r>
      <w:r>
        <w:rPr>
          <w:rFonts w:hint="eastAsia" w:ascii="仿宋_GB2312" w:hAnsi="宋体" w:cs="宋体"/>
          <w:bCs/>
          <w:color w:val="000000" w:themeColor="text1"/>
          <w:szCs w:val="28"/>
          <w14:textFill>
            <w14:solidFill>
              <w14:schemeClr w14:val="tx1"/>
            </w14:solidFill>
          </w14:textFill>
        </w:rPr>
        <w:t>合同结算价格的3%</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17.6.2. 质量保证金的返还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缺陷责任期满，且分包人已全部完成缺陷修复责任时，分包人通过承包人向发包人申请到期退还质量保证金，发包人应在 30天内会同承包人、分包人按照合同、保修书约定的内容和相关法律法规规章核实分包人是否完成缺陷修复、整改责任。如无异议，发包人在核实后通过承包人将剩余的质量保证金无息退还分包人。</w:t>
      </w:r>
    </w:p>
    <w:p>
      <w:pPr>
        <w:pStyle w:val="52"/>
        <w:ind w:firstLine="420"/>
        <w:rPr>
          <w:rFonts w:ascii="仿宋_GB2312" w:hAnsi="宋体"/>
          <w:color w:val="000000" w:themeColor="text1"/>
          <w14:textFill>
            <w14:solidFill>
              <w14:schemeClr w14:val="tx1"/>
            </w14:solidFill>
          </w14:textFill>
        </w:rPr>
      </w:pPr>
      <w:r>
        <w:rPr>
          <w:rFonts w:hint="eastAsia"/>
          <w:color w:val="000000" w:themeColor="text1"/>
          <w14:textFill>
            <w14:solidFill>
              <w14:schemeClr w14:val="tx1"/>
            </w14:solidFill>
          </w14:textFill>
        </w:rPr>
        <w:t>缺陷责任期间，分包人未按《工程质量保修书》要求到场维修，发包人或承包人有权委托第三方维修，</w:t>
      </w:r>
      <w:r>
        <w:rPr>
          <w:rFonts w:hint="eastAsia" w:ascii="仿宋_GB2312" w:hAnsi="宋体"/>
          <w:color w:val="000000" w:themeColor="text1"/>
          <w14:textFill>
            <w14:solidFill>
              <w14:schemeClr w14:val="tx1"/>
            </w14:solidFill>
          </w14:textFill>
        </w:rPr>
        <w:t>所需维修费用由分包人承担，直接从工程质量保证金冲抵，</w:t>
      </w:r>
      <w:r>
        <w:rPr>
          <w:rFonts w:hint="eastAsia"/>
          <w:color w:val="000000" w:themeColor="text1"/>
          <w14:textFill>
            <w14:solidFill>
              <w14:schemeClr w14:val="tx1"/>
            </w14:solidFill>
          </w14:textFill>
        </w:rPr>
        <w:t>质量</w:t>
      </w:r>
      <w:r>
        <w:rPr>
          <w:rFonts w:hint="eastAsia" w:ascii="仿宋_GB2312" w:hAnsi="宋体"/>
          <w:color w:val="000000" w:themeColor="text1"/>
          <w14:textFill>
            <w14:solidFill>
              <w14:schemeClr w14:val="tx1"/>
            </w14:solidFill>
          </w14:textFill>
        </w:rPr>
        <w:t>保证金不足以支付保修费用时，承包人有权进一步向分包人追索。</w:t>
      </w:r>
    </w:p>
    <w:p>
      <w:pPr>
        <w:pStyle w:val="52"/>
        <w:ind w:firstLine="420"/>
        <w:rPr>
          <w:rFonts w:ascii="仿宋_GB2312" w:hAnsi="宋体"/>
          <w:color w:val="000000" w:themeColor="text1"/>
          <w14:textFill>
            <w14:solidFill>
              <w14:schemeClr w14:val="tx1"/>
            </w14:solidFill>
          </w14:textFill>
        </w:rPr>
      </w:pPr>
      <w:r>
        <w:rPr>
          <w:rFonts w:hint="eastAsia"/>
          <w:color w:val="000000" w:themeColor="text1"/>
          <w14:textFill>
            <w14:solidFill>
              <w14:schemeClr w14:val="tx1"/>
            </w14:solidFill>
          </w14:textFill>
        </w:rPr>
        <w:t>在缺陷责任期满时，分包人没有完成保修责任的，</w:t>
      </w:r>
      <w:bookmarkStart w:id="1177" w:name="_GoBack"/>
      <w:bookmarkEnd w:id="1177"/>
      <w:r>
        <w:rPr>
          <w:rFonts w:hint="eastAsia"/>
          <w:color w:val="000000" w:themeColor="text1"/>
          <w14:textFill>
            <w14:solidFill>
              <w14:schemeClr w14:val="tx1"/>
            </w14:solidFill>
          </w14:textFill>
        </w:rPr>
        <w:t>发包人或承包人有权要求延长缺陷责任期，直至完成缺陷修复工作为止。</w:t>
      </w:r>
    </w:p>
    <w:p>
      <w:pPr>
        <w:pStyle w:val="77"/>
        <w:ind w:firstLine="480"/>
        <w:rPr>
          <w:color w:val="000000" w:themeColor="text1"/>
          <w14:textFill>
            <w14:solidFill>
              <w14:schemeClr w14:val="tx1"/>
            </w14:solidFill>
          </w14:textFill>
        </w:rPr>
      </w:pPr>
      <w:bookmarkStart w:id="805" w:name="_Toc44492610"/>
      <w:bookmarkStart w:id="806" w:name="_Toc27342"/>
      <w:bookmarkStart w:id="807" w:name="_Toc17933"/>
      <w:r>
        <w:rPr>
          <w:rFonts w:hint="eastAsia"/>
          <w:color w:val="000000" w:themeColor="text1"/>
          <w14:textFill>
            <w14:solidFill>
              <w14:schemeClr w14:val="tx1"/>
            </w14:solidFill>
          </w14:textFill>
        </w:rPr>
        <w:t>17.7.</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竣工结算</w:t>
      </w:r>
      <w:bookmarkEnd w:id="805"/>
      <w:bookmarkEnd w:id="806"/>
      <w:bookmarkEnd w:id="80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17.7.1 </w:t>
      </w:r>
      <w:r>
        <w:rPr>
          <w:rFonts w:hint="eastAsia"/>
          <w:color w:val="000000" w:themeColor="text1"/>
          <w:highlight w:val="none"/>
          <w14:textFill>
            <w14:solidFill>
              <w14:schemeClr w14:val="tx1"/>
            </w14:solidFill>
          </w14:textFill>
        </w:rPr>
        <w:t>本合同两期（第一阶段、第二阶段）结算</w:t>
      </w:r>
      <w:r>
        <w:rPr>
          <w:rFonts w:hint="eastAsia"/>
          <w:color w:val="000000" w:themeColor="text1"/>
          <w14:textFill>
            <w14:solidFill>
              <w14:schemeClr w14:val="tx1"/>
            </w14:solidFill>
          </w14:textFill>
        </w:rPr>
        <w:t>，结算书及相关资料约定如下：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1）结算资料目录；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2）工程结算书，包括编制说明、结算汇总表、工程量清单计价表、结算金额与合同金额对比表及其差异分析、指标分析表及与结算相关的计价文件依据等；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3）工程量计算书；</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4）开工报告、竣工验收报告、竣工验收记录、</w:t>
      </w:r>
      <w:r>
        <w:rPr>
          <w:rFonts w:hint="eastAsia" w:ascii="宋体" w:hAnsi="宋体"/>
          <w:color w:val="000000" w:themeColor="text1"/>
          <w:szCs w:val="24"/>
          <w14:textFill>
            <w14:solidFill>
              <w14:schemeClr w14:val="tx1"/>
            </w14:solidFill>
          </w14:textFill>
        </w:rPr>
        <w:t>《材料设备领料单》（如有）</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5）竣工结算授权委托书、竣工结算工作承诺书、工程结算申请报审表及施工范围确认表；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6）经发包人、造价咨询公司和承包人共同签名盖章确认的工程核价文件；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7）签证资料</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8）设计变更资料</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9）经审定的施工组织设计、施工方案或专项施工方案；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10）承包合同文件（含补充协议）；</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11）竣工图纸，除须盖竣工图章外，还须有发包人工程安全部、承包单位、监理单位和设计院盖章；</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12）财务对账单；</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13）其他相关结算资料（包括但不限于财务对账表）。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以上资料需装订成册，按顺序编写连续页码，一正两副并提供U盘电子文件一份，工程量清单计价表中的工程量需与工程量计算书中的工程量做好链接。</w:t>
      </w:r>
    </w:p>
    <w:p>
      <w:pPr>
        <w:pStyle w:val="52"/>
        <w:tabs>
          <w:tab w:val="left" w:pos="4536"/>
        </w:tabs>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17.7.2  自本合同施工内容完成并验收合格后，分包人应在验收之日起90天内上报完整、有效的结算书；经承包人审核后，向发包人提交本分包工程完整、有效的结算书及相关资料，发包人在收到承包人提交的分包工程结算书之日起120天内进行审核，给予确认或提出修改意见，并将审核结果通知承包人、分包人。承包人、分包人确认同意的，则发包人审定的价款为本分包工程的竣工结算价款的最终依据；如承包人或分包人不同意的，三方针对争议部分进行核对和协商；经核对协商不能解决的争议部分，按本合同关于争议的约定处理。发包人与承包人、分包人就结算问题进行的沟通、协商、确认仅为协商过程性的行为。除非发包人法定代表人签字并加盖发包人公章，任何形式的文件以及任何人的行为都不能视为发包人对本分包工程结算的认可。</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17.7.7 对于竣工结算的其他约定：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在发包人与承包人、分包人就结算金额达成一致或生效裁判文书确定前，发包人对争议部分的支付义务不能确定，因此也无支付义务。只有在三方就结算金额达成一致或生效裁判文书确定发包人的支付义务后，发包人才有按照双方达成的一致或生效裁判文书支付结算款的义务，并在未按三方达成的一致或生效裁判文书确定的支付时间支付结算款时，才开始承担逾期支付的违约金或承担其他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2）凡是涉及到工程造价增减的设计变更、工程签证均必须有发包人签字并盖章方为有效。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3）设计变更、工程签证及现场签证按照相应规定执行。</w:t>
      </w:r>
    </w:p>
    <w:p>
      <w:pPr>
        <w:pStyle w:val="52"/>
        <w:ind w:firstLine="283" w:firstLineChars="135"/>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4） 分包人违约金、水电费、赔偿金等相应扣款项，应扣未扣金额由发包人在应付结算价款中扣除。发包人凭收款收据及其他资料进行上述扣款。扣除部分不影响分包人应向发包人开具的发票数额。</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5）按国家规定由分包人交纳的各种税收、劳动保险费及其他费用已包含在本工程造价内，由分包人负责向税收等部门交纳。</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6</w:t>
      </w:r>
      <w:r>
        <w:rPr>
          <w:rFonts w:hint="eastAsia"/>
          <w:color w:val="000000" w:themeColor="text1"/>
          <w14:textFill>
            <w14:solidFill>
              <w14:schemeClr w14:val="tx1"/>
            </w14:solidFill>
          </w14:textFill>
        </w:rPr>
        <w:t>）发包人与监理人收到承包人提交的分包人竣工结算申请单，如经初步审核，资料不完善，分包人应在28天内补充完善并提交发包人审核，发包人审核开始时间从完整有效的结算资料收齐之日起计。</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7</w:t>
      </w:r>
      <w:r>
        <w:rPr>
          <w:rFonts w:hint="eastAsia"/>
          <w:color w:val="000000" w:themeColor="text1"/>
          <w14:textFill>
            <w14:solidFill>
              <w14:schemeClr w14:val="tx1"/>
            </w14:solidFill>
          </w14:textFill>
        </w:rPr>
        <w:t>）发包人复审竣工结算的，承包人、分包人应积极配合结算审核工作，因承包人、分包人提供资料不积极或者不准确、不完整造成的审核延误责任由分包人承担。最终结算金额以发包人书面确认为准。</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8</w:t>
      </w:r>
      <w:r>
        <w:rPr>
          <w:rFonts w:hint="eastAsia"/>
          <w:color w:val="000000" w:themeColor="text1"/>
          <w14:textFill>
            <w14:solidFill>
              <w14:schemeClr w14:val="tx1"/>
            </w14:solidFill>
          </w14:textFill>
        </w:rPr>
        <w:t>）本工程竣工结算方式（适用本合同的竣工结算方式为以下方框内已勾选方式，即</w:t>
      </w:r>
      <w:r>
        <w:rPr>
          <w:rFonts w:hint="eastAsia"/>
          <w:color w:val="000000" w:themeColor="text1"/>
          <w14:textFill>
            <w14:solidFill>
              <w14:schemeClr w14:val="tx1"/>
            </w14:solidFill>
          </w14:textFill>
        </w:rPr>
        <w:sym w:font="Wingdings 2" w:char="0052"/>
      </w:r>
      <w:r>
        <w:rPr>
          <w:rFonts w:hint="eastAsia"/>
          <w:color w:val="000000" w:themeColor="text1"/>
          <w14:textFill>
            <w14:solidFill>
              <w14:schemeClr w14:val="tx1"/>
            </w14:solidFill>
          </w14:textFill>
        </w:rPr>
        <w:t>）为:</w:t>
      </w:r>
    </w:p>
    <w:p>
      <w:pPr>
        <w:pStyle w:val="52"/>
        <w:ind w:firstLine="0" w:firstLineChars="0"/>
        <w:rPr>
          <w:color w:val="000000" w:themeColor="text1"/>
          <w14:textFill>
            <w14:solidFill>
              <w14:schemeClr w14:val="tx1"/>
            </w14:solidFill>
          </w14:textFill>
        </w:rPr>
      </w:pPr>
      <w:r>
        <w:rPr>
          <w:rFonts w:hint="eastAsia"/>
          <w:b/>
          <w:bCs/>
          <w:color w:val="000000" w:themeColor="text1"/>
          <w:sz w:val="28"/>
          <w:szCs w:val="28"/>
          <w14:textFill>
            <w14:solidFill>
              <w14:schemeClr w14:val="tx1"/>
            </w14:solidFill>
          </w14:textFill>
        </w:rPr>
        <w:sym w:font="Wingdings 2" w:char="00A3"/>
      </w:r>
      <w:r>
        <w:rPr>
          <w:rFonts w:hint="eastAsia"/>
          <w:b/>
          <w:bCs/>
          <w:color w:val="000000" w:themeColor="text1"/>
          <w:sz w:val="28"/>
          <w:szCs w:val="28"/>
          <w14:textFill>
            <w14:solidFill>
              <w14:schemeClr w14:val="tx1"/>
            </w14:solidFill>
          </w14:textFill>
        </w:rPr>
        <w:t>方式一</w:t>
      </w:r>
      <w:r>
        <w:rPr>
          <w:rFonts w:hint="eastAsia"/>
          <w:b/>
          <w:bCs/>
          <w:color w:val="000000" w:themeColor="text1"/>
          <w14:textFill>
            <w14:solidFill>
              <w14:schemeClr w14:val="tx1"/>
            </w14:solidFill>
          </w14:textFill>
        </w:rPr>
        <w:t>（适用于模拟清单招标固定单价计价模式）</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当重计量阶段已通过补充协议转固定总价合同时，竣工结算=补充协议约定的固定合同总价+设计变更+签证+索赔+其他；当重计量阶段尚不具备通过补充协议转固定总价合同的，竣工结算=竣工图（含设计变更）+签证+索赔+其他。</w:t>
      </w:r>
    </w:p>
    <w:p>
      <w:pPr>
        <w:pStyle w:val="52"/>
        <w:ind w:firstLine="0" w:firstLineChars="0"/>
        <w:rPr>
          <w:color w:val="000000" w:themeColor="text1"/>
          <w:u w:val="single"/>
          <w14:textFill>
            <w14:solidFill>
              <w14:schemeClr w14:val="tx1"/>
            </w14:solidFill>
          </w14:textFill>
        </w:rPr>
      </w:pPr>
      <w:r>
        <w:rPr>
          <w:rFonts w:ascii="Calibri" w:hAnsi="Calibri" w:eastAsia="宋体"/>
          <w:b/>
          <w:bCs/>
          <w:color w:val="000000" w:themeColor="text1"/>
          <w:kern w:val="2"/>
          <w:sz w:val="28"/>
          <w:szCs w:val="28"/>
          <w14:textFill>
            <w14:solidFill>
              <w14:schemeClr w14:val="tx1"/>
            </w14:solidFill>
          </w14:textFill>
        </w:rPr>
        <w:sym w:font="Wingdings 2" w:char="F052"/>
      </w:r>
      <w:r>
        <w:rPr>
          <w:rFonts w:hint="eastAsia"/>
          <w:b/>
          <w:bCs/>
          <w:color w:val="000000" w:themeColor="text1"/>
          <w:sz w:val="28"/>
          <w:szCs w:val="28"/>
          <w:u w:val="single"/>
          <w14:textFill>
            <w14:solidFill>
              <w14:schemeClr w14:val="tx1"/>
            </w14:solidFill>
          </w14:textFill>
        </w:rPr>
        <w:t>方式二</w:t>
      </w:r>
      <w:r>
        <w:rPr>
          <w:rFonts w:hint="eastAsia"/>
          <w:b/>
          <w:bCs/>
          <w:color w:val="000000" w:themeColor="text1"/>
          <w:u w:val="single"/>
          <w14:textFill>
            <w14:solidFill>
              <w14:schemeClr w14:val="tx1"/>
            </w14:solidFill>
          </w14:textFill>
        </w:rPr>
        <w:t>（</w:t>
      </w:r>
      <w:r>
        <w:rPr>
          <w:rFonts w:hint="eastAsia"/>
          <w:b/>
          <w:bCs/>
          <w:color w:val="000000" w:themeColor="text1"/>
          <w14:textFill>
            <w14:solidFill>
              <w14:schemeClr w14:val="tx1"/>
            </w14:solidFill>
          </w14:textFill>
        </w:rPr>
        <w:t>适用于施工图清单招标固定单价计价模式</w:t>
      </w:r>
      <w:r>
        <w:rPr>
          <w:rFonts w:hint="eastAsia"/>
          <w:b/>
          <w:bCs/>
          <w:color w:val="000000" w:themeColor="text1"/>
          <w:u w:val="single"/>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竣工结算=竣工图（含设计变更）+签证+索赔+其他；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分包人申报结算时不得高估冒算，分包人结算价超报率超过10%时，分包人应承担结算超报违约责任，结算超报违约金计算原则如下：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结算价超报率=（分包人结算送审造价－发包人结算审定价）/发包人结算审定价</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①分包人结算价超报率在10%（不含本数）~20%（含本数）时：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违约金＝(分包人结算送审造价－发包人结算审定价×1.</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，且不超30万元。</w:t>
      </w:r>
    </w:p>
    <w:p>
      <w:pPr>
        <w:pStyle w:val="52"/>
        <w:ind w:left="420" w:firstLine="0" w:firstLineChars="0"/>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②</w:t>
      </w:r>
      <w:r>
        <w:rPr>
          <w:rFonts w:hint="eastAsia"/>
          <w:color w:val="000000" w:themeColor="text1"/>
          <w14:textFill>
            <w14:solidFill>
              <w14:schemeClr w14:val="tx1"/>
            </w14:solidFill>
          </w14:textFill>
        </w:rPr>
        <w:t>分包人结算价超报率在</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0%以上时：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违约金＝发包人结算审定价×0.1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+(分包人结算送审造价－发包人结算审定价×1.2)×</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%，且不超50万元。</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如果采用分批分阶段结算的，则各批各阶段结算时按上述原则计算违约金，违约金在各批各阶段结算款中扣除；最后一批结算时，计算总结算金额的违约金，取各批各阶段结算累计超报违约金与总结算超报违约金之大值作为本合同工程的结算超报违约金。</w:t>
      </w:r>
    </w:p>
    <w:p>
      <w:pPr>
        <w:spacing w:line="360" w:lineRule="auto"/>
        <w:ind w:firstLine="420" w:firstLineChars="200"/>
        <w:rPr>
          <w:rFonts w:eastAsia="仿宋_GB2312"/>
          <w:color w:val="000000" w:themeColor="text1"/>
          <w:kern w:val="0"/>
          <w:szCs w:val="32"/>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9）三方人员（发包人、承包人及分包人）应每次对数前都在工作签到表上签名，签到表应注明当天三方办理结算的具体工作时间、内容、范围等事项，作为三方到场办理结算的现场工作记录。三方结算人员办理结算对数时应友好合作，对经核对确认无异议的数据和资料应当共同签字确认。如有异议，应当场提出，当场核对，当场记录争议的具体内容。如分包人</w:t>
      </w:r>
      <w:r>
        <w:rPr>
          <w:rFonts w:hint="eastAsia" w:eastAsia="仿宋_GB2312"/>
          <w:color w:val="000000" w:themeColor="text1"/>
          <w:kern w:val="0"/>
          <w:szCs w:val="32"/>
          <w14:textFill>
            <w14:solidFill>
              <w14:schemeClr w14:val="tx1"/>
            </w14:solidFill>
          </w14:textFill>
        </w:rPr>
        <w:t>对所核对的数据和资料没有书面提出异议，又不签字认可，发包人可以单方签名并在经过</w:t>
      </w:r>
      <w:r>
        <w:rPr>
          <w:rFonts w:hint="eastAsia" w:ascii="Times New Roman" w:hAnsi="Times New Roman" w:eastAsia="仿宋_GB2312"/>
          <w:color w:val="000000" w:themeColor="text1"/>
          <w:kern w:val="0"/>
          <w:szCs w:val="32"/>
          <w14:textFill>
            <w14:solidFill>
              <w14:schemeClr w14:val="tx1"/>
            </w14:solidFill>
          </w14:textFill>
        </w:rPr>
        <w:t>三</w:t>
      </w:r>
      <w:r>
        <w:rPr>
          <w:rFonts w:hint="eastAsia" w:eastAsia="仿宋_GB2312"/>
          <w:color w:val="000000" w:themeColor="text1"/>
          <w:kern w:val="0"/>
          <w:szCs w:val="32"/>
          <w14:textFill>
            <w14:solidFill>
              <w14:schemeClr w14:val="tx1"/>
            </w14:solidFill>
          </w14:textFill>
        </w:rPr>
        <w:t>方核对的文件资料上注明具体情况，将当天工作签到表和核对后的资料寄发给承包人、分包人，该资料即作为</w:t>
      </w:r>
      <w:r>
        <w:rPr>
          <w:rFonts w:hint="eastAsia" w:ascii="Times New Roman" w:hAnsi="Times New Roman" w:eastAsia="仿宋_GB2312"/>
          <w:color w:val="000000" w:themeColor="text1"/>
          <w:kern w:val="0"/>
          <w:szCs w:val="32"/>
          <w14:textFill>
            <w14:solidFill>
              <w14:schemeClr w14:val="tx1"/>
            </w14:solidFill>
          </w14:textFill>
        </w:rPr>
        <w:t>三</w:t>
      </w:r>
      <w:r>
        <w:rPr>
          <w:rFonts w:hint="eastAsia" w:eastAsia="仿宋_GB2312"/>
          <w:color w:val="000000" w:themeColor="text1"/>
          <w:kern w:val="0"/>
          <w:szCs w:val="32"/>
          <w14:textFill>
            <w14:solidFill>
              <w14:schemeClr w14:val="tx1"/>
            </w14:solidFill>
          </w14:textFill>
        </w:rPr>
        <w:t>方共同对数后确认的结算资料。对于</w:t>
      </w:r>
      <w:r>
        <w:rPr>
          <w:rFonts w:hint="eastAsia" w:ascii="Times New Roman" w:hAnsi="Times New Roman" w:eastAsia="仿宋_GB2312"/>
          <w:color w:val="000000" w:themeColor="text1"/>
          <w:kern w:val="0"/>
          <w:szCs w:val="32"/>
          <w14:textFill>
            <w14:solidFill>
              <w14:schemeClr w14:val="tx1"/>
            </w14:solidFill>
          </w14:textFill>
        </w:rPr>
        <w:t>三</w:t>
      </w:r>
      <w:r>
        <w:rPr>
          <w:rFonts w:hint="eastAsia" w:eastAsia="仿宋_GB2312"/>
          <w:color w:val="000000" w:themeColor="text1"/>
          <w:kern w:val="0"/>
          <w:szCs w:val="32"/>
          <w14:textFill>
            <w14:solidFill>
              <w14:schemeClr w14:val="tx1"/>
            </w14:solidFill>
          </w14:textFill>
        </w:rPr>
        <w:t>方意见分歧的书面记录，经</w:t>
      </w:r>
      <w:r>
        <w:rPr>
          <w:rFonts w:hint="eastAsia" w:ascii="Times New Roman" w:hAnsi="Times New Roman" w:eastAsia="仿宋_GB2312"/>
          <w:color w:val="000000" w:themeColor="text1"/>
          <w:kern w:val="0"/>
          <w:szCs w:val="32"/>
          <w14:textFill>
            <w14:solidFill>
              <w14:schemeClr w14:val="tx1"/>
            </w14:solidFill>
          </w14:textFill>
        </w:rPr>
        <w:t>三</w:t>
      </w:r>
      <w:r>
        <w:rPr>
          <w:rFonts w:hint="eastAsia" w:eastAsia="仿宋_GB2312"/>
          <w:color w:val="000000" w:themeColor="text1"/>
          <w:kern w:val="0"/>
          <w:szCs w:val="32"/>
          <w14:textFill>
            <w14:solidFill>
              <w14:schemeClr w14:val="tx1"/>
            </w14:solidFill>
          </w14:textFill>
        </w:rPr>
        <w:t>方对数人员共同核对清楚并签字确认后，上报领导协商解决任何人员不得因意见分歧而发生争执、对骂，甚至侮辱、殴打对方。如发生上述事件，受害方有权向侵权方索赔，由侵权方承担一切法律责任。分包人、承包人在结算期间，不按照发包人要求的时间或期限与发包人对数的，或者经过</w:t>
      </w:r>
      <w:r>
        <w:rPr>
          <w:rFonts w:hint="eastAsia" w:ascii="Times New Roman" w:hAnsi="Times New Roman" w:eastAsia="仿宋_GB2312"/>
          <w:color w:val="000000" w:themeColor="text1"/>
          <w:kern w:val="0"/>
          <w:szCs w:val="32"/>
          <w14:textFill>
            <w14:solidFill>
              <w14:schemeClr w14:val="tx1"/>
            </w14:solidFill>
          </w14:textFill>
        </w:rPr>
        <w:t>三</w:t>
      </w:r>
      <w:r>
        <w:rPr>
          <w:rFonts w:hint="eastAsia" w:eastAsia="仿宋_GB2312"/>
          <w:color w:val="000000" w:themeColor="text1"/>
          <w:kern w:val="0"/>
          <w:szCs w:val="32"/>
          <w14:textFill>
            <w14:solidFill>
              <w14:schemeClr w14:val="tx1"/>
            </w14:solidFill>
          </w14:textFill>
        </w:rPr>
        <w:t>方共同对数但分包人不签字对数结果的，或者推翻经过</w:t>
      </w:r>
      <w:r>
        <w:rPr>
          <w:rFonts w:hint="eastAsia" w:ascii="Times New Roman" w:hAnsi="Times New Roman" w:eastAsia="仿宋_GB2312"/>
          <w:color w:val="000000" w:themeColor="text1"/>
          <w:kern w:val="0"/>
          <w:szCs w:val="32"/>
          <w14:textFill>
            <w14:solidFill>
              <w14:schemeClr w14:val="tx1"/>
            </w14:solidFill>
          </w14:textFill>
        </w:rPr>
        <w:t>三</w:t>
      </w:r>
      <w:r>
        <w:rPr>
          <w:rFonts w:hint="eastAsia" w:eastAsia="仿宋_GB2312"/>
          <w:color w:val="000000" w:themeColor="text1"/>
          <w:kern w:val="0"/>
          <w:szCs w:val="32"/>
          <w14:textFill>
            <w14:solidFill>
              <w14:schemeClr w14:val="tx1"/>
            </w14:solidFill>
          </w14:textFill>
        </w:rPr>
        <w:t>方共同确认的对数成果的，发包人办理结算的时间向后顺延，期间不须支付剩余工程款，由分包人承担结算延误的违约责任。</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10</w:t>
      </w:r>
      <w:r>
        <w:rPr>
          <w:rFonts w:hint="eastAsia"/>
          <w:color w:val="000000" w:themeColor="text1"/>
          <w14:textFill>
            <w14:solidFill>
              <w14:schemeClr w14:val="tx1"/>
            </w14:solidFill>
          </w14:textFill>
        </w:rPr>
        <w:t>）分包人延迟提供完整、有效的结算书的，每延迟1天，须向承包人支付500元/天的违约金。分包人拒不配合竣工结算的，发包人有权进行单面结算或委托第三方中介机构结算。结算结果送达分包人后15天内分包人未向发包人反馈结算书面确认信息的，视为分包人已默认并同意结算结果。该等情形下，分包人需通过承包人向发包人支付签约合同价格的</w:t>
      </w:r>
      <w:r>
        <w:rPr>
          <w:color w:val="000000" w:themeColor="text1"/>
          <w14:textFill>
            <w14:solidFill>
              <w14:schemeClr w14:val="tx1"/>
            </w14:solidFill>
          </w14:textFill>
        </w:rPr>
        <w:t>0.5%</w:t>
      </w:r>
      <w:r>
        <w:rPr>
          <w:rFonts w:hint="eastAsia"/>
          <w:color w:val="000000" w:themeColor="text1"/>
          <w14:textFill>
            <w14:solidFill>
              <w14:schemeClr w14:val="tx1"/>
            </w14:solidFill>
          </w14:textFill>
        </w:rPr>
        <w:t>作为结算编制费用，同时应向承包人按签约合同价格的0.5%支付违约金，且经发包人同意，承包人有权在应付分包人的工程款中直接扣留该款项。</w:t>
      </w:r>
    </w:p>
    <w:p>
      <w:pPr>
        <w:pStyle w:val="73"/>
        <w:rPr>
          <w:color w:val="000000" w:themeColor="text1"/>
          <w14:textFill>
            <w14:solidFill>
              <w14:schemeClr w14:val="tx1"/>
            </w14:solidFill>
          </w14:textFill>
        </w:rPr>
      </w:pPr>
      <w:bookmarkStart w:id="808" w:name="_Toc9837"/>
      <w:bookmarkStart w:id="809" w:name="_Toc44228170"/>
      <w:bookmarkStart w:id="810" w:name="_Toc10784"/>
      <w:bookmarkStart w:id="811" w:name="_Toc91082452"/>
      <w:bookmarkStart w:id="812" w:name="_Toc38987287"/>
      <w:bookmarkStart w:id="813" w:name="_Toc44492611"/>
      <w:bookmarkStart w:id="814" w:name="_Toc29108"/>
      <w:r>
        <w:rPr>
          <w:rFonts w:hint="eastAsia"/>
          <w:color w:val="000000" w:themeColor="text1"/>
          <w14:textFill>
            <w14:solidFill>
              <w14:schemeClr w14:val="tx1"/>
            </w14:solidFill>
          </w14:textFill>
        </w:rPr>
        <w:t>18.竣工验收</w:t>
      </w:r>
      <w:bookmarkEnd w:id="808"/>
      <w:bookmarkEnd w:id="809"/>
      <w:bookmarkEnd w:id="810"/>
      <w:bookmarkEnd w:id="811"/>
      <w:bookmarkEnd w:id="812"/>
      <w:bookmarkEnd w:id="813"/>
      <w:bookmarkEnd w:id="814"/>
    </w:p>
    <w:p>
      <w:pPr>
        <w:pStyle w:val="77"/>
        <w:ind w:firstLine="480"/>
        <w:rPr>
          <w:color w:val="000000" w:themeColor="text1"/>
          <w14:textFill>
            <w14:solidFill>
              <w14:schemeClr w14:val="tx1"/>
            </w14:solidFill>
          </w14:textFill>
        </w:rPr>
      </w:pPr>
      <w:bookmarkStart w:id="815" w:name="_Toc29777"/>
      <w:bookmarkStart w:id="816" w:name="_Toc23922"/>
      <w:bookmarkStart w:id="817" w:name="_Toc44492612"/>
      <w:r>
        <w:rPr>
          <w:rFonts w:hint="eastAsia"/>
          <w:color w:val="000000" w:themeColor="text1"/>
          <w14:textFill>
            <w14:solidFill>
              <w14:schemeClr w14:val="tx1"/>
            </w14:solidFill>
          </w14:textFill>
        </w:rPr>
        <w:t>18.3. 验收</w:t>
      </w:r>
      <w:bookmarkEnd w:id="815"/>
      <w:bookmarkEnd w:id="816"/>
      <w:bookmarkEnd w:id="817"/>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18.3.2. 通用条款第18.3.2修订为：工程竣工验收包括整体工程竣工验收（指按照相关规定，在政府主管部门立项的项目在竣工备案前须完成的整体工程竣工验收，包括总承包施工范围及专用工程施工范围）与专业承包工程竣工验收（指本合同约定的分包人施工范围内的工程项目竣工验收）。本合同竣工验收通常指专业分包工程竣工验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竣工验收前分包人应组织自检并根据检查结果整改合格后，通过承包人向监理人提出书面竣工验收申请。经发包人组织承包人、分包人、监理人、设计人等进行验收，验收合格后，参验单位签发并盖章确认的工程竣工验收通过并合格证明文件，并在规定时间内向发包人或发包人指定的第三方办理工程移交手续。竣工验收通过且合格日期即为实际竣工验收合格日期。</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发包人验收后同意接收工程但提出整修和完善要求的，按甩项竣工验收处理。需整修和完善的具体内容应在竣工验收的相关资料内载明，并明确整修完成期限，分包人须按期整修和完善。甩项验收工作内容完成后，分包人通过承包人向监理人申报查验，经监理人组织相关单位复查达到要求的，经发包人同意后，发包人、监理人、承包人、分包人等参验单位书面确认并签发甩项竣工验收通过并合格的证明文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18.3.7.  竣工验收资料要求如下：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在申请工程验收（含工程竣工验收、甩项竣工验收和单位工程验收）之前，应提前7天以上按照任何有关管理机构的要求以及政府关于档案管理的规定进行整理和装订全套竣工资料（含竣工图）并保证其正确性、有效性和完整性，并在申请时将竣工资料和竣工图纸提交给发包人或承包人。所有专业分工程的验收资料（含竣工图纸）由相应的专业工程分包人准备和编制，但由本工程承包人负责审查、汇总和装订。分包人完成竣工图纸编制后应报承包人、监理单位、设计单位、发包人审核，并根据审核意见及时据实修改。经承包人、监理单位、设计单位、发包人审核通过的竣工图，由分包人按本合同约定的相关要求负责打印晒图，组织各审核单位签字确认并盖章。竣工验收资料（含竣工图）应包含纸版与电子版格式，竣工图电子版应满足工程所在地政府主管部门有关竣工图电子文档的软件格式与版本要求，同时分包人应向发包人提供与竣工图对应的C</w:t>
      </w:r>
      <w:r>
        <w:rPr>
          <w:color w:val="000000" w:themeColor="text1"/>
          <w14:textFill>
            <w14:solidFill>
              <w14:schemeClr w14:val="tx1"/>
            </w14:solidFill>
          </w14:textFill>
        </w:rPr>
        <w:t>AD电子版本</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 竣工验收资料的份数：</w:t>
      </w:r>
      <w:r>
        <w:rPr>
          <w:rFonts w:hint="eastAsia"/>
          <w:color w:val="000000" w:themeColor="text1"/>
          <w:u w:val="single"/>
          <w14:textFill>
            <w14:solidFill>
              <w14:schemeClr w14:val="tx1"/>
            </w14:solidFill>
          </w14:textFill>
        </w:rPr>
        <w:t>陆</w:t>
      </w:r>
      <w:r>
        <w:rPr>
          <w:rFonts w:hint="eastAsia"/>
          <w:color w:val="000000" w:themeColor="text1"/>
          <w14:textFill>
            <w14:solidFill>
              <w14:schemeClr w14:val="tx1"/>
            </w14:solidFill>
          </w14:textFill>
        </w:rPr>
        <w:t>份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竣工验收资料的费用支付方式：</w:t>
      </w:r>
      <w:r>
        <w:rPr>
          <w:rFonts w:hint="eastAsia"/>
          <w:color w:val="000000" w:themeColor="text1"/>
          <w:u w:val="single"/>
          <w14:textFill>
            <w14:solidFill>
              <w14:schemeClr w14:val="tx1"/>
            </w14:solidFill>
          </w14:textFill>
        </w:rPr>
        <w:t>已包含在合同价款中，发包人无需另行支付</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 分包人延迟提供符合以上规定的竣工图纸及竣工资料的，每延迟1天，须支付相当于合同签约合同价格</w:t>
      </w:r>
      <w:r>
        <w:rPr>
          <w:rFonts w:hint="eastAsia"/>
          <w:color w:val="000000" w:themeColor="text1"/>
          <w:u w:val="single"/>
          <w14:textFill>
            <w14:solidFill>
              <w14:schemeClr w14:val="tx1"/>
            </w14:solidFill>
          </w14:textFill>
        </w:rPr>
        <w:t>万分之五</w:t>
      </w:r>
      <w:r>
        <w:rPr>
          <w:rFonts w:hint="eastAsia"/>
          <w:color w:val="000000" w:themeColor="text1"/>
          <w14:textFill>
            <w14:solidFill>
              <w14:schemeClr w14:val="tx1"/>
            </w14:solidFill>
          </w14:textFill>
        </w:rPr>
        <w:t>的违约金。</w:t>
      </w:r>
    </w:p>
    <w:p>
      <w:pPr>
        <w:pStyle w:val="77"/>
        <w:ind w:firstLine="480"/>
        <w:rPr>
          <w:color w:val="000000" w:themeColor="text1"/>
          <w14:textFill>
            <w14:solidFill>
              <w14:schemeClr w14:val="tx1"/>
            </w14:solidFill>
          </w14:textFill>
        </w:rPr>
      </w:pPr>
      <w:bookmarkStart w:id="818" w:name="_Toc3516"/>
      <w:bookmarkStart w:id="819" w:name="_Toc44492613"/>
      <w:bookmarkStart w:id="820" w:name="_Toc27749"/>
      <w:r>
        <w:rPr>
          <w:rFonts w:hint="eastAsia"/>
          <w:color w:val="000000" w:themeColor="text1"/>
          <w14:textFill>
            <w14:solidFill>
              <w14:schemeClr w14:val="tx1"/>
            </w14:solidFill>
          </w14:textFill>
        </w:rPr>
        <w:t>18.4. 施工期运行</w:t>
      </w:r>
      <w:bookmarkEnd w:id="818"/>
      <w:bookmarkEnd w:id="819"/>
      <w:bookmarkEnd w:id="820"/>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18.4.1. 需要施工期运行的单位工程或设备安装工程：</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w:t>
      </w:r>
    </w:p>
    <w:p>
      <w:pPr>
        <w:pStyle w:val="77"/>
        <w:ind w:firstLine="480"/>
        <w:rPr>
          <w:color w:val="000000" w:themeColor="text1"/>
          <w14:textFill>
            <w14:solidFill>
              <w14:schemeClr w14:val="tx1"/>
            </w14:solidFill>
          </w14:textFill>
        </w:rPr>
      </w:pPr>
      <w:bookmarkStart w:id="821" w:name="_Toc11828"/>
      <w:bookmarkStart w:id="822" w:name="_Toc26667"/>
      <w:bookmarkStart w:id="823" w:name="_Toc44492614"/>
      <w:r>
        <w:rPr>
          <w:rFonts w:hint="eastAsia"/>
          <w:color w:val="000000" w:themeColor="text1"/>
          <w14:textFill>
            <w14:solidFill>
              <w14:schemeClr w14:val="tx1"/>
            </w14:solidFill>
          </w14:textFill>
        </w:rPr>
        <w:t>18.5. 试运行</w:t>
      </w:r>
      <w:bookmarkEnd w:id="821"/>
      <w:bookmarkEnd w:id="822"/>
      <w:bookmarkEnd w:id="823"/>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18.5.1. 需要试运行的单位工程或设备安装工程：</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18.5.3 试运行全部费用（包括但不限于水、电、汽费用，原材料费、人工费、检测费等）已含在合同签约合同价格内，由分包人承担。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18.5.4 试运行的内容、范围及试运行时间具体要求：</w:t>
      </w:r>
      <w:r>
        <w:rPr>
          <w:rFonts w:hint="eastAsia"/>
          <w:color w:val="000000" w:themeColor="text1"/>
          <w:u w:val="single"/>
          <w14:textFill>
            <w14:solidFill>
              <w14:schemeClr w14:val="tx1"/>
            </w14:solidFill>
          </w14:textFill>
        </w:rPr>
        <w:t xml:space="preserve">  无。</w:t>
      </w:r>
      <w:r>
        <w:rPr>
          <w:rFonts w:hint="eastAsia"/>
          <w:color w:val="000000" w:themeColor="text1"/>
          <w14:textFill>
            <w14:solidFill>
              <w14:schemeClr w14:val="tx1"/>
            </w14:solidFill>
          </w14:textFill>
        </w:rPr>
        <w:t xml:space="preserve">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18.5.5. 试运行达不到验收要求的，按下列规定处理： </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a.由于设计原因试运行达不到验收要求，发包人应要求设计单位修改设计，分包人按修改后的设计重新安装。发包人承担修改设计、拆除及重新安装的全部费用，工期相应顺延。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b.由于设备制造质量原因试运行达不到验收要求，由该责任方负责重新购置或修理，分包人负责拆除和重新安装。设备由分包人采购的，由分包人承担修理或重新采购、拆除及重新安装的费用，工期不予顺延；设备由发包人供应的，发包人承担上述各项费用，并列入合同价款，工期相应顺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c.由于分包人施工原因试运行达不到验收要求，分包人按监理工程师要求重新安装和试运行，并承担拆除、重新安装和重新试运行的费用，工期不予顺延。</w:t>
      </w:r>
    </w:p>
    <w:p>
      <w:pPr>
        <w:pStyle w:val="77"/>
        <w:ind w:firstLine="480"/>
        <w:rPr>
          <w:color w:val="000000" w:themeColor="text1"/>
          <w14:textFill>
            <w14:solidFill>
              <w14:schemeClr w14:val="tx1"/>
            </w14:solidFill>
          </w14:textFill>
        </w:rPr>
      </w:pPr>
      <w:bookmarkStart w:id="824" w:name="_Toc44492615"/>
      <w:bookmarkStart w:id="825" w:name="_Toc15553"/>
      <w:bookmarkStart w:id="826" w:name="_Toc1405"/>
      <w:r>
        <w:rPr>
          <w:rFonts w:hint="eastAsia"/>
          <w:color w:val="000000" w:themeColor="text1"/>
          <w14:textFill>
            <w14:solidFill>
              <w14:schemeClr w14:val="tx1"/>
            </w14:solidFill>
          </w14:textFill>
        </w:rPr>
        <w:t>18.7. 施工队伍的撤离</w:t>
      </w:r>
      <w:bookmarkEnd w:id="824"/>
      <w:bookmarkEnd w:id="825"/>
      <w:bookmarkEnd w:id="82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18.7.1. 分包人全部退场的时间为本工程竣工验收合格且移交后</w:t>
      </w:r>
      <w:r>
        <w:rPr>
          <w:rFonts w:hint="eastAsia"/>
          <w:color w:val="000000" w:themeColor="text1"/>
          <w:u w:val="single"/>
          <w14:textFill>
            <w14:solidFill>
              <w14:schemeClr w14:val="tx1"/>
            </w14:solidFill>
          </w14:textFill>
        </w:rPr>
        <w:t>1</w:t>
      </w:r>
      <w:r>
        <w:rPr>
          <w:color w:val="000000" w:themeColor="text1"/>
          <w:u w:val="single"/>
          <w14:textFill>
            <w14:solidFill>
              <w14:schemeClr w14:val="tx1"/>
            </w14:solidFill>
          </w14:textFill>
        </w:rPr>
        <w:t>5</w:t>
      </w:r>
      <w:r>
        <w:rPr>
          <w:rFonts w:hint="eastAsia"/>
          <w:color w:val="000000" w:themeColor="text1"/>
          <w14:textFill>
            <w14:solidFill>
              <w14:schemeClr w14:val="tx1"/>
            </w14:solidFill>
          </w14:textFill>
        </w:rPr>
        <w:t>天及以内，每迟延一天，分包人应向承包人或发包人支付人民币</w:t>
      </w:r>
      <w:r>
        <w:rPr>
          <w:rFonts w:hint="eastAsia"/>
          <w:color w:val="000000" w:themeColor="text1"/>
          <w:u w:val="single"/>
          <w14:textFill>
            <w14:solidFill>
              <w14:schemeClr w14:val="tx1"/>
            </w14:solidFill>
          </w14:textFill>
        </w:rPr>
        <w:t xml:space="preserve"> </w:t>
      </w:r>
      <w:r>
        <w:rPr>
          <w:color w:val="000000" w:themeColor="text1"/>
          <w:u w:val="single"/>
          <w14:textFill>
            <w14:solidFill>
              <w14:schemeClr w14:val="tx1"/>
            </w14:solidFill>
          </w14:textFill>
        </w:rPr>
        <w:t>5000</w:t>
      </w:r>
      <w:r>
        <w:rPr>
          <w:rFonts w:hint="eastAsia"/>
          <w:color w:val="000000" w:themeColor="text1"/>
          <w14:textFill>
            <w14:solidFill>
              <w14:schemeClr w14:val="tx1"/>
            </w14:solidFill>
          </w14:textFill>
        </w:rPr>
        <w:t>元违约金。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18.7.2.分包人不得因与发包人的工程款纠纷、其他纠纷或其他任何原因占据现场，拒绝撤离，否则按照迟延撤离承担违约责任。</w:t>
      </w:r>
    </w:p>
    <w:p>
      <w:pPr>
        <w:pStyle w:val="73"/>
        <w:rPr>
          <w:color w:val="000000" w:themeColor="text1"/>
          <w14:textFill>
            <w14:solidFill>
              <w14:schemeClr w14:val="tx1"/>
            </w14:solidFill>
          </w14:textFill>
        </w:rPr>
      </w:pPr>
      <w:bookmarkStart w:id="827" w:name="_Toc44228171"/>
      <w:bookmarkStart w:id="828" w:name="_Toc38987288"/>
      <w:bookmarkStart w:id="829" w:name="_Toc30044"/>
      <w:bookmarkStart w:id="830" w:name="_Toc19809"/>
      <w:bookmarkStart w:id="831" w:name="_Toc44492616"/>
      <w:bookmarkStart w:id="832" w:name="_Toc1433"/>
      <w:bookmarkStart w:id="833" w:name="_Toc91082453"/>
      <w:r>
        <w:rPr>
          <w:rFonts w:hint="eastAsia"/>
          <w:color w:val="000000" w:themeColor="text1"/>
          <w14:textFill>
            <w14:solidFill>
              <w14:schemeClr w14:val="tx1"/>
            </w14:solidFill>
          </w14:textFill>
        </w:rPr>
        <w:t>19.缺陷责任</w:t>
      </w:r>
      <w:bookmarkEnd w:id="827"/>
      <w:bookmarkEnd w:id="828"/>
      <w:bookmarkEnd w:id="829"/>
      <w:bookmarkEnd w:id="830"/>
      <w:bookmarkEnd w:id="831"/>
      <w:bookmarkEnd w:id="832"/>
      <w:bookmarkStart w:id="834" w:name="_Toc15926"/>
      <w:bookmarkStart w:id="835" w:name="_Toc9017"/>
      <w:bookmarkStart w:id="836" w:name="_Toc44492617"/>
      <w:r>
        <w:rPr>
          <w:rFonts w:hint="eastAsia"/>
          <w:color w:val="000000" w:themeColor="text1"/>
          <w14:textFill>
            <w14:solidFill>
              <w14:schemeClr w14:val="tx1"/>
            </w14:solidFill>
          </w14:textFill>
        </w:rPr>
        <w:t>与保修</w:t>
      </w:r>
      <w:bookmarkEnd w:id="833"/>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19.2.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 xml:space="preserve"> 缺陷责任期</w:t>
      </w:r>
      <w:bookmarkEnd w:id="834"/>
      <w:bookmarkEnd w:id="835"/>
      <w:bookmarkEnd w:id="83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19.2.1. 本合同中的缺陷责任期为两年，自项目</w:t>
      </w:r>
      <w:r>
        <w:rPr>
          <w:rFonts w:hint="eastAsia"/>
          <w:color w:val="000000" w:themeColor="text1"/>
          <w:u w:val="single"/>
          <w14:textFill>
            <w14:solidFill>
              <w14:schemeClr w14:val="tx1"/>
            </w14:solidFill>
          </w14:textFill>
        </w:rPr>
        <w:t xml:space="preserve">竣工验收合格之日 </w:t>
      </w:r>
      <w:r>
        <w:rPr>
          <w:rFonts w:hint="eastAsia"/>
          <w:color w:val="000000" w:themeColor="text1"/>
          <w14:textFill>
            <w14:solidFill>
              <w14:schemeClr w14:val="tx1"/>
            </w14:solidFill>
          </w14:textFill>
        </w:rPr>
        <w:t>起计算，缺陷责任</w:t>
      </w:r>
      <w:r>
        <w:rPr>
          <w:color w:val="000000" w:themeColor="text1"/>
          <w14:textFill>
            <w14:solidFill>
              <w14:schemeClr w14:val="tx1"/>
            </w14:solidFill>
          </w14:textFill>
        </w:rPr>
        <w:t>期内，</w:t>
      </w:r>
      <w:r>
        <w:rPr>
          <w:rFonts w:hint="eastAsia"/>
          <w:color w:val="000000" w:themeColor="text1"/>
          <w14:textFill>
            <w14:solidFill>
              <w14:schemeClr w14:val="tx1"/>
            </w14:solidFill>
          </w14:textFill>
        </w:rPr>
        <w:t>由</w:t>
      </w:r>
      <w:r>
        <w:rPr>
          <w:color w:val="000000" w:themeColor="text1"/>
          <w14:textFill>
            <w14:solidFill>
              <w14:schemeClr w14:val="tx1"/>
            </w14:solidFill>
          </w14:textFill>
        </w:rPr>
        <w:t>分包人原因造成的缺陷，</w:t>
      </w:r>
      <w:r>
        <w:rPr>
          <w:rFonts w:hint="eastAsia"/>
          <w:color w:val="000000" w:themeColor="text1"/>
          <w14:textFill>
            <w14:solidFill>
              <w14:schemeClr w14:val="tx1"/>
            </w14:solidFill>
          </w14:textFill>
        </w:rPr>
        <w:t>分包人</w:t>
      </w:r>
      <w:r>
        <w:rPr>
          <w:color w:val="000000" w:themeColor="text1"/>
          <w14:textFill>
            <w14:solidFill>
              <w14:schemeClr w14:val="tx1"/>
            </w14:solidFill>
          </w14:textFill>
        </w:rPr>
        <w:t>应负责维修，并承担鉴定及维修费用</w:t>
      </w:r>
      <w:r>
        <w:rPr>
          <w:rFonts w:hint="eastAsia"/>
          <w:color w:val="000000" w:themeColor="text1"/>
          <w14:textFill>
            <w14:solidFill>
              <w14:schemeClr w14:val="tx1"/>
            </w14:solidFill>
          </w14:textFill>
        </w:rPr>
        <w:t>。如</w:t>
      </w:r>
      <w:r>
        <w:rPr>
          <w:color w:val="000000" w:themeColor="text1"/>
          <w14:textFill>
            <w14:solidFill>
              <w14:schemeClr w14:val="tx1"/>
            </w14:solidFill>
          </w14:textFill>
        </w:rPr>
        <w:t>分包人不维修也不承担费用，</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可按合同约定从预留的</w:t>
      </w:r>
      <w:r>
        <w:rPr>
          <w:rFonts w:hint="eastAsia"/>
          <w:color w:val="000000" w:themeColor="text1"/>
          <w14:textFill>
            <w14:solidFill>
              <w14:schemeClr w14:val="tx1"/>
            </w14:solidFill>
          </w14:textFill>
        </w:rPr>
        <w:t>质量</w:t>
      </w:r>
      <w:r>
        <w:rPr>
          <w:color w:val="000000" w:themeColor="text1"/>
          <w14:textFill>
            <w14:solidFill>
              <w14:schemeClr w14:val="tx1"/>
            </w14:solidFill>
          </w14:textFill>
        </w:rPr>
        <w:t>保证金中扣除，费用超出</w:t>
      </w:r>
      <w:r>
        <w:rPr>
          <w:rFonts w:hint="eastAsia"/>
          <w:color w:val="000000" w:themeColor="text1"/>
          <w14:textFill>
            <w14:solidFill>
              <w14:schemeClr w14:val="tx1"/>
            </w14:solidFill>
          </w14:textFill>
        </w:rPr>
        <w:t>质量</w:t>
      </w:r>
      <w:r>
        <w:rPr>
          <w:color w:val="000000" w:themeColor="text1"/>
          <w14:textFill>
            <w14:solidFill>
              <w14:schemeClr w14:val="tx1"/>
            </w14:solidFill>
          </w14:textFill>
        </w:rPr>
        <w:t>保证金金额的，</w:t>
      </w:r>
      <w:r>
        <w:rPr>
          <w:rFonts w:hint="eastAsia"/>
          <w:color w:val="000000" w:themeColor="text1"/>
          <w14:textFill>
            <w14:solidFill>
              <w14:schemeClr w14:val="tx1"/>
            </w14:solidFill>
          </w14:textFill>
        </w:rPr>
        <w:t>承包人应补足。</w:t>
      </w:r>
      <w:r>
        <w:rPr>
          <w:color w:val="000000" w:themeColor="text1"/>
          <w14:textFill>
            <w14:solidFill>
              <w14:schemeClr w14:val="tx1"/>
            </w14:solidFill>
          </w14:textFill>
        </w:rPr>
        <w:t>分包人</w:t>
      </w:r>
      <w:r>
        <w:rPr>
          <w:rFonts w:hint="eastAsia"/>
          <w:color w:val="000000" w:themeColor="text1"/>
          <w14:textFill>
            <w14:solidFill>
              <w14:schemeClr w14:val="tx1"/>
            </w14:solidFill>
          </w14:textFill>
        </w:rPr>
        <w:t>维修</w:t>
      </w:r>
      <w:r>
        <w:rPr>
          <w:color w:val="000000" w:themeColor="text1"/>
          <w14:textFill>
            <w14:solidFill>
              <w14:schemeClr w14:val="tx1"/>
            </w14:solidFill>
          </w14:textFill>
        </w:rPr>
        <w:t>并承担相应费用后，不免除对工程</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损失赔偿责任。</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工程质量</w:t>
      </w:r>
      <w:r>
        <w:rPr>
          <w:rFonts w:hint="eastAsia"/>
          <w:color w:val="000000" w:themeColor="text1"/>
          <w14:textFill>
            <w14:solidFill>
              <w14:schemeClr w14:val="tx1"/>
            </w14:solidFill>
          </w14:textFill>
        </w:rPr>
        <w:t>保修时间、责任及程序详细约定见附件5 《工程质量保修书》。</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19.</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缺陷责任程序</w:t>
      </w:r>
    </w:p>
    <w:p>
      <w:pPr>
        <w:pStyle w:val="7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19</w:t>
      </w:r>
      <w:r>
        <w:rPr>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保修</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19.4.1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保修责任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工程</w:t>
      </w:r>
      <w:r>
        <w:rPr>
          <w:rFonts w:hint="eastAsia" w:ascii="仿宋_GB2312" w:hAnsi="宋体"/>
          <w:color w:val="000000" w:themeColor="text1"/>
          <w14:textFill>
            <w14:solidFill>
              <w14:schemeClr w14:val="tx1"/>
            </w14:solidFill>
          </w14:textFill>
        </w:rPr>
        <w:t>质量</w:t>
      </w:r>
      <w:r>
        <w:rPr>
          <w:rFonts w:hint="eastAsia"/>
          <w:color w:val="000000" w:themeColor="text1"/>
          <w14:textFill>
            <w14:solidFill>
              <w14:schemeClr w14:val="tx1"/>
            </w14:solidFill>
          </w14:textFill>
        </w:rPr>
        <w:t>保修期及质量保修责任详见合同附件5“工程质量保修书”。工程竣工验收后，按合同附件5格式签订《工程质量保修书》。</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19.4.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修复通知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在保修期内，发包人在使用过程中，发现已接收的工程存在缺陷或损坏的，应书面通知承包人、分包人予以修复，但情况紧急必须立即修复缺陷或损坏的，发包人可以口头通知承包人、分包人并在口头通知后48小时内书面确认，分包人按合同附件5“工程质量保修书”</w:t>
      </w:r>
      <w:r>
        <w:rPr>
          <w:rFonts w:hint="eastAsia"/>
          <w:color w:val="000000" w:themeColor="text1"/>
          <w:u w:val="single"/>
          <w14:textFill>
            <w14:solidFill>
              <w14:schemeClr w14:val="tx1"/>
            </w14:solidFill>
          </w14:textFill>
        </w:rPr>
        <w:t>约定</w:t>
      </w:r>
      <w:r>
        <w:rPr>
          <w:rFonts w:hint="eastAsia"/>
          <w:color w:val="000000" w:themeColor="text1"/>
          <w14:textFill>
            <w14:solidFill>
              <w14:schemeClr w14:val="tx1"/>
            </w14:solidFill>
          </w14:textFill>
        </w:rPr>
        <w:t>的期限内到达工程现场并修复缺陷或损坏。</w:t>
      </w:r>
    </w:p>
    <w:p>
      <w:pPr>
        <w:pStyle w:val="73"/>
        <w:rPr>
          <w:color w:val="000000" w:themeColor="text1"/>
          <w14:textFill>
            <w14:solidFill>
              <w14:schemeClr w14:val="tx1"/>
            </w14:solidFill>
          </w14:textFill>
        </w:rPr>
      </w:pPr>
      <w:bookmarkStart w:id="837" w:name="_Toc11284"/>
      <w:bookmarkStart w:id="838" w:name="_Toc91082454"/>
      <w:bookmarkStart w:id="839" w:name="_Toc27986"/>
      <w:bookmarkStart w:id="840" w:name="_Toc38987289"/>
      <w:bookmarkStart w:id="841" w:name="_Toc44228172"/>
      <w:bookmarkStart w:id="842" w:name="_Toc44492618"/>
      <w:bookmarkStart w:id="843" w:name="_Toc15853"/>
      <w:r>
        <w:rPr>
          <w:rFonts w:hint="eastAsia"/>
          <w:color w:val="000000" w:themeColor="text1"/>
          <w14:textFill>
            <w14:solidFill>
              <w14:schemeClr w14:val="tx1"/>
            </w14:solidFill>
          </w14:textFill>
        </w:rPr>
        <w:t>20.保险</w:t>
      </w:r>
      <w:bookmarkEnd w:id="837"/>
      <w:bookmarkEnd w:id="838"/>
      <w:bookmarkEnd w:id="839"/>
      <w:bookmarkEnd w:id="840"/>
      <w:bookmarkEnd w:id="841"/>
      <w:bookmarkEnd w:id="842"/>
      <w:bookmarkEnd w:id="843"/>
    </w:p>
    <w:p>
      <w:pPr>
        <w:pStyle w:val="77"/>
        <w:ind w:firstLine="480"/>
        <w:rPr>
          <w:color w:val="000000" w:themeColor="text1"/>
          <w14:textFill>
            <w14:solidFill>
              <w14:schemeClr w14:val="tx1"/>
            </w14:solidFill>
          </w14:textFill>
        </w:rPr>
      </w:pPr>
      <w:bookmarkStart w:id="844" w:name="_Toc24049"/>
      <w:bookmarkStart w:id="845" w:name="_Toc27339"/>
      <w:bookmarkStart w:id="846" w:name="_Toc44492619"/>
      <w:r>
        <w:rPr>
          <w:rFonts w:hint="eastAsia"/>
          <w:color w:val="000000" w:themeColor="text1"/>
          <w14:textFill>
            <w14:solidFill>
              <w14:schemeClr w14:val="tx1"/>
            </w14:solidFill>
          </w14:textFill>
        </w:rPr>
        <w:t>20.1. 建筑工程一切险(含第三者责任险）</w:t>
      </w:r>
      <w:bookmarkEnd w:id="844"/>
      <w:bookmarkEnd w:id="845"/>
      <w:bookmarkEnd w:id="84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20.1.1. 通用条款第20.1.1条中“本工程项目应投保的建筑工程一切险（含第三者责任险）的相关费用均已包含在合同总价中”修订为“本工程项目应投保的建筑/安装工程一切险（含第三者责任险）由承包人购买”，有关建筑工程一切险（含第三者责任险）的投保条件规定如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1）承包人已为本工程购买了 “建筑/安装工程一切险（含第三者责任险）”，其范围已包括此分包工程，但相应免赔额、保险除外责任部分由分包人自行承担。该保险条款的详细内容分包人可在法定工作时间内到发包人的办公室查阅。对承包人保险条款中的特别除外部分，分包人应以自己的义务考虑加保与否，并承担加保费用。该项保险若因分包人的过失而需延长，因此而增加的保险费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分包人须负责本工程每次索偿事件的现场保护工作，并及时向承包人提供保险公司所要求提交的有关索偿事件所需要的一切证据和资料，分包人确认上述工作所需要的费用已包括在合同总价内。承包人所购买的工程一切险和第三责任险并不能解除或减少分包人按合同条款应承担的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无论有关一切险的索偿是否得到理赔，在本工程现场具备复原条件时，分包人须迅速地把损坏的工作复原,把损失或损坏了的未安装物料替换或修补、迁离和处理任何残砾和继续执行和完成本工程。所有由保险得到的应支付给分包人的款项（减去顾问费，如有），并入获保险理赔且承发包双反确认支付额后的最近一期进度款中支付给分包人。除保险所得的款项外，分包人不能对损坏工作的复原、未安装物料的替换和修补、及残砾的迁离和处理，收取其它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4）若分包人认为承包人所购买的保险未足以保障其自身的风险时，可自费补充投保。</w:t>
      </w:r>
    </w:p>
    <w:p>
      <w:pPr>
        <w:pStyle w:val="77"/>
        <w:ind w:firstLine="480"/>
        <w:rPr>
          <w:color w:val="000000" w:themeColor="text1"/>
          <w14:textFill>
            <w14:solidFill>
              <w14:schemeClr w14:val="tx1"/>
            </w14:solidFill>
          </w14:textFill>
        </w:rPr>
      </w:pPr>
      <w:bookmarkStart w:id="847" w:name="_Toc44492620"/>
      <w:bookmarkStart w:id="848" w:name="_Toc367"/>
      <w:bookmarkStart w:id="849" w:name="_Toc9779"/>
      <w:r>
        <w:rPr>
          <w:rFonts w:hint="eastAsia"/>
          <w:color w:val="000000" w:themeColor="text1"/>
          <w14:textFill>
            <w14:solidFill>
              <w14:schemeClr w14:val="tx1"/>
            </w14:solidFill>
          </w14:textFill>
        </w:rPr>
        <w:t xml:space="preserve">20.3 </w:t>
      </w:r>
      <w:r>
        <w:rPr>
          <w:rFonts w:hint="eastAsia" w:ascii="宋体" w:hAnsi="宋体"/>
          <w:snapToGrid w:val="0"/>
          <w:color w:val="000000" w:themeColor="text1"/>
          <w:kern w:val="0"/>
          <w:szCs w:val="20"/>
          <w14:textFill>
            <w14:solidFill>
              <w14:schemeClr w14:val="tx1"/>
            </w14:solidFill>
          </w14:textFill>
        </w:rPr>
        <w:t>雇员赔偿保险</w:t>
      </w:r>
      <w:r>
        <w:rPr>
          <w:rFonts w:hint="eastAsia"/>
          <w:color w:val="000000" w:themeColor="text1"/>
          <w14:textFill>
            <w14:solidFill>
              <w14:schemeClr w14:val="tx1"/>
            </w14:solidFill>
          </w14:textFill>
        </w:rPr>
        <w:t>：</w:t>
      </w:r>
      <w:bookmarkEnd w:id="847"/>
      <w:bookmarkEnd w:id="848"/>
      <w:bookmarkEnd w:id="849"/>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20.3.2.通用条款第20.3.2内容修订为：发包人、承包人对任何分包人的雇员、代理人、劳务人员或其他人的意外或伤亡，不论该人是受雇于分包人或分包人的再分包单位，皆不负任何法律上的赔偿责任。分包人须保障发包人免负任何有关的索偿、要求、诉讼、成本、费用和支出。若发包人、承包人因有关法律规定或司法行政决定或和解协议需要先行承担责任或承担连带责任的，分包人应予赔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20.3.4.假若有任何受雇于本工程或与本合同有关的雇员或其他人士，受到损伤，不论有无索偿，分包人须马上以书面形式将该损伤通知承包人、发包人。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20.3.5.分包人必须为其服务于本工程的雇佣员工购买人身意外保险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应在工程施工开始直至缺陷责任期完结期间对所有其雇用的工作人员进行此类保险并持续这种保险。但对于分包人的任何分包人雇用任何人员，如果分包人已经对上述雇员进行了保险，则本条款前述的分包人保险义务即得到履行，但在必要时，分包人应要求其分包单位向发包人提交有关的保险单及本期保险金的支付收据。一旦发生人员伤亡事故，分包人须立即通知承包人、发包人，并以书面形式提供详细经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分包人须对其雇员的意外或伤亡负全责。分包人须与受雇者签订劳动合同，并与参与本工程的所有有关人员包括其自身的施工人员、管理人员及分包人（不论是否发包人指定的）的施工及管理人员等，投保其认为必要的人身意外保险。发包人对于任何雇员的意外或伤亡，不论该人是受雇于分包人还是其分包方（不论是否发包人指定的），都不负任何法律上的赔偿责任，分包人须保障发包人免负任何有关的索偿、要求、诉讼、成本、费用和支出。</w:t>
      </w:r>
    </w:p>
    <w:p>
      <w:pPr>
        <w:pStyle w:val="52"/>
        <w:ind w:firstLine="480"/>
        <w:rPr>
          <w:color w:val="000000" w:themeColor="text1"/>
          <w14:textFill>
            <w14:solidFill>
              <w14:schemeClr w14:val="tx1"/>
            </w14:solidFill>
          </w14:textFill>
        </w:rPr>
      </w:pPr>
      <w:r>
        <w:rPr>
          <w:rFonts w:hint="eastAsia" w:eastAsia="黑体"/>
          <w:bCs/>
          <w:color w:val="000000" w:themeColor="text1"/>
          <w:kern w:val="2"/>
          <w:sz w:val="24"/>
          <w14:textFill>
            <w14:solidFill>
              <w14:schemeClr w14:val="tx1"/>
            </w14:solidFill>
          </w14:textFill>
        </w:rPr>
        <w:t>20.4 其他保险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20.4.1分包人应当依据《安全生产责任保险实施办法》中的要求，自行投保安全生产责任险，分包人应在工程施工开始直至缺陷责任期完结期间进行此类保险并持续这种保险。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20.4.2分包人应为本工程自费购买其认为所需的但不包含在承包人保险范围内的其他保险。分包人不得以任何借口对其未保险事项或不能向其保险公司收回的金额向承包人提出索赔。</w:t>
      </w:r>
    </w:p>
    <w:p>
      <w:pPr>
        <w:pStyle w:val="52"/>
        <w:ind w:firstLine="480"/>
        <w:rPr>
          <w:color w:val="000000" w:themeColor="text1"/>
          <w14:textFill>
            <w14:solidFill>
              <w14:schemeClr w14:val="tx1"/>
            </w14:solidFill>
          </w14:textFill>
        </w:rPr>
      </w:pPr>
      <w:r>
        <w:rPr>
          <w:rFonts w:hint="eastAsia" w:eastAsia="黑体"/>
          <w:bCs/>
          <w:color w:val="000000" w:themeColor="text1"/>
          <w:kern w:val="2"/>
          <w:sz w:val="24"/>
          <w14:textFill>
            <w14:solidFill>
              <w14:schemeClr w14:val="tx1"/>
            </w14:solidFill>
          </w14:textFill>
        </w:rPr>
        <w:t>20.5 对各项保险的一般要求</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20.5.7.分包人不得在其投保合同条款中加入“其保险人有权或可以向发包人的保险人提出索赔”的条款。</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20.5.8.分包人应在工程开工前向承包人及发包人提供根据合同要求的保险投保证明，并在分包人所需保险的工作开始前提前7天以上向承包人及发包人提交有效的保险单，保险单应与合同的条款一致，分包人投保的保险公司应经承包人、发包人批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20.5.9.分包人应在施工进度、范围、性质发生变化时通知其保险人，以确保根据合同条款在所有时间内有完备的保险，由此所发生的费用，由分包人自行承担。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20.5.10.如果分包人未使或未保证任何合同规定的保险生效，或未按规定的时间向承包人、发包人提供保险单，承包人、发包人在任何这种情况发生时，有权使任何这些保险生效并支付保险金，并随时从支付给或应支付给分包人的款项中扣回，或视同到期债务从分包人扣回。</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20.5.11.分包人或承包人或发包人未能遵循根据合同生效的保险单条款给对方造成损失的，责任一方应赔偿另一方由此而造成的全部损失。但分包人投保的保险合同投保前未经承包人、发包人确认，或使承包人、发包人承担责任或费用的除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20.5.12若分包人未能按规定购买和维持该等保险，承包人可代为投保，保险费在支付的工程款中抵扣。</w:t>
      </w:r>
    </w:p>
    <w:p>
      <w:pPr>
        <w:pStyle w:val="73"/>
        <w:rPr>
          <w:color w:val="000000" w:themeColor="text1"/>
          <w14:textFill>
            <w14:solidFill>
              <w14:schemeClr w14:val="tx1"/>
            </w14:solidFill>
          </w14:textFill>
        </w:rPr>
      </w:pPr>
      <w:bookmarkStart w:id="850" w:name="_Toc32518"/>
      <w:bookmarkStart w:id="851" w:name="_Toc44228173"/>
      <w:bookmarkStart w:id="852" w:name="_Toc38987290"/>
      <w:bookmarkStart w:id="853" w:name="_Toc10582"/>
      <w:bookmarkStart w:id="854" w:name="_Toc91082455"/>
      <w:bookmarkStart w:id="855" w:name="_Toc44492621"/>
      <w:bookmarkStart w:id="856" w:name="_Toc17186"/>
      <w:r>
        <w:rPr>
          <w:rFonts w:hint="eastAsia"/>
          <w:color w:val="000000" w:themeColor="text1"/>
          <w14:textFill>
            <w14:solidFill>
              <w14:schemeClr w14:val="tx1"/>
            </w14:solidFill>
          </w14:textFill>
        </w:rPr>
        <w:t>21.不可抗力</w:t>
      </w:r>
      <w:bookmarkEnd w:id="850"/>
      <w:bookmarkEnd w:id="851"/>
      <w:bookmarkEnd w:id="852"/>
      <w:bookmarkEnd w:id="853"/>
      <w:bookmarkEnd w:id="854"/>
      <w:bookmarkEnd w:id="855"/>
      <w:bookmarkEnd w:id="856"/>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21.3.2.不可抗力后果及其处理的其他约定：</w:t>
      </w:r>
      <w:r>
        <w:rPr>
          <w:rFonts w:hint="eastAsia"/>
          <w:color w:val="000000" w:themeColor="text1"/>
          <w:u w:val="single"/>
          <w14:textFill>
            <w14:solidFill>
              <w14:schemeClr w14:val="tx1"/>
            </w14:solidFill>
          </w14:textFill>
        </w:rPr>
        <w:t xml:space="preserve">  无  </w:t>
      </w:r>
      <w:r>
        <w:rPr>
          <w:rFonts w:hint="eastAsia"/>
          <w:color w:val="000000" w:themeColor="text1"/>
          <w14:textFill>
            <w14:solidFill>
              <w14:schemeClr w14:val="tx1"/>
            </w14:solidFill>
          </w14:textFill>
        </w:rPr>
        <w:t>。</w:t>
      </w:r>
      <w:bookmarkStart w:id="857" w:name="_Toc38987291"/>
      <w:bookmarkStart w:id="858" w:name="_Toc20588"/>
      <w:bookmarkStart w:id="859" w:name="_Toc44492622"/>
      <w:bookmarkStart w:id="860" w:name="_Toc9988"/>
      <w:bookmarkStart w:id="861" w:name="_Toc44228174"/>
    </w:p>
    <w:p>
      <w:pPr>
        <w:pStyle w:val="73"/>
        <w:rPr>
          <w:color w:val="000000" w:themeColor="text1"/>
          <w14:textFill>
            <w14:solidFill>
              <w14:schemeClr w14:val="tx1"/>
            </w14:solidFill>
          </w14:textFill>
        </w:rPr>
      </w:pPr>
      <w:bookmarkStart w:id="862" w:name="_Toc91082456"/>
      <w:bookmarkStart w:id="863" w:name="_Toc8129"/>
      <w:r>
        <w:rPr>
          <w:rFonts w:hint="eastAsia"/>
          <w:color w:val="000000" w:themeColor="text1"/>
          <w14:textFill>
            <w14:solidFill>
              <w14:schemeClr w14:val="tx1"/>
            </w14:solidFill>
          </w14:textFill>
        </w:rPr>
        <w:t>22.违约</w:t>
      </w:r>
      <w:bookmarkEnd w:id="857"/>
      <w:bookmarkEnd w:id="858"/>
      <w:bookmarkEnd w:id="859"/>
      <w:bookmarkEnd w:id="860"/>
      <w:bookmarkEnd w:id="861"/>
      <w:bookmarkEnd w:id="862"/>
      <w:bookmarkEnd w:id="863"/>
      <w:bookmarkStart w:id="864" w:name="_Toc20484"/>
      <w:bookmarkStart w:id="865" w:name="_Toc44492623"/>
      <w:bookmarkStart w:id="866" w:name="_Toc13732"/>
    </w:p>
    <w:p>
      <w:pPr>
        <w:pStyle w:val="52"/>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22.1 分包人违约</w:t>
      </w:r>
      <w:bookmarkEnd w:id="864"/>
      <w:bookmarkEnd w:id="865"/>
      <w:bookmarkEnd w:id="866"/>
      <w:bookmarkStart w:id="867" w:name="_Toc44492624"/>
    </w:p>
    <w:bookmarkEnd w:id="867"/>
    <w:p>
      <w:pPr>
        <w:pStyle w:val="77"/>
        <w:ind w:firstLine="420"/>
        <w:rPr>
          <w:rFonts w:eastAsia="仿宋_GB2312"/>
          <w:bCs w:val="0"/>
          <w:color w:val="000000" w:themeColor="text1"/>
          <w:kern w:val="0"/>
          <w:sz w:val="21"/>
          <w14:textFill>
            <w14:solidFill>
              <w14:schemeClr w14:val="tx1"/>
            </w14:solidFill>
          </w14:textFill>
        </w:rPr>
      </w:pPr>
      <w:r>
        <w:rPr>
          <w:rFonts w:hint="eastAsia" w:eastAsia="仿宋_GB2312"/>
          <w:bCs w:val="0"/>
          <w:color w:val="000000" w:themeColor="text1"/>
          <w:kern w:val="0"/>
          <w:sz w:val="21"/>
          <w14:textFill>
            <w14:solidFill>
              <w14:schemeClr w14:val="tx1"/>
            </w14:solidFill>
          </w14:textFill>
        </w:rPr>
        <w:t>22.1.1 通用</w:t>
      </w:r>
      <w:r>
        <w:rPr>
          <w:rFonts w:eastAsia="仿宋_GB2312"/>
          <w:bCs w:val="0"/>
          <w:color w:val="000000" w:themeColor="text1"/>
          <w:kern w:val="0"/>
          <w:sz w:val="21"/>
          <w14:textFill>
            <w14:solidFill>
              <w14:schemeClr w14:val="tx1"/>
            </w14:solidFill>
          </w14:textFill>
        </w:rPr>
        <w:t>条款</w:t>
      </w:r>
      <w:r>
        <w:rPr>
          <w:rFonts w:hint="eastAsia" w:eastAsia="仿宋_GB2312"/>
          <w:bCs w:val="0"/>
          <w:color w:val="000000" w:themeColor="text1"/>
          <w:kern w:val="0"/>
          <w:sz w:val="21"/>
          <w14:textFill>
            <w14:solidFill>
              <w14:schemeClr w14:val="tx1"/>
            </w14:solidFill>
          </w14:textFill>
        </w:rPr>
        <w:t>22.1.1修订</w:t>
      </w:r>
      <w:r>
        <w:rPr>
          <w:rFonts w:eastAsia="仿宋_GB2312"/>
          <w:bCs w:val="0"/>
          <w:color w:val="000000" w:themeColor="text1"/>
          <w:kern w:val="0"/>
          <w:sz w:val="21"/>
          <w14:textFill>
            <w14:solidFill>
              <w14:schemeClr w14:val="tx1"/>
            </w14:solidFill>
          </w14:textFill>
        </w:rPr>
        <w:t>为：</w:t>
      </w:r>
      <w:r>
        <w:rPr>
          <w:rFonts w:hint="eastAsia" w:eastAsia="仿宋_GB2312"/>
          <w:bCs w:val="0"/>
          <w:color w:val="000000" w:themeColor="text1"/>
          <w:kern w:val="0"/>
          <w:sz w:val="21"/>
          <w14:textFill>
            <w14:solidFill>
              <w14:schemeClr w14:val="tx1"/>
            </w14:solidFill>
          </w14:textFill>
        </w:rPr>
        <w:t>分包人有任何违反本合同责任和义务的行为均构成违约，包括但不限于在履行合同过程中发生的下列情况：</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分包人私自将合同的全部或部分权利转让给其他人，或私自将合同的全部或部分义务转移给其他人；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分包人未经监理人批准，私自将已按合同约定进入施工场地的施工设备、临时设施或材料撤离施工场地；</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分包人使用了不合格材料或工程设备，工程质量达不到标准要求，又拒绝清除不合格工程；</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分包人未能按合同进度计划及时完成合同约定的工作，已造成或预期造成工期延误；</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分包人无法继续履行或明确表示不履行或实质上已停止履行合同；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分包人不按合同约定履行义务的其他情况。</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通用条款22.1.3的第1）~3）条不适用本合同，修订</w:t>
      </w:r>
      <w:r>
        <w:rPr>
          <w:color w:val="000000" w:themeColor="text1"/>
          <w14:textFill>
            <w14:solidFill>
              <w14:schemeClr w14:val="tx1"/>
            </w14:solidFill>
          </w14:textFill>
        </w:rPr>
        <w:t>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分包人发生第22.1.1第5）约定的违约情况时，承包人可通知分包人立即解除合同，并按有关法律处理。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分包人发生除第22.1.1第5）约定以外的其他违约情况时，除另有约定外，监理人可向承包人、分包人发出整改通知，要求其在指定的期限内改正。分包人应承担其违约所引起的费用增加和（或）工期延误。</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监理人要求分包人停工整改的,经检查证明分包人已采取了有效措施纠正违约行为，具备复工条件的，可由监理人在取得发包人同意的情况下向承包人签发复工通知复工。</w:t>
      </w:r>
    </w:p>
    <w:p>
      <w:pPr>
        <w:pStyle w:val="77"/>
        <w:ind w:firstLine="420"/>
        <w:rPr>
          <w:rFonts w:eastAsia="仿宋_GB2312"/>
          <w:bCs w:val="0"/>
          <w:color w:val="000000" w:themeColor="text1"/>
          <w:kern w:val="0"/>
          <w:sz w:val="21"/>
          <w14:textFill>
            <w14:solidFill>
              <w14:schemeClr w14:val="tx1"/>
            </w14:solidFill>
          </w14:textFill>
        </w:rPr>
      </w:pPr>
      <w:bookmarkStart w:id="868" w:name="_Toc44492625"/>
      <w:r>
        <w:rPr>
          <w:rFonts w:hint="eastAsia" w:eastAsia="仿宋_GB2312"/>
          <w:bCs w:val="0"/>
          <w:color w:val="000000" w:themeColor="text1"/>
          <w:kern w:val="0"/>
          <w:sz w:val="21"/>
          <w14:textFill>
            <w14:solidFill>
              <w14:schemeClr w14:val="tx1"/>
            </w14:solidFill>
          </w14:textFill>
        </w:rPr>
        <w:t>22.1.9</w:t>
      </w:r>
      <w:r>
        <w:rPr>
          <w:rFonts w:eastAsia="仿宋_GB2312"/>
          <w:bCs w:val="0"/>
          <w:color w:val="000000" w:themeColor="text1"/>
          <w:kern w:val="0"/>
          <w:sz w:val="21"/>
          <w14:textFill>
            <w14:solidFill>
              <w14:schemeClr w14:val="tx1"/>
            </w14:solidFill>
          </w14:textFill>
        </w:rPr>
        <w:t xml:space="preserve"> </w:t>
      </w:r>
      <w:r>
        <w:rPr>
          <w:rFonts w:hint="eastAsia" w:eastAsia="仿宋_GB2312"/>
          <w:bCs w:val="0"/>
          <w:color w:val="000000" w:themeColor="text1"/>
          <w:kern w:val="0"/>
          <w:sz w:val="21"/>
          <w14:textFill>
            <w14:solidFill>
              <w14:schemeClr w14:val="tx1"/>
            </w14:solidFill>
          </w14:textFill>
        </w:rPr>
        <w:t>分包人</w:t>
      </w:r>
      <w:r>
        <w:rPr>
          <w:rFonts w:eastAsia="仿宋_GB2312"/>
          <w:bCs w:val="0"/>
          <w:color w:val="000000" w:themeColor="text1"/>
          <w:kern w:val="0"/>
          <w:sz w:val="21"/>
          <w14:textFill>
            <w14:solidFill>
              <w14:schemeClr w14:val="tx1"/>
            </w14:solidFill>
          </w14:textFill>
        </w:rPr>
        <w:t>其他违约情况</w:t>
      </w:r>
      <w:bookmarkEnd w:id="868"/>
      <w:r>
        <w:rPr>
          <w:rFonts w:hint="eastAsia" w:eastAsia="仿宋_GB2312"/>
          <w:bCs w:val="0"/>
          <w:color w:val="000000" w:themeColor="text1"/>
          <w:kern w:val="0"/>
          <w:sz w:val="21"/>
          <w14:textFill>
            <w14:solidFill>
              <w14:schemeClr w14:val="tx1"/>
            </w14:solidFill>
          </w14:textFill>
        </w:rPr>
        <w:t>：</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22.1.9.1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分包人人员管理方面：</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1）分包人的所有管理人员均应向承包人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发包人提供</w:t>
      </w:r>
      <w:r>
        <w:rPr>
          <w:rFonts w:hint="eastAsia"/>
          <w:color w:val="000000" w:themeColor="text1"/>
          <w14:textFill>
            <w14:solidFill>
              <w14:schemeClr w14:val="tx1"/>
            </w14:solidFill>
          </w14:textFill>
        </w:rPr>
        <w:t>不少于一年</w:t>
      </w:r>
      <w:r>
        <w:rPr>
          <w:color w:val="000000" w:themeColor="text1"/>
          <w14:textFill>
            <w14:solidFill>
              <w14:schemeClr w14:val="tx1"/>
            </w14:solidFill>
          </w14:textFill>
        </w:rPr>
        <w:t>在分包人公司的社保证明，分包人未能提供社保证明须向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支付每人每天1000元违约金，直到提供社保证明为止或另派管理人员。</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2）分包人项目管理部主要管理人员须常驻现场：项目经理</w:t>
      </w:r>
      <w:r>
        <w:rPr>
          <w:rFonts w:hint="eastAsia"/>
          <w:color w:val="000000" w:themeColor="text1"/>
          <w14:textFill>
            <w14:solidFill>
              <w14:schemeClr w14:val="tx1"/>
            </w14:solidFill>
          </w14:textFill>
        </w:rPr>
        <w:t>、副项目经理、项目技术负责人、项目生产经理、质量总监、安全负责人（安全总监）、</w:t>
      </w:r>
      <w:r>
        <w:rPr>
          <w:rFonts w:hint="eastAsia" w:cs="宋体"/>
          <w:color w:val="000000" w:themeColor="text1"/>
          <w14:textFill>
            <w14:solidFill>
              <w14:schemeClr w14:val="tx1"/>
            </w14:solidFill>
          </w14:textFill>
        </w:rPr>
        <w:t>专职安全员</w:t>
      </w:r>
      <w:r>
        <w:rPr>
          <w:color w:val="000000" w:themeColor="text1"/>
          <w14:textFill>
            <w14:solidFill>
              <w14:schemeClr w14:val="tx1"/>
            </w14:solidFill>
          </w14:textFill>
        </w:rPr>
        <w:t>每</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在现场工作时间不得少于</w:t>
      </w:r>
      <w:r>
        <w:rPr>
          <w:rFonts w:hint="eastAsia"/>
          <w:color w:val="000000" w:themeColor="text1"/>
          <w14:textFill>
            <w14:solidFill>
              <w14:schemeClr w14:val="tx1"/>
            </w14:solidFill>
          </w14:textFill>
        </w:rPr>
        <w:t>26</w:t>
      </w:r>
      <w:r>
        <w:rPr>
          <w:color w:val="000000" w:themeColor="text1"/>
          <w14:textFill>
            <w14:solidFill>
              <w14:schemeClr w14:val="tx1"/>
            </w14:solidFill>
          </w14:textFill>
        </w:rPr>
        <w:t>天、每天工作时间不得少于8小时；项目管理人员离开工地需经承包人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发包人及</w:t>
      </w:r>
      <w:r>
        <w:rPr>
          <w:rFonts w:hint="eastAsia"/>
          <w:color w:val="000000" w:themeColor="text1"/>
          <w14:textFill>
            <w14:solidFill>
              <w14:schemeClr w14:val="tx1"/>
            </w14:solidFill>
          </w14:textFill>
        </w:rPr>
        <w:t>监理人</w:t>
      </w:r>
      <w:r>
        <w:rPr>
          <w:color w:val="000000" w:themeColor="text1"/>
          <w14:textFill>
            <w14:solidFill>
              <w14:schemeClr w14:val="tx1"/>
            </w14:solidFill>
          </w14:textFill>
        </w:rPr>
        <w:t>同意；若无正当理由且未经承包人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发包人及</w:t>
      </w:r>
      <w:r>
        <w:rPr>
          <w:rFonts w:hint="eastAsia"/>
          <w:color w:val="000000" w:themeColor="text1"/>
          <w14:textFill>
            <w14:solidFill>
              <w14:schemeClr w14:val="tx1"/>
            </w14:solidFill>
          </w14:textFill>
        </w:rPr>
        <w:t>监理人</w:t>
      </w:r>
      <w:r>
        <w:rPr>
          <w:color w:val="000000" w:themeColor="text1"/>
          <w14:textFill>
            <w14:solidFill>
              <w14:schemeClr w14:val="tx1"/>
            </w14:solidFill>
          </w14:textFill>
        </w:rPr>
        <w:t>同意不在工地的</w:t>
      </w:r>
      <w:r>
        <w:rPr>
          <w:rFonts w:hint="eastAsia"/>
          <w:color w:val="000000" w:themeColor="text1"/>
          <w14:textFill>
            <w14:solidFill>
              <w14:schemeClr w14:val="tx1"/>
            </w14:solidFill>
          </w14:textFill>
        </w:rPr>
        <w:t>或出勤不满足以上要求的</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有权</w:t>
      </w:r>
      <w:r>
        <w:rPr>
          <w:rFonts w:hint="eastAsia"/>
          <w:color w:val="000000" w:themeColor="text1"/>
          <w14:textFill>
            <w14:solidFill>
              <w14:schemeClr w14:val="tx1"/>
            </w14:solidFill>
          </w14:textFill>
        </w:rPr>
        <w:t>视情况</w:t>
      </w:r>
      <w:r>
        <w:rPr>
          <w:color w:val="000000" w:themeColor="text1"/>
          <w14:textFill>
            <w14:solidFill>
              <w14:schemeClr w14:val="tx1"/>
            </w14:solidFill>
          </w14:textFill>
        </w:rPr>
        <w:t>按每天每人向分包人收取违约金</w:t>
      </w:r>
      <w:r>
        <w:rPr>
          <w:rFonts w:hint="eastAsia"/>
          <w:color w:val="000000" w:themeColor="text1"/>
          <w14:textFill>
            <w14:solidFill>
              <w14:schemeClr w14:val="tx1"/>
            </w14:solidFill>
          </w14:textFill>
        </w:rPr>
        <w:t>（项目经理3万元/天，技术负责人、副项目经理、安全负责人2万元/天，其他主要管理人员1.5万元/天），承包人有权将违约金在当期进度款中直接扣减</w:t>
      </w:r>
      <w:r>
        <w:rPr>
          <w:color w:val="000000" w:themeColor="text1"/>
          <w14:textFill>
            <w14:solidFill>
              <w14:schemeClr w14:val="tx1"/>
            </w14:solidFill>
          </w14:textFill>
        </w:rPr>
        <w:t>；若分包人主要管理人员无故连续3天不在工地，又无发包人可以接受的理由，则发包人有权要求分包人将其更换。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3）如分包人未按合同附件16约定（当投标文件中人员配备高于招标文件要求时以投标文件人员配备为准，当投标文件中人员配备低于招标文件要求时以招标文件中人员配备要求为准）投入</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管理人员，分包人应按2万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人标准向承包人支付违约金，分包人须在</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天内补充或更换至满足本协议要求，否则分包人应按1万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天标准向承包人支付违约金。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4）如出现分包人工程施工期间无</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管理人员在岗的，一经发现，分包人应按3万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次标准向承包人支付违约金。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）关于更换项目管理人员的</w:t>
      </w:r>
      <w:r>
        <w:rPr>
          <w:rFonts w:hint="eastAsia"/>
          <w:color w:val="000000" w:themeColor="text1"/>
          <w14:textFill>
            <w14:solidFill>
              <w14:schemeClr w14:val="tx1"/>
            </w14:solidFill>
          </w14:textFill>
        </w:rPr>
        <w:t>约定：</w:t>
      </w:r>
    </w:p>
    <w:p>
      <w:pPr>
        <w:pStyle w:val="52"/>
        <w:ind w:firstLine="420"/>
        <w:rPr>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①</w:t>
      </w:r>
      <w:r>
        <w:rPr>
          <w:color w:val="000000" w:themeColor="text1"/>
          <w14:textFill>
            <w14:solidFill>
              <w14:schemeClr w14:val="tx1"/>
            </w14:solidFill>
          </w14:textFill>
        </w:rPr>
        <w:t>经发包人和监理单位审核明确的项目管理人员</w:t>
      </w:r>
      <w:r>
        <w:rPr>
          <w:rFonts w:hint="eastAsia"/>
          <w:color w:val="000000" w:themeColor="text1"/>
          <w14:textFill>
            <w14:solidFill>
              <w14:schemeClr w14:val="tx1"/>
            </w14:solidFill>
          </w14:textFill>
        </w:rPr>
        <w:t>，分包人</w:t>
      </w:r>
      <w:r>
        <w:rPr>
          <w:color w:val="000000" w:themeColor="text1"/>
          <w14:textFill>
            <w14:solidFill>
              <w14:schemeClr w14:val="tx1"/>
            </w14:solidFill>
          </w14:textFill>
        </w:rPr>
        <w:t>不得擅自变更</w:t>
      </w:r>
      <w:r>
        <w:rPr>
          <w:rFonts w:hint="eastAsia"/>
          <w:color w:val="000000" w:themeColor="text1"/>
          <w14:textFill>
            <w14:solidFill>
              <w14:schemeClr w14:val="tx1"/>
            </w14:solidFill>
          </w14:textFill>
        </w:rPr>
        <w:t>主要</w:t>
      </w:r>
      <w:r>
        <w:rPr>
          <w:color w:val="000000" w:themeColor="text1"/>
          <w14:textFill>
            <w14:solidFill>
              <w14:schemeClr w14:val="tx1"/>
            </w14:solidFill>
          </w14:textFill>
        </w:rPr>
        <w:t>管理人员。</w:t>
      </w:r>
      <w:r>
        <w:rPr>
          <w:rFonts w:hint="eastAsia"/>
          <w:color w:val="000000" w:themeColor="text1"/>
          <w14:textFill>
            <w14:solidFill>
              <w14:schemeClr w14:val="tx1"/>
            </w14:solidFill>
          </w14:textFill>
        </w:rPr>
        <w:t>否</w:t>
      </w:r>
      <w:r>
        <w:rPr>
          <w:color w:val="000000" w:themeColor="text1"/>
          <w14:textFill>
            <w14:solidFill>
              <w14:schemeClr w14:val="tx1"/>
            </w14:solidFill>
          </w14:textFill>
        </w:rPr>
        <w:t>则分包人应向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支付的违约金，具体约定金额为：</w:t>
      </w:r>
    </w:p>
    <w:tbl>
      <w:tblPr>
        <w:tblStyle w:val="37"/>
        <w:tblW w:w="88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1254"/>
        <w:gridCol w:w="1254"/>
        <w:gridCol w:w="1156"/>
        <w:gridCol w:w="1559"/>
        <w:gridCol w:w="1293"/>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9" w:type="dxa"/>
            <w:vAlign w:val="center"/>
          </w:tcPr>
          <w:p>
            <w:pPr>
              <w:jc w:val="left"/>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岗位人员</w:t>
            </w:r>
          </w:p>
        </w:tc>
        <w:tc>
          <w:tcPr>
            <w:tcW w:w="1254" w:type="dxa"/>
            <w:vAlign w:val="center"/>
          </w:tcPr>
          <w:p>
            <w:pPr>
              <w:jc w:val="center"/>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项目经理</w:t>
            </w:r>
          </w:p>
        </w:tc>
        <w:tc>
          <w:tcPr>
            <w:tcW w:w="1254" w:type="dxa"/>
            <w:vAlign w:val="center"/>
          </w:tcPr>
          <w:p>
            <w:pPr>
              <w:jc w:val="center"/>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项目技术负责人</w:t>
            </w:r>
          </w:p>
        </w:tc>
        <w:tc>
          <w:tcPr>
            <w:tcW w:w="1156" w:type="dxa"/>
            <w:vAlign w:val="center"/>
          </w:tcPr>
          <w:p>
            <w:pPr>
              <w:jc w:val="center"/>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项目生产经理</w:t>
            </w:r>
          </w:p>
        </w:tc>
        <w:tc>
          <w:tcPr>
            <w:tcW w:w="1559" w:type="dxa"/>
            <w:vAlign w:val="center"/>
          </w:tcPr>
          <w:p>
            <w:pPr>
              <w:jc w:val="center"/>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主办施工员</w:t>
            </w:r>
          </w:p>
        </w:tc>
        <w:tc>
          <w:tcPr>
            <w:tcW w:w="1293" w:type="dxa"/>
            <w:vAlign w:val="center"/>
          </w:tcPr>
          <w:p>
            <w:pPr>
              <w:jc w:val="center"/>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主办预算员</w:t>
            </w:r>
          </w:p>
        </w:tc>
        <w:tc>
          <w:tcPr>
            <w:tcW w:w="1258" w:type="dxa"/>
            <w:vAlign w:val="center"/>
          </w:tcPr>
          <w:p>
            <w:pPr>
              <w:jc w:val="center"/>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安全</w:t>
            </w:r>
            <w:r>
              <w:rPr>
                <w:rFonts w:hint="eastAsia" w:eastAsia="仿宋_GB2312"/>
                <w:color w:val="000000" w:themeColor="text1"/>
                <w:kern w:val="0"/>
                <w:szCs w:val="32"/>
                <w14:textFill>
                  <w14:solidFill>
                    <w14:schemeClr w14:val="tx1"/>
                  </w14:solidFill>
                </w14:textFill>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jc w:val="center"/>
        </w:trPr>
        <w:tc>
          <w:tcPr>
            <w:tcW w:w="1069" w:type="dxa"/>
            <w:vAlign w:val="center"/>
          </w:tcPr>
          <w:p>
            <w:pPr>
              <w:ind w:left="105" w:hanging="105" w:hangingChars="50"/>
              <w:jc w:val="left"/>
              <w:rPr>
                <w:rFonts w:eastAsia="仿宋_GB2312"/>
                <w:color w:val="000000" w:themeColor="text1"/>
                <w:kern w:val="0"/>
                <w:szCs w:val="32"/>
                <w14:textFill>
                  <w14:solidFill>
                    <w14:schemeClr w14:val="tx1"/>
                  </w14:solidFill>
                </w14:textFill>
              </w:rPr>
            </w:pPr>
            <w:r>
              <w:rPr>
                <w:rFonts w:eastAsia="仿宋_GB2312"/>
                <w:color w:val="000000" w:themeColor="text1"/>
                <w:kern w:val="0"/>
                <w:szCs w:val="32"/>
                <w14:textFill>
                  <w14:solidFill>
                    <w14:schemeClr w14:val="tx1"/>
                  </w14:solidFill>
                </w14:textFill>
              </w:rPr>
              <w:t>违约金额（元）</w:t>
            </w:r>
          </w:p>
        </w:tc>
        <w:tc>
          <w:tcPr>
            <w:tcW w:w="1254" w:type="dxa"/>
            <w:vAlign w:val="center"/>
          </w:tcPr>
          <w:p>
            <w:pPr>
              <w:jc w:val="center"/>
              <w:rPr>
                <w:rFonts w:eastAsia="仿宋_GB2312"/>
                <w:color w:val="000000" w:themeColor="text1"/>
                <w:kern w:val="0"/>
                <w:szCs w:val="32"/>
                <w14:textFill>
                  <w14:solidFill>
                    <w14:schemeClr w14:val="tx1"/>
                  </w14:solidFill>
                </w14:textFill>
              </w:rPr>
            </w:pPr>
          </w:p>
          <w:p>
            <w:pPr>
              <w:jc w:val="center"/>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100万</w:t>
            </w:r>
          </w:p>
        </w:tc>
        <w:tc>
          <w:tcPr>
            <w:tcW w:w="1254" w:type="dxa"/>
            <w:vAlign w:val="center"/>
          </w:tcPr>
          <w:p>
            <w:pPr>
              <w:jc w:val="center"/>
              <w:rPr>
                <w:rFonts w:eastAsia="仿宋_GB2312"/>
                <w:color w:val="000000" w:themeColor="text1"/>
                <w:kern w:val="0"/>
                <w:szCs w:val="32"/>
                <w14:textFill>
                  <w14:solidFill>
                    <w14:schemeClr w14:val="tx1"/>
                  </w14:solidFill>
                </w14:textFill>
              </w:rPr>
            </w:pPr>
          </w:p>
          <w:p>
            <w:pPr>
              <w:jc w:val="center"/>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80万</w:t>
            </w:r>
          </w:p>
        </w:tc>
        <w:tc>
          <w:tcPr>
            <w:tcW w:w="1156" w:type="dxa"/>
            <w:vAlign w:val="center"/>
          </w:tcPr>
          <w:p>
            <w:pPr>
              <w:jc w:val="center"/>
              <w:rPr>
                <w:rFonts w:eastAsia="仿宋_GB2312"/>
                <w:color w:val="000000" w:themeColor="text1"/>
                <w:kern w:val="0"/>
                <w:szCs w:val="32"/>
                <w14:textFill>
                  <w14:solidFill>
                    <w14:schemeClr w14:val="tx1"/>
                  </w14:solidFill>
                </w14:textFill>
              </w:rPr>
            </w:pPr>
          </w:p>
          <w:p>
            <w:pPr>
              <w:jc w:val="center"/>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80万</w:t>
            </w:r>
          </w:p>
        </w:tc>
        <w:tc>
          <w:tcPr>
            <w:tcW w:w="1559" w:type="dxa"/>
            <w:vAlign w:val="center"/>
          </w:tcPr>
          <w:p>
            <w:pPr>
              <w:jc w:val="center"/>
              <w:rPr>
                <w:rFonts w:eastAsia="仿宋_GB2312"/>
                <w:color w:val="000000" w:themeColor="text1"/>
                <w:kern w:val="0"/>
                <w:szCs w:val="32"/>
                <w14:textFill>
                  <w14:solidFill>
                    <w14:schemeClr w14:val="tx1"/>
                  </w14:solidFill>
                </w14:textFill>
              </w:rPr>
            </w:pPr>
          </w:p>
          <w:p>
            <w:pPr>
              <w:jc w:val="center"/>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10万</w:t>
            </w:r>
          </w:p>
        </w:tc>
        <w:tc>
          <w:tcPr>
            <w:tcW w:w="1293" w:type="dxa"/>
            <w:vAlign w:val="center"/>
          </w:tcPr>
          <w:p>
            <w:pPr>
              <w:jc w:val="center"/>
              <w:rPr>
                <w:rFonts w:eastAsia="仿宋_GB2312"/>
                <w:color w:val="000000" w:themeColor="text1"/>
                <w:kern w:val="0"/>
                <w:szCs w:val="32"/>
                <w14:textFill>
                  <w14:solidFill>
                    <w14:schemeClr w14:val="tx1"/>
                  </w14:solidFill>
                </w14:textFill>
              </w:rPr>
            </w:pPr>
          </w:p>
          <w:p>
            <w:pPr>
              <w:jc w:val="center"/>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10万</w:t>
            </w:r>
          </w:p>
        </w:tc>
        <w:tc>
          <w:tcPr>
            <w:tcW w:w="1258" w:type="dxa"/>
            <w:vAlign w:val="center"/>
          </w:tcPr>
          <w:p>
            <w:pPr>
              <w:jc w:val="center"/>
              <w:rPr>
                <w:rFonts w:eastAsia="仿宋_GB2312"/>
                <w:color w:val="000000" w:themeColor="text1"/>
                <w:kern w:val="0"/>
                <w:szCs w:val="32"/>
                <w14:textFill>
                  <w14:solidFill>
                    <w14:schemeClr w14:val="tx1"/>
                  </w14:solidFill>
                </w14:textFill>
              </w:rPr>
            </w:pPr>
          </w:p>
          <w:p>
            <w:pPr>
              <w:jc w:val="center"/>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80万</w:t>
            </w:r>
          </w:p>
        </w:tc>
      </w:tr>
    </w:tbl>
    <w:p>
      <w:pPr>
        <w:pStyle w:val="52"/>
        <w:spacing w:before="120" w:beforeLines="50"/>
        <w:ind w:firstLine="420"/>
        <w:rPr>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②</w:t>
      </w:r>
      <w:r>
        <w:rPr>
          <w:rFonts w:hint="eastAsia"/>
          <w:color w:val="000000" w:themeColor="text1"/>
          <w14:textFill>
            <w14:solidFill>
              <w14:schemeClr w14:val="tx1"/>
            </w14:solidFill>
          </w14:textFill>
        </w:rPr>
        <w:t>分包人应确保项目管理人员在合同生效后半年内不发生变更，合同期内项目管理人员变更比例不得超过30%。如分包人项目管理人员存在</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疾病、辞职、退休等无法克服、避免的客观情形确需更换的，原则上分包人应至少提前30天内通过承包人向监理人、发包人报送变更申请（附更换原因证明材料和更换人员的详细履历资料，属于疾病需更换的应由三甲医院出具证明），拟更换后的项目管理人员应不低于招投标文件等合同文件中资质、资历、职称、业绩等有关要求、承诺，通过承包人报批，经监理人审核、发包人同意后方能更换。分包人应确保申请材料真实、完整、合法有效，如经发包人发现变更申请存在弄虚作假等违背诚实信用原则的行为，均按500万元/次向承包人支付违约金。除上述无法克服、避免的客观情形外，分包人在合同期内项目管理人员变更比例超过30%的，分包人应向承包人支付60万元违约金。经发包人书面确认，承包人有权解除合同。</w:t>
      </w:r>
    </w:p>
    <w:p>
      <w:pPr>
        <w:pStyle w:val="52"/>
        <w:ind w:firstLine="420"/>
        <w:rPr>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③</w:t>
      </w:r>
      <w:r>
        <w:rPr>
          <w:rFonts w:hint="eastAsia"/>
          <w:color w:val="000000" w:themeColor="text1"/>
          <w14:textFill>
            <w14:solidFill>
              <w14:schemeClr w14:val="tx1"/>
            </w14:solidFill>
          </w14:textFill>
        </w:rPr>
        <w:t>因已知或可预见的原因（包括非突发性重大疾病、离职后到原单位的关联单位任职等），分包人须在合同生效后半年内申请更换项目经理或其他项目管理人员的，经承包人报批，发包人同意，更换项目经理的违约金为80万元/次，更换安全负责人、技术负责人的违约金为60万元/次，</w:t>
      </w:r>
      <w:r>
        <w:rPr>
          <w:rFonts w:hint="eastAsia"/>
          <w:color w:val="auto"/>
        </w:rPr>
        <w:t>更换其他项目管理人员的违约金为50万元/次</w:t>
      </w:r>
      <w:r>
        <w:rPr>
          <w:rFonts w:hint="eastAsia"/>
          <w:color w:val="000000" w:themeColor="text1"/>
          <w14:textFill>
            <w14:solidFill>
              <w14:schemeClr w14:val="tx1"/>
            </w14:solidFill>
          </w14:textFill>
        </w:rPr>
        <w:t>。分包人在合同生效半年后更换项目经理的，经发包人同意，首次更换需支付违约金20万元/次，</w:t>
      </w:r>
      <w:r>
        <w:rPr>
          <w:rFonts w:hint="eastAsia"/>
          <w:color w:val="auto"/>
        </w:rPr>
        <w:t>后续如有更换则每次更换的违约金标准较上一次上浮50%</w:t>
      </w:r>
      <w:r>
        <w:rPr>
          <w:rFonts w:hint="eastAsia"/>
          <w:color w:val="000000" w:themeColor="text1"/>
          <w14:textFill>
            <w14:solidFill>
              <w14:schemeClr w14:val="tx1"/>
            </w14:solidFill>
          </w14:textFill>
        </w:rPr>
        <w:t>；经发包人同意，分包人更换其他项目管理人员的，首次需向支付违约金10万元/次，</w:t>
      </w:r>
      <w:r>
        <w:rPr>
          <w:rFonts w:hint="eastAsia"/>
          <w:color w:val="auto"/>
        </w:rPr>
        <w:t>后续如有更换则每次更换的违约金标准较上一次上浮50%</w:t>
      </w:r>
      <w:r>
        <w:rPr>
          <w:rFonts w:hint="eastAsia"/>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）分包人项目</w:t>
      </w:r>
      <w:r>
        <w:rPr>
          <w:rFonts w:hint="eastAsia"/>
          <w:color w:val="000000" w:themeColor="text1"/>
          <w14:textFill>
            <w14:solidFill>
              <w14:schemeClr w14:val="tx1"/>
            </w14:solidFill>
          </w14:textFill>
        </w:rPr>
        <w:t>主要管理人员</w:t>
      </w:r>
      <w:r>
        <w:rPr>
          <w:color w:val="000000" w:themeColor="text1"/>
          <w14:textFill>
            <w14:solidFill>
              <w14:schemeClr w14:val="tx1"/>
            </w14:solidFill>
          </w14:textFill>
        </w:rPr>
        <w:t>等专业知识、业务水平及管理、协调能力须能满足</w:t>
      </w:r>
      <w:r>
        <w:rPr>
          <w:rFonts w:hint="eastAsia"/>
          <w:color w:val="000000" w:themeColor="text1"/>
          <w14:textFill>
            <w14:solidFill>
              <w14:schemeClr w14:val="tx1"/>
            </w14:solidFill>
          </w14:textFill>
        </w:rPr>
        <w:t>工作</w:t>
      </w:r>
      <w:r>
        <w:rPr>
          <w:color w:val="000000" w:themeColor="text1"/>
          <w14:textFill>
            <w14:solidFill>
              <w14:schemeClr w14:val="tx1"/>
            </w14:solidFill>
          </w14:textFill>
        </w:rPr>
        <w:t>要求和服从</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的管理</w:t>
      </w:r>
      <w:r>
        <w:rPr>
          <w:rFonts w:hint="eastAsia"/>
          <w:color w:val="000000" w:themeColor="text1"/>
          <w14:textFill>
            <w14:solidFill>
              <w14:schemeClr w14:val="tx1"/>
            </w14:solidFill>
          </w14:textFill>
        </w:rPr>
        <w:t>，对不能满足要求者，</w:t>
      </w:r>
      <w:r>
        <w:rPr>
          <w:color w:val="000000" w:themeColor="text1"/>
          <w14:textFill>
            <w14:solidFill>
              <w14:schemeClr w14:val="tx1"/>
            </w14:solidFill>
          </w14:textFill>
        </w:rPr>
        <w:t>经发包人书面确认</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有权要求分包人在收到书面通知后</w:t>
      </w:r>
      <w:r>
        <w:rPr>
          <w:rFonts w:hint="eastAsia"/>
          <w:color w:val="000000" w:themeColor="text1"/>
          <w14:textFill>
            <w14:solidFill>
              <w14:schemeClr w14:val="tx1"/>
            </w14:solidFill>
          </w14:textFill>
        </w:rPr>
        <w:t>7天内无条件更换。如分包人拒不更换，或者7天内更换的人员不符合合同约定或发包人、承包人要求的，应按以下标准支付违约金，项目经理为25万元/天，其他项目管理人员为10万元/天，直至更换人员符合发包人、承包人要求为止。同时，经发包人书面确认，承包人有权解除合同，全部责任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 在与造价咨询人进行结算核对过程中，分包人不得向造价咨询人人员请客送礼、赠送钱物，发现一次，</w:t>
      </w:r>
      <w:r>
        <w:rPr>
          <w:rFonts w:hint="eastAsia"/>
          <w:color w:val="000000" w:themeColor="text1"/>
          <w14:textFill>
            <w14:solidFill>
              <w14:schemeClr w14:val="tx1"/>
            </w14:solidFill>
          </w14:textFill>
        </w:rPr>
        <w:t>视情节</w:t>
      </w:r>
      <w:r>
        <w:rPr>
          <w:color w:val="000000" w:themeColor="text1"/>
          <w14:textFill>
            <w14:solidFill>
              <w14:schemeClr w14:val="tx1"/>
            </w14:solidFill>
          </w14:textFill>
        </w:rPr>
        <w:t>严重程度分包人须向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支付违约金10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50万元。</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）合同约定的施工期按日历天计算，不考虑假期，分包人根据有关规定或自行安排员工假期的，分包人应将项目部管理人员值班名单于放假前7个日历天交</w:t>
      </w:r>
      <w:r>
        <w:rPr>
          <w:rFonts w:hint="eastAsia"/>
          <w:color w:val="000000" w:themeColor="text1"/>
          <w14:textFill>
            <w14:solidFill>
              <w14:schemeClr w14:val="tx1"/>
            </w14:solidFill>
          </w14:textFill>
        </w:rPr>
        <w:t>承包人及发包人</w:t>
      </w:r>
      <w:r>
        <w:rPr>
          <w:color w:val="000000" w:themeColor="text1"/>
          <w14:textFill>
            <w14:solidFill>
              <w14:schemeClr w14:val="tx1"/>
            </w14:solidFill>
          </w14:textFill>
        </w:rPr>
        <w:t>审批，审批后需变更人员的，分包人应及时通知工程师补办审批手续。分包人安排放假而无人值班的，按1万元每人次每天向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支付违约金，造成工程进度滞后或其他质量、安全事故的，由分包人承担全部责任。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9）项目经理、技术负责人、安全负责人必须按时参加工程会议，因故不能参加的应至少提前5小时提出申请并获得监理人批准方可缺席，否则分包人应按2万元/人次的标准向承包人支付违约金。</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22.1.9.2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工程进度方面：</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本</w:t>
      </w:r>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竣工</w:t>
      </w:r>
      <w:r>
        <w:rPr>
          <w:color w:val="000000" w:themeColor="text1"/>
          <w14:textFill>
            <w14:solidFill>
              <w14:schemeClr w14:val="tx1"/>
            </w14:solidFill>
          </w14:textFill>
        </w:rPr>
        <w:t>验收</w:t>
      </w:r>
      <w:r>
        <w:rPr>
          <w:rFonts w:hint="eastAsia"/>
          <w:color w:val="000000" w:themeColor="text1"/>
          <w14:textFill>
            <w14:solidFill>
              <w14:schemeClr w14:val="tx1"/>
            </w14:solidFill>
          </w14:textFill>
        </w:rPr>
        <w:t>且移交</w:t>
      </w:r>
      <w:r>
        <w:rPr>
          <w:color w:val="000000" w:themeColor="text1"/>
          <w14:textFill>
            <w14:solidFill>
              <w14:schemeClr w14:val="tx1"/>
            </w14:solidFill>
          </w14:textFill>
        </w:rPr>
        <w:t>后，分包人的施工人员、材料、设备必须在</w:t>
      </w:r>
      <w:r>
        <w:rPr>
          <w:rFonts w:hint="eastAsia"/>
          <w:color w:val="000000" w:themeColor="text1"/>
          <w:u w:val="single"/>
          <w14:textFill>
            <w14:solidFill>
              <w14:schemeClr w14:val="tx1"/>
            </w14:solidFill>
          </w14:textFill>
        </w:rPr>
        <w:t xml:space="preserve"> 15</w:t>
      </w:r>
      <w:r>
        <w:rPr>
          <w:color w:val="000000" w:themeColor="text1"/>
          <w:u w:val="single"/>
          <w14:textFill>
            <w14:solidFill>
              <w14:schemeClr w14:val="tx1"/>
            </w14:solidFill>
          </w14:textFill>
        </w:rPr>
        <w:t>天</w:t>
      </w:r>
      <w:r>
        <w:rPr>
          <w:color w:val="000000" w:themeColor="text1"/>
          <w14:textFill>
            <w14:solidFill>
              <w14:schemeClr w14:val="tx1"/>
            </w14:solidFill>
          </w14:textFill>
        </w:rPr>
        <w:t>内全部退出现场，每延迟一天退场</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收取分包人</w:t>
      </w:r>
      <w:r>
        <w:rPr>
          <w:rFonts w:hint="eastAsia"/>
          <w:color w:val="000000" w:themeColor="text1"/>
          <w:u w:val="single"/>
          <w14:textFill>
            <w14:solidFill>
              <w14:schemeClr w14:val="tx1"/>
            </w14:solidFill>
          </w14:textFill>
        </w:rPr>
        <w:t>5</w:t>
      </w:r>
      <w:r>
        <w:rPr>
          <w:color w:val="000000" w:themeColor="text1"/>
          <w:u w:val="single"/>
          <w14:textFill>
            <w14:solidFill>
              <w14:schemeClr w14:val="tx1"/>
            </w14:solidFill>
          </w14:textFill>
        </w:rPr>
        <w:t>000元</w:t>
      </w:r>
      <w:r>
        <w:rPr>
          <w:color w:val="000000" w:themeColor="text1"/>
          <w14:textFill>
            <w14:solidFill>
              <w14:schemeClr w14:val="tx1"/>
            </w14:solidFill>
          </w14:textFill>
        </w:rPr>
        <w:t>违约金</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2）无论因何原因按照约定或法定解除合同的，分包人的施工人员、材料、设备必须在1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天内清场并全部退出现场，如逾期退场或拒绝退场的，每延迟一天退场，</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收取分包人5000元违约金。分包人拒绝清场的，应同时承担</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委托第三方清场的费用。</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3）分包人延迟提供符合以上规定的竣工图纸及竣工资料的，每延迟1天，</w:t>
      </w:r>
      <w:r>
        <w:rPr>
          <w:rFonts w:hint="eastAsia"/>
          <w:color w:val="000000" w:themeColor="text1"/>
          <w14:textFill>
            <w14:solidFill>
              <w14:schemeClr w14:val="tx1"/>
            </w14:solidFill>
          </w14:textFill>
        </w:rPr>
        <w:t>须向承包人支付签约合同价格的</w:t>
      </w:r>
      <w:r>
        <w:rPr>
          <w:rFonts w:hint="eastAsia"/>
          <w:color w:val="000000" w:themeColor="text1"/>
          <w:u w:val="single"/>
          <w14:textFill>
            <w14:solidFill>
              <w14:schemeClr w14:val="tx1"/>
            </w14:solidFill>
          </w14:textFill>
        </w:rPr>
        <w:t>万分之五</w:t>
      </w:r>
      <w:r>
        <w:rPr>
          <w:rFonts w:hint="eastAsia"/>
          <w:color w:val="000000" w:themeColor="text1"/>
          <w14:textFill>
            <w14:solidFill>
              <w14:schemeClr w14:val="tx1"/>
            </w14:solidFill>
          </w14:textFill>
        </w:rPr>
        <w:t>作为违约金。</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22.1.9.3工程质量方面：</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1）分包人在施工过程中，因质量问题需对已完工程进行整改、返工的，产生的费用增加由分包人全部负责。若分包人有违反质量评定标准的质量问题，</w:t>
      </w:r>
      <w:r>
        <w:rPr>
          <w:rFonts w:hint="eastAsia"/>
          <w:color w:val="000000" w:themeColor="text1"/>
          <w14:textFill>
            <w14:solidFill>
              <w14:schemeClr w14:val="tx1"/>
            </w14:solidFill>
          </w14:textFill>
        </w:rPr>
        <w:t>或者导致承包人、发包人、监理人、建设主管部门就质量问题发出停工整改通知的，</w:t>
      </w:r>
      <w:r>
        <w:rPr>
          <w:color w:val="000000" w:themeColor="text1"/>
          <w14:textFill>
            <w14:solidFill>
              <w14:schemeClr w14:val="tx1"/>
            </w14:solidFill>
          </w14:textFill>
        </w:rPr>
        <w:t>视情节轻重，每次（项）须承担1-5万元的违约金，同时亦不免除分包人对不合格工程进行整改、返工的责任、工期不予顺延。</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2）分包人未按</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发包人审定的施工方案、施工工艺</w:t>
      </w:r>
      <w:r>
        <w:rPr>
          <w:rFonts w:hint="eastAsia"/>
          <w:color w:val="000000" w:themeColor="text1"/>
          <w14:textFill>
            <w14:solidFill>
              <w14:schemeClr w14:val="tx1"/>
            </w14:solidFill>
          </w14:textFill>
        </w:rPr>
        <w:t>和图纸</w:t>
      </w:r>
      <w:r>
        <w:rPr>
          <w:color w:val="000000" w:themeColor="text1"/>
          <w14:textFill>
            <w14:solidFill>
              <w14:schemeClr w14:val="tx1"/>
            </w14:solidFill>
          </w14:textFill>
        </w:rPr>
        <w:t>进行施工的，每次（项）须承担</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万元的违约金，同时亦不免除分包人对不合格施工方案、施工工艺的整改责任。  </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3）分包人对</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指出的质量问题未按时整改并回复，分包人应限期整改完成并向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支付1000元/条/天的违约金。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）工程施工期间和缺陷责任期内，由于分包人责任出现质量问题、安全事故或者其他原因，使发包人或项目受到报纸、电视等媒体的曝光或政府有关主管部门的通报批评的，每出现一次，分包人应向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0万元违约金。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）分包人未经报验，擅自进行下道工序施工的，分包人应拆除擅自施工的部位，并向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w:t>
      </w:r>
      <w:r>
        <w:rPr>
          <w:rFonts w:hint="eastAsia"/>
          <w:color w:val="000000" w:themeColor="text1"/>
          <w14:textFill>
            <w14:solidFill>
              <w14:schemeClr w14:val="tx1"/>
            </w14:solidFill>
          </w14:textFill>
        </w:rPr>
        <w:t>1万</w:t>
      </w:r>
      <w:r>
        <w:rPr>
          <w:color w:val="000000" w:themeColor="text1"/>
          <w14:textFill>
            <w14:solidFill>
              <w14:schemeClr w14:val="tx1"/>
            </w14:solidFill>
          </w14:textFill>
        </w:rPr>
        <w:t>元/次的违约金。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隐蔽工程未经承包人和发包人同意分包人私自进行隐蔽的，分包人应向承包人支付1~5万元的违约金，且分包人应无条件配合承包人和发包人进行检验，如检验不合格分包人须无条件返工直至验收合格。该等检验、返工等所发生的费用、工期延误由分包人自行承担，同时分包人应承担因此而发生的承包人或发包人与第三方单位的损失，且第三方单位的工期索赔应由分包人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因分包人施工质量问题造成承包人或发包人损失的，分包人应赔偿承包人或发包人一切损失，并按以下约定向总承包支付违约金：</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因分包人施工质量问题造成</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发包人损失100万以上的，每出现一次，分包人应向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支付20万元违约金；造成</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发包人损失50万以上、100万以下的，每出现一次分包人应向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支付15万元违约金；造成</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发包人损失20万以上、50万以下的，每出现一次分包人应向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支付10万元违约金；造成</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发包人损失20万以下的，每出现一次分包人应向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支付5万元违约金。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发包人在施工过程中发现分包人未按照本项目的质量控制点要求进行施工的，其中，每发现一次一类控制点的，分包人应向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w:t>
      </w:r>
      <w:r>
        <w:rPr>
          <w:rFonts w:hint="eastAsia"/>
          <w:color w:val="000000" w:themeColor="text1"/>
          <w:u w:val="single"/>
          <w14:textFill>
            <w14:solidFill>
              <w14:schemeClr w14:val="tx1"/>
            </w14:solidFill>
          </w14:textFill>
        </w:rPr>
        <w:t>5</w:t>
      </w:r>
      <w:r>
        <w:rPr>
          <w:color w:val="000000" w:themeColor="text1"/>
          <w:u w:val="single"/>
          <w14:textFill>
            <w14:solidFill>
              <w14:schemeClr w14:val="tx1"/>
            </w14:solidFill>
          </w14:textFill>
        </w:rPr>
        <w:t>000元</w:t>
      </w:r>
      <w:r>
        <w:rPr>
          <w:color w:val="000000" w:themeColor="text1"/>
          <w14:textFill>
            <w14:solidFill>
              <w14:schemeClr w14:val="tx1"/>
            </w14:solidFill>
          </w14:textFill>
        </w:rPr>
        <w:t>违约金；每发现一次二类控制点的，分包人应向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w:t>
      </w:r>
      <w:r>
        <w:rPr>
          <w:rFonts w:hint="eastAsia"/>
          <w:color w:val="000000" w:themeColor="text1"/>
          <w:u w:val="single"/>
          <w14:textFill>
            <w14:solidFill>
              <w14:schemeClr w14:val="tx1"/>
            </w14:solidFill>
          </w14:textFill>
        </w:rPr>
        <w:t>30</w:t>
      </w:r>
      <w:r>
        <w:rPr>
          <w:color w:val="000000" w:themeColor="text1"/>
          <w:u w:val="single"/>
          <w14:textFill>
            <w14:solidFill>
              <w14:schemeClr w14:val="tx1"/>
            </w14:solidFill>
          </w14:textFill>
        </w:rPr>
        <w:t>00元</w:t>
      </w:r>
      <w:r>
        <w:rPr>
          <w:color w:val="000000" w:themeColor="text1"/>
          <w14:textFill>
            <w14:solidFill>
              <w14:schemeClr w14:val="tx1"/>
            </w14:solidFill>
          </w14:textFill>
        </w:rPr>
        <w:t>违约金；每发现一次三类控制点的，分包人应向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w:t>
      </w:r>
      <w:r>
        <w:rPr>
          <w:rFonts w:hint="eastAsia"/>
          <w:color w:val="000000" w:themeColor="text1"/>
          <w:u w:val="single"/>
          <w14:textFill>
            <w14:solidFill>
              <w14:schemeClr w14:val="tx1"/>
            </w14:solidFill>
          </w14:textFill>
        </w:rPr>
        <w:t>10</w:t>
      </w:r>
      <w:r>
        <w:rPr>
          <w:color w:val="000000" w:themeColor="text1"/>
          <w:u w:val="single"/>
          <w14:textFill>
            <w14:solidFill>
              <w14:schemeClr w14:val="tx1"/>
            </w14:solidFill>
          </w14:textFill>
        </w:rPr>
        <w:t>00元</w:t>
      </w:r>
      <w:r>
        <w:rPr>
          <w:color w:val="000000" w:themeColor="text1"/>
          <w14:textFill>
            <w14:solidFill>
              <w14:schemeClr w14:val="tx1"/>
            </w14:solidFill>
          </w14:textFill>
        </w:rPr>
        <w:t>违约金。（一类控制点与主体结构安全相关，整改难度极大；二类控制点对项目整体工程质量起指导性或关键性作用；三类控制点需要按质量规范执行，对施工过程中工序、工艺进行纠偏。）</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分包人使用了不合格材料或工程设备，工程质量达不到标准要求，要求分包人立即采取措施进行补救，直至达到合同要求的质量标准，由此增加的费用和（或）工期延误由分包人承担。每发生一次该事项分包人还需向承包人支付5万元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10）分包人提交的深化设计图纸必须一次性满足承包人、发包人的深化设计要求，否则，每超过一次，分包人须向承包人承担1000元/次违约责任，且不免除分包人需完成的深化设计任务。</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22.1.9.4</w:t>
      </w:r>
      <w:r>
        <w:rPr>
          <w:rFonts w:hint="eastAsia"/>
          <w:color w:val="000000" w:themeColor="text1"/>
          <w14:textFill>
            <w14:solidFill>
              <w14:schemeClr w14:val="tx1"/>
            </w14:solidFill>
          </w14:textFill>
        </w:rPr>
        <w:t>绿色施工安全防护措施</w:t>
      </w:r>
      <w:r>
        <w:rPr>
          <w:color w:val="000000" w:themeColor="text1"/>
          <w14:textFill>
            <w14:solidFill>
              <w14:schemeClr w14:val="tx1"/>
            </w14:solidFill>
          </w14:textFill>
        </w:rPr>
        <w:t>方面：</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发生分包人施工人员或者劳务人员以非正常手段索取工程款或者聚众滋事或到党政机关、司法部门、发包人所在单位及其上级主管公司非法上访、聚众闹事、拉横幅、静坐、游行等事件的，每发生一次，分包人应向承包人支付人民币</w:t>
      </w:r>
      <w:r>
        <w:rPr>
          <w:rFonts w:hint="eastAsia"/>
          <w:color w:val="000000" w:themeColor="text1"/>
          <w:u w:val="single"/>
          <w14:textFill>
            <w14:solidFill>
              <w14:schemeClr w14:val="tx1"/>
            </w14:solidFill>
          </w14:textFill>
        </w:rPr>
        <w:t xml:space="preserve"> 20 </w:t>
      </w:r>
      <w:r>
        <w:rPr>
          <w:rFonts w:hint="eastAsia"/>
          <w:color w:val="000000" w:themeColor="text1"/>
          <w14:textFill>
            <w14:solidFill>
              <w14:schemeClr w14:val="tx1"/>
            </w14:solidFill>
          </w14:textFill>
        </w:rPr>
        <w:t>万元/次的违约金。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2）安全文明施工若达不到项目所在地市级建设行政主管部门安全文明验收标准或者验收后不能保持到工程移交完毕的，分包人应限期整改完成，并向承包人支付人民币</w:t>
      </w:r>
      <w:r>
        <w:rPr>
          <w:rFonts w:hint="eastAsia"/>
          <w:color w:val="000000" w:themeColor="text1"/>
          <w:u w:val="single"/>
          <w14:textFill>
            <w14:solidFill>
              <w14:schemeClr w14:val="tx1"/>
            </w14:solidFill>
          </w14:textFill>
        </w:rPr>
        <w:t xml:space="preserve"> 1万 </w:t>
      </w:r>
      <w:r>
        <w:rPr>
          <w:rFonts w:hint="eastAsia"/>
          <w:color w:val="000000" w:themeColor="text1"/>
          <w14:textFill>
            <w14:solidFill>
              <w14:schemeClr w14:val="tx1"/>
            </w14:solidFill>
          </w14:textFill>
        </w:rPr>
        <w:t>元的违约金。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3）分包人违反发包人现场管理制度有关规定的，按照发包人现场管理制度的有关规定处理，并视实际情况支付违约金人民币</w:t>
      </w:r>
      <w:r>
        <w:rPr>
          <w:rFonts w:hint="eastAsia"/>
          <w:color w:val="000000" w:themeColor="text1"/>
          <w:u w:val="single"/>
          <w14:textFill>
            <w14:solidFill>
              <w14:schemeClr w14:val="tx1"/>
            </w14:solidFill>
          </w14:textFill>
        </w:rPr>
        <w:t xml:space="preserve"> 5000 </w:t>
      </w:r>
      <w:r>
        <w:rPr>
          <w:rFonts w:hint="eastAsia"/>
          <w:color w:val="000000" w:themeColor="text1"/>
          <w14:textFill>
            <w14:solidFill>
              <w14:schemeClr w14:val="tx1"/>
            </w14:solidFill>
          </w14:textFill>
        </w:rPr>
        <w:t>元。</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4）分包人对监理通知或发包人指出的安全问题未按时整改并回复，分包人应限期整改完成并向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w:t>
      </w:r>
      <w:r>
        <w:rPr>
          <w:color w:val="000000" w:themeColor="text1"/>
          <w:u w:val="single"/>
          <w14:textFill>
            <w14:solidFill>
              <w14:schemeClr w14:val="tx1"/>
            </w14:solidFill>
          </w14:textFill>
        </w:rPr>
        <w:t>5000元/次</w:t>
      </w:r>
      <w:r>
        <w:rPr>
          <w:color w:val="000000" w:themeColor="text1"/>
          <w14:textFill>
            <w14:solidFill>
              <w14:schemeClr w14:val="tx1"/>
            </w14:solidFill>
          </w14:textFill>
        </w:rPr>
        <w:t>违约金，对严重安全隐患未及时整改的，分包人向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w:t>
      </w:r>
      <w:r>
        <w:rPr>
          <w:color w:val="000000" w:themeColor="text1"/>
          <w:u w:val="single"/>
          <w14:textFill>
            <w14:solidFill>
              <w14:schemeClr w14:val="tx1"/>
            </w14:solidFill>
          </w14:textFill>
        </w:rPr>
        <w:t>10000元/次</w:t>
      </w:r>
      <w:r>
        <w:rPr>
          <w:color w:val="000000" w:themeColor="text1"/>
          <w14:textFill>
            <w14:solidFill>
              <w14:schemeClr w14:val="tx1"/>
            </w14:solidFill>
          </w14:textFill>
        </w:rPr>
        <w:t>的违约金，并在当月进度款中扣除。</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5）分包人应保证施工场地清洁符合环境卫生管理的有关要求，做到工完场清，即建筑垃圾须及时清运出场，否则</w:t>
      </w:r>
      <w:r>
        <w:rPr>
          <w:rFonts w:hint="eastAsia"/>
          <w:color w:val="000000" w:themeColor="text1"/>
          <w14:textFill>
            <w14:solidFill>
              <w14:schemeClr w14:val="tx1"/>
            </w14:solidFill>
          </w14:textFill>
        </w:rPr>
        <w:t>，经发包人书面确认，承包人</w:t>
      </w:r>
      <w:r>
        <w:rPr>
          <w:color w:val="000000" w:themeColor="text1"/>
          <w14:textFill>
            <w14:solidFill>
              <w14:schemeClr w14:val="tx1"/>
            </w14:solidFill>
          </w14:textFill>
        </w:rPr>
        <w:t>有权另行委托他人清理，发生的费用由分包人双倍承担，且不低于</w:t>
      </w:r>
      <w:r>
        <w:rPr>
          <w:color w:val="000000" w:themeColor="text1"/>
          <w:u w:val="single"/>
          <w14:textFill>
            <w14:solidFill>
              <w14:schemeClr w14:val="tx1"/>
            </w14:solidFill>
          </w14:textFill>
        </w:rPr>
        <w:t>2000元/次</w:t>
      </w:r>
      <w:r>
        <w:rPr>
          <w:color w:val="000000" w:themeColor="text1"/>
          <w14:textFill>
            <w14:solidFill>
              <w14:schemeClr w14:val="tx1"/>
            </w14:solidFill>
          </w14:textFill>
        </w:rPr>
        <w:t>。</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）对于分包人未予实施的分项安全文明措施项目，</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将对包干安全文明措施费作相应的扣减，该费用将直接从合同总价中扣除。其他违反本规定的行为，</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有权按照本合同的条款收取违约金。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）分包人因自身原因造成安全事故（含工程质量事故）的，除按国家规定</w:t>
      </w:r>
      <w:r>
        <w:rPr>
          <w:rFonts w:hint="eastAsia"/>
          <w:color w:val="000000" w:themeColor="text1"/>
          <w14:textFill>
            <w14:solidFill>
              <w14:schemeClr w14:val="tx1"/>
            </w14:solidFill>
          </w14:textFill>
        </w:rPr>
        <w:t>（《中华人民共和国安全生产法》《建设工程安全生产管理条例》（国务院令第393 号）等安全生产相关法律法规）</w:t>
      </w:r>
      <w:r>
        <w:rPr>
          <w:color w:val="000000" w:themeColor="text1"/>
          <w14:textFill>
            <w14:solidFill>
              <w14:schemeClr w14:val="tx1"/>
            </w14:solidFill>
          </w14:textFill>
        </w:rPr>
        <w:t>由行政主管部门处罚外，分包人应承担事故处理的所有责任和费用、赔偿</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发包人的一切损失</w:t>
      </w:r>
      <w:r>
        <w:rPr>
          <w:rFonts w:hint="eastAsia"/>
          <w:color w:val="000000" w:themeColor="text1"/>
          <w14:textFill>
            <w14:solidFill>
              <w14:schemeClr w14:val="tx1"/>
            </w14:solidFill>
          </w14:textFill>
        </w:rPr>
        <w:t>（包括但不限于行政主管部门的罚款、工期等延误损失、第三方索赔、名誉损害、因此增加的费用支出等）</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并视安全或质量事故严重程度，经发包人书面确认，承包人保留随时解除合同的权利。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8）分包人因自身原因造成安全事故（含工程质量事故）的，还应当承担以下违约责任：（1）发生一般事故，向承包人支付150 万元/次的违约金；发生较大事故，向承包人支付500 万元/次的违约金；发生重大事故，向承包人支付1000 万/次的违约金；发生特别重大事故，向承包人支付2000 万/次的违约金。同时，经发包人书面通知，承包人有权并报请主管部门认定不良行为。事故等级的界定按照《生产安全事故报告和处理条例》（国务院令第493 号）、《生产安全事故信息报告和处置办法》（国家安全生产监督管理总局令第21 号）执行；（2）造成人员轻伤的，分包人应另外支付安全违约金5 万元/人次，造成人员重伤的，分包人应支付安全违约金50 万元/人次，造成人员死亡的，分包人应支付安全违约金100 万元/人次。发生事故隐瞒不报的，按前述标准加倍扣收。死亡、重伤和轻伤的界定按照《企业职工伤亡事故分类标准》GB6441—86 执行。（3）因发生生产安全事故、涉险事故或产生事故隐患，被媒体传播造成严重社会负面影响，或导致发包人及其上级单位被政府有关部门通报、约谈、批评或函告警示的，以及因施工不当被有关部门责令停工等情形对发包人造成严重不利影响的，分包人应支付违约金200 万元/次；（4）分包人发生重大及以上生产安全事故，或发生2 次较大生产安全事故，或一年内发生3 次生产安全事故，或出现上述第（3）点情形的，经发包人书面同意，承包人有权选择全部或部分解除合同。合同解除不免除分包人继续依法妥善处理已发生违约情形的责任。</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22.1.9.5工程组织管理方面：</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1）分包人违反本合同的约定，不服从</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发包人及</w:t>
      </w:r>
      <w:r>
        <w:rPr>
          <w:rFonts w:hint="eastAsia"/>
          <w:color w:val="000000" w:themeColor="text1"/>
          <w14:textFill>
            <w14:solidFill>
              <w14:schemeClr w14:val="tx1"/>
            </w14:solidFill>
          </w14:textFill>
        </w:rPr>
        <w:t>监理人</w:t>
      </w:r>
      <w:r>
        <w:rPr>
          <w:color w:val="000000" w:themeColor="text1"/>
          <w14:textFill>
            <w14:solidFill>
              <w14:schemeClr w14:val="tx1"/>
            </w14:solidFill>
          </w14:textFill>
        </w:rPr>
        <w:t>的管理，对发包人、</w:t>
      </w:r>
      <w:r>
        <w:rPr>
          <w:rFonts w:hint="eastAsia"/>
          <w:color w:val="000000" w:themeColor="text1"/>
          <w14:textFill>
            <w14:solidFill>
              <w14:schemeClr w14:val="tx1"/>
            </w14:solidFill>
          </w14:textFill>
        </w:rPr>
        <w:t>监理人</w:t>
      </w:r>
      <w:r>
        <w:rPr>
          <w:color w:val="000000" w:themeColor="text1"/>
          <w14:textFill>
            <w14:solidFill>
              <w14:schemeClr w14:val="tx1"/>
            </w14:solidFill>
          </w14:textFill>
        </w:rPr>
        <w:t>的指令和书面通知（具体形式包括但不限于设计变更通知、工程指令、现场签证、工程联系单、会议纪要等）公开或变相拒不执行的，</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视情节严重程度有权要求分包人支付违约金人民币5000元至50000元，并由分包人承担由此造成的一切经济损失。情节特别严重的，</w:t>
      </w:r>
      <w:r>
        <w:rPr>
          <w:rFonts w:hint="eastAsia"/>
          <w:color w:val="000000" w:themeColor="text1"/>
          <w14:textFill>
            <w14:solidFill>
              <w14:schemeClr w14:val="tx1"/>
            </w14:solidFill>
          </w14:textFill>
        </w:rPr>
        <w:t>经发包人书面确认，承包人</w:t>
      </w:r>
      <w:r>
        <w:rPr>
          <w:color w:val="000000" w:themeColor="text1"/>
          <w14:textFill>
            <w14:solidFill>
              <w14:schemeClr w14:val="tx1"/>
            </w14:solidFill>
          </w14:textFill>
        </w:rPr>
        <w:t>有权单方面部分解除合同或解除合同。</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2）分包人项目经理未经</w:t>
      </w:r>
      <w:r>
        <w:rPr>
          <w:rFonts w:hint="eastAsia"/>
          <w:color w:val="000000" w:themeColor="text1"/>
          <w14:textFill>
            <w14:solidFill>
              <w14:schemeClr w14:val="tx1"/>
            </w14:solidFill>
          </w14:textFill>
        </w:rPr>
        <w:t>承包人和</w:t>
      </w:r>
      <w:r>
        <w:rPr>
          <w:color w:val="000000" w:themeColor="text1"/>
          <w14:textFill>
            <w14:solidFill>
              <w14:schemeClr w14:val="tx1"/>
            </w14:solidFill>
          </w14:textFill>
        </w:rPr>
        <w:t>发包人同意不参加会议的，每人次须向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支付5000元违约金。</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22.1.9.6 本合同因分包人的原因解除的，分包人应向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支付合同</w:t>
      </w:r>
      <w:r>
        <w:rPr>
          <w:rFonts w:hint="eastAsia"/>
          <w:color w:val="000000" w:themeColor="text1"/>
          <w14:textFill>
            <w14:solidFill>
              <w14:schemeClr w14:val="tx1"/>
            </w14:solidFill>
          </w14:textFill>
        </w:rPr>
        <w:t>签约合同价格20</w:t>
      </w:r>
      <w:r>
        <w:rPr>
          <w:color w:val="000000" w:themeColor="text1"/>
          <w14:textFill>
            <w14:solidFill>
              <w14:schemeClr w14:val="tx1"/>
            </w14:solidFill>
          </w14:textFill>
        </w:rPr>
        <w:t>%的违约金，</w:t>
      </w:r>
      <w:r>
        <w:rPr>
          <w:rFonts w:hint="eastAsia"/>
          <w:color w:val="000000" w:themeColor="text1"/>
          <w14:textFill>
            <w14:solidFill>
              <w14:schemeClr w14:val="tx1"/>
            </w14:solidFill>
          </w14:textFill>
        </w:rPr>
        <w:t>承包人</w:t>
      </w:r>
      <w:r>
        <w:rPr>
          <w:color w:val="000000" w:themeColor="text1"/>
          <w14:textFill>
            <w14:solidFill>
              <w14:schemeClr w14:val="tx1"/>
            </w14:solidFill>
          </w14:textFill>
        </w:rPr>
        <w:t>有权从结算款中直接扣除上述违约金。如上述违约金不足以弥补</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发包人由此所遭受损失的，分包人还应承担赔偿责任。</w:t>
      </w:r>
    </w:p>
    <w:p>
      <w:pPr>
        <w:pStyle w:val="52"/>
        <w:ind w:firstLine="420"/>
        <w:rPr>
          <w:color w:val="000000" w:themeColor="text1"/>
          <w14:textFill>
            <w14:solidFill>
              <w14:schemeClr w14:val="tx1"/>
            </w14:solidFill>
          </w14:textFill>
        </w:rPr>
      </w:pPr>
      <w:r>
        <w:rPr>
          <w:color w:val="000000" w:themeColor="text1"/>
          <w14:textFill>
            <w14:solidFill>
              <w14:schemeClr w14:val="tx1"/>
            </w14:solidFill>
          </w14:textFill>
        </w:rPr>
        <w:t>22.1.9.7 除本合同另有约定外，分包人违约造成</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发包人损失的，除应支付本合同约定的违约金外，还应赔偿</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发包人的损失，分包人承担违约赔偿责任的范围包括但不限于</w:t>
      </w:r>
      <w:r>
        <w:rPr>
          <w:rFonts w:hint="eastAsia"/>
          <w:color w:val="000000" w:themeColor="text1"/>
          <w14:textFill>
            <w14:solidFill>
              <w14:schemeClr w14:val="tx1"/>
            </w14:solidFill>
          </w14:textFill>
        </w:rPr>
        <w:t>承包人或</w:t>
      </w:r>
      <w:r>
        <w:rPr>
          <w:color w:val="000000" w:themeColor="text1"/>
          <w14:textFill>
            <w14:solidFill>
              <w14:schemeClr w14:val="tx1"/>
            </w14:solidFill>
          </w14:textFill>
        </w:rPr>
        <w:t>发包人的直接经济损失、向第三方承担的违约责任以及发生的诉讼费、仲裁费、律师费等费用支出。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在出现以下情况时，发包人有权拒绝分包人参与发包人后续招标项目的投标：</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（1）分包人因过错行为被生效法律文书认定承担违约或侵权责任的；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（2）分包人就其与发包人之间的争议问题向人民法院提起诉讼或向仲裁机构提请仲裁，且该诉讼或仲裁案件尚未审理终结的；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因分包人原因导致发包人被其他单位或个人以诉讼或仲裁方式追索工程款或其他费用，但分包人未按照合同约定承担发包人由此产生的一切经济损失（包括但不限于发包人由此支出的所有诉讼或仲裁费用、律师代理费及其他费用），在收到发包人赔付通知后拒绝赔付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（4）发包人无法接受的分包人严重违约行为。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9 分包人不按期支付货款或工人工资的违约责任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如发现分包人无正当理由不按供货合同约定的费用足额支付或延迟支付给供货单位，分包人须向承包人承担10000元/每次违约责任。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若因分包人原因使得承包人或发包人为其垫付有关费用的，自垫付之日起，分包人应按中国人民银行同期同类存款基准利率向承包人或发包人支付利息，直至垫付费用及利息被发包人在当期应支付的进度款或结算款中抵扣完毕或分包人直接向承包人或发包人偿还该垫付费用及利息为止。同时，除本合同另有约定外，每发生一次垫付行为，承包人有权要求分包人按垫付金额的</w:t>
      </w:r>
      <w:r>
        <w:rPr>
          <w:rFonts w:hint="eastAsia"/>
          <w:color w:val="000000" w:themeColor="text1"/>
          <w:u w:val="single"/>
          <w14:textFill>
            <w14:solidFill>
              <w14:schemeClr w14:val="tx1"/>
            </w14:solidFill>
          </w14:textFill>
        </w:rPr>
        <w:t>20％</w:t>
      </w:r>
      <w:r>
        <w:rPr>
          <w:rFonts w:hint="eastAsia"/>
          <w:color w:val="000000" w:themeColor="text1"/>
          <w14:textFill>
            <w14:solidFill>
              <w14:schemeClr w14:val="tx1"/>
            </w14:solidFill>
          </w14:textFill>
        </w:rPr>
        <w:t>向垫付方支付违约金。</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10 分包人发生重大诉讼或仲裁、经营状况严重恶化、资质吊销或降级、重大不利报道、银行账户被冻结及其他对本合同继续履行构成重大不利情形，或进入破产、重整、解散或清算程序的，或者因分包人自身债务问题造成发包人被法院要求协助诉讼保全、协助执行（法院的法律文书形式包括但不限于协助执行通知、履行到期债务通知等协助执行函件），承包人、分包人在发包人通知后14日内不能妥善解决的，经发包人书面确认，承包人有权通知分包人解除本合同，并在约定或承包人指示的期限内完成清场和撤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11 分包人未能按照合同约定履行其他义务，又未能在监理单位或发包人指定的期限内有效改正的，每逾期一日，应向承包人承担合同签约合同价格的万分之</w:t>
      </w:r>
      <w:r>
        <w:rPr>
          <w:color w:val="000000" w:themeColor="text1"/>
          <w14:textFill>
            <w14:solidFill>
              <w14:schemeClr w14:val="tx1"/>
            </w14:solidFill>
          </w14:textFill>
        </w:rPr>
        <w:t>一</w:t>
      </w:r>
      <w:r>
        <w:rPr>
          <w:rFonts w:hint="eastAsia"/>
          <w:color w:val="000000" w:themeColor="text1"/>
          <w14:textFill>
            <w14:solidFill>
              <w14:schemeClr w14:val="tx1"/>
            </w14:solidFill>
          </w14:textFill>
        </w:rPr>
        <w:t>的违约金（专用条款另外有明确约定违约金的，按该等约定执行），且经发包人书面确认，承包人有权随时向分包人发出解除合同通知。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12 合同解除不免除分包人履行合同项下的清理和结算责任。分包人应将解除合同时的工程现状及经其签署盖章的施工资料全部妥善、清楚地移交予承包人和发包人并经发包人审核确认，分包人须配合发包人另行发包或完成工程善后事宜及向政府部门申报或办理相关手续直至工程完工及验收，并按发包人要求清理和撤离现场，否则承包人有权不支付合同价款并要求分包人承担损失赔偿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13 本合同条款约定的违约责任与其他合同文件或附件约定不一致的，以较严格的责任为准。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22.1.10 关于违约的补充约定：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承包人有权直接从工程款中扣除分包人应支付的违约金或赔偿金，也有权从履约担保中直接扣除。如分包人因此被承包人提取履约担保金额的，分包人应在接到发包人关于提取履约担保金额的通知后7天内补足被提取的履约担保金额。如按本合同相关条款承担违约责任后不足以补偿给发包人、承包人造成的实际损失的，违约金自动按发包人、承包人全部损失额确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发包人上级单位“广东粤海控股集团有限公司”（以下简称“粤海控股集团”）将定期对分包人进行信用评价，相关评价结果将在粤海控股集团网站等渠道实时予以公布。分包人的不良行为导致其信用评价分在60分以下的，将拒绝分包人参与粤海控股集团及其附属公司工程项目的投标。出现相关情形后，发包人将书面通知承包人及分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因分包单位违约或侵害第三方权益，包括但不限于分包人未按时支付人员工资、劳务费用、材料设备款项，发生安全责任事故，邻近设施受损等原因，出现分包人或第三方投诉、罢工、集会、游行、示威、闹事、集聚、围阻发包人或发包人股东、上级主管单位的办公地点或者政府办公部门等情形的，发包人有权通过承包人要求分包人支付违约金50 万元/次。如上述行为在新闻、报纸等媒体（介）传播或被政府部门通报、批评的，发包人有权通过承包人要求分包人支付违约金100 万元/次。经发包人书面同意，承包人有权视情况选择全部或部分解除合同。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22.1.11关于安全生产的补充约定：</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1）发包人或发包人的上级单位对本项目，每月开展不少于一次的项目现场检查，对检查发现的工程分包人安全生产不良行为进行扣分。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2）工程分包人不良行为扣分以项目为单位按年度进行累计，计分周期为每年1月1日至12月31日，每年12月31日24:00当年度累计扣分自动归零。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3）分包人不良行为扣分情况通过广东粤海控股集团有限公司（发包人上级单位）统一管理。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若分包人承接的单个项目累计扣分N≥6分、N≥9分、N≥12分时，该承包商分别显示黄灯、橙灯、红灯状态，其中N≥9分将根据扣分程度和不良行为情况对承包商后续投标粤海集团及其下属企业项目予以相应扣分处理。</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5）具体的扣分条款详附件</w:t>
      </w:r>
      <w:r>
        <w:rPr>
          <w:bCs/>
          <w:color w:val="000000" w:themeColor="text1"/>
          <w14:textFill>
            <w14:solidFill>
              <w14:schemeClr w14:val="tx1"/>
            </w14:solidFill>
          </w14:textFill>
        </w:rPr>
        <w:t>1</w:t>
      </w:r>
      <w:r>
        <w:rPr>
          <w:rFonts w:hint="eastAsia"/>
          <w:bCs/>
          <w:color w:val="000000" w:themeColor="text1"/>
          <w14:textFill>
            <w14:solidFill>
              <w14:schemeClr w14:val="tx1"/>
            </w14:solidFill>
          </w14:textFill>
        </w:rPr>
        <w:t>8。</w:t>
      </w:r>
      <w:bookmarkStart w:id="869" w:name="_Toc91082457"/>
      <w:bookmarkStart w:id="870" w:name="_Toc31945"/>
      <w:bookmarkStart w:id="871" w:name="_Toc44228175"/>
      <w:bookmarkStart w:id="872" w:name="_Toc44492626"/>
      <w:bookmarkStart w:id="873" w:name="_Toc12456"/>
      <w:bookmarkStart w:id="874" w:name="_Toc38987292"/>
      <w:bookmarkStart w:id="875" w:name="_Toc11470"/>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22.1.12 关于不良履约结果应用：</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1）分包人承诺遵守发包人已制定或修订的项目管理规定和要求；</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发包人可将本合同分包人履约情况及时通报上级单位广东粤海控股集团有限公司（下称“粤海集团”）。粤海集团有权对分包人的履约情况进行评价（含扣分处理），有权对粤海集团系内供应商进行统筹考核排名并在粤海集团及其下属公司范围内进行公示；</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3）发包人可将分包人拒不履行合同、不诚信行为或廉洁问题等情况向信用评级机构以及行业主管部门等披露或报送。</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22.1.13 合同解除后的工程款结算</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合同约定因分包人违约，经发包人同意，承包人有权选择解除合同的情形，如承包人最终选择解除合同，分包人除承担相应的违约责任外，分包人还应向承包人另行支付签约合同价款（适用于合同解除）或解除部分价款（适用于部分解除）10%的违约金。</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分包人在收到合同解除通知之日起15 天内必须组织施工人员、材料、设备全部退出现场，不得以工程量未经确认而拒绝移交施工场地，每延迟一天退场，分包人须支付5 万元/天的违约金，并且发包人或承包人有权直接进入施工场地，如有分包人员工或农民工、材料商等聚众闹事阻挠发包人或承包人进场施工，因此造成的损失和法律后果与责任全部由分包人承担。分包人必须在前述事件发生后7 日内按合同价或结算价（以价高者为准）的15％另向承包人支付施工场地移交延误的违约金，违约金累计，上不封顶。发包人根据现场施工安排通过承包人通知分包人现场验收已完工工程并核对工程量，分包人不予配合或未在通知的时间签字确认工程量的，以发包人验收结果与发包人现场核对的工程量为准。已完成的工程质量不合格的，分包人应当完成全部整改并承担修复费用，分包人在发包人提出的合理时限内仍拒不整改的，发包人或承包人可委托第三方单位实施，相关所有费用在分包人结算款中扣除。由此导致工期延误的，按照合同中有关工期延误的违约责任条款执行。</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分包人应自已完成工程验收合格且本条前述条款确认工程量之日起30 天内通过承包人向发包人提交完整的结算资料，未按时提交结算资料或提交结算资料后未在限定的时间内按要求补充、修改资料的，经发包人书面同意，承包人有权不予支付工程价款。</w:t>
      </w:r>
    </w:p>
    <w:p>
      <w:pPr>
        <w:pStyle w:val="52"/>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质量保证金扣留、退还属于合同的清理和结算条款，合同解除后，分包人仍应对其施工的工程承担缺陷保证责任与保修责任，承包人有权扣留3%的结算款作为质量保证金，合同解除的保修期与缺陷责任期自工程整体验收合格、三方（发包人、承包人、分包人）完成工程款结算并交付发包人之日起算。</w:t>
      </w:r>
    </w:p>
    <w:p>
      <w:pPr>
        <w:pStyle w:val="73"/>
        <w:numPr>
          <w:ilvl w:val="0"/>
          <w:numId w:val="4"/>
        </w:numPr>
        <w:rPr>
          <w:color w:val="000000" w:themeColor="text1"/>
          <w14:textFill>
            <w14:solidFill>
              <w14:schemeClr w14:val="tx1"/>
            </w14:solidFill>
          </w14:textFill>
        </w:rPr>
      </w:pPr>
      <w:r>
        <w:rPr>
          <w:rFonts w:hint="eastAsia"/>
          <w:color w:val="000000" w:themeColor="text1"/>
          <w14:textFill>
            <w14:solidFill>
              <w14:schemeClr w14:val="tx1"/>
            </w14:solidFill>
          </w14:textFill>
        </w:rPr>
        <w:t>争议的解决</w:t>
      </w:r>
      <w:bookmarkEnd w:id="869"/>
      <w:bookmarkEnd w:id="870"/>
      <w:bookmarkEnd w:id="871"/>
      <w:bookmarkEnd w:id="872"/>
    </w:p>
    <w:p>
      <w:pPr>
        <w:keepNext/>
        <w:keepLines/>
        <w:spacing w:before="120" w:after="120" w:line="360" w:lineRule="auto"/>
        <w:ind w:firstLine="480" w:firstLineChars="200"/>
        <w:outlineLvl w:val="2"/>
        <w:rPr>
          <w:rFonts w:ascii="Times New Roman" w:hAnsi="Times New Roman" w:eastAsia="黑体"/>
          <w:bCs/>
          <w:color w:val="000000" w:themeColor="text1"/>
          <w:sz w:val="24"/>
          <w:szCs w:val="32"/>
          <w14:textFill>
            <w14:solidFill>
              <w14:schemeClr w14:val="tx1"/>
            </w14:solidFill>
          </w14:textFill>
        </w:rPr>
      </w:pPr>
      <w:r>
        <w:rPr>
          <w:rFonts w:hint="eastAsia" w:ascii="Times New Roman" w:hAnsi="Times New Roman" w:eastAsia="黑体"/>
          <w:bCs/>
          <w:color w:val="000000" w:themeColor="text1"/>
          <w:sz w:val="24"/>
          <w:szCs w:val="32"/>
          <w14:textFill>
            <w14:solidFill>
              <w14:schemeClr w14:val="tx1"/>
            </w14:solidFill>
          </w14:textFill>
        </w:rPr>
        <w:t>2</w:t>
      </w:r>
      <w:r>
        <w:rPr>
          <w:rFonts w:ascii="Times New Roman" w:hAnsi="Times New Roman" w:eastAsia="黑体"/>
          <w:bCs/>
          <w:color w:val="000000" w:themeColor="text1"/>
          <w:sz w:val="24"/>
          <w:szCs w:val="32"/>
          <w14:textFill>
            <w14:solidFill>
              <w14:schemeClr w14:val="tx1"/>
            </w14:solidFill>
          </w14:textFill>
        </w:rPr>
        <w:t>3</w:t>
      </w:r>
      <w:r>
        <w:rPr>
          <w:rFonts w:hint="eastAsia" w:ascii="Times New Roman" w:hAnsi="Times New Roman" w:eastAsia="黑体"/>
          <w:bCs/>
          <w:color w:val="000000" w:themeColor="text1"/>
          <w:sz w:val="24"/>
          <w:szCs w:val="32"/>
          <w14:textFill>
            <w14:solidFill>
              <w14:schemeClr w14:val="tx1"/>
            </w14:solidFill>
          </w14:textFill>
        </w:rPr>
        <w:t>.1 争议的解决方式</w:t>
      </w:r>
    </w:p>
    <w:p>
      <w:pPr>
        <w:autoSpaceDE w:val="0"/>
        <w:autoSpaceDN w:val="0"/>
        <w:adjustRightInd w:val="0"/>
        <w:spacing w:line="360" w:lineRule="auto"/>
        <w:ind w:firstLine="420" w:firstLineChars="200"/>
        <w:jc w:val="left"/>
        <w:rPr>
          <w:color w:val="000000" w:themeColor="text1"/>
          <w14:textFill>
            <w14:solidFill>
              <w14:schemeClr w14:val="tx1"/>
            </w14:solidFill>
          </w14:textFill>
        </w:rPr>
      </w:pPr>
      <w:r>
        <w:rPr>
          <w:rFonts w:hint="eastAsia" w:ascii="Times New Roman" w:hAnsi="Times New Roman" w:eastAsia="仿宋_GB2312"/>
          <w:color w:val="000000" w:themeColor="text1"/>
          <w:kern w:val="0"/>
          <w:szCs w:val="32"/>
          <w14:textFill>
            <w14:solidFill>
              <w14:schemeClr w14:val="tx1"/>
            </w14:solidFill>
          </w14:textFill>
        </w:rPr>
        <w:t>通用条款2</w:t>
      </w:r>
      <w:r>
        <w:rPr>
          <w:rFonts w:ascii="Times New Roman" w:hAnsi="Times New Roman" w:eastAsia="仿宋_GB2312"/>
          <w:color w:val="000000" w:themeColor="text1"/>
          <w:kern w:val="0"/>
          <w:szCs w:val="32"/>
          <w14:textFill>
            <w14:solidFill>
              <w14:schemeClr w14:val="tx1"/>
            </w14:solidFill>
          </w14:textFill>
        </w:rPr>
        <w:t>3.1.1</w:t>
      </w:r>
      <w:r>
        <w:rPr>
          <w:rFonts w:hint="eastAsia" w:ascii="Times New Roman" w:hAnsi="Times New Roman" w:eastAsia="仿宋_GB2312"/>
          <w:color w:val="000000" w:themeColor="text1"/>
          <w:kern w:val="0"/>
          <w:szCs w:val="32"/>
          <w14:textFill>
            <w14:solidFill>
              <w14:schemeClr w14:val="tx1"/>
            </w14:solidFill>
          </w14:textFill>
        </w:rPr>
        <w:t>条修改为：合同当事人双方在履行合同时发生争议，双方应友好协商，可以采取和解或者要求有关主管部门调解。当事人不愿和解、调解或者和解、调解不成的，采取向工程所在地有管辖权的人民法院提起诉讼的方式解决。</w:t>
      </w:r>
    </w:p>
    <w:p>
      <w:pPr>
        <w:pStyle w:val="73"/>
        <w:rPr>
          <w:color w:val="000000" w:themeColor="text1"/>
          <w14:textFill>
            <w14:solidFill>
              <w14:schemeClr w14:val="tx1"/>
            </w14:solidFill>
          </w14:textFill>
        </w:rPr>
      </w:pPr>
      <w:bookmarkStart w:id="876" w:name="_Toc15830"/>
      <w:bookmarkStart w:id="877" w:name="_Toc44228176"/>
      <w:bookmarkStart w:id="878" w:name="_Toc91082458"/>
      <w:bookmarkStart w:id="879" w:name="_Toc44492627"/>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合同的解除</w:t>
      </w:r>
      <w:bookmarkEnd w:id="876"/>
      <w:bookmarkEnd w:id="877"/>
      <w:bookmarkEnd w:id="878"/>
      <w:bookmarkEnd w:id="879"/>
    </w:p>
    <w:p>
      <w:pPr>
        <w:keepNext/>
        <w:keepLines/>
        <w:spacing w:before="120" w:after="120" w:line="360" w:lineRule="auto"/>
        <w:ind w:firstLine="480" w:firstLineChars="200"/>
        <w:outlineLvl w:val="2"/>
        <w:rPr>
          <w:rFonts w:eastAsia="仿宋_GB2312"/>
          <w:color w:val="000000" w:themeColor="text1"/>
          <w:kern w:val="0"/>
          <w:szCs w:val="21"/>
          <w14:textFill>
            <w14:solidFill>
              <w14:schemeClr w14:val="tx1"/>
            </w14:solidFill>
          </w14:textFill>
        </w:rPr>
      </w:pPr>
      <w:r>
        <w:rPr>
          <w:rFonts w:eastAsia="黑体"/>
          <w:bCs/>
          <w:color w:val="000000" w:themeColor="text1"/>
          <w:sz w:val="24"/>
          <w:szCs w:val="32"/>
          <w14:textFill>
            <w14:solidFill>
              <w14:schemeClr w14:val="tx1"/>
            </w14:solidFill>
          </w14:textFill>
        </w:rPr>
        <w:t>24.1</w:t>
      </w:r>
      <w:r>
        <w:rPr>
          <w:rFonts w:eastAsia="仿宋_GB2312"/>
          <w:color w:val="000000" w:themeColor="text1"/>
          <w:kern w:val="0"/>
          <w:szCs w:val="21"/>
          <w14:textFill>
            <w14:solidFill>
              <w14:schemeClr w14:val="tx1"/>
            </w14:solidFill>
          </w14:textFill>
        </w:rPr>
        <w:t xml:space="preserve"> </w:t>
      </w:r>
      <w:r>
        <w:rPr>
          <w:rFonts w:hint="eastAsia" w:eastAsia="黑体"/>
          <w:bCs/>
          <w:color w:val="000000" w:themeColor="text1"/>
          <w:sz w:val="24"/>
          <w:szCs w:val="32"/>
          <w14:textFill>
            <w14:solidFill>
              <w14:schemeClr w14:val="tx1"/>
            </w14:solidFill>
          </w14:textFill>
        </w:rPr>
        <w:t>由于</w:t>
      </w:r>
      <w:r>
        <w:rPr>
          <w:rFonts w:hint="eastAsia" w:ascii="Times New Roman" w:hAnsi="Times New Roman" w:eastAsia="黑体"/>
          <w:bCs/>
          <w:color w:val="000000" w:themeColor="text1"/>
          <w:sz w:val="24"/>
          <w:szCs w:val="32"/>
          <w14:textFill>
            <w14:solidFill>
              <w14:schemeClr w14:val="tx1"/>
            </w14:solidFill>
          </w14:textFill>
        </w:rPr>
        <w:t>发包人</w:t>
      </w:r>
      <w:r>
        <w:rPr>
          <w:rFonts w:hint="eastAsia" w:eastAsia="黑体"/>
          <w:bCs/>
          <w:color w:val="000000" w:themeColor="text1"/>
          <w:sz w:val="24"/>
          <w:szCs w:val="32"/>
          <w14:textFill>
            <w14:solidFill>
              <w14:schemeClr w14:val="tx1"/>
            </w14:solidFill>
          </w14:textFill>
        </w:rPr>
        <w:t>原因解除本合同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发包人根据市场需要，工程停建、缓建或工程设计修改后相应承包工程项目不存在时，有权单方面解除本合同或解除本合同的部分工作，并向分包人发出解除本合同通知。发包人解除本合同并不影响其根据本合同约定享有的任何其他权利。</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（2）合同解除的处理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应妥善做好已完工程和已购材料、设备的保护和移交工作，并按发包人要求将自有机械设备和人员撤出施工场地。发包人为分包人撤出提供必要条件，已完工程价款在分包人根据发包人要求完全撤离施工场地后办理结算手续后支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2）分包人所有人员、设备必须在收到解除本合同书面通知后【</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5】天内撤离施工场地并向发包人移交所有工程资料和发包人交予分包人使用的材料/设备/设施/配件、工具或其他物品。否则，分包人留在现场的设备的安全与发包人无关，并且发包人可在本合同解除之后安排其他单位进场施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3）已经根据本工程需要订货的材料、设备由订货方负责退货或解除订货合同，不能退还的货款和因退货、解除订货合同发生的费用及由此造成对方的损失由责任方承担，因未及时退货造成的损失由责任方承担。</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4）双方仍应遵循诚实信用原则，按本合同的约定履行通知、协助、保密等义务，并且双方在本合同中约定的工程质量、结算、清理、违约与索赔条款等全部相关内容仍然有效。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解除本合同后的结算方式：根据分包人实际完成合格工程量及本合同相关条款双方协商确定。结算将承发包双方确认后，结算款项应分期支付，第一期用于支付分包人应付的工人工资，第二期在分包人已全部顺利退场、所有相关资料已全部移交发包人且半年内无因合同解除、退场、移交而发生干扰、滋事情形影响后续项目正常施工或营业时支付，每期付款需扣除应扣款项，且分包人应提供有效增值税发票（参见本合同专用条款第17条相关约定）。</w:t>
      </w:r>
    </w:p>
    <w:p>
      <w:pPr>
        <w:wordWrap w:val="0"/>
        <w:spacing w:line="360" w:lineRule="auto"/>
        <w:rPr>
          <w:rFonts w:eastAsia="仿宋_GB2312"/>
          <w:color w:val="000000" w:themeColor="text1"/>
          <w:kern w:val="0"/>
          <w:szCs w:val="21"/>
          <w14:textFill>
            <w14:solidFill>
              <w14:schemeClr w14:val="tx1"/>
            </w14:solidFill>
          </w14:textFill>
        </w:rPr>
      </w:pPr>
      <w:r>
        <w:rPr>
          <w:rFonts w:eastAsia="黑体"/>
          <w:bCs/>
          <w:color w:val="000000" w:themeColor="text1"/>
          <w:sz w:val="24"/>
          <w:szCs w:val="32"/>
          <w14:textFill>
            <w14:solidFill>
              <w14:schemeClr w14:val="tx1"/>
            </w14:solidFill>
          </w14:textFill>
        </w:rPr>
        <w:t>24.2</w:t>
      </w:r>
      <w:r>
        <w:rPr>
          <w:rFonts w:eastAsia="仿宋_GB2312"/>
          <w:color w:val="000000" w:themeColor="text1"/>
          <w:kern w:val="0"/>
          <w:szCs w:val="21"/>
          <w14:textFill>
            <w14:solidFill>
              <w14:schemeClr w14:val="tx1"/>
            </w14:solidFill>
          </w14:textFill>
        </w:rPr>
        <w:t xml:space="preserve"> </w:t>
      </w:r>
      <w:r>
        <w:rPr>
          <w:rFonts w:hint="eastAsia" w:eastAsia="黑体"/>
          <w:bCs/>
          <w:color w:val="000000" w:themeColor="text1"/>
          <w:sz w:val="24"/>
          <w:szCs w:val="32"/>
          <w14:textFill>
            <w14:solidFill>
              <w14:schemeClr w14:val="tx1"/>
            </w14:solidFill>
          </w14:textFill>
        </w:rPr>
        <w:t>由于分包人原因解除本合同</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（1）基于下列原因，经发包人书面确认，承包人有权书面通知分包人解除本合同或解除本合同的部分工作：</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1）分包人破产、重整、解散或清算的，但为机构重组或联合的目的除外。</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2）分包人明确表示或以自己的行为表明不履行本合同约定主要义务的。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3）分包人在订立或履行本合同期间有欺诈行为的。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4）分包人发生严重违约行为的。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5）分包人通过挂靠方式承包本工程或将本工程非法转包、违法分包的。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lang w:bidi="ar"/>
          <w14:textFill>
            <w14:solidFill>
              <w14:schemeClr w14:val="tx1"/>
            </w14:solidFill>
          </w14:textFill>
        </w:rPr>
        <w:t>合同约定的期限内没有完工，且在发包人催告的合理期限内仍未完工的</w:t>
      </w:r>
      <w:r>
        <w:rPr>
          <w:rFonts w:hint="eastAsia"/>
          <w:color w:val="000000" w:themeColor="text1"/>
          <w14:textFill>
            <w14:solidFill>
              <w14:schemeClr w14:val="tx1"/>
            </w14:solidFill>
          </w14:textFill>
        </w:rPr>
        <w:t>。</w:t>
      </w:r>
    </w:p>
    <w:p>
      <w:pPr>
        <w:pStyle w:val="52"/>
        <w:ind w:firstLine="420"/>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lang w:bidi="ar"/>
          <w14:textFill>
            <w14:solidFill>
              <w14:schemeClr w14:val="tx1"/>
            </w14:solidFill>
          </w14:textFill>
        </w:rPr>
        <w:t>已经完成的建设工程质量不合格，并拒绝修复的。</w:t>
      </w:r>
    </w:p>
    <w:p>
      <w:pPr>
        <w:pStyle w:val="52"/>
        <w:ind w:firstLine="420"/>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8）分包人进入破产、重整、解散或清算程序。</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因分包人自身债务问题造成承包人或发包人被法院要求协助诉讼保全、协助执行（法院的法律文书形式包括但不限于协助执行通知、履行到期债务通知等协助执行函件），分包人在发包人通知后14日内不能妥善解决的。</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10）本合同或法律法规规定的因分包人违约承包人有权解除本合同的情形。</w:t>
      </w:r>
    </w:p>
    <w:p>
      <w:pPr>
        <w:pStyle w:val="52"/>
        <w:ind w:firstLine="420"/>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因分包人出现以上严重违约情形，经发包人书面确认，承包人确定要立即解除合同的，承包人应立即向分包人发出正式解除通知，通知送达有效。</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（2）合同解除的处理：</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1）分包人按相关条款的约定承担违约责任。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2）分包人必须在收到解除本合同书面通知后【</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5】天内完成退场，不得提出异议。经发包人书面确认，承包人有权决定是否接收属于专业分包人在现场的一切设施、设备、材料使用于本工程，并有进一步要求向分包人索赔的权利。本合同解除后，分包人拒绝撤场的，承包人可以雇请第三方代为撤场，发生的费用全部由分包人承担；分包人拒绝撤场导致损失扩大的，即便承包人是解除合同的过错方，承包人亦无需承担此部分扩大的损失。</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承包人即可以进驻现场和接管本工程或另行雇用专业分包替代方（其他分包人），通知解除分包人在本合同项下的承包，但不因此免除本合同约定的分包人的任何义务和责任，也不影响本合同赋予承包人的各种权利和权限，承包人可自行完成该工程，或雇用其他专业承包替代方完成该工程。承包人或上述其他专业分包人了完成本工程，可以使用他们认为合适数量的分包人装备、临时工程和材料。</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4）承包人解除本合同之后，承包人、发包人、监理人应通过协商和调查之后，尽快地确定并认证：</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A）承包人解除本合同时，分包人根据本合同已实际完成的合格工程量、承包人已付与应付的款额（如有应付）、分包人已收与应收合同价款总额（为其截至合同解除日已实际完成的合格工程量所对应应计的价款，扣除依合同分包人违约责任金额、应承担费用等后的余额）等。但分包人不得以该等款额待收取或待确定而不予退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（B）未使用或部分使用过的材料、分包人装备、临时工程的价值及其它分包人因本工程承包发生的费用，承包人概不负责。</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C）在承包人解除本合同后，承包人、发包人有权要求分包人在收到承包人书面通知的【7】天内提供为本合同工程已经签订的提供任何货物或材料、劳务、服务、合同（协议），将在该等合同（协议）和（或）本合同中任何工程的施工协议的利益无偿转让给承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D）承包人将暂停向分包人支付任何款额；在本工程质量缺陷责任期满之后，再由承包人、发包人核清分包人实施和完成本工程质量保修期内应结算的费用，承包人有权从其中扣除分包人应支付的违约金、赔偿金以及已实际支付给分包人的各项费用。</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承包人、发包人的核查、确认后，承包人和发包人就分包人已完成的合格工程量进行结算，并扣除上述应扣款额之后的余额，分包人不得要求任何补偿。如果应扣款额超过分包人应得的款额，此超出部分款额应被视为分包人所欠债务，承包人或发包人有权向分包人追偿。</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6）分包人应在收到解除本合同的通知后，立即妥善做好已完工程和已购材料、设备的保护和移交工作，</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5天内无条件将施工人员全部撤离施工现场并将已完工程向承包人移交完毕(包括但不限于工作面移交，施工机械设备清场，施工剩余材料及建筑垃圾清运，施工人员的退场，临时设施的拆除清场，施工临时用水用电移交等)。现场工程材料、设备及施工机具装备、临时设施等由承包人决定是由分包人转交其他分包人继续使用(分包人同意承包人全权处置上述工程材料、设备及施工机具设备、临时设施的数量和价格并做好配合工作)还是由分包人撤离现场。若承包人决定由分包人将分包人上述工程材料、设备及施工机具设备、临时设施等撤离现场的，分包人应当严格按时处理。否则，分包人留在现场的设备设施及任何其他物品视为放弃（丢弃），承包人可将其清理、处置，有关费用由分包人承担并且承包人可在本合同解除、终止之后安排其他单位进场施工。</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分包人必须在收到解除本合同书面通知后【7】天内向承包人、发包人移交所有工程资料和发包人、业主交予分包人使用的图纸资料、材料/设备/设施/配件、工具或其他物品，否则承包人或发包人有权不支付任何款项，因分包人延长移交上述工程资料及设备设施造成承包人或发包人损失的，应承担全部赔偿责任。</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合同解除后，承包人委托第三方进场施工的，分包人必须配合承包人（及第三方）办理相关报建的变更手续，如分包人在承包人要求的时限内未积极配合办理的，承包人或发包人有权不予支付任何款项，且每延迟一天，分包人应向承包人承担5</w:t>
      </w:r>
      <w:r>
        <w:rPr>
          <w:color w:val="000000" w:themeColor="text1"/>
          <w14:textFill>
            <w14:solidFill>
              <w14:schemeClr w14:val="tx1"/>
            </w14:solidFill>
          </w14:textFill>
        </w:rPr>
        <w:t>万</w:t>
      </w:r>
      <w:r>
        <w:rPr>
          <w:rFonts w:hint="eastAsia"/>
          <w:color w:val="000000" w:themeColor="text1"/>
          <w14:textFill>
            <w14:solidFill>
              <w14:schemeClr w14:val="tx1"/>
            </w14:solidFill>
          </w14:textFill>
        </w:rPr>
        <w:t>元的违约金，如违约金不足以弥补承包人或发包人损失的，承包人或发包人还有权向分包人追偿。</w:t>
      </w:r>
    </w:p>
    <w:p>
      <w:pPr>
        <w:pStyle w:val="52"/>
        <w:ind w:firstLine="480"/>
        <w:rPr>
          <w:color w:val="000000" w:themeColor="text1"/>
          <w14:textFill>
            <w14:solidFill>
              <w14:schemeClr w14:val="tx1"/>
            </w14:solidFill>
          </w14:textFill>
        </w:rPr>
      </w:pPr>
      <w:r>
        <w:rPr>
          <w:rFonts w:eastAsia="黑体"/>
          <w:bCs/>
          <w:color w:val="000000" w:themeColor="text1"/>
          <w:kern w:val="2"/>
          <w:sz w:val="24"/>
          <w14:textFill>
            <w14:solidFill>
              <w14:schemeClr w14:val="tx1"/>
            </w14:solidFill>
          </w14:textFill>
        </w:rPr>
        <w:t xml:space="preserve">24.3 </w:t>
      </w:r>
      <w:r>
        <w:rPr>
          <w:rFonts w:hint="eastAsia" w:eastAsia="黑体"/>
          <w:bCs/>
          <w:color w:val="000000" w:themeColor="text1"/>
          <w:kern w:val="2"/>
          <w:sz w:val="24"/>
          <w14:textFill>
            <w14:solidFill>
              <w14:schemeClr w14:val="tx1"/>
            </w14:solidFill>
          </w14:textFill>
        </w:rPr>
        <w:t>合同解除的其它条件：</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承包人在与分包人签订本合同前，承包人或发包人发现分包人的投标文件中存在不符合招标文件资格审查要求的，投标文件中有弄虚作假的，或则投标文件中带有附加性条件等未完全响应招标文件实质性内容的情形的，发包人有权取消分包人的中标资格，不予退还投标担保金；在签订本合同后，承包人或发包人发现分包人存在前述情形的，经发包人书面确认，承包人有权单方解除本合同、不予退还履约担保，并要求分包人赔偿因此给承包人或发包人造成的损失（包括但不限于重新招标选择施工单位的费用损失及工期延误的损失等）。</w:t>
      </w:r>
    </w:p>
    <w:p>
      <w:pPr>
        <w:pStyle w:val="52"/>
        <w:ind w:firstLine="420"/>
        <w:rPr>
          <w:rFonts w:eastAsia="黑体"/>
          <w:bCs/>
          <w:color w:val="000000" w:themeColor="text1"/>
          <w:sz w:val="30"/>
          <w14:textFill>
            <w14:solidFill>
              <w14:schemeClr w14:val="tx1"/>
            </w14:solidFill>
          </w14:textFill>
        </w:rPr>
      </w:pPr>
      <w:r>
        <w:rPr>
          <w:rFonts w:hint="eastAsia"/>
          <w:color w:val="000000" w:themeColor="text1"/>
          <w14:textFill>
            <w14:solidFill>
              <w14:schemeClr w14:val="tx1"/>
            </w14:solidFill>
          </w14:textFill>
        </w:rPr>
        <w:t>（2）本合同签订后发现分包人被列入失信被执行人名单且无法在14日内解决并提供有效执行证明的，经发包人书面确认，承包人有权单方解除合同。分包人因上述原因解除合同的，无权要求任何补偿或者赔偿，且分包人应当赔偿由此给承包人或发包人造成的损失。</w:t>
      </w:r>
      <w:r>
        <w:rPr>
          <w:color w:val="000000" w:themeColor="text1"/>
          <w14:textFill>
            <w14:solidFill>
              <w14:schemeClr w14:val="tx1"/>
            </w14:solidFill>
          </w14:textFill>
        </w:rPr>
        <w:br w:type="page"/>
      </w:r>
    </w:p>
    <w:bookmarkEnd w:id="550"/>
    <w:bookmarkEnd w:id="873"/>
    <w:bookmarkEnd w:id="874"/>
    <w:bookmarkEnd w:id="875"/>
    <w:p>
      <w:pPr>
        <w:widowControl/>
        <w:jc w:val="left"/>
        <w:rPr>
          <w:b/>
          <w:color w:val="000000" w:themeColor="text1"/>
          <w:sz w:val="24"/>
          <w:szCs w:val="24"/>
          <w14:textFill>
            <w14:solidFill>
              <w14:schemeClr w14:val="tx1"/>
            </w14:solidFill>
          </w14:textFill>
        </w:rPr>
      </w:pPr>
      <w:bookmarkStart w:id="880" w:name="_Toc402450479"/>
      <w:r>
        <w:rPr>
          <w:rFonts w:hint="eastAsia"/>
          <w:b/>
          <w:color w:val="000000" w:themeColor="text1"/>
          <w:sz w:val="24"/>
          <w:szCs w:val="24"/>
          <w14:textFill>
            <w14:solidFill>
              <w14:schemeClr w14:val="tx1"/>
            </w14:solidFill>
          </w14:textFill>
        </w:rPr>
        <w:t>合同附件</w:t>
      </w:r>
      <w:bookmarkEnd w:id="880"/>
    </w:p>
    <w:p>
      <w:pPr>
        <w:widowControl/>
        <w:jc w:val="left"/>
        <w:rPr>
          <w:b/>
          <w:color w:val="000000" w:themeColor="text1"/>
          <w:sz w:val="24"/>
          <w:szCs w:val="24"/>
          <w14:textFill>
            <w14:solidFill>
              <w14:schemeClr w14:val="tx1"/>
            </w14:solidFill>
          </w14:textFill>
        </w:rPr>
      </w:pPr>
    </w:p>
    <w:p>
      <w:pPr>
        <w:pStyle w:val="52"/>
        <w:ind w:firstLine="0" w:firstLineChars="0"/>
        <w:rPr>
          <w:color w:val="000000" w:themeColor="text1"/>
          <w14:textFill>
            <w14:solidFill>
              <w14:schemeClr w14:val="tx1"/>
            </w14:solidFill>
          </w14:textFill>
        </w:rPr>
      </w:pPr>
      <w:bookmarkStart w:id="881" w:name="_Toc40186514"/>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合同范围及边界</w:t>
      </w:r>
      <w:bookmarkEnd w:id="881"/>
      <w:r>
        <w:rPr>
          <w:rFonts w:hint="eastAsia"/>
          <w:color w:val="000000" w:themeColor="text1"/>
          <w14:textFill>
            <w14:solidFill>
              <w14:schemeClr w14:val="tx1"/>
            </w14:solidFill>
          </w14:textFill>
        </w:rPr>
        <w:t>（另册）</w:t>
      </w:r>
    </w:p>
    <w:p>
      <w:pPr>
        <w:pStyle w:val="52"/>
        <w:ind w:firstLine="0" w:firstLineChars="0"/>
        <w:rPr>
          <w:color w:val="000000" w:themeColor="text1"/>
          <w14:textFill>
            <w14:solidFill>
              <w14:schemeClr w14:val="tx1"/>
            </w14:solidFill>
          </w14:textFill>
        </w:rPr>
      </w:pPr>
      <w:bookmarkStart w:id="882" w:name="_Toc40186515"/>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 xml:space="preserve"> </w:t>
      </w:r>
      <w:bookmarkEnd w:id="882"/>
      <w:r>
        <w:rPr>
          <w:rFonts w:hint="eastAsia"/>
          <w:color w:val="000000" w:themeColor="text1"/>
          <w14:textFill>
            <w14:solidFill>
              <w14:schemeClr w14:val="tx1"/>
            </w14:solidFill>
          </w14:textFill>
        </w:rPr>
        <w:t>施工技术要求（另册）</w:t>
      </w:r>
    </w:p>
    <w:p>
      <w:pPr>
        <w:pStyle w:val="52"/>
        <w:ind w:firstLine="0" w:firstLineChars="0"/>
        <w:rPr>
          <w:color w:val="000000" w:themeColor="text1"/>
          <w14:textFill>
            <w14:solidFill>
              <w14:schemeClr w14:val="tx1"/>
            </w14:solidFill>
          </w14:textFill>
        </w:rPr>
      </w:pPr>
      <w:bookmarkStart w:id="883" w:name="_Toc40186516"/>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履约保函（样式）     </w:t>
      </w:r>
      <w:bookmarkEnd w:id="883"/>
    </w:p>
    <w:p>
      <w:pPr>
        <w:pStyle w:val="52"/>
        <w:ind w:firstLine="0" w:firstLineChars="0"/>
        <w:rPr>
          <w:color w:val="000000" w:themeColor="text1"/>
          <w14:textFill>
            <w14:solidFill>
              <w14:schemeClr w14:val="tx1"/>
            </w14:solidFill>
          </w14:textFill>
        </w:rPr>
      </w:pPr>
      <w:bookmarkStart w:id="884" w:name="_Toc40186517"/>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 xml:space="preserve"> 云港城项目9#地块园林工程材料设备品牌推荐（另册）   </w:t>
      </w:r>
      <w:bookmarkEnd w:id="884"/>
    </w:p>
    <w:p>
      <w:pPr>
        <w:pStyle w:val="52"/>
        <w:ind w:firstLine="0" w:firstLineChars="0"/>
        <w:rPr>
          <w:color w:val="000000" w:themeColor="text1"/>
          <w14:textFill>
            <w14:solidFill>
              <w14:schemeClr w14:val="tx1"/>
            </w14:solidFill>
          </w14:textFill>
        </w:rPr>
      </w:pPr>
      <w:bookmarkStart w:id="885" w:name="_Toc40186519"/>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工程质量保修书</w:t>
      </w:r>
      <w:bookmarkEnd w:id="885"/>
    </w:p>
    <w:p>
      <w:pPr>
        <w:pStyle w:val="52"/>
        <w:ind w:firstLine="0" w:firstLineChars="0"/>
        <w:rPr>
          <w:color w:val="000000" w:themeColor="text1"/>
          <w14:textFill>
            <w14:solidFill>
              <w14:schemeClr w14:val="tx1"/>
            </w14:solidFill>
          </w14:textFill>
        </w:rPr>
      </w:pPr>
      <w:bookmarkStart w:id="886" w:name="_Toc40186520"/>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 xml:space="preserve"> 总承包管理与配合服务管理办法    </w:t>
      </w:r>
      <w:bookmarkEnd w:id="886"/>
    </w:p>
    <w:p>
      <w:pPr>
        <w:pStyle w:val="52"/>
        <w:ind w:firstLine="0" w:firstLineChars="0"/>
        <w:rPr>
          <w:color w:val="000000" w:themeColor="text1"/>
          <w14:textFill>
            <w14:solidFill>
              <w14:schemeClr w14:val="tx1"/>
            </w14:solidFill>
          </w14:textFill>
        </w:rPr>
      </w:pPr>
      <w:bookmarkStart w:id="887" w:name="_Toc40186521"/>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 xml:space="preserve"> 工程建设项目廉政责任书  </w:t>
      </w:r>
      <w:bookmarkEnd w:id="887"/>
    </w:p>
    <w:p>
      <w:pPr>
        <w:pStyle w:val="52"/>
        <w:ind w:firstLine="0" w:firstLineChars="0"/>
        <w:rPr>
          <w:color w:val="000000" w:themeColor="text1"/>
          <w14:textFill>
            <w14:solidFill>
              <w14:schemeClr w14:val="tx1"/>
            </w14:solidFill>
          </w14:textFill>
        </w:rPr>
      </w:pPr>
      <w:bookmarkStart w:id="888" w:name="_Toc40186522"/>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 xml:space="preserve"> 已标价工程量清单     </w:t>
      </w:r>
      <w:bookmarkEnd w:id="888"/>
    </w:p>
    <w:p>
      <w:pPr>
        <w:pStyle w:val="52"/>
        <w:ind w:firstLine="0" w:firstLineChars="0"/>
        <w:rPr>
          <w:color w:val="000000" w:themeColor="text1"/>
          <w14:textFill>
            <w14:solidFill>
              <w14:schemeClr w14:val="tx1"/>
            </w14:solidFill>
          </w14:textFill>
        </w:rPr>
      </w:pPr>
      <w:bookmarkStart w:id="889" w:name="_Toc40186524"/>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 项目工程施工现场管理办法    </w:t>
      </w:r>
      <w:bookmarkEnd w:id="889"/>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附件10 智慧工地建设要求  </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附件11 绿色施工安全防护措施标准化图册</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附件12 粤海置地施工环境VI展示图</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附件13 图纸（另册）</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附件14 安全管理协议书</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附件15 《安全管理专篇》</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附件16 拟投项目管理机构人员汇总表（按投标文件）</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附件17 主要施工机械设备表（按投标文件）</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附件18 安全生产不良行为扣分条款</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附件19 工程建设资金拨付管理办法及实施细则</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附件20 </w:t>
      </w:r>
      <w:r>
        <w:rPr>
          <w:color w:val="000000" w:themeColor="text1"/>
          <w14:textFill>
            <w14:solidFill>
              <w14:schemeClr w14:val="tx1"/>
            </w14:solidFill>
          </w14:textFill>
        </w:rPr>
        <w:t>粤海置地机电节点及工艺工法图集</w:t>
      </w:r>
      <w:r>
        <w:rPr>
          <w:rFonts w:hint="eastAsia"/>
          <w:color w:val="000000" w:themeColor="text1"/>
          <w14:textFill>
            <w14:solidFill>
              <w14:schemeClr w14:val="tx1"/>
            </w14:solidFill>
          </w14:textFill>
        </w:rPr>
        <w:t>（另册）</w:t>
      </w:r>
    </w:p>
    <w:p>
      <w:pPr>
        <w:pStyle w:val="52"/>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 xml:space="preserve"> 粤海置地第三方质量安全评估标准</w:t>
      </w:r>
      <w:r>
        <w:rPr>
          <w:rFonts w:hint="eastAsia"/>
          <w:color w:val="000000" w:themeColor="text1"/>
          <w14:textFill>
            <w14:solidFill>
              <w14:schemeClr w14:val="tx1"/>
            </w14:solidFill>
          </w14:textFill>
        </w:rPr>
        <w:t>（另册）</w:t>
      </w:r>
    </w:p>
    <w:p>
      <w:pPr>
        <w:pStyle w:val="52"/>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附件22</w:t>
      </w:r>
      <w:r>
        <w:rPr>
          <w:color w:val="000000" w:themeColor="text1"/>
          <w14:textFill>
            <w14:solidFill>
              <w14:schemeClr w14:val="tx1"/>
            </w14:solidFill>
          </w14:textFill>
        </w:rPr>
        <w:t xml:space="preserve"> 粤海置地工程样板管理办法</w:t>
      </w:r>
      <w:r>
        <w:rPr>
          <w:rFonts w:hint="eastAsia"/>
          <w:color w:val="000000" w:themeColor="text1"/>
          <w14:textFill>
            <w14:solidFill>
              <w14:schemeClr w14:val="tx1"/>
            </w14:solidFill>
          </w14:textFill>
        </w:rPr>
        <w:t>（另册）</w:t>
      </w:r>
    </w:p>
    <w:p>
      <w:pPr>
        <w:pStyle w:val="2"/>
        <w:spacing w:before="0" w:after="0" w:line="240" w:lineRule="auto"/>
        <w:rPr>
          <w:rFonts w:ascii="仿宋" w:hAnsi="仿宋" w:eastAsia="仿宋"/>
          <w:color w:val="000000" w:themeColor="text1"/>
          <w:sz w:val="28"/>
          <w:szCs w:val="28"/>
          <w14:textFill>
            <w14:solidFill>
              <w14:schemeClr w14:val="tx1"/>
            </w14:solidFill>
          </w14:textFill>
        </w:rPr>
      </w:pPr>
      <w:r>
        <w:rPr>
          <w:color w:val="000000" w:themeColor="text1"/>
          <w14:textFill>
            <w14:solidFill>
              <w14:schemeClr w14:val="tx1"/>
            </w14:solidFill>
          </w14:textFill>
        </w:rPr>
        <w:br w:type="page"/>
      </w:r>
      <w:bookmarkStart w:id="890" w:name="_Toc23953"/>
      <w:bookmarkStart w:id="891" w:name="_Toc118446908"/>
      <w:bookmarkStart w:id="892" w:name="_Toc44492628"/>
      <w:bookmarkStart w:id="893" w:name="_Toc44227951"/>
      <w:bookmarkStart w:id="894" w:name="_Toc10027"/>
      <w:bookmarkStart w:id="895" w:name="_Toc27297"/>
      <w:r>
        <w:rPr>
          <w:rFonts w:hint="eastAsia" w:ascii="仿宋" w:hAnsi="仿宋" w:eastAsia="仿宋"/>
          <w:color w:val="000000" w:themeColor="text1"/>
          <w:sz w:val="28"/>
          <w:szCs w:val="28"/>
          <w14:textFill>
            <w14:solidFill>
              <w14:schemeClr w14:val="tx1"/>
            </w14:solidFill>
          </w14:textFill>
        </w:rPr>
        <w:t>附件1 合同范围及边界</w:t>
      </w:r>
      <w:bookmarkEnd w:id="890"/>
      <w:bookmarkEnd w:id="891"/>
      <w:r>
        <w:rPr>
          <w:rFonts w:hint="eastAsia" w:ascii="仿宋" w:hAnsi="仿宋" w:eastAsia="仿宋"/>
          <w:color w:val="000000" w:themeColor="text1"/>
          <w:sz w:val="28"/>
          <w:szCs w:val="28"/>
          <w14:textFill>
            <w14:solidFill>
              <w14:schemeClr w14:val="tx1"/>
            </w14:solidFill>
          </w14:textFill>
        </w:rPr>
        <w:t>（另册）</w:t>
      </w:r>
    </w:p>
    <w:p>
      <w:pPr>
        <w:spacing w:before="120" w:beforeLines="50" w:after="120" w:afterLines="50"/>
        <w:jc w:val="center"/>
        <w:rPr>
          <w:color w:val="000000" w:themeColor="text1"/>
          <w14:textFill>
            <w14:solidFill>
              <w14:schemeClr w14:val="tx1"/>
            </w14:solidFill>
          </w14:textFill>
        </w:rPr>
      </w:pPr>
    </w:p>
    <w:p>
      <w:pPr>
        <w:rPr>
          <w:rFonts w:ascii="仿宋" w:hAnsi="仿宋" w:eastAsia="仿宋" w:cs="宋体"/>
          <w:color w:val="000000" w:themeColor="text1"/>
          <w:kern w:val="0"/>
          <w:sz w:val="20"/>
          <w:szCs w:val="20"/>
          <w14:textFill>
            <w14:solidFill>
              <w14:schemeClr w14:val="tx1"/>
            </w14:solidFill>
          </w14:textFill>
        </w:rPr>
      </w:pPr>
      <w:bookmarkStart w:id="896" w:name="_Toc12253"/>
    </w:p>
    <w:p>
      <w:pPr>
        <w:rPr>
          <w:rFonts w:ascii="仿宋" w:hAnsi="仿宋" w:eastAsia="仿宋" w:cs="宋体"/>
          <w:color w:val="000000" w:themeColor="text1"/>
          <w:kern w:val="0"/>
          <w:sz w:val="20"/>
          <w:szCs w:val="20"/>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sectPr>
          <w:headerReference r:id="rId7" w:type="first"/>
          <w:footerReference r:id="rId9" w:type="first"/>
          <w:headerReference r:id="rId6" w:type="default"/>
          <w:footerReference r:id="rId8" w:type="default"/>
          <w:pgSz w:w="11906" w:h="16838"/>
          <w:pgMar w:top="567" w:right="1134" w:bottom="567" w:left="1134" w:header="680" w:footer="992" w:gutter="0"/>
          <w:cols w:space="720" w:num="1"/>
          <w:titlePg/>
          <w:docGrid w:linePitch="312" w:charSpace="0"/>
        </w:sectPr>
      </w:pPr>
    </w:p>
    <w:p>
      <w:pPr>
        <w:pStyle w:val="2"/>
        <w:spacing w:before="0" w:after="0" w:line="240" w:lineRule="auto"/>
        <w:rPr>
          <w:rFonts w:ascii="仿宋" w:hAnsi="仿宋" w:eastAsia="仿宋"/>
          <w:color w:val="000000" w:themeColor="text1"/>
          <w:sz w:val="28"/>
          <w:szCs w:val="28"/>
          <w14:textFill>
            <w14:solidFill>
              <w14:schemeClr w14:val="tx1"/>
            </w14:solidFill>
          </w14:textFill>
        </w:rPr>
      </w:pPr>
      <w:bookmarkStart w:id="897" w:name="_Toc118446909"/>
      <w:r>
        <w:rPr>
          <w:rFonts w:hint="eastAsia" w:ascii="仿宋" w:hAnsi="仿宋" w:eastAsia="仿宋"/>
          <w:color w:val="000000" w:themeColor="text1"/>
          <w:sz w:val="28"/>
          <w:szCs w:val="28"/>
          <w14:textFill>
            <w14:solidFill>
              <w14:schemeClr w14:val="tx1"/>
            </w14:solidFill>
          </w14:textFill>
        </w:rPr>
        <w:t>附件2施工技术要求</w:t>
      </w:r>
      <w:bookmarkEnd w:id="892"/>
      <w:bookmarkEnd w:id="893"/>
      <w:bookmarkEnd w:id="896"/>
      <w:r>
        <w:rPr>
          <w:rFonts w:hint="eastAsia" w:ascii="仿宋" w:hAnsi="仿宋" w:eastAsia="仿宋"/>
          <w:color w:val="000000" w:themeColor="text1"/>
          <w:sz w:val="28"/>
          <w:szCs w:val="28"/>
          <w14:textFill>
            <w14:solidFill>
              <w14:schemeClr w14:val="tx1"/>
            </w14:solidFill>
          </w14:textFill>
        </w:rPr>
        <w:t>（另册）</w:t>
      </w:r>
      <w:bookmarkEnd w:id="894"/>
      <w:bookmarkEnd w:id="895"/>
      <w:bookmarkEnd w:id="897"/>
    </w:p>
    <w:p>
      <w:pPr>
        <w:rPr>
          <w:color w:val="000000" w:themeColor="text1"/>
          <w14:textFill>
            <w14:solidFill>
              <w14:schemeClr w14:val="tx1"/>
            </w14:solidFill>
          </w14:textFill>
        </w:rPr>
      </w:pPr>
    </w:p>
    <w:p>
      <w:pPr>
        <w:widowControl/>
        <w:jc w:val="left"/>
        <w:rPr>
          <w:rFonts w:ascii="仿宋" w:hAnsi="仿宋" w:eastAsia="仿宋"/>
          <w:color w:val="000000" w:themeColor="text1"/>
          <w:sz w:val="28"/>
          <w:szCs w:val="28"/>
          <w14:textFill>
            <w14:solidFill>
              <w14:schemeClr w14:val="tx1"/>
            </w14:solidFill>
          </w14:textFill>
        </w:rPr>
      </w:pPr>
      <w:r>
        <w:rPr>
          <w:rFonts w:hint="eastAsia" w:ascii="仿宋" w:hAnsi="仿宋" w:eastAsia="仿宋"/>
          <w:color w:val="000000" w:themeColor="text1"/>
          <w:sz w:val="28"/>
          <w:szCs w:val="28"/>
          <w14:textFill>
            <w14:solidFill>
              <w14:schemeClr w14:val="tx1"/>
            </w14:solidFill>
          </w14:textFill>
        </w:rPr>
        <w:t>2-1粤海置地景观工程技术要求（另册）</w:t>
      </w:r>
    </w:p>
    <w:p>
      <w:pPr>
        <w:spacing w:line="360" w:lineRule="auto"/>
        <w:ind w:left="851"/>
        <w:rPr>
          <w:rFonts w:ascii="宋体" w:hAnsi="宋体"/>
          <w:color w:val="000000" w:themeColor="text1"/>
          <w:szCs w:val="21"/>
          <w14:textFill>
            <w14:solidFill>
              <w14:schemeClr w14:val="tx1"/>
            </w14:solidFill>
          </w14:textFill>
        </w:rPr>
      </w:pPr>
    </w:p>
    <w:p>
      <w:pPr>
        <w:spacing w:line="360" w:lineRule="auto"/>
        <w:ind w:left="851"/>
        <w:rPr>
          <w:rFonts w:ascii="宋体" w:hAnsi="宋体"/>
          <w:color w:val="000000" w:themeColor="text1"/>
          <w:szCs w:val="21"/>
          <w14:textFill>
            <w14:solidFill>
              <w14:schemeClr w14:val="tx1"/>
            </w14:solidFill>
          </w14:textFill>
        </w:rPr>
      </w:pPr>
    </w:p>
    <w:p>
      <w:pPr>
        <w:spacing w:line="360" w:lineRule="auto"/>
        <w:ind w:left="851"/>
        <w:rPr>
          <w:rFonts w:ascii="宋体" w:hAnsi="宋体"/>
          <w:color w:val="000000" w:themeColor="text1"/>
          <w:szCs w:val="21"/>
          <w14:textFill>
            <w14:solidFill>
              <w14:schemeClr w14:val="tx1"/>
            </w14:solidFill>
          </w14:textFill>
        </w:rPr>
      </w:pPr>
    </w:p>
    <w:p>
      <w:pPr>
        <w:pStyle w:val="2"/>
        <w:spacing w:before="0" w:after="0" w:line="240" w:lineRule="auto"/>
        <w:ind w:left="883" w:hanging="883" w:hangingChars="200"/>
        <w:rPr>
          <w:color w:val="000000" w:themeColor="text1"/>
          <w14:textFill>
            <w14:solidFill>
              <w14:schemeClr w14:val="tx1"/>
            </w14:solidFill>
          </w14:textFill>
        </w:rPr>
      </w:pPr>
      <w:r>
        <w:rPr>
          <w:rFonts w:hint="eastAsia"/>
          <w:color w:val="000000" w:themeColor="text1"/>
          <w14:textFill>
            <w14:solidFill>
              <w14:schemeClr w14:val="tx1"/>
            </w14:solidFill>
          </w14:textFill>
        </w:rPr>
        <w:br w:type="page"/>
      </w:r>
      <w:bookmarkStart w:id="898" w:name="_Toc23448"/>
      <w:bookmarkStart w:id="899" w:name="_Toc44227952"/>
      <w:bookmarkStart w:id="900" w:name="_Toc7324"/>
      <w:bookmarkStart w:id="901" w:name="_Toc23359"/>
      <w:bookmarkStart w:id="902" w:name="_Toc118446910"/>
      <w:bookmarkStart w:id="903" w:name="_Toc44492629"/>
      <w:r>
        <w:rPr>
          <w:rFonts w:hint="eastAsia"/>
          <w:color w:val="000000" w:themeColor="text1"/>
          <w:sz w:val="28"/>
          <w:szCs w:val="28"/>
          <w14:textFill>
            <w14:solidFill>
              <w14:schemeClr w14:val="tx1"/>
            </w14:solidFill>
          </w14:textFill>
        </w:rPr>
        <w:t>附件3履约保函（样式）</w:t>
      </w:r>
      <w:bookmarkEnd w:id="898"/>
      <w:bookmarkEnd w:id="899"/>
      <w:bookmarkEnd w:id="900"/>
      <w:bookmarkEnd w:id="901"/>
      <w:bookmarkEnd w:id="902"/>
      <w:bookmarkEnd w:id="903"/>
    </w:p>
    <w:p>
      <w:pPr>
        <w:spacing w:line="276" w:lineRule="auto"/>
        <w:ind w:firstLine="640" w:firstLineChars="200"/>
        <w:jc w:val="center"/>
        <w:rPr>
          <w:rFonts w:ascii="仿宋" w:hAnsi="仿宋" w:eastAsia="仿宋"/>
          <w:color w:val="000000" w:themeColor="text1"/>
          <w:kern w:val="0"/>
          <w:sz w:val="32"/>
          <w:szCs w:val="32"/>
          <w:u w:val="single"/>
          <w14:textFill>
            <w14:solidFill>
              <w14:schemeClr w14:val="tx1"/>
            </w14:solidFill>
          </w14:textFill>
        </w:rPr>
      </w:pPr>
      <w:r>
        <w:rPr>
          <w:rFonts w:hint="eastAsia" w:ascii="仿宋" w:hAnsi="仿宋" w:eastAsia="仿宋"/>
          <w:color w:val="000000" w:themeColor="text1"/>
          <w:kern w:val="0"/>
          <w:sz w:val="32"/>
          <w:szCs w:val="32"/>
          <w:u w:val="single"/>
          <w14:textFill>
            <w14:solidFill>
              <w14:schemeClr w14:val="tx1"/>
            </w14:solidFill>
          </w14:textFill>
        </w:rPr>
        <w:t>履约保函（格式）</w:t>
      </w:r>
    </w:p>
    <w:p>
      <w:pPr>
        <w:adjustRightInd w:val="0"/>
        <w:snapToGrid w:val="0"/>
        <w:spacing w:line="360" w:lineRule="auto"/>
        <w:jc w:val="left"/>
        <w:rPr>
          <w:rFonts w:ascii="仿宋" w:hAnsi="仿宋" w:eastAsia="仿宋"/>
          <w:color w:val="000000" w:themeColor="text1"/>
          <w:szCs w:val="21"/>
          <w:u w:val="single"/>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致：</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（以下简称“受益人”）：</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鉴于</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（以下简称“被担保人”）已与受益人签订了编号为</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的《</w:t>
      </w:r>
      <w:r>
        <w:rPr>
          <w:rFonts w:hint="eastAsia" w:ascii="仿宋" w:hAnsi="仿宋" w:eastAsia="仿宋"/>
          <w:color w:val="000000" w:themeColor="text1"/>
          <w:szCs w:val="21"/>
          <w:u w:val="single"/>
          <w14:textFill>
            <w14:solidFill>
              <w14:schemeClr w14:val="tx1"/>
            </w14:solidFill>
          </w14:textFill>
        </w:rPr>
        <w:t xml:space="preserve"> </w:t>
      </w:r>
      <w:r>
        <w:rPr>
          <w:rFonts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 （以下简称“合同”），金额 （大写）：人民币</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元（RMB</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）。我方作为保证人，在此向受益人就被担保人履行合同提供</w:t>
      </w:r>
      <w:r>
        <w:rPr>
          <w:rFonts w:hint="eastAsia" w:ascii="仿宋" w:hAnsi="仿宋" w:eastAsia="仿宋"/>
          <w:b/>
          <w:color w:val="000000" w:themeColor="text1"/>
          <w:szCs w:val="21"/>
          <w14:textFill>
            <w14:solidFill>
              <w14:schemeClr w14:val="tx1"/>
            </w14:solidFill>
          </w14:textFill>
        </w:rPr>
        <w:t>不可撤销</w:t>
      </w:r>
      <w:r>
        <w:rPr>
          <w:rFonts w:hint="eastAsia" w:ascii="仿宋" w:hAnsi="仿宋" w:eastAsia="仿宋"/>
          <w:color w:val="000000" w:themeColor="text1"/>
          <w:szCs w:val="21"/>
          <w14:textFill>
            <w14:solidFill>
              <w14:schemeClr w14:val="tx1"/>
            </w14:solidFill>
          </w14:textFill>
        </w:rPr>
        <w:t>的</w:t>
      </w:r>
      <w:r>
        <w:rPr>
          <w:rFonts w:hint="eastAsia" w:ascii="仿宋" w:hAnsi="仿宋" w:eastAsia="仿宋"/>
          <w:b/>
          <w:color w:val="000000" w:themeColor="text1"/>
          <w:szCs w:val="21"/>
          <w14:textFill>
            <w14:solidFill>
              <w14:schemeClr w14:val="tx1"/>
            </w14:solidFill>
          </w14:textFill>
        </w:rPr>
        <w:t>连带责任保证担保</w:t>
      </w:r>
      <w:r>
        <w:rPr>
          <w:rFonts w:hint="eastAsia" w:ascii="仿宋" w:hAnsi="仿宋" w:eastAsia="仿宋"/>
          <w:color w:val="000000" w:themeColor="text1"/>
          <w:szCs w:val="21"/>
          <w14:textFill>
            <w14:solidFill>
              <w14:schemeClr w14:val="tx1"/>
            </w14:solidFill>
          </w14:textFill>
        </w:rPr>
        <w:t>：</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一、本保函担保的金额为（大写）人民币</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元（RMB</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二、本保函的有效期从合同生效之日起至合同项下工程竣工验收合格、结算完成且工程交付发包人（以时间较晚者为准）后第30天止。本保函有效期即为本保函的担保期限。</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三、本保函为</w:t>
      </w:r>
      <w:r>
        <w:rPr>
          <w:rFonts w:hint="eastAsia" w:ascii="仿宋" w:hAnsi="仿宋" w:eastAsia="仿宋"/>
          <w:b/>
          <w:color w:val="000000" w:themeColor="text1"/>
          <w:szCs w:val="21"/>
          <w14:textFill>
            <w14:solidFill>
              <w14:schemeClr w14:val="tx1"/>
            </w14:solidFill>
          </w14:textFill>
        </w:rPr>
        <w:t>见索即付</w:t>
      </w:r>
      <w:r>
        <w:rPr>
          <w:rFonts w:hint="eastAsia" w:ascii="仿宋" w:hAnsi="仿宋" w:eastAsia="仿宋"/>
          <w:color w:val="000000" w:themeColor="text1"/>
          <w:szCs w:val="21"/>
          <w14:textFill>
            <w14:solidFill>
              <w14:schemeClr w14:val="tx1"/>
            </w14:solidFill>
          </w14:textFill>
        </w:rPr>
        <w:t>保函，在本保函的担保期限内，我方将在收到受益人经法定代表人或其授权委托代理人签字并加盖公章的书面索赔通知原件后</w:t>
      </w:r>
      <w:r>
        <w:rPr>
          <w:rFonts w:hint="eastAsia" w:ascii="仿宋" w:hAnsi="仿宋" w:eastAsia="仿宋"/>
          <w:color w:val="000000" w:themeColor="text1"/>
          <w:szCs w:val="21"/>
          <w:u w:val="single"/>
          <w14:textFill>
            <w14:solidFill>
              <w14:schemeClr w14:val="tx1"/>
            </w14:solidFill>
          </w14:textFill>
        </w:rPr>
        <w:t xml:space="preserve">    </w:t>
      </w:r>
      <w:r>
        <w:rPr>
          <w:rFonts w:hint="eastAsia" w:ascii="仿宋" w:hAnsi="仿宋" w:eastAsia="仿宋"/>
          <w:color w:val="000000" w:themeColor="text1"/>
          <w:szCs w:val="21"/>
          <w14:textFill>
            <w14:solidFill>
              <w14:schemeClr w14:val="tx1"/>
            </w14:solidFill>
          </w14:textFill>
        </w:rPr>
        <w:t>个工作日内，</w:t>
      </w:r>
      <w:r>
        <w:rPr>
          <w:rFonts w:hint="eastAsia" w:ascii="仿宋" w:hAnsi="仿宋" w:eastAsia="仿宋"/>
          <w:b/>
          <w:color w:val="000000" w:themeColor="text1"/>
          <w:szCs w:val="21"/>
          <w14:textFill>
            <w14:solidFill>
              <w14:schemeClr w14:val="tx1"/>
            </w14:solidFill>
          </w14:textFill>
        </w:rPr>
        <w:t>不争辩、不挑剔、不可撤销</w:t>
      </w:r>
      <w:r>
        <w:rPr>
          <w:rFonts w:hint="eastAsia" w:ascii="仿宋" w:hAnsi="仿宋" w:eastAsia="仿宋"/>
          <w:color w:val="000000" w:themeColor="text1"/>
          <w:szCs w:val="21"/>
          <w14:textFill>
            <w14:solidFill>
              <w14:schemeClr w14:val="tx1"/>
            </w14:solidFill>
          </w14:textFill>
        </w:rPr>
        <w:t>地向受益人支付索赔款，直至本保函担保的最高金额。</w:t>
      </w:r>
      <w:r>
        <w:rPr>
          <w:rFonts w:hint="eastAsia" w:ascii="仿宋" w:hAnsi="仿宋" w:eastAsia="仿宋"/>
          <w:b/>
          <w:color w:val="000000" w:themeColor="text1"/>
          <w:szCs w:val="21"/>
          <w14:textFill>
            <w14:solidFill>
              <w14:schemeClr w14:val="tx1"/>
            </w14:solidFill>
          </w14:textFill>
        </w:rPr>
        <w:t>受益人出具的书面索赔通知书无需要求证明被担保人是否违约或索赔金额是否恰当</w:t>
      </w:r>
      <w:r>
        <w:rPr>
          <w:rFonts w:hint="eastAsia" w:ascii="仿宋" w:hAnsi="仿宋" w:eastAsia="仿宋"/>
          <w:color w:val="000000" w:themeColor="text1"/>
          <w:szCs w:val="21"/>
          <w14:textFill>
            <w14:solidFill>
              <w14:schemeClr w14:val="tx1"/>
            </w14:solidFill>
          </w14:textFill>
        </w:rPr>
        <w:t>。</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四</w:t>
      </w:r>
      <w:r>
        <w:rPr>
          <w:rFonts w:hint="eastAsia" w:ascii="仿宋" w:hAnsi="仿宋" w:eastAsia="仿宋"/>
          <w:color w:val="000000" w:themeColor="text1"/>
          <w:szCs w:val="21"/>
          <w14:textFill>
            <w14:solidFill>
              <w14:schemeClr w14:val="tx1"/>
            </w14:solidFill>
          </w14:textFill>
        </w:rPr>
        <w:t>、我方出具本保函后，</w:t>
      </w:r>
      <w:r>
        <w:rPr>
          <w:rFonts w:hint="eastAsia" w:ascii="仿宋" w:hAnsi="仿宋" w:eastAsia="仿宋"/>
          <w:b/>
          <w:color w:val="000000" w:themeColor="text1"/>
          <w:szCs w:val="21"/>
          <w14:textFill>
            <w14:solidFill>
              <w14:schemeClr w14:val="tx1"/>
            </w14:solidFill>
          </w14:textFill>
        </w:rPr>
        <w:t>受益人与被担保人对合同进行的任何修订，或受益人对合同有关事项的任何豁免或未追究皆不会解除或减轻我方于本保函担保项下的责任</w:t>
      </w:r>
      <w:r>
        <w:rPr>
          <w:rFonts w:hint="eastAsia" w:ascii="仿宋" w:hAnsi="仿宋" w:eastAsia="仿宋"/>
          <w:color w:val="000000" w:themeColor="text1"/>
          <w:szCs w:val="21"/>
          <w14:textFill>
            <w14:solidFill>
              <w14:schemeClr w14:val="tx1"/>
            </w14:solidFill>
          </w14:textFill>
        </w:rPr>
        <w:t>。</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五</w:t>
      </w:r>
      <w:r>
        <w:rPr>
          <w:rFonts w:hint="eastAsia" w:ascii="仿宋" w:hAnsi="仿宋" w:eastAsia="仿宋"/>
          <w:color w:val="000000" w:themeColor="text1"/>
          <w:szCs w:val="21"/>
          <w14:textFill>
            <w14:solidFill>
              <w14:schemeClr w14:val="tx1"/>
            </w14:solidFill>
          </w14:textFill>
        </w:rPr>
        <w:t>、本保函有效期届满，或我方向受益人支付索赔款已达本保函担保的最高金额，我方的担保责任免除，以两者中较早发生者为准。本保函到期后无论本保函原件是否退还我方，本保函到期即自动失效。</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六</w:t>
      </w:r>
      <w:r>
        <w:rPr>
          <w:rFonts w:hint="eastAsia" w:ascii="仿宋" w:hAnsi="仿宋" w:eastAsia="仿宋"/>
          <w:color w:val="000000" w:themeColor="text1"/>
          <w:szCs w:val="21"/>
          <w14:textFill>
            <w14:solidFill>
              <w14:schemeClr w14:val="tx1"/>
            </w14:solidFill>
          </w14:textFill>
        </w:rPr>
        <w:t>、本保函对我方及我方继受人有不可撤销的约束力，我方自愿作出上述承诺，并清楚了解本保函法律含义。</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七</w:t>
      </w:r>
      <w:r>
        <w:rPr>
          <w:rFonts w:hint="eastAsia" w:ascii="仿宋" w:hAnsi="仿宋" w:eastAsia="仿宋"/>
          <w:color w:val="000000" w:themeColor="text1"/>
          <w:szCs w:val="21"/>
          <w14:textFill>
            <w14:solidFill>
              <w14:schemeClr w14:val="tx1"/>
            </w14:solidFill>
          </w14:textFill>
        </w:rPr>
        <w:t>、本保函担保项下的权利不得转让或出让，但可由受益人之继承人或其受让人继承。</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八、受益人提出索赔的，应按以下通讯信息向我方发出书面通知：</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收件人：</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通讯地址：</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联系电话</w:t>
      </w:r>
      <w:r>
        <w:rPr>
          <w:rFonts w:ascii="仿宋" w:hAnsi="仿宋" w:eastAsia="仿宋"/>
          <w:color w:val="000000" w:themeColor="text1"/>
          <w:szCs w:val="21"/>
          <w14:textFill>
            <w14:solidFill>
              <w14:schemeClr w14:val="tx1"/>
            </w14:solidFill>
          </w14:textFill>
        </w:rPr>
        <w:t>：</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索赔通知如果通过专人送达，该通知在接收时即视为已经送达；如果通过信函邮寄方式送达，该通知在发出之日后【三】个工作日即视为已经送达。</w:t>
      </w:r>
    </w:p>
    <w:p>
      <w:pPr>
        <w:adjustRightInd w:val="0"/>
        <w:snapToGrid w:val="0"/>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九</w:t>
      </w:r>
      <w:r>
        <w:rPr>
          <w:rFonts w:hint="eastAsia" w:ascii="仿宋" w:hAnsi="仿宋" w:eastAsia="仿宋"/>
          <w:color w:val="000000" w:themeColor="text1"/>
          <w:szCs w:val="21"/>
          <w14:textFill>
            <w14:solidFill>
              <w14:schemeClr w14:val="tx1"/>
            </w14:solidFill>
          </w14:textFill>
        </w:rPr>
        <w:t>、本保函适用中华人民共和国法律法规。</w:t>
      </w:r>
    </w:p>
    <w:p>
      <w:pPr>
        <w:adjustRightInd w:val="0"/>
        <w:snapToGrid w:val="0"/>
        <w:spacing w:line="360" w:lineRule="auto"/>
        <w:ind w:firstLine="420" w:firstLineChars="200"/>
        <w:rPr>
          <w:rFonts w:ascii="仿宋" w:hAnsi="仿宋" w:eastAsia="仿宋"/>
          <w:color w:val="000000" w:themeColor="text1"/>
          <w:sz w:val="28"/>
          <w:szCs w:val="28"/>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出具银行： </w:t>
      </w:r>
      <w:r>
        <w:rPr>
          <w:rFonts w:ascii="仿宋" w:hAnsi="仿宋" w:eastAsia="仿宋"/>
          <w:color w:val="000000" w:themeColor="text1"/>
          <w:szCs w:val="21"/>
          <w14:textFill>
            <w14:solidFill>
              <w14:schemeClr w14:val="tx1"/>
            </w14:solidFill>
          </w14:textFill>
        </w:rPr>
        <w:t xml:space="preserve">             </w:t>
      </w:r>
      <w:r>
        <w:rPr>
          <w:rFonts w:ascii="仿宋" w:hAnsi="仿宋" w:eastAsia="仿宋"/>
          <w:color w:val="000000" w:themeColor="text1"/>
          <w:sz w:val="28"/>
          <w:szCs w:val="28"/>
          <w14:textFill>
            <w14:solidFill>
              <w14:schemeClr w14:val="tx1"/>
            </w14:solidFill>
          </w14:textFill>
        </w:rPr>
        <w:t xml:space="preserve"> </w:t>
      </w:r>
    </w:p>
    <w:p>
      <w:pPr>
        <w:adjustRightInd w:val="0"/>
        <w:snapToGrid w:val="0"/>
        <w:spacing w:line="360" w:lineRule="auto"/>
        <w:ind w:firstLine="560" w:firstLineChars="200"/>
        <w:rPr>
          <w:rFonts w:ascii="仿宋" w:hAnsi="仿宋" w:eastAsia="仿宋"/>
          <w:color w:val="000000" w:themeColor="text1"/>
          <w:sz w:val="28"/>
          <w:szCs w:val="28"/>
          <w14:textFill>
            <w14:solidFill>
              <w14:schemeClr w14:val="tx1"/>
            </w14:solidFill>
          </w14:textFill>
        </w:rPr>
      </w:pPr>
    </w:p>
    <w:p>
      <w:pPr>
        <w:adjustRightInd w:val="0"/>
        <w:snapToGrid w:val="0"/>
        <w:spacing w:line="360" w:lineRule="auto"/>
        <w:ind w:firstLine="420" w:firstLineChars="200"/>
        <w:rPr>
          <w:rFonts w:ascii="仿宋" w:hAnsi="仿宋" w:eastAsia="仿宋"/>
          <w:color w:val="000000" w:themeColor="text1"/>
          <w:sz w:val="28"/>
          <w:szCs w:val="28"/>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【备注要求：根据中国人民银行、银保监会发布的我国系统重要性银行名单，系统重要性银行包括 6 家国有商业银行、9家股份制商业银行和 4家城市商业银行，按系统重要性得分从低到高分为四组：第一组：平安银行、中国光大银行、华夏银行、广发银行、宁波银行、上海银行、江苏银行、北京银行；第二组：浦发银行、中信银行、中国民生银行、中国邮政储蓄银行；第三组：交通银行、招商银行、兴业银行；第四组：中国工商银行、中国银行、中国建设银行、中国农业银行。】</w:t>
      </w:r>
    </w:p>
    <w:p>
      <w:pPr>
        <w:widowControl/>
        <w:jc w:val="left"/>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br w:type="page"/>
      </w:r>
    </w:p>
    <w:p>
      <w:pPr>
        <w:pStyle w:val="2"/>
        <w:ind w:left="420" w:hanging="420"/>
        <w:rPr>
          <w:color w:val="000000" w:themeColor="text1"/>
          <w:sz w:val="28"/>
          <w:szCs w:val="28"/>
          <w14:textFill>
            <w14:solidFill>
              <w14:schemeClr w14:val="tx1"/>
            </w14:solidFill>
          </w14:textFill>
        </w:rPr>
      </w:pPr>
      <w:bookmarkStart w:id="904" w:name="_Toc44492630"/>
      <w:bookmarkStart w:id="905" w:name="_Toc4792"/>
      <w:bookmarkStart w:id="906" w:name="_Toc44227953"/>
      <w:bookmarkStart w:id="907" w:name="_Toc18036"/>
      <w:bookmarkStart w:id="908" w:name="_Toc1066"/>
      <w:bookmarkStart w:id="909" w:name="_Toc118446911"/>
      <w:r>
        <w:rPr>
          <w:rFonts w:hint="eastAsia"/>
          <w:color w:val="000000" w:themeColor="text1"/>
          <w:sz w:val="28"/>
          <w:szCs w:val="28"/>
          <w14:textFill>
            <w14:solidFill>
              <w14:schemeClr w14:val="tx1"/>
            </w14:solidFill>
          </w14:textFill>
        </w:rPr>
        <w:t>附件4云港城项目9#地块园林工程材料设备品牌推荐（另册）</w:t>
      </w:r>
      <w:bookmarkEnd w:id="904"/>
      <w:bookmarkEnd w:id="905"/>
      <w:bookmarkEnd w:id="906"/>
      <w:bookmarkEnd w:id="907"/>
      <w:bookmarkEnd w:id="908"/>
      <w:bookmarkEnd w:id="909"/>
    </w:p>
    <w:p>
      <w:pPr>
        <w:widowControl/>
        <w:jc w:val="left"/>
        <w:rPr>
          <w:rFonts w:ascii="Times New Roman" w:hAnsi="Times New Roman"/>
          <w:b/>
          <w:bCs/>
          <w:color w:val="000000" w:themeColor="text1"/>
          <w:kern w:val="44"/>
          <w:sz w:val="30"/>
          <w:szCs w:val="30"/>
          <w14:textFill>
            <w14:solidFill>
              <w14:schemeClr w14:val="tx1"/>
            </w14:solidFill>
          </w14:textFill>
        </w:rPr>
      </w:pPr>
      <w:r>
        <w:rPr>
          <w:color w:val="000000" w:themeColor="text1"/>
          <w:sz w:val="30"/>
          <w:szCs w:val="30"/>
          <w14:textFill>
            <w14:solidFill>
              <w14:schemeClr w14:val="tx1"/>
            </w14:solidFill>
          </w14:textFill>
        </w:rPr>
        <w:br w:type="page"/>
      </w:r>
    </w:p>
    <w:p>
      <w:pPr>
        <w:pStyle w:val="2"/>
        <w:rPr>
          <w:rFonts w:ascii="仿宋" w:hAnsi="仿宋" w:eastAsia="仿宋"/>
          <w:color w:val="000000" w:themeColor="text1"/>
          <w:sz w:val="28"/>
          <w:szCs w:val="28"/>
          <w14:textFill>
            <w14:solidFill>
              <w14:schemeClr w14:val="tx1"/>
            </w14:solidFill>
          </w14:textFill>
        </w:rPr>
      </w:pPr>
      <w:bookmarkStart w:id="910" w:name="_Toc15731"/>
      <w:bookmarkStart w:id="911" w:name="_Toc44492631"/>
      <w:bookmarkStart w:id="912" w:name="_Toc118446912"/>
      <w:bookmarkStart w:id="913" w:name="_Toc29522"/>
      <w:bookmarkStart w:id="914" w:name="_Toc57"/>
      <w:bookmarkStart w:id="915" w:name="_Toc44227954"/>
      <w:r>
        <w:rPr>
          <w:rFonts w:hint="eastAsia" w:ascii="仿宋" w:hAnsi="仿宋" w:eastAsia="仿宋"/>
          <w:color w:val="000000" w:themeColor="text1"/>
          <w:sz w:val="28"/>
          <w:szCs w:val="28"/>
          <w14:textFill>
            <w14:solidFill>
              <w14:schemeClr w14:val="tx1"/>
            </w14:solidFill>
          </w14:textFill>
        </w:rPr>
        <w:t>附件5 工程质量保修书</w:t>
      </w:r>
      <w:bookmarkEnd w:id="910"/>
      <w:bookmarkEnd w:id="911"/>
      <w:bookmarkEnd w:id="912"/>
      <w:bookmarkEnd w:id="913"/>
      <w:bookmarkEnd w:id="914"/>
      <w:bookmarkEnd w:id="915"/>
    </w:p>
    <w:p>
      <w:pPr>
        <w:jc w:val="center"/>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工程质量保修书</w:t>
      </w:r>
    </w:p>
    <w:p>
      <w:pPr>
        <w:rPr>
          <w:rFonts w:ascii="仿宋_GB2312" w:hAnsi="宋体" w:eastAsia="仿宋_GB2312"/>
          <w:color w:val="000000" w:themeColor="text1"/>
          <w14:textFill>
            <w14:solidFill>
              <w14:schemeClr w14:val="tx1"/>
            </w14:solidFill>
          </w14:textFill>
        </w:rPr>
      </w:pPr>
    </w:p>
    <w:p>
      <w:pPr>
        <w:pStyle w:val="16"/>
        <w:snapToGrid w:val="0"/>
        <w:spacing w:line="360" w:lineRule="auto"/>
        <w:ind w:left="63" w:right="63"/>
        <w:jc w:val="left"/>
        <w:rPr>
          <w:rFonts w:ascii="仿宋_GB2312" w:eastAsia="仿宋_GB2312"/>
          <w:b/>
          <w:color w:val="000000" w:themeColor="text1"/>
          <w:szCs w:val="21"/>
          <w:u w:val="single"/>
          <w14:textFill>
            <w14:solidFill>
              <w14:schemeClr w14:val="tx1"/>
            </w14:solidFill>
          </w14:textFill>
        </w:rPr>
      </w:pPr>
      <w:r>
        <w:rPr>
          <w:rFonts w:hint="eastAsia" w:ascii="仿宋_GB2312" w:eastAsia="仿宋_GB2312"/>
          <w:color w:val="000000" w:themeColor="text1"/>
          <w:szCs w:val="21"/>
          <w14:textFill>
            <w14:solidFill>
              <w14:schemeClr w14:val="tx1"/>
            </w14:solidFill>
          </w14:textFill>
        </w:rPr>
        <w:t>承包人：</w:t>
      </w:r>
      <w:r>
        <w:rPr>
          <w:rFonts w:hint="eastAsia" w:ascii="仿宋_GB2312" w:eastAsia="仿宋_GB2312"/>
          <w:color w:val="000000" w:themeColor="text1"/>
          <w:szCs w:val="21"/>
          <w:u w:val="single"/>
          <w14:textFill>
            <w14:solidFill>
              <w14:schemeClr w14:val="tx1"/>
            </w14:solidFill>
          </w14:textFill>
        </w:rPr>
        <w:t xml:space="preserve">         </w:t>
      </w:r>
    </w:p>
    <w:p>
      <w:pPr>
        <w:pStyle w:val="16"/>
        <w:snapToGrid w:val="0"/>
        <w:spacing w:line="360" w:lineRule="auto"/>
        <w:ind w:left="63" w:right="63"/>
        <w:jc w:val="left"/>
        <w:rPr>
          <w:rFonts w:ascii="仿宋_GB2312" w:eastAsia="仿宋_GB2312"/>
          <w:color w:val="000000" w:themeColor="text1"/>
          <w:szCs w:val="21"/>
          <w:u w:val="single"/>
          <w14:textFill>
            <w14:solidFill>
              <w14:schemeClr w14:val="tx1"/>
            </w14:solidFill>
          </w14:textFill>
        </w:rPr>
      </w:pPr>
      <w:r>
        <w:rPr>
          <w:rFonts w:hint="eastAsia" w:ascii="仿宋_GB2312" w:eastAsia="仿宋_GB2312"/>
          <w:color w:val="000000" w:themeColor="text1"/>
          <w:szCs w:val="21"/>
          <w14:textFill>
            <w14:solidFill>
              <w14:schemeClr w14:val="tx1"/>
            </w14:solidFill>
          </w14:textFill>
        </w:rPr>
        <w:t>分包人：</w:t>
      </w:r>
      <w:r>
        <w:rPr>
          <w:rFonts w:hint="eastAsia" w:ascii="仿宋_GB2312" w:eastAsia="仿宋_GB2312"/>
          <w:color w:val="000000" w:themeColor="text1"/>
          <w:szCs w:val="21"/>
          <w:u w:val="single"/>
          <w14:textFill>
            <w14:solidFill>
              <w14:schemeClr w14:val="tx1"/>
            </w14:solidFill>
          </w14:textFill>
        </w:rPr>
        <w:t xml:space="preserve">         </w:t>
      </w: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为保证</w:t>
      </w:r>
      <w:r>
        <w:rPr>
          <w:rFonts w:ascii="仿宋_GB2312" w:hAnsi="宋体" w:eastAsia="仿宋_GB2312"/>
          <w:color w:val="000000" w:themeColor="text1"/>
          <w:szCs w:val="21"/>
          <w:u w:val="single"/>
          <w14:textFill>
            <w14:solidFill>
              <w14:schemeClr w14:val="tx1"/>
            </w14:solidFill>
          </w14:textFill>
        </w:rPr>
        <w:t xml:space="preserve">          </w:t>
      </w:r>
      <w:r>
        <w:rPr>
          <w:rFonts w:hint="eastAsia" w:ascii="仿宋_GB2312" w:hAnsi="宋体" w:eastAsia="仿宋_GB2312"/>
          <w:color w:val="000000" w:themeColor="text1"/>
          <w:szCs w:val="21"/>
          <w14:textFill>
            <w14:solidFill>
              <w14:schemeClr w14:val="tx1"/>
            </w14:solidFill>
          </w14:textFill>
        </w:rPr>
        <w:t>工程在合理使用期限内正常使用，承包人、分包人经协商一致签订本工程质量保修书。分包人在工程质量保修期内按照有关管理规定及双方约定承担工程质量保修责任。</w:t>
      </w:r>
    </w:p>
    <w:p>
      <w:pPr>
        <w:pStyle w:val="107"/>
        <w:numPr>
          <w:ilvl w:val="0"/>
          <w:numId w:val="5"/>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工程质量保修范围和内容</w:t>
      </w: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质量保修范围包括但不限于：</w:t>
      </w:r>
      <w:r>
        <w:rPr>
          <w:rFonts w:hint="eastAsia" w:ascii="仿宋_GB2312" w:hAnsi="宋体" w:eastAsia="仿宋_GB2312"/>
          <w:color w:val="000000" w:themeColor="text1"/>
          <w:szCs w:val="21"/>
          <w:u w:val="single"/>
          <w14:textFill>
            <w14:solidFill>
              <w14:schemeClr w14:val="tx1"/>
            </w14:solidFill>
          </w14:textFill>
        </w:rPr>
        <w:t>详见合同承包范围内容</w:t>
      </w:r>
      <w:r>
        <w:rPr>
          <w:rFonts w:hint="eastAsia" w:ascii="仿宋_GB2312" w:hAnsi="宋体" w:eastAsia="仿宋_GB2312"/>
          <w:color w:val="000000" w:themeColor="text1"/>
          <w:szCs w:val="21"/>
          <w14:textFill>
            <w14:solidFill>
              <w14:schemeClr w14:val="tx1"/>
            </w14:solidFill>
          </w14:textFill>
        </w:rPr>
        <w:t>。</w:t>
      </w:r>
    </w:p>
    <w:p>
      <w:pPr>
        <w:pStyle w:val="107"/>
        <w:numPr>
          <w:ilvl w:val="0"/>
          <w:numId w:val="5"/>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工程质量保修期</w:t>
      </w: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工程质量保修</w:t>
      </w:r>
      <w:r>
        <w:rPr>
          <w:rFonts w:hint="eastAsia" w:ascii="仿宋_GB2312" w:hAnsi="宋体" w:eastAsia="仿宋_GB2312"/>
          <w:color w:val="000000" w:themeColor="text1"/>
          <w:szCs w:val="21"/>
          <w14:textFill>
            <w14:solidFill>
              <w14:schemeClr w14:val="tx1"/>
            </w14:solidFill>
          </w14:textFill>
        </w:rPr>
        <w:t>期从工程实际竣工验收合格并移交发包人之日算起。双方根据国家有关规定，结合具体工程约定</w:t>
      </w:r>
      <w:r>
        <w:rPr>
          <w:rFonts w:hint="eastAsia" w:ascii="仿宋_GB2312" w:hAnsi="宋体" w:eastAsia="仿宋_GB2312"/>
          <w:color w:val="000000" w:themeColor="text1"/>
          <w14:textFill>
            <w14:solidFill>
              <w14:schemeClr w14:val="tx1"/>
            </w14:solidFill>
          </w14:textFill>
        </w:rPr>
        <w:t>质量保修</w:t>
      </w:r>
      <w:r>
        <w:rPr>
          <w:rFonts w:hint="eastAsia" w:ascii="仿宋_GB2312" w:hAnsi="宋体" w:eastAsia="仿宋_GB2312"/>
          <w:color w:val="000000" w:themeColor="text1"/>
          <w:szCs w:val="21"/>
          <w14:textFill>
            <w14:solidFill>
              <w14:schemeClr w14:val="tx1"/>
            </w14:solidFill>
          </w14:textFill>
        </w:rPr>
        <w:t>期如下：</w:t>
      </w:r>
    </w:p>
    <w:p>
      <w:pPr>
        <w:pStyle w:val="107"/>
        <w:numPr>
          <w:ilvl w:val="0"/>
          <w:numId w:val="6"/>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主体结构工程为设计文件规定的该工程合理使用年限；</w:t>
      </w:r>
    </w:p>
    <w:p>
      <w:pPr>
        <w:pStyle w:val="107"/>
        <w:numPr>
          <w:ilvl w:val="0"/>
          <w:numId w:val="6"/>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防水工程、有防水要求的卫生间、房间和外墙面的防渗漏，为</w:t>
      </w:r>
      <w:r>
        <w:rPr>
          <w:rFonts w:hint="eastAsia" w:ascii="仿宋_GB2312" w:hAnsi="宋体" w:eastAsia="仿宋_GB2312"/>
          <w:color w:val="000000" w:themeColor="text1"/>
          <w:u w:val="single"/>
          <w14:textFill>
            <w14:solidFill>
              <w14:schemeClr w14:val="tx1"/>
            </w14:solidFill>
          </w14:textFill>
        </w:rPr>
        <w:t>伍</w:t>
      </w:r>
      <w:r>
        <w:rPr>
          <w:rFonts w:hint="eastAsia" w:ascii="仿宋_GB2312" w:hAnsi="宋体" w:eastAsia="仿宋_GB2312"/>
          <w:color w:val="000000" w:themeColor="text1"/>
          <w14:textFill>
            <w14:solidFill>
              <w14:schemeClr w14:val="tx1"/>
            </w14:solidFill>
          </w14:textFill>
        </w:rPr>
        <w:t>年；</w:t>
      </w:r>
    </w:p>
    <w:p>
      <w:pPr>
        <w:pStyle w:val="107"/>
        <w:numPr>
          <w:ilvl w:val="0"/>
          <w:numId w:val="6"/>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装饰装修工程为</w:t>
      </w:r>
      <w:r>
        <w:rPr>
          <w:rFonts w:hint="eastAsia" w:ascii="仿宋_GB2312" w:hAnsi="宋体" w:eastAsia="仿宋_GB2312"/>
          <w:color w:val="000000" w:themeColor="text1"/>
          <w:u w:val="single"/>
          <w14:textFill>
            <w14:solidFill>
              <w14:schemeClr w14:val="tx1"/>
            </w14:solidFill>
          </w14:textFill>
        </w:rPr>
        <w:t>贰</w:t>
      </w:r>
      <w:r>
        <w:rPr>
          <w:rFonts w:hint="eastAsia" w:ascii="仿宋_GB2312" w:hAnsi="宋体" w:eastAsia="仿宋_GB2312"/>
          <w:color w:val="000000" w:themeColor="text1"/>
          <w14:textFill>
            <w14:solidFill>
              <w14:schemeClr w14:val="tx1"/>
            </w14:solidFill>
          </w14:textFill>
        </w:rPr>
        <w:t>年；</w:t>
      </w:r>
    </w:p>
    <w:p>
      <w:pPr>
        <w:pStyle w:val="107"/>
        <w:numPr>
          <w:ilvl w:val="0"/>
          <w:numId w:val="6"/>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电气管线、给排水管道、设备安装工程为</w:t>
      </w:r>
      <w:r>
        <w:rPr>
          <w:rFonts w:hint="eastAsia" w:ascii="仿宋_GB2312" w:hAnsi="宋体" w:eastAsia="仿宋_GB2312"/>
          <w:color w:val="000000" w:themeColor="text1"/>
          <w:u w:val="single"/>
          <w14:textFill>
            <w14:solidFill>
              <w14:schemeClr w14:val="tx1"/>
            </w14:solidFill>
          </w14:textFill>
        </w:rPr>
        <w:t>贰</w:t>
      </w:r>
      <w:r>
        <w:rPr>
          <w:rFonts w:hint="eastAsia" w:ascii="仿宋_GB2312" w:hAnsi="宋体" w:eastAsia="仿宋_GB2312"/>
          <w:color w:val="000000" w:themeColor="text1"/>
          <w14:textFill>
            <w14:solidFill>
              <w14:schemeClr w14:val="tx1"/>
            </w14:solidFill>
          </w14:textFill>
        </w:rPr>
        <w:t>年；</w:t>
      </w:r>
    </w:p>
    <w:p>
      <w:pPr>
        <w:pStyle w:val="107"/>
        <w:numPr>
          <w:ilvl w:val="0"/>
          <w:numId w:val="6"/>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供热及供冷为</w:t>
      </w:r>
      <w:r>
        <w:rPr>
          <w:rFonts w:hint="eastAsia" w:ascii="仿宋_GB2312" w:hAnsi="宋体" w:eastAsia="仿宋_GB2312"/>
          <w:color w:val="000000" w:themeColor="text1"/>
          <w:u w:val="single"/>
          <w14:textFill>
            <w14:solidFill>
              <w14:schemeClr w14:val="tx1"/>
            </w14:solidFill>
          </w14:textFill>
        </w:rPr>
        <w:t>贰</w:t>
      </w:r>
      <w:r>
        <w:rPr>
          <w:rFonts w:hint="eastAsia" w:ascii="仿宋_GB2312" w:hAnsi="宋体" w:eastAsia="仿宋_GB2312"/>
          <w:color w:val="000000" w:themeColor="text1"/>
          <w14:textFill>
            <w14:solidFill>
              <w14:schemeClr w14:val="tx1"/>
            </w14:solidFill>
          </w14:textFill>
        </w:rPr>
        <w:t>个采暖期、供冷期；</w:t>
      </w:r>
    </w:p>
    <w:p>
      <w:pPr>
        <w:pStyle w:val="107"/>
        <w:numPr>
          <w:ilvl w:val="0"/>
          <w:numId w:val="6"/>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其他项目质量保修期限约定如下：质量保修</w:t>
      </w:r>
      <w:r>
        <w:rPr>
          <w:rFonts w:hint="eastAsia" w:ascii="仿宋_GB2312" w:hAnsi="宋体" w:eastAsia="仿宋_GB2312"/>
          <w:color w:val="000000" w:themeColor="text1"/>
          <w:u w:val="single"/>
          <w14:textFill>
            <w14:solidFill>
              <w14:schemeClr w14:val="tx1"/>
            </w14:solidFill>
          </w14:textFill>
        </w:rPr>
        <w:t>期为工程整体竣工验收合格并移交发包人后的24个月</w:t>
      </w:r>
      <w:r>
        <w:rPr>
          <w:rFonts w:hint="eastAsia" w:ascii="仿宋_GB2312" w:hAnsi="宋体" w:eastAsia="仿宋_GB2312"/>
          <w:color w:val="000000" w:themeColor="text1"/>
          <w14:textFill>
            <w14:solidFill>
              <w14:schemeClr w14:val="tx1"/>
            </w14:solidFill>
          </w14:textFill>
        </w:rPr>
        <w:t>。</w:t>
      </w:r>
    </w:p>
    <w:p>
      <w:pPr>
        <w:pStyle w:val="107"/>
        <w:numPr>
          <w:ilvl w:val="0"/>
          <w:numId w:val="6"/>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其他约定：未尽事宜按国家现行规程、规范执行。</w:t>
      </w:r>
    </w:p>
    <w:p>
      <w:pPr>
        <w:pStyle w:val="107"/>
        <w:numPr>
          <w:ilvl w:val="0"/>
          <w:numId w:val="5"/>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质量保修责任</w:t>
      </w:r>
    </w:p>
    <w:p>
      <w:pPr>
        <w:pStyle w:val="107"/>
        <w:numPr>
          <w:ilvl w:val="0"/>
          <w:numId w:val="7"/>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属于保修范围、内容的项目，分包人应当在接到发包人（或发包人的物业公司）或承包人保修通知之日起</w:t>
      </w:r>
      <w:r>
        <w:rPr>
          <w:rFonts w:hint="eastAsia" w:ascii="仿宋_GB2312" w:hAnsi="宋体" w:eastAsia="仿宋_GB2312"/>
          <w:color w:val="000000" w:themeColor="text1"/>
          <w:u w:val="single"/>
          <w14:textFill>
            <w14:solidFill>
              <w14:schemeClr w14:val="tx1"/>
            </w14:solidFill>
          </w14:textFill>
        </w:rPr>
        <w:t xml:space="preserve">  24  </w:t>
      </w:r>
      <w:r>
        <w:rPr>
          <w:rFonts w:hint="eastAsia" w:ascii="仿宋_GB2312" w:hAnsi="宋体" w:eastAsia="仿宋_GB2312"/>
          <w:color w:val="000000" w:themeColor="text1"/>
          <w14:textFill>
            <w14:solidFill>
              <w14:schemeClr w14:val="tx1"/>
            </w14:solidFill>
          </w14:textFill>
        </w:rPr>
        <w:t>小时内派人保修。渗水、漏水、给排水、供电设施及线路出现等故障影响居民正常生活或商家经营活动时，分包人承诺在承包人通知后</w:t>
      </w:r>
      <w:r>
        <w:rPr>
          <w:rFonts w:hint="eastAsia" w:ascii="仿宋_GB2312" w:hAnsi="宋体" w:eastAsia="仿宋_GB2312"/>
          <w:color w:val="000000" w:themeColor="text1"/>
          <w:u w:val="single"/>
          <w14:textFill>
            <w14:solidFill>
              <w14:schemeClr w14:val="tx1"/>
            </w14:solidFill>
          </w14:textFill>
        </w:rPr>
        <w:t xml:space="preserve"> 4 </w:t>
      </w:r>
      <w:r>
        <w:rPr>
          <w:rFonts w:hint="eastAsia" w:ascii="仿宋_GB2312" w:hAnsi="宋体" w:eastAsia="仿宋_GB2312"/>
          <w:color w:val="000000" w:themeColor="text1"/>
          <w14:textFill>
            <w14:solidFill>
              <w14:schemeClr w14:val="tx1"/>
            </w14:solidFill>
          </w14:textFill>
        </w:rPr>
        <w:t>小时内赶到现场并于</w:t>
      </w:r>
      <w:r>
        <w:rPr>
          <w:rFonts w:hint="eastAsia" w:ascii="仿宋_GB2312" w:hAnsi="宋体" w:eastAsia="仿宋_GB2312"/>
          <w:color w:val="000000" w:themeColor="text1"/>
          <w:u w:val="single"/>
          <w14:textFill>
            <w14:solidFill>
              <w14:schemeClr w14:val="tx1"/>
            </w14:solidFill>
          </w14:textFill>
        </w:rPr>
        <w:t xml:space="preserve"> 6 </w:t>
      </w:r>
      <w:r>
        <w:rPr>
          <w:rFonts w:hint="eastAsia" w:ascii="仿宋_GB2312" w:hAnsi="宋体" w:eastAsia="仿宋_GB2312"/>
          <w:color w:val="000000" w:themeColor="text1"/>
          <w14:textFill>
            <w14:solidFill>
              <w14:schemeClr w14:val="tx1"/>
            </w14:solidFill>
          </w14:textFill>
        </w:rPr>
        <w:t>小时内完成维修。</w:t>
      </w:r>
    </w:p>
    <w:p>
      <w:pPr>
        <w:pStyle w:val="107"/>
        <w:numPr>
          <w:ilvl w:val="0"/>
          <w:numId w:val="7"/>
        </w:numPr>
        <w:adjustRightInd w:val="0"/>
        <w:snapToGrid w:val="0"/>
        <w:spacing w:line="360" w:lineRule="auto"/>
        <w:ind w:left="0" w:firstLine="420"/>
        <w:rPr>
          <w:rFonts w:ascii="仿宋_GB2312" w:hAnsi="宋体" w:eastAsia="仿宋_GB2312"/>
          <w:color w:val="000000" w:themeColor="text1"/>
          <w:u w:val="single"/>
          <w14:textFill>
            <w14:solidFill>
              <w14:schemeClr w14:val="tx1"/>
            </w14:solidFill>
          </w14:textFill>
        </w:rPr>
      </w:pPr>
      <w:r>
        <w:rPr>
          <w:rFonts w:hint="eastAsia" w:ascii="仿宋_GB2312" w:hAnsi="宋体" w:eastAsia="仿宋_GB2312"/>
          <w:color w:val="000000" w:themeColor="text1"/>
          <w:u w:val="single"/>
          <w14:textFill>
            <w14:solidFill>
              <w14:schemeClr w14:val="tx1"/>
            </w14:solidFill>
          </w14:textFill>
        </w:rPr>
        <w:t>发生紧急抢修事故(</w:t>
      </w:r>
      <w:r>
        <w:rPr>
          <w:rFonts w:hint="eastAsia" w:eastAsia="仿宋_GB2312"/>
          <w:color w:val="000000" w:themeColor="text1"/>
          <w:u w:val="single"/>
          <w14:textFill>
            <w14:solidFill>
              <w14:schemeClr w14:val="tx1"/>
            </w14:solidFill>
          </w14:textFill>
        </w:rPr>
        <w:t>如电梯事故）</w:t>
      </w:r>
      <w:r>
        <w:rPr>
          <w:rFonts w:hint="eastAsia" w:ascii="仿宋_GB2312" w:hAnsi="宋体" w:eastAsia="仿宋_GB2312"/>
          <w:color w:val="000000" w:themeColor="text1"/>
          <w:u w:val="single"/>
          <w14:textFill>
            <w14:solidFill>
              <w14:schemeClr w14:val="tx1"/>
            </w14:solidFill>
          </w14:textFill>
        </w:rPr>
        <w:t>的，分包人接到事故通知后，应当立即到达事故现场抢修。</w:t>
      </w:r>
    </w:p>
    <w:p>
      <w:pPr>
        <w:pStyle w:val="107"/>
        <w:numPr>
          <w:ilvl w:val="0"/>
          <w:numId w:val="7"/>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对于涉及结构安全的质量问题，应当按照《房屋建筑工程质量保修办法》的规定，立即向当地建设行政主管部门报告，采取安全防范措施；由原设计单位或者具有相应资质等级的设计单位提出保修方法，分包人实施保修。</w:t>
      </w:r>
    </w:p>
    <w:p>
      <w:pPr>
        <w:pStyle w:val="107"/>
        <w:numPr>
          <w:ilvl w:val="0"/>
          <w:numId w:val="7"/>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分包人不在约定期限内派人保修，发包人（或发包人的物业公司）或承包人可以委托他人维修，所需维修费用由分包人承担，直接从工程质量保证金冲抵，质量保证金不足以支付保修费用时，发包人或承包人有权进一步向分包人追索。</w:t>
      </w:r>
    </w:p>
    <w:p>
      <w:pPr>
        <w:pStyle w:val="107"/>
        <w:numPr>
          <w:ilvl w:val="0"/>
          <w:numId w:val="7"/>
        </w:numPr>
        <w:adjustRightInd w:val="0"/>
        <w:snapToGrid w:val="0"/>
        <w:spacing w:line="360" w:lineRule="auto"/>
        <w:ind w:left="0" w:firstLine="420"/>
        <w:rPr>
          <w:rFonts w:ascii="仿宋_GB2312" w:hAnsi="宋体" w:eastAsia="仿宋_GB2312"/>
          <w:color w:val="000000" w:themeColor="text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质量保修完成后，由发包人及承包人组织验收，由于分包人工程质量问题造成发包人和业主的全部和间接损失，由分包人无条件承担。</w:t>
      </w:r>
    </w:p>
    <w:p>
      <w:pPr>
        <w:pStyle w:val="107"/>
        <w:numPr>
          <w:ilvl w:val="0"/>
          <w:numId w:val="5"/>
        </w:numPr>
        <w:adjustRightInd w:val="0"/>
        <w:snapToGrid w:val="0"/>
        <w:spacing w:line="360" w:lineRule="auto"/>
        <w:ind w:left="0" w:firstLine="42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14:textFill>
            <w14:solidFill>
              <w14:schemeClr w14:val="tx1"/>
            </w14:solidFill>
          </w14:textFill>
        </w:rPr>
        <w:t>质</w:t>
      </w:r>
      <w:r>
        <w:rPr>
          <w:rFonts w:hint="eastAsia" w:ascii="仿宋_GB2312" w:hAnsi="宋体" w:eastAsia="仿宋_GB2312"/>
          <w:color w:val="000000" w:themeColor="text1"/>
          <w:szCs w:val="21"/>
          <w14:textFill>
            <w14:solidFill>
              <w14:schemeClr w14:val="tx1"/>
            </w14:solidFill>
          </w14:textFill>
        </w:rPr>
        <w:t>量</w:t>
      </w:r>
      <w:r>
        <w:rPr>
          <w:rFonts w:hint="eastAsia" w:ascii="仿宋_GB2312" w:hAnsi="宋体" w:eastAsia="仿宋_GB2312"/>
          <w:color w:val="000000" w:themeColor="text1"/>
          <w:szCs w:val="21"/>
          <w14:textFill>
            <w14:solidFill>
              <w14:schemeClr w14:val="tx1"/>
            </w14:solidFill>
          </w14:textFill>
        </w:rPr>
        <w:t>保证金</w:t>
      </w:r>
      <w:r>
        <w:rPr>
          <w:rFonts w:hint="eastAsia" w:ascii="仿宋_GB2312" w:hAnsi="宋体" w:eastAsia="仿宋_GB2312"/>
          <w:color w:val="000000" w:themeColor="text1"/>
          <w:szCs w:val="21"/>
          <w14:textFill>
            <w14:solidFill>
              <w14:schemeClr w14:val="tx1"/>
            </w14:solidFill>
          </w14:textFill>
        </w:rPr>
        <w:t>的额度</w:t>
      </w: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本工程约定的工程质量</w:t>
      </w:r>
      <w:r>
        <w:rPr>
          <w:rFonts w:hint="eastAsia" w:ascii="仿宋_GB2312" w:hAnsi="宋体" w:eastAsia="仿宋_GB2312"/>
          <w:color w:val="000000" w:themeColor="text1"/>
          <w:szCs w:val="21"/>
          <w14:textFill>
            <w14:solidFill>
              <w14:schemeClr w14:val="tx1"/>
            </w14:solidFill>
          </w14:textFill>
        </w:rPr>
        <w:t>保证金</w:t>
      </w:r>
      <w:r>
        <w:rPr>
          <w:rFonts w:hint="eastAsia" w:ascii="仿宋_GB2312" w:hAnsi="宋体" w:eastAsia="仿宋_GB2312"/>
          <w:color w:val="000000" w:themeColor="text1"/>
          <w:szCs w:val="21"/>
          <w14:textFill>
            <w14:solidFill>
              <w14:schemeClr w14:val="tx1"/>
            </w14:solidFill>
          </w14:textFill>
        </w:rPr>
        <w:t>为该工程结算价款的3%。</w:t>
      </w:r>
    </w:p>
    <w:p>
      <w:pPr>
        <w:pStyle w:val="107"/>
        <w:numPr>
          <w:ilvl w:val="0"/>
          <w:numId w:val="5"/>
        </w:numPr>
        <w:adjustRightInd w:val="0"/>
        <w:snapToGrid w:val="0"/>
        <w:spacing w:line="360" w:lineRule="auto"/>
        <w:ind w:left="0" w:firstLine="42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质量</w:t>
      </w:r>
      <w:r>
        <w:rPr>
          <w:rFonts w:hint="eastAsia" w:ascii="仿宋_GB2312" w:hAnsi="宋体" w:eastAsia="仿宋_GB2312"/>
          <w:color w:val="000000" w:themeColor="text1"/>
          <w:szCs w:val="21"/>
          <w14:textFill>
            <w14:solidFill>
              <w14:schemeClr w14:val="tx1"/>
            </w14:solidFill>
          </w14:textFill>
        </w:rPr>
        <w:t>保证金</w:t>
      </w:r>
      <w:r>
        <w:rPr>
          <w:rFonts w:hint="eastAsia" w:ascii="仿宋_GB2312" w:hAnsi="宋体" w:eastAsia="仿宋_GB2312"/>
          <w:color w:val="000000" w:themeColor="text1"/>
          <w:szCs w:val="21"/>
          <w14:textFill>
            <w14:solidFill>
              <w14:schemeClr w14:val="tx1"/>
            </w14:solidFill>
          </w14:textFill>
        </w:rPr>
        <w:t>的退还</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缺陷责任期满，且分包人已全部完成缺陷修复责任时，分包人通过承包人向发包人申请到期退还质量保证金，发包人应在 30天内会同承包人、分包人按照合同、保修书约定的内容和相关法律法规规章核实分包人是否完成缺陷修复、整改责任。如无异议，发包人在核实后通过承包人将剩余的质量保证金无息退还分包人。</w:t>
      </w:r>
    </w:p>
    <w:p>
      <w:pPr>
        <w:pStyle w:val="52"/>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缺陷责任期间，分包人未按《工程质量保修书》要求到场维修，发包人或承包人有权委托第三方维修，</w:t>
      </w:r>
      <w:r>
        <w:rPr>
          <w:rFonts w:hint="eastAsia" w:ascii="仿宋_GB2312" w:hAnsi="宋体"/>
          <w:color w:val="000000" w:themeColor="text1"/>
          <w14:textFill>
            <w14:solidFill>
              <w14:schemeClr w14:val="tx1"/>
            </w14:solidFill>
          </w14:textFill>
        </w:rPr>
        <w:t>所需维修费用由分包人承担，直接从工程质量保证金冲抵，</w:t>
      </w:r>
      <w:r>
        <w:rPr>
          <w:rFonts w:hint="eastAsia"/>
          <w:color w:val="000000" w:themeColor="text1"/>
          <w14:textFill>
            <w14:solidFill>
              <w14:schemeClr w14:val="tx1"/>
            </w14:solidFill>
          </w14:textFill>
        </w:rPr>
        <w:t>质量</w:t>
      </w:r>
      <w:r>
        <w:rPr>
          <w:rFonts w:hint="eastAsia" w:ascii="仿宋_GB2312" w:hAnsi="宋体"/>
          <w:color w:val="000000" w:themeColor="text1"/>
          <w14:textFill>
            <w14:solidFill>
              <w14:schemeClr w14:val="tx1"/>
            </w14:solidFill>
          </w14:textFill>
        </w:rPr>
        <w:t>保证金不足以支付保修费用时，承包人有权进一步向分包人追索。</w:t>
      </w:r>
    </w:p>
    <w:p>
      <w:pPr>
        <w:pStyle w:val="107"/>
        <w:numPr>
          <w:ilvl w:val="0"/>
          <w:numId w:val="5"/>
        </w:numPr>
        <w:adjustRightInd w:val="0"/>
        <w:snapToGrid w:val="0"/>
        <w:spacing w:line="360" w:lineRule="auto"/>
        <w:ind w:left="0" w:firstLine="420"/>
        <w:rPr>
          <w:rFonts w:eastAsia="仿宋_GB2312"/>
          <w:color w:val="000000" w:themeColor="text1"/>
          <w:kern w:val="0"/>
          <w:szCs w:val="32"/>
          <w14:textFill>
            <w14:solidFill>
              <w14:schemeClr w14:val="tx1"/>
            </w14:solidFill>
          </w14:textFill>
        </w:rPr>
      </w:pPr>
      <w:r>
        <w:rPr>
          <w:rFonts w:hint="eastAsia" w:eastAsia="仿宋_GB2312"/>
          <w:color w:val="000000" w:themeColor="text1"/>
          <w:kern w:val="0"/>
          <w:szCs w:val="32"/>
          <w14:textFill>
            <w14:solidFill>
              <w14:schemeClr w14:val="tx1"/>
            </w14:solidFill>
          </w14:textFill>
        </w:rPr>
        <w:t>在缺陷责任期满时，分包人没有完成保修责任的，发包人、承包人有权要求延长缺陷责任期，直至完成缺陷修复工作为止。</w:t>
      </w:r>
    </w:p>
    <w:p>
      <w:pPr>
        <w:pStyle w:val="107"/>
        <w:numPr>
          <w:ilvl w:val="0"/>
          <w:numId w:val="5"/>
        </w:numPr>
        <w:adjustRightInd w:val="0"/>
        <w:snapToGrid w:val="0"/>
        <w:spacing w:line="360" w:lineRule="auto"/>
        <w:ind w:left="0" w:firstLine="420"/>
        <w:rPr>
          <w:color w:val="000000" w:themeColor="text1"/>
          <w14:textFill>
            <w14:solidFill>
              <w14:schemeClr w14:val="tx1"/>
            </w14:solidFill>
          </w14:textFill>
        </w:rPr>
      </w:pPr>
      <w:r>
        <w:rPr>
          <w:rFonts w:hint="eastAsia" w:eastAsia="仿宋_GB2312"/>
          <w:color w:val="000000" w:themeColor="text1"/>
          <w:kern w:val="0"/>
          <w:szCs w:val="32"/>
          <w14:textFill>
            <w14:solidFill>
              <w14:schemeClr w14:val="tx1"/>
            </w14:solidFill>
          </w14:textFill>
        </w:rPr>
        <w:t>质量</w:t>
      </w:r>
      <w:r>
        <w:rPr>
          <w:rFonts w:hint="eastAsia" w:eastAsia="仿宋_GB2312"/>
          <w:color w:val="000000" w:themeColor="text1"/>
          <w:kern w:val="0"/>
          <w:szCs w:val="32"/>
          <w14:textFill>
            <w14:solidFill>
              <w14:schemeClr w14:val="tx1"/>
            </w14:solidFill>
          </w14:textFill>
        </w:rPr>
        <w:t>保证金</w:t>
      </w:r>
      <w:r>
        <w:rPr>
          <w:rFonts w:hint="eastAsia" w:eastAsia="仿宋_GB2312"/>
          <w:color w:val="000000" w:themeColor="text1"/>
          <w:kern w:val="0"/>
          <w:szCs w:val="32"/>
          <w14:textFill>
            <w14:solidFill>
              <w14:schemeClr w14:val="tx1"/>
            </w14:solidFill>
          </w14:textFill>
        </w:rPr>
        <w:t>的退还并不表示分包人保修责任的结束，分包人仍须按照相关法律法规规章及本合同，包括但不限于专用条款的规定继续履行保修责任、质量责任。</w:t>
      </w:r>
    </w:p>
    <w:p>
      <w:pPr>
        <w:pStyle w:val="107"/>
        <w:numPr>
          <w:ilvl w:val="0"/>
          <w:numId w:val="5"/>
        </w:numPr>
        <w:adjustRightInd w:val="0"/>
        <w:snapToGrid w:val="0"/>
        <w:spacing w:line="360" w:lineRule="auto"/>
        <w:ind w:left="0" w:firstLine="420"/>
        <w:rPr>
          <w:color w:val="000000" w:themeColor="text1"/>
          <w14:textFill>
            <w14:solidFill>
              <w14:schemeClr w14:val="tx1"/>
            </w14:solidFill>
          </w14:textFill>
        </w:rPr>
      </w:pPr>
      <w:r>
        <w:rPr>
          <w:rFonts w:hint="eastAsia" w:eastAsia="仿宋_GB2312"/>
          <w:color w:val="000000" w:themeColor="text1"/>
          <w:kern w:val="0"/>
          <w:szCs w:val="32"/>
          <w14:textFill>
            <w14:solidFill>
              <w14:schemeClr w14:val="tx1"/>
            </w14:solidFill>
          </w14:textFill>
        </w:rPr>
        <w:t>其他</w:t>
      </w: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双方约定的其他工程质量保修事项：</w:t>
      </w:r>
      <w:r>
        <w:rPr>
          <w:rFonts w:hint="eastAsia" w:ascii="仿宋_GB2312" w:hAnsi="宋体" w:eastAsia="仿宋_GB2312"/>
          <w:color w:val="000000" w:themeColor="text1"/>
          <w:szCs w:val="21"/>
          <w:u w:val="single"/>
          <w14:textFill>
            <w14:solidFill>
              <w14:schemeClr w14:val="tx1"/>
            </w14:solidFill>
          </w14:textFill>
        </w:rPr>
        <w:t>另行协商</w:t>
      </w:r>
      <w:r>
        <w:rPr>
          <w:rFonts w:hint="eastAsia" w:ascii="仿宋_GB2312" w:hAnsi="宋体" w:eastAsia="仿宋_GB2312"/>
          <w:color w:val="000000" w:themeColor="text1"/>
          <w:szCs w:val="21"/>
          <w14:textFill>
            <w14:solidFill>
              <w14:schemeClr w14:val="tx1"/>
            </w14:solidFill>
          </w14:textFill>
        </w:rPr>
        <w:t>。</w:t>
      </w: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本工程质量保修书作为施工合同附件，由施工合同承包人分包人双方共同签署。</w:t>
      </w: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承 包 人(公章)：                                分 包 人(公章)：</w:t>
      </w:r>
    </w:p>
    <w:p>
      <w:pPr>
        <w:adjustRightInd w:val="0"/>
        <w:snapToGrid w:val="0"/>
        <w:spacing w:line="360" w:lineRule="auto"/>
        <w:rPr>
          <w:rFonts w:ascii="仿宋_GB2312" w:hAnsi="宋体" w:eastAsia="仿宋_GB2312"/>
          <w:color w:val="000000" w:themeColor="text1"/>
          <w:szCs w:val="21"/>
          <w14:textFill>
            <w14:solidFill>
              <w14:schemeClr w14:val="tx1"/>
            </w14:solidFill>
          </w14:textFill>
        </w:rPr>
      </w:pPr>
    </w:p>
    <w:p>
      <w:pPr>
        <w:adjustRightInd w:val="0"/>
        <w:snapToGrid w:val="0"/>
        <w:spacing w:line="360" w:lineRule="auto"/>
        <w:ind w:firstLine="420" w:firstLineChars="2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法定代表人或委托代理人(签署)：                  法定代表人或委托代理人(签署)：</w:t>
      </w:r>
    </w:p>
    <w:p>
      <w:pPr>
        <w:adjustRightInd w:val="0"/>
        <w:snapToGrid w:val="0"/>
        <w:spacing w:line="360" w:lineRule="auto"/>
        <w:rPr>
          <w:rFonts w:ascii="仿宋_GB2312" w:hAnsi="宋体" w:eastAsia="仿宋_GB2312"/>
          <w:color w:val="000000" w:themeColor="text1"/>
          <w:szCs w:val="21"/>
          <w:u w:val="single"/>
          <w14:textFill>
            <w14:solidFill>
              <w14:schemeClr w14:val="tx1"/>
            </w14:solidFill>
          </w14:textFill>
        </w:rPr>
      </w:pPr>
    </w:p>
    <w:p>
      <w:pPr>
        <w:adjustRightInd w:val="0"/>
        <w:snapToGrid w:val="0"/>
        <w:spacing w:line="360" w:lineRule="auto"/>
        <w:ind w:firstLine="840" w:firstLineChars="400"/>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t>年   月   日                                    年   月   日</w:t>
      </w:r>
    </w:p>
    <w:p>
      <w:pPr>
        <w:spacing w:line="360" w:lineRule="auto"/>
        <w:jc w:val="left"/>
        <w:rPr>
          <w:color w:val="000000" w:themeColor="text1"/>
          <w14:textFill>
            <w14:solidFill>
              <w14:schemeClr w14:val="tx1"/>
            </w14:solidFill>
          </w14:textFill>
        </w:rPr>
      </w:pPr>
      <w:r>
        <w:rPr>
          <w:rFonts w:hint="eastAsia" w:ascii="宋体" w:hAnsi="宋体"/>
          <w:color w:val="000000" w:themeColor="text1"/>
          <w:sz w:val="24"/>
          <w14:textFill>
            <w14:solidFill>
              <w14:schemeClr w14:val="tx1"/>
            </w14:solidFill>
          </w14:textFill>
        </w:rPr>
        <w:t xml:space="preserve"> </w:t>
      </w:r>
    </w:p>
    <w:p>
      <w:pPr>
        <w:pStyle w:val="2"/>
        <w:spacing w:line="240" w:lineRule="auto"/>
        <w:rPr>
          <w:rFonts w:ascii="仿宋" w:hAnsi="仿宋" w:eastAsia="仿宋"/>
          <w:color w:val="000000" w:themeColor="text1"/>
          <w:sz w:val="30"/>
          <w:szCs w:val="30"/>
          <w14:textFill>
            <w14:solidFill>
              <w14:schemeClr w14:val="tx1"/>
            </w14:solidFill>
          </w14:textFill>
        </w:rPr>
      </w:pPr>
      <w:r>
        <w:rPr>
          <w:color w:val="000000" w:themeColor="text1"/>
          <w14:textFill>
            <w14:solidFill>
              <w14:schemeClr w14:val="tx1"/>
            </w14:solidFill>
          </w14:textFill>
        </w:rPr>
        <w:br w:type="page"/>
      </w:r>
      <w:bookmarkStart w:id="916" w:name="_Toc22132"/>
      <w:bookmarkStart w:id="917" w:name="_Toc118446913"/>
      <w:bookmarkStart w:id="918" w:name="_Toc44492632"/>
      <w:bookmarkStart w:id="919" w:name="_Toc30211"/>
      <w:bookmarkStart w:id="920" w:name="_Toc18546"/>
      <w:bookmarkStart w:id="921" w:name="_Toc44227955"/>
      <w:r>
        <w:rPr>
          <w:rFonts w:hint="eastAsia" w:ascii="仿宋" w:hAnsi="仿宋" w:eastAsia="仿宋"/>
          <w:color w:val="000000" w:themeColor="text1"/>
          <w:sz w:val="30"/>
          <w:szCs w:val="30"/>
          <w14:textFill>
            <w14:solidFill>
              <w14:schemeClr w14:val="tx1"/>
            </w14:solidFill>
          </w14:textFill>
        </w:rPr>
        <w:t xml:space="preserve">附件6 </w:t>
      </w:r>
      <w:bookmarkEnd w:id="916"/>
      <w:r>
        <w:rPr>
          <w:rFonts w:hint="eastAsia" w:ascii="仿宋" w:hAnsi="仿宋" w:eastAsia="仿宋"/>
          <w:color w:val="000000" w:themeColor="text1"/>
          <w:sz w:val="30"/>
          <w:szCs w:val="30"/>
          <w14:textFill>
            <w14:solidFill>
              <w14:schemeClr w14:val="tx1"/>
            </w14:solidFill>
          </w14:textFill>
        </w:rPr>
        <w:t>总承包管理与配合服务管理办法</w:t>
      </w:r>
      <w:bookmarkEnd w:id="917"/>
    </w:p>
    <w:p>
      <w:pPr>
        <w:adjustRightInd w:val="0"/>
        <w:snapToGrid w:val="0"/>
        <w:spacing w:line="360" w:lineRule="auto"/>
        <w:jc w:val="center"/>
        <w:outlineLvl w:val="1"/>
        <w:rPr>
          <w:rFonts w:ascii="仿宋" w:hAnsi="仿宋" w:eastAsia="仿宋"/>
          <w:b/>
          <w:bCs/>
          <w:snapToGrid w:val="0"/>
          <w:color w:val="000000" w:themeColor="text1"/>
          <w:kern w:val="0"/>
          <w:sz w:val="28"/>
          <w:szCs w:val="28"/>
          <w14:textFill>
            <w14:solidFill>
              <w14:schemeClr w14:val="tx1"/>
            </w14:solidFill>
          </w14:textFill>
        </w:rPr>
      </w:pPr>
      <w:r>
        <w:rPr>
          <w:rFonts w:hint="eastAsia" w:ascii="仿宋" w:hAnsi="仿宋" w:eastAsia="仿宋"/>
          <w:color w:val="000000" w:themeColor="text1"/>
          <w:kern w:val="0"/>
          <w:szCs w:val="21"/>
          <w14:textFill>
            <w14:solidFill>
              <w14:schemeClr w14:val="tx1"/>
            </w14:solidFill>
          </w14:textFill>
        </w:rPr>
        <w:t xml:space="preserve">   </w:t>
      </w:r>
      <w:bookmarkStart w:id="922" w:name="_Toc475028322"/>
      <w:bookmarkStart w:id="923" w:name="_Toc465342876"/>
      <w:bookmarkStart w:id="924" w:name="_Toc468694204"/>
      <w:bookmarkStart w:id="925" w:name="_Toc468699498"/>
      <w:bookmarkStart w:id="926" w:name="_Toc467749114"/>
      <w:bookmarkStart w:id="927" w:name="_Toc484439176"/>
      <w:r>
        <w:rPr>
          <w:rFonts w:hint="eastAsia" w:ascii="仿宋" w:hAnsi="仿宋" w:eastAsia="仿宋"/>
          <w:b/>
          <w:color w:val="000000" w:themeColor="text1"/>
          <w:sz w:val="28"/>
          <w:szCs w:val="28"/>
          <w14:textFill>
            <w14:solidFill>
              <w14:schemeClr w14:val="tx1"/>
            </w14:solidFill>
          </w14:textFill>
        </w:rPr>
        <w:t>施工</w:t>
      </w:r>
      <w:r>
        <w:rPr>
          <w:rFonts w:hint="eastAsia" w:ascii="仿宋" w:hAnsi="仿宋" w:eastAsia="仿宋"/>
          <w:b/>
          <w:bCs/>
          <w:snapToGrid w:val="0"/>
          <w:color w:val="000000" w:themeColor="text1"/>
          <w:kern w:val="0"/>
          <w:sz w:val="28"/>
          <w:szCs w:val="28"/>
          <w14:textFill>
            <w14:solidFill>
              <w14:schemeClr w14:val="tx1"/>
            </w14:solidFill>
          </w14:textFill>
        </w:rPr>
        <w:t>总承包管理与配合服务</w:t>
      </w:r>
      <w:r>
        <w:rPr>
          <w:rFonts w:hint="eastAsia" w:ascii="仿宋" w:hAnsi="仿宋" w:eastAsia="仿宋"/>
          <w:b/>
          <w:bCs/>
          <w:color w:val="000000" w:themeColor="text1"/>
          <w:sz w:val="30"/>
          <w:szCs w:val="30"/>
          <w14:textFill>
            <w14:solidFill>
              <w14:schemeClr w14:val="tx1"/>
            </w14:solidFill>
          </w14:textFill>
        </w:rPr>
        <w:t>办法</w:t>
      </w:r>
      <w:bookmarkEnd w:id="922"/>
      <w:bookmarkEnd w:id="923"/>
      <w:bookmarkEnd w:id="924"/>
      <w:bookmarkEnd w:id="925"/>
      <w:bookmarkEnd w:id="926"/>
      <w:bookmarkEnd w:id="927"/>
    </w:p>
    <w:p>
      <w:pPr>
        <w:adjustRightInd w:val="0"/>
        <w:snapToGrid w:val="0"/>
        <w:spacing w:line="360" w:lineRule="auto"/>
        <w:jc w:val="center"/>
        <w:outlineLvl w:val="2"/>
        <w:rPr>
          <w:rFonts w:ascii="宋体" w:hAnsi="宋体"/>
          <w:b/>
          <w:bCs/>
          <w:color w:val="000000" w:themeColor="text1"/>
          <w:kern w:val="0"/>
          <w:sz w:val="28"/>
          <w:szCs w:val="28"/>
          <w14:textFill>
            <w14:solidFill>
              <w14:schemeClr w14:val="tx1"/>
            </w14:solidFill>
          </w14:textFill>
        </w:rPr>
      </w:pPr>
      <w:bookmarkStart w:id="928" w:name="_Toc484439177"/>
      <w:bookmarkStart w:id="929" w:name="_Toc467749115"/>
      <w:bookmarkStart w:id="930" w:name="_Toc465342877"/>
      <w:bookmarkStart w:id="931" w:name="_Toc475028323"/>
      <w:bookmarkStart w:id="932" w:name="_Toc468694205"/>
      <w:bookmarkStart w:id="933" w:name="_Toc468699499"/>
      <w:r>
        <w:rPr>
          <w:rFonts w:hint="eastAsia" w:ascii="宋体" w:hAnsi="宋体"/>
          <w:b/>
          <w:bCs/>
          <w:color w:val="000000" w:themeColor="text1"/>
          <w:kern w:val="0"/>
          <w:sz w:val="28"/>
          <w:szCs w:val="28"/>
          <w14:textFill>
            <w14:solidFill>
              <w14:schemeClr w14:val="tx1"/>
            </w14:solidFill>
          </w14:textFill>
        </w:rPr>
        <w:t>第一部分  施工总承包管理工作内容</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1</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总则</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1.1  制定本办法主要目的为明确总承包人在总包工作方面的管理、施工配合范围、义务和责任，以及专业承包人相应承担的义务和责任。总承包人在实施总包服务管理、施工配合及协调工作时，必须服从发包人及监理工程师的指令。</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1.2  本办法制订的基本原则为：建立以总承包人为首的包括由各专业承包人组合而成的现场管理机构。在总承包人的统筹、管理及协调下，各专业承包人及专业分包人分别按各自的合同要求进行施工的同时，为了一个共同的目标而精诚合作，由此组成一个既独立（权责利相对独立）又统一（目标统一）的共同建设体。</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1.3  若本办法中、本办法与其它文件中存在互相矛盾时，以较严格者为准。</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2</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基本定义与要求</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2.1  定义：</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w:t>
      </w:r>
      <w:r>
        <w:rPr>
          <w:rFonts w:hint="eastAsia" w:ascii="仿宋" w:hAnsi="仿宋" w:eastAsia="仿宋"/>
          <w:color w:val="000000" w:themeColor="text1"/>
          <w:szCs w:val="21"/>
          <w:u w:val="single"/>
          <w14:textFill>
            <w14:solidFill>
              <w14:schemeClr w14:val="tx1"/>
            </w14:solidFill>
          </w14:textFill>
        </w:rPr>
        <w:t>总承包人是指：中国建筑第二工程局有限公司</w:t>
      </w:r>
      <w:r>
        <w:rPr>
          <w:rFonts w:hint="eastAsia" w:ascii="仿宋" w:hAnsi="仿宋" w:eastAsia="仿宋"/>
          <w:color w:val="000000" w:themeColor="text1"/>
          <w:szCs w:val="21"/>
          <w:u w:val="single"/>
          <w:lang w:eastAsia="zh-CN"/>
          <w14:textFill>
            <w14:solidFill>
              <w14:schemeClr w14:val="tx1"/>
            </w14:solidFill>
          </w14:textFill>
        </w:rPr>
        <w:t>。</w:t>
      </w:r>
    </w:p>
    <w:p>
      <w:pPr>
        <w:spacing w:line="360" w:lineRule="auto"/>
        <w:ind w:firstLine="420" w:firstLineChars="200"/>
        <w:jc w:val="left"/>
        <w:rPr>
          <w:rFonts w:ascii="仿宋" w:hAnsi="仿宋" w:eastAsia="仿宋"/>
          <w:color w:val="000000" w:themeColor="text1"/>
          <w:szCs w:val="21"/>
          <w:u w:val="single"/>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w:t>
      </w:r>
      <w:r>
        <w:rPr>
          <w:rFonts w:hint="eastAsia" w:ascii="仿宋" w:hAnsi="仿宋" w:eastAsia="仿宋"/>
          <w:color w:val="000000" w:themeColor="text1"/>
          <w:szCs w:val="21"/>
          <w:u w:val="single"/>
          <w14:textFill>
            <w14:solidFill>
              <w14:schemeClr w14:val="tx1"/>
            </w14:solidFill>
          </w14:textFill>
        </w:rPr>
        <w:t>专业</w:t>
      </w:r>
      <w:r>
        <w:rPr>
          <w:rFonts w:hint="eastAsia" w:ascii="仿宋" w:hAnsi="仿宋" w:eastAsia="仿宋"/>
          <w:color w:val="000000" w:themeColor="text1"/>
          <w:szCs w:val="21"/>
          <w:u w:val="single"/>
          <w14:textFill>
            <w14:solidFill>
              <w14:schemeClr w14:val="tx1"/>
            </w14:solidFill>
          </w14:textFill>
        </w:rPr>
        <w:t>承包</w:t>
      </w:r>
      <w:r>
        <w:rPr>
          <w:rFonts w:hint="eastAsia" w:ascii="仿宋" w:hAnsi="仿宋" w:eastAsia="仿宋"/>
          <w:color w:val="000000" w:themeColor="text1"/>
          <w:szCs w:val="21"/>
          <w:u w:val="single"/>
          <w14:textFill>
            <w14:solidFill>
              <w14:schemeClr w14:val="tx1"/>
            </w14:solidFill>
          </w14:textFill>
        </w:rPr>
        <w:t>人是指与合同通用条款与专用条款中的专业工程承包人。</w:t>
      </w:r>
    </w:p>
    <w:p>
      <w:pPr>
        <w:spacing w:line="360" w:lineRule="auto"/>
        <w:ind w:firstLine="420" w:firstLineChars="200"/>
        <w:jc w:val="left"/>
        <w:rPr>
          <w:rFonts w:ascii="仿宋" w:hAnsi="仿宋" w:eastAsia="仿宋"/>
          <w:color w:val="000000" w:themeColor="text1"/>
          <w:szCs w:val="21"/>
          <w:u w:val="single"/>
          <w14:textFill>
            <w14:solidFill>
              <w14:schemeClr w14:val="tx1"/>
            </w14:solidFill>
          </w14:textFill>
        </w:rPr>
      </w:pPr>
      <w:r>
        <w:rPr>
          <w:rFonts w:ascii="仿宋" w:hAnsi="仿宋" w:eastAsia="仿宋"/>
          <w:color w:val="000000" w:themeColor="text1"/>
          <w:szCs w:val="21"/>
          <w:u w:val="none"/>
          <w14:textFill>
            <w14:solidFill>
              <w14:schemeClr w14:val="tx1"/>
            </w14:solidFill>
          </w14:textFill>
        </w:rPr>
        <w:t>3）</w:t>
      </w:r>
      <w:r>
        <w:rPr>
          <w:rFonts w:hint="eastAsia" w:ascii="仿宋" w:hAnsi="仿宋" w:eastAsia="仿宋"/>
          <w:color w:val="000000" w:themeColor="text1"/>
          <w:szCs w:val="21"/>
          <w:u w:val="single"/>
          <w14:textFill>
            <w14:solidFill>
              <w14:schemeClr w14:val="tx1"/>
            </w14:solidFill>
          </w14:textFill>
        </w:rPr>
        <w:t>专业分包人定义是指与合同通用条款与专用条款中的分包人及暂估价项目分包人。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2.2  总承包人在中标进场后，需根据招文件、合同条款及本办法相关要求编制详尽的现场管理办法（所包含的内容包括但不限于本办法），经报监理单位和发包人批准后实施。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2.3  发包人在组织专业承包工程的招标时，需将本办法及2.2款中的“现场管理办法”作为招标文件附件，要求投标单位作同意响应。</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2.4总承包人在与专业承包人及专业分包人签订管理协议时，需将本办法及发包人批准后实施的现场管理办法作为管理协议中的必要内容。</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2.5本项目现场管理原则上以总承包人全面负责，各专业承包人及专业分包人各自负责自身承包范围内的相应工作及提供必要的配合。现场管理的实施未能达到合约与本办法要求的，由总承包人向发包人全面承担违约责任，若导致发包人损失的，则经发包人同意由总承包人先行向发包人全面承责。总承包人有义务督促专业承包人及专业分包人按要求完成，因专业承包人及专业分包人未履行或未按期按约完成的，由总承包人先行代为完成，并收集相关资料报经监理工程师确认，以作为总承包人向专业承包人及专业分包人的索赔依据。</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2.6为更好地协调好参与本项目建设的各方关系，促进项目建设，本项目采用互为监督、互为促进的考核办法，每月将由专业承包人及专业分包人和总承包人之间互相进行打分考核，并将此考核纳入双方工程进度款支付的约束条件。具体考核办法由总承包人代为拟订，报监理工程师和发包人批准后实施。</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3</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承包范围</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3.1</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总承包范围：包括总承包施工项目和总包管理项目。</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总包管理范围：</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1）所有由发包人负责、承包人配合招标确定的暂估价项目，具体详总包合同附件15。</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2）所有由发包人选定的具有相应资质的专业施工单位，具体详见总包合同附件1。</w:t>
      </w:r>
    </w:p>
    <w:p>
      <w:pPr>
        <w:spacing w:line="360" w:lineRule="auto"/>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3）发包人依法直接供应的材料设备设施专项供应商，详见总包合同附件1</w:t>
      </w:r>
      <w:r>
        <w:rPr>
          <w:rFonts w:ascii="仿宋" w:hAnsi="仿宋" w:eastAsia="仿宋"/>
          <w:color w:val="000000" w:themeColor="text1"/>
          <w:szCs w:val="21"/>
          <w14:textFill>
            <w14:solidFill>
              <w14:schemeClr w14:val="tx1"/>
            </w14:solidFill>
          </w14:textFill>
        </w:rPr>
        <w:t>8</w:t>
      </w:r>
      <w:r>
        <w:rPr>
          <w:rFonts w:hint="eastAsia" w:ascii="仿宋" w:hAnsi="仿宋" w:eastAsia="仿宋"/>
          <w:color w:val="000000" w:themeColor="text1"/>
          <w:szCs w:val="21"/>
          <w14:textFill>
            <w14:solidFill>
              <w14:schemeClr w14:val="tx1"/>
            </w14:solidFill>
          </w14:textFill>
        </w:rPr>
        <w:t>。</w:t>
      </w:r>
    </w:p>
    <w:bookmarkEnd w:id="928"/>
    <w:bookmarkEnd w:id="929"/>
    <w:bookmarkEnd w:id="930"/>
    <w:bookmarkEnd w:id="931"/>
    <w:bookmarkEnd w:id="932"/>
    <w:bookmarkEnd w:id="933"/>
    <w:p>
      <w:pPr>
        <w:spacing w:before="72" w:beforeLines="30" w:after="72" w:afterLines="30" w:line="360" w:lineRule="auto"/>
        <w:ind w:firstLine="420"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w:t>
      </w:r>
      <w:r>
        <w:rPr>
          <w:rFonts w:hint="eastAsia" w:ascii="仿宋" w:hAnsi="仿宋" w:eastAsia="仿宋"/>
          <w:b/>
          <w:bCs/>
          <w:color w:val="000000" w:themeColor="text1"/>
          <w:sz w:val="24"/>
          <w:szCs w:val="24"/>
          <w14:textFill>
            <w14:solidFill>
              <w14:schemeClr w14:val="tx1"/>
            </w14:solidFill>
          </w14:textFill>
        </w:rPr>
        <w:t>4</w:t>
      </w:r>
      <w:r>
        <w:rPr>
          <w:rFonts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本项目合同结构和项目工程管理关系如下：</w:t>
      </w: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2"/>
        <w:gridCol w:w="1985"/>
        <w:gridCol w:w="4678"/>
        <w:gridCol w:w="14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562"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序号</w:t>
            </w:r>
          </w:p>
        </w:tc>
        <w:tc>
          <w:tcPr>
            <w:tcW w:w="1985"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分类</w:t>
            </w:r>
          </w:p>
        </w:tc>
        <w:tc>
          <w:tcPr>
            <w:tcW w:w="4678" w:type="dxa"/>
            <w:shd w:val="clear" w:color="auto" w:fill="auto"/>
            <w:vAlign w:val="center"/>
          </w:tcPr>
          <w:p>
            <w:pPr>
              <w:spacing w:line="360" w:lineRule="auto"/>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合同关系</w:t>
            </w:r>
          </w:p>
        </w:tc>
        <w:tc>
          <w:tcPr>
            <w:tcW w:w="1495" w:type="dxa"/>
            <w:shd w:val="clear" w:color="auto" w:fill="auto"/>
            <w:vAlign w:val="center"/>
          </w:tcPr>
          <w:p>
            <w:pPr>
              <w:spacing w:line="360" w:lineRule="auto"/>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管理关系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86" w:hRule="atLeast"/>
        </w:trPr>
        <w:tc>
          <w:tcPr>
            <w:tcW w:w="562"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1</w:t>
            </w:r>
          </w:p>
        </w:tc>
        <w:tc>
          <w:tcPr>
            <w:tcW w:w="1985"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暂估价专业工程类合同</w:t>
            </w:r>
          </w:p>
        </w:tc>
        <w:tc>
          <w:tcPr>
            <w:tcW w:w="4678" w:type="dxa"/>
            <w:shd w:val="clear" w:color="auto" w:fill="auto"/>
            <w:vAlign w:val="center"/>
          </w:tcPr>
          <w:p>
            <w:pPr>
              <w:spacing w:line="320" w:lineRule="exact"/>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1、由发包人（或发包人与承包人联合）招标，确定分包人和分包价格。</w:t>
            </w:r>
          </w:p>
          <w:p>
            <w:pPr>
              <w:spacing w:line="320" w:lineRule="exact"/>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2、由承包人与分包人签署合同</w:t>
            </w:r>
          </w:p>
        </w:tc>
        <w:tc>
          <w:tcPr>
            <w:tcW w:w="1495" w:type="dxa"/>
            <w:vMerge w:val="restart"/>
            <w:shd w:val="clear" w:color="auto" w:fill="auto"/>
            <w:vAlign w:val="center"/>
          </w:tcPr>
          <w:p>
            <w:pPr>
              <w:spacing w:line="320" w:lineRule="exac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由承包人统一管理并提供管理配合服务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13" w:hRule="atLeast"/>
        </w:trPr>
        <w:tc>
          <w:tcPr>
            <w:tcW w:w="562"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2</w:t>
            </w:r>
          </w:p>
        </w:tc>
        <w:tc>
          <w:tcPr>
            <w:tcW w:w="1985"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暂估价安装服务类合同</w:t>
            </w:r>
          </w:p>
        </w:tc>
        <w:tc>
          <w:tcPr>
            <w:tcW w:w="4678" w:type="dxa"/>
            <w:shd w:val="clear" w:color="auto" w:fill="auto"/>
            <w:vAlign w:val="center"/>
          </w:tcPr>
          <w:p>
            <w:pPr>
              <w:spacing w:line="320" w:lineRule="exact"/>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1、供货与安装服务由发包人（或发包人与承包人联合）统一招标，确定分包人和分包价格。</w:t>
            </w:r>
          </w:p>
          <w:p>
            <w:pPr>
              <w:spacing w:line="320" w:lineRule="exac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2、供货合同由发包人与分包人签订合同；安装合同由承包人与分包人签署合同</w:t>
            </w:r>
          </w:p>
        </w:tc>
        <w:tc>
          <w:tcPr>
            <w:tcW w:w="1495" w:type="dxa"/>
            <w:vMerge w:val="continue"/>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3" w:hRule="atLeast"/>
        </w:trPr>
        <w:tc>
          <w:tcPr>
            <w:tcW w:w="562"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3</w:t>
            </w:r>
          </w:p>
        </w:tc>
        <w:tc>
          <w:tcPr>
            <w:tcW w:w="1985"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发包人发包的专业工程/服务类合同</w:t>
            </w:r>
          </w:p>
        </w:tc>
        <w:tc>
          <w:tcPr>
            <w:tcW w:w="4678" w:type="dxa"/>
            <w:vMerge w:val="restart"/>
            <w:shd w:val="clear" w:color="auto" w:fill="auto"/>
            <w:vAlign w:val="center"/>
          </w:tcPr>
          <w:p>
            <w:pPr>
              <w:spacing w:line="320" w:lineRule="exact"/>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1、由发包人确定分包人及发包价格。</w:t>
            </w:r>
          </w:p>
          <w:p>
            <w:pPr>
              <w:spacing w:line="320" w:lineRule="exact"/>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2、由分包人与发包人签署合同</w:t>
            </w:r>
          </w:p>
        </w:tc>
        <w:tc>
          <w:tcPr>
            <w:tcW w:w="1495" w:type="dxa"/>
            <w:vMerge w:val="restart"/>
            <w:shd w:val="clear" w:color="auto" w:fill="auto"/>
            <w:vAlign w:val="center"/>
          </w:tcPr>
          <w:p>
            <w:pPr>
              <w:spacing w:line="320" w:lineRule="exac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承包人提供管理配合服务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562"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w:t>
            </w:r>
          </w:p>
        </w:tc>
        <w:tc>
          <w:tcPr>
            <w:tcW w:w="1985"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检测、监测服务类合同</w:t>
            </w:r>
          </w:p>
        </w:tc>
        <w:tc>
          <w:tcPr>
            <w:tcW w:w="4678" w:type="dxa"/>
            <w:vMerge w:val="continue"/>
            <w:shd w:val="clear" w:color="auto" w:fill="auto"/>
            <w:vAlign w:val="center"/>
          </w:tcPr>
          <w:p>
            <w:pPr>
              <w:spacing w:line="360" w:lineRule="auto"/>
              <w:jc w:val="center"/>
              <w:rPr>
                <w:rFonts w:ascii="仿宋" w:hAnsi="仿宋" w:eastAsia="仿宋"/>
                <w:color w:val="000000" w:themeColor="text1"/>
                <w:szCs w:val="21"/>
                <w14:textFill>
                  <w14:solidFill>
                    <w14:schemeClr w14:val="tx1"/>
                  </w14:solidFill>
                </w14:textFill>
              </w:rPr>
            </w:pPr>
          </w:p>
        </w:tc>
        <w:tc>
          <w:tcPr>
            <w:tcW w:w="1495" w:type="dxa"/>
            <w:vMerge w:val="continue"/>
            <w:shd w:val="clear" w:color="auto" w:fill="auto"/>
            <w:vAlign w:val="center"/>
          </w:tcPr>
          <w:p>
            <w:pPr>
              <w:spacing w:line="360" w:lineRule="auto"/>
              <w:jc w:val="center"/>
              <w:rPr>
                <w:rFonts w:ascii="仿宋" w:hAnsi="仿宋" w:eastAsia="仿宋"/>
                <w:color w:val="000000" w:themeColor="text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562"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5</w:t>
            </w:r>
          </w:p>
        </w:tc>
        <w:tc>
          <w:tcPr>
            <w:tcW w:w="1985" w:type="dxa"/>
            <w:shd w:val="clear" w:color="auto" w:fill="auto"/>
            <w:vAlign w:val="center"/>
          </w:tcPr>
          <w:p>
            <w:pPr>
              <w:spacing w:line="320" w:lineRule="exact"/>
              <w:jc w:val="center"/>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甲供材料、设备类合同</w:t>
            </w:r>
          </w:p>
        </w:tc>
        <w:tc>
          <w:tcPr>
            <w:tcW w:w="4678" w:type="dxa"/>
            <w:vMerge w:val="continue"/>
            <w:shd w:val="clear" w:color="auto" w:fill="auto"/>
            <w:vAlign w:val="center"/>
          </w:tcPr>
          <w:p>
            <w:pPr>
              <w:spacing w:line="360" w:lineRule="auto"/>
              <w:jc w:val="center"/>
              <w:rPr>
                <w:rFonts w:ascii="仿宋" w:hAnsi="仿宋" w:eastAsia="仿宋"/>
                <w:color w:val="000000" w:themeColor="text1"/>
                <w:szCs w:val="21"/>
                <w14:textFill>
                  <w14:solidFill>
                    <w14:schemeClr w14:val="tx1"/>
                  </w14:solidFill>
                </w14:textFill>
              </w:rPr>
            </w:pPr>
          </w:p>
        </w:tc>
        <w:tc>
          <w:tcPr>
            <w:tcW w:w="1495" w:type="dxa"/>
            <w:vMerge w:val="continue"/>
            <w:shd w:val="clear" w:color="auto" w:fill="auto"/>
            <w:vAlign w:val="center"/>
          </w:tcPr>
          <w:p>
            <w:pPr>
              <w:spacing w:line="360" w:lineRule="auto"/>
              <w:jc w:val="center"/>
              <w:rPr>
                <w:rFonts w:ascii="仿宋" w:hAnsi="仿宋" w:eastAsia="仿宋"/>
                <w:color w:val="000000" w:themeColor="text1"/>
                <w:szCs w:val="21"/>
                <w14:textFill>
                  <w14:solidFill>
                    <w14:schemeClr w14:val="tx1"/>
                  </w14:solidFill>
                </w14:textFill>
              </w:rPr>
            </w:pPr>
          </w:p>
        </w:tc>
      </w:tr>
    </w:tbl>
    <w:p>
      <w:pPr>
        <w:spacing w:before="72" w:beforeLines="30" w:after="72" w:afterLines="30" w:line="360" w:lineRule="auto"/>
        <w:ind w:firstLine="420" w:firstLineChars="200"/>
        <w:jc w:val="left"/>
        <w:rPr>
          <w:rFonts w:ascii="仿宋" w:hAnsi="仿宋" w:eastAsia="仿宋"/>
          <w:bCs/>
          <w:color w:val="000000" w:themeColor="text1"/>
          <w:szCs w:val="21"/>
          <w14:textFill>
            <w14:solidFill>
              <w14:schemeClr w14:val="tx1"/>
            </w14:solidFill>
          </w14:textFill>
        </w:rPr>
      </w:pPr>
      <w:r>
        <w:rPr>
          <w:rFonts w:hint="eastAsia" w:ascii="仿宋" w:hAnsi="仿宋" w:eastAsia="仿宋"/>
          <w:bCs/>
          <w:color w:val="000000" w:themeColor="text1"/>
          <w:szCs w:val="21"/>
          <w14:textFill>
            <w14:solidFill>
              <w14:schemeClr w14:val="tx1"/>
            </w14:solidFill>
          </w14:textFill>
        </w:rPr>
        <w:t>注：上表分类的具体合同详合同相关附件。</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5</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工程管理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5.1总承包人对专业承包工程实施总包服务管理及协调，发包人按合同规定向总承包人支付总承包管理、施工配合及协调费。</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5.2总承包人对各专业承包工程承担服务、管理及协调义务。专业承包人及专业分包人任何违约行为或疏忽导致工程损害或给发包人造成其它损失，由于总承包人管理不力的，总承包人承担相应的责任。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5.3各专业承包人及专业分包人不得在未得到发包人及总承包人同意前对其负责施工的专业承包工程全部或部分分包或转包，否则相应专业承包人及专业分包人将承担责任。</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6</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总承包人一般义务</w:t>
      </w:r>
    </w:p>
    <w:p>
      <w:pPr>
        <w:spacing w:line="360" w:lineRule="auto"/>
        <w:ind w:firstLine="422" w:firstLineChars="200"/>
        <w:rPr>
          <w:rFonts w:ascii="仿宋" w:hAnsi="仿宋" w:eastAsia="仿宋"/>
          <w:b/>
          <w:bCs/>
          <w:color w:val="000000" w:themeColor="text1"/>
          <w:szCs w:val="21"/>
          <w14:textFill>
            <w14:solidFill>
              <w14:schemeClr w14:val="tx1"/>
            </w14:solidFill>
          </w14:textFill>
        </w:rPr>
      </w:pPr>
      <w:r>
        <w:rPr>
          <w:rFonts w:hint="eastAsia" w:ascii="仿宋" w:hAnsi="仿宋" w:eastAsia="仿宋"/>
          <w:b/>
          <w:bCs/>
          <w:color w:val="000000" w:themeColor="text1"/>
          <w:szCs w:val="21"/>
          <w14:textFill>
            <w14:solidFill>
              <w14:schemeClr w14:val="tx1"/>
            </w14:solidFill>
          </w14:textFill>
        </w:rPr>
        <w:t>6.1 施工组织设计的提交和确认</w:t>
      </w:r>
    </w:p>
    <w:p>
      <w:pPr>
        <w:spacing w:line="360" w:lineRule="auto"/>
        <w:ind w:firstLine="420" w:firstLineChars="200"/>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6.1.1.承包人应于收到总监理工程师的进场通知后7天内向总监理工程师提交一式五份的项目及单位工程的施工组织设计。</w:t>
      </w:r>
    </w:p>
    <w:p>
      <w:pPr>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承包人提交的施工组织设计应当载明如下内容（包括但不限于）：</w:t>
      </w:r>
    </w:p>
    <w:p>
      <w:pPr>
        <w:numPr>
          <w:ilvl w:val="0"/>
          <w:numId w:val="8"/>
        </w:numPr>
        <w:adjustRightInd w:val="0"/>
        <w:snapToGrid w:val="0"/>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工程概况</w:t>
      </w:r>
    </w:p>
    <w:p>
      <w:pPr>
        <w:numPr>
          <w:ilvl w:val="0"/>
          <w:numId w:val="8"/>
        </w:numPr>
        <w:adjustRightInd w:val="0"/>
        <w:snapToGrid w:val="0"/>
        <w:spacing w:line="360" w:lineRule="auto"/>
        <w:rPr>
          <w:rFonts w:ascii="仿宋" w:hAnsi="仿宋" w:eastAsia="仿宋"/>
          <w:color w:val="000000" w:themeColor="text1"/>
          <w:kern w:val="0"/>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施工现场组织机构（质量、安全、进度管理机构及职责）</w:t>
      </w:r>
    </w:p>
    <w:p>
      <w:pPr>
        <w:numPr>
          <w:ilvl w:val="0"/>
          <w:numId w:val="8"/>
        </w:numPr>
        <w:adjustRightInd w:val="0"/>
        <w:snapToGrid w:val="0"/>
        <w:spacing w:line="360" w:lineRule="auto"/>
        <w:ind w:left="0" w:firstLine="420" w:firstLineChars="200"/>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各分部分项工程完整的施工方案（包括施工准备、施工工序总体安排、主要工序和特殊工序的施工方法和施工效率估计，潜在问题的分析、工程成本的控制措施为控制成本，提高效益，拟采取的措施）；</w:t>
      </w:r>
    </w:p>
    <w:p>
      <w:pPr>
        <w:numPr>
          <w:ilvl w:val="0"/>
          <w:numId w:val="8"/>
        </w:numPr>
        <w:adjustRightInd w:val="0"/>
        <w:snapToGrid w:val="0"/>
        <w:spacing w:line="360" w:lineRule="auto"/>
        <w:ind w:left="0" w:firstLine="420" w:firstLineChars="200"/>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施工资源投入计划，包括：机械设备进场计划、工程材料和物料进场及仓储计划、施工人员进场计划等；</w:t>
      </w:r>
    </w:p>
    <w:p>
      <w:pPr>
        <w:numPr>
          <w:ilvl w:val="0"/>
          <w:numId w:val="8"/>
        </w:numPr>
        <w:adjustRightInd w:val="0"/>
        <w:snapToGrid w:val="0"/>
        <w:spacing w:line="360" w:lineRule="auto"/>
        <w:ind w:left="0" w:firstLine="420" w:firstLineChars="200"/>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施工现场平面布置图（包括施工道路平面图、各种临时设施、施工用水、监控设施、施工机具、材料构配件存放位置）；</w:t>
      </w:r>
    </w:p>
    <w:p>
      <w:pPr>
        <w:numPr>
          <w:ilvl w:val="0"/>
          <w:numId w:val="8"/>
        </w:numPr>
        <w:adjustRightInd w:val="0"/>
        <w:snapToGrid w:val="0"/>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季节性施工措施；</w:t>
      </w:r>
    </w:p>
    <w:p>
      <w:pPr>
        <w:numPr>
          <w:ilvl w:val="0"/>
          <w:numId w:val="8"/>
        </w:numPr>
        <w:adjustRightInd w:val="0"/>
        <w:snapToGrid w:val="0"/>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地下管线及其他地下设施的处理措施；</w:t>
      </w:r>
    </w:p>
    <w:p>
      <w:pPr>
        <w:numPr>
          <w:ilvl w:val="0"/>
          <w:numId w:val="8"/>
        </w:numPr>
        <w:adjustRightInd w:val="0"/>
        <w:snapToGrid w:val="0"/>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保证工期、质量的措施；</w:t>
      </w:r>
    </w:p>
    <w:p>
      <w:pPr>
        <w:numPr>
          <w:ilvl w:val="0"/>
          <w:numId w:val="8"/>
        </w:numPr>
        <w:adjustRightInd w:val="0"/>
        <w:snapToGrid w:val="0"/>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保证安全生产、文明施工、减少扰民，且满足环境保护要求的措施；</w:t>
      </w:r>
    </w:p>
    <w:p>
      <w:pPr>
        <w:numPr>
          <w:ilvl w:val="0"/>
          <w:numId w:val="8"/>
        </w:numPr>
        <w:adjustRightInd w:val="0"/>
        <w:snapToGrid w:val="0"/>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妥善处理与相邻施工作业现场关系的措施；</w:t>
      </w:r>
    </w:p>
    <w:p>
      <w:pPr>
        <w:numPr>
          <w:ilvl w:val="0"/>
          <w:numId w:val="8"/>
        </w:numPr>
        <w:adjustRightInd w:val="0"/>
        <w:snapToGrid w:val="0"/>
        <w:spacing w:line="360" w:lineRule="auto"/>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其他与工程施工有关的管理方案、措施。</w:t>
      </w:r>
    </w:p>
    <w:p>
      <w:pPr>
        <w:spacing w:line="360" w:lineRule="auto"/>
        <w:ind w:firstLine="420" w:firstLineChars="200"/>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6.1.2</w:t>
      </w:r>
      <w:r>
        <w:rPr>
          <w:rFonts w:hint="eastAsia" w:ascii="仿宋" w:hAnsi="仿宋" w:eastAsia="仿宋"/>
          <w:color w:val="000000" w:themeColor="text1"/>
          <w:szCs w:val="21"/>
          <w:u w:val="single"/>
          <w14:textFill>
            <w14:solidFill>
              <w14:schemeClr w14:val="tx1"/>
            </w14:solidFill>
          </w14:textFill>
        </w:rPr>
        <w:t>总监理工程师和发包人在接到承包人提交的施工组织设计和工程进度计划后7天内予以确认或提出修改意见（总监理工程师在4天内审核并签署意见，发包人在3天内审核并签署意见）</w:t>
      </w:r>
      <w:r>
        <w:rPr>
          <w:rFonts w:hint="eastAsia" w:ascii="仿宋" w:hAnsi="仿宋" w:eastAsia="仿宋"/>
          <w:color w:val="000000" w:themeColor="text1"/>
          <w:szCs w:val="21"/>
          <w14:textFill>
            <w14:solidFill>
              <w14:schemeClr w14:val="tx1"/>
            </w14:solidFill>
          </w14:textFill>
        </w:rPr>
        <w:t>。逾期既不确认，也不提出书面意见的视为同意，但如遇到重大或技术复杂、难度大的施工方案（如深基坑支护及高支模等施工方案），则应按政府有关规定召开专家评审会评审。</w:t>
      </w:r>
    </w:p>
    <w:p>
      <w:pPr>
        <w:adjustRightInd w:val="0"/>
        <w:snapToGrid w:val="0"/>
        <w:spacing w:line="360" w:lineRule="auto"/>
        <w:ind w:left="424" w:leftChars="202"/>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w:t>
      </w:r>
      <w:r>
        <w:rPr>
          <w:rFonts w:ascii="仿宋" w:hAnsi="仿宋" w:eastAsia="仿宋"/>
          <w:color w:val="000000" w:themeColor="text1"/>
          <w:szCs w:val="21"/>
          <w14:textFill>
            <w14:solidFill>
              <w14:schemeClr w14:val="tx1"/>
            </w14:solidFill>
          </w14:textFill>
        </w:rPr>
        <w:t>.2 配合发包人项目管理的要求</w:t>
      </w:r>
    </w:p>
    <w:p>
      <w:pPr>
        <w:pStyle w:val="52"/>
        <w:ind w:firstLine="420"/>
        <w:rPr>
          <w:rFonts w:ascii="仿宋" w:hAnsi="仿宋" w:eastAsia="仿宋"/>
          <w:color w:val="000000" w:themeColor="text1"/>
          <w:kern w:val="2"/>
          <w:szCs w:val="21"/>
          <w14:textFill>
            <w14:solidFill>
              <w14:schemeClr w14:val="tx1"/>
            </w14:solidFill>
          </w14:textFill>
        </w:rPr>
      </w:pPr>
      <w:r>
        <w:rPr>
          <w:rFonts w:ascii="仿宋" w:hAnsi="仿宋" w:eastAsia="仿宋"/>
          <w:color w:val="000000" w:themeColor="text1"/>
          <w:kern w:val="2"/>
          <w:szCs w:val="21"/>
          <w14:textFill>
            <w14:solidFill>
              <w14:schemeClr w14:val="tx1"/>
            </w14:solidFill>
          </w14:textFill>
        </w:rPr>
        <w:t>6.2.1</w:t>
      </w:r>
      <w:r>
        <w:rPr>
          <w:rFonts w:hint="eastAsia" w:ascii="仿宋" w:hAnsi="仿宋" w:eastAsia="仿宋"/>
          <w:color w:val="000000" w:themeColor="text1"/>
          <w:kern w:val="2"/>
          <w:szCs w:val="21"/>
          <w14:textFill>
            <w14:solidFill>
              <w14:schemeClr w14:val="tx1"/>
            </w14:solidFill>
          </w14:textFill>
        </w:rPr>
        <w:t>承包人须遵守及执行发包人地工程管理部在项目实施期间实施的技术标准化、管理工作标准化、质量可视化、质量检查管理标准、第三方质量安全评估、四新技术的推、工程管理信息化等所有相关管控制度并接受相应的奖罚规定</w:t>
      </w:r>
      <w:r>
        <w:rPr>
          <w:rFonts w:ascii="仿宋" w:hAnsi="仿宋" w:eastAsia="仿宋"/>
          <w:color w:val="000000" w:themeColor="text1"/>
          <w:kern w:val="2"/>
          <w:szCs w:val="21"/>
          <w14:textFill>
            <w14:solidFill>
              <w14:schemeClr w14:val="tx1"/>
            </w14:solidFill>
          </w14:textFill>
        </w:rPr>
        <w:t>。</w:t>
      </w:r>
    </w:p>
    <w:p>
      <w:pPr>
        <w:pStyle w:val="52"/>
        <w:ind w:firstLine="420"/>
        <w:rPr>
          <w:rFonts w:ascii="仿宋" w:hAnsi="仿宋" w:eastAsia="仿宋"/>
          <w:color w:val="000000" w:themeColor="text1"/>
          <w:kern w:val="2"/>
          <w:szCs w:val="21"/>
          <w14:textFill>
            <w14:solidFill>
              <w14:schemeClr w14:val="tx1"/>
            </w14:solidFill>
          </w14:textFill>
        </w:rPr>
      </w:pPr>
      <w:r>
        <w:rPr>
          <w:rFonts w:hint="eastAsia" w:ascii="仿宋" w:hAnsi="仿宋" w:eastAsia="仿宋"/>
          <w:color w:val="000000" w:themeColor="text1"/>
          <w:kern w:val="2"/>
          <w:szCs w:val="21"/>
          <w14:textFill>
            <w14:solidFill>
              <w14:schemeClr w14:val="tx1"/>
            </w14:solidFill>
          </w14:textFill>
        </w:rPr>
        <w:t>6.2.2承包人须遵守及执行发包人工程管理部实行的工程启动会、方案评审、工程巡检、飞检的相关管理要求及接受相应的奖罚规定。</w:t>
      </w:r>
    </w:p>
    <w:p>
      <w:pPr>
        <w:pStyle w:val="52"/>
        <w:ind w:firstLine="420"/>
        <w:rPr>
          <w:rFonts w:ascii="仿宋" w:hAnsi="仿宋" w:eastAsia="仿宋"/>
          <w:color w:val="000000" w:themeColor="text1"/>
          <w:kern w:val="2"/>
          <w:szCs w:val="21"/>
          <w14:textFill>
            <w14:solidFill>
              <w14:schemeClr w14:val="tx1"/>
            </w14:solidFill>
          </w14:textFill>
        </w:rPr>
      </w:pPr>
      <w:r>
        <w:rPr>
          <w:rFonts w:hint="eastAsia" w:ascii="仿宋" w:hAnsi="仿宋" w:eastAsia="仿宋"/>
          <w:color w:val="000000" w:themeColor="text1"/>
          <w:kern w:val="2"/>
          <w:szCs w:val="21"/>
          <w14:textFill>
            <w14:solidFill>
              <w14:schemeClr w14:val="tx1"/>
            </w14:solidFill>
          </w14:textFill>
        </w:rPr>
        <w:t>6.2.3承包人须遵守及执行发包人工程管理部实行的样板管理制度、两点一线、读图讲图等相关管理要求及接受相应的奖罚规定。</w:t>
      </w:r>
    </w:p>
    <w:p>
      <w:pPr>
        <w:pStyle w:val="52"/>
        <w:ind w:firstLine="420"/>
        <w:rPr>
          <w:rFonts w:ascii="仿宋" w:hAnsi="仿宋" w:eastAsia="仿宋"/>
          <w:color w:val="000000" w:themeColor="text1"/>
          <w:szCs w:val="21"/>
          <w14:textFill>
            <w14:solidFill>
              <w14:schemeClr w14:val="tx1"/>
            </w14:solidFill>
          </w14:textFill>
        </w:rPr>
      </w:pPr>
      <w:r>
        <w:rPr>
          <w:rFonts w:ascii="仿宋" w:hAnsi="仿宋" w:eastAsia="仿宋"/>
          <w:color w:val="000000" w:themeColor="text1"/>
          <w:szCs w:val="21"/>
          <w14:textFill>
            <w14:solidFill>
              <w14:schemeClr w14:val="tx1"/>
            </w14:solidFill>
          </w14:textFill>
        </w:rPr>
        <w:t>6.2.4</w:t>
      </w:r>
      <w:r>
        <w:rPr>
          <w:rFonts w:hint="eastAsia" w:ascii="仿宋" w:hAnsi="仿宋" w:eastAsia="仿宋"/>
          <w:color w:val="000000" w:themeColor="text1"/>
          <w:kern w:val="2"/>
          <w:szCs w:val="21"/>
          <w14:textFill>
            <w14:solidFill>
              <w14:schemeClr w14:val="tx1"/>
            </w14:solidFill>
          </w14:textFill>
        </w:rPr>
        <w:t>承包人</w:t>
      </w:r>
      <w:r>
        <w:rPr>
          <w:rFonts w:hint="eastAsia" w:ascii="仿宋" w:hAnsi="仿宋" w:eastAsia="仿宋"/>
          <w:color w:val="000000" w:themeColor="text1"/>
          <w:szCs w:val="21"/>
          <w14:textFill>
            <w14:solidFill>
              <w14:schemeClr w14:val="tx1"/>
            </w14:solidFill>
          </w14:textFill>
        </w:rPr>
        <w:t>须遵守及执行发包人发布的其他管理制度、并积极配合发包人的供方评估，评估中发现的问题承包方须积极改进。</w:t>
      </w:r>
    </w:p>
    <w:p>
      <w:pPr>
        <w:adjustRightInd w:val="0"/>
        <w:snapToGrid w:val="0"/>
        <w:spacing w:line="360" w:lineRule="auto"/>
        <w:ind w:left="424" w:leftChars="202"/>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6.4施工场地</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6.4.1本项目位于</w:t>
      </w:r>
      <w:r>
        <w:rPr>
          <w:rFonts w:hint="eastAsia" w:ascii="仿宋" w:hAnsi="仿宋" w:eastAsia="仿宋"/>
          <w:color w:val="000000" w:themeColor="text1"/>
          <w:szCs w:val="21"/>
          <w:u w:val="single"/>
          <w14:textFill>
            <w14:solidFill>
              <w14:schemeClr w14:val="tx1"/>
            </w14:solidFill>
          </w14:textFill>
        </w:rPr>
        <w:t>广州市白云区</w:t>
      </w:r>
      <w:r>
        <w:rPr>
          <w:rFonts w:hint="eastAsia" w:ascii="仿宋" w:hAnsi="仿宋" w:eastAsia="仿宋"/>
          <w:color w:val="000000" w:themeColor="text1"/>
          <w:szCs w:val="21"/>
          <w14:textFill>
            <w14:solidFill>
              <w14:schemeClr w14:val="tx1"/>
            </w14:solidFill>
          </w14:textFill>
        </w:rPr>
        <w:t>，场地内施工、办公区域由施工单位按实际情况考虑，本项目严禁在用地红线内设置生活区。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6.4.2在施工作业区内，各专业承包人及专业分包人进场施工前，应向总承包人提供其施工机械及材料堆放所需场地面积、部位等要求，以便于总承包人合理安排施工作业区场地。对于作业区内临建设施，总承包人应统一规划，统一布置，对作业区现场容貌进行管理，不得私自乱搭临建。总承包人负责施工作业区文明施工、安全生产管理，并自觉接受监理工程师的监督和协调管理。</w:t>
      </w:r>
    </w:p>
    <w:p>
      <w:pPr>
        <w:spacing w:line="360" w:lineRule="auto"/>
        <w:ind w:firstLine="420" w:firstLineChars="200"/>
        <w:jc w:val="left"/>
        <w:rPr>
          <w:rFonts w:ascii="仿宋" w:hAnsi="仿宋" w:eastAsia="仿宋"/>
          <w:color w:val="000000" w:themeColor="text1"/>
          <w:szCs w:val="21"/>
          <w:u w:val="single"/>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6.4.3项目管理部办公区、公共区域的防盗保安、门卫、日常保洁、卫生清洁等工作亦统一由总承包人管理。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6.4.4总包于工地入口提供通行管制设备，系统同时要包含可以替所有工人制作、发出身份辨别卡及附有软件/硬件用于保持可供查核全部曾经到场人士的记录，也能在劳资争议时协助核实在工地实际工作时数，系统必须由一个有旋转栏杆装置的出入口，电子读卡器与掌印校对器合并组成，所有工人均发给一张身份辨别卡，使系统能够识别期间他们出入工地的情况。</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6.5施工临时道路</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总承包人应协调各专业承包人及专业分包人的施工顺序、设备、材料进场时间、车辆流量控制，以确保现场施工道路畅通。总承包人负责施工临时道路的修筑和使用期间的维修和保养。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6.6施工用水、用电</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6.6.1总承包人应保证施工期间现场水、电的正常使用，各级施工用电电箱负荷及水压均需确保满足施工要求。水电使用人包括但不限于总承包人及其分包人、发包人指定的各专业承包人、暂估价专业分包人、第三方检测与监测单位、材料设备安装供应商等。现场施工用的水电费已由发包人支付给总承包人，各专业分包人、各专业承包人不需再向总承包人支付水电费。生活区的水电费由各专业分包人、各专业承包人向总承包人支付。</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6.6.2总承包人应在每个施工（区域）楼层开设供水龙头，以便于各专业承包人及专业分包人用水方便。</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6.6.3总承包人必要时有义务为专业承包人及专业分包人提供超高加压水泵，同时委派专人管理。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6.6.4总承包人统一为项目施工现场（楼层及室外）配备满足施工需求的二级配电箱及水电接驳点，以确保各专业承包人及专业分包人用电方便。“塔楼每层1个，裙楼和地下室每2000平方米1个，且各专业分包接电路径不大于30米，否则总承包方须负责增加该范围的二级配电箱。</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6.6.5检测与监测等第三方中介服务机构受发包人委托在现场提供服务所需的水电费用，应由总承包人免费提供给第三方中介服务机构，且相关费用已包含在总承包服务与管理费内。</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6.7垃圾清运</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各专业承包人及专业分包人应做好各自作业区内的废弃物与垃圾的整理工作。建筑废弃物与垃圾由各专业承包人及专业分包人按总承包人的要求集中到一层指定地点，由总承包人统一外运（总承包人退场后由各专业承包人及专业分包人负责建筑废弃物与垃圾外运）。</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6.8安全设施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6.8.1总承包人必须在施工临时道路入口处设置安全警示牌、限速等标志，保证场内交通畅通、安全；在靠近场地的主要施工地段要设置安全警示栏杆或者标志。</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6.8.2总承包人必须在“四口、五临边”位置按招标文件及省、市有关文件要求做好安全防护工作，如设置安全设施、安全围网、围板和警示标志等。各专业承包人及专业分包人如施工需要须提前拆除时，必须经总承包人批准，并由总承包人采取有效的补救措施，专业承包人及专业分包人必须配合。</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6.8.3井架、塔吊等垂直运输工具</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总承包人应向各专业承包人及专业分包人提供井架、塔吊等垂直运输装置和机械，包括机架人员的操作，但进出垂直运输工具的装卸或工作由专业承包人及专业分包人自行负责。</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6.8.4现场施工管理及协调</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必须安排对各专业承包工程有相关工作经验的现场技术人员负责协调及管理各有关专业承包工程,包括安排必须的工地协调会议,以协调各专业承包工程与总承包工程的工作界面、争议和冲突，配合整体施工进度，并监督各专业工程的施工，以保证专业承包工程的质量能满足要求。</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6.8.5施工脚手架、排栅</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6.8.6在施工脚手架、排栅尚未拆除前，总承包人应向各专业承包人及专业分包人无条件地提供现有的施工脚手架、排栅和现成的爬梯等设施使用，并保证上述设施使用过程的安全。</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6.8.7总承包人搭设脚手架时应协调各专业承包人及专业分包人的施工需要及进度，满足各专业承包人及专业分包人的合理要求。</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6.8.8虽经总承包人充分协调，但如专业承包人及专业分包人因自身原因未能按工程整体进度计划要求，在总承包人拆除脚手架、排栅前进行相应工程施工，需要总承包人推迟拆除日期或另行搭设脚手架、排栅的，总承包人有权要求相应专业承包人及专业分包人支付相应费用。</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6.9轴线与标高、施工收口处理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有义务为各专业承包人及专业分包人提供轴线和标高的控制点，包括在每层及必要的位置设有标高控制线，以供各专业承包人及专业分包人做施工定位和高程使用。待各专业承包人及专业分包人施工完毕后，由总承包人负责最后一道工序施工收口处理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6.10总承包人应认真执行上述各项规定，并对执行情况进行检查、监督和管理，如专业承包人及专业分包人违反了本办法有关规定而总承包人无及时发现、指出并采取相应管理措施的，且对此工程造成任何损失，总承包人应承担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6.11专业承包人及专业分包人必须按规定要求提交工程技术资料，总承包人对专业承包人及专业分包人的相关技术资料进行归档备案管理。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6.12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总承包人对专业承包人及专业分包人的具体配合服务内容可参见本管理办法附件。</w:t>
      </w:r>
    </w:p>
    <w:p>
      <w:pPr>
        <w:spacing w:before="72" w:beforeLines="30" w:after="72" w:afterLines="30" w:line="360" w:lineRule="auto"/>
        <w:ind w:firstLine="482" w:firstLineChars="200"/>
        <w:jc w:val="left"/>
        <w:rPr>
          <w:rFonts w:ascii="仿宋" w:hAnsi="仿宋" w:eastAsia="仿宋"/>
          <w:b/>
          <w:bCs/>
          <w:color w:val="000000" w:themeColor="text1"/>
          <w:szCs w:val="21"/>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7</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专业承包人及专业分包人一般义务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7.1专业承包人及专业分包人要接受总承包人的管理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专业承包人及专业分包人必须满足发包人与总承包人所签订的施工协议管理要求，在工期、质量、安全、现场文明施工等方面接受总承包人的管理和协调。若因专业承包人及专业分包人的原因引至总承包人需向发包人对整体工程的延误或专业承包工程的施工质量承担违约责任，专业承包人及专业分包人需向总承包人赔偿因其引至的损失。</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7.2进入现场施工的必备条件</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7.2.1提交由发包人确认为专业承包人及专业分包人的证明文件。</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7.2.2中标通知书（或具有同等效力的暂行施工协议）。</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7.2.3专业承包人及专业分包人的营业执照及资质等级证书复印件。</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7.2.4提交分专业承包工程的“施工组织方案”，包括：</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 专业承包人及专业分包人简介。</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(2)专业承包工程施工进度计划。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(3)主要技术措施方案。</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(4)质量保证措施。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(5)安全保证措施。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(6)材料设备进场计划。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(7)劳动力进场计划。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(8)提供专业承包人及专业分包人施工经验及业绩。</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(9)提供专业承包人及专业分包人施工组织体系简况。</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7.2.5按专业工程承包合同约定做好专业承包工程保险等事宜。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7.3质量管理基本义务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7.3.1对工程作业人员进行工艺过程技术交底，并做好交底记录。</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7.3.2实施有关质量检验的规定，并做好质量检验记录。</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7.3.3对工序间的技术接口实行交接手续。</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7.3.4提供原材料、半成品、成品的产品合格证及质保书。</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7.3.5做好不合格品处理的记录及纠正和预防措施工作。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7.3.6加强成品保护。</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7.3.7认真做好本专业承包工程的验收交付工作。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7.3.8按合同规定做好本专业承包工程的回访保修工作。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7.3.9发生质量事故时，必须及时向总承包人报告，并作出事故分析调查及善后处理意见。</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7.4进度管理基本义务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7.4.1编制施工进度计划，包括：</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(1)编制施工方案，明确施工区域的划分，施工顺序与施工流向，以及作业方式，同时明确承包人法和施工队伍的组织架构。</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(2)编制科学、合理、且可行的施工项目进度计划，以保证项目施工的均衡进行。</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(3)编制资源供应计划，包括物料供应计划、机械设备的进场计划、劳务计划等。</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(4)编制图纸优化及供应计划。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7.4.2执行月报制度</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(1)按每月20日向总承包人报告本分包工程的执行情况。</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(2)提交月度施工作业计划。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(3)提交各种资源与进度配合调度情况。</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7.4.3顾全大局，主动做好协调工作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(1)参加有关现场工作协调会议，积极支持和配合总承包人做好工作协调。</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(2)及时根据总承包人工作安排主动调整进度计划。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(3)在进度上有任何提前及延误应及时向总承包人报告。</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(4)专业承包人及专业分包人有权向总承包人提出工程协调的建议，总承包人应在规定的时间内作出回复和解决。</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7.5安全、消防、现场标准化管理等的基本义务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7.5.1遵守各种安全生产规程与规定：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(1)遵守国家、省、市政府、主管部门颁布的安全生产规程与规定，以及发包人向总承包人提出的各种安全生产规定。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(2)结合工程项目实际，识别和评价危险源，必要时指定管理方案，并认真实施。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(3)接受总承包人的安全交底及部署。</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(4)完善和健全安全管理各种台帐，强化安全资料工作。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(5)开展安全教育工作，做好分部（分项）工程技术安全交底工作。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(6)特殊工种必须持证上岗，复印件汇总后报总承包人检查备案。</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(7)专业承包人及专业分包人有义务保护现场各项安全、消防设施得完好，如施工脚手架、临边护栏及消防器材等，不得擅自变更及增加施工荷载。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必须接受总承包人的安全监控，参与工地的各项安全、消防检查工作，并落实有关整改事宜。专业承包人及专业分包人的整改工作若不能达到有关安全、消防管理标准（或不能及时达到要求的），经监理工程师核准，总承包人可以协助专业承包人及专业分包人予以整改，其发生的人工、机械、材料等一切相关费用将由专业承包人及专业分包人承担。</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专业承包人及专业分包人的所属人员，在作业过程中发生各类违章作业，总承包人应该并根据情节轻重、危害程度等具体情况或有关规定予以劝阻警告，情节严重者，监理工程师及发包人根据有关规定责令停工整顿直至退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(10)发生安全事故时，必须及时向总承包人报告，并作出事故分析调查及善后处理意见。</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7.5.2做好消防与治安管理工作。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(1)开展消防与治安的教育工作。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(2)配合总承包人、政府主管部门做好治安管理工作。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7.5.3做好现场标准化管理工作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(1)各专业承包人及专业分包人进场施工前应根据总承包人制定的施工场地划分设计施工场地平面布置图，经总承包人审核同意后执行，实施“定置”管理。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(2)按总承包人要求做好场容场貌管理工作，废弃物与垃圾应按总承包人的要求集中到指定地点。</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(3)遵守文明施工的有关规定，维护安全防护设施的完好。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(4)保持工地卫生、文明，努力做好宿舍内卫生工作。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7.6进场材料管理的基本义务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7.6.1各专业承包人及专业分包人应指定专人负责对进场所需材料的管理，并服从总承包人关于进场材料管理方面的要求。</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7.6.2专业承包人及专业分包人提供材料（包括乙供材料、甲招乙供材料或甲供材料）进场的总计划，并提供月度材料进场计划。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7.6.3进场材料的流转程序：专业承包人及专业分包人各种进场材料必须在10天前按总承包人规定的要求，向总承包人提出申请，待总承包人批复后再执行。总承包人必须在2天内办理批复。</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7.6.4材料进场后，总承包人向专业承包人及专业分包人应提供必要的协助。</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7.7劳动力管理基本义务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7.7.1各专业承包人及专业分包人有责任约束所有员工遵守政府部门发布的有关政府、法律、法规、发包人的各项规章制度，以及施工现场的各项管理规定，确保现场文明施工有序进行。</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7.7.2专业承包人及专业分包人应将进入现场的施工人员名单及照片向总承包人申报。</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7.7.3专业承包人及专业分包人必须向总承包人提供劳务人员的身份证复印件，特殊工种的相应操作证及上岗证。</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对上述专业承包人及专业分包人的一般义务，总承包人应采取有效措施督促其执行，并监督其执行情况，对专业承包人及专业分包人违反上述有关规定的行为实际发生的，属自主分包项目的，总承包人承担全部违约责任，属专业承包项目，总承包人承担法定的连带责任。</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8</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施工现场管理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总承包人必须对专业承包人及专业分包人承担总体管理的义务和责任。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8.1施工总平面布置</w:t>
      </w:r>
    </w:p>
    <w:p>
      <w:pPr>
        <w:numPr>
          <w:ilvl w:val="2"/>
          <w:numId w:val="9"/>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总平面布置原则</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(1)在满足施工需要的前提下，尽量紧凑合理，不用（或少用）施工用地；</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(2)保证场内施工道路畅通；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(3)科学确定施工区域内要满足方便生产，有利于生活，安全防火，环境保护和劳动保护要求；</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(4)各项施工设施布置要满足方便生产，有利于生活，安全防火，环境保护和劳动保护要求；</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(5)将生产性和生活性设施分开布置。</w:t>
      </w:r>
    </w:p>
    <w:p>
      <w:pPr>
        <w:numPr>
          <w:ilvl w:val="2"/>
          <w:numId w:val="9"/>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总平面布置依据</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(1)建筑设计总平面图、基础施工平面、建筑立面图；</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(2)施工组织总设计；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(3)有关施工规范、规程及地区建设工程文明施工标准；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(4)施工总平面具体布置及做法；</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(5)发包人提供的用地范围，水电接驳头位置，所有建筑物外的施工场地，包括生活区场地道路必须硬地化。</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8.2施工总平面管理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8.2.1</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施工临时道路管理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根据投标文件承诺及招标文件、合同规定，满足施工过程中各种车辆、大型机械运输的通畅运行，满足安全文明施工的正常需要。施工临时道路包括施工标段内各拟建建筑物之间、拟建建筑物与施工临时设施之间，及珠江新城现有道路与正在施工中道路之间的施工连接通道，施工临时道路必须硬地化，道路两旁设满足施工需求的临时排水设施。并按批准的施工组织总设计的施工总平面图布置要求布置施工临时道路；</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(2)设专人负责道路的清洁、障碍清除维修保养工作，保持道路清洁、畅通，保证环境卫生，预防空气污染和环境污染；</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(3)专业承包人及专业分包人的大型构件场内运输和卸货必须由专业承包人及专业分包人向总承包人申请，由总承包人统筹安排；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为保证总承包人、各专业承包人及专业分包人施工人员、管理人员、专项供应商、监理工程师、材料供应监理、发包人以及省市政府有关领导和职能部门人员方便、安全地到达各作业区域，总承包人负责全部施工作业通道的搭设、维护和管理工作。总承包人在自身及各专业承包人及专业分包人施工方案时应有相应的措施，保证施工通道有显着标志、无建筑垃圾、有良好的采光或照明、易于行走、安全措施可靠，总承包人应每天巡视检查，对于不符合要求需要整改的内容发文给相关单位或部门要求立即做出整改。总承包人在施工作业通道的管理上达不到要求的，承担全部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8.2.2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施工用水（排水）管理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总承包人需按发包人提供的可用水量和施工组织总设计、总平面布置要求，在现场布置施工用水总管线（平面、立面）和生活用水总管网，并报监理工程师和发包人批准。施工用水和生活用水分开布置；主管道要有明显的保护标志，以防以外损坏；</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(2)总承包人对工地用水，设置总、分表实行统一管理；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(3)各专业承包人及专业分包人用水必须向总承包人提出申请，并按总承包人指定的位置接驳；</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(4)总承包人对总用水管线进行日常维护管理，保证正常，连续、足量供应、保证正常施工；</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(5)总承包人做好各专业承包人及专业分包人用水管理；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(6)总承包人在施工区域设置数量足够的临时蓄水池以保证施工及消防需求；</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(7)总承包人对场内的排水（污）系统实行统一管理，定期或不定期的对各专业承包人及专业分包人施工区域和生活的排水（污）进行检查，保证排水（污）系统畅通，保护环境，防止污染河涌；</w:t>
      </w:r>
    </w:p>
    <w:p>
      <w:pPr>
        <w:numPr>
          <w:ilvl w:val="1"/>
          <w:numId w:val="0"/>
        </w:numPr>
        <w:tabs>
          <w:tab w:val="left" w:pos="540"/>
          <w:tab w:val="left" w:pos="2160"/>
          <w:tab w:val="left" w:pos="2700"/>
          <w:tab w:val="left" w:pos="2880"/>
        </w:tabs>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（8）总承包人对地下室排水系统需达到两套排水设备及排水管道（主管），在雨季及汛期能满足两套排水系统同时使用，确保已安装的设备及电梯地坑不泡水。</w:t>
      </w:r>
    </w:p>
    <w:p>
      <w:pPr>
        <w:numPr>
          <w:ilvl w:val="1"/>
          <w:numId w:val="0"/>
        </w:numPr>
        <w:tabs>
          <w:tab w:val="left" w:pos="540"/>
          <w:tab w:val="left" w:pos="2160"/>
          <w:tab w:val="left" w:pos="2700"/>
          <w:tab w:val="left" w:pos="2880"/>
        </w:tabs>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（9）当地下室开始机电安装后，需做好防洪、内涝准备工作，需常备防洪沙袋、柴油发电机、柴油抽水泵等防洪物资，并做好防洪应急预案。</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（10）确保整个项目施工期间，采取适当的防护和排水措施防止地下室和其他施工现场遭到水浸。</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8.2.3</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施工用电管理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(1)施工用电要遵守中华人民共和国建设部《施工现场临时用电安全技术规范》及《建筑施工安全检查标准》；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(2)总承包人按发包人提供的可用电量和施工组织总设计确定的电源类型和用量，根据施工需求自行铺设完善，横跨大门或道路时，高度应≥6m；</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(3)用电按生产用电和生活用电分别设置；</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(4)总承包人负责施工用电管理，在建筑物内各楼层及必要的位置设置分配电箱，以提供专业承包人施工用电接驳，专业承包人负责用电管理配合工作；不得随意拖地乱拉乱用；</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(5)各专业承包人及专业分包人向总承包人提出用电申请，并按总承包人指定位置驳接；</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(6)总承包人对施工用电线路进行日常维修管理工作，保证现场正常用电；</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(7)总承包人做好各专业承包人及专业分包人用电管理；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(8)承包人应定期或不定期的对现场用电进行检查，杜绝安全事故（隐患）的发生，杜绝乱拉乱用的现象；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(9)为确保现场正常施工，总承包人在现场配置数量、型号适合的发电机，且现场配置的发电机数量和型号应和投标文件中的承诺一致。</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8.2.4</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施工场地管理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施工场地的布置应服从发包人及监理工程师的指示。现场四周设置施工围墙、大门。原则是严谨、完整、牢固、美观大方；</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按照投标文件承诺，招标文件、合同的规定，施工现场的场地、施工临时道路保证（持）平整、坚实、畅通；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在大门两边分别设置“九板一图”；</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总承包人负责施工场地的用地安排协调管理工作，根据安全生产及文明施工规定的具体要求向专业承包人及专业分包人详细交底及部署，各专业承包人及专业分包人应协助总承包人对各自施工区域的场地做好管理配合工作，总承包人根据各专业承包工程具体情况统一划分施工场地安排；</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总承包人按主要施工机械进场安装及拆卸退场计划结合平面布置进行综合管理。</w:t>
      </w:r>
    </w:p>
    <w:p>
      <w:pPr>
        <w:tabs>
          <w:tab w:val="left" w:pos="1080"/>
          <w:tab w:val="left" w:pos="2160"/>
          <w:tab w:val="left" w:pos="2700"/>
        </w:tabs>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(6)总承包在永久通风设备、管道投入运行之前，需采用自然补风、机械排风等方式，对地下室进行通风排湿。机械换气量至少达到每小时换气两次。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8.2.5</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施工现场公共厕所、办公区管理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总承包人有义务在施工现场设置合适数量的公共厕所，公共厕所的布置必须能满足施工和办公的方便（在施工的楼层之间不少于每隔3层也应合理设置相关的公共厕所，并敷设排污管、给水管及简易照明），并严格按照有关文明施工管理规定和卫生要求派专人清扫整理，保持现场清洁。</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(2)专业承包人及专业分包人现场办公区用房、其它设施等由总承包人、专业承包人及专业分包人协商解决，水电线路接驳点由总包人提供。</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 施工现场禁止设置生活区，但总承包人有义务在施工场地外自行设置生活区并按规定进行安全文明管理。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 施工现场实行封闭管理，办公区与施工区分开管理。</w:t>
      </w:r>
    </w:p>
    <w:p>
      <w:pPr>
        <w:numPr>
          <w:ilvl w:val="3"/>
          <w:numId w:val="0"/>
        </w:numPr>
        <w:tabs>
          <w:tab w:val="left" w:pos="2160"/>
          <w:tab w:val="left" w:pos="2700"/>
          <w:tab w:val="left" w:pos="3780"/>
        </w:tabs>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（5）总承办人需定期安排施工场地灭蚊工作。</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8.3人员管理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8.3.1</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各专业承包人及专业分包人必须对进场所有施工人员进行严格的管理。各专业承包人及专业分包人必须对本单位所有进场施工人员进行登记，各自统一着装，及时上报总承包人，进行汇总并统一管理。流动人口必须持有“三证”；施工过程中发生人员流动的，必须及时更改登记记录，并将更改记录及时上报总承包人，由总承包人报知监理工程师和发包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8.3.2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各专业承包人及专业分包人必须以班组为单位在进场后3天内以及每月定期进行安全技术交底，并对交底情况进行书面记录，并由交底人签名确认。</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8.3.3</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各专业承包人及专业分包人必须对进场所属施工人员办理劳动保险等，并将有关资料报总承包人，并向进场施工人员提供符合《建筑施工安全检查标准》、《</w:t>
      </w:r>
      <w:r>
        <w:rPr>
          <w:rFonts w:hint="eastAsia" w:ascii="仿宋" w:hAnsi="仿宋" w:eastAsia="仿宋"/>
          <w:color w:val="000000" w:themeColor="text1"/>
          <w:szCs w:val="21"/>
          <w:u w:val="single"/>
          <w14:textFill>
            <w14:solidFill>
              <w14:schemeClr w14:val="tx1"/>
            </w14:solidFill>
          </w14:textFill>
        </w:rPr>
        <w:t>广州市建设工程现场文明施工管理办法》和广东省、广州市现行安全管理办法（如广州市建筑工程安全生产文明施工量化管理（暂行）办法）</w:t>
      </w:r>
      <w:r>
        <w:rPr>
          <w:rFonts w:hint="eastAsia" w:ascii="仿宋" w:hAnsi="仿宋" w:eastAsia="仿宋"/>
          <w:color w:val="000000" w:themeColor="text1"/>
          <w:szCs w:val="21"/>
          <w14:textFill>
            <w14:solidFill>
              <w14:schemeClr w14:val="tx1"/>
            </w14:solidFill>
          </w14:textFill>
        </w:rPr>
        <w:t>规定的食宿、生活和施工环境及条件。</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8.3.4</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各专业承包人及专业分包人必须对所属进场施工人员进行全天候管理。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8.3.5</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为了便于人员管理，正确识别其所属单位和身份，特制订如下制定: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(1)工号识别制定：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各专业承包人及专业分包人进场后在2天内向总承包人提交有关人员资料，内容包括公司标志的样本、所有人员的名单及初始工号，总承包人根据各专业承包人及专业分包人人员的初始工号进行统一编号。总承包人对自身人员及专业承包人及专业分包人人员进行统一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(2)工作牌制定：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建立工作牌制定，统一管理。进入现场的所有施工人员及施工管理人员必须佩带工作牌。工作牌内容包括姓名、本人近期免冠照片、所属单位、所属班组、职务、工号、工种等。总承包人通过佩带工作牌制度对全体施工人员及施工管理人员进行检查、监督和管理，对违反佩带工作牌制度和其它管理制度人员的立即做出登记，并定期汇总上报监理工程师及发包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(3)安全帽识别制定：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总承包人及各专业承包人及专业分包人的施工管理人员与施工人员佩戴不同颜色的安全帽，安全帽正面粘贴其所属单位的标志。</w:t>
      </w:r>
    </w:p>
    <w:p>
      <w:pPr>
        <w:spacing w:line="360" w:lineRule="auto"/>
        <w:ind w:firstLine="420" w:firstLineChars="200"/>
        <w:jc w:val="left"/>
        <w:rPr>
          <w:rFonts w:ascii="仿宋" w:hAnsi="仿宋" w:eastAsia="仿宋"/>
          <w:b w:val="0"/>
          <w:bCs w:val="0"/>
          <w:color w:val="000000" w:themeColor="text1"/>
          <w:szCs w:val="21"/>
          <w14:textFill>
            <w14:solidFill>
              <w14:schemeClr w14:val="tx1"/>
            </w14:solidFill>
          </w14:textFill>
        </w:rPr>
      </w:pPr>
      <w:r>
        <w:rPr>
          <w:rFonts w:hint="eastAsia" w:ascii="仿宋" w:hAnsi="仿宋" w:eastAsia="仿宋"/>
          <w:b w:val="0"/>
          <w:bCs w:val="0"/>
          <w:color w:val="000000" w:themeColor="text1"/>
          <w:szCs w:val="21"/>
          <w14:textFill>
            <w14:solidFill>
              <w14:schemeClr w14:val="tx1"/>
            </w14:solidFill>
          </w14:textFill>
        </w:rPr>
        <w:t>（4）IC卡/平安卡管理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总承包人必须根据现场管理要求，在出入口设置IC卡/平安卡刷卡机，对所有进出现场人员实施IC卡/平安卡管理。保证所有人员进出现场都有准确记录。现场人员信息必须进行录入，并由总承包人统一管理。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8.4主要施工机械设备管理：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8.4.1总承包人应对进入所现场的施工机械设备进行统一的管理。所有进入现场的施工机械设备都必须服从总承包人的协调管理。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8.4.2施工机具设备的进退场和使用必须遵循：</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(1)各专业承包人及专业分包人所有进场的施工机械设备必须提前向总承包人提出申报，并在进场时做好登记报总承包人。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(2)凡是没有进场登记的施工机械设备一律拒绝进场。总承包人有义务定期进行检查，杜绝出现施工机械设备未做登记的现象。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(3)总承包人及相应专业承包人及专业分包人有义务确保现场使用的施工机械设备符合有关施工机具安全操作规程及安全用电要求，施工机械设备不得带病作业。</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(4)总承包人应及时对进入现场的所有施工机械设备进行检查，对检查中发现的不符合要求的施工机械设备必须立即停止使用，并在24小时内出场外。</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(5)总承包人及有关专业承包人及专业分包人必须严格按照有关规定施工机械用电的管理，总承包人有义务对专业承包人及专业分包人进行安全用电的交底，并所负责标段现场的用电情况进行检查进取检查和管理。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(6)大型施工机械所属单位应设立专职机械调度员负责对大型施工机械的统一调配，总承包人有义务进行跟踪管理监督。</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(7)各专业承包人及专业分包人必须对所属进场的全部施工机械设备进行全天候管理，严禁施工机械设备未经总承包人及监理工程师批准擅自进入其它标段或公共区域。</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8.5关键区域出入管理：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8.5.1当施工现场的某些区域（关键区域）施工到一定程度（如设备安装阶段）时，在征得监理工程师和发包人批准后，总承包人有权在工程监理的统一安排下对进入关键区域的施工人员进行限制，即根据施工需要，确定可以进入该区域的总承包人人员、专业承包人及专业分包人及数量。总承包人在需要执行关键区域出入管理前10天内，书面通知各有关专业承包人及专业分包人，并上报监理工程师和发包人；各专业承包人及专业分包人在接到书面通知后3天内向总承包人递交进入关键区域申请表，确定进入关键区域施工及管理人员的数量，由总承包人制作进入关键区域的特别通行证。总承包人派驻专人在指定入口验证放行。在专业承包人及专业分包人的工作完成并通过有关单验收后，各专业承包人及专业分包人将特别通行证退回。</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8.5.2由于总承包人关键区域出入管理不力导致出现质量问题、返工、或影响关键节点工期的，总承包人承担责任。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8.6来客管理：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8.6.1总承包人及各专业承包人及专业分包人的来访客人（指定在本工地工作的人员）必须办理来客登记手续才能进入现场：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(1)来客向门卫递交有效证件并办理必要的来访登记；</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(2)由门卫向来客发给临时出入证；</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(3)来客离场时凭临时出入证领取有效证件。如客人丢失临时出入证，由被访人所在单位向门卫办理丢失临时出入证登记手续。</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8.6.2总承包人应聘请专业保安单位负责治安保卫和门卫管理工作，负责来访登记管理，以及负责制作临时出入证。</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8.6.3总承包人应为来客提供工地安全教育及安全设施。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8.6.4总承包人有为前来检查的相关政府机构工作人员、发包人委托的第三方监测人员等提供接待的义务，并有义务为其工作开展提供相关安全便利的条件。</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8.7车辆出入管理：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为保证现场的施工秩序，对所有进入施工现场的施工车辆，实施车辆出入管理制度，由总承包人统一进行管理。</w:t>
      </w:r>
    </w:p>
    <w:p>
      <w:pPr>
        <w:numPr>
          <w:ilvl w:val="2"/>
          <w:numId w:val="10"/>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大型车辆及长派小型车辆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对进入施工现场的大型车辆及长派小型车辆（包括总承包人及专业承包人及专业分包人的车辆）进行统一管理，制作车辆出入证。大型车辆是指5T以上载重汽车、轮胎或履带工吊车等大型施工机械。专业承包人及专业分包人必须提前3天向总承包人提出大型车辆和长派小型车辆进出申请，注明车辆型号、拍照号码、进场日期及时间，经总承包人批准后，发给车辆出入证。车辆到达现场大门入口处必须出示有效的出入证才可进场。根据各单位登记车辆情况合理安排各单位车辆的停放位置，杜绝出项现场车辆乱停乱放阻碍施工的现象。</w:t>
      </w:r>
    </w:p>
    <w:p>
      <w:pPr>
        <w:numPr>
          <w:ilvl w:val="2"/>
          <w:numId w:val="10"/>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非长派小型车辆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总承包人及各专业承包人及专业分包人的非长派小型车辆进入现场实行登记制度。车辆进入现场时在门卫处登记所属单位名称、车牌号、进场时间、大约停止时间后，方可进入施工现场。</w:t>
      </w:r>
    </w:p>
    <w:p>
      <w:pPr>
        <w:numPr>
          <w:ilvl w:val="2"/>
          <w:numId w:val="10"/>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发包人、监理工程师、设计单位等车辆凭有效证件进入现场。</w:t>
      </w:r>
    </w:p>
    <w:p>
      <w:pPr>
        <w:numPr>
          <w:ilvl w:val="2"/>
          <w:numId w:val="10"/>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总承包人对运出现场的材料进行严格的管理。所有材料，如无总承包人或监理工程师签字并加盖公章，书面同意外运的，不得运离现场。</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8.8现场广告、标语、条幅的管理：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为保持良好的现场施工次序和整体形象，现场广告、标语、条幅的内容、设置、张贴和悬挂必须服从发包人及监理工程师的统一管理和协调。</w:t>
      </w:r>
    </w:p>
    <w:p>
      <w:pPr>
        <w:numPr>
          <w:ilvl w:val="2"/>
          <w:numId w:val="11"/>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统一策划制度</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总承包人应统一策划管理现场设置和各类非商业宣传性标牌、条幅，如现场导向牌、安全施工标志牌、各类标语等。要求统一字体、样式、规格和设置。</w:t>
      </w:r>
    </w:p>
    <w:p>
      <w:pPr>
        <w:numPr>
          <w:ilvl w:val="2"/>
          <w:numId w:val="11"/>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实行申请制度</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（1）各专业承包人及专业分包人安全标志牌费用由相应单位负责，由专业承包人及专业分包人根据自身需要提前15天向总承包人提出申请。</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2）总承包人、各专业承包人及专业分包人、以及其它单位要求在现场悬挂、设置的各类带有商业宣传性质的广告、标语、条幅，须提前15个工作日向总承包人提出书面申请，说明广告、标语、条幅的规格、样式、内容、悬挂位置和时间。</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（3）总承包人应对现场各类带有商业宣传性质的广告、条幅、标语设置意见应提前7个工作日包监理工程师和发包人，经审批同意后方可实施。</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（4）需要在现场设置的各类带有商业宣传性质的广告、条幅、标语等必须按监理工程师和发包人书面允许方可实施，否则监理工程师和发包人将按有关规定限期拆除，并可视情况进一步处理。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8.9</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当地协调：</w:t>
      </w:r>
    </w:p>
    <w:p>
      <w:pPr>
        <w:numPr>
          <w:ilvl w:val="2"/>
          <w:numId w:val="12"/>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总承包人有义务协调好当地地方政府与人员的关系，确保工程质量、进度和组织管理等不受当地外来因素的干扰。</w:t>
      </w:r>
    </w:p>
    <w:p>
      <w:pPr>
        <w:numPr>
          <w:ilvl w:val="2"/>
          <w:numId w:val="12"/>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因总承包人协调工作不力导致工程建设实际受到当地外来因素影响的，发包人有权部分或全部扣除其地方协调费。</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9</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施工进度计划与工期管理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9.1</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施工进度计划</w:t>
      </w:r>
    </w:p>
    <w:p>
      <w:pPr>
        <w:numPr>
          <w:ilvl w:val="2"/>
          <w:numId w:val="13"/>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有义务要求各专业承包人及专业分包人提交专业承包工程的各类施工进度计划，并统筹审核各专业承包工程的进度计划，有义务通过组织协调有效解决不同专业承包工程不同施工交叉作业的配合施工问题，确保各专业承包程施工进度能按照工程总进度计划实施。</w:t>
      </w:r>
    </w:p>
    <w:p>
      <w:pPr>
        <w:numPr>
          <w:ilvl w:val="2"/>
          <w:numId w:val="13"/>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专业承包人及专业分包人有义务接受总承包人对进度计划进行调整的意见，并按照调整意见落实现场劳动力、材料、施工机械等的供应配合情况。</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暂停施工</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因专业承包人及专业分包人原因造成总承包人项目停工的，总承包人承担责任，工期不予顺延。总承包人可按分包合同向专业承包人及专业分包人追讨损失。</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9.3</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工程竣工</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督促专业承包人及专业分包人按计划办理工程竣工，并对专业承包人及专业分包人竣工予以积极的配合，因总承包人未能及时提供必要的配合工作而导致专业承包工程不能按计划办理工程竣工的，总承包人承担主要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9.4</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工期管理</w:t>
      </w:r>
    </w:p>
    <w:p>
      <w:pPr>
        <w:numPr>
          <w:ilvl w:val="2"/>
          <w:numId w:val="14"/>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总承包人应根据发包人提供的本项目总体控制目标及各关键节点工期要求编制总进度实施计划。总承包人对本项目的进度实行统一管理(含总承包人施工及总包管理的项目)，并重点对关键节点工期进行控制。</w:t>
      </w:r>
    </w:p>
    <w:p>
      <w:pPr>
        <w:numPr>
          <w:ilvl w:val="2"/>
          <w:numId w:val="14"/>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审核各专业承包工程施工进度计划，并有义务根据工程总进度计划调整各专业承包工程的进度计划和施工配合，确保各专业承包工程能按照主体工程的关键节点工期按计划完成，并按发包人规定的竣工日期办理工程竣工验收。</w:t>
      </w:r>
    </w:p>
    <w:p>
      <w:pPr>
        <w:numPr>
          <w:ilvl w:val="2"/>
          <w:numId w:val="14"/>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对各专业承包工程的施工提供必要的协助，以确保专业承包工程能按经审定的进度计划执行。同时总承包人有义务对专业承包工程进行监督管理，纠正进度负偏差，协调专业承包人及专业分包人之间的关系，保证主体工程与各专业承包工程之间能协调推进。因总承包人未能对专业承包工程提供必要的配合，以及未能有效管理专业承包人及专业分包人工程进度的，并由此造成主体工程或专业承包工程关键节点施工进度有所滞后的，总承包人承担全部责任。</w:t>
      </w:r>
    </w:p>
    <w:p>
      <w:pPr>
        <w:numPr>
          <w:ilvl w:val="2"/>
          <w:numId w:val="14"/>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总承包人通过组织协调，有效解决不同专业工程、不同工序交叉作业的配合问题，确保各施工进度能按照总进度实施计划实施。</w:t>
      </w:r>
    </w:p>
    <w:p>
      <w:pPr>
        <w:spacing w:before="72" w:beforeLines="30" w:after="72" w:afterLines="30" w:line="360" w:lineRule="auto"/>
        <w:ind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10</w:t>
      </w:r>
      <w:r>
        <w:rPr>
          <w:rFonts w:hint="eastAsia" w:ascii="仿宋" w:hAnsi="仿宋" w:eastAsia="仿宋"/>
          <w:b/>
          <w:bCs/>
          <w:color w:val="000000" w:themeColor="text1"/>
          <w:sz w:val="24"/>
          <w:szCs w:val="24"/>
          <w14:textFill>
            <w14:solidFill>
              <w14:schemeClr w14:val="tx1"/>
            </w14:solidFill>
          </w14:textFill>
        </w:rPr>
        <w:tab/>
      </w:r>
      <w:r>
        <w:rPr>
          <w:rFonts w:hint="eastAsia" w:ascii="仿宋" w:hAnsi="仿宋" w:eastAsia="仿宋"/>
          <w:b/>
          <w:bCs/>
          <w:color w:val="000000" w:themeColor="text1"/>
          <w:sz w:val="24"/>
          <w:szCs w:val="24"/>
          <w14:textFill>
            <w14:solidFill>
              <w14:schemeClr w14:val="tx1"/>
            </w14:solidFill>
          </w14:textFill>
        </w:rPr>
        <w:t>质量与检验</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10.1</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工程质量</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专业承包工程质量达不到约定质量标准总承包人承担连带责任。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10.2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检查和返工</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因专业承包人及专业分包人达不到约定标准的，由责任方承担拆除和重新施工的费用，承担质量违约责任，工期不予顺延，有总承包人管理不力的，总承包人承担责任。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10.3</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隐蔽工程和中间验收</w:t>
      </w:r>
    </w:p>
    <w:p>
      <w:pPr>
        <w:numPr>
          <w:ilvl w:val="2"/>
          <w:numId w:val="15"/>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工程具备隐蔽条件或属于“穗建监字[2001]068号”文规定的中间验收部位，专业承包人及专业分包人必须先进行自检，自检合格后由总承包人在隐蔽或中间验收前24个小时以书面形式通知监理工程师验收，通知应包括隐蔽和中间的内容、验收时间和地点。监理工程师在验收记录上签字后，专业承包人及专业分包人方可进行隐蔽和继续施工。验收不合格的，专业承包人及专业分包人必须在24个小时内或监理工程师限定的时间内修改后重新验收。</w:t>
      </w:r>
    </w:p>
    <w:p>
      <w:pPr>
        <w:numPr>
          <w:ilvl w:val="2"/>
          <w:numId w:val="15"/>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总承包人应对专业承包工程的隐蔽及中间验收工作创造便利条件，并提供足够的配合。</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10.4</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工程试车</w:t>
      </w:r>
    </w:p>
    <w:p>
      <w:pPr>
        <w:numPr>
          <w:ilvl w:val="2"/>
          <w:numId w:val="16"/>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设备安装工程具备单机无负荷试车条件，由专业承包人及专业分包人组织试车；属总包施工项目范围内的，由总承包人组织；属总包管理项目范围的，由专业承包人及专业分包人组织。</w:t>
      </w:r>
    </w:p>
    <w:p>
      <w:pPr>
        <w:numPr>
          <w:ilvl w:val="2"/>
          <w:numId w:val="16"/>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设备安装工程具备无负荷联动试车条件，由总承包人组织、监理工程师、发包人参加试车，总承包人在试车前24小时内以书面形式通知监理工程师和参加试车的有关单位。</w:t>
      </w:r>
    </w:p>
    <w:p>
      <w:pPr>
        <w:numPr>
          <w:ilvl w:val="2"/>
          <w:numId w:val="16"/>
        </w:numPr>
        <w:tabs>
          <w:tab w:val="clear" w:pos="1571"/>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工程试车，属总包施工项目范围内的，由总承包人负责试车费用；属总包管理项目范围的，由专业承包人及专业分包人负责试车费用，总承包人应予以配合服务。</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10.5</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保修管理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有义务对各专业承包工程的保修工作进行协调和管理，总包管理项目完工后及时督促相关专业承包人及专业分包人在保修期内做好保修工作。专业承包人及专业分包人无及时做好保修工作，且存在总承包人管理不力原因的，总承包人承担法定的连带责任。</w:t>
      </w:r>
    </w:p>
    <w:p>
      <w:pPr>
        <w:numPr>
          <w:ilvl w:val="0"/>
          <w:numId w:val="17"/>
        </w:numPr>
        <w:spacing w:before="72" w:beforeLines="30" w:after="72" w:afterLines="30" w:line="360" w:lineRule="auto"/>
        <w:ind w:left="0"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文明施工和安全生产管理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11.1</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安全生产与检查</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总承包人有义务对所负责标段内全部文明施工和安全生产进行全面的管理。进行详细交底及部署。</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专业承包人及专业分包人应严格做好所负责工程的安全生产工作，并自觉接受总承包人的检查，并按照其提出的意见进行整改。</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11.2</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 xml:space="preserve">事故处理 </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专业承包工程发生重大伤亡及其它安全事故的，专业承包人及专业分包人必须立即通知总承包人，总承包人必须立即按有关规定上报监理工程师、发包人及有关部门，同时按政府有关部门要求处理。对于专业承包工程发生重大伤亡及其它安全事故，由专业承包人及专业分包人承担主要责任，总承包人承担法定的连带责任；属自主分包工程的，由总承包人承担责任。</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11.3</w:t>
      </w:r>
      <w:r>
        <w:rPr>
          <w:rFonts w:hint="eastAsia" w:ascii="仿宋" w:hAnsi="仿宋" w:eastAsia="仿宋"/>
          <w:color w:val="000000" w:themeColor="text1"/>
          <w:szCs w:val="21"/>
          <w14:textFill>
            <w14:solidFill>
              <w14:schemeClr w14:val="tx1"/>
            </w14:solidFill>
          </w14:textFill>
        </w:rPr>
        <w:tab/>
      </w:r>
      <w:r>
        <w:rPr>
          <w:rFonts w:hint="eastAsia" w:ascii="仿宋" w:hAnsi="仿宋" w:eastAsia="仿宋"/>
          <w:color w:val="000000" w:themeColor="text1"/>
          <w:szCs w:val="21"/>
          <w14:textFill>
            <w14:solidFill>
              <w14:schemeClr w14:val="tx1"/>
            </w14:solidFill>
          </w14:textFill>
        </w:rPr>
        <w:t>统一实施场地的场容场貌和施工保洁管理。</w:t>
      </w:r>
    </w:p>
    <w:p>
      <w:pPr>
        <w:numPr>
          <w:ilvl w:val="0"/>
          <w:numId w:val="17"/>
        </w:numPr>
        <w:spacing w:before="72" w:beforeLines="30" w:after="72" w:afterLines="30" w:line="360" w:lineRule="auto"/>
        <w:ind w:left="0"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竣工验收与结算管理</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竣工验收</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各专业承包人及专业分包人必须负责施工工程竣工图的编制管理工作。总承包人有责任根据竣工图验收要求对专业承包人及专业分包人所绘制的竣工图进行符合性审查。</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包管理项目属于专业工程需单独验收的，经总承包人预验合格后，再报监理工程师进行监理预验，合格后由该专业承包人及专业分包人与专业工程验收管理部门、监理工程师、发包人协商确定验收时间，并及时通知总承包人参与验收。</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总包管理项目不需要办理单独验收的，经总承包人预验合格后，上报监理工程师，由监理工程师预验合格后，专业承包人及专业分包人、总承包人、监理工程师和发包人协商验收。</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总承包人必须对各专业承包工程的预验收、验收给予积极的配合加具有关意见。</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总承包人在所有总包施工项目及总包管理项目（预）验收完成后，认为满足工程竣工验收条件时，方可向监理工程师提出预验收通知。</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办理工程预验及验收前，各专业承包人及专业分包人应将准备验收工程的场地清理干净；主体工程竣工验收后合格后10天内，总承包人和发包人签署工程交接验收证明文件，并再次对场地进行检查，确保场地已清理干净，并将工程移交发包人管理。</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竣工档案管理</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有义务对总包施工及总包管理工程的工程资料按照国家《城市建设档案管理规定》、《广州市城市建设档案管理办法》、《广东省建筑工程竣工验收技术资料统一用表》和发包人的具体要求等进行收集、整理、编制、汇总和管理。</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指导专业承包人及专业分包人整理工程资料，使其满足档案接收要求。</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专业承包人及专业分包人对其施工的专业承包工程负有具体收集、整理、编制、汇总档案资料的义务，并保证所提供的档案资料是齐全完备和有效的，需要时总承包人亦要签名盖章。</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督促专业承包人及专业分包人在完成专业承包工程竣工验收前7天内，完成工程档案资料的汇总，并上报总承包人，总承包人有义务对该资料的完备性、有效性进行检查，对不符合要求的资料，要求专业承包人及专业分包人限期进行整改。整改后再上报总承包人。</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竣工图纸由总承包人、专业承包人及专业分包人根据设计院提供的施工图纸电子文件、竣工资料进行绘制，并须经设计单位审核、签署。</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办理竣工备案手续</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在规定时间内应收集所有竣工备案资料，对不属于施工总承包管理直接提的其它供单位的资料，有责任进行跟踪、督促、协调，及时向发包人反馈收集和协调情况。收集齐所有竣工备案资料后，负责按规定向有关部门提交竣工备案资料，并向发包人反馈备案办理进度。</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总承包人于工程竣工验收后按广州市建设工程档案管理与移交办法向发包人完整移交档案。</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竣工结算管理</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总包管理项目竣工结算报告由专业承包人及专业分包人具体编制，在总包管理项目完成竣工验收后28天内，督促专业承包人及专业分包人收集完整的竣工结算资料。</w:t>
      </w:r>
    </w:p>
    <w:p>
      <w:pPr>
        <w:numPr>
          <w:ilvl w:val="2"/>
          <w:numId w:val="17"/>
        </w:numPr>
        <w:tabs>
          <w:tab w:val="clear" w:pos="1418"/>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在测量师、发包人审核工程结算期间，总承包人、专业承包人及专业分包人必须按照要求提供积极的配合协助，并按要求及时提供相关资料。</w:t>
      </w:r>
    </w:p>
    <w:p>
      <w:pPr>
        <w:numPr>
          <w:ilvl w:val="0"/>
          <w:numId w:val="17"/>
        </w:numPr>
        <w:spacing w:before="72" w:beforeLines="30" w:after="72" w:afterLines="30" w:line="360" w:lineRule="auto"/>
        <w:ind w:left="0"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产品保护或照管</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总承包人承担本项目总体产品保护或照管责任（规定由专业承包人及专业分包人负责的除外）。</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管理工序交接工作，移交产品保护责任。对土建产品的保护向专业承包人及专业分包人进行交底。</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在专业工程施工过程中，根据工程性质需分阶段施工和移交工程施工总承包管理单位照管时，专业承包人及专业分包人应报监理工程师批准，批准后的分阶段施工工程即为中间验收工程。对每个中间验收工程，监理工程师组织发包人、设计单位、总承包单位和专业承包人及专业分包人进行质量验收评定。若验收合格，则移交给总承包管理单位负责照管，时间至专业工程安装单位下次开始施工时止；若不合格，则专业单位应按规定的时间内返修或更换材料后再验收。在总承包单位负责照管的期限内，总承包单位应对这些中间验收工程做好保护工作。而在专业承包人及专业分包人继续进行施工后，总承包单位对已进行中间验收的工程不负责照管，其照管责任移交至专业承包人及专业分包人。</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已竣工验收的专业工程的照管：从专业工程竣工验收合格并办理移交总承包人手续起，直至整个工程竣工验收合格移交给发包人之日止，总承包人应按照合同约定对移交给施工总承包人的专业工程的成品负责照管。但对那些已办理中间移交手续并交付发包人的工程，办理移交手续之日起，照管责任已移交给了发包人。</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如果在总承包单位负责的照管期内，由于不可抗力以外的原因导致总承包单位照管工程的任何部分损失或损坏，由总承包单位负责修补，赔偿经济赔偿责任，并通过修补使该工程或设备质量达到该专业合同的有关规定和要求。</w:t>
      </w:r>
    </w:p>
    <w:p>
      <w:pPr>
        <w:numPr>
          <w:ilvl w:val="0"/>
          <w:numId w:val="17"/>
        </w:numPr>
        <w:spacing w:before="72" w:beforeLines="30" w:after="72" w:afterLines="30" w:line="360" w:lineRule="auto"/>
        <w:ind w:left="0"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设计配合</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根据总承包施工的需要，从施工角度参与不同专业间的综合图纸会审，如土建和机电、机电和弱电、机电和精装修、土建和幕墙、幕墙和精装修等，发现各专业图纸间的有关配合、协调等问题，并提出解决方案。</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参加各专业工程的图纸会审，提出有关建议。</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审查承包范围内各专业工程的施工组织设计，对各专业工程施工组织设计不满足项目总体进度、场地安排、安全和文明施工等方面，和专业承包人及专业分包人进行沟通和协商，督促其进行调整。</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及时掌握每个专业工程的变更情况，并从总承包管理方面分析与其它有关方面的变化情况，若对项目总进度，或其它专业质量或造价方面出现影响，及时提出建议方案报监理工程师或发包人批准后实施工。</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当发包人提出要求时，对于发包人提出的设计变更研究，提出相应的承包人案供发包人变更决策参考。</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当发包人提出要求时，对于发包人组织的设计变更研究，从施工可行性，总承包管理等方面提出建议供发包人决策。</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根据预留、预埋需要编制相关预留预埋图，根据施工工艺需要编制相关节点大样图，根据现场管线布置需要编制综合布线图。由承包商编制图纸需要经过发包人确认后才能进行施工。</w:t>
      </w:r>
    </w:p>
    <w:p>
      <w:pPr>
        <w:numPr>
          <w:ilvl w:val="0"/>
          <w:numId w:val="17"/>
        </w:numPr>
        <w:spacing w:before="72" w:beforeLines="30" w:after="72" w:afterLines="30" w:line="360" w:lineRule="auto"/>
        <w:ind w:left="0" w:firstLine="482" w:firstLineChars="200"/>
        <w:jc w:val="left"/>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 w:val="24"/>
          <w:szCs w:val="24"/>
          <w14:textFill>
            <w14:solidFill>
              <w14:schemeClr w14:val="tx1"/>
            </w14:solidFill>
          </w14:textFill>
        </w:rPr>
        <w:t xml:space="preserve"> 合同管理</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 xml:space="preserve"> 分包管理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对于可合法分包工程由承包人按照有关规定合规合法分别选定分包人，并与其签订分包合同，分包合同必须送发包人、监理工程师备案。</w:t>
      </w:r>
    </w:p>
    <w:p>
      <w:pPr>
        <w:numPr>
          <w:ilvl w:val="1"/>
          <w:numId w:val="17"/>
        </w:numPr>
        <w:tabs>
          <w:tab w:val="clear" w:pos="1247"/>
        </w:tabs>
        <w:spacing w:line="360" w:lineRule="auto"/>
        <w:ind w:left="0"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甲控乙供材料买卖合同管理</w:t>
      </w:r>
    </w:p>
    <w:p>
      <w:pPr>
        <w:spacing w:line="360" w:lineRule="auto"/>
        <w:ind w:firstLine="420" w:firstLineChars="200"/>
        <w:jc w:val="left"/>
        <w:rPr>
          <w:rFonts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承包人与中标的专项供应商根据材料采购招标文件、合同条件及本办法的要求，与专项供应商签订具体材料买卖合同。材料买卖合同必须送发包人、监理工程师备案。</w:t>
      </w:r>
    </w:p>
    <w:p>
      <w:pPr>
        <w:spacing w:line="360" w:lineRule="auto"/>
        <w:jc w:val="center"/>
        <w:rPr>
          <w:rFonts w:ascii="仿宋" w:hAnsi="仿宋" w:eastAsia="仿宋"/>
          <w:b/>
          <w:bCs/>
          <w:color w:val="000000" w:themeColor="text1"/>
          <w:kern w:val="0"/>
          <w:sz w:val="24"/>
          <w:szCs w:val="24"/>
          <w14:textFill>
            <w14:solidFill>
              <w14:schemeClr w14:val="tx1"/>
            </w14:solidFill>
          </w14:textFill>
        </w:rPr>
      </w:pPr>
      <w:r>
        <w:rPr>
          <w:rFonts w:hint="eastAsia" w:ascii="仿宋" w:hAnsi="仿宋" w:eastAsia="仿宋"/>
          <w:b/>
          <w:bCs/>
          <w:color w:val="000000" w:themeColor="text1"/>
          <w:kern w:val="0"/>
          <w:sz w:val="24"/>
          <w:szCs w:val="24"/>
          <w14:textFill>
            <w14:solidFill>
              <w14:schemeClr w14:val="tx1"/>
            </w14:solidFill>
          </w14:textFill>
        </w:rPr>
        <w:t>第二部分  配合服务工作内容</w:t>
      </w:r>
    </w:p>
    <w:p>
      <w:pPr>
        <w:spacing w:line="360" w:lineRule="auto"/>
        <w:rPr>
          <w:rFonts w:ascii="仿宋" w:hAnsi="仿宋" w:eastAsia="仿宋"/>
          <w:b/>
          <w:bCs/>
          <w:color w:val="000000" w:themeColor="text1"/>
          <w:sz w:val="24"/>
          <w:szCs w:val="24"/>
          <w14:textFill>
            <w14:solidFill>
              <w14:schemeClr w14:val="tx1"/>
            </w14:solidFill>
          </w14:textFill>
        </w:rPr>
      </w:pPr>
      <w:r>
        <w:rPr>
          <w:rFonts w:hint="eastAsia" w:ascii="仿宋" w:hAnsi="仿宋" w:eastAsia="仿宋"/>
          <w:b/>
          <w:bCs/>
          <w:color w:val="000000" w:themeColor="text1"/>
          <w:szCs w:val="21"/>
          <w14:textFill>
            <w14:solidFill>
              <w14:schemeClr w14:val="tx1"/>
            </w14:solidFill>
          </w14:textFill>
        </w:rPr>
        <w:t xml:space="preserve"> </w:t>
      </w:r>
      <w:r>
        <w:rPr>
          <w:rFonts w:hint="eastAsia" w:ascii="仿宋" w:hAnsi="仿宋" w:eastAsia="仿宋"/>
          <w:b/>
          <w:bCs/>
          <w:color w:val="000000" w:themeColor="text1"/>
          <w:sz w:val="24"/>
          <w:szCs w:val="24"/>
          <w14:textFill>
            <w14:solidFill>
              <w14:schemeClr w14:val="tx1"/>
            </w14:solidFill>
          </w14:textFill>
        </w:rPr>
        <w:t xml:space="preserve"> 统一配合内容</w:t>
      </w:r>
    </w:p>
    <w:p>
      <w:pPr>
        <w:autoSpaceDE w:val="0"/>
        <w:autoSpaceDN w:val="0"/>
        <w:adjustRightInd w:val="0"/>
        <w:spacing w:line="360" w:lineRule="auto"/>
        <w:ind w:firstLine="428" w:firstLineChars="200"/>
        <w:jc w:val="left"/>
        <w:rPr>
          <w:rFonts w:ascii="仿宋" w:hAnsi="仿宋" w:eastAsia="仿宋" w:cs="Arial Unicode MS"/>
          <w:color w:val="000000" w:themeColor="text1"/>
          <w:kern w:val="0"/>
          <w:szCs w:val="21"/>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1.1</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向专业承包人及专业分包人</w:t>
      </w:r>
      <w:r>
        <w:rPr>
          <w:rFonts w:hint="eastAsia" w:ascii="仿宋" w:hAnsi="仿宋" w:eastAsia="仿宋" w:cs="Arial Unicode MS"/>
          <w:color w:val="000000" w:themeColor="text1"/>
          <w:kern w:val="0"/>
          <w:szCs w:val="21"/>
          <w14:textFill>
            <w14:solidFill>
              <w14:schemeClr w14:val="tx1"/>
            </w14:solidFill>
          </w14:textFill>
        </w:rPr>
        <w:t>提</w:t>
      </w:r>
      <w:r>
        <w:rPr>
          <w:rFonts w:hint="eastAsia" w:ascii="仿宋" w:hAnsi="仿宋" w:eastAsia="仿宋" w:cs="Arial Unicode MS"/>
          <w:color w:val="000000" w:themeColor="text1"/>
          <w:spacing w:val="2"/>
          <w:kern w:val="0"/>
          <w:szCs w:val="21"/>
          <w14:textFill>
            <w14:solidFill>
              <w14:schemeClr w14:val="tx1"/>
            </w14:solidFill>
          </w14:textFill>
        </w:rPr>
        <w:t>供相</w:t>
      </w:r>
      <w:r>
        <w:rPr>
          <w:rFonts w:hint="eastAsia" w:ascii="仿宋" w:hAnsi="仿宋" w:eastAsia="仿宋" w:cs="Arial Unicode MS"/>
          <w:color w:val="000000" w:themeColor="text1"/>
          <w:kern w:val="0"/>
          <w:szCs w:val="21"/>
          <w14:textFill>
            <w14:solidFill>
              <w14:schemeClr w14:val="tx1"/>
            </w14:solidFill>
          </w14:textFill>
        </w:rPr>
        <w:t>应</w:t>
      </w:r>
      <w:r>
        <w:rPr>
          <w:rFonts w:hint="eastAsia" w:ascii="仿宋" w:hAnsi="仿宋" w:eastAsia="仿宋" w:cs="Arial Unicode MS"/>
          <w:color w:val="000000" w:themeColor="text1"/>
          <w:spacing w:val="2"/>
          <w:kern w:val="0"/>
          <w:szCs w:val="21"/>
          <w14:textFill>
            <w14:solidFill>
              <w14:schemeClr w14:val="tx1"/>
            </w14:solidFill>
          </w14:textFill>
        </w:rPr>
        <w:t>的</w:t>
      </w:r>
      <w:r>
        <w:rPr>
          <w:rFonts w:hint="eastAsia" w:ascii="仿宋" w:hAnsi="仿宋" w:eastAsia="仿宋" w:cs="Arial Unicode MS"/>
          <w:color w:val="000000" w:themeColor="text1"/>
          <w:kern w:val="0"/>
          <w:szCs w:val="21"/>
          <w14:textFill>
            <w14:solidFill>
              <w14:schemeClr w14:val="tx1"/>
            </w14:solidFill>
          </w14:textFill>
        </w:rPr>
        <w:t>施</w:t>
      </w:r>
      <w:r>
        <w:rPr>
          <w:rFonts w:hint="eastAsia" w:ascii="仿宋" w:hAnsi="仿宋" w:eastAsia="仿宋" w:cs="Arial Unicode MS"/>
          <w:color w:val="000000" w:themeColor="text1"/>
          <w:spacing w:val="2"/>
          <w:kern w:val="0"/>
          <w:szCs w:val="21"/>
          <w14:textFill>
            <w14:solidFill>
              <w14:schemeClr w14:val="tx1"/>
            </w14:solidFill>
          </w14:textFill>
        </w:rPr>
        <w:t>工用</w:t>
      </w:r>
      <w:r>
        <w:rPr>
          <w:rFonts w:hint="eastAsia" w:ascii="仿宋" w:hAnsi="仿宋" w:eastAsia="仿宋" w:cs="Arial Unicode MS"/>
          <w:color w:val="000000" w:themeColor="text1"/>
          <w:kern w:val="0"/>
          <w:szCs w:val="21"/>
          <w14:textFill>
            <w14:solidFill>
              <w14:schemeClr w14:val="tx1"/>
            </w14:solidFill>
          </w14:textFill>
        </w:rPr>
        <w:t>水</w:t>
      </w:r>
      <w:r>
        <w:rPr>
          <w:rFonts w:hint="eastAsia" w:ascii="仿宋" w:hAnsi="仿宋" w:eastAsia="仿宋" w:cs="Arial Unicode MS"/>
          <w:color w:val="000000" w:themeColor="text1"/>
          <w:spacing w:val="2"/>
          <w:kern w:val="0"/>
          <w:szCs w:val="21"/>
          <w14:textFill>
            <w14:solidFill>
              <w14:schemeClr w14:val="tx1"/>
            </w14:solidFill>
          </w14:textFill>
        </w:rPr>
        <w:t>、</w:t>
      </w:r>
      <w:r>
        <w:rPr>
          <w:rFonts w:hint="eastAsia" w:ascii="仿宋" w:hAnsi="仿宋" w:eastAsia="仿宋" w:cs="Arial Unicode MS"/>
          <w:color w:val="000000" w:themeColor="text1"/>
          <w:kern w:val="0"/>
          <w:szCs w:val="21"/>
          <w14:textFill>
            <w14:solidFill>
              <w14:schemeClr w14:val="tx1"/>
            </w14:solidFill>
          </w14:textFill>
        </w:rPr>
        <w:t>用</w:t>
      </w:r>
      <w:r>
        <w:rPr>
          <w:rFonts w:hint="eastAsia" w:ascii="仿宋" w:hAnsi="仿宋" w:eastAsia="仿宋" w:cs="Arial Unicode MS"/>
          <w:color w:val="000000" w:themeColor="text1"/>
          <w:spacing w:val="2"/>
          <w:kern w:val="0"/>
          <w:szCs w:val="21"/>
          <w14:textFill>
            <w14:solidFill>
              <w14:schemeClr w14:val="tx1"/>
            </w14:solidFill>
          </w14:textFill>
        </w:rPr>
        <w:t>电的</w:t>
      </w:r>
      <w:r>
        <w:rPr>
          <w:rFonts w:hint="eastAsia" w:ascii="仿宋" w:hAnsi="仿宋" w:eastAsia="仿宋" w:cs="Arial Unicode MS"/>
          <w:color w:val="000000" w:themeColor="text1"/>
          <w:kern w:val="0"/>
          <w:szCs w:val="21"/>
          <w14:textFill>
            <w14:solidFill>
              <w14:schemeClr w14:val="tx1"/>
            </w14:solidFill>
          </w14:textFill>
        </w:rPr>
        <w:t>接驳</w:t>
      </w:r>
      <w:r>
        <w:rPr>
          <w:rFonts w:hint="eastAsia" w:ascii="仿宋" w:hAnsi="仿宋" w:eastAsia="仿宋" w:cs="Arial Unicode MS"/>
          <w:color w:val="000000" w:themeColor="text1"/>
          <w:spacing w:val="2"/>
          <w:kern w:val="0"/>
          <w:szCs w:val="21"/>
          <w14:textFill>
            <w14:solidFill>
              <w14:schemeClr w14:val="tx1"/>
            </w14:solidFill>
          </w14:textFill>
        </w:rPr>
        <w:t>，且容量或负</w:t>
      </w:r>
      <w:r>
        <w:rPr>
          <w:rFonts w:hint="eastAsia" w:ascii="仿宋" w:hAnsi="仿宋" w:eastAsia="仿宋" w:cs="Arial Unicode MS"/>
          <w:color w:val="000000" w:themeColor="text1"/>
          <w:kern w:val="0"/>
          <w:szCs w:val="21"/>
          <w14:textFill>
            <w14:solidFill>
              <w14:schemeClr w14:val="tx1"/>
            </w14:solidFill>
          </w14:textFill>
        </w:rPr>
        <w:t>荷</w:t>
      </w:r>
      <w:r>
        <w:rPr>
          <w:rFonts w:hint="eastAsia" w:ascii="仿宋" w:hAnsi="仿宋" w:eastAsia="仿宋" w:cs="Arial Unicode MS"/>
          <w:color w:val="000000" w:themeColor="text1"/>
          <w:spacing w:val="2"/>
          <w:kern w:val="0"/>
          <w:szCs w:val="21"/>
          <w14:textFill>
            <w14:solidFill>
              <w14:schemeClr w14:val="tx1"/>
            </w14:solidFill>
          </w14:textFill>
        </w:rPr>
        <w:t>满足</w:t>
      </w:r>
      <w:r>
        <w:rPr>
          <w:rFonts w:hint="eastAsia" w:ascii="仿宋" w:hAnsi="仿宋" w:eastAsia="仿宋" w:cs="Arial Unicode MS"/>
          <w:color w:val="000000" w:themeColor="text1"/>
          <w:kern w:val="0"/>
          <w:szCs w:val="21"/>
          <w14:textFill>
            <w14:solidFill>
              <w14:schemeClr w14:val="tx1"/>
            </w14:solidFill>
          </w14:textFill>
        </w:rPr>
        <w:t>专</w:t>
      </w:r>
      <w:r>
        <w:rPr>
          <w:rFonts w:hint="eastAsia" w:ascii="仿宋" w:hAnsi="仿宋" w:eastAsia="仿宋" w:cs="Arial Unicode MS"/>
          <w:color w:val="000000" w:themeColor="text1"/>
          <w:spacing w:val="2"/>
          <w:kern w:val="0"/>
          <w:szCs w:val="21"/>
          <w14:textFill>
            <w14:solidFill>
              <w14:schemeClr w14:val="tx1"/>
            </w14:solidFill>
          </w14:textFill>
        </w:rPr>
        <w:t>业</w:t>
      </w:r>
      <w:r>
        <w:rPr>
          <w:rFonts w:hint="eastAsia" w:ascii="仿宋" w:hAnsi="仿宋" w:eastAsia="仿宋" w:cs="Arial Unicode MS"/>
          <w:color w:val="000000" w:themeColor="text1"/>
          <w:kern w:val="0"/>
          <w:szCs w:val="21"/>
          <w14:textFill>
            <w14:solidFill>
              <w14:schemeClr w14:val="tx1"/>
            </w14:solidFill>
          </w14:textFill>
        </w:rPr>
        <w:t>单</w:t>
      </w:r>
      <w:r>
        <w:rPr>
          <w:rFonts w:hint="eastAsia" w:ascii="仿宋" w:hAnsi="仿宋" w:eastAsia="仿宋" w:cs="Arial Unicode MS"/>
          <w:color w:val="000000" w:themeColor="text1"/>
          <w:spacing w:val="2"/>
          <w:kern w:val="0"/>
          <w:szCs w:val="21"/>
          <w14:textFill>
            <w14:solidFill>
              <w14:schemeClr w14:val="tx1"/>
            </w14:solidFill>
          </w14:textFill>
        </w:rPr>
        <w:t>位的要</w:t>
      </w:r>
      <w:r>
        <w:rPr>
          <w:rFonts w:hint="eastAsia" w:ascii="仿宋" w:hAnsi="仿宋" w:eastAsia="仿宋" w:cs="Arial Unicode MS"/>
          <w:color w:val="000000" w:themeColor="text1"/>
          <w:kern w:val="0"/>
          <w:szCs w:val="21"/>
          <w14:textFill>
            <w14:solidFill>
              <w14:schemeClr w14:val="tx1"/>
            </w14:solidFill>
          </w14:textFill>
        </w:rPr>
        <w:t>求</w:t>
      </w:r>
      <w:r>
        <w:rPr>
          <w:rFonts w:hint="eastAsia" w:ascii="仿宋" w:hAnsi="仿宋" w:eastAsia="仿宋" w:cs="Arial Unicode MS"/>
          <w:color w:val="000000" w:themeColor="text1"/>
          <w:spacing w:val="2"/>
          <w:kern w:val="0"/>
          <w:szCs w:val="21"/>
          <w14:textFill>
            <w14:solidFill>
              <w14:schemeClr w14:val="tx1"/>
            </w14:solidFill>
          </w14:textFill>
        </w:rPr>
        <w:t>。但</w:t>
      </w:r>
      <w:r>
        <w:rPr>
          <w:rFonts w:hint="eastAsia" w:ascii="仿宋" w:hAnsi="仿宋" w:eastAsia="仿宋" w:cs="Arial Unicode MS"/>
          <w:color w:val="000000" w:themeColor="text1"/>
          <w:kern w:val="0"/>
          <w:szCs w:val="21"/>
          <w14:textFill>
            <w14:solidFill>
              <w14:schemeClr w14:val="tx1"/>
            </w14:solidFill>
          </w14:textFill>
        </w:rPr>
        <w:t>接</w:t>
      </w:r>
      <w:r>
        <w:rPr>
          <w:rFonts w:hint="eastAsia" w:ascii="仿宋" w:hAnsi="仿宋" w:eastAsia="仿宋" w:cs="Arial Unicode MS"/>
          <w:color w:val="000000" w:themeColor="text1"/>
          <w:spacing w:val="2"/>
          <w:kern w:val="0"/>
          <w:szCs w:val="21"/>
          <w14:textFill>
            <w14:solidFill>
              <w14:schemeClr w14:val="tx1"/>
            </w14:solidFill>
          </w14:textFill>
        </w:rPr>
        <w:t>驳点</w:t>
      </w:r>
      <w:r>
        <w:rPr>
          <w:rFonts w:hint="eastAsia" w:ascii="仿宋" w:hAnsi="仿宋" w:eastAsia="仿宋" w:cs="Arial Unicode MS"/>
          <w:color w:val="000000" w:themeColor="text1"/>
          <w:kern w:val="0"/>
          <w:szCs w:val="21"/>
          <w14:textFill>
            <w14:solidFill>
              <w14:schemeClr w14:val="tx1"/>
            </w14:solidFill>
          </w14:textFill>
        </w:rPr>
        <w:t>以</w:t>
      </w:r>
      <w:r>
        <w:rPr>
          <w:rFonts w:hint="eastAsia" w:ascii="仿宋" w:hAnsi="仿宋" w:eastAsia="仿宋" w:cs="Arial Unicode MS"/>
          <w:color w:val="000000" w:themeColor="text1"/>
          <w:spacing w:val="2"/>
          <w:kern w:val="0"/>
          <w:szCs w:val="21"/>
          <w14:textFill>
            <w14:solidFill>
              <w14:schemeClr w14:val="tx1"/>
            </w14:solidFill>
          </w14:textFill>
        </w:rPr>
        <w:t>后</w:t>
      </w:r>
      <w:r>
        <w:rPr>
          <w:rFonts w:hint="eastAsia" w:ascii="仿宋" w:hAnsi="仿宋" w:eastAsia="仿宋" w:cs="Arial Unicode MS"/>
          <w:color w:val="000000" w:themeColor="text1"/>
          <w:kern w:val="0"/>
          <w:szCs w:val="21"/>
          <w14:textFill>
            <w14:solidFill>
              <w14:schemeClr w14:val="tx1"/>
            </w14:solidFill>
          </w14:textFill>
        </w:rPr>
        <w:t>的</w:t>
      </w:r>
      <w:r>
        <w:rPr>
          <w:rFonts w:hint="eastAsia" w:ascii="仿宋" w:hAnsi="仿宋" w:eastAsia="仿宋" w:cs="Arial Unicode MS"/>
          <w:color w:val="000000" w:themeColor="text1"/>
          <w:spacing w:val="2"/>
          <w:kern w:val="0"/>
          <w:szCs w:val="21"/>
          <w14:textFill>
            <w14:solidFill>
              <w14:schemeClr w14:val="tx1"/>
            </w14:solidFill>
          </w14:textFill>
        </w:rPr>
        <w:t>管道</w:t>
      </w:r>
      <w:r>
        <w:rPr>
          <w:rFonts w:hint="eastAsia" w:ascii="仿宋" w:hAnsi="仿宋" w:eastAsia="仿宋" w:cs="Arial Unicode MS"/>
          <w:color w:val="000000" w:themeColor="text1"/>
          <w:kern w:val="0"/>
          <w:szCs w:val="21"/>
          <w14:textFill>
            <w14:solidFill>
              <w14:schemeClr w14:val="tx1"/>
            </w14:solidFill>
          </w14:textFill>
        </w:rPr>
        <w:t>、</w:t>
      </w:r>
      <w:r>
        <w:rPr>
          <w:rFonts w:hint="eastAsia" w:ascii="仿宋" w:hAnsi="仿宋" w:eastAsia="仿宋" w:cs="Arial Unicode MS"/>
          <w:color w:val="000000" w:themeColor="text1"/>
          <w:spacing w:val="2"/>
          <w:kern w:val="0"/>
          <w:szCs w:val="21"/>
          <w14:textFill>
            <w14:solidFill>
              <w14:schemeClr w14:val="tx1"/>
            </w14:solidFill>
          </w14:textFill>
        </w:rPr>
        <w:t>线</w:t>
      </w:r>
      <w:r>
        <w:rPr>
          <w:rFonts w:hint="eastAsia" w:ascii="仿宋" w:hAnsi="仿宋" w:eastAsia="仿宋" w:cs="Arial Unicode MS"/>
          <w:color w:val="000000" w:themeColor="text1"/>
          <w:kern w:val="0"/>
          <w:szCs w:val="21"/>
          <w14:textFill>
            <w14:solidFill>
              <w14:schemeClr w14:val="tx1"/>
            </w14:solidFill>
          </w14:textFill>
        </w:rPr>
        <w:t>路</w:t>
      </w:r>
      <w:r>
        <w:rPr>
          <w:rFonts w:hint="eastAsia" w:ascii="仿宋" w:hAnsi="仿宋" w:eastAsia="仿宋" w:cs="Arial Unicode MS"/>
          <w:color w:val="000000" w:themeColor="text1"/>
          <w:spacing w:val="2"/>
          <w:kern w:val="0"/>
          <w:szCs w:val="21"/>
          <w14:textFill>
            <w14:solidFill>
              <w14:schemeClr w14:val="tx1"/>
            </w14:solidFill>
          </w14:textFill>
        </w:rPr>
        <w:t>由专业承包人及专业分包人</w:t>
      </w:r>
      <w:r>
        <w:rPr>
          <w:rFonts w:hint="eastAsia" w:ascii="仿宋" w:hAnsi="仿宋" w:eastAsia="仿宋" w:cs="Arial Unicode MS"/>
          <w:color w:val="000000" w:themeColor="text1"/>
          <w:kern w:val="0"/>
          <w:szCs w:val="21"/>
          <w14:textFill>
            <w14:solidFill>
              <w14:schemeClr w14:val="tx1"/>
            </w14:solidFill>
          </w14:textFill>
        </w:rPr>
        <w:t>负</w:t>
      </w:r>
      <w:r>
        <w:rPr>
          <w:rFonts w:hint="eastAsia" w:ascii="仿宋" w:hAnsi="仿宋" w:eastAsia="仿宋" w:cs="Arial Unicode MS"/>
          <w:color w:val="000000" w:themeColor="text1"/>
          <w:spacing w:val="2"/>
          <w:kern w:val="0"/>
          <w:szCs w:val="21"/>
          <w14:textFill>
            <w14:solidFill>
              <w14:schemeClr w14:val="tx1"/>
            </w14:solidFill>
          </w14:textFill>
        </w:rPr>
        <w:t>责</w:t>
      </w:r>
      <w:r>
        <w:rPr>
          <w:rFonts w:hint="eastAsia" w:ascii="仿宋" w:hAnsi="仿宋" w:eastAsia="仿宋" w:cs="Arial Unicode MS"/>
          <w:color w:val="000000" w:themeColor="text1"/>
          <w:kern w:val="0"/>
          <w:szCs w:val="21"/>
          <w14:textFill>
            <w14:solidFill>
              <w14:schemeClr w14:val="tx1"/>
            </w14:solidFill>
          </w14:textFill>
        </w:rPr>
        <w:t>安</w:t>
      </w:r>
      <w:r>
        <w:rPr>
          <w:rFonts w:hint="eastAsia" w:ascii="仿宋" w:hAnsi="仿宋" w:eastAsia="仿宋" w:cs="Arial Unicode MS"/>
          <w:color w:val="000000" w:themeColor="text1"/>
          <w:spacing w:val="2"/>
          <w:kern w:val="0"/>
          <w:szCs w:val="21"/>
          <w14:textFill>
            <w14:solidFill>
              <w14:schemeClr w14:val="tx1"/>
            </w14:solidFill>
          </w14:textFill>
        </w:rPr>
        <w:t>装、</w:t>
      </w:r>
      <w:r>
        <w:rPr>
          <w:rFonts w:hint="eastAsia" w:ascii="仿宋" w:hAnsi="仿宋" w:eastAsia="仿宋" w:cs="Arial Unicode MS"/>
          <w:color w:val="000000" w:themeColor="text1"/>
          <w:kern w:val="0"/>
          <w:szCs w:val="21"/>
          <w14:textFill>
            <w14:solidFill>
              <w14:schemeClr w14:val="tx1"/>
            </w14:solidFill>
          </w14:textFill>
        </w:rPr>
        <w:t>拆除</w:t>
      </w:r>
      <w:r>
        <w:rPr>
          <w:rFonts w:hint="eastAsia" w:ascii="仿宋" w:hAnsi="仿宋" w:eastAsia="仿宋" w:cs="Arial Unicode MS"/>
          <w:color w:val="000000" w:themeColor="text1"/>
          <w:spacing w:val="2"/>
          <w:kern w:val="0"/>
          <w:szCs w:val="21"/>
          <w14:textFill>
            <w14:solidFill>
              <w14:schemeClr w14:val="tx1"/>
            </w14:solidFill>
          </w14:textFill>
        </w:rPr>
        <w:t>，并承</w:t>
      </w:r>
      <w:r>
        <w:rPr>
          <w:rFonts w:hint="eastAsia" w:ascii="仿宋" w:hAnsi="仿宋" w:eastAsia="仿宋" w:cs="Arial Unicode MS"/>
          <w:color w:val="000000" w:themeColor="text1"/>
          <w:kern w:val="0"/>
          <w:szCs w:val="21"/>
          <w14:textFill>
            <w14:solidFill>
              <w14:schemeClr w14:val="tx1"/>
            </w14:solidFill>
          </w14:textFill>
        </w:rPr>
        <w:t xml:space="preserve">担其费用； </w:t>
      </w:r>
    </w:p>
    <w:p>
      <w:pPr>
        <w:autoSpaceDE w:val="0"/>
        <w:autoSpaceDN w:val="0"/>
        <w:adjustRightInd w:val="0"/>
        <w:spacing w:line="360" w:lineRule="auto"/>
        <w:ind w:firstLine="428" w:firstLineChars="200"/>
        <w:jc w:val="left"/>
        <w:rPr>
          <w:rFonts w:ascii="仿宋" w:hAnsi="仿宋" w:eastAsia="仿宋" w:cs="Arial Unicode MS"/>
          <w:color w:val="000000" w:themeColor="text1"/>
          <w:spacing w:val="2"/>
          <w:kern w:val="0"/>
          <w:szCs w:val="21"/>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 xml:space="preserve">1.2 </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将总承包人负责修建和维护的道路免费提供给专业承包人及专业分包人使用并负责管理；</w:t>
      </w:r>
    </w:p>
    <w:p>
      <w:pPr>
        <w:autoSpaceDE w:val="0"/>
        <w:autoSpaceDN w:val="0"/>
        <w:adjustRightInd w:val="0"/>
        <w:spacing w:line="360" w:lineRule="auto"/>
        <w:ind w:firstLine="428" w:firstLineChars="200"/>
        <w:jc w:val="left"/>
        <w:rPr>
          <w:rFonts w:ascii="仿宋" w:hAnsi="仿宋" w:eastAsia="仿宋" w:cs="Arial Unicode MS"/>
          <w:color w:val="000000" w:themeColor="text1"/>
          <w:spacing w:val="2"/>
          <w:kern w:val="0"/>
          <w:szCs w:val="21"/>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1.3</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 xml:space="preserve"> 免费向各专业承包人及专业分包人提供施工所需的室内外水平及垂直控制墨线（包括但不限于建筑1米线）；</w:t>
      </w:r>
    </w:p>
    <w:p>
      <w:pPr>
        <w:autoSpaceDE w:val="0"/>
        <w:autoSpaceDN w:val="0"/>
        <w:adjustRightInd w:val="0"/>
        <w:spacing w:line="360" w:lineRule="auto"/>
        <w:ind w:firstLine="428" w:firstLineChars="200"/>
        <w:jc w:val="left"/>
        <w:rPr>
          <w:rFonts w:ascii="仿宋" w:hAnsi="仿宋" w:eastAsia="仿宋" w:cs="Arial Unicode MS"/>
          <w:color w:val="000000" w:themeColor="text1"/>
          <w:spacing w:val="2"/>
          <w:kern w:val="0"/>
          <w:szCs w:val="21"/>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1.4</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 xml:space="preserve"> 提供现场材料、机具转堆场地；</w:t>
      </w:r>
    </w:p>
    <w:p>
      <w:pPr>
        <w:autoSpaceDE w:val="0"/>
        <w:autoSpaceDN w:val="0"/>
        <w:adjustRightInd w:val="0"/>
        <w:spacing w:line="360" w:lineRule="auto"/>
        <w:ind w:firstLine="428" w:firstLineChars="200"/>
        <w:jc w:val="left"/>
        <w:rPr>
          <w:rFonts w:ascii="仿宋" w:hAnsi="仿宋" w:eastAsia="仿宋" w:cs="Arial Unicode MS"/>
          <w:color w:val="000000" w:themeColor="text1"/>
          <w:spacing w:val="2"/>
          <w:kern w:val="0"/>
          <w:szCs w:val="21"/>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 xml:space="preserve">1.5 </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做好各专业工程施工完毕后的一次性收口、修补、冲缝、塞洞和塞缝工作，但该工作不得影响已完成的专业工程的施工质量。如因专业承包人及专业分包人施工质量不合格，返工后造成需二次修补时，所发生的费用由专业承包人及专业分包人负责；</w:t>
      </w:r>
    </w:p>
    <w:p>
      <w:pPr>
        <w:autoSpaceDE w:val="0"/>
        <w:autoSpaceDN w:val="0"/>
        <w:adjustRightInd w:val="0"/>
        <w:spacing w:line="360" w:lineRule="auto"/>
        <w:ind w:firstLine="428" w:firstLineChars="200"/>
        <w:jc w:val="left"/>
        <w:rPr>
          <w:rFonts w:ascii="仿宋" w:hAnsi="仿宋" w:eastAsia="仿宋" w:cs="Arial Unicode MS"/>
          <w:color w:val="000000" w:themeColor="text1"/>
          <w:spacing w:val="2"/>
          <w:kern w:val="0"/>
          <w:szCs w:val="21"/>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1.6</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 xml:space="preserve"> 在工作安排、进度计划、费用报价等方面，应考虑由于对专业工程提供配合服务和提供总承包服务所产生的工种穿插、交叉、预埋配合工效损失等所有相关情况；</w:t>
      </w:r>
    </w:p>
    <w:p>
      <w:pPr>
        <w:autoSpaceDE w:val="0"/>
        <w:autoSpaceDN w:val="0"/>
        <w:adjustRightInd w:val="0"/>
        <w:spacing w:line="360" w:lineRule="auto"/>
        <w:ind w:firstLine="428" w:firstLineChars="200"/>
        <w:jc w:val="left"/>
        <w:rPr>
          <w:rFonts w:ascii="仿宋" w:hAnsi="仿宋" w:eastAsia="仿宋" w:cs="Arial Unicode MS"/>
          <w:color w:val="000000" w:themeColor="text1"/>
          <w:spacing w:val="2"/>
          <w:kern w:val="0"/>
          <w:szCs w:val="21"/>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1.7</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 xml:space="preserve"> 对征得发包人同意，工程后期提前使用的电梯，由总承包单位负责其电费及产品保护、运行管理及相关费用；</w:t>
      </w:r>
    </w:p>
    <w:p>
      <w:pPr>
        <w:autoSpaceDE w:val="0"/>
        <w:autoSpaceDN w:val="0"/>
        <w:adjustRightInd w:val="0"/>
        <w:spacing w:line="400" w:lineRule="exact"/>
        <w:ind w:firstLine="428" w:firstLineChars="200"/>
        <w:jc w:val="left"/>
        <w:rPr>
          <w:rFonts w:ascii="宋体" w:hAnsi="宋体" w:cs="Arial Unicode MS"/>
          <w:color w:val="000000" w:themeColor="text1"/>
          <w:spacing w:val="2"/>
          <w:kern w:val="0"/>
          <w:sz w:val="24"/>
          <w:szCs w:val="24"/>
          <w14:textFill>
            <w14:solidFill>
              <w14:schemeClr w14:val="tx1"/>
            </w14:solidFill>
          </w14:textFill>
        </w:rPr>
      </w:pPr>
      <w:r>
        <w:rPr>
          <w:rFonts w:hint="eastAsia" w:ascii="仿宋" w:hAnsi="仿宋" w:eastAsia="仿宋" w:cs="Arial Unicode MS"/>
          <w:color w:val="000000" w:themeColor="text1"/>
          <w:spacing w:val="2"/>
          <w:kern w:val="0"/>
          <w:szCs w:val="21"/>
          <w14:textFill>
            <w14:solidFill>
              <w14:schemeClr w14:val="tx1"/>
            </w14:solidFill>
          </w14:textFill>
        </w:rPr>
        <w:t>1.8</w:t>
      </w:r>
      <w:r>
        <w:rPr>
          <w:rFonts w:hint="eastAsia" w:ascii="仿宋" w:hAnsi="仿宋" w:eastAsia="仿宋" w:cs="Arial Unicode MS"/>
          <w:color w:val="000000" w:themeColor="text1"/>
          <w:spacing w:val="2"/>
          <w:kern w:val="0"/>
          <w:szCs w:val="21"/>
          <w14:textFill>
            <w14:solidFill>
              <w14:schemeClr w14:val="tx1"/>
            </w14:solidFill>
          </w14:textFill>
        </w:rPr>
        <w:tab/>
      </w:r>
      <w:r>
        <w:rPr>
          <w:rFonts w:hint="eastAsia" w:ascii="仿宋" w:hAnsi="仿宋" w:eastAsia="仿宋" w:cs="Arial Unicode MS"/>
          <w:color w:val="000000" w:themeColor="text1"/>
          <w:spacing w:val="2"/>
          <w:kern w:val="0"/>
          <w:szCs w:val="21"/>
          <w14:textFill>
            <w14:solidFill>
              <w14:schemeClr w14:val="tx1"/>
            </w14:solidFill>
          </w14:textFill>
        </w:rPr>
        <w:t xml:space="preserve"> 配合专业承包人及专业分包人完成总承包管理范围内整个工程的产品保护，并进行统一管理。必要时应提前完成相关土建工程及机房门等，以便机电等安装单位能够确保设备的安全保护。</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p>
    <w:p>
      <w:pPr>
        <w:widowControl/>
        <w:jc w:val="left"/>
        <w:rPr>
          <w:rFonts w:ascii="宋体" w:hAnsi="宋体"/>
          <w:color w:val="000000" w:themeColor="text1"/>
          <w:kern w:val="0"/>
          <w:szCs w:val="21"/>
          <w14:textFill>
            <w14:solidFill>
              <w14:schemeClr w14:val="tx1"/>
            </w14:solidFill>
          </w14:textFill>
        </w:rPr>
      </w:pPr>
      <w:r>
        <w:rPr>
          <w:rFonts w:ascii="宋体" w:hAnsi="宋体"/>
          <w:color w:val="000000" w:themeColor="text1"/>
          <w:kern w:val="0"/>
          <w:szCs w:val="21"/>
          <w14:textFill>
            <w14:solidFill>
              <w14:schemeClr w14:val="tx1"/>
            </w14:solidFill>
          </w14:textFill>
        </w:rPr>
        <w:br w:type="page"/>
      </w:r>
    </w:p>
    <w:p>
      <w:pPr>
        <w:pStyle w:val="2"/>
        <w:rPr>
          <w:rFonts w:ascii="仿宋" w:hAnsi="仿宋" w:eastAsia="仿宋"/>
          <w:color w:val="000000" w:themeColor="text1"/>
          <w:sz w:val="30"/>
          <w:szCs w:val="30"/>
          <w14:textFill>
            <w14:solidFill>
              <w14:schemeClr w14:val="tx1"/>
            </w14:solidFill>
          </w14:textFill>
        </w:rPr>
      </w:pPr>
      <w:bookmarkStart w:id="934" w:name="_Toc10256"/>
      <w:bookmarkStart w:id="935" w:name="_Toc118446914"/>
      <w:r>
        <w:rPr>
          <w:rFonts w:hint="eastAsia" w:ascii="仿宋" w:hAnsi="仿宋" w:eastAsia="仿宋"/>
          <w:color w:val="000000" w:themeColor="text1"/>
          <w:sz w:val="30"/>
          <w:szCs w:val="30"/>
          <w14:textFill>
            <w14:solidFill>
              <w14:schemeClr w14:val="tx1"/>
            </w14:solidFill>
          </w14:textFill>
        </w:rPr>
        <w:t>附件7 工程建设项目</w:t>
      </w:r>
      <w:r>
        <w:rPr>
          <w:rFonts w:hint="eastAsia" w:ascii="仿宋" w:hAnsi="仿宋" w:eastAsia="仿宋"/>
          <w:color w:val="000000" w:themeColor="text1"/>
          <w:sz w:val="30"/>
          <w:szCs w:val="30"/>
          <w:u w:val="none"/>
          <w14:textFill>
            <w14:solidFill>
              <w14:schemeClr w14:val="tx1"/>
            </w14:solidFill>
          </w14:textFill>
        </w:rPr>
        <w:t>廉政责任书</w:t>
      </w:r>
      <w:bookmarkEnd w:id="918"/>
      <w:bookmarkEnd w:id="919"/>
      <w:bookmarkEnd w:id="920"/>
      <w:bookmarkEnd w:id="921"/>
      <w:bookmarkEnd w:id="934"/>
      <w:bookmarkEnd w:id="935"/>
      <w:r>
        <w:rPr>
          <w:rFonts w:hint="eastAsia" w:ascii="仿宋" w:hAnsi="仿宋" w:eastAsia="仿宋"/>
          <w:color w:val="000000" w:themeColor="text1"/>
          <w:sz w:val="30"/>
          <w:szCs w:val="30"/>
          <w14:textFill>
            <w14:solidFill>
              <w14:schemeClr w14:val="tx1"/>
            </w14:solidFill>
          </w14:textFill>
        </w:rPr>
        <w:t xml:space="preserve"> </w:t>
      </w:r>
    </w:p>
    <w:p>
      <w:pPr>
        <w:tabs>
          <w:tab w:val="left" w:pos="630"/>
        </w:tabs>
        <w:adjustRightInd w:val="0"/>
        <w:spacing w:line="540" w:lineRule="exact"/>
        <w:jc w:val="center"/>
        <w:textAlignment w:val="baseline"/>
        <w:rPr>
          <w:rFonts w:ascii="宋体" w:hAnsi="宋体"/>
          <w:b/>
          <w:color w:val="000000" w:themeColor="text1"/>
          <w:kern w:val="0"/>
          <w:sz w:val="32"/>
          <w:szCs w:val="32"/>
          <w14:textFill>
            <w14:solidFill>
              <w14:schemeClr w14:val="tx1"/>
            </w14:solidFill>
          </w14:textFill>
        </w:rPr>
      </w:pPr>
      <w:r>
        <w:rPr>
          <w:rFonts w:hint="eastAsia" w:ascii="宋体" w:hAnsi="宋体"/>
          <w:b/>
          <w:color w:val="000000" w:themeColor="text1"/>
          <w:kern w:val="0"/>
          <w:sz w:val="32"/>
          <w:szCs w:val="32"/>
          <w14:textFill>
            <w14:solidFill>
              <w14:schemeClr w14:val="tx1"/>
            </w14:solidFill>
          </w14:textFill>
        </w:rPr>
        <w:t>工程建设项目廉政责任书</w:t>
      </w:r>
    </w:p>
    <w:p>
      <w:pPr>
        <w:tabs>
          <w:tab w:val="left" w:pos="630"/>
        </w:tabs>
        <w:adjustRightInd w:val="0"/>
        <w:spacing w:line="540" w:lineRule="exact"/>
        <w:jc w:val="center"/>
        <w:textAlignment w:val="baseline"/>
        <w:rPr>
          <w:rFonts w:ascii="宋体" w:hAnsi="宋体"/>
          <w:b/>
          <w:color w:val="000000" w:themeColor="text1"/>
          <w:kern w:val="0"/>
          <w:sz w:val="32"/>
          <w:szCs w:val="32"/>
          <w14:textFill>
            <w14:solidFill>
              <w14:schemeClr w14:val="tx1"/>
            </w14:solidFill>
          </w14:textFill>
        </w:rPr>
      </w:pPr>
    </w:p>
    <w:p>
      <w:pPr>
        <w:tabs>
          <w:tab w:val="left" w:pos="630"/>
        </w:tabs>
        <w:adjustRightInd w:val="0"/>
        <w:spacing w:line="540" w:lineRule="exact"/>
        <w:ind w:firstLine="525" w:firstLineChars="250"/>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为加强</w:t>
      </w:r>
      <w:r>
        <w:rPr>
          <w:rFonts w:hint="eastAsia" w:ascii="宋体" w:hAnsi="宋体"/>
          <w:color w:val="000000" w:themeColor="text1"/>
          <w:kern w:val="0"/>
          <w:szCs w:val="21"/>
          <w:u w:val="single"/>
          <w14:textFill>
            <w14:solidFill>
              <w14:schemeClr w14:val="tx1"/>
            </w14:solidFill>
          </w14:textFill>
        </w:rPr>
        <w:t xml:space="preserve">          </w:t>
      </w:r>
      <w:r>
        <w:rPr>
          <w:rFonts w:hint="eastAsia" w:ascii="宋体" w:hAnsi="宋体"/>
          <w:color w:val="000000" w:themeColor="text1"/>
          <w:kern w:val="0"/>
          <w:szCs w:val="21"/>
          <w14:textFill>
            <w14:solidFill>
              <w14:schemeClr w14:val="tx1"/>
            </w14:solidFill>
          </w14:textFill>
        </w:rPr>
        <w:t>工程建设过程的廉政建设，规范工程建设中双方的各项活动，防止发生各种谋取不正当利益的违法违纪行为，保护国家和当事人的合法权益，根据国家有关工程建设的法律法规和廉政建设责任制规定，特订立本廉政责任书。</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第一条　甲乙双方的责任</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（一）应严格遵守国家关于市场准入、项目招标投标、工程建设、施工安装和市场活动等有关法律、法规、政策，以及廉政建设的各项规定。</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（二）严格履行工程建设项目中所签订的所有合同文件，自觉按合同办事。</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（三）业务活动必须坚持公开、公平、公正、诚信、透明的原则（除法律法规另有规定者外），不得为获取不正当的利益，损害国家和对方利益，不得违反工程建设管理、施工安装的规章制度。</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（四）教育、监督本单位所有相关人员(包括担任领导职务人员，下同）廉洁、尽职地工作，制定和严格执行相关规章制度，防范和严肃查处相关人员违法、违纪利用工作便利谋取个人利益的行为。</w:t>
      </w:r>
    </w:p>
    <w:p>
      <w:pPr>
        <w:tabs>
          <w:tab w:val="left" w:pos="630"/>
        </w:tabs>
        <w:adjustRightInd w:val="0"/>
        <w:spacing w:line="540" w:lineRule="exact"/>
        <w:ind w:firstLine="359" w:firstLineChars="171"/>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（五）不得向另一方的相关人员提供第二条或第三条各项所列个人利益，三方的合同另有明文规定的奖励、考察不受此限。</w:t>
      </w:r>
    </w:p>
    <w:p>
      <w:pPr>
        <w:tabs>
          <w:tab w:val="left" w:pos="630"/>
        </w:tabs>
        <w:adjustRightInd w:val="0"/>
        <w:spacing w:line="540" w:lineRule="exact"/>
        <w:ind w:firstLine="359" w:firstLineChars="171"/>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六)发现另一方或其有关人员在业务活动中有违规、违纪、违法行为的，应及时提醒、告知另一方，另一方应依照法律法规、相关合同，认真调查并处理。另一方或其有关人员该等行为情节严重的，任何一方均应向其上级主管部门或纪检监察、司法等有关机关举报。</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第二条　</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的责任</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应教育和监督本方与该工程建设项目有关的人员，在工程建设的事前、事中、事后均严格遵守以下规定：</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（一）不准向</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和相关单位</w:t>
      </w:r>
      <w:r>
        <w:rPr>
          <w:rFonts w:hint="eastAsia" w:ascii="宋体" w:hAnsi="宋体"/>
          <w:color w:val="000000" w:themeColor="text1"/>
          <w:kern w:val="0"/>
          <w:sz w:val="22"/>
          <w14:textFill>
            <w14:solidFill>
              <w14:schemeClr w14:val="tx1"/>
            </w14:solidFill>
          </w14:textFill>
        </w:rPr>
        <w:t>（包括但不限于施工单位、勘察、设计单位、设备或原材料供应单位，下同）</w:t>
      </w:r>
      <w:r>
        <w:rPr>
          <w:rFonts w:hint="eastAsia" w:ascii="宋体" w:hAnsi="宋体"/>
          <w:color w:val="000000" w:themeColor="text1"/>
          <w:kern w:val="0"/>
          <w:szCs w:val="21"/>
          <w14:textFill>
            <w14:solidFill>
              <w14:schemeClr w14:val="tx1"/>
            </w14:solidFill>
          </w14:textFill>
        </w:rPr>
        <w:t>索要或接受回扣、礼金、红包、有价证券、银行卡、物品和好处费、感谢费、其他财产性利益等。</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（二）不准在</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和相关单位报销任何应由发包人支付的费用，或借用</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的车辆办理私事。</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（三）不准要求、暗示和接受</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和相关单位为个人装修住房、婚丧嫁娶、配偶子女的工作安排以及出国（境）、旅游（双方相关合同所规定的考察不受此限）等提供方便。</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（四）不准参加有可能影响公正执行公务的</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和相关单位的宴请、健身、娱乐等活动。</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（五）不准向</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介绍或为配偶、子女、亲属参与同</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有关的设备、材料、工程分包、劳务等经济活动。不得以任何理由向</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和相关单位推荐分包人和要求</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购买规定以外的材料、设备等（合同所规定的属于</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行使的相关权利不受此限）。</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第三条　</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的责任</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应与</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保持正常的业务交往，按照有关法律法规和程序开展业务工作，严格执行工程建设的有关方针、政策，尤其是有关建筑施工、安装及强制性标准和规范，并教育和监督其领导和有关人员严格遵守以下规定：</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（一）不准以任何理由向</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、相关单位及其工作人员索要、接受或赠送礼金、红包、有价证券、银行卡、物品和回扣、好处费、感谢费、其他财产性利益等。</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（二）不准以任何理由为</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和相关单位报销应由对方或个人支付的费用，或出借车辆给</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人员办理私事。</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（三）不准接受或暗示为</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、相关单位或个人装修住房、婚丧嫁娶、配偶子女的工作安排以及出国（境）、旅游等提供方便。</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（四）不准以任何理由为</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、相关单位或个人组织有可能影响公正执行公务的宴请、健身、娱乐等活动。</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第四条　法律和纪律责任</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（一）</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工作人员有违反本责任书第一、二条谋取个人利益行为的，</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应向</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或有关机关举报，</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应按照管理权限调查核实，并依据有关法律法规和规定给予党纪、政纪处分或公司制度项下处分处理；涉嫌犯罪的，向司法机关举报，追究刑事责任。</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（二）</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工作人员有违反本责任书第一、三条谋取个人利益行为的，</w:t>
      </w:r>
      <w:r>
        <w:rPr>
          <w:rFonts w:hint="eastAsia" w:ascii="宋体" w:hAnsi="宋体"/>
          <w:color w:val="000000" w:themeColor="text1"/>
          <w:kern w:val="0"/>
          <w:szCs w:val="21"/>
          <w:lang w:val="en-US" w:eastAsia="zh-CN"/>
          <w14:textFill>
            <w14:solidFill>
              <w14:schemeClr w14:val="tx1"/>
            </w14:solidFill>
          </w14:textFill>
        </w:rPr>
        <w:t>承包人</w:t>
      </w:r>
      <w:r>
        <w:rPr>
          <w:rFonts w:hint="eastAsia" w:ascii="宋体" w:hAnsi="宋体"/>
          <w:color w:val="000000" w:themeColor="text1"/>
          <w:kern w:val="0"/>
          <w:szCs w:val="21"/>
          <w14:textFill>
            <w14:solidFill>
              <w14:schemeClr w14:val="tx1"/>
            </w14:solidFill>
          </w14:textFill>
        </w:rPr>
        <w:t>应向</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或有关机关举报，</w:t>
      </w:r>
      <w:r>
        <w:rPr>
          <w:rFonts w:hint="eastAsia" w:ascii="宋体" w:hAnsi="宋体"/>
          <w:color w:val="000000" w:themeColor="text1"/>
          <w:kern w:val="0"/>
          <w:szCs w:val="21"/>
          <w:lang w:val="en-US" w:eastAsia="zh-CN"/>
          <w14:textFill>
            <w14:solidFill>
              <w14:schemeClr w14:val="tx1"/>
            </w14:solidFill>
          </w14:textFill>
        </w:rPr>
        <w:t>分包人</w:t>
      </w:r>
      <w:r>
        <w:rPr>
          <w:rFonts w:hint="eastAsia" w:ascii="宋体" w:hAnsi="宋体"/>
          <w:color w:val="000000" w:themeColor="text1"/>
          <w:kern w:val="0"/>
          <w:szCs w:val="21"/>
          <w14:textFill>
            <w14:solidFill>
              <w14:schemeClr w14:val="tx1"/>
            </w14:solidFill>
          </w14:textFill>
        </w:rPr>
        <w:t>应按照管理权限调查核实，并依据有关法律法规和规定给予党纪、政纪处分或公司制度项下处分处理；涉嫌犯罪的，向司法机关举报，追究刑事责任。</w:t>
      </w:r>
    </w:p>
    <w:p>
      <w:pPr>
        <w:tabs>
          <w:tab w:val="left" w:pos="630"/>
        </w:tabs>
        <w:adjustRightInd w:val="0"/>
        <w:spacing w:line="540" w:lineRule="exact"/>
        <w:ind w:firstLine="359" w:firstLineChars="171"/>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三）A方（指任何一方，下同）向B方（指另一方，下同）有关人员提供前述各条所禁止提供或收受的个人利益的，无论是否依B方有关人员的要求提供，也无论通过何种方式、何人提供，均须承担全部相应的法律责任，包括但不限于赔偿B方因该等不正当收受利益人员有关失职行为所发生的全部损失。B方并有权解除合同。B方有关人员未接受A方所给付的该等利益的，或其接受后未发现其失职造成B方损失的，或B方所发生的损失或部分损失难以计算的,按提供给B方人员个人利益每人次须付50万元计算违约金。</w:t>
      </w:r>
    </w:p>
    <w:p>
      <w:pPr>
        <w:tabs>
          <w:tab w:val="left" w:pos="630"/>
        </w:tabs>
        <w:adjustRightInd w:val="0"/>
        <w:spacing w:line="540" w:lineRule="exact"/>
        <w:ind w:firstLine="359" w:firstLineChars="171"/>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（四）B方有关人员因索要前述禁止的个人利益未成功或因未取得A方给付该等利益而未正常处理有关工作，造成B方违反合同的，B方须向A方承担违约责任，赔偿A方全部损失。</w:t>
      </w:r>
    </w:p>
    <w:p>
      <w:pPr>
        <w:tabs>
          <w:tab w:val="left" w:pos="630"/>
        </w:tabs>
        <w:adjustRightInd w:val="0"/>
        <w:spacing w:line="540" w:lineRule="exact"/>
        <w:ind w:left="1199" w:leftChars="221" w:hanging="735" w:hangingChars="350"/>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第五条　本责任书作为本工程合同的附件，与工程合同具有同等法律效力。</w:t>
      </w:r>
    </w:p>
    <w:p>
      <w:pPr>
        <w:tabs>
          <w:tab w:val="left" w:pos="630"/>
        </w:tabs>
        <w:adjustRightInd w:val="0"/>
        <w:spacing w:line="540" w:lineRule="exact"/>
        <w:textAlignment w:val="baseline"/>
        <w:rPr>
          <w:rFonts w:ascii="宋体" w:hAnsi="宋体"/>
          <w:color w:val="000000" w:themeColor="text1"/>
          <w:kern w:val="0"/>
          <w:szCs w:val="21"/>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第六条　本责任书的有效期为双方签署之日起至该工程建设项目竣工验收符合合同要求且结算完毕时止。</w:t>
      </w:r>
    </w:p>
    <w:p>
      <w:pPr>
        <w:tabs>
          <w:tab w:val="left" w:pos="630"/>
        </w:tabs>
        <w:adjustRightInd w:val="0"/>
        <w:spacing w:line="540" w:lineRule="exact"/>
        <w:textAlignment w:val="baseline"/>
        <w:rPr>
          <w:rFonts w:ascii="宋体" w:hAnsi="宋体"/>
          <w:color w:val="000000" w:themeColor="text1"/>
          <w:kern w:val="0"/>
          <w:sz w:val="22"/>
          <w14:textFill>
            <w14:solidFill>
              <w14:schemeClr w14:val="tx1"/>
            </w14:solidFill>
          </w14:textFill>
        </w:rPr>
      </w:pPr>
      <w:r>
        <w:rPr>
          <w:rFonts w:hint="eastAsia" w:ascii="宋体" w:hAnsi="宋体"/>
          <w:color w:val="000000" w:themeColor="text1"/>
          <w:kern w:val="0"/>
          <w:szCs w:val="21"/>
          <w14:textFill>
            <w14:solidFill>
              <w14:schemeClr w14:val="tx1"/>
            </w14:solidFill>
          </w14:textFill>
        </w:rPr>
        <w:t xml:space="preserve">    </w:t>
      </w:r>
    </w:p>
    <w:p>
      <w:pPr>
        <w:tabs>
          <w:tab w:val="left" w:pos="1870"/>
        </w:tabs>
        <w:adjustRightInd w:val="0"/>
        <w:snapToGrid w:val="0"/>
        <w:spacing w:line="540" w:lineRule="exact"/>
        <w:textAlignment w:val="baseline"/>
        <w:rPr>
          <w:rFonts w:ascii="宋体" w:hAnsi="宋体"/>
          <w:color w:val="000000" w:themeColor="text1"/>
          <w:kern w:val="0"/>
          <w:sz w:val="22"/>
          <w14:textFill>
            <w14:solidFill>
              <w14:schemeClr w14:val="tx1"/>
            </w14:solidFill>
          </w14:textFill>
        </w:rPr>
      </w:pPr>
      <w:r>
        <w:rPr>
          <w:rFonts w:hint="eastAsia" w:ascii="宋体" w:hAnsi="宋体"/>
          <w:color w:val="000000" w:themeColor="text1"/>
          <w:kern w:val="0"/>
          <w:sz w:val="22"/>
          <w:lang w:val="en-US" w:eastAsia="zh-CN"/>
          <w14:textFill>
            <w14:solidFill>
              <w14:schemeClr w14:val="tx1"/>
            </w14:solidFill>
          </w14:textFill>
        </w:rPr>
        <w:t>承包人</w:t>
      </w:r>
      <w:r>
        <w:rPr>
          <w:rFonts w:hint="eastAsia" w:ascii="宋体" w:hAnsi="宋体"/>
          <w:color w:val="000000" w:themeColor="text1"/>
          <w:kern w:val="0"/>
          <w:sz w:val="22"/>
          <w14:textFill>
            <w14:solidFill>
              <w14:schemeClr w14:val="tx1"/>
            </w14:solidFill>
          </w14:textFill>
        </w:rPr>
        <w:t xml:space="preserve">：（盖章）                        </w:t>
      </w:r>
      <w:r>
        <w:rPr>
          <w:rFonts w:hint="eastAsia" w:ascii="宋体" w:hAnsi="宋体"/>
          <w:color w:val="000000" w:themeColor="text1"/>
          <w:kern w:val="0"/>
          <w:sz w:val="22"/>
          <w:lang w:val="en-US" w:eastAsia="zh-CN"/>
          <w14:textFill>
            <w14:solidFill>
              <w14:schemeClr w14:val="tx1"/>
            </w14:solidFill>
          </w14:textFill>
        </w:rPr>
        <w:t>分包人</w:t>
      </w:r>
      <w:r>
        <w:rPr>
          <w:rFonts w:hint="eastAsia" w:ascii="宋体" w:hAnsi="宋体"/>
          <w:color w:val="000000" w:themeColor="text1"/>
          <w:kern w:val="0"/>
          <w:sz w:val="22"/>
          <w14:textFill>
            <w14:solidFill>
              <w14:schemeClr w14:val="tx1"/>
            </w14:solidFill>
          </w14:textFill>
        </w:rPr>
        <w:t xml:space="preserve">：（盖章） </w:t>
      </w:r>
    </w:p>
    <w:p>
      <w:pPr>
        <w:tabs>
          <w:tab w:val="left" w:pos="1870"/>
        </w:tabs>
        <w:adjustRightInd w:val="0"/>
        <w:snapToGrid w:val="0"/>
        <w:spacing w:line="540" w:lineRule="exact"/>
        <w:textAlignment w:val="baseline"/>
        <w:rPr>
          <w:rFonts w:ascii="宋体" w:hAnsi="宋体"/>
          <w:color w:val="000000" w:themeColor="text1"/>
          <w:kern w:val="0"/>
          <w:sz w:val="22"/>
          <w14:textFill>
            <w14:solidFill>
              <w14:schemeClr w14:val="tx1"/>
            </w14:solidFill>
          </w14:textFill>
        </w:rPr>
      </w:pPr>
      <w:r>
        <w:rPr>
          <w:rFonts w:hint="eastAsia" w:ascii="宋体" w:hAnsi="宋体"/>
          <w:color w:val="000000" w:themeColor="text1"/>
          <w:kern w:val="0"/>
          <w:sz w:val="22"/>
          <w14:textFill>
            <w14:solidFill>
              <w14:schemeClr w14:val="tx1"/>
            </w14:solidFill>
          </w14:textFill>
        </w:rPr>
        <w:t>法定代表人或授权代表人：                法定代表人或授权代表人：</w:t>
      </w:r>
    </w:p>
    <w:p>
      <w:pPr>
        <w:tabs>
          <w:tab w:val="left" w:pos="1870"/>
        </w:tabs>
        <w:adjustRightInd w:val="0"/>
        <w:snapToGrid w:val="0"/>
        <w:spacing w:line="540" w:lineRule="exact"/>
        <w:textAlignment w:val="baseline"/>
        <w:rPr>
          <w:rFonts w:ascii="宋体" w:hAnsi="宋体"/>
          <w:color w:val="000000" w:themeColor="text1"/>
          <w:kern w:val="0"/>
          <w:sz w:val="22"/>
          <w14:textFill>
            <w14:solidFill>
              <w14:schemeClr w14:val="tx1"/>
            </w14:solidFill>
          </w14:textFill>
        </w:rPr>
      </w:pPr>
    </w:p>
    <w:p>
      <w:pPr>
        <w:tabs>
          <w:tab w:val="left" w:pos="1870"/>
        </w:tabs>
        <w:adjustRightInd w:val="0"/>
        <w:snapToGrid w:val="0"/>
        <w:spacing w:line="540" w:lineRule="exact"/>
        <w:textAlignment w:val="baseline"/>
        <w:rPr>
          <w:rFonts w:ascii="宋体" w:hAnsi="宋体"/>
          <w:color w:val="000000" w:themeColor="text1"/>
          <w:kern w:val="0"/>
          <w:sz w:val="22"/>
          <w14:textFill>
            <w14:solidFill>
              <w14:schemeClr w14:val="tx1"/>
            </w14:solidFill>
          </w14:textFill>
        </w:rPr>
      </w:pPr>
      <w:r>
        <w:rPr>
          <w:rFonts w:hint="eastAsia" w:ascii="宋体" w:hAnsi="宋体"/>
          <w:color w:val="000000" w:themeColor="text1"/>
          <w:kern w:val="0"/>
          <w:sz w:val="22"/>
          <w14:textFill>
            <w14:solidFill>
              <w14:schemeClr w14:val="tx1"/>
            </w14:solidFill>
          </w14:textFill>
        </w:rPr>
        <w:t>签约日期：                              签约日期：</w:t>
      </w:r>
    </w:p>
    <w:p>
      <w:pPr>
        <w:tabs>
          <w:tab w:val="left" w:pos="1870"/>
        </w:tabs>
        <w:adjustRightInd w:val="0"/>
        <w:snapToGrid w:val="0"/>
        <w:spacing w:line="540" w:lineRule="exact"/>
        <w:textAlignment w:val="baseline"/>
        <w:rPr>
          <w:rFonts w:ascii="宋体" w:hAnsi="宋体"/>
          <w:color w:val="000000" w:themeColor="text1"/>
          <w:kern w:val="0"/>
          <w:sz w:val="22"/>
          <w14:textFill>
            <w14:solidFill>
              <w14:schemeClr w14:val="tx1"/>
            </w14:solidFill>
          </w14:textFill>
        </w:rPr>
      </w:pPr>
    </w:p>
    <w:p>
      <w:pPr>
        <w:adjustRightInd w:val="0"/>
        <w:spacing w:line="312" w:lineRule="atLeast"/>
        <w:textAlignment w:val="baseline"/>
        <w:rPr>
          <w:color w:val="000000" w:themeColor="text1"/>
          <w:kern w:val="0"/>
          <w:szCs w:val="20"/>
          <w14:textFill>
            <w14:solidFill>
              <w14:schemeClr w14:val="tx1"/>
            </w14:solidFill>
          </w14:textFill>
        </w:rPr>
      </w:pPr>
    </w:p>
    <w:p>
      <w:pPr>
        <w:pStyle w:val="2"/>
        <w:spacing w:line="500" w:lineRule="exact"/>
        <w:rPr>
          <w:rFonts w:hint="eastAsia" w:ascii="仿宋" w:hAnsi="仿宋" w:eastAsia="仿宋"/>
          <w:color w:val="000000" w:themeColor="text1"/>
          <w:sz w:val="30"/>
          <w:szCs w:val="30"/>
          <w:lang w:eastAsia="zh-CN"/>
          <w14:textFill>
            <w14:solidFill>
              <w14:schemeClr w14:val="tx1"/>
            </w14:solidFill>
          </w14:textFill>
        </w:rPr>
      </w:pPr>
      <w:r>
        <w:rPr>
          <w:color w:val="000000" w:themeColor="text1"/>
          <w:sz w:val="30"/>
          <w:szCs w:val="30"/>
          <w14:textFill>
            <w14:solidFill>
              <w14:schemeClr w14:val="tx1"/>
            </w14:solidFill>
          </w14:textFill>
        </w:rPr>
        <w:br w:type="page"/>
      </w:r>
      <w:bookmarkStart w:id="936" w:name="_Toc22912"/>
      <w:bookmarkStart w:id="937" w:name="_Toc118446915"/>
      <w:bookmarkStart w:id="938" w:name="_Toc11990"/>
      <w:bookmarkStart w:id="939" w:name="_Toc44227956"/>
      <w:bookmarkStart w:id="940" w:name="_Toc44492633"/>
      <w:bookmarkStart w:id="941" w:name="_Toc7459"/>
      <w:r>
        <w:rPr>
          <w:rFonts w:hint="eastAsia" w:ascii="仿宋" w:hAnsi="仿宋" w:eastAsia="仿宋"/>
          <w:color w:val="000000" w:themeColor="text1"/>
          <w:sz w:val="30"/>
          <w:szCs w:val="30"/>
          <w14:textFill>
            <w14:solidFill>
              <w14:schemeClr w14:val="tx1"/>
            </w14:solidFill>
          </w14:textFill>
        </w:rPr>
        <w:t>附件8 已标价工程量清单</w:t>
      </w:r>
      <w:bookmarkEnd w:id="936"/>
      <w:bookmarkEnd w:id="937"/>
      <w:r>
        <w:rPr>
          <w:rFonts w:hint="eastAsia" w:ascii="仿宋" w:hAnsi="仿宋" w:eastAsia="仿宋"/>
          <w:color w:val="000000" w:themeColor="text1"/>
          <w:sz w:val="30"/>
          <w:szCs w:val="30"/>
          <w:lang w:eastAsia="zh-CN"/>
          <w14:textFill>
            <w14:solidFill>
              <w14:schemeClr w14:val="tx1"/>
            </w14:solidFill>
          </w14:textFill>
        </w:rPr>
        <w:t>（</w:t>
      </w:r>
      <w:r>
        <w:rPr>
          <w:rFonts w:hint="eastAsia" w:ascii="仿宋" w:hAnsi="仿宋" w:eastAsia="仿宋"/>
          <w:color w:val="000000" w:themeColor="text1"/>
          <w:sz w:val="30"/>
          <w:szCs w:val="30"/>
          <w:lang w:val="en-US" w:eastAsia="zh-CN"/>
          <w14:textFill>
            <w14:solidFill>
              <w14:schemeClr w14:val="tx1"/>
            </w14:solidFill>
          </w14:textFill>
        </w:rPr>
        <w:t>另册</w:t>
      </w:r>
      <w:r>
        <w:rPr>
          <w:rFonts w:hint="eastAsia" w:ascii="仿宋" w:hAnsi="仿宋" w:eastAsia="仿宋"/>
          <w:color w:val="000000" w:themeColor="text1"/>
          <w:sz w:val="30"/>
          <w:szCs w:val="30"/>
          <w:lang w:eastAsia="zh-CN"/>
          <w14:textFill>
            <w14:solidFill>
              <w14:schemeClr w14:val="tx1"/>
            </w14:solidFill>
          </w14:textFill>
        </w:rPr>
        <w:t>）</w:t>
      </w:r>
    </w:p>
    <w:p>
      <w:pPr>
        <w:adjustRightInd/>
        <w:spacing w:line="240" w:lineRule="auto"/>
        <w:ind w:firstLine="560" w:firstLineChars="200"/>
        <w:jc w:val="left"/>
        <w:textAlignment w:val="auto"/>
        <w:rPr>
          <w:rFonts w:hint="eastAsia" w:ascii="仿宋" w:hAnsi="仿宋" w:eastAsia="仿宋"/>
          <w:color w:val="000000" w:themeColor="text1"/>
          <w:kern w:val="2"/>
          <w:sz w:val="28"/>
          <w:szCs w:val="28"/>
          <w14:textFill>
            <w14:solidFill>
              <w14:schemeClr w14:val="tx1"/>
            </w14:solidFill>
          </w14:textFill>
        </w:rPr>
      </w:pPr>
      <w:r>
        <w:rPr>
          <w:rFonts w:hint="eastAsia" w:ascii="仿宋" w:hAnsi="仿宋" w:eastAsia="仿宋"/>
          <w:color w:val="000000" w:themeColor="text1"/>
          <w:kern w:val="2"/>
          <w:sz w:val="28"/>
          <w:szCs w:val="28"/>
          <w14:textFill>
            <w14:solidFill>
              <w14:schemeClr w14:val="tx1"/>
            </w14:solidFill>
          </w14:textFill>
        </w:rPr>
        <w:t>一、投标报价须知</w:t>
      </w:r>
    </w:p>
    <w:p>
      <w:pPr>
        <w:rPr>
          <w:color w:val="000000" w:themeColor="text1"/>
          <w:sz w:val="30"/>
          <w:szCs w:val="30"/>
          <w14:textFill>
            <w14:solidFill>
              <w14:schemeClr w14:val="tx1"/>
            </w14:solidFill>
          </w14:textFill>
        </w:rPr>
      </w:pPr>
    </w:p>
    <w:p>
      <w:pPr>
        <w:ind w:firstLine="560" w:firstLineChars="200"/>
        <w:rPr>
          <w:rFonts w:eastAsia="仿宋"/>
          <w:color w:val="000000" w:themeColor="text1"/>
          <w:sz w:val="28"/>
          <w:szCs w:val="28"/>
          <w14:textFill>
            <w14:solidFill>
              <w14:schemeClr w14:val="tx1"/>
            </w14:solidFill>
          </w14:textFill>
        </w:rPr>
      </w:pPr>
      <w:r>
        <w:rPr>
          <w:rFonts w:hint="eastAsia" w:ascii="仿宋" w:hAnsi="仿宋" w:eastAsia="仿宋"/>
          <w:color w:val="000000" w:themeColor="text1"/>
          <w:sz w:val="28"/>
          <w:szCs w:val="28"/>
          <w14:textFill>
            <w14:solidFill>
              <w14:schemeClr w14:val="tx1"/>
            </w14:solidFill>
          </w14:textFill>
        </w:rPr>
        <w:t>二、已标价工程量清单（另册）</w:t>
      </w: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rPr>
          <w:color w:val="000000" w:themeColor="text1"/>
          <w:sz w:val="30"/>
          <w:szCs w:val="30"/>
          <w14:textFill>
            <w14:solidFill>
              <w14:schemeClr w14:val="tx1"/>
            </w14:solidFill>
          </w14:textFill>
        </w:rPr>
      </w:pPr>
    </w:p>
    <w:p>
      <w:pPr>
        <w:pStyle w:val="2"/>
        <w:rPr>
          <w:rFonts w:ascii="仿宋" w:hAnsi="仿宋" w:eastAsia="仿宋"/>
          <w:color w:val="000000" w:themeColor="text1"/>
          <w:sz w:val="30"/>
          <w:szCs w:val="30"/>
          <w14:textFill>
            <w14:solidFill>
              <w14:schemeClr w14:val="tx1"/>
            </w14:solidFill>
          </w14:textFill>
        </w:rPr>
      </w:pPr>
      <w:bookmarkStart w:id="942" w:name="_Toc19595"/>
      <w:bookmarkStart w:id="943" w:name="_Toc118446916"/>
      <w:r>
        <w:rPr>
          <w:rFonts w:hint="eastAsia" w:ascii="仿宋" w:hAnsi="仿宋" w:eastAsia="仿宋"/>
          <w:color w:val="000000" w:themeColor="text1"/>
          <w:sz w:val="30"/>
          <w:szCs w:val="30"/>
          <w14:textFill>
            <w14:solidFill>
              <w14:schemeClr w14:val="tx1"/>
            </w14:solidFill>
          </w14:textFill>
        </w:rPr>
        <w:t>附件9 项目工程施工现场管理办法</w:t>
      </w:r>
      <w:bookmarkEnd w:id="942"/>
      <w:bookmarkEnd w:id="943"/>
    </w:p>
    <w:p>
      <w:pPr>
        <w:spacing w:line="360" w:lineRule="auto"/>
        <w:jc w:val="center"/>
        <w:rPr>
          <w:b/>
          <w:color w:val="000000" w:themeColor="text1"/>
          <w14:textFill>
            <w14:solidFill>
              <w14:schemeClr w14:val="tx1"/>
            </w14:solidFill>
          </w14:textFill>
        </w:rPr>
      </w:pPr>
      <w:r>
        <w:rPr>
          <w:rFonts w:ascii="宋体" w:hAnsi="宋体"/>
          <w:b/>
          <w:color w:val="000000" w:themeColor="text1"/>
          <w:sz w:val="24"/>
          <w:u w:val="single"/>
          <w14:textFill>
            <w14:solidFill>
              <w14:schemeClr w14:val="tx1"/>
            </w14:solidFill>
          </w14:textFill>
        </w:rPr>
        <w:t>粤海</w:t>
      </w:r>
      <w:r>
        <w:rPr>
          <w:rFonts w:hint="eastAsia" w:ascii="宋体" w:hAnsi="宋体"/>
          <w:b/>
          <w:color w:val="000000" w:themeColor="text1"/>
          <w:sz w:val="24"/>
          <w:u w:val="single"/>
          <w14:textFill>
            <w14:solidFill>
              <w14:schemeClr w14:val="tx1"/>
            </w14:solidFill>
          </w14:textFill>
        </w:rPr>
        <w:t>·</w:t>
      </w:r>
      <w:r>
        <w:rPr>
          <w:rFonts w:ascii="宋体" w:hAnsi="宋体"/>
          <w:b/>
          <w:color w:val="000000" w:themeColor="text1"/>
          <w:sz w:val="24"/>
          <w:u w:val="single"/>
          <w14:textFill>
            <w14:solidFill>
              <w14:schemeClr w14:val="tx1"/>
            </w14:solidFill>
          </w14:textFill>
        </w:rPr>
        <w:t>云港城</w:t>
      </w:r>
      <w:r>
        <w:rPr>
          <w:rFonts w:hint="eastAsia" w:ascii="宋体" w:hAnsi="宋体"/>
          <w:b/>
          <w:color w:val="000000" w:themeColor="text1"/>
          <w:sz w:val="24"/>
          <w:u w:val="single"/>
          <w14:textFill>
            <w14:solidFill>
              <w14:schemeClr w14:val="tx1"/>
            </w14:solidFill>
          </w14:textFill>
        </w:rPr>
        <w:t>项目</w:t>
      </w:r>
      <w:r>
        <w:rPr>
          <w:rFonts w:hint="eastAsia" w:ascii="宋体" w:hAnsi="宋体"/>
          <w:b/>
          <w:color w:val="000000" w:themeColor="text1"/>
          <w:sz w:val="24"/>
          <w14:textFill>
            <w14:solidFill>
              <w14:schemeClr w14:val="tx1"/>
            </w14:solidFill>
          </w14:textFill>
        </w:rPr>
        <w:t>工程施工现场管理办法</w:t>
      </w:r>
    </w:p>
    <w:p>
      <w:pPr>
        <w:spacing w:line="360" w:lineRule="auto"/>
        <w:rPr>
          <w:color w:val="000000" w:themeColor="text1"/>
          <w14:textFill>
            <w14:solidFill>
              <w14:schemeClr w14:val="tx1"/>
            </w14:solidFill>
          </w14:textFill>
        </w:rPr>
      </w:pPr>
    </w:p>
    <w:p>
      <w:pPr>
        <w:spacing w:line="360" w:lineRule="auto"/>
        <w:rPr>
          <w:rFonts w:asciiTheme="minorEastAsia" w:hAnsiTheme="minorEastAsia" w:eastAsiaTheme="minorEastAsia"/>
          <w:b/>
          <w:color w:val="000000" w:themeColor="text1"/>
          <w14:textFill>
            <w14:solidFill>
              <w14:schemeClr w14:val="tx1"/>
            </w14:solidFill>
          </w14:textFill>
        </w:rPr>
      </w:pPr>
      <w:r>
        <w:rPr>
          <w:rFonts w:hint="eastAsia" w:asciiTheme="minorEastAsia" w:hAnsiTheme="minorEastAsia" w:eastAsiaTheme="minorEastAsia"/>
          <w:b/>
          <w:color w:val="000000" w:themeColor="text1"/>
          <w14:textFill>
            <w14:solidFill>
              <w14:schemeClr w14:val="tx1"/>
            </w14:solidFill>
          </w14:textFill>
        </w:rPr>
        <w:t>1.目的</w:t>
      </w:r>
      <w:r>
        <w:rPr>
          <w:rFonts w:hint="eastAsia" w:cs="宋体" w:asciiTheme="minorEastAsia" w:hAnsiTheme="minorEastAsia" w:eastAsiaTheme="minorEastAsia"/>
          <w:b/>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为了加强对本工程总承包人、专业工程承包人、暂估价项目分包人的管理，使所选择的承包人能满足发包人的要求，以确保整个工程安全、质量和进度，并保证对承包人的管理更加规范、有效，达到统一管理,规范行动，特制订本制度。</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rPr>
          <w:rFonts w:asciiTheme="minorEastAsia" w:hAnsiTheme="minorEastAsia" w:eastAsiaTheme="minorEastAsia"/>
          <w:b/>
          <w:color w:val="000000" w:themeColor="text1"/>
          <w14:textFill>
            <w14:solidFill>
              <w14:schemeClr w14:val="tx1"/>
            </w14:solidFill>
          </w14:textFill>
        </w:rPr>
      </w:pPr>
      <w:r>
        <w:rPr>
          <w:rFonts w:hint="eastAsia" w:asciiTheme="minorEastAsia" w:hAnsiTheme="minorEastAsia" w:eastAsiaTheme="minorEastAsia"/>
          <w:b/>
          <w:color w:val="000000" w:themeColor="text1"/>
          <w14:textFill>
            <w14:solidFill>
              <w14:schemeClr w14:val="tx1"/>
            </w14:solidFill>
          </w14:textFill>
        </w:rPr>
        <w:t>2.适用范围</w:t>
      </w:r>
      <w:r>
        <w:rPr>
          <w:rFonts w:hint="eastAsia" w:cs="宋体" w:asciiTheme="minorEastAsia" w:hAnsiTheme="minorEastAsia" w:eastAsiaTheme="minorEastAsia"/>
          <w:b/>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本制度适用于</w:t>
      </w:r>
      <w:r>
        <w:rPr>
          <w:rFonts w:hint="eastAsia" w:asciiTheme="minorEastAsia" w:hAnsiTheme="minorEastAsia" w:eastAsiaTheme="minorEastAsia"/>
          <w:color w:val="000000" w:themeColor="text1"/>
          <w:u w:val="single"/>
          <w14:textFill>
            <w14:solidFill>
              <w14:schemeClr w14:val="tx1"/>
            </w14:solidFill>
          </w14:textFill>
        </w:rPr>
        <w:t>云港城项目</w:t>
      </w:r>
      <w:r>
        <w:rPr>
          <w:rFonts w:hint="eastAsia" w:asciiTheme="minorEastAsia" w:hAnsiTheme="minorEastAsia" w:eastAsiaTheme="minorEastAsia"/>
          <w:color w:val="000000" w:themeColor="text1"/>
          <w14:textFill>
            <w14:solidFill>
              <w14:schemeClr w14:val="tx1"/>
            </w14:solidFill>
          </w14:textFill>
        </w:rPr>
        <w:t>。任何按合同及协议进入现场的总承包人、专业工程承包人、暂估价项目分包人以及承包人的分包人均必须遵照执行。</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rPr>
          <w:rFonts w:asciiTheme="minorEastAsia" w:hAnsiTheme="minorEastAsia" w:eastAsiaTheme="minorEastAsia"/>
          <w:b/>
          <w:color w:val="000000" w:themeColor="text1"/>
          <w14:textFill>
            <w14:solidFill>
              <w14:schemeClr w14:val="tx1"/>
            </w14:solidFill>
          </w14:textFill>
        </w:rPr>
      </w:pPr>
      <w:r>
        <w:rPr>
          <w:rFonts w:hint="eastAsia" w:asciiTheme="minorEastAsia" w:hAnsiTheme="minorEastAsia" w:eastAsiaTheme="minorEastAsia"/>
          <w:b/>
          <w:color w:val="000000" w:themeColor="text1"/>
          <w14:textFill>
            <w14:solidFill>
              <w14:schemeClr w14:val="tx1"/>
            </w14:solidFill>
          </w14:textFill>
        </w:rPr>
        <w:t>3.发包人项目部职责</w:t>
      </w:r>
      <w:r>
        <w:rPr>
          <w:rFonts w:hint="eastAsia" w:cs="宋体" w:asciiTheme="minorEastAsia" w:hAnsiTheme="minorEastAsia" w:eastAsiaTheme="minorEastAsia"/>
          <w:b/>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3.1监督总承包人（含其分包）与专业工程承包人、暂估价项目分包人的质量管理、成品保护管理、资料管理、物资材料管理、工程预结算管理、环境体系管理及相关培训管理工作；</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3.2监督总承包人（含其分包）与专业工程承包人、暂估价项目分包人的现场施工管理、计划管理、技术管理、计量管理及相关培训管理工作；</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3.3监督总承包人（含其分包）与专业工程承包人、暂估价项目分包人的进场管理、教育培训管理和质量、环境、职业安全卫生体系运行管理、消防管理、现场安全生产管理、文明施工管理及相关培训管理工作；</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3.4监督总承包人（含其分包）与专业工程承包人、暂估价项目分包人的机电管理、施工机械管理、施工机具管理、施工用电管理、施工用水管理及相关培训管理工作；</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3.5监督总承包人（含其分包）与专业工程承包人、暂估价项目分包人应承担的与各参建单位、政府、各相关职能部门的协调管理工作；</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color w:val="000000" w:themeColor="text1"/>
          <w14:textFill>
            <w14:solidFill>
              <w14:schemeClr w14:val="tx1"/>
            </w14:solidFill>
          </w14:textFill>
        </w:rPr>
        <w:t>4. 总承包人、专业工程承包人管理</w:t>
      </w:r>
      <w:r>
        <w:rPr>
          <w:rFonts w:hint="eastAsia" w:cs="宋体" w:asciiTheme="minorEastAsia" w:hAnsiTheme="minorEastAsia" w:eastAsiaTheme="minorEastAsia"/>
          <w:b/>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4.1组织管理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各承包人各自组建项目管理机构，并在开工前报发包人、监理单位，承包人所投入的工程管理人员和工程技术人员应与投标文件保持一致，发包人不要求更换时不得更换，因特殊情况需要更换的，承包人应至少提前7天以书面形式向监理单位提出意向（附前任和后任人员的详细履历资料），经监理工程师签署意见后向发包人提出申请，并征得发包人同意。承包人必须保证后任人员的资质、资历、业绩、实际工作能力不低于前任人员的素质。即使发包人同意更换，也不免除承包人应承担的违约责任。工程管理人员和工程技术人员的资格证书需报发包人、监理单位备案。</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发包人项目部、监理单位项目部每月对各承包人主要管理人员进行工作能力、协调能力、工作饱和度、积极性等综合考评，连续三次考评成绩不达标的将进行警告和通报，对综合能力不能胜任者将予以劝退及更换</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并按合同追究违约责任。</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4.2技术质量管理</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4.2.1施工技术管理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必须建立技术文件管理制度，因承包人原因造成的施工错误的一切后果自负。</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各承包人负责编制施工组织设计及本专业各类施工方案，负责方案的落实工作。施工前，首先由承包人项目部技术负责人对施工管理人员进行技术交底及安全技术交底，由施工管理人员给作业人员进行技术交底并指导施工，安全技术交底须明确交至每位作业人员并签字确认，并需将交底书面上报承包人项目部，项目总技术负责人、项目经理审批后方可依照施工。各承包人的分包人由各承包人的技术负责人对分包人技术负责人进行技术交底及安全技术交底，分包人技术负责人给作业人员进行技术交底并指导施工，安全技术交底须明确交至每位作业人员并签字确认，并需将交底书面上报总包项目部，项目总技术负责人、项目经理审批后方可依照施工。未经批准的各类施工方案及未经安全技术交底进行施工的，除立即停止施工外，每次收取违约金1000-20000元。</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4.2.2设计变更、洽商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施工过程中发生的图纸、设计问题，由承包人技术负责人及时向监理单位及发包人工程师或负责人反映，由发包人与设计单位联系，并办理设计变更、洽商记录。施工过程中发生的图纸更改、洽商等，均由发包人统一下发给各相关承包人施工技术负责人；</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4.2.3材料管理及施工试验</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（1）各承包人负责编制本单位的材料、设备进场计划及施工试验计划，并报监理、发包人备案；需根据项目的材料设备进场计划时间，至少提前</w:t>
      </w:r>
      <w:r>
        <w:rPr>
          <w:rFonts w:asciiTheme="minorEastAsia" w:hAnsiTheme="minorEastAsia" w:eastAsiaTheme="minorEastAsia"/>
          <w:color w:val="000000" w:themeColor="text1"/>
          <w14:textFill>
            <w14:solidFill>
              <w14:schemeClr w14:val="tx1"/>
            </w14:solidFill>
          </w14:textFill>
        </w:rPr>
        <w:t>60</w:t>
      </w:r>
      <w:r>
        <w:rPr>
          <w:rFonts w:hint="eastAsia" w:asciiTheme="minorEastAsia" w:hAnsiTheme="minorEastAsia" w:eastAsiaTheme="minorEastAsia"/>
          <w:color w:val="000000" w:themeColor="text1"/>
          <w14:textFill>
            <w14:solidFill>
              <w14:schemeClr w14:val="tx1"/>
            </w14:solidFill>
          </w14:textFill>
        </w:rPr>
        <w:t>天进行材料设备品牌、型号送审工作，所选的材料设备品牌需在发包人提供的品牌范围内；所选材料设备型号的技术参数应满足设计图纸及发包人提供的技术参数要求，</w:t>
      </w:r>
      <w:r>
        <w:rPr>
          <w:rFonts w:asciiTheme="minorEastAsia" w:hAnsiTheme="minorEastAsia" w:eastAsiaTheme="minorEastAsia"/>
          <w:color w:val="000000" w:themeColor="text1"/>
          <w14:textFill>
            <w14:solidFill>
              <w14:schemeClr w14:val="tx1"/>
            </w14:solidFill>
          </w14:textFill>
        </w:rPr>
        <w:t>送审的主要设备材料技术参数必须与招标文件技术要求相一致。</w:t>
      </w:r>
      <w:r>
        <w:rPr>
          <w:rFonts w:hint="eastAsia" w:asciiTheme="minorEastAsia" w:hAnsiTheme="minorEastAsia" w:eastAsiaTheme="minorEastAsia"/>
          <w:color w:val="000000" w:themeColor="text1"/>
          <w14:textFill>
            <w14:solidFill>
              <w14:schemeClr w14:val="tx1"/>
            </w14:solidFill>
          </w14:textFill>
        </w:rPr>
        <w:t xml:space="preserve">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（2）施工单位需提供的材料基础资料包括但不限于如下所列：</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1</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《主要材料送审审批表》（表格按发包人提供）</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2</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设备材料厂家、供应商的营业执照、税务登记证。</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设备材料的产品合格证</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4</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设备材料的型式检验报告</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5</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进口关税报单（进口产品）</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6</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品牌</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厂家的授权书</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7</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其它需要提供的证明、证书文件（如消防、认证、节能等）</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8</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所选用产品的技术参数及对应的样本</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9</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 xml:space="preserve"> </w:t>
      </w:r>
      <w:r>
        <w:rPr>
          <w:rFonts w:hint="eastAsia" w:asciiTheme="minorEastAsia" w:hAnsiTheme="minorEastAsia" w:eastAsiaTheme="minorEastAsia"/>
          <w:color w:val="000000" w:themeColor="text1"/>
          <w14:textFill>
            <w14:solidFill>
              <w14:schemeClr w14:val="tx1"/>
            </w14:solidFill>
          </w14:textFill>
        </w:rPr>
        <w:t>填写提供所选用产品型号的参数与技术文件的技术响应表、差异对比表</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材料、设备进场前承包人需完成进场报审工作，经发包人审批同意进场后，方可通知供应商安排材料设备进场，进场报审资料包括但不限于：承包人或其经审批的专业分包人与相关厂家或授权代理商签订的供货合同（注：授权代理商须提供项目授权或年度授权证明）、出厂合格证、各种产品质量认证证书、出厂试验报告、型式试验报告、第三方检测报告、相关保证函、厂家联系方式、验证方式、厂家确认的出货单等相关正规渠道出货证明。其中，进口材料设备还需要提供报关单、原产地证明、商检证明文件。进场后必须认真按有关标准、样板进行检验、试验，验收合格后方可报发包人，经发包人确认后方能使用。</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各承包人的材料计划、定板计划提交给监理单位审核后，报发包人。发包人根据实际情况启动材料看样定板审批程序，看样定板材料未经审批封存的不准进场投入施工需要。重点看样定板材料进场计划需提前60天报发包人项目部，予以对其在技术性能、经济指标、规格、颜色、所申报品牌/厂家是否符合发包人确定的品牌/厂家范围等方面进行审核。</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（5）本工程的材料、设备在制造、运输、安装等实施过程中，监理单位、发包人有权视需要采取形式不一的监督行为，施工单位须无条件配合。</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（6）</w:t>
      </w:r>
      <w:r>
        <w:rPr>
          <w:rFonts w:hint="eastAsia" w:asciiTheme="minorEastAsia" w:hAnsiTheme="minorEastAsia" w:eastAsiaTheme="minorEastAsia"/>
          <w:color w:val="000000" w:themeColor="text1"/>
          <w14:textFill>
            <w14:solidFill>
              <w14:schemeClr w14:val="tx1"/>
            </w14:solidFill>
          </w14:textFill>
        </w:rPr>
        <w:t>物料进场及施工过程中的试验必须听从监理单位及发包人工程师安排，执行见证取样规定经监理见证取样。物料进场不及时报验，每批次收取违约金2000元，如果发生物料、设备已用到工程上或发现不合格者，除全部拆除或退场外，每发生一次收取违约金5000元。</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w:t>
      </w:r>
      <w:r>
        <w:rPr>
          <w:rFonts w:hint="eastAsia" w:cs="宋体" w:asciiTheme="minorEastAsia" w:hAnsiTheme="minorEastAsia" w:eastAsiaTheme="minorEastAsia"/>
          <w:color w:val="000000" w:themeColor="text1"/>
          <w:kern w:val="0"/>
          <w:szCs w:val="21"/>
          <w14:textFill>
            <w14:solidFill>
              <w14:schemeClr w14:val="tx1"/>
            </w14:solidFill>
          </w14:textFill>
        </w:rPr>
        <w:t>本工程的材料、设备的进场报验，监理单位、发包人有权视需要聘请第三方专业检测机构进行检测，施工单位须无条件配合并承担相关费用。</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w:t>
      </w:r>
      <w:r>
        <w:rPr>
          <w:rFonts w:hint="eastAsia" w:cs="宋体" w:asciiTheme="minorEastAsia" w:hAnsiTheme="minorEastAsia" w:eastAsiaTheme="minorEastAsia"/>
          <w:color w:val="000000" w:themeColor="text1"/>
          <w:kern w:val="0"/>
          <w:szCs w:val="21"/>
          <w14:textFill>
            <w14:solidFill>
              <w14:schemeClr w14:val="tx1"/>
            </w14:solidFill>
          </w14:textFill>
        </w:rPr>
        <w:t>发包人</w:t>
      </w:r>
      <w:r>
        <w:rPr>
          <w:rFonts w:hint="eastAsia" w:asciiTheme="minorEastAsia" w:hAnsiTheme="minorEastAsia" w:eastAsiaTheme="minorEastAsia"/>
          <w:color w:val="000000" w:themeColor="text1"/>
          <w14:textFill>
            <w14:solidFill>
              <w14:schemeClr w14:val="tx1"/>
            </w14:solidFill>
          </w14:textFill>
        </w:rPr>
        <w:t>抽检</w:t>
      </w:r>
      <w:r>
        <w:rPr>
          <w:rFonts w:hint="eastAsia" w:cs="宋体" w:asciiTheme="minorEastAsia" w:hAnsiTheme="minorEastAsia" w:eastAsiaTheme="minorEastAsia"/>
          <w:color w:val="000000" w:themeColor="text1"/>
          <w:kern w:val="0"/>
          <w:szCs w:val="21"/>
          <w14:textFill>
            <w14:solidFill>
              <w14:schemeClr w14:val="tx1"/>
            </w14:solidFill>
          </w14:textFill>
        </w:rPr>
        <w:t>：除根据政策要求的第三方检测和监理相关检测外，根据工程实际情况，发包人对有疑问、高价值、对效果有重大影响、易产生不合格品的材料设备有权实施抽检，计划内的抽检不得提出工期索赔。检验的结果证明该项材料、设备不符合合同要求的，因此增加的费用和（或）工期延误由承包人承担；检验结果证明该项材料、设备符合合同要求的，由发包人承担因此增加的费用和（或）工期延误。</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4.2.4施工测量</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发包人工程师负责向承包人提供基准线，监理单位负责对承包人所放线进行校核工作；承包人测量员负责对基准线、点进行检查、维护工作。承包人使用的测量仪器必须是在有效期内、按经检测、校准确保合格后方可使用，并将有关检测证明资料报监理单位、发包人备案。</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发现测量仪器不在有效期内、按经检测、校准不合格而使用，每发生一次收取违约金2000元，并重新进行测量。</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4.2.5工序验收</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各工序完成后，承包人首先进行自检，自检合格后，按照项目资料报验要求，报质检员验收，质检员验收合格后，报监理验收，监理验收合格后，报发包人验收，合格并书面签认后方可进行下道工序。分包人：首先进行自检，自检合格后，由分包人质检员按照项目资料报验要求，报总包质检员验收，质检员验收合格后，报监理验收，监理验收合格后，报发包人验收，合格并书面签认后方可进行下道工序。未经验收合格签字而进行下道工序施工的，除全部拆除返工外，每发生一次收取违约金1000-30000元</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所有分包人人员不得直接找监理、发包人、设计报验，所有检验、试验等均由项目总包单位报验监理单位、发包人、设计单位。</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4.2.6质量管理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本工程质量管理目标：确保合格工程，争创市样板工程奖。</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对此目标，各承包人必须建立质量管理体系，有明确的职责分工和管理程序，并报监理单位及发包人认可后组织实施，在实施过程中接受监理、发包人的监督管理。承包人质检员必须严格按标准规范、《建筑工程质量通病防治手册》和本单位编制的质量目标进行自检、验收，自检合格后报验收。</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为保证工程质量，使承包人、监理单位、发包人对现场施工工艺及质量标准达成共识，实行样板制度。实行“样板先行”制度既是对施工工艺的检验，也是对分项工程施工质量标准的确定；本工程所有分项工程均需做施工样板，各分项工程施工样板的展示及施工质量标准经监理单位、发包人验收合格后方可进行大面施工，样板展示内容包括：现浇混凝土观感样板、砌筑工程的植筋样板、墙体砌筑样板、墙体抹灰样板、卫生间防水样板、墙体水电管预埋样板、外墙砖贴砖样板、屋面防水样板、门窗安装、装修样板等等。</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施工样板第一次验收不合格，进行整改并收取违约金2000元；</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施工样板第二次验收不合格，进行整改并收取违约金5000元；</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 xml:space="preserve">施工样板第三次验收不合格，施工队伍退场并收取违约金10000元； </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每个施工班组（队伍）在施工前均必须进行工程样板施工，样板、施工工艺经监理、发包人验收合格，该施工班组（队伍）方可进行大面积施工；经验收不合格，经整改还不达标的样板、施工工艺，该施工班组（队伍）应在2天内撤离现场，不配合或拒绝撤离现场，向责任单位收取违约金2000-10000元/天。</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装修、机电安装班组（队伍）必须具有类似工程经验，并在进场前提供近两年施工项目业绩，并配合项目部组织考察。考察不合格班组，不允许进场，已经进场的2天内撤离现场，不配合或拒绝撤离现场，向责任单位收取违约金2000-10000元/天。</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对监理、发包人提出的问题必须立即整改，局部整改或整改后仍然达不到要求的或未按规定时间整改的每次收取违约金1000元。施工过程中，必须严格遵守强制性条文，违反规范中强制性条文的必须全部整改，同时每发生一次收取违约金5000元。</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4.2.7计量管理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每月25日前上报本月已完成工程量，经审核无误后方可上报监理单位，监理单位审核后报发包人进行审核计量计价。未经审核无误或延迟上报的完成工程量</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，发包人将无法按时拨付工程款。(未按约定时间上报当月工程量的，将自动累计到下月上报)</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4.2.8资料管理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本工程执行《</w:t>
      </w:r>
      <w:r>
        <w:rPr>
          <w:rFonts w:hint="eastAsia" w:asciiTheme="minorEastAsia" w:hAnsiTheme="minorEastAsia" w:eastAsiaTheme="minorEastAsia"/>
          <w:color w:val="000000" w:themeColor="text1"/>
          <w:u w:val="single"/>
          <w14:textFill>
            <w14:solidFill>
              <w14:schemeClr w14:val="tx1"/>
            </w14:solidFill>
          </w14:textFill>
        </w:rPr>
        <w:t>广东省</w:t>
      </w:r>
      <w:r>
        <w:rPr>
          <w:rFonts w:hint="eastAsia" w:asciiTheme="minorEastAsia" w:hAnsiTheme="minorEastAsia" w:eastAsiaTheme="minorEastAsia"/>
          <w:color w:val="000000" w:themeColor="text1"/>
          <w14:textFill>
            <w14:solidFill>
              <w14:schemeClr w14:val="tx1"/>
            </w14:solidFill>
          </w14:textFill>
        </w:rPr>
        <w:t>建筑工程资料规程》和全面实施的各种验收规范，各承包人应严格按监理单位及发包人规定执行资料报验，所有资料必须与工程进度同步进行，对迟报、漏报、不齐全、不真实、未与工程进度同步进行的每次收取违约金1000元。</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施工过程中各类内业资料，如工程档案、安全内业、工程签证资料、工程日志、照录相声光资料及工程竣工验收档案资料必须按照发包人、监理单位和相关档案编制要求及时进行收集整理，分类归档，按时报送有关部门，违反上述规定收取违约金1</w:t>
      </w:r>
      <w:r>
        <w:rPr>
          <w:rFonts w:asciiTheme="minorEastAsia" w:hAnsiTheme="minorEastAsia" w:eastAsiaTheme="minorEastAsia"/>
          <w:color w:val="000000" w:themeColor="text1"/>
          <w14:textFill>
            <w14:solidFill>
              <w14:schemeClr w14:val="tx1"/>
            </w14:solidFill>
          </w14:textFill>
        </w:rPr>
        <w:t>00</w:t>
      </w:r>
      <w:r>
        <w:rPr>
          <w:rFonts w:hint="eastAsia" w:asciiTheme="minorEastAsia" w:hAnsiTheme="minorEastAsia" w:eastAsiaTheme="minorEastAsia"/>
          <w:color w:val="000000" w:themeColor="text1"/>
          <w14:textFill>
            <w14:solidFill>
              <w14:schemeClr w14:val="tx1"/>
            </w14:solidFill>
          </w14:textFill>
        </w:rPr>
        <w:t>0-5000元</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次；经发包人、监理检查存在不到位情况的，除限期整改外收取违约金10</w:t>
      </w:r>
      <w:r>
        <w:rPr>
          <w:rFonts w:asciiTheme="minorEastAsia" w:hAnsiTheme="minorEastAsia" w:eastAsiaTheme="minorEastAsia"/>
          <w:color w:val="000000" w:themeColor="text1"/>
          <w14:textFill>
            <w14:solidFill>
              <w14:schemeClr w14:val="tx1"/>
            </w14:solidFill>
          </w14:textFill>
        </w:rPr>
        <w:t>00</w:t>
      </w:r>
      <w:r>
        <w:rPr>
          <w:rFonts w:hint="eastAsia" w:asciiTheme="minorEastAsia" w:hAnsiTheme="minorEastAsia" w:eastAsiaTheme="minorEastAsia"/>
          <w:color w:val="000000" w:themeColor="text1"/>
          <w14:textFill>
            <w14:solidFill>
              <w14:schemeClr w14:val="tx1"/>
            </w14:solidFill>
          </w14:textFill>
        </w:rPr>
        <w:t>元</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次。</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分包人所承包范围内资料的编制与整理按照相关规范、规程进行整理，分包人的竣工图及施工资料应在指定的期限内自行编制完成，并符合有关规定，每周每月接受总包单位、监理、发包人检查，经总包单位、监理、发包人检查合格后方可进行竣工结算。</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4.2.9例会制度</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每周二下午2点30分举行定期工程例会，各参建单位应按时参加（另：根据工程需要不定期举行专项协调会），迟到者每次收取违约金300元。</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参加会议</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要求至少必须有项目经理负责人、技术总负责人、质量、安全、资料各一名及发包人要求出席的人员，以上人员无故缺席每次收取违约金1000元。</w:t>
      </w:r>
    </w:p>
    <w:p>
      <w:pPr>
        <w:autoSpaceDE w:val="0"/>
        <w:autoSpaceDN w:val="0"/>
        <w:adjustRightInd w:val="0"/>
        <w:spacing w:line="360" w:lineRule="auto"/>
        <w:ind w:firstLine="315" w:firstLineChars="150"/>
        <w:jc w:val="left"/>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工程例会主持人员：总监理工程师。安全例会主持人员:监理安全负责人。会议纪要由项目监理部整理并报送发包人及各参建单位。各参建单位每周一下午3：00前向监理提交周报，监理将周报汇总后报发包人。</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4.2.10成品保护</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各单位在施工过程中必须采取切实有效的措施，保护自身及其他专业（单位）施工成品，如果因为施工不当对别人的成品造成破坏，除全额赔偿损失外，发包人将视影响情况收取违约金1000～10000元。</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4.2.11奖惩</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在施工过程管理中，监理工程师、发包人工程师有权在自己的权限范围内对承包人安全文明施工防护措施、技术质量活动中不正确的地方进行经济或其它方式的惩处，如因承包人提出的工艺可行而导致的节约、提高质量、加快进度的，发包人应实施奖励。惩处和奖励的额度除上述明确规定的原则上由发包人确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4.3施工进度控制</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4.3.1总进度计划</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根据本工程编制的工程总体进度计划，各专业单位根据自身施工特点编制本专业施工的总进度计划，报监理、发包人审核确认，并将总计划进行量化分解，每周一下午16:00之前上报下周施工计划，每月25日上报下月施工计划，便于监理、发包人进行有效监控管理。</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4.3.2管理措施</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（1）不按时上报分解计划的，每次收取违约金1000元，所报计划无量化指标者每收取违约金1000元。</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（2）施工进度与计划滞后而不采取有效措施者，监理、发包人有权视具体情况进行下列处罚： 收取违约金1000～20000元。</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（3）严格</w:t>
      </w:r>
      <w:r>
        <w:rPr>
          <w:rFonts w:hint="eastAsia" w:asciiTheme="minorEastAsia" w:hAnsiTheme="minorEastAsia" w:eastAsiaTheme="minorEastAsia"/>
          <w:color w:val="000000" w:themeColor="text1"/>
          <w14:textFill>
            <w14:solidFill>
              <w14:schemeClr w14:val="tx1"/>
            </w14:solidFill>
          </w14:textFill>
        </w:rPr>
        <w:t>执行</w:t>
      </w:r>
      <w:r>
        <w:rPr>
          <w:rFonts w:hint="eastAsia" w:cs="宋体" w:asciiTheme="minorEastAsia" w:hAnsiTheme="minorEastAsia" w:eastAsiaTheme="minorEastAsia"/>
          <w:color w:val="000000" w:themeColor="text1"/>
          <w:kern w:val="0"/>
          <w:szCs w:val="21"/>
          <w14:textFill>
            <w14:solidFill>
              <w14:schemeClr w14:val="tx1"/>
            </w14:solidFill>
          </w14:textFill>
        </w:rPr>
        <w:t>已经上报且经过监理、发包人审核同意的阶段性进度计划，若阶段性进度计划节点滞后，并对后续工作产生影响的，收取违约金 3</w:t>
      </w:r>
      <w:r>
        <w:rPr>
          <w:rFonts w:cs="宋体" w:asciiTheme="minorEastAsia" w:hAnsiTheme="minorEastAsia" w:eastAsiaTheme="minorEastAsia"/>
          <w:color w:val="000000" w:themeColor="text1"/>
          <w:kern w:val="0"/>
          <w:szCs w:val="21"/>
          <w14:textFill>
            <w14:solidFill>
              <w14:schemeClr w14:val="tx1"/>
            </w14:solidFill>
          </w14:textFill>
        </w:rPr>
        <w:t>000</w:t>
      </w:r>
      <w:r>
        <w:rPr>
          <w:rFonts w:hint="eastAsia" w:cs="宋体" w:asciiTheme="minorEastAsia" w:hAnsiTheme="minorEastAsia" w:eastAsiaTheme="minorEastAsia"/>
          <w:color w:val="000000" w:themeColor="text1"/>
          <w:kern w:val="0"/>
          <w:szCs w:val="21"/>
          <w14:textFill>
            <w14:solidFill>
              <w14:schemeClr w14:val="tx1"/>
            </w14:solidFill>
          </w14:textFill>
        </w:rPr>
        <w:t>元</w:t>
      </w:r>
      <w:r>
        <w:rPr>
          <w:rFonts w:cs="宋体" w:asciiTheme="minorEastAsia" w:hAnsiTheme="minorEastAsia" w:eastAsiaTheme="minorEastAsia"/>
          <w:color w:val="000000" w:themeColor="text1"/>
          <w:kern w:val="0"/>
          <w:szCs w:val="21"/>
          <w14:textFill>
            <w14:solidFill>
              <w14:schemeClr w14:val="tx1"/>
            </w14:solidFill>
          </w14:textFill>
        </w:rPr>
        <w:t>/</w:t>
      </w:r>
      <w:r>
        <w:rPr>
          <w:rFonts w:hint="eastAsia" w:cs="宋体" w:asciiTheme="minorEastAsia" w:hAnsiTheme="minorEastAsia" w:eastAsiaTheme="minorEastAsia"/>
          <w:color w:val="000000" w:themeColor="text1"/>
          <w:kern w:val="0"/>
          <w:szCs w:val="21"/>
          <w14:textFill>
            <w14:solidFill>
              <w14:schemeClr w14:val="tx1"/>
            </w14:solidFill>
          </w14:textFill>
        </w:rPr>
        <w:t>天；</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（4）施工</w:t>
      </w:r>
      <w:r>
        <w:rPr>
          <w:rFonts w:hint="eastAsia" w:asciiTheme="minorEastAsia" w:hAnsiTheme="minorEastAsia" w:eastAsiaTheme="minorEastAsia"/>
          <w:color w:val="000000" w:themeColor="text1"/>
          <w14:textFill>
            <w14:solidFill>
              <w14:schemeClr w14:val="tx1"/>
            </w14:solidFill>
          </w14:textFill>
        </w:rPr>
        <w:t>合同</w:t>
      </w:r>
      <w:r>
        <w:rPr>
          <w:rFonts w:hint="eastAsia" w:cs="宋体" w:asciiTheme="minorEastAsia" w:hAnsiTheme="minorEastAsia" w:eastAsiaTheme="minorEastAsia"/>
          <w:color w:val="000000" w:themeColor="text1"/>
          <w:kern w:val="0"/>
          <w:szCs w:val="21"/>
          <w14:textFill>
            <w14:solidFill>
              <w14:schemeClr w14:val="tx1"/>
            </w14:solidFill>
          </w14:textFill>
        </w:rPr>
        <w:t>中已明确的大节点，施工单位应严格执行，若滞后将按合同有关条款收取违约金。</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（5）施工</w:t>
      </w:r>
      <w:r>
        <w:rPr>
          <w:rFonts w:hint="eastAsia" w:asciiTheme="minorEastAsia" w:hAnsiTheme="minorEastAsia" w:eastAsiaTheme="minorEastAsia"/>
          <w:color w:val="000000" w:themeColor="text1"/>
          <w14:textFill>
            <w14:solidFill>
              <w14:schemeClr w14:val="tx1"/>
            </w14:solidFill>
          </w14:textFill>
        </w:rPr>
        <w:t>单位</w:t>
      </w:r>
      <w:r>
        <w:rPr>
          <w:rFonts w:hint="eastAsia" w:cs="宋体" w:asciiTheme="minorEastAsia" w:hAnsiTheme="minorEastAsia" w:eastAsiaTheme="minorEastAsia"/>
          <w:color w:val="000000" w:themeColor="text1"/>
          <w:kern w:val="0"/>
          <w:szCs w:val="21"/>
          <w14:textFill>
            <w14:solidFill>
              <w14:schemeClr w14:val="tx1"/>
            </w14:solidFill>
          </w14:textFill>
        </w:rPr>
        <w:t>因劳动人员组织不力，工程材料以及施工机具设备、周转材料等组织不到位，</w:t>
      </w:r>
    </w:p>
    <w:p>
      <w:pPr>
        <w:autoSpaceDE w:val="0"/>
        <w:autoSpaceDN w:val="0"/>
        <w:adjustRightInd w:val="0"/>
        <w:spacing w:line="500" w:lineRule="exact"/>
        <w:jc w:val="left"/>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而影响工程进度或对其它施工单位的进度造成影响， 收取违约金3</w:t>
      </w:r>
      <w:r>
        <w:rPr>
          <w:rFonts w:cs="宋体" w:asciiTheme="minorEastAsia" w:hAnsiTheme="minorEastAsia" w:eastAsiaTheme="minorEastAsia"/>
          <w:color w:val="000000" w:themeColor="text1"/>
          <w:kern w:val="0"/>
          <w:szCs w:val="21"/>
          <w14:textFill>
            <w14:solidFill>
              <w14:schemeClr w14:val="tx1"/>
            </w14:solidFill>
          </w14:textFill>
        </w:rPr>
        <w:t>000</w:t>
      </w:r>
      <w:r>
        <w:rPr>
          <w:rFonts w:hint="eastAsia" w:cs="宋体" w:asciiTheme="minorEastAsia" w:hAnsiTheme="minorEastAsia" w:eastAsiaTheme="minorEastAsia"/>
          <w:color w:val="000000" w:themeColor="text1"/>
          <w:kern w:val="0"/>
          <w:szCs w:val="21"/>
          <w14:textFill>
            <w14:solidFill>
              <w14:schemeClr w14:val="tx1"/>
            </w14:solidFill>
          </w14:textFill>
        </w:rPr>
        <w:t>元</w:t>
      </w:r>
      <w:r>
        <w:rPr>
          <w:rFonts w:cs="宋体" w:asciiTheme="minorEastAsia" w:hAnsiTheme="minorEastAsia" w:eastAsiaTheme="minorEastAsia"/>
          <w:color w:val="000000" w:themeColor="text1"/>
          <w:kern w:val="0"/>
          <w:szCs w:val="21"/>
          <w14:textFill>
            <w14:solidFill>
              <w14:schemeClr w14:val="tx1"/>
            </w14:solidFill>
          </w14:textFill>
        </w:rPr>
        <w:t>/</w:t>
      </w:r>
      <w:r>
        <w:rPr>
          <w:rFonts w:hint="eastAsia" w:cs="宋体" w:asciiTheme="minorEastAsia" w:hAnsiTheme="minorEastAsia" w:eastAsiaTheme="minorEastAsia"/>
          <w:color w:val="000000" w:themeColor="text1"/>
          <w:kern w:val="0"/>
          <w:szCs w:val="21"/>
          <w14:textFill>
            <w14:solidFill>
              <w14:schemeClr w14:val="tx1"/>
            </w14:solidFill>
          </w14:textFill>
        </w:rPr>
        <w:t>天。</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（6）必须按发包人统一部署，确保外协单位及时进场，提供合理的工作面，对故意不执行发包人要求的，</w:t>
      </w:r>
      <w:r>
        <w:rPr>
          <w:rFonts w:cs="宋体" w:asciiTheme="minorEastAsia" w:hAnsiTheme="minorEastAsia" w:eastAsiaTheme="minorEastAsia"/>
          <w:color w:val="000000" w:themeColor="text1"/>
          <w:kern w:val="0"/>
          <w:szCs w:val="21"/>
          <w14:textFill>
            <w14:solidFill>
              <w14:schemeClr w14:val="tx1"/>
            </w14:solidFill>
          </w14:textFill>
        </w:rPr>
        <w:t xml:space="preserve"> </w:t>
      </w:r>
      <w:r>
        <w:rPr>
          <w:rFonts w:hint="eastAsia" w:cs="宋体" w:asciiTheme="minorEastAsia" w:hAnsiTheme="minorEastAsia" w:eastAsiaTheme="minorEastAsia"/>
          <w:color w:val="000000" w:themeColor="text1"/>
          <w:kern w:val="0"/>
          <w:szCs w:val="21"/>
          <w14:textFill>
            <w14:solidFill>
              <w14:schemeClr w14:val="tx1"/>
            </w14:solidFill>
          </w14:textFill>
        </w:rPr>
        <w:t>收取违约金</w:t>
      </w:r>
      <w:r>
        <w:rPr>
          <w:rFonts w:cs="宋体" w:asciiTheme="minorEastAsia" w:hAnsiTheme="minorEastAsia" w:eastAsiaTheme="minorEastAsia"/>
          <w:color w:val="000000" w:themeColor="text1"/>
          <w:kern w:val="0"/>
          <w:szCs w:val="21"/>
          <w14:textFill>
            <w14:solidFill>
              <w14:schemeClr w14:val="tx1"/>
            </w14:solidFill>
          </w14:textFill>
        </w:rPr>
        <w:t>2000</w:t>
      </w:r>
      <w:r>
        <w:rPr>
          <w:rFonts w:hint="eastAsia" w:cs="宋体" w:asciiTheme="minorEastAsia" w:hAnsiTheme="minorEastAsia" w:eastAsiaTheme="minorEastAsia"/>
          <w:color w:val="000000" w:themeColor="text1"/>
          <w:kern w:val="0"/>
          <w:szCs w:val="21"/>
          <w14:textFill>
            <w14:solidFill>
              <w14:schemeClr w14:val="tx1"/>
            </w14:solidFill>
          </w14:textFill>
        </w:rPr>
        <w:t>元</w:t>
      </w:r>
      <w:r>
        <w:rPr>
          <w:rFonts w:cs="宋体" w:asciiTheme="minorEastAsia" w:hAnsiTheme="minorEastAsia" w:eastAsiaTheme="minorEastAsia"/>
          <w:color w:val="000000" w:themeColor="text1"/>
          <w:kern w:val="0"/>
          <w:szCs w:val="21"/>
          <w14:textFill>
            <w14:solidFill>
              <w14:schemeClr w14:val="tx1"/>
            </w14:solidFill>
          </w14:textFill>
        </w:rPr>
        <w:t>/</w:t>
      </w:r>
      <w:r>
        <w:rPr>
          <w:rFonts w:hint="eastAsia" w:cs="宋体" w:asciiTheme="minorEastAsia" w:hAnsiTheme="minorEastAsia" w:eastAsiaTheme="minorEastAsia"/>
          <w:color w:val="000000" w:themeColor="text1"/>
          <w:kern w:val="0"/>
          <w:szCs w:val="21"/>
          <w14:textFill>
            <w14:solidFill>
              <w14:schemeClr w14:val="tx1"/>
            </w14:solidFill>
          </w14:textFill>
        </w:rPr>
        <w:t>次。</w:t>
      </w:r>
    </w:p>
    <w:p>
      <w:pPr>
        <w:spacing w:line="360" w:lineRule="auto"/>
        <w:ind w:firstLine="420" w:firstLineChars="200"/>
        <w:rPr>
          <w:rFonts w:cs="宋体" w:asciiTheme="minorEastAsia" w:hAnsiTheme="minorEastAsia" w:eastAsiaTheme="minorEastAsia"/>
          <w:color w:val="000000" w:themeColor="text1"/>
          <w:kern w:val="0"/>
          <w:szCs w:val="21"/>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（7）必须</w:t>
      </w:r>
      <w:r>
        <w:rPr>
          <w:rFonts w:hint="eastAsia" w:asciiTheme="minorEastAsia" w:hAnsiTheme="minorEastAsia" w:eastAsiaTheme="minorEastAsia"/>
          <w:color w:val="000000" w:themeColor="text1"/>
          <w14:textFill>
            <w14:solidFill>
              <w14:schemeClr w14:val="tx1"/>
            </w14:solidFill>
          </w14:textFill>
        </w:rPr>
        <w:t>按照</w:t>
      </w:r>
      <w:r>
        <w:rPr>
          <w:rFonts w:hint="eastAsia" w:cs="宋体" w:asciiTheme="minorEastAsia" w:hAnsiTheme="minorEastAsia" w:eastAsiaTheme="minorEastAsia"/>
          <w:color w:val="000000" w:themeColor="text1"/>
          <w:kern w:val="0"/>
          <w:szCs w:val="21"/>
          <w14:textFill>
            <w14:solidFill>
              <w14:schemeClr w14:val="tx1"/>
            </w14:solidFill>
          </w14:textFill>
        </w:rPr>
        <w:t>发包人的相关要求按时上报月报、周报、进度计划等有关资料，违者收取违约金</w:t>
      </w:r>
      <w:r>
        <w:rPr>
          <w:rFonts w:cs="宋体" w:asciiTheme="minorEastAsia" w:hAnsiTheme="minorEastAsia" w:eastAsiaTheme="minorEastAsia"/>
          <w:color w:val="000000" w:themeColor="text1"/>
          <w:kern w:val="0"/>
          <w:szCs w:val="21"/>
          <w14:textFill>
            <w14:solidFill>
              <w14:schemeClr w14:val="tx1"/>
            </w14:solidFill>
          </w14:textFill>
        </w:rPr>
        <w:t>1</w:t>
      </w:r>
      <w:r>
        <w:rPr>
          <w:rFonts w:hint="eastAsia" w:cs="宋体" w:asciiTheme="minorEastAsia" w:hAnsiTheme="minorEastAsia" w:eastAsiaTheme="minorEastAsia"/>
          <w:color w:val="000000" w:themeColor="text1"/>
          <w:kern w:val="0"/>
          <w:szCs w:val="21"/>
          <w14:textFill>
            <w14:solidFill>
              <w14:schemeClr w14:val="tx1"/>
            </w14:solidFill>
          </w14:textFill>
        </w:rPr>
        <w:t>0</w:t>
      </w:r>
      <w:r>
        <w:rPr>
          <w:rFonts w:cs="宋体" w:asciiTheme="minorEastAsia" w:hAnsiTheme="minorEastAsia" w:eastAsiaTheme="minorEastAsia"/>
          <w:color w:val="000000" w:themeColor="text1"/>
          <w:kern w:val="0"/>
          <w:szCs w:val="21"/>
          <w14:textFill>
            <w14:solidFill>
              <w14:schemeClr w14:val="tx1"/>
            </w14:solidFill>
          </w14:textFill>
        </w:rPr>
        <w:t>00</w:t>
      </w:r>
      <w:r>
        <w:rPr>
          <w:rFonts w:hint="eastAsia" w:cs="宋体" w:asciiTheme="minorEastAsia" w:hAnsiTheme="minorEastAsia" w:eastAsiaTheme="minorEastAsia"/>
          <w:color w:val="000000" w:themeColor="text1"/>
          <w:kern w:val="0"/>
          <w:szCs w:val="21"/>
          <w14:textFill>
            <w14:solidFill>
              <w14:schemeClr w14:val="tx1"/>
            </w14:solidFill>
          </w14:textFill>
        </w:rPr>
        <w:t>元</w:t>
      </w:r>
      <w:r>
        <w:rPr>
          <w:rFonts w:cs="宋体" w:asciiTheme="minorEastAsia" w:hAnsiTheme="minorEastAsia" w:eastAsiaTheme="minorEastAsia"/>
          <w:color w:val="000000" w:themeColor="text1"/>
          <w:kern w:val="0"/>
          <w:szCs w:val="21"/>
          <w14:textFill>
            <w14:solidFill>
              <w14:schemeClr w14:val="tx1"/>
            </w14:solidFill>
          </w14:textFill>
        </w:rPr>
        <w:t>/</w:t>
      </w:r>
      <w:r>
        <w:rPr>
          <w:rFonts w:hint="eastAsia" w:cs="宋体" w:asciiTheme="minorEastAsia" w:hAnsiTheme="minorEastAsia" w:eastAsiaTheme="minorEastAsia"/>
          <w:color w:val="000000" w:themeColor="text1"/>
          <w:kern w:val="0"/>
          <w:szCs w:val="21"/>
          <w14:textFill>
            <w14:solidFill>
              <w14:schemeClr w14:val="tx1"/>
            </w14:solidFill>
          </w14:textFill>
        </w:rPr>
        <w:t>次。</w:t>
      </w:r>
    </w:p>
    <w:p>
      <w:pPr>
        <w:spacing w:line="360" w:lineRule="auto"/>
        <w:ind w:firstLine="420" w:firstLineChars="200"/>
        <w:rPr>
          <w:rFonts w:cs="宋体" w:asciiTheme="minorEastAsia" w:hAnsiTheme="minorEastAsia" w:eastAsiaTheme="minorEastAsia"/>
          <w:color w:val="000000" w:themeColor="text1"/>
          <w:kern w:val="0"/>
          <w:sz w:val="24"/>
          <w:szCs w:val="24"/>
          <w14:textFill>
            <w14:solidFill>
              <w14:schemeClr w14:val="tx1"/>
            </w14:solidFill>
          </w14:textFill>
        </w:rPr>
      </w:pPr>
      <w:r>
        <w:rPr>
          <w:rFonts w:hint="eastAsia" w:cs="宋体" w:asciiTheme="minorEastAsia" w:hAnsiTheme="minorEastAsia" w:eastAsiaTheme="minorEastAsia"/>
          <w:color w:val="000000" w:themeColor="text1"/>
          <w:kern w:val="0"/>
          <w:szCs w:val="21"/>
          <w14:textFill>
            <w14:solidFill>
              <w14:schemeClr w14:val="tx1"/>
            </w14:solidFill>
          </w14:textFill>
        </w:rPr>
        <w:t>（8）各施工单位必须遵从监理、发包人发出的指令，不得以指令所涉及费用未确定或找不到实施队伍为借口不执行或拖延执行。若施工单位未在合理时间内执行，或在收到发包人、监理催促执行的书面通知后3天内仍未执行，则发包人有权聘请第三方执行该指令所要求的工作，由此产生的费用全部由责任方承担，发包人将从其承包合同款项中直接划扣该部分费用。同时对责任单位按每次5000-50000元收取违约金。情节特别严重，发包人有权解除合同并追究施工单位违约责任。</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4.4现场管理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（1）分包人进入现场施工人员必须统一着装、统一戴安全帽、并随身携带出入证件。</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（2）现场内的布置必须经过监理、发包人审批，所有标牌、标志的张贴悬挂，由总包单位按规定制作。</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（3）分包人施工管理人员须着装整洁，头发理顺，注意举止行为。</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（4）分包人对公司的函件必须统一格式、正式打印、有统一编号，并且有负责人签字或单位公章，否则监理、发包人将拒收。</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（5）进入施工区域戴好安全帽，并符合规定。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（6）现场内严禁随地大小便，违者收取违约金小便200元/人</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次，大便300元/人次。</w:t>
      </w: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（无法界定责任者均归咎于总包单位）</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（7）爱护现场内的安全、消防、测量、照明设施及有关标牌等，违者收取违约金200元/人，并负责赔偿损失。</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（8）现场内严禁乱抛垃圾、烟头、水果皮、废纸等，否则每起收取违约金100元/人。</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（9）施工现场、生活区严禁带有金钱性质的赌博，酗酒行为，否则对承包人负任人收取违约金1000元/次。</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4.5安全、环境、文明施工管理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4.5.1安全管理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（1）承包人现场成立安全文明施工防护措施领导小组，切实加强施工全过程的安全管理，确保工人在劳动过程中的安全与健康。</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（2）承包人施工管理人员、工程技术人员，操作工人必须熟悉和掌握本工种的“安全技术操作规程”，否则不许参加施工。</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（3）认真坚持安全自检制度，搞好隐患整改，并做到定人、定时间、定措施。</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（4）新入场及变换工种人员必须经过安全教育，上岗作业前必须进行安全技术交底。</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（5）特种作业人员必须经安全技术培训，考试合格持证上岗作业。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（6）进入施工现场必须正确戴好安全帽，高处作业系牢安全带。正确使用个人防护用品。</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（7）施工现场内严禁穿高跟鞋、拖鞋，光脚，赤裸上身作业。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施工中的“四口”（即楼梯口、电梯口、预留洞口、通道口），“五临边”（尚未安装好的阳台边、无外架防护的屋面周边、框架工程楼层周边、跑道（斜道）两侧边、卸料台的外侧边）必须有严密、牢固的安全防护设施，任何人不许改动和破坏。</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（9）现场的机电设备、电动工具、供电设施中持证电工操作，严禁非电气工人乱接乱动。</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（10）一切机械设备和垂直运输、超重机械的安全防护及保险装置必须齐全，灵敏可靠，严禁非机械人员随意开动机械设备。</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（11）工程中使用的易燃易爆物品，有毒、有害物品要严格保管使用。</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（12）现场道路要畅通，料具堆放要整齐、安全。危险部位和场应设置安全标志牌。夜间要设红灯示警。</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（13）非施工人员不得擅自进入现场。</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（14）施工现场禁止抽烟。</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（15）现场集水井、排水沟等易积水地方的积水要及时清理，防止疾病传播。</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违反以上各条安全管理制度的，视情况每次处收取违约金100-2000元。</w:t>
      </w:r>
      <w:r>
        <w:rPr>
          <w:rFonts w:hint="eastAsia" w:cs="宋体" w:asciiTheme="minorEastAsia" w:hAnsiTheme="minorEastAsia" w:eastAsiaTheme="minorEastAsia"/>
          <w:color w:val="000000" w:themeColor="text1"/>
          <w14:textFill>
            <w14:solidFill>
              <w14:schemeClr w14:val="tx1"/>
            </w14:solidFill>
          </w14:textFill>
        </w:rPr>
        <w:t> </w:t>
      </w:r>
    </w:p>
    <w:p>
      <w:pPr>
        <w:autoSpaceDE w:val="0"/>
        <w:autoSpaceDN w:val="0"/>
        <w:adjustRightInd w:val="0"/>
        <w:spacing w:line="360" w:lineRule="auto"/>
        <w:ind w:firstLine="420" w:firstLineChars="200"/>
        <w:jc w:val="lef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生产是工程建设的重中之重，各参建单位必须按照安全生产的有关安全规章制度组织各项工作，建立健全安全保障体系和各项安全制度，制定专项安全施工方案，对作业人员认真作好各级安全教育和安全技术交底，若不进行安全教育与交底的，按下表进行处罚；加强对作业人员的安全保护，原则上不进行立体交叉作业，当必须进行时，应采取可靠的安全措施，违反安全生产的有关规定或疏忽管理造成重伤事故以上的收取违约金</w:t>
      </w:r>
      <w:r>
        <w:rPr>
          <w:rFonts w:asciiTheme="minorEastAsia" w:hAnsiTheme="minorEastAsia" w:eastAsiaTheme="minorEastAsia"/>
          <w:color w:val="000000" w:themeColor="text1"/>
          <w14:textFill>
            <w14:solidFill>
              <w14:schemeClr w14:val="tx1"/>
            </w14:solidFill>
          </w14:textFill>
        </w:rPr>
        <w:t>10000</w:t>
      </w:r>
      <w:r>
        <w:rPr>
          <w:rFonts w:hint="eastAsia" w:asciiTheme="minorEastAsia" w:hAnsiTheme="minorEastAsia" w:eastAsiaTheme="minorEastAsia"/>
          <w:color w:val="000000" w:themeColor="text1"/>
          <w14:textFill>
            <w14:solidFill>
              <w14:schemeClr w14:val="tx1"/>
            </w14:solidFill>
          </w14:textFill>
        </w:rPr>
        <w:t>元</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次；造成轻伤事故的收取违约金</w:t>
      </w:r>
      <w:r>
        <w:rPr>
          <w:rFonts w:asciiTheme="minorEastAsia" w:hAnsiTheme="minorEastAsia" w:eastAsiaTheme="minorEastAsia"/>
          <w:color w:val="000000" w:themeColor="text1"/>
          <w14:textFill>
            <w14:solidFill>
              <w14:schemeClr w14:val="tx1"/>
            </w14:solidFill>
          </w14:textFill>
        </w:rPr>
        <w:t>1000</w:t>
      </w:r>
      <w:r>
        <w:rPr>
          <w:rFonts w:hint="eastAsia" w:asciiTheme="minorEastAsia" w:hAnsiTheme="minorEastAsia" w:eastAsiaTheme="minorEastAsia"/>
          <w:color w:val="000000" w:themeColor="text1"/>
          <w14:textFill>
            <w14:solidFill>
              <w14:schemeClr w14:val="tx1"/>
            </w14:solidFill>
          </w14:textFill>
        </w:rPr>
        <w:t>元</w:t>
      </w:r>
      <w:r>
        <w:rPr>
          <w:rFonts w:asciiTheme="minorEastAsia" w:hAnsiTheme="minorEastAsia" w:eastAsiaTheme="minorEastAsia"/>
          <w:color w:val="000000" w:themeColor="text1"/>
          <w14:textFill>
            <w14:solidFill>
              <w14:schemeClr w14:val="tx1"/>
            </w14:solidFill>
          </w14:textFill>
        </w:rPr>
        <w:t>/</w:t>
      </w:r>
      <w:r>
        <w:rPr>
          <w:rFonts w:hint="eastAsia" w:asciiTheme="minorEastAsia" w:hAnsiTheme="minorEastAsia" w:eastAsiaTheme="minorEastAsia"/>
          <w:color w:val="000000" w:themeColor="text1"/>
          <w14:textFill>
            <w14:solidFill>
              <w14:schemeClr w14:val="tx1"/>
            </w14:solidFill>
          </w14:textFill>
        </w:rPr>
        <w:t>次。</w:t>
      </w:r>
    </w:p>
    <w:p>
      <w:pPr>
        <w:autoSpaceDE w:val="0"/>
        <w:autoSpaceDN w:val="0"/>
        <w:adjustRightInd w:val="0"/>
        <w:spacing w:line="500" w:lineRule="exact"/>
        <w:jc w:val="left"/>
        <w:rPr>
          <w:rFonts w:cs="宋体" w:asciiTheme="minorEastAsia" w:hAnsiTheme="minorEastAsia" w:eastAsiaTheme="minorEastAsia"/>
          <w:color w:val="000000" w:themeColor="text1"/>
          <w:kern w:val="0"/>
          <w:sz w:val="24"/>
          <w:szCs w:val="24"/>
          <w14:textFill>
            <w14:solidFill>
              <w14:schemeClr w14:val="tx1"/>
            </w14:solidFill>
          </w14:textFill>
        </w:rPr>
      </w:pPr>
      <w:r>
        <w:rPr>
          <w:rFonts w:hint="eastAsia" w:cs="宋体" w:asciiTheme="minorEastAsia" w:hAnsiTheme="minorEastAsia" w:eastAsiaTheme="minorEastAsia"/>
          <w:color w:val="000000" w:themeColor="text1"/>
          <w:kern w:val="0"/>
          <w:sz w:val="24"/>
          <w:szCs w:val="24"/>
          <w14:textFill>
            <w14:solidFill>
              <w14:schemeClr w14:val="tx1"/>
            </w14:solidFill>
          </w14:textFill>
        </w:rPr>
        <w:t>A.安全管理</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417"/>
        <w:gridCol w:w="5004"/>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489"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序</w:t>
            </w:r>
          </w:p>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号</w:t>
            </w:r>
          </w:p>
        </w:tc>
        <w:tc>
          <w:tcPr>
            <w:tcW w:w="1417"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项目</w:t>
            </w:r>
          </w:p>
        </w:tc>
        <w:tc>
          <w:tcPr>
            <w:tcW w:w="5004"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检查标准</w:t>
            </w:r>
          </w:p>
        </w:tc>
        <w:tc>
          <w:tcPr>
            <w:tcW w:w="1522"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违约金标准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48" w:hRule="atLeast"/>
          <w:jc w:val="center"/>
        </w:trPr>
        <w:tc>
          <w:tcPr>
            <w:tcW w:w="489"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安全管理员</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安全员无安全员证或安全负责人无国家认可的资格证书的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安全员不了解本身职责的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安全员不懂各工种安全技术操作规程，不能有效履职的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安全员不在岗位的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安全员对施工中的安全不能做到有效管控的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300-1000元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489" w:type="dxa"/>
            <w:vMerge w:val="restart"/>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1417" w:type="dxa"/>
            <w:vMerge w:val="restart"/>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安全检查</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现场无定期安全检查的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安全检查无记录的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200--500元／人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489" w:type="dxa"/>
            <w:vMerge w:val="continue"/>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1417" w:type="dxa"/>
            <w:vMerge w:val="continue"/>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查出事故隐患整改做不到定时、定人、定措施的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项目经理两周内未参加安全检查的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对事故隐患整改通知书所列项目未按要求完成的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未按要求填报安全工作月报表的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300-1000元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489"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安全教育</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现场施工人员中未登记备案或三证不齐的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抽考工人安全知识及安全操作规程不合格的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新进场工人未进行施工安全教育的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未存三级安全教育记录、考试卷的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工人安全培训学习每月不足两小时的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200元／人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489" w:type="dxa"/>
            <w:vMerge w:val="restart"/>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p>
        </w:tc>
        <w:tc>
          <w:tcPr>
            <w:tcW w:w="1417" w:type="dxa"/>
            <w:vMerge w:val="restart"/>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特种作业</w:t>
            </w:r>
          </w:p>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人员</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特种作业人员未列册登记备案的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未随身携带证件从事特种作业的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1000元／人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489" w:type="dxa"/>
            <w:vMerge w:val="continue"/>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1417" w:type="dxa"/>
            <w:vMerge w:val="continue"/>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无证从事特种作业的或者证件过期、无年审</w:t>
            </w:r>
          </w:p>
        </w:tc>
        <w:tc>
          <w:tcPr>
            <w:tcW w:w="1522" w:type="dxa"/>
            <w:vAlign w:val="center"/>
          </w:tcPr>
          <w:p>
            <w:pPr>
              <w:spacing w:line="280" w:lineRule="exact"/>
              <w:ind w:firstLine="160" w:firstLineChars="100"/>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200元/人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489"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w:t>
            </w:r>
          </w:p>
        </w:tc>
        <w:tc>
          <w:tcPr>
            <w:tcW w:w="1417"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分部（分项）工程安全技术交底</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无书面安全技术交底的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200元／人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489"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安全标志</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无现场安全标志平面图的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现场未按安全标志平面图设置安全标志的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200元／项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489"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班前安全</w:t>
            </w:r>
          </w:p>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活动</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未建立班前和每周安全活动制度的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班前和每周安全活动无记录或记录不全的</w:t>
            </w:r>
          </w:p>
        </w:tc>
        <w:tc>
          <w:tcPr>
            <w:tcW w:w="152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300元</w:t>
            </w:r>
          </w:p>
        </w:tc>
      </w:tr>
    </w:tbl>
    <w:p>
      <w:pPr>
        <w:autoSpaceDE w:val="0"/>
        <w:autoSpaceDN w:val="0"/>
        <w:adjustRightInd w:val="0"/>
        <w:spacing w:line="500" w:lineRule="exact"/>
        <w:jc w:val="left"/>
        <w:rPr>
          <w:rFonts w:cs="宋体" w:asciiTheme="minorEastAsia" w:hAnsiTheme="minorEastAsia" w:eastAsiaTheme="minorEastAsia"/>
          <w:color w:val="000000" w:themeColor="text1"/>
          <w:kern w:val="0"/>
          <w:sz w:val="24"/>
          <w:szCs w:val="24"/>
          <w14:textFill>
            <w14:solidFill>
              <w14:schemeClr w14:val="tx1"/>
            </w14:solidFill>
          </w14:textFill>
        </w:rPr>
      </w:pPr>
      <w:r>
        <w:rPr>
          <w:rFonts w:hint="eastAsia" w:cs="宋体" w:asciiTheme="minorEastAsia" w:hAnsiTheme="minorEastAsia" w:eastAsiaTheme="minorEastAsia"/>
          <w:color w:val="000000" w:themeColor="text1"/>
          <w:kern w:val="0"/>
          <w:sz w:val="24"/>
          <w:szCs w:val="24"/>
          <w14:textFill>
            <w14:solidFill>
              <w14:schemeClr w14:val="tx1"/>
            </w14:solidFill>
          </w14:textFill>
        </w:rPr>
        <w:t>B.“三宝”、“四口”、防护管理</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1417"/>
        <w:gridCol w:w="5004"/>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522"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序</w:t>
            </w:r>
          </w:p>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号</w:t>
            </w:r>
          </w:p>
        </w:tc>
        <w:tc>
          <w:tcPr>
            <w:tcW w:w="1417"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项目</w:t>
            </w:r>
          </w:p>
        </w:tc>
        <w:tc>
          <w:tcPr>
            <w:tcW w:w="5004"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检查标准</w:t>
            </w:r>
          </w:p>
        </w:tc>
        <w:tc>
          <w:tcPr>
            <w:tcW w:w="1554"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违约金标准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22"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安全帽</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不戴安全帽的; 未戴安全帽者，班组人员处罚50元/次，管理人员处罚100元/次。</w:t>
            </w:r>
          </w:p>
          <w:p>
            <w:pPr>
              <w:spacing w:line="280" w:lineRule="exact"/>
              <w:rPr>
                <w:rFonts w:asciiTheme="minorEastAsia" w:hAnsiTheme="minorEastAsia" w:eastAsiaTheme="minorEastAsia"/>
                <w:dstrike/>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安全帽不符合标准的（有效期、合格证）</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100元／人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5" w:hRule="atLeast"/>
          <w:jc w:val="center"/>
        </w:trPr>
        <w:tc>
          <w:tcPr>
            <w:tcW w:w="522" w:type="dxa"/>
            <w:vMerge w:val="restart"/>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w:t>
            </w:r>
          </w:p>
        </w:tc>
        <w:tc>
          <w:tcPr>
            <w:tcW w:w="1417" w:type="dxa"/>
            <w:vMerge w:val="restart"/>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安全网</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安全网规格、材质不符合要求，安全网未取得建筑安全监督部门生产许可证的</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p>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2000元/项</w:t>
            </w:r>
          </w:p>
          <w:p>
            <w:pPr>
              <w:spacing w:line="280" w:lineRule="exact"/>
              <w:jc w:val="center"/>
              <w:rPr>
                <w:rFonts w:asciiTheme="minorEastAsia" w:hAnsiTheme="minorEastAsia" w:eastAsiaTheme="minorEastAsia"/>
                <w:color w:val="000000" w:themeColor="text1"/>
                <w:sz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1" w:hRule="atLeast"/>
          <w:jc w:val="center"/>
        </w:trPr>
        <w:tc>
          <w:tcPr>
            <w:tcW w:w="522" w:type="dxa"/>
            <w:vMerge w:val="continue"/>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1417" w:type="dxa"/>
            <w:vMerge w:val="continue"/>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安全网未能满足进度要求的，擅自损坏、拆除、移动安全防护装置、安全标志、警示牌的</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500-1500元/次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79" w:hRule="atLeast"/>
          <w:jc w:val="center"/>
        </w:trPr>
        <w:tc>
          <w:tcPr>
            <w:tcW w:w="522"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asciiTheme="minorEastAsia" w:hAnsiTheme="minorEastAsia" w:eastAsiaTheme="minorEastAsia"/>
                <w:color w:val="000000" w:themeColor="text1"/>
                <w14:textFill>
                  <w14:solidFill>
                    <w14:schemeClr w14:val="tx1"/>
                  </w14:solidFill>
                </w14:textFill>
              </w:rPr>
              <w:t>3</w:t>
            </w:r>
          </w:p>
        </w:tc>
        <w:tc>
          <w:tcPr>
            <w:tcW w:w="1417"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安全带</w:t>
            </w:r>
          </w:p>
        </w:tc>
        <w:tc>
          <w:tcPr>
            <w:tcW w:w="5004"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高处作业未系安全带的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高处作业安全带系扣不符合要求的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安全带不符合生产标准要求的</w:t>
            </w:r>
          </w:p>
        </w:tc>
        <w:tc>
          <w:tcPr>
            <w:tcW w:w="1554"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200元／人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3" w:hRule="atLeast"/>
          <w:jc w:val="center"/>
        </w:trPr>
        <w:tc>
          <w:tcPr>
            <w:tcW w:w="522"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w:t>
            </w:r>
          </w:p>
        </w:tc>
        <w:tc>
          <w:tcPr>
            <w:tcW w:w="1417"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楼梯口、电梯井口防护</w:t>
            </w:r>
          </w:p>
        </w:tc>
        <w:tc>
          <w:tcPr>
            <w:tcW w:w="5004"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楼梯口、电梯井口无安全防护</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防护措施不符合要求或不严密的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电梯井内每隔两层（不大于10m）无平网的</w:t>
            </w:r>
          </w:p>
        </w:tc>
        <w:tc>
          <w:tcPr>
            <w:tcW w:w="1554"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3" w:hRule="atLeast"/>
          <w:jc w:val="center"/>
        </w:trPr>
        <w:tc>
          <w:tcPr>
            <w:tcW w:w="522"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预留洞口（管</w:t>
            </w:r>
          </w:p>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井口、坑井口）防护</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无有效的安全防护措施的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措施不符合要求或不严密的</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6" w:hRule="atLeast"/>
          <w:jc w:val="center"/>
        </w:trPr>
        <w:tc>
          <w:tcPr>
            <w:tcW w:w="522"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w:t>
            </w:r>
          </w:p>
        </w:tc>
        <w:tc>
          <w:tcPr>
            <w:tcW w:w="1417" w:type="dxa"/>
            <w:vAlign w:val="center"/>
          </w:tcPr>
          <w:p>
            <w:pPr>
              <w:spacing w:line="280" w:lineRule="exact"/>
              <w:jc w:val="center"/>
              <w:rPr>
                <w:rFonts w:asciiTheme="minorEastAsia" w:hAnsiTheme="minorEastAsia" w:eastAsiaTheme="minorEastAsia"/>
                <w:color w:val="000000" w:themeColor="text1"/>
                <w:spacing w:val="-10"/>
                <w14:textFill>
                  <w14:solidFill>
                    <w14:schemeClr w14:val="tx1"/>
                  </w14:solidFill>
                </w14:textFill>
              </w:rPr>
            </w:pPr>
            <w:r>
              <w:rPr>
                <w:rFonts w:hint="eastAsia" w:asciiTheme="minorEastAsia" w:hAnsiTheme="minorEastAsia" w:eastAsiaTheme="minorEastAsia"/>
                <w:color w:val="000000" w:themeColor="text1"/>
                <w:spacing w:val="-10"/>
                <w14:textFill>
                  <w14:solidFill>
                    <w14:schemeClr w14:val="tx1"/>
                  </w14:solidFill>
                </w14:textFill>
              </w:rPr>
              <w:t>通道口、提升架出入口、加工区防护</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无防护棚的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防护不严的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防护棚不牢固、材质不符合要求的</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8" w:hRule="atLeast"/>
          <w:jc w:val="center"/>
        </w:trPr>
        <w:tc>
          <w:tcPr>
            <w:tcW w:w="522"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阳台、楼板、屋面、脚手架、通道口等临边防护．</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无有效安全措施的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临边防护不符合要求的</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2" w:hRule="atLeast"/>
          <w:jc w:val="center"/>
        </w:trPr>
        <w:tc>
          <w:tcPr>
            <w:tcW w:w="522"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外脚手架</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未能按照施工组织设计搭设的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外脚手架未能跟上施工进度的，脚手架未满挂安全网</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擅自拆除连墙件、大小横杆、立杆的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堆放材料，存在安全隐患或阻塞通道的</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9" w:hRule="atLeast"/>
          <w:jc w:val="center"/>
        </w:trPr>
        <w:tc>
          <w:tcPr>
            <w:tcW w:w="522"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9</w:t>
            </w:r>
          </w:p>
        </w:tc>
        <w:tc>
          <w:tcPr>
            <w:tcW w:w="1417"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模板工程</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未按照施工组织设计进行搭设的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擅自拆模或拆模管理不到位的</w:t>
            </w:r>
          </w:p>
        </w:tc>
        <w:tc>
          <w:tcPr>
            <w:tcW w:w="1554"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200-1000/处</w:t>
            </w:r>
          </w:p>
        </w:tc>
      </w:tr>
    </w:tbl>
    <w:p>
      <w:pPr>
        <w:autoSpaceDE w:val="0"/>
        <w:autoSpaceDN w:val="0"/>
        <w:adjustRightInd w:val="0"/>
        <w:spacing w:line="500" w:lineRule="exact"/>
        <w:jc w:val="left"/>
        <w:rPr>
          <w:rFonts w:cs="宋体" w:asciiTheme="minorEastAsia" w:hAnsiTheme="minorEastAsia" w:eastAsiaTheme="minorEastAsia"/>
          <w:color w:val="000000" w:themeColor="text1"/>
          <w:kern w:val="0"/>
          <w:sz w:val="24"/>
          <w:szCs w:val="24"/>
          <w14:textFill>
            <w14:solidFill>
              <w14:schemeClr w14:val="tx1"/>
            </w14:solidFill>
          </w14:textFill>
        </w:rPr>
      </w:pPr>
      <w:r>
        <w:rPr>
          <w:rFonts w:hint="eastAsia" w:cs="宋体" w:asciiTheme="minorEastAsia" w:hAnsiTheme="minorEastAsia" w:eastAsiaTheme="minorEastAsia"/>
          <w:color w:val="000000" w:themeColor="text1"/>
          <w:kern w:val="0"/>
          <w:sz w:val="24"/>
          <w:szCs w:val="24"/>
          <w14:textFill>
            <w14:solidFill>
              <w14:schemeClr w14:val="tx1"/>
            </w14:solidFill>
          </w14:textFill>
        </w:rPr>
        <w:t xml:space="preserve">C、施工用电管理 </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4"/>
        <w:gridCol w:w="1417"/>
        <w:gridCol w:w="5004"/>
        <w:gridCol w:w="15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544" w:type="dxa"/>
            <w:vAlign w:val="center"/>
          </w:tcPr>
          <w:p>
            <w:pPr>
              <w:spacing w:line="3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序</w:t>
            </w:r>
          </w:p>
          <w:p>
            <w:pPr>
              <w:spacing w:line="30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号</w:t>
            </w:r>
          </w:p>
        </w:tc>
        <w:tc>
          <w:tcPr>
            <w:tcW w:w="1417" w:type="dxa"/>
            <w:vAlign w:val="center"/>
          </w:tcPr>
          <w:p>
            <w:pPr>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项目</w:t>
            </w:r>
          </w:p>
        </w:tc>
        <w:tc>
          <w:tcPr>
            <w:tcW w:w="5004" w:type="dxa"/>
            <w:vAlign w:val="center"/>
          </w:tcPr>
          <w:p>
            <w:pPr>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检查标准</w:t>
            </w:r>
          </w:p>
        </w:tc>
        <w:tc>
          <w:tcPr>
            <w:tcW w:w="1576" w:type="dxa"/>
            <w:vAlign w:val="center"/>
          </w:tcPr>
          <w:p>
            <w:pPr>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违约金标准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7" w:hRule="atLeast"/>
          <w:jc w:val="center"/>
        </w:trPr>
        <w:tc>
          <w:tcPr>
            <w:tcW w:w="544"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w:t>
            </w:r>
          </w:p>
        </w:tc>
        <w:tc>
          <w:tcPr>
            <w:tcW w:w="1417"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接地与接零保护系统</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未采用三相五线制的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工作接地与重复接地不符合要求的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专用保护零线设置不符合要求的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保护零线与工作零线混合接口的</w:t>
            </w:r>
          </w:p>
        </w:tc>
        <w:tc>
          <w:tcPr>
            <w:tcW w:w="1576"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4" w:hRule="atLeast"/>
          <w:jc w:val="center"/>
        </w:trPr>
        <w:tc>
          <w:tcPr>
            <w:tcW w:w="544"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w:t>
            </w:r>
          </w:p>
        </w:tc>
        <w:tc>
          <w:tcPr>
            <w:tcW w:w="1417"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配电箱开关箱</w:t>
            </w:r>
          </w:p>
        </w:tc>
        <w:tc>
          <w:tcPr>
            <w:tcW w:w="5004"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不符合“三级配电两级保护”要求的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开关箱（末端）无漏电保护的或保护器失灵的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漏电保护装置参数不匹配的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电箱内无隔离开关的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违反“一闸、一漏、一箱”的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安装位置不当、周围杂物多等不便操作的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闸具损坏、闸具不符合要求或保险丝外漏的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电箱下引出线混乱的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电箱无门、无锁、无防雨措施的，无巡检或巡检滞后</w:t>
            </w:r>
          </w:p>
        </w:tc>
        <w:tc>
          <w:tcPr>
            <w:tcW w:w="1576"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99" w:hRule="atLeast"/>
          <w:jc w:val="center"/>
        </w:trPr>
        <w:tc>
          <w:tcPr>
            <w:tcW w:w="544"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w:t>
            </w:r>
          </w:p>
        </w:tc>
        <w:tc>
          <w:tcPr>
            <w:tcW w:w="1417" w:type="dxa"/>
            <w:tcBorders>
              <w:bottom w:val="single" w:color="auto" w:sz="4" w:space="0"/>
            </w:tcBorders>
            <w:vAlign w:val="center"/>
          </w:tcPr>
          <w:p>
            <w:pPr>
              <w:spacing w:line="280" w:lineRule="exact"/>
              <w:rPr>
                <w:rFonts w:asciiTheme="minorEastAsia" w:hAnsiTheme="minorEastAsia" w:eastAsiaTheme="minorEastAsia"/>
                <w:color w:val="000000" w:themeColor="text1"/>
                <w:spacing w:val="-10"/>
                <w14:textFill>
                  <w14:solidFill>
                    <w14:schemeClr w14:val="tx1"/>
                  </w14:solidFill>
                </w14:textFill>
              </w:rPr>
            </w:pPr>
            <w:r>
              <w:rPr>
                <w:rFonts w:hint="eastAsia" w:asciiTheme="minorEastAsia" w:hAnsiTheme="minorEastAsia" w:eastAsiaTheme="minorEastAsia"/>
                <w:color w:val="000000" w:themeColor="text1"/>
                <w:spacing w:val="-10"/>
                <w14:textFill>
                  <w14:solidFill>
                    <w14:schemeClr w14:val="tx1"/>
                  </w14:solidFill>
                </w14:textFill>
              </w:rPr>
              <w:t>现场照明</w:t>
            </w:r>
          </w:p>
        </w:tc>
        <w:tc>
          <w:tcPr>
            <w:tcW w:w="5004"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照明专用回路无漏电保护的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灯具金属外壳未作接零保护或接地保护的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室内线路及灯具安装高度低于2.4m无使用安全电压供电的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潮湿场所作业未使用36v以下安全电压的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使用36v安全电压照明线路混乱和接头处未用绝缘布包扎的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手持照明灯未使用36v及以下电源供电的</w:t>
            </w:r>
          </w:p>
        </w:tc>
        <w:tc>
          <w:tcPr>
            <w:tcW w:w="1576"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83" w:hRule="atLeast"/>
          <w:jc w:val="center"/>
        </w:trPr>
        <w:tc>
          <w:tcPr>
            <w:tcW w:w="544"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w:t>
            </w:r>
          </w:p>
        </w:tc>
        <w:tc>
          <w:tcPr>
            <w:tcW w:w="1417"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配电线路</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不按规定选用导线的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导线拖地、浸水或用光身金属线绑扎的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导线老化、破皮未包扎的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线路过道无保护的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没有将电线架空，或电线架空不符合要求的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未使用五芯（电缆）的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使用四芯电缆外加一根线替代五芯电缆的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电缆架设或埋设不符合要求的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导线乱拉乱接的</w:t>
            </w:r>
          </w:p>
        </w:tc>
        <w:tc>
          <w:tcPr>
            <w:tcW w:w="1576"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4" w:hRule="atLeast"/>
          <w:jc w:val="center"/>
        </w:trPr>
        <w:tc>
          <w:tcPr>
            <w:tcW w:w="544" w:type="dxa"/>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p>
        </w:tc>
        <w:tc>
          <w:tcPr>
            <w:tcW w:w="1417" w:type="dxa"/>
            <w:tcBorders>
              <w:left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电器装置</w:t>
            </w:r>
          </w:p>
        </w:tc>
        <w:tc>
          <w:tcPr>
            <w:tcW w:w="500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闸具、熔断器参数与设备容量不匹配、安装不合要求的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用其他金属丝代替熔丝的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漏电开关电源侧无空气开关或闸刀开关控制的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开关接线后无盖盖的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电器、设备、导线残缺破损的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使用多用插座的</w:t>
            </w:r>
          </w:p>
        </w:tc>
        <w:tc>
          <w:tcPr>
            <w:tcW w:w="1576"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200-500元/处</w:t>
            </w:r>
          </w:p>
        </w:tc>
      </w:tr>
    </w:tbl>
    <w:p>
      <w:pPr>
        <w:autoSpaceDE w:val="0"/>
        <w:autoSpaceDN w:val="0"/>
        <w:adjustRightInd w:val="0"/>
        <w:spacing w:line="500" w:lineRule="exact"/>
        <w:jc w:val="left"/>
        <w:rPr>
          <w:rFonts w:cs="宋体" w:asciiTheme="minorEastAsia" w:hAnsiTheme="minorEastAsia" w:eastAsiaTheme="minorEastAsia"/>
          <w:color w:val="000000" w:themeColor="text1"/>
          <w:kern w:val="0"/>
          <w:sz w:val="24"/>
          <w:szCs w:val="24"/>
          <w14:textFill>
            <w14:solidFill>
              <w14:schemeClr w14:val="tx1"/>
            </w14:solidFill>
          </w14:textFill>
        </w:rPr>
      </w:pPr>
      <w:r>
        <w:rPr>
          <w:rFonts w:hint="eastAsia" w:cs="宋体" w:asciiTheme="minorEastAsia" w:hAnsiTheme="minorEastAsia" w:eastAsiaTheme="minorEastAsia"/>
          <w:color w:val="000000" w:themeColor="text1"/>
          <w:kern w:val="0"/>
          <w:sz w:val="24"/>
          <w:szCs w:val="24"/>
          <w14:textFill>
            <w14:solidFill>
              <w14:schemeClr w14:val="tx1"/>
            </w14:solidFill>
          </w14:textFill>
        </w:rPr>
        <w:t xml:space="preserve">D、施工机具、设备管理 </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
        <w:gridCol w:w="1464"/>
        <w:gridCol w:w="5040"/>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dxa"/>
            <w:tcBorders>
              <w:bottom w:val="single" w:color="auto" w:sz="4" w:space="0"/>
            </w:tcBorders>
            <w:vAlign w:val="center"/>
          </w:tcPr>
          <w:p>
            <w:pPr>
              <w:spacing w:line="5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序</w:t>
            </w:r>
          </w:p>
          <w:p>
            <w:pPr>
              <w:spacing w:line="5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号</w:t>
            </w:r>
          </w:p>
        </w:tc>
        <w:tc>
          <w:tcPr>
            <w:tcW w:w="1464" w:type="dxa"/>
            <w:vAlign w:val="center"/>
          </w:tcPr>
          <w:p>
            <w:pPr>
              <w:spacing w:line="5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项目</w:t>
            </w:r>
          </w:p>
        </w:tc>
        <w:tc>
          <w:tcPr>
            <w:tcW w:w="5040" w:type="dxa"/>
            <w:vAlign w:val="center"/>
          </w:tcPr>
          <w:p>
            <w:pPr>
              <w:spacing w:line="5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检查标准</w:t>
            </w:r>
          </w:p>
        </w:tc>
        <w:tc>
          <w:tcPr>
            <w:tcW w:w="1502" w:type="dxa"/>
            <w:vAlign w:val="center"/>
          </w:tcPr>
          <w:p>
            <w:pPr>
              <w:spacing w:line="500" w:lineRule="exact"/>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违约金标准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1" w:hRule="atLeast"/>
          <w:jc w:val="center"/>
        </w:trPr>
        <w:tc>
          <w:tcPr>
            <w:tcW w:w="553" w:type="dxa"/>
            <w:tcBorders>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w:t>
            </w:r>
          </w:p>
        </w:tc>
        <w:tc>
          <w:tcPr>
            <w:tcW w:w="146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套丝机、圆盘锯等</w:t>
            </w:r>
          </w:p>
        </w:tc>
        <w:tc>
          <w:tcPr>
            <w:tcW w:w="5040"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操作人员戴手套操作的, （违反操作规程的）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锯片、传动部位防护罩缺失</w:t>
            </w:r>
          </w:p>
        </w:tc>
        <w:tc>
          <w:tcPr>
            <w:tcW w:w="1502" w:type="dxa"/>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r>
              <w:rPr>
                <w:rFonts w:hint="eastAsia" w:asciiTheme="minorEastAsia" w:hAnsiTheme="minorEastAsia" w:eastAsiaTheme="minorEastAsia"/>
                <w:color w:val="000000" w:themeColor="text1"/>
                <w:sz w:val="18"/>
                <w14:textFill>
                  <w14:solidFill>
                    <w14:schemeClr w14:val="tx1"/>
                  </w14:solidFill>
                </w14:textFill>
              </w:rPr>
              <w:t>100元／人次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98" w:hRule="atLeast"/>
          <w:jc w:val="center"/>
        </w:trPr>
        <w:tc>
          <w:tcPr>
            <w:tcW w:w="553" w:type="dxa"/>
            <w:tcBorders>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w:t>
            </w:r>
          </w:p>
        </w:tc>
        <w:tc>
          <w:tcPr>
            <w:tcW w:w="146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空气压缩机</w:t>
            </w:r>
          </w:p>
        </w:tc>
        <w:tc>
          <w:tcPr>
            <w:tcW w:w="5040"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传动部位无防护罩的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自动控制器件失灵或残缺破损未更换的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1Mpa、150L以上无检测证的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周边无降噪措施</w:t>
            </w:r>
          </w:p>
        </w:tc>
        <w:tc>
          <w:tcPr>
            <w:tcW w:w="150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100-300元／项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9" w:hRule="atLeast"/>
          <w:jc w:val="center"/>
        </w:trPr>
        <w:tc>
          <w:tcPr>
            <w:tcW w:w="553" w:type="dxa"/>
            <w:tcBorders>
              <w:bottom w:val="single" w:color="auto" w:sz="4" w:space="0"/>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w:t>
            </w:r>
          </w:p>
        </w:tc>
        <w:tc>
          <w:tcPr>
            <w:tcW w:w="1464"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手持电动工具</w:t>
            </w:r>
          </w:p>
        </w:tc>
        <w:tc>
          <w:tcPr>
            <w:tcW w:w="5040"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使用I类手持电动工具的</w:t>
            </w:r>
          </w:p>
        </w:tc>
        <w:tc>
          <w:tcPr>
            <w:tcW w:w="1502"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100元／项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8" w:hRule="atLeast"/>
          <w:jc w:val="center"/>
        </w:trPr>
        <w:tc>
          <w:tcPr>
            <w:tcW w:w="553" w:type="dxa"/>
            <w:tcBorders>
              <w:bottom w:val="single" w:color="auto" w:sz="4" w:space="0"/>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w:t>
            </w:r>
          </w:p>
        </w:tc>
        <w:tc>
          <w:tcPr>
            <w:tcW w:w="1464" w:type="dxa"/>
            <w:tcBorders>
              <w:bottom w:val="single" w:color="auto" w:sz="4" w:space="0"/>
            </w:tcBorders>
            <w:vAlign w:val="center"/>
          </w:tcPr>
          <w:p>
            <w:pPr>
              <w:spacing w:line="280" w:lineRule="exact"/>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电焊机</w:t>
            </w:r>
          </w:p>
        </w:tc>
        <w:tc>
          <w:tcPr>
            <w:tcW w:w="5040"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无二次空载降压保护器或防触电保护器的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一次线长度超过5米，二次焊线长度超过30米的</w:t>
            </w:r>
          </w:p>
          <w:p>
            <w:pPr>
              <w:numPr>
                <w:ilvl w:val="0"/>
                <w:numId w:val="18"/>
              </w:numPr>
              <w:tabs>
                <w:tab w:val="left" w:pos="420"/>
              </w:tabs>
              <w:spacing w:line="280" w:lineRule="exact"/>
              <w:ind w:left="0" w:firstLine="42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二次侧导线不采用橡套电缆的</w:t>
            </w:r>
          </w:p>
          <w:p>
            <w:pPr>
              <w:numPr>
                <w:ilvl w:val="0"/>
                <w:numId w:val="18"/>
              </w:numPr>
              <w:tabs>
                <w:tab w:val="left" w:pos="420"/>
              </w:tabs>
              <w:spacing w:line="280" w:lineRule="exact"/>
              <w:ind w:left="0" w:firstLine="42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二次侧电缆线芯截面选择不当的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二次侧电缆跨楼层焊接作业的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焊接线接头超过3处或绝缘老化的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一、二次侧两端无保护罩的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一、二次侧接线端子残缺破损的或接线不牢固的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电源不使用自动开关的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露天作业电焊机无防雨措施的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工人焊接作业无防护用具，如电渣压力焊作业无绝缘手套绝缘鞋等</w:t>
            </w:r>
          </w:p>
        </w:tc>
        <w:tc>
          <w:tcPr>
            <w:tcW w:w="1502" w:type="dxa"/>
            <w:tcBorders>
              <w:bottom w:val="single" w:color="auto" w:sz="4" w:space="0"/>
            </w:tcBorders>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100--300元／项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0" w:hRule="atLeast"/>
          <w:jc w:val="center"/>
        </w:trPr>
        <w:tc>
          <w:tcPr>
            <w:tcW w:w="553" w:type="dxa"/>
            <w:tcBorders>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w:t>
            </w:r>
          </w:p>
        </w:tc>
        <w:tc>
          <w:tcPr>
            <w:tcW w:w="146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气瓶</w:t>
            </w:r>
          </w:p>
        </w:tc>
        <w:tc>
          <w:tcPr>
            <w:tcW w:w="5040"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各种气瓶无标准色标的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使用时气瓶间距小于5米，距明火小于10米又无间隔措施的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乙炔瓶使用或存放时平放或加热气瓶的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气瓶存放不符合要求的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气瓶使用时，减压阀、回火阀等相关配置不齐全或损坏</w:t>
            </w:r>
          </w:p>
        </w:tc>
        <w:tc>
          <w:tcPr>
            <w:tcW w:w="150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100--300元／项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6" w:hRule="atLeast"/>
          <w:jc w:val="center"/>
        </w:trPr>
        <w:tc>
          <w:tcPr>
            <w:tcW w:w="553" w:type="dxa"/>
            <w:vMerge w:val="restart"/>
            <w:tcBorders>
              <w:bottom w:val="single" w:color="auto" w:sz="4" w:space="0"/>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w:t>
            </w:r>
          </w:p>
        </w:tc>
        <w:tc>
          <w:tcPr>
            <w:tcW w:w="1464" w:type="dxa"/>
            <w:vMerge w:val="restart"/>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施工机具通用部分</w:t>
            </w:r>
          </w:p>
        </w:tc>
        <w:tc>
          <w:tcPr>
            <w:tcW w:w="5040" w:type="dxa"/>
            <w:tcBorders>
              <w:bottom w:val="single" w:color="auto" w:sz="4" w:space="0"/>
            </w:tcBorders>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电源线无选用橡套电缆的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电源线、插头残缺破损未更换的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未作保护接零（或保护接地）的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无漏电开关保护或漏电开关动作电流选择不当的</w:t>
            </w:r>
          </w:p>
        </w:tc>
        <w:tc>
          <w:tcPr>
            <w:tcW w:w="1502" w:type="dxa"/>
            <w:vMerge w:val="restart"/>
            <w:tcBorders>
              <w:bottom w:val="single" w:color="auto" w:sz="4" w:space="0"/>
            </w:tcBorders>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100--300元／项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2" w:hRule="atLeast"/>
          <w:jc w:val="center"/>
        </w:trPr>
        <w:tc>
          <w:tcPr>
            <w:tcW w:w="553" w:type="dxa"/>
            <w:vMerge w:val="continue"/>
            <w:tcBorders>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1464" w:type="dxa"/>
            <w:vMerge w:val="continue"/>
            <w:vAlign w:val="center"/>
          </w:tcPr>
          <w:p>
            <w:pPr>
              <w:spacing w:line="280" w:lineRule="exact"/>
              <w:rPr>
                <w:rFonts w:asciiTheme="minorEastAsia" w:hAnsiTheme="minorEastAsia" w:eastAsiaTheme="minorEastAsia"/>
                <w:color w:val="000000" w:themeColor="text1"/>
                <w14:textFill>
                  <w14:solidFill>
                    <w14:schemeClr w14:val="tx1"/>
                  </w14:solidFill>
                </w14:textFill>
              </w:rPr>
            </w:pPr>
          </w:p>
        </w:tc>
        <w:tc>
          <w:tcPr>
            <w:tcW w:w="5040"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随意接长机具电源线的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机具无人操作未切断电源的</w:t>
            </w:r>
          </w:p>
        </w:tc>
        <w:tc>
          <w:tcPr>
            <w:tcW w:w="1502" w:type="dxa"/>
            <w:vMerge w:val="continue"/>
            <w:vAlign w:val="center"/>
          </w:tcPr>
          <w:p>
            <w:pPr>
              <w:spacing w:line="280" w:lineRule="exact"/>
              <w:jc w:val="center"/>
              <w:rPr>
                <w:rFonts w:asciiTheme="minorEastAsia" w:hAnsiTheme="minorEastAsia" w:eastAsiaTheme="minorEastAsia"/>
                <w:color w:val="000000" w:themeColor="text1"/>
                <w:sz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9" w:hRule="atLeast"/>
          <w:jc w:val="center"/>
        </w:trPr>
        <w:tc>
          <w:tcPr>
            <w:tcW w:w="553" w:type="dxa"/>
            <w:vMerge w:val="continue"/>
            <w:tcBorders>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p>
        </w:tc>
        <w:tc>
          <w:tcPr>
            <w:tcW w:w="1464" w:type="dxa"/>
            <w:vMerge w:val="continue"/>
            <w:vAlign w:val="center"/>
          </w:tcPr>
          <w:p>
            <w:pPr>
              <w:spacing w:line="280" w:lineRule="exact"/>
              <w:rPr>
                <w:rFonts w:asciiTheme="minorEastAsia" w:hAnsiTheme="minorEastAsia" w:eastAsiaTheme="minorEastAsia"/>
                <w:color w:val="000000" w:themeColor="text1"/>
                <w14:textFill>
                  <w14:solidFill>
                    <w14:schemeClr w14:val="tx1"/>
                  </w14:solidFill>
                </w14:textFill>
              </w:rPr>
            </w:pPr>
          </w:p>
        </w:tc>
        <w:tc>
          <w:tcPr>
            <w:tcW w:w="5040"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无安全检测记录便投入使用的</w:t>
            </w:r>
          </w:p>
        </w:tc>
        <w:tc>
          <w:tcPr>
            <w:tcW w:w="150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100--300元／项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1" w:hRule="atLeast"/>
          <w:jc w:val="center"/>
        </w:trPr>
        <w:tc>
          <w:tcPr>
            <w:tcW w:w="553" w:type="dxa"/>
            <w:tcBorders>
              <w:right w:val="single" w:color="auto" w:sz="4" w:space="0"/>
            </w:tcBorders>
            <w:vAlign w:val="center"/>
          </w:tcPr>
          <w:p>
            <w:pPr>
              <w:spacing w:line="280" w:lineRule="exact"/>
              <w:jc w:val="cente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w:t>
            </w:r>
          </w:p>
        </w:tc>
        <w:tc>
          <w:tcPr>
            <w:tcW w:w="1464"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塔吊、人货梯</w:t>
            </w:r>
          </w:p>
        </w:tc>
        <w:tc>
          <w:tcPr>
            <w:tcW w:w="5040" w:type="dxa"/>
            <w:vAlign w:val="center"/>
          </w:tcPr>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违规调物的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特种人员未持有效资格证上岗的</w:t>
            </w:r>
          </w:p>
          <w:p>
            <w:pPr>
              <w:spacing w:line="280" w:lineRule="exact"/>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未定期维护保养记录的（非司索指挥塔吊的或操作人货梯）</w:t>
            </w:r>
          </w:p>
        </w:tc>
        <w:tc>
          <w:tcPr>
            <w:tcW w:w="1502" w:type="dxa"/>
            <w:vAlign w:val="center"/>
          </w:tcPr>
          <w:p>
            <w:pPr>
              <w:spacing w:line="280" w:lineRule="exact"/>
              <w:jc w:val="center"/>
              <w:rPr>
                <w:rFonts w:asciiTheme="minorEastAsia" w:hAnsiTheme="minorEastAsia" w:eastAsiaTheme="minorEastAsia"/>
                <w:color w:val="000000" w:themeColor="text1"/>
                <w:spacing w:val="-10"/>
                <w:sz w:val="18"/>
                <w14:textFill>
                  <w14:solidFill>
                    <w14:schemeClr w14:val="tx1"/>
                  </w14:solidFill>
                </w14:textFill>
              </w:rPr>
            </w:pPr>
            <w:r>
              <w:rPr>
                <w:rFonts w:hint="eastAsia" w:asciiTheme="minorEastAsia" w:hAnsiTheme="minorEastAsia" w:eastAsiaTheme="minorEastAsia"/>
                <w:color w:val="000000" w:themeColor="text1"/>
                <w:spacing w:val="-10"/>
                <w:sz w:val="18"/>
                <w14:textFill>
                  <w14:solidFill>
                    <w14:schemeClr w14:val="tx1"/>
                  </w14:solidFill>
                </w14:textFill>
              </w:rPr>
              <w:t>500-2000元/项</w:t>
            </w:r>
          </w:p>
        </w:tc>
      </w:tr>
    </w:tbl>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color w:val="000000" w:themeColor="text1"/>
          <w14:textFill>
            <w14:solidFill>
              <w14:schemeClr w14:val="tx1"/>
            </w14:solidFill>
          </w14:textFill>
        </w:rPr>
        <w:t> </w:t>
      </w:r>
      <w:r>
        <w:rPr>
          <w:rFonts w:hint="eastAsia" w:asciiTheme="minorEastAsia" w:hAnsiTheme="minorEastAsia" w:eastAsiaTheme="minorEastAsia"/>
          <w:color w:val="000000" w:themeColor="text1"/>
          <w14:textFill>
            <w14:solidFill>
              <w14:schemeClr w14:val="tx1"/>
            </w14:solidFill>
          </w14:textFill>
        </w:rPr>
        <w:t>4.5.2环境、文明施工管理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（1）严格执行本项目部制定的现场卫生管理制度、文明施工管理制度、扬尘控制措施、环境管理方案，保持场容整洁卫生，杜绝扬尘污染。</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（2）认真执行环境管理方案，对噪音源进行有效控制，确保噪音达标排放。</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（3）一切垃圾（包括包装物、零碎料等施工垃圾、生活垃圾）必须通过包装物或装盛器具运到现场指定垃圾堆放点存放，不得由空中向下抛洒任何物体。</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（4）工程施工使用的材料应符合国家、当地政府的有关环保规定。材料采购合同，应明确包装的回收约定。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（5）化学危险品采购、运输、储存、使用、包装回收应有专人负责，严格执行国家及当地政府的有关规定。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（6）加强现场消防防火工作，避免火灾引起的环境污染。</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（7）加强施工人员教育，关心工人生活，杜绝打架斗殴、集体中毒、违法刑事案件、集体上访、拖欠农民工工资等影响本项目形象的事件发生。</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（8）违反以上各条环境、文明施工管理制度的，视情况每次处收取违约金100-10000元。</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4.5.3奖罚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由监理、发包人制定安全文明施工防护措施奖罚制度，并严格按照制度实施，现场罚没的资金直接上缴至安全专项资金里，做到专款专用。</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5.纪律约束</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5.1对分包人的纪律约束</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（1）所有分包人必须严格执行国家、发包人、监理单位及总包单位的有关规定。</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（2）在工程施工中，不准有弄虚作假等欺诈行为，不准送礼行贿。</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（3）在施工中发现分包人有违法、违纪行为者，将对其清退出现场，并永不再与其合作。</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5.2对总包人员的纪律约束</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（1）总包各管理人员要秉公办事，坚持原则，尽职尽责。</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（2）总包人员要廉洁自律，严禁对分包人吃、拿、卡、要，索贿受贿，如有违犯者，按有关规定处理。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（3）对在工程管理中给发包人造成损失的单位、个人，将视其情节轻重，予以经济处罚及行政处分。</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6.其他</w:t>
      </w:r>
      <w:r>
        <w:rPr>
          <w:rFonts w:hint="eastAsia" w:cs="宋体" w:asciiTheme="minorEastAsia" w:hAnsiTheme="minorEastAsia" w:eastAsiaTheme="minorEastAsia"/>
          <w:color w:val="000000" w:themeColor="text1"/>
          <w14:textFill>
            <w14:solidFill>
              <w14:schemeClr w14:val="tx1"/>
            </w14:solidFill>
          </w14:textFill>
        </w:rPr>
        <w:t> </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（1）上述各项管理制度如与其他管理制度或合同条款约定有冲突的，按最严格的执行。</w:t>
      </w:r>
    </w:p>
    <w:p>
      <w:pPr>
        <w:spacing w:line="360" w:lineRule="auto"/>
        <w:ind w:firstLine="420" w:firstLineChars="200"/>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color w:val="000000" w:themeColor="text1"/>
          <w14:textFill>
            <w14:solidFill>
              <w14:schemeClr w14:val="tx1"/>
            </w14:solidFill>
          </w14:textFill>
        </w:rPr>
        <w:t>（2）本管理制度解释权归本项目发包人。</w:t>
      </w:r>
    </w:p>
    <w:p>
      <w:pPr>
        <w:widowControl/>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2"/>
        <w:rPr>
          <w:color w:val="000000" w:themeColor="text1"/>
          <w:sz w:val="30"/>
          <w:szCs w:val="30"/>
          <w14:textFill>
            <w14:solidFill>
              <w14:schemeClr w14:val="tx1"/>
            </w14:solidFill>
          </w14:textFill>
        </w:rPr>
      </w:pPr>
      <w:bookmarkStart w:id="944" w:name="_Toc13874"/>
      <w:bookmarkStart w:id="945" w:name="_Toc118446917"/>
      <w:r>
        <w:rPr>
          <w:rFonts w:hint="eastAsia"/>
          <w:color w:val="000000" w:themeColor="text1"/>
          <w:sz w:val="30"/>
          <w:szCs w:val="30"/>
          <w14:textFill>
            <w14:solidFill>
              <w14:schemeClr w14:val="tx1"/>
            </w14:solidFill>
          </w14:textFill>
        </w:rPr>
        <w:t>附件10 智慧工地建设要求</w:t>
      </w:r>
      <w:bookmarkEnd w:id="944"/>
      <w:bookmarkEnd w:id="945"/>
    </w:p>
    <w:p>
      <w:pPr>
        <w:spacing w:line="360" w:lineRule="auto"/>
        <w:jc w:val="center"/>
        <w:rPr>
          <w:rFonts w:ascii="华文楷体" w:hAnsi="华文楷体" w:eastAsia="华文楷体"/>
          <w:b/>
          <w:color w:val="000000" w:themeColor="text1"/>
          <w:sz w:val="24"/>
          <w:szCs w:val="24"/>
          <w14:textFill>
            <w14:solidFill>
              <w14:schemeClr w14:val="tx1"/>
            </w14:solidFill>
          </w14:textFill>
        </w:rPr>
      </w:pPr>
      <w:r>
        <w:rPr>
          <w:rFonts w:hint="eastAsia" w:ascii="华文楷体" w:hAnsi="华文楷体" w:eastAsia="华文楷体"/>
          <w:b/>
          <w:color w:val="000000" w:themeColor="text1"/>
          <w:sz w:val="24"/>
          <w:szCs w:val="24"/>
          <w14:textFill>
            <w14:solidFill>
              <w14:schemeClr w14:val="tx1"/>
            </w14:solidFill>
          </w14:textFill>
        </w:rPr>
        <w:t>智慧工地建设要求</w:t>
      </w:r>
    </w:p>
    <w:p>
      <w:pPr>
        <w:pStyle w:val="107"/>
        <w:numPr>
          <w:ilvl w:val="0"/>
          <w:numId w:val="19"/>
        </w:numPr>
        <w:spacing w:line="360" w:lineRule="auto"/>
        <w:ind w:left="408" w:hanging="408" w:hangingChars="170"/>
        <w:rPr>
          <w:rFonts w:ascii="华文楷体" w:hAnsi="华文楷体" w:eastAsia="华文楷体"/>
          <w:b/>
          <w:color w:val="000000" w:themeColor="text1"/>
          <w:sz w:val="24"/>
          <w:szCs w:val="24"/>
          <w14:textFill>
            <w14:solidFill>
              <w14:schemeClr w14:val="tx1"/>
            </w14:solidFill>
          </w14:textFill>
        </w:rPr>
      </w:pPr>
      <w:r>
        <w:rPr>
          <w:rFonts w:hint="eastAsia" w:ascii="华文楷体" w:hAnsi="华文楷体" w:eastAsia="华文楷体"/>
          <w:b/>
          <w:color w:val="000000" w:themeColor="text1"/>
          <w:sz w:val="24"/>
          <w:szCs w:val="24"/>
          <w14:textFill>
            <w14:solidFill>
              <w14:schemeClr w14:val="tx1"/>
            </w14:solidFill>
          </w14:textFill>
        </w:rPr>
        <w:t>总体方案</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本项目智慧工地建设要求是从发包人当前需求出发，考虑到管理目标、管理要素。承包人须服从、配合发包人对智慧工地建设的需要。建设内容主要包括工地数字设备（门禁管理系统、安全管理、文明工地管理、车辆进出管理、视频监控系统等）的采购、安装、调试、信息接入和系统运行环境设备（通信网络、办公网络、信息安全等）的采购、安装、调试。</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承包人</w:t>
      </w:r>
      <w:r>
        <w:rPr>
          <w:rFonts w:ascii="华文楷体" w:hAnsi="华文楷体" w:eastAsia="华文楷体"/>
          <w:color w:val="000000" w:themeColor="text1"/>
          <w14:textFill>
            <w14:solidFill>
              <w14:schemeClr w14:val="tx1"/>
            </w14:solidFill>
          </w14:textFill>
        </w:rPr>
        <w:t>应</w:t>
      </w:r>
      <w:r>
        <w:rPr>
          <w:rFonts w:hint="eastAsia" w:ascii="华文楷体" w:hAnsi="华文楷体" w:eastAsia="华文楷体"/>
          <w:color w:val="000000" w:themeColor="text1"/>
          <w14:textFill>
            <w14:solidFill>
              <w14:schemeClr w14:val="tx1"/>
            </w14:solidFill>
          </w14:textFill>
        </w:rPr>
        <w:t>提供对发包人指定的系统发布的</w:t>
      </w:r>
      <w:r>
        <w:rPr>
          <w:rFonts w:ascii="华文楷体" w:hAnsi="华文楷体" w:eastAsia="华文楷体"/>
          <w:color w:val="000000" w:themeColor="text1"/>
          <w14:textFill>
            <w14:solidFill>
              <w14:schemeClr w14:val="tx1"/>
            </w14:solidFill>
          </w14:textFill>
        </w:rPr>
        <w:t>数据接口，实现系统间数据</w:t>
      </w:r>
      <w:r>
        <w:rPr>
          <w:rFonts w:hint="eastAsia" w:ascii="华文楷体" w:hAnsi="华文楷体" w:eastAsia="华文楷体"/>
          <w:color w:val="000000" w:themeColor="text1"/>
          <w14:textFill>
            <w14:solidFill>
              <w14:schemeClr w14:val="tx1"/>
            </w14:solidFill>
          </w14:textFill>
        </w:rPr>
        <w:t>导入、导出和</w:t>
      </w:r>
      <w:r>
        <w:rPr>
          <w:rFonts w:ascii="华文楷体" w:hAnsi="华文楷体" w:eastAsia="华文楷体"/>
          <w:color w:val="000000" w:themeColor="text1"/>
          <w14:textFill>
            <w14:solidFill>
              <w14:schemeClr w14:val="tx1"/>
            </w14:solidFill>
          </w14:textFill>
        </w:rPr>
        <w:t>共享。</w:t>
      </w:r>
      <w:r>
        <w:rPr>
          <w:rFonts w:hint="eastAsia" w:ascii="华文楷体" w:hAnsi="华文楷体" w:eastAsia="华文楷体"/>
          <w:color w:val="000000" w:themeColor="text1"/>
          <w14:textFill>
            <w14:solidFill>
              <w14:schemeClr w14:val="tx1"/>
            </w14:solidFill>
          </w14:textFill>
        </w:rPr>
        <w:t>数据接口应符合下表的内容：</w:t>
      </w:r>
    </w:p>
    <w:tbl>
      <w:tblPr>
        <w:tblStyle w:val="37"/>
        <w:tblW w:w="793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76"/>
        <w:gridCol w:w="5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tblHeader/>
        </w:trPr>
        <w:tc>
          <w:tcPr>
            <w:tcW w:w="709" w:type="dxa"/>
            <w:vAlign w:val="center"/>
          </w:tcPr>
          <w:p>
            <w:pPr>
              <w:spacing w:line="360" w:lineRule="auto"/>
              <w:jc w:val="center"/>
              <w:rPr>
                <w:rFonts w:ascii="华文楷体" w:hAnsi="华文楷体" w:eastAsia="华文楷体"/>
                <w:b/>
                <w:color w:val="000000" w:themeColor="text1"/>
                <w:szCs w:val="21"/>
                <w14:textFill>
                  <w14:solidFill>
                    <w14:schemeClr w14:val="tx1"/>
                  </w14:solidFill>
                </w14:textFill>
              </w:rPr>
            </w:pPr>
            <w:r>
              <w:rPr>
                <w:rFonts w:ascii="华文楷体" w:hAnsi="华文楷体" w:eastAsia="华文楷体"/>
                <w:b/>
                <w:color w:val="000000" w:themeColor="text1"/>
                <w:szCs w:val="21"/>
                <w14:textFill>
                  <w14:solidFill>
                    <w14:schemeClr w14:val="tx1"/>
                  </w14:solidFill>
                </w14:textFill>
              </w:rPr>
              <w:t>序号</w:t>
            </w:r>
          </w:p>
        </w:tc>
        <w:tc>
          <w:tcPr>
            <w:tcW w:w="1276" w:type="dxa"/>
            <w:vAlign w:val="center"/>
          </w:tcPr>
          <w:p>
            <w:pPr>
              <w:spacing w:line="360" w:lineRule="auto"/>
              <w:jc w:val="center"/>
              <w:rPr>
                <w:rFonts w:ascii="华文楷体" w:hAnsi="华文楷体" w:eastAsia="华文楷体"/>
                <w:b/>
                <w:color w:val="000000" w:themeColor="text1"/>
                <w:szCs w:val="21"/>
                <w14:textFill>
                  <w14:solidFill>
                    <w14:schemeClr w14:val="tx1"/>
                  </w14:solidFill>
                </w14:textFill>
              </w:rPr>
            </w:pPr>
            <w:r>
              <w:rPr>
                <w:rFonts w:hint="eastAsia" w:ascii="华文楷体" w:hAnsi="华文楷体" w:eastAsia="华文楷体"/>
                <w:b/>
                <w:color w:val="000000" w:themeColor="text1"/>
                <w:szCs w:val="21"/>
                <w14:textFill>
                  <w14:solidFill>
                    <w14:schemeClr w14:val="tx1"/>
                  </w14:solidFill>
                </w14:textFill>
              </w:rPr>
              <w:t>项目</w:t>
            </w:r>
          </w:p>
        </w:tc>
        <w:tc>
          <w:tcPr>
            <w:tcW w:w="5953" w:type="dxa"/>
            <w:vAlign w:val="center"/>
          </w:tcPr>
          <w:p>
            <w:pPr>
              <w:spacing w:line="360" w:lineRule="auto"/>
              <w:jc w:val="center"/>
              <w:rPr>
                <w:rFonts w:ascii="华文楷体" w:hAnsi="华文楷体" w:eastAsia="华文楷体"/>
                <w:b/>
                <w:color w:val="000000" w:themeColor="text1"/>
                <w:szCs w:val="21"/>
                <w14:textFill>
                  <w14:solidFill>
                    <w14:schemeClr w14:val="tx1"/>
                  </w14:solidFill>
                </w14:textFill>
              </w:rPr>
            </w:pPr>
            <w:r>
              <w:rPr>
                <w:rFonts w:hint="eastAsia" w:ascii="华文楷体" w:hAnsi="华文楷体" w:eastAsia="华文楷体"/>
                <w:b/>
                <w:color w:val="000000" w:themeColor="text1"/>
                <w:szCs w:val="21"/>
                <w14:textFill>
                  <w14:solidFill>
                    <w14:schemeClr w14:val="tx1"/>
                  </w14:solidFill>
                </w14:textFill>
              </w:rPr>
              <w:t>项目</w:t>
            </w:r>
            <w:r>
              <w:rPr>
                <w:rFonts w:ascii="华文楷体" w:hAnsi="华文楷体" w:eastAsia="华文楷体"/>
                <w:b/>
                <w:color w:val="000000" w:themeColor="text1"/>
                <w:szCs w:val="21"/>
                <w14:textFill>
                  <w14:solidFill>
                    <w14:schemeClr w14:val="tx1"/>
                  </w14:solidFill>
                </w14:textFill>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restart"/>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1</w:t>
            </w:r>
          </w:p>
        </w:tc>
        <w:tc>
          <w:tcPr>
            <w:tcW w:w="1276" w:type="dxa"/>
            <w:vMerge w:val="restart"/>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数据</w:t>
            </w:r>
            <w:r>
              <w:rPr>
                <w:rFonts w:hint="eastAsia" w:ascii="华文楷体" w:hAnsi="华文楷体" w:eastAsia="华文楷体"/>
                <w:color w:val="000000" w:themeColor="text1"/>
                <w:szCs w:val="21"/>
                <w14:textFill>
                  <w14:solidFill>
                    <w14:schemeClr w14:val="tx1"/>
                  </w14:solidFill>
                </w14:textFill>
              </w:rPr>
              <w:t>内容及接口</w:t>
            </w: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提供工程信息管理访问接口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提供人员管理信息访问接口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提供工程管理信息访问接口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提供质量管理访问接口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提供安全管理访问接口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提供绿色施工信息访问接口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提供视频监控访问接口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提供设备管理信息访问接口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建立行业监管平台数据访问接口，实现采集数据的标准化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restart"/>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2</w:t>
            </w:r>
          </w:p>
        </w:tc>
        <w:tc>
          <w:tcPr>
            <w:tcW w:w="1276" w:type="dxa"/>
            <w:vMerge w:val="restart"/>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hint="eastAsia" w:ascii="华文楷体" w:hAnsi="华文楷体" w:eastAsia="华文楷体"/>
                <w:color w:val="000000" w:themeColor="text1"/>
                <w:szCs w:val="21"/>
                <w14:textFill>
                  <w14:solidFill>
                    <w14:schemeClr w14:val="tx1"/>
                  </w14:solidFill>
                </w14:textFill>
              </w:rPr>
              <w:t>数据类型</w:t>
            </w: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结构化数据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非结构化数据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restart"/>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3</w:t>
            </w:r>
          </w:p>
        </w:tc>
        <w:tc>
          <w:tcPr>
            <w:tcW w:w="1276" w:type="dxa"/>
            <w:vMerge w:val="restart"/>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数据格式</w:t>
            </w: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应实现各数据类型的标准化，统一编码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应支持JSON、XML、文本等数据交换格式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数据内容应包含数据唯一标识、项目唯一编码、采集设备唯一编码、数据采集时间等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709" w:type="dxa"/>
            <w:vMerge w:val="restart"/>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4</w:t>
            </w:r>
          </w:p>
        </w:tc>
        <w:tc>
          <w:tcPr>
            <w:tcW w:w="1276" w:type="dxa"/>
            <w:vMerge w:val="restart"/>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传输方式</w:t>
            </w: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支持从施工现场采集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支持从其他工地管理系统共享同步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支持由具有权限的后台管理人员录入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支持有线和无线两种数据传输方式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709" w:type="dxa"/>
            <w:vMerge w:val="continue"/>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采用Http、Socket等互联网通信协议进行网络传输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709" w:type="dxa"/>
            <w:vMerge w:val="restart"/>
            <w:vAlign w:val="center"/>
          </w:tcPr>
          <w:p>
            <w:pPr>
              <w:spacing w:line="360" w:lineRule="auto"/>
              <w:jc w:val="center"/>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5</w:t>
            </w:r>
          </w:p>
        </w:tc>
        <w:tc>
          <w:tcPr>
            <w:tcW w:w="1276" w:type="dxa"/>
            <w:vMerge w:val="restart"/>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传输频率</w:t>
            </w: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采集数据应按设置频率周期进行数据传输，传输频率应支持可配置，支持按天、小时、分钟、秒设置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709"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1276" w:type="dxa"/>
            <w:vMerge w:val="continue"/>
            <w:vAlign w:val="center"/>
          </w:tcPr>
          <w:p>
            <w:pPr>
              <w:spacing w:line="360" w:lineRule="auto"/>
              <w:rPr>
                <w:rFonts w:ascii="华文楷体" w:hAnsi="华文楷体" w:eastAsia="华文楷体"/>
                <w:color w:val="000000" w:themeColor="text1"/>
                <w:szCs w:val="21"/>
                <w14:textFill>
                  <w14:solidFill>
                    <w14:schemeClr w14:val="tx1"/>
                  </w14:solidFill>
                </w14:textFill>
              </w:rPr>
            </w:pPr>
          </w:p>
        </w:tc>
        <w:tc>
          <w:tcPr>
            <w:tcW w:w="5953" w:type="dxa"/>
            <w:vAlign w:val="center"/>
          </w:tcPr>
          <w:p>
            <w:pPr>
              <w:spacing w:line="360" w:lineRule="auto"/>
              <w:rPr>
                <w:rFonts w:ascii="华文楷体" w:hAnsi="华文楷体" w:eastAsia="华文楷体"/>
                <w:color w:val="000000" w:themeColor="text1"/>
                <w:szCs w:val="21"/>
                <w14:textFill>
                  <w14:solidFill>
                    <w14:schemeClr w14:val="tx1"/>
                  </w14:solidFill>
                </w14:textFill>
              </w:rPr>
            </w:pPr>
            <w:r>
              <w:rPr>
                <w:rFonts w:ascii="华文楷体" w:hAnsi="华文楷体" w:eastAsia="华文楷体"/>
                <w:color w:val="000000" w:themeColor="text1"/>
                <w:szCs w:val="21"/>
                <w14:textFill>
                  <w14:solidFill>
                    <w14:schemeClr w14:val="tx1"/>
                  </w14:solidFill>
                </w14:textFill>
              </w:rPr>
              <w:t>报警数据应在产生时及时传输</w:t>
            </w:r>
          </w:p>
        </w:tc>
      </w:tr>
    </w:tbl>
    <w:p>
      <w:pPr>
        <w:spacing w:line="360" w:lineRule="auto"/>
        <w:rPr>
          <w:rFonts w:ascii="华文楷体" w:hAnsi="华文楷体" w:eastAsia="华文楷体"/>
          <w:color w:val="000000" w:themeColor="text1"/>
          <w14:textFill>
            <w14:solidFill>
              <w14:schemeClr w14:val="tx1"/>
            </w14:solidFill>
          </w14:textFill>
        </w:rPr>
      </w:pPr>
    </w:p>
    <w:p>
      <w:pPr>
        <w:pStyle w:val="107"/>
        <w:numPr>
          <w:ilvl w:val="0"/>
          <w:numId w:val="19"/>
        </w:numPr>
        <w:spacing w:line="360" w:lineRule="auto"/>
        <w:ind w:left="408" w:hanging="408" w:hangingChars="170"/>
        <w:rPr>
          <w:rFonts w:ascii="华文楷体" w:hAnsi="华文楷体" w:eastAsia="华文楷体"/>
          <w:b/>
          <w:color w:val="000000" w:themeColor="text1"/>
          <w:sz w:val="24"/>
          <w:szCs w:val="24"/>
          <w14:textFill>
            <w14:solidFill>
              <w14:schemeClr w14:val="tx1"/>
            </w14:solidFill>
          </w14:textFill>
        </w:rPr>
      </w:pPr>
      <w:r>
        <w:rPr>
          <w:rFonts w:hint="eastAsia" w:ascii="华文楷体" w:hAnsi="华文楷体" w:eastAsia="华文楷体"/>
          <w:b/>
          <w:color w:val="000000" w:themeColor="text1"/>
          <w:sz w:val="24"/>
          <w:szCs w:val="24"/>
          <w14:textFill>
            <w14:solidFill>
              <w14:schemeClr w14:val="tx1"/>
            </w14:solidFill>
          </w14:textFill>
        </w:rPr>
        <w:t>工地数字设备</w:t>
      </w:r>
    </w:p>
    <w:p>
      <w:pPr>
        <w:spacing w:line="360" w:lineRule="auto"/>
        <w:rPr>
          <w:rFonts w:ascii="华文楷体" w:hAnsi="华文楷体" w:eastAsia="华文楷体"/>
          <w:color w:val="000000" w:themeColor="text1"/>
          <w:sz w:val="24"/>
          <w:szCs w:val="24"/>
          <w14:textFill>
            <w14:solidFill>
              <w14:schemeClr w14:val="tx1"/>
            </w14:solidFill>
          </w14:textFill>
        </w:rPr>
      </w:pPr>
      <w:r>
        <w:rPr>
          <w:rFonts w:ascii="华文楷体" w:hAnsi="华文楷体" w:eastAsia="华文楷体"/>
          <w:color w:val="000000" w:themeColor="text1"/>
          <w:sz w:val="24"/>
          <w:szCs w:val="24"/>
          <w14:textFill>
            <w14:solidFill>
              <w14:schemeClr w14:val="tx1"/>
            </w14:solidFill>
          </w14:textFill>
        </w:rPr>
        <w:t>2.1</w:t>
      </w:r>
      <w:r>
        <w:rPr>
          <w:rFonts w:hint="eastAsia" w:ascii="华文楷体" w:hAnsi="华文楷体" w:eastAsia="华文楷体"/>
          <w:color w:val="000000" w:themeColor="text1"/>
          <w:sz w:val="24"/>
          <w:szCs w:val="24"/>
          <w14:textFill>
            <w14:solidFill>
              <w14:schemeClr w14:val="tx1"/>
            </w14:solidFill>
          </w14:textFill>
        </w:rPr>
        <w:t>门禁管理系统</w:t>
      </w:r>
    </w:p>
    <w:p>
      <w:pPr>
        <w:widowControl/>
        <w:spacing w:line="360" w:lineRule="auto"/>
        <w:jc w:val="left"/>
        <w:rPr>
          <w:rFonts w:ascii="华文楷体" w:hAnsi="华文楷体" w:eastAsia="华文楷体" w:cs="宋体"/>
          <w:color w:val="000000" w:themeColor="text1"/>
          <w:kern w:val="0"/>
          <w:szCs w:val="21"/>
          <w14:textFill>
            <w14:solidFill>
              <w14:schemeClr w14:val="tx1"/>
            </w14:solidFill>
          </w14:textFill>
        </w:rPr>
      </w:pPr>
      <w:r>
        <w:rPr>
          <w:rFonts w:ascii="华文楷体" w:hAnsi="华文楷体" w:eastAsia="华文楷体" w:cs="宋体"/>
          <w:color w:val="000000" w:themeColor="text1"/>
          <w:kern w:val="0"/>
          <w:szCs w:val="21"/>
          <w14:textFill>
            <w14:solidFill>
              <w14:schemeClr w14:val="tx1"/>
            </w14:solidFill>
          </w14:textFill>
        </w:rPr>
        <w:t>2.1.1设备配置要求</w:t>
      </w:r>
    </w:p>
    <w:p>
      <w:pPr>
        <w:widowControl/>
        <w:spacing w:line="360" w:lineRule="auto"/>
        <w:ind w:firstLine="420" w:firstLineChars="200"/>
        <w:jc w:val="left"/>
        <w:rPr>
          <w:rFonts w:ascii="华文楷体" w:hAnsi="华文楷体" w:eastAsia="华文楷体" w:cs="宋体"/>
          <w:color w:val="000000" w:themeColor="text1"/>
          <w:kern w:val="0"/>
          <w:szCs w:val="2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承包人</w:t>
      </w:r>
      <w:r>
        <w:rPr>
          <w:rFonts w:ascii="华文楷体" w:hAnsi="华文楷体" w:eastAsia="华文楷体" w:cs="宋体"/>
          <w:color w:val="000000" w:themeColor="text1"/>
          <w:kern w:val="0"/>
          <w:szCs w:val="21"/>
          <w14:textFill>
            <w14:solidFill>
              <w14:schemeClr w14:val="tx1"/>
            </w14:solidFill>
          </w14:textFill>
        </w:rPr>
        <w:t>负责门禁管理系统的采购、安装、试验、调试。工区入口设置门禁设备，采购的设备包括不限于人脸人行道闸、发卡器、IC卡、LED显示屏、交换机、访客机、道闸管理软件、信号线、电源线</w:t>
      </w:r>
      <w:r>
        <w:rPr>
          <w:rFonts w:hint="eastAsia" w:ascii="华文楷体" w:hAnsi="华文楷体" w:eastAsia="华文楷体" w:cs="宋体"/>
          <w:color w:val="000000" w:themeColor="text1"/>
          <w:kern w:val="0"/>
          <w:szCs w:val="21"/>
          <w14:textFill>
            <w14:solidFill>
              <w14:schemeClr w14:val="tx1"/>
            </w14:solidFill>
          </w14:textFill>
        </w:rPr>
        <w:t>。</w:t>
      </w:r>
    </w:p>
    <w:p>
      <w:pPr>
        <w:widowControl/>
        <w:spacing w:line="360" w:lineRule="auto"/>
        <w:jc w:val="left"/>
        <w:rPr>
          <w:rFonts w:ascii="华文楷体" w:hAnsi="华文楷体" w:eastAsia="华文楷体" w:cs="宋体"/>
          <w:color w:val="000000" w:themeColor="text1"/>
          <w:kern w:val="0"/>
          <w:szCs w:val="21"/>
          <w14:textFill>
            <w14:solidFill>
              <w14:schemeClr w14:val="tx1"/>
            </w14:solidFill>
          </w14:textFill>
        </w:rPr>
      </w:pPr>
      <w:r>
        <w:rPr>
          <w:rFonts w:ascii="华文楷体" w:hAnsi="华文楷体" w:eastAsia="华文楷体" w:cs="宋体"/>
          <w:color w:val="000000" w:themeColor="text1"/>
          <w:kern w:val="0"/>
          <w:szCs w:val="21"/>
          <w14:textFill>
            <w14:solidFill>
              <w14:schemeClr w14:val="tx1"/>
            </w14:solidFill>
          </w14:textFill>
        </w:rPr>
        <w:t>2.1.2系统功能要求</w:t>
      </w:r>
    </w:p>
    <w:p>
      <w:pPr>
        <w:widowControl/>
        <w:spacing w:line="360" w:lineRule="auto"/>
        <w:jc w:val="left"/>
        <w:rPr>
          <w:rFonts w:ascii="华文楷体" w:hAnsi="华文楷体" w:eastAsia="华文楷体" w:cs="宋体"/>
          <w:color w:val="000000" w:themeColor="text1"/>
          <w:kern w:val="0"/>
          <w:szCs w:val="21"/>
          <w14:textFill>
            <w14:solidFill>
              <w14:schemeClr w14:val="tx1"/>
            </w14:solidFill>
          </w14:textFill>
        </w:rPr>
      </w:pPr>
      <w:r>
        <w:rPr>
          <w:rFonts w:ascii="华文楷体" w:hAnsi="华文楷体" w:eastAsia="华文楷体" w:cs="宋体"/>
          <w:color w:val="000000" w:themeColor="text1"/>
          <w:kern w:val="0"/>
          <w:szCs w:val="21"/>
          <w14:textFill>
            <w14:solidFill>
              <w14:schemeClr w14:val="tx1"/>
            </w14:solidFill>
          </w14:textFill>
        </w:rPr>
        <w:t>1）人员进出管理控制</w:t>
      </w:r>
    </w:p>
    <w:p>
      <w:pPr>
        <w:widowControl/>
        <w:spacing w:line="360" w:lineRule="auto"/>
        <w:ind w:firstLine="420" w:firstLineChars="200"/>
        <w:jc w:val="left"/>
        <w:rPr>
          <w:rFonts w:ascii="华文楷体" w:hAnsi="华文楷体" w:eastAsia="华文楷体" w:cs="宋体"/>
          <w:color w:val="000000" w:themeColor="text1"/>
          <w:kern w:val="0"/>
          <w:szCs w:val="2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①</w:t>
      </w:r>
      <w:r>
        <w:rPr>
          <w:rFonts w:ascii="华文楷体" w:hAnsi="华文楷体" w:eastAsia="华文楷体" w:cs="宋体"/>
          <w:color w:val="000000" w:themeColor="text1"/>
          <w:kern w:val="0"/>
          <w:szCs w:val="21"/>
          <w14:textFill>
            <w14:solidFill>
              <w14:schemeClr w14:val="tx1"/>
            </w14:solidFill>
          </w14:textFill>
        </w:rPr>
        <w:t>人员通道闸机通行支持IC卡、身份证、人脸识别等多种认证方式</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同时支持以上认证方式的组合认证配置。对于认证通过的人员予以放行。</w:t>
      </w:r>
    </w:p>
    <w:p>
      <w:pPr>
        <w:widowControl/>
        <w:spacing w:line="360" w:lineRule="auto"/>
        <w:ind w:firstLine="420" w:firstLineChars="200"/>
        <w:jc w:val="left"/>
        <w:rPr>
          <w:rFonts w:ascii="华文楷体" w:hAnsi="华文楷体" w:eastAsia="华文楷体" w:cs="宋体"/>
          <w:color w:val="000000" w:themeColor="text1"/>
          <w:kern w:val="0"/>
          <w:szCs w:val="2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 xml:space="preserve"> </w:t>
      </w:r>
      <w:r>
        <w:rPr>
          <w:rFonts w:ascii="华文楷体" w:hAnsi="华文楷体" w:eastAsia="华文楷体" w:cs="宋体"/>
          <w:color w:val="000000" w:themeColor="text1"/>
          <w:kern w:val="0"/>
          <w:szCs w:val="2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②</w:t>
      </w:r>
      <w:r>
        <w:rPr>
          <w:rFonts w:ascii="华文楷体" w:hAnsi="华文楷体" w:eastAsia="华文楷体" w:cs="宋体"/>
          <w:color w:val="000000" w:themeColor="text1"/>
          <w:kern w:val="0"/>
          <w:szCs w:val="21"/>
          <w14:textFill>
            <w14:solidFill>
              <w14:schemeClr w14:val="tx1"/>
            </w14:solidFill>
          </w14:textFill>
        </w:rPr>
        <w:t>门禁管理系统与安全教育管理结合</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并建立黑名单制度</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未经安全教育、列入黑名单的人员或不满足进入</w:t>
      </w:r>
      <w:r>
        <w:rPr>
          <w:rFonts w:hint="eastAsia" w:ascii="华文楷体" w:hAnsi="华文楷体" w:eastAsia="华文楷体" w:cs="宋体"/>
          <w:color w:val="000000" w:themeColor="text1"/>
          <w:kern w:val="0"/>
          <w:szCs w:val="21"/>
          <w14:textFill>
            <w14:solidFill>
              <w14:schemeClr w14:val="tx1"/>
            </w14:solidFill>
          </w14:textFill>
        </w:rPr>
        <w:t>施工现场</w:t>
      </w:r>
      <w:r>
        <w:rPr>
          <w:rFonts w:ascii="华文楷体" w:hAnsi="华文楷体" w:eastAsia="华文楷体" w:cs="宋体"/>
          <w:color w:val="000000" w:themeColor="text1"/>
          <w:kern w:val="0"/>
          <w:szCs w:val="21"/>
          <w14:textFill>
            <w14:solidFill>
              <w14:schemeClr w14:val="tx1"/>
            </w14:solidFill>
          </w14:textFill>
        </w:rPr>
        <w:t>的人员均无法进入对应区域</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人员强行闯入时会发出声光报警</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实现对人员进出的有效管控。</w:t>
      </w:r>
    </w:p>
    <w:p>
      <w:pPr>
        <w:widowControl/>
        <w:spacing w:line="360" w:lineRule="auto"/>
        <w:ind w:left="315" w:hanging="315" w:hangingChars="150"/>
        <w:jc w:val="left"/>
        <w:rPr>
          <w:rFonts w:ascii="华文楷体" w:hAnsi="华文楷体" w:eastAsia="华文楷体" w:cs="宋体"/>
          <w:color w:val="000000" w:themeColor="text1"/>
          <w:kern w:val="0"/>
          <w:szCs w:val="21"/>
          <w14:textFill>
            <w14:solidFill>
              <w14:schemeClr w14:val="tx1"/>
            </w14:solidFill>
          </w14:textFill>
        </w:rPr>
      </w:pPr>
      <w:r>
        <w:rPr>
          <w:rFonts w:ascii="华文楷体" w:hAnsi="华文楷体" w:eastAsia="华文楷体" w:cs="宋体"/>
          <w:color w:val="000000" w:themeColor="text1"/>
          <w:kern w:val="0"/>
          <w:szCs w:val="21"/>
          <w14:textFill>
            <w14:solidFill>
              <w14:schemeClr w14:val="tx1"/>
            </w14:solidFill>
          </w14:textFill>
        </w:rPr>
        <w:t>2</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访客管理</w:t>
      </w:r>
    </w:p>
    <w:p>
      <w:pPr>
        <w:widowControl/>
        <w:spacing w:line="360" w:lineRule="auto"/>
        <w:ind w:firstLine="420" w:firstLineChars="200"/>
        <w:jc w:val="left"/>
        <w:rPr>
          <w:rFonts w:ascii="华文楷体" w:hAnsi="华文楷体" w:eastAsia="华文楷体" w:cs="宋体"/>
          <w:color w:val="000000" w:themeColor="text1"/>
          <w:kern w:val="0"/>
          <w:szCs w:val="21"/>
          <w14:textFill>
            <w14:solidFill>
              <w14:schemeClr w14:val="tx1"/>
            </w14:solidFill>
          </w14:textFill>
        </w:rPr>
      </w:pPr>
      <w:r>
        <w:rPr>
          <w:rFonts w:ascii="华文楷体" w:hAnsi="华文楷体" w:eastAsia="华文楷体" w:cs="宋体"/>
          <w:color w:val="000000" w:themeColor="text1"/>
          <w:kern w:val="0"/>
          <w:szCs w:val="21"/>
          <w14:textFill>
            <w14:solidFill>
              <w14:schemeClr w14:val="tx1"/>
            </w14:solidFill>
          </w14:textFill>
        </w:rPr>
        <w:t>出入口访客系统的主要服务对象为外来到访人员</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通过人脸门禁系统实现对其来访及出入进行管制</w:t>
      </w:r>
      <w:r>
        <w:rPr>
          <w:rFonts w:hint="eastAsia" w:ascii="华文楷体" w:hAnsi="华文楷体" w:eastAsia="华文楷体" w:cs="宋体"/>
          <w:color w:val="000000" w:themeColor="text1"/>
          <w:kern w:val="0"/>
          <w:szCs w:val="21"/>
          <w14:textFill>
            <w14:solidFill>
              <w14:schemeClr w14:val="tx1"/>
            </w14:solidFill>
          </w14:textFill>
        </w:rPr>
        <w:t>。</w:t>
      </w:r>
    </w:p>
    <w:p>
      <w:pPr>
        <w:widowControl/>
        <w:spacing w:line="360" w:lineRule="auto"/>
        <w:ind w:firstLine="420" w:firstLineChars="200"/>
        <w:jc w:val="left"/>
        <w:rPr>
          <w:rFonts w:ascii="华文楷体" w:hAnsi="华文楷体" w:eastAsia="华文楷体" w:cs="宋体"/>
          <w:color w:val="000000" w:themeColor="text1"/>
          <w:kern w:val="0"/>
          <w:szCs w:val="21"/>
          <w14:textFill>
            <w14:solidFill>
              <w14:schemeClr w14:val="tx1"/>
            </w14:solidFill>
          </w14:textFill>
        </w:rPr>
      </w:pPr>
      <w:r>
        <w:rPr>
          <w:rFonts w:ascii="华文楷体" w:hAnsi="华文楷体" w:eastAsia="华文楷体" w:cs="宋体"/>
          <w:color w:val="000000" w:themeColor="text1"/>
          <w:kern w:val="0"/>
          <w:szCs w:val="21"/>
          <w14:textFill>
            <w14:solidFill>
              <w14:schemeClr w14:val="tx1"/>
            </w14:solidFill>
          </w14:textFill>
        </w:rPr>
        <w:t xml:space="preserve">    访客通过电话直接与被访人预约</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被访人通过该预约只需登陆访客网站填写来访人信息(身份照片)确认</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来访人通过人险识别刷脸确认是预约用户后进行人脸门禁放行。</w:t>
      </w:r>
    </w:p>
    <w:p>
      <w:pPr>
        <w:widowControl/>
        <w:spacing w:line="360" w:lineRule="auto"/>
        <w:ind w:firstLine="420" w:firstLineChars="200"/>
        <w:jc w:val="left"/>
        <w:rPr>
          <w:rFonts w:ascii="华文楷体" w:hAnsi="华文楷体" w:eastAsia="华文楷体" w:cs="宋体"/>
          <w:color w:val="000000" w:themeColor="text1"/>
          <w:kern w:val="0"/>
          <w:szCs w:val="2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 xml:space="preserve"> </w:t>
      </w:r>
      <w:r>
        <w:rPr>
          <w:rFonts w:ascii="华文楷体" w:hAnsi="华文楷体" w:eastAsia="华文楷体" w:cs="宋体"/>
          <w:color w:val="000000" w:themeColor="text1"/>
          <w:kern w:val="0"/>
          <w:szCs w:val="21"/>
          <w14:textFill>
            <w14:solidFill>
              <w14:schemeClr w14:val="tx1"/>
            </w14:solidFill>
          </w14:textFill>
        </w:rPr>
        <w:t xml:space="preserve">   没有提前预约的访客需先到前台进行人员身份信息登记</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包括人脸信息</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由前台人员联系被访人</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经被访人确认</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前</w:t>
      </w:r>
      <w:r>
        <w:rPr>
          <w:rFonts w:hint="eastAsia" w:ascii="华文楷体" w:hAnsi="华文楷体" w:eastAsia="华文楷体" w:cs="宋体"/>
          <w:color w:val="000000" w:themeColor="text1"/>
          <w:kern w:val="0"/>
          <w:szCs w:val="21"/>
          <w14:textFill>
            <w14:solidFill>
              <w14:schemeClr w14:val="tx1"/>
            </w14:solidFill>
          </w14:textFill>
        </w:rPr>
        <w:t>台</w:t>
      </w:r>
      <w:r>
        <w:rPr>
          <w:rFonts w:ascii="华文楷体" w:hAnsi="华文楷体" w:eastAsia="华文楷体" w:cs="宋体"/>
          <w:color w:val="000000" w:themeColor="text1"/>
          <w:kern w:val="0"/>
          <w:szCs w:val="21"/>
          <w14:textFill>
            <w14:solidFill>
              <w14:schemeClr w14:val="tx1"/>
            </w14:solidFill>
          </w14:textFill>
        </w:rPr>
        <w:t>人员通过扫描终端对到访人员所持身份证件照片与现场刷脸进行登记比对</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比对正确后进行分配人脸门禁权限</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来访人员则可正常进出。</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 xml:space="preserve"> </w:t>
      </w:r>
      <w:r>
        <w:rPr>
          <w:rFonts w:ascii="华文楷体" w:hAnsi="华文楷体" w:eastAsia="华文楷体" w:cs="宋体"/>
          <w:color w:val="000000" w:themeColor="text1"/>
          <w:kern w:val="0"/>
          <w:szCs w:val="21"/>
          <w14:textFill>
            <w14:solidFill>
              <w14:schemeClr w14:val="tx1"/>
            </w14:solidFill>
          </w14:textFill>
        </w:rPr>
        <w:t xml:space="preserve">   访客查询可通过来访人姓名、来访日期、被访人姓名、被访人部门及日期等查询相关访客人脸身份信息</w:t>
      </w:r>
      <w:r>
        <w:rPr>
          <w:rFonts w:hint="eastAsia" w:ascii="华文楷体" w:hAnsi="华文楷体" w:eastAsia="华文楷体" w:cs="宋体"/>
          <w:color w:val="000000" w:themeColor="text1"/>
          <w:kern w:val="0"/>
          <w:szCs w:val="21"/>
          <w14:textFill>
            <w14:solidFill>
              <w14:schemeClr w14:val="tx1"/>
            </w14:solidFill>
          </w14:textFill>
        </w:rPr>
        <w:t>，</w:t>
      </w:r>
      <w:r>
        <w:rPr>
          <w:rFonts w:ascii="华文楷体" w:hAnsi="华文楷体" w:eastAsia="华文楷体" w:cs="宋体"/>
          <w:color w:val="000000" w:themeColor="text1"/>
          <w:kern w:val="0"/>
          <w:szCs w:val="21"/>
          <w14:textFill>
            <w14:solidFill>
              <w14:schemeClr w14:val="tx1"/>
            </w14:solidFill>
          </w14:textFill>
        </w:rPr>
        <w:t>进行核对处理</w:t>
      </w:r>
      <w:r>
        <w:rPr>
          <w:rFonts w:hint="eastAsia" w:ascii="华文楷体" w:hAnsi="华文楷体" w:eastAsia="华文楷体" w:cs="宋体"/>
          <w:color w:val="000000" w:themeColor="text1"/>
          <w:kern w:val="0"/>
          <w:szCs w:val="21"/>
          <w14:textFill>
            <w14:solidFill>
              <w14:schemeClr w14:val="tx1"/>
            </w14:solidFill>
          </w14:textFill>
        </w:rPr>
        <w:t>。</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olor w:val="000000" w:themeColor="text1"/>
          <w14:textFill>
            <w14:solidFill>
              <w14:schemeClr w14:val="tx1"/>
            </w14:solidFill>
          </w14:textFill>
        </w:rPr>
        <w:t>3）</w:t>
      </w:r>
      <w:r>
        <w:rPr>
          <w:rFonts w:ascii="华文楷体" w:hAnsi="华文楷体" w:eastAsia="华文楷体"/>
          <w:color w:val="000000" w:themeColor="text1"/>
          <w14:textFill>
            <w14:solidFill>
              <w14:schemeClr w14:val="tx1"/>
            </w14:solidFill>
          </w14:textFill>
        </w:rPr>
        <w:t>工区入口LED屏幕显示内容(不限于) :当人员通过时</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可以实时地显示通过人员姓名、工号、进场时间</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同时进场各班组进场人数</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现场入场总人数</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在闲时显示欢迎语、安全提示、注意事项、施工进度等信息。LED屏幕上可以根据用户自定义设置显示的数据。</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4</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紧急开闸</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人员通道具备紧急逃生功能</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发生紧急情况如火灾等</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人员通道具有自动打开放行功能</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不会阻碍人员的紧急疏散。</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5）</w:t>
      </w:r>
      <w:r>
        <w:rPr>
          <w:rFonts w:ascii="华文楷体" w:hAnsi="华文楷体" w:eastAsia="华文楷体"/>
          <w:color w:val="000000" w:themeColor="text1"/>
          <w14:textFill>
            <w14:solidFill>
              <w14:schemeClr w14:val="tx1"/>
            </w14:solidFill>
          </w14:textFill>
        </w:rPr>
        <w:t>人数统计</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实施管理显示工地内部工作人员数量</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保证工作人员正常退场。</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6</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远程发布和管理</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可以进行一键式远程信息发布和信息管理,及时下达相关通知</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并可以督促加强企业工地现场管理制度</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做好实名制考勤。</w:t>
      </w:r>
    </w:p>
    <w:p>
      <w:pPr>
        <w:widowControl/>
        <w:spacing w:line="360" w:lineRule="auto"/>
        <w:ind w:left="360" w:hanging="360" w:hangingChars="15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sz w:val="24"/>
          <w:szCs w:val="24"/>
          <w14:textFill>
            <w14:solidFill>
              <w14:schemeClr w14:val="tx1"/>
            </w14:solidFill>
          </w14:textFill>
        </w:rPr>
        <w:t>2.2车辆进出管理</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2.2.1硬件配置要求</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承包人</w:t>
      </w:r>
      <w:r>
        <w:rPr>
          <w:rFonts w:ascii="华文楷体" w:hAnsi="华文楷体" w:eastAsia="华文楷体"/>
          <w:color w:val="000000" w:themeColor="text1"/>
          <w14:textFill>
            <w14:solidFill>
              <w14:schemeClr w14:val="tx1"/>
            </w14:solidFill>
          </w14:textFill>
        </w:rPr>
        <w:t>负责车辆进出管理系统的采购、安装、试验、调试</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相关设备包括不限于出入口一体化抓拍相机、4行4字显示屏、道闸、出入口专用常亮LED补光灯、数字车辆检测器、出入口相机立杆、屏蔽双绞线、地感线圈、施工辅材</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同时需满足功能要求。</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2.2.2系统功能要求</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1)自动识别、智能控制</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车辆进入识别范围后</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通过识别相机抓拍车辆图片</w:t>
      </w:r>
      <w:r>
        <w:rPr>
          <w:rFonts w:hint="eastAsia" w:ascii="华文楷体" w:hAnsi="华文楷体" w:eastAsia="华文楷体"/>
          <w:color w:val="000000" w:themeColor="text1"/>
          <w14:textFill>
            <w14:solidFill>
              <w14:schemeClr w14:val="tx1"/>
            </w14:solidFill>
          </w14:textFill>
        </w:rPr>
        <w:t>并</w:t>
      </w:r>
      <w:r>
        <w:rPr>
          <w:rFonts w:ascii="华文楷体" w:hAnsi="华文楷体" w:eastAsia="华文楷体"/>
          <w:color w:val="000000" w:themeColor="text1"/>
          <w14:textFill>
            <w14:solidFill>
              <w14:schemeClr w14:val="tx1"/>
            </w14:solidFill>
          </w14:textFill>
        </w:rPr>
        <w:t>识别车辆车牌</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自动判定能否让车辆正常通过。</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2)视频抓拍功能</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r>
        <w:rPr>
          <w:rFonts w:ascii="华文楷体" w:hAnsi="华文楷体" w:eastAsia="华文楷体"/>
          <w:color w:val="000000" w:themeColor="text1"/>
          <w14:textFill>
            <w14:solidFill>
              <w14:schemeClr w14:val="tx1"/>
            </w14:solidFill>
          </w14:textFill>
        </w:rPr>
        <w:t xml:space="preserve">   车辆进入抓拍范围后</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自动实现对进入车辆的拍摄</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并通过车牌识别仪</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提取车辆的车牌号码进行比对</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用于辅助查询。</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olor w:val="000000" w:themeColor="text1"/>
          <w14:textFill>
            <w14:solidFill>
              <w14:schemeClr w14:val="tx1"/>
            </w14:solidFill>
          </w14:textFill>
        </w:rPr>
        <w:t>3</w:t>
      </w:r>
      <w:r>
        <w:rPr>
          <w:rFonts w:ascii="华文楷体" w:hAnsi="华文楷体" w:eastAsia="华文楷体"/>
          <w:color w:val="000000" w:themeColor="text1"/>
          <w14:textFill>
            <w14:solidFill>
              <w14:schemeClr w14:val="tx1"/>
            </w14:solidFill>
          </w14:textFill>
        </w:rPr>
        <w:t>)报警提示功能</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r>
        <w:rPr>
          <w:rFonts w:ascii="华文楷体" w:hAnsi="华文楷体" w:eastAsia="华文楷体"/>
          <w:color w:val="000000" w:themeColor="text1"/>
          <w14:textFill>
            <w14:solidFill>
              <w14:schemeClr w14:val="tx1"/>
            </w14:solidFill>
          </w14:textFill>
        </w:rPr>
        <w:t xml:space="preserve">   根据需要选择警示灯、语音方式来提示非法卡、未授权卡</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并在报警时提供联动信号进行自动抓拍。</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4)无卡(外来)车辆实施严格监管</w:t>
      </w:r>
    </w:p>
    <w:p>
      <w:pPr>
        <w:widowControl/>
        <w:spacing w:line="360" w:lineRule="auto"/>
        <w:ind w:firstLine="420" w:firstLineChars="200"/>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通过集成照牌识别、图像比对、路障拦截等技术</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达到由电脑自动识别监控与警卫(门卫、保安)人员手工操作相结合的方式实施对外来(无卡)车辆有效监管</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确保对无卡(外来)车辆信息的录取和车辆通行的监管。</w:t>
      </w:r>
    </w:p>
    <w:p>
      <w:pPr>
        <w:widowControl/>
        <w:spacing w:line="360" w:lineRule="auto"/>
        <w:ind w:left="360" w:hanging="360" w:hangingChars="150"/>
        <w:jc w:val="left"/>
        <w:rPr>
          <w:rFonts w:ascii="华文楷体" w:hAnsi="华文楷体" w:eastAsia="华文楷体"/>
          <w:color w:val="000000" w:themeColor="text1"/>
          <w:sz w:val="24"/>
          <w:szCs w:val="24"/>
          <w14:textFill>
            <w14:solidFill>
              <w14:schemeClr w14:val="tx1"/>
            </w14:solidFill>
          </w14:textFill>
        </w:rPr>
      </w:pPr>
      <w:r>
        <w:rPr>
          <w:rFonts w:ascii="华文楷体" w:hAnsi="华文楷体" w:eastAsia="华文楷体"/>
          <w:color w:val="000000" w:themeColor="text1"/>
          <w:sz w:val="24"/>
          <w:szCs w:val="24"/>
          <w14:textFill>
            <w14:solidFill>
              <w14:schemeClr w14:val="tx1"/>
            </w14:solidFill>
          </w14:textFill>
        </w:rPr>
        <w:t>2.3</w:t>
      </w:r>
      <w:r>
        <w:rPr>
          <w:rFonts w:hint="eastAsia" w:ascii="华文楷体" w:hAnsi="华文楷体" w:eastAsia="华文楷体"/>
          <w:color w:val="000000" w:themeColor="text1"/>
          <w:sz w:val="24"/>
          <w:szCs w:val="24"/>
          <w14:textFill>
            <w14:solidFill>
              <w14:schemeClr w14:val="tx1"/>
            </w14:solidFill>
          </w14:textFill>
        </w:rPr>
        <w:t>视频监控系统</w:t>
      </w:r>
    </w:p>
    <w:p>
      <w:pPr>
        <w:spacing w:line="360" w:lineRule="auto"/>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2.3.1设备配置要求</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承包人</w:t>
      </w:r>
      <w:r>
        <w:rPr>
          <w:rFonts w:ascii="华文楷体" w:hAnsi="华文楷体" w:eastAsia="华文楷体"/>
          <w:color w:val="000000" w:themeColor="text1"/>
          <w14:textFill>
            <w14:solidFill>
              <w14:schemeClr w14:val="tx1"/>
            </w14:solidFill>
          </w14:textFill>
        </w:rPr>
        <w:t>负责视频监控系统的采购、安装、试验、调试</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施工工作区域监控点布置设备包括不限于高清网络红外枪机、高清网络红外球机、人脸识别摄像机</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重要位置、工人生活区、管理区监控点布置设备包括不限于200万像素高清网络红外枪机、200万像素高清网络红外球机人脸识别摄像机</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后端及线缆设备包括不限于网络硬盘录像机、智能分析服务器</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网络交换机、光纤收发器、电源线、网线及光纤、安装辅材</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同时需满足功能要求。</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2.3.2</w:t>
      </w:r>
      <w:r>
        <w:rPr>
          <w:rFonts w:hint="eastAsia" w:ascii="华文楷体" w:hAnsi="华文楷体" w:eastAsia="华文楷体"/>
          <w:color w:val="000000" w:themeColor="text1"/>
          <w14:textFill>
            <w14:solidFill>
              <w14:schemeClr w14:val="tx1"/>
            </w14:solidFill>
          </w14:textFill>
        </w:rPr>
        <w:t>摄</w:t>
      </w:r>
      <w:r>
        <w:rPr>
          <w:rFonts w:ascii="华文楷体" w:hAnsi="华文楷体" w:eastAsia="华文楷体"/>
          <w:color w:val="000000" w:themeColor="text1"/>
          <w14:textFill>
            <w14:solidFill>
              <w14:schemeClr w14:val="tx1"/>
            </w14:solidFill>
          </w14:textFill>
        </w:rPr>
        <w:t>像头布置要求</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olor w:val="000000" w:themeColor="text1"/>
          <w14:textFill>
            <w14:solidFill>
              <w14:schemeClr w14:val="tx1"/>
            </w14:solidFill>
          </w14:textFill>
        </w:rPr>
        <w:t>承包人应按照在用地红线范围内的室外区域监控全履盖无死角的原则布置</w:t>
      </w:r>
      <w:r>
        <w:rPr>
          <w:rFonts w:ascii="华文楷体" w:hAnsi="华文楷体" w:eastAsia="华文楷体"/>
          <w:color w:val="000000" w:themeColor="text1"/>
          <w14:textFill>
            <w14:solidFill>
              <w14:schemeClr w14:val="tx1"/>
            </w14:solidFill>
          </w14:textFill>
        </w:rPr>
        <w:t>相应区域的摄像头、存储硬盘等设备</w:t>
      </w:r>
      <w:r>
        <w:rPr>
          <w:rFonts w:hint="eastAsia" w:ascii="华文楷体" w:hAnsi="华文楷体" w:eastAsia="华文楷体"/>
          <w:color w:val="000000" w:themeColor="text1"/>
          <w14:textFill>
            <w14:solidFill>
              <w14:schemeClr w14:val="tx1"/>
            </w14:solidFill>
          </w14:textFill>
        </w:rPr>
        <w:t>，并将监控中心设备布置图和综合布线图提交发包人，</w:t>
      </w:r>
      <w:r>
        <w:rPr>
          <w:rFonts w:ascii="华文楷体" w:hAnsi="华文楷体" w:eastAsia="华文楷体"/>
          <w:color w:val="000000" w:themeColor="text1"/>
          <w14:textFill>
            <w14:solidFill>
              <w14:schemeClr w14:val="tx1"/>
            </w14:solidFill>
          </w14:textFill>
        </w:rPr>
        <w:t>具体摄像头布置及选用设备如下:</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2552"/>
        <w:gridCol w:w="1417"/>
        <w:gridCol w:w="3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b/>
                <w:color w:val="000000" w:themeColor="text1"/>
                <w14:textFill>
                  <w14:solidFill>
                    <w14:schemeClr w14:val="tx1"/>
                  </w14:solidFill>
                </w14:textFill>
              </w:rPr>
            </w:pPr>
            <w:r>
              <w:rPr>
                <w:rFonts w:ascii="华文楷体" w:hAnsi="华文楷体" w:eastAsia="华文楷体"/>
                <w:b/>
                <w:color w:val="000000" w:themeColor="text1"/>
                <w14:textFill>
                  <w14:solidFill>
                    <w14:schemeClr w14:val="tx1"/>
                  </w14:solidFill>
                </w14:textFill>
              </w:rPr>
              <w:t>序号</w:t>
            </w:r>
          </w:p>
        </w:tc>
        <w:tc>
          <w:tcPr>
            <w:tcW w:w="2552" w:type="dxa"/>
            <w:vAlign w:val="center"/>
          </w:tcPr>
          <w:p>
            <w:pPr>
              <w:spacing w:line="360" w:lineRule="auto"/>
              <w:jc w:val="center"/>
              <w:rPr>
                <w:rFonts w:ascii="华文楷体" w:hAnsi="华文楷体" w:eastAsia="华文楷体"/>
                <w:b/>
                <w:color w:val="000000" w:themeColor="text1"/>
                <w14:textFill>
                  <w14:solidFill>
                    <w14:schemeClr w14:val="tx1"/>
                  </w14:solidFill>
                </w14:textFill>
              </w:rPr>
            </w:pPr>
            <w:r>
              <w:rPr>
                <w:rFonts w:ascii="华文楷体" w:hAnsi="华文楷体" w:eastAsia="华文楷体"/>
                <w:b/>
                <w:color w:val="000000" w:themeColor="text1"/>
                <w14:textFill>
                  <w14:solidFill>
                    <w14:schemeClr w14:val="tx1"/>
                  </w14:solidFill>
                </w14:textFill>
              </w:rPr>
              <w:t>摄像头安装位置</w:t>
            </w:r>
          </w:p>
        </w:tc>
        <w:tc>
          <w:tcPr>
            <w:tcW w:w="1417" w:type="dxa"/>
            <w:vAlign w:val="center"/>
          </w:tcPr>
          <w:p>
            <w:pPr>
              <w:spacing w:line="360" w:lineRule="auto"/>
              <w:jc w:val="center"/>
              <w:rPr>
                <w:rFonts w:ascii="华文楷体" w:hAnsi="华文楷体" w:eastAsia="华文楷体"/>
                <w:b/>
                <w:color w:val="000000" w:themeColor="text1"/>
                <w14:textFill>
                  <w14:solidFill>
                    <w14:schemeClr w14:val="tx1"/>
                  </w14:solidFill>
                </w14:textFill>
              </w:rPr>
            </w:pPr>
            <w:r>
              <w:rPr>
                <w:rFonts w:ascii="华文楷体" w:hAnsi="华文楷体" w:eastAsia="华文楷体"/>
                <w:b/>
                <w:color w:val="000000" w:themeColor="text1"/>
                <w14:textFill>
                  <w14:solidFill>
                    <w14:schemeClr w14:val="tx1"/>
                  </w14:solidFill>
                </w14:textFill>
              </w:rPr>
              <w:t>数量</w:t>
            </w:r>
          </w:p>
        </w:tc>
        <w:tc>
          <w:tcPr>
            <w:tcW w:w="3544" w:type="dxa"/>
            <w:vAlign w:val="center"/>
          </w:tcPr>
          <w:p>
            <w:pPr>
              <w:spacing w:line="360" w:lineRule="auto"/>
              <w:jc w:val="center"/>
              <w:rPr>
                <w:rFonts w:ascii="华文楷体" w:hAnsi="华文楷体" w:eastAsia="华文楷体"/>
                <w:b/>
                <w:color w:val="000000" w:themeColor="text1"/>
                <w14:textFill>
                  <w14:solidFill>
                    <w14:schemeClr w14:val="tx1"/>
                  </w14:solidFill>
                </w14:textFill>
              </w:rPr>
            </w:pPr>
            <w:r>
              <w:rPr>
                <w:rFonts w:ascii="华文楷体" w:hAnsi="华文楷体" w:eastAsia="华文楷体"/>
                <w:b/>
                <w:color w:val="000000" w:themeColor="text1"/>
                <w14:textFill>
                  <w14:solidFill>
                    <w14:schemeClr w14:val="tx1"/>
                  </w14:solidFill>
                </w14:textFill>
              </w:rPr>
              <w:t>安装设备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一</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重要位置监控点布置</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1</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工地出入口</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高清红外网络高速智能球机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2</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工地出入口</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人脸识别摄像机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3</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材料堆放区域</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高清红外网络枪型摄像机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4</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重大危险源区域</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高清红外网络高速智能球机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5</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材料加工区域</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高清红外网络枪型摄像机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6</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工区关键通道位置</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高清红外网络枪型摄像机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7</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围墙周界</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高清红外网络枪型摄像机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8</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其它区域</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高清红外网络枪型摄像机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二</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工人生活区管理区监控点布置</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1</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生活区出入口</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高清红外网络高速智能球机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2</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停车场</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高清红外网络高速智能球机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3</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厨房</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高清红外网络枪型摄像机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4</w:t>
            </w:r>
          </w:p>
        </w:tc>
        <w:tc>
          <w:tcPr>
            <w:tcW w:w="2552"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生活区关键通道位置</w:t>
            </w:r>
          </w:p>
        </w:tc>
        <w:tc>
          <w:tcPr>
            <w:tcW w:w="1417"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按实际需求</w:t>
            </w:r>
          </w:p>
        </w:tc>
        <w:tc>
          <w:tcPr>
            <w:tcW w:w="3544" w:type="dxa"/>
            <w:vAlign w:val="center"/>
          </w:tcPr>
          <w:p>
            <w:pPr>
              <w:spacing w:line="360" w:lineRule="auto"/>
              <w:jc w:val="center"/>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高清红外网络枪型摄像机</w:t>
            </w:r>
          </w:p>
        </w:tc>
      </w:tr>
    </w:tbl>
    <w:p>
      <w:pPr>
        <w:widowControl/>
        <w:spacing w:line="360" w:lineRule="auto"/>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2.3.3系统功能要求</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1</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实时视频播放及录像</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①</w:t>
      </w:r>
      <w:r>
        <w:rPr>
          <w:rFonts w:ascii="华文楷体" w:hAnsi="华文楷体" w:eastAsia="华文楷体"/>
          <w:color w:val="000000" w:themeColor="text1"/>
          <w14:textFill>
            <w14:solidFill>
              <w14:schemeClr w14:val="tx1"/>
            </w14:solidFill>
          </w14:textFill>
        </w:rPr>
        <w:t>支持实时预览</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支持多窗口预览</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②</w:t>
      </w:r>
      <w:r>
        <w:rPr>
          <w:rFonts w:ascii="华文楷体" w:hAnsi="华文楷体" w:eastAsia="华文楷体"/>
          <w:color w:val="000000" w:themeColor="text1"/>
          <w14:textFill>
            <w14:solidFill>
              <w14:schemeClr w14:val="tx1"/>
            </w14:solidFill>
          </w14:textFill>
        </w:rPr>
        <w:t>支持本地录像</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③</w:t>
      </w:r>
      <w:r>
        <w:rPr>
          <w:rFonts w:ascii="华文楷体" w:hAnsi="华文楷体" w:eastAsia="华文楷体"/>
          <w:color w:val="000000" w:themeColor="text1"/>
          <w14:textFill>
            <w14:solidFill>
              <w14:schemeClr w14:val="tx1"/>
            </w14:solidFill>
          </w14:textFill>
        </w:rPr>
        <w:t>支持抓图、连续抓图</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④</w:t>
      </w:r>
      <w:r>
        <w:rPr>
          <w:rFonts w:ascii="华文楷体" w:hAnsi="华文楷体" w:eastAsia="华文楷体"/>
          <w:color w:val="000000" w:themeColor="text1"/>
          <w14:textFill>
            <w14:solidFill>
              <w14:schemeClr w14:val="tx1"/>
            </w14:solidFill>
          </w14:textFill>
        </w:rPr>
        <w:t>支持主码流、辅码流、三码流</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⑤</w:t>
      </w:r>
      <w:r>
        <w:rPr>
          <w:rFonts w:ascii="华文楷体" w:hAnsi="华文楷体" w:eastAsia="华文楷体"/>
          <w:color w:val="000000" w:themeColor="text1"/>
          <w14:textFill>
            <w14:solidFill>
              <w14:schemeClr w14:val="tx1"/>
            </w14:solidFill>
          </w14:textFill>
        </w:rPr>
        <w:t>支持实时优先、流畅优先、均衡、自定义等模式</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⑥</w:t>
      </w:r>
      <w:r>
        <w:rPr>
          <w:rFonts w:ascii="华文楷体" w:hAnsi="华文楷体" w:eastAsia="华文楷体"/>
          <w:color w:val="000000" w:themeColor="text1"/>
          <w14:textFill>
            <w14:solidFill>
              <w14:schemeClr w14:val="tx1"/>
            </w14:solidFill>
          </w14:textFill>
        </w:rPr>
        <w:t>支持监视画面的亮度,对比度等参数调整</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 xml:space="preserve"> </w:t>
      </w:r>
      <w:r>
        <w:rPr>
          <w:rFonts w:ascii="华文楷体" w:hAnsi="华文楷体" w:eastAsia="华文楷体" w:cs="宋体"/>
          <w:color w:val="000000" w:themeColor="text1"/>
          <w:kern w:val="0"/>
          <w:szCs w:val="2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⑦</w:t>
      </w:r>
      <w:r>
        <w:rPr>
          <w:rFonts w:ascii="华文楷体" w:hAnsi="华文楷体" w:eastAsia="华文楷体"/>
          <w:color w:val="000000" w:themeColor="text1"/>
          <w14:textFill>
            <w14:solidFill>
              <w14:schemeClr w14:val="tx1"/>
            </w14:solidFill>
          </w14:textFill>
        </w:rPr>
        <w:t>支持1/4/6/8/9/13/16/20/25/36/64多分屏画面显示,可自定义视频画面分</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割</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2</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录像回放</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 xml:space="preserve"> </w:t>
      </w:r>
      <w:r>
        <w:rPr>
          <w:rFonts w:ascii="华文楷体" w:hAnsi="华文楷体" w:eastAsia="华文楷体" w:cs="宋体"/>
          <w:color w:val="000000" w:themeColor="text1"/>
          <w:kern w:val="0"/>
          <w:szCs w:val="2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①</w:t>
      </w:r>
      <w:r>
        <w:rPr>
          <w:rFonts w:ascii="华文楷体" w:hAnsi="华文楷体" w:eastAsia="华文楷体"/>
          <w:color w:val="000000" w:themeColor="text1"/>
          <w14:textFill>
            <w14:solidFill>
              <w14:schemeClr w14:val="tx1"/>
            </w14:solidFill>
          </w14:textFill>
        </w:rPr>
        <w:t>支持在日历上以不同颜色</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展现通道的录像天数分布状况、支持图形化和列表方式展示录像查询结果、支持以时间刻度方式在看录像结果</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可滚动调节刻度大小</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精确到秒</w:t>
      </w:r>
      <w:r>
        <w:rPr>
          <w:rFonts w:hint="eastAsia" w:ascii="华文楷体" w:hAnsi="华文楷体" w:eastAsia="华文楷体"/>
          <w:color w:val="000000" w:themeColor="text1"/>
          <w14:textFill>
            <w14:solidFill>
              <w14:schemeClr w14:val="tx1"/>
            </w14:solidFill>
          </w14:textFill>
        </w:rPr>
        <w:t>。</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②</w:t>
      </w:r>
      <w:r>
        <w:rPr>
          <w:rFonts w:ascii="华文楷体" w:hAnsi="华文楷体" w:eastAsia="华文楷体"/>
          <w:color w:val="000000" w:themeColor="text1"/>
          <w14:textFill>
            <w14:solidFill>
              <w14:schemeClr w14:val="tx1"/>
            </w14:solidFill>
          </w14:textFill>
        </w:rPr>
        <w:t>支持录像类型选择显示,支持的类型有:全部/定时录像/报警录像/移动侦测/视频丢失/视频遮挡/录像标签/智能报管</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③</w:t>
      </w:r>
      <w:r>
        <w:rPr>
          <w:rFonts w:ascii="华文楷体" w:hAnsi="华文楷体" w:eastAsia="华文楷体"/>
          <w:color w:val="000000" w:themeColor="text1"/>
          <w14:textFill>
            <w14:solidFill>
              <w14:schemeClr w14:val="tx1"/>
            </w14:solidFill>
          </w14:textFill>
        </w:rPr>
        <w:t>支持多路同步回放,最大同时三十六路回放</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支持切片回放</w:t>
      </w:r>
    </w:p>
    <w:p>
      <w:pPr>
        <w:widowControl/>
        <w:spacing w:line="360" w:lineRule="auto"/>
        <w:jc w:val="left"/>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s="宋体"/>
          <w:color w:val="000000" w:themeColor="text1"/>
          <w:kern w:val="0"/>
          <w:szCs w:val="21"/>
          <w14:textFill>
            <w14:solidFill>
              <w14:schemeClr w14:val="tx1"/>
            </w14:solidFill>
          </w14:textFill>
        </w:rPr>
        <w:t>④</w:t>
      </w:r>
      <w:r>
        <w:rPr>
          <w:rFonts w:ascii="华文楷体" w:hAnsi="华文楷体" w:eastAsia="华文楷体"/>
          <w:color w:val="000000" w:themeColor="text1"/>
          <w14:textFill>
            <w14:solidFill>
              <w14:schemeClr w14:val="tx1"/>
            </w14:solidFill>
          </w14:textFill>
        </w:rPr>
        <w:t>支持1/2、 1/4、 1/8</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2、 4、 8、16倍速快慢放</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支持逐</w:t>
      </w:r>
      <w:r>
        <w:rPr>
          <w:rFonts w:hint="eastAsia" w:ascii="华文楷体" w:hAnsi="华文楷体" w:eastAsia="华文楷体"/>
          <w:color w:val="000000" w:themeColor="text1"/>
          <w14:textFill>
            <w14:solidFill>
              <w14:schemeClr w14:val="tx1"/>
            </w14:solidFill>
          </w14:textFill>
        </w:rPr>
        <w:t>帧</w:t>
      </w:r>
      <w:r>
        <w:rPr>
          <w:rFonts w:ascii="华文楷体" w:hAnsi="华文楷体" w:eastAsia="华文楷体"/>
          <w:color w:val="000000" w:themeColor="text1"/>
          <w14:textFill>
            <w14:solidFill>
              <w14:schemeClr w14:val="tx1"/>
            </w14:solidFill>
          </w14:textFill>
        </w:rPr>
        <w:t>播放</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支持中心录像倒放</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支持按时间、按文件下载录像</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3</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人脸抓拍应用</w:t>
      </w:r>
    </w:p>
    <w:p>
      <w:pPr>
        <w:spacing w:line="360" w:lineRule="auto"/>
        <w:ind w:left="420" w:left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①</w:t>
      </w:r>
      <w:r>
        <w:rPr>
          <w:rFonts w:ascii="华文楷体" w:hAnsi="华文楷体" w:eastAsia="华文楷体"/>
          <w:color w:val="000000" w:themeColor="text1"/>
          <w14:textFill>
            <w14:solidFill>
              <w14:schemeClr w14:val="tx1"/>
            </w14:solidFill>
          </w14:textFill>
        </w:rPr>
        <w:t>人脸监控:对指定视频通道进行人脸监控</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人脸抓拍实时显示。</w:t>
      </w:r>
    </w:p>
    <w:p>
      <w:pPr>
        <w:spacing w:line="360" w:lineRule="auto"/>
        <w:ind w:left="420" w:left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②</w:t>
      </w:r>
      <w:r>
        <w:rPr>
          <w:rFonts w:ascii="华文楷体" w:hAnsi="华文楷体" w:eastAsia="华文楷体"/>
          <w:color w:val="000000" w:themeColor="text1"/>
          <w14:textFill>
            <w14:solidFill>
              <w14:schemeClr w14:val="tx1"/>
            </w14:solidFill>
          </w14:textFill>
        </w:rPr>
        <w:t>人脸库检索:导入人脸图片,输入查询条件,在系统注册的人险中检案符合条件的图片。</w:t>
      </w:r>
      <w:r>
        <w:rPr>
          <w:rFonts w:hint="eastAsia" w:ascii="华文楷体" w:hAnsi="华文楷体" w:eastAsia="华文楷体" w:cs="宋体"/>
          <w:color w:val="000000" w:themeColor="text1"/>
          <w:kern w:val="0"/>
          <w:szCs w:val="21"/>
          <w14:textFill>
            <w14:solidFill>
              <w14:schemeClr w14:val="tx1"/>
            </w14:solidFill>
          </w14:textFill>
        </w:rPr>
        <w:t>③</w:t>
      </w:r>
      <w:r>
        <w:rPr>
          <w:rFonts w:ascii="华文楷体" w:hAnsi="华文楷体" w:eastAsia="华文楷体"/>
          <w:color w:val="000000" w:themeColor="text1"/>
          <w14:textFill>
            <w14:solidFill>
              <w14:schemeClr w14:val="tx1"/>
            </w14:solidFill>
          </w14:textFill>
        </w:rPr>
        <w:t>报警检索:对历史人脸抓拍报警进行检索,包括黑名单、白名单</w:t>
      </w:r>
    </w:p>
    <w:p>
      <w:pPr>
        <w:spacing w:line="360" w:lineRule="auto"/>
        <w:ind w:left="420" w:left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s="宋体"/>
          <w:color w:val="000000" w:themeColor="text1"/>
          <w:kern w:val="0"/>
          <w:szCs w:val="21"/>
          <w14:textFill>
            <w14:solidFill>
              <w14:schemeClr w14:val="tx1"/>
            </w14:solidFill>
          </w14:textFill>
        </w:rPr>
        <w:t>④</w:t>
      </w:r>
      <w:r>
        <w:rPr>
          <w:rFonts w:ascii="华文楷体" w:hAnsi="华文楷体" w:eastAsia="华文楷体"/>
          <w:color w:val="000000" w:themeColor="text1"/>
          <w14:textFill>
            <w14:solidFill>
              <w14:schemeClr w14:val="tx1"/>
            </w14:solidFill>
          </w14:textFill>
        </w:rPr>
        <w:t>人数统计</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出入口是人员进出的必经通道。在重要通道门口做进出人数统计</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比对进入及离开出入通道的具体人数</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可以有效辅助工地的日常管理工作。</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w:t>
      </w:r>
      <w:r>
        <w:rPr>
          <w:rFonts w:hint="eastAsia" w:ascii="华文楷体" w:hAnsi="华文楷体" w:eastAsia="华文楷体"/>
          <w:color w:val="000000" w:themeColor="text1"/>
          <w14:textFill>
            <w14:solidFill>
              <w14:schemeClr w14:val="tx1"/>
            </w14:solidFill>
          </w14:textFill>
        </w:rPr>
        <w:t>4）</w:t>
      </w:r>
      <w:r>
        <w:rPr>
          <w:rFonts w:ascii="华文楷体" w:hAnsi="华文楷体" w:eastAsia="华文楷体"/>
          <w:color w:val="000000" w:themeColor="text1"/>
          <w14:textFill>
            <w14:solidFill>
              <w14:schemeClr w14:val="tx1"/>
            </w14:solidFill>
          </w14:textFill>
        </w:rPr>
        <w:t>存储要求</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 xml:space="preserve">    硬盘数量需满足存储</w:t>
      </w:r>
      <w:r>
        <w:rPr>
          <w:rFonts w:hint="eastAsia" w:ascii="华文楷体" w:hAnsi="华文楷体" w:eastAsia="华文楷体"/>
          <w:color w:val="000000" w:themeColor="text1"/>
          <w14:textFill>
            <w14:solidFill>
              <w14:schemeClr w14:val="tx1"/>
            </w14:solidFill>
          </w14:textFill>
        </w:rPr>
        <w:t>9</w:t>
      </w:r>
      <w:r>
        <w:rPr>
          <w:rFonts w:ascii="华文楷体" w:hAnsi="华文楷体" w:eastAsia="华文楷体"/>
          <w:color w:val="000000" w:themeColor="text1"/>
          <w14:textFill>
            <w14:solidFill>
              <w14:schemeClr w14:val="tx1"/>
            </w14:solidFill>
          </w14:textFill>
        </w:rPr>
        <w:t>0</w:t>
      </w:r>
      <w:r>
        <w:rPr>
          <w:rFonts w:hint="eastAsia" w:ascii="华文楷体" w:hAnsi="华文楷体" w:eastAsia="华文楷体"/>
          <w:color w:val="000000" w:themeColor="text1"/>
          <w14:textFill>
            <w14:solidFill>
              <w14:schemeClr w14:val="tx1"/>
            </w14:solidFill>
          </w14:textFill>
        </w:rPr>
        <w:t>天</w:t>
      </w:r>
      <w:r>
        <w:rPr>
          <w:rFonts w:ascii="华文楷体" w:hAnsi="华文楷体" w:eastAsia="华文楷体"/>
          <w:color w:val="000000" w:themeColor="text1"/>
          <w14:textFill>
            <w14:solidFill>
              <w14:schemeClr w14:val="tx1"/>
            </w14:solidFill>
          </w14:textFill>
        </w:rPr>
        <w:t>的录像文件。</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5）接口要求</w:t>
      </w:r>
    </w:p>
    <w:p>
      <w:pPr>
        <w:spacing w:line="360" w:lineRule="auto"/>
        <w:ind w:firstLine="420" w:firstLineChars="200"/>
        <w:rPr>
          <w:rFonts w:ascii="华文楷体" w:hAnsi="华文楷体" w:eastAsia="华文楷体"/>
          <w:color w:val="000000" w:themeColor="text1"/>
          <w:sz w:val="24"/>
          <w:szCs w:val="24"/>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以上的统计和格式数据应通过http、socket等主流协议，提供web-service等格式接口；视频数据应提供http、rtsp等格式接口。</w:t>
      </w:r>
    </w:p>
    <w:p>
      <w:pPr>
        <w:spacing w:line="360" w:lineRule="auto"/>
        <w:rPr>
          <w:rFonts w:ascii="华文楷体" w:hAnsi="华文楷体" w:eastAsia="华文楷体"/>
          <w:color w:val="000000" w:themeColor="text1"/>
          <w:sz w:val="24"/>
          <w:szCs w:val="24"/>
          <w14:textFill>
            <w14:solidFill>
              <w14:schemeClr w14:val="tx1"/>
            </w14:solidFill>
          </w14:textFill>
        </w:rPr>
      </w:pPr>
      <w:r>
        <w:rPr>
          <w:rFonts w:ascii="华文楷体" w:hAnsi="华文楷体" w:eastAsia="华文楷体"/>
          <w:color w:val="000000" w:themeColor="text1"/>
          <w:sz w:val="24"/>
          <w:szCs w:val="24"/>
          <w14:textFill>
            <w14:solidFill>
              <w14:schemeClr w14:val="tx1"/>
            </w14:solidFill>
          </w14:textFill>
        </w:rPr>
        <w:t>2.4</w:t>
      </w:r>
      <w:r>
        <w:rPr>
          <w:rFonts w:hint="eastAsia" w:ascii="华文楷体" w:hAnsi="华文楷体" w:eastAsia="华文楷体"/>
          <w:color w:val="000000" w:themeColor="text1"/>
          <w:sz w:val="24"/>
          <w:szCs w:val="24"/>
          <w14:textFill>
            <w14:solidFill>
              <w14:schemeClr w14:val="tx1"/>
            </w14:solidFill>
          </w14:textFill>
        </w:rPr>
        <w:t>安全、人员、质量、文明施工管理系统</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szCs w:val="21"/>
          <w14:textFill>
            <w14:solidFill>
              <w14:schemeClr w14:val="tx1"/>
            </w14:solidFill>
          </w14:textFill>
        </w:rPr>
        <w:t>承包人须在安全、人员、质量、文明施工各自对应的</w:t>
      </w:r>
      <w:r>
        <w:rPr>
          <w:rFonts w:ascii="华文楷体" w:hAnsi="华文楷体" w:eastAsia="华文楷体"/>
          <w:color w:val="000000" w:themeColor="text1"/>
          <w:szCs w:val="21"/>
          <w14:textFill>
            <w14:solidFill>
              <w14:schemeClr w14:val="tx1"/>
            </w14:solidFill>
          </w14:textFill>
        </w:rPr>
        <w:t>管理平台做好通讯联络清单、教育培训、班前班后交底等业务的如实填报</w:t>
      </w:r>
      <w:r>
        <w:rPr>
          <w:rFonts w:hint="eastAsia" w:ascii="华文楷体" w:hAnsi="华文楷体" w:eastAsia="华文楷体"/>
          <w:color w:val="000000" w:themeColor="text1"/>
          <w:szCs w:val="21"/>
          <w14:textFill>
            <w14:solidFill>
              <w14:schemeClr w14:val="tx1"/>
            </w14:solidFill>
          </w14:textFill>
        </w:rPr>
        <w:t>，</w:t>
      </w:r>
      <w:r>
        <w:rPr>
          <w:rFonts w:ascii="华文楷体" w:hAnsi="华文楷体" w:eastAsia="华文楷体"/>
          <w:color w:val="000000" w:themeColor="text1"/>
          <w:szCs w:val="21"/>
          <w14:textFill>
            <w14:solidFill>
              <w14:schemeClr w14:val="tx1"/>
            </w14:solidFill>
          </w14:textFill>
        </w:rPr>
        <w:t>分别在对应系统做好</w:t>
      </w:r>
      <w:r>
        <w:rPr>
          <w:rFonts w:hint="eastAsia" w:ascii="华文楷体" w:hAnsi="华文楷体" w:eastAsia="华文楷体"/>
          <w:color w:val="000000" w:themeColor="text1"/>
          <w:szCs w:val="21"/>
          <w14:textFill>
            <w14:solidFill>
              <w14:schemeClr w14:val="tx1"/>
            </w14:solidFill>
          </w14:textFill>
        </w:rPr>
        <w:t>相关记录与台账。承包人应提供安全巡检系统，保存安全管理人员的巡检路线、内容和记录。</w:t>
      </w:r>
      <w:r>
        <w:rPr>
          <w:rFonts w:hint="eastAsia" w:ascii="华文楷体" w:hAnsi="华文楷体" w:eastAsia="华文楷体"/>
          <w:color w:val="000000" w:themeColor="text1"/>
          <w14:textFill>
            <w14:solidFill>
              <w14:schemeClr w14:val="tx1"/>
            </w14:solidFill>
          </w14:textFill>
        </w:rPr>
        <w:t>承包人</w:t>
      </w:r>
      <w:r>
        <w:rPr>
          <w:rFonts w:ascii="华文楷体" w:hAnsi="华文楷体" w:eastAsia="华文楷体"/>
          <w:color w:val="000000" w:themeColor="text1"/>
          <w14:textFill>
            <w14:solidFill>
              <w14:schemeClr w14:val="tx1"/>
            </w14:solidFill>
          </w14:textFill>
        </w:rPr>
        <w:t>应</w:t>
      </w:r>
      <w:r>
        <w:rPr>
          <w:rFonts w:hint="eastAsia" w:ascii="华文楷体" w:hAnsi="华文楷体" w:eastAsia="华文楷体"/>
          <w:color w:val="000000" w:themeColor="text1"/>
          <w14:textFill>
            <w14:solidFill>
              <w14:schemeClr w14:val="tx1"/>
            </w14:solidFill>
          </w14:textFill>
        </w:rPr>
        <w:t>提供相应的</w:t>
      </w:r>
      <w:r>
        <w:rPr>
          <w:rFonts w:ascii="华文楷体" w:hAnsi="华文楷体" w:eastAsia="华文楷体"/>
          <w:color w:val="000000" w:themeColor="text1"/>
          <w14:textFill>
            <w14:solidFill>
              <w14:schemeClr w14:val="tx1"/>
            </w14:solidFill>
          </w14:textFill>
        </w:rPr>
        <w:t>数据接口，实现系统间数据</w:t>
      </w:r>
      <w:r>
        <w:rPr>
          <w:rFonts w:hint="eastAsia" w:ascii="华文楷体" w:hAnsi="华文楷体" w:eastAsia="华文楷体"/>
          <w:color w:val="000000" w:themeColor="text1"/>
          <w14:textFill>
            <w14:solidFill>
              <w14:schemeClr w14:val="tx1"/>
            </w14:solidFill>
          </w14:textFill>
        </w:rPr>
        <w:t>导入、导出和</w:t>
      </w:r>
      <w:r>
        <w:rPr>
          <w:rFonts w:ascii="华文楷体" w:hAnsi="华文楷体" w:eastAsia="华文楷体"/>
          <w:color w:val="000000" w:themeColor="text1"/>
          <w14:textFill>
            <w14:solidFill>
              <w14:schemeClr w14:val="tx1"/>
            </w14:solidFill>
          </w14:textFill>
        </w:rPr>
        <w:t>共享。</w:t>
      </w:r>
    </w:p>
    <w:p>
      <w:pPr>
        <w:pStyle w:val="107"/>
        <w:numPr>
          <w:ilvl w:val="0"/>
          <w:numId w:val="19"/>
        </w:numPr>
        <w:spacing w:line="360" w:lineRule="auto"/>
        <w:ind w:left="408" w:hanging="408" w:hangingChars="170"/>
        <w:rPr>
          <w:rFonts w:ascii="华文楷体" w:hAnsi="华文楷体" w:eastAsia="华文楷体"/>
          <w:b/>
          <w:color w:val="000000" w:themeColor="text1"/>
          <w:sz w:val="24"/>
          <w:szCs w:val="24"/>
          <w14:textFill>
            <w14:solidFill>
              <w14:schemeClr w14:val="tx1"/>
            </w14:solidFill>
          </w14:textFill>
        </w:rPr>
      </w:pPr>
      <w:r>
        <w:rPr>
          <w:rFonts w:hint="eastAsia" w:ascii="华文楷体" w:hAnsi="华文楷体" w:eastAsia="华文楷体"/>
          <w:b/>
          <w:color w:val="000000" w:themeColor="text1"/>
          <w:sz w:val="24"/>
          <w:szCs w:val="24"/>
          <w14:textFill>
            <w14:solidFill>
              <w14:schemeClr w14:val="tx1"/>
            </w14:solidFill>
          </w14:textFill>
        </w:rPr>
        <w:t>系统运行环境</w:t>
      </w:r>
    </w:p>
    <w:p>
      <w:pPr>
        <w:spacing w:line="360" w:lineRule="auto"/>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sz w:val="24"/>
          <w:szCs w:val="24"/>
          <w14:textFill>
            <w14:solidFill>
              <w14:schemeClr w14:val="tx1"/>
            </w14:solidFill>
          </w14:textFill>
        </w:rPr>
        <w:t>3</w:t>
      </w:r>
      <w:r>
        <w:rPr>
          <w:rFonts w:ascii="华文楷体" w:hAnsi="华文楷体" w:eastAsia="华文楷体"/>
          <w:color w:val="000000" w:themeColor="text1"/>
          <w:sz w:val="24"/>
          <w:szCs w:val="24"/>
          <w14:textFill>
            <w14:solidFill>
              <w14:schemeClr w14:val="tx1"/>
            </w14:solidFill>
          </w14:textFill>
        </w:rPr>
        <w:t>.1</w:t>
      </w:r>
      <w:r>
        <w:rPr>
          <w:rFonts w:hint="eastAsia" w:ascii="华文楷体" w:hAnsi="华文楷体" w:eastAsia="华文楷体"/>
          <w:color w:val="000000" w:themeColor="text1"/>
          <w:sz w:val="24"/>
          <w:szCs w:val="24"/>
          <w14:textFill>
            <w14:solidFill>
              <w14:schemeClr w14:val="tx1"/>
            </w14:solidFill>
          </w14:textFill>
        </w:rPr>
        <w:t>智慧工地通信网络</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ascii="华文楷体" w:hAnsi="华文楷体" w:eastAsia="华文楷体"/>
          <w:color w:val="000000" w:themeColor="text1"/>
          <w14:textFill>
            <w14:solidFill>
              <w14:schemeClr w14:val="tx1"/>
            </w14:solidFill>
          </w14:textFill>
        </w:rPr>
        <w:t>为了给工程日常运行、维护提供便利</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要求在每个工区设置统一的语音通信系统。设置程控交换机</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满足容量要求</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其中主控、电源板等关键板件实现双</w:t>
      </w:r>
      <w:r>
        <w:rPr>
          <w:rFonts w:hint="eastAsia" w:ascii="华文楷体" w:hAnsi="华文楷体" w:eastAsia="华文楷体"/>
          <w:color w:val="000000" w:themeColor="text1"/>
          <w14:textFill>
            <w14:solidFill>
              <w14:schemeClr w14:val="tx1"/>
            </w14:solidFill>
          </w14:textFill>
        </w:rPr>
        <w:t>冗</w:t>
      </w:r>
      <w:r>
        <w:rPr>
          <w:rFonts w:ascii="华文楷体" w:hAnsi="华文楷体" w:eastAsia="华文楷体"/>
          <w:color w:val="000000" w:themeColor="text1"/>
          <w14:textFill>
            <w14:solidFill>
              <w14:schemeClr w14:val="tx1"/>
            </w14:solidFill>
          </w14:textFill>
        </w:rPr>
        <w:t>余。程控交换机的电路板与市话系统进行互联互通。</w:t>
      </w:r>
    </w:p>
    <w:p>
      <w:pPr>
        <w:spacing w:line="360" w:lineRule="auto"/>
        <w:ind w:firstLine="420" w:firstLineChars="200"/>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r>
        <w:rPr>
          <w:rFonts w:ascii="华文楷体" w:hAnsi="华文楷体" w:eastAsia="华文楷体"/>
          <w:color w:val="000000" w:themeColor="text1"/>
          <w14:textFill>
            <w14:solidFill>
              <w14:schemeClr w14:val="tx1"/>
            </w14:solidFill>
          </w14:textFill>
        </w:rPr>
        <w:t xml:space="preserve">   各工区设置满足使用需要数量的模拟话机。模拟话机通过语音接入网关接入</w:t>
      </w:r>
      <w:r>
        <w:rPr>
          <w:rFonts w:hint="eastAsia" w:ascii="华文楷体" w:hAnsi="华文楷体" w:eastAsia="华文楷体"/>
          <w:color w:val="000000" w:themeColor="text1"/>
          <w14:textFill>
            <w14:solidFill>
              <w14:schemeClr w14:val="tx1"/>
            </w14:solidFill>
          </w14:textFill>
        </w:rPr>
        <w:t>。</w:t>
      </w:r>
    </w:p>
    <w:p>
      <w:pPr>
        <w:spacing w:line="360" w:lineRule="auto"/>
        <w:ind w:firstLine="420" w:firstLineChars="200"/>
        <w:rPr>
          <w:rFonts w:ascii="华文楷体" w:hAnsi="华文楷体" w:eastAsia="华文楷体"/>
          <w:color w:val="000000" w:themeColor="text1"/>
          <w:sz w:val="24"/>
          <w:szCs w:val="24"/>
          <w14:textFill>
            <w14:solidFill>
              <w14:schemeClr w14:val="tx1"/>
            </w14:solidFill>
          </w14:textFill>
        </w:rPr>
      </w:pPr>
      <w:r>
        <w:rPr>
          <w:rFonts w:hint="eastAsia" w:ascii="华文楷体" w:hAnsi="华文楷体" w:eastAsia="华文楷体"/>
          <w:color w:val="000000" w:themeColor="text1"/>
          <w14:textFill>
            <w14:solidFill>
              <w14:schemeClr w14:val="tx1"/>
            </w14:solidFill>
          </w14:textFill>
        </w:rPr>
        <w:t xml:space="preserve"> </w:t>
      </w:r>
      <w:r>
        <w:rPr>
          <w:rFonts w:ascii="华文楷体" w:hAnsi="华文楷体" w:eastAsia="华文楷体"/>
          <w:color w:val="000000" w:themeColor="text1"/>
          <w14:textFill>
            <w14:solidFill>
              <w14:schemeClr w14:val="tx1"/>
            </w14:solidFill>
          </w14:textFill>
        </w:rPr>
        <w:t xml:space="preserve">   语音通信系统的程控交换机与当地网络运营商网络连接</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开通国内、国际长途及其他通信业务</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以满足工地对外通信需要。</w:t>
      </w:r>
    </w:p>
    <w:p>
      <w:pPr>
        <w:spacing w:line="360" w:lineRule="auto"/>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sz w:val="24"/>
          <w:szCs w:val="24"/>
          <w14:textFill>
            <w14:solidFill>
              <w14:schemeClr w14:val="tx1"/>
            </w14:solidFill>
          </w14:textFill>
        </w:rPr>
        <w:t>3</w:t>
      </w:r>
      <w:r>
        <w:rPr>
          <w:rFonts w:ascii="华文楷体" w:hAnsi="华文楷体" w:eastAsia="华文楷体"/>
          <w:color w:val="000000" w:themeColor="text1"/>
          <w:sz w:val="24"/>
          <w:szCs w:val="24"/>
          <w14:textFill>
            <w14:solidFill>
              <w14:schemeClr w14:val="tx1"/>
            </w14:solidFill>
          </w14:textFill>
        </w:rPr>
        <w:t>.2</w:t>
      </w:r>
      <w:r>
        <w:rPr>
          <w:rFonts w:hint="eastAsia" w:ascii="华文楷体" w:hAnsi="华文楷体" w:eastAsia="华文楷体"/>
          <w:color w:val="000000" w:themeColor="text1"/>
          <w:sz w:val="24"/>
          <w:szCs w:val="24"/>
          <w14:textFill>
            <w14:solidFill>
              <w14:schemeClr w14:val="tx1"/>
            </w14:solidFill>
          </w14:textFill>
        </w:rPr>
        <w:t>智慧工地办公网络</w:t>
      </w:r>
    </w:p>
    <w:p>
      <w:pPr>
        <w:rPr>
          <w:color w:val="000000" w:themeColor="text1"/>
          <w14:textFill>
            <w14:solidFill>
              <w14:schemeClr w14:val="tx1"/>
            </w14:solidFill>
          </w14:textFill>
        </w:rPr>
      </w:pPr>
      <w:bookmarkStart w:id="946" w:name="_Toc40186535"/>
      <w:r>
        <w:rPr>
          <w:rFonts w:ascii="华文楷体" w:hAnsi="华文楷体" w:eastAsia="华文楷体"/>
          <w:color w:val="000000" w:themeColor="text1"/>
          <w14:textFill>
            <w14:solidFill>
              <w14:schemeClr w14:val="tx1"/>
            </w14:solidFill>
          </w14:textFill>
        </w:rPr>
        <w:t>承包人智慧工地办公网络需增强网络设备及链路的可靠性</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实现安全、高速、可靠的数据、语音、图像等多业务通信。建议配置接入交换机</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以及无线AP设备</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为工区办公场所、施工现场提供有线、无线网络环境。通过路由器接入互联网</w:t>
      </w:r>
      <w:r>
        <w:rPr>
          <w:rFonts w:hint="eastAsia" w:ascii="华文楷体" w:hAnsi="华文楷体" w:eastAsia="华文楷体"/>
          <w:color w:val="000000" w:themeColor="text1"/>
          <w14:textFill>
            <w14:solidFill>
              <w14:schemeClr w14:val="tx1"/>
            </w14:solidFill>
          </w14:textFill>
        </w:rPr>
        <w:t>，</w:t>
      </w:r>
      <w:r>
        <w:rPr>
          <w:rFonts w:ascii="华文楷体" w:hAnsi="华文楷体" w:eastAsia="华文楷体"/>
          <w:color w:val="000000" w:themeColor="text1"/>
          <w14:textFill>
            <w14:solidFill>
              <w14:schemeClr w14:val="tx1"/>
            </w14:solidFill>
          </w14:textFill>
        </w:rPr>
        <w:t>采用防火墙设备加强内网安全。</w:t>
      </w:r>
      <w:bookmarkEnd w:id="946"/>
    </w:p>
    <w:p>
      <w:pPr>
        <w:spacing w:line="360" w:lineRule="auto"/>
        <w:jc w:val="center"/>
        <w:rPr>
          <w:rFonts w:ascii="华文楷体" w:hAnsi="华文楷体" w:eastAsia="华文楷体"/>
          <w:b/>
          <w:color w:val="000000" w:themeColor="text1"/>
          <w:sz w:val="24"/>
          <w:szCs w:val="24"/>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widowControl/>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rPr>
          <w:color w:val="000000" w:themeColor="text1"/>
          <w14:textFill>
            <w14:solidFill>
              <w14:schemeClr w14:val="tx1"/>
            </w14:solidFill>
          </w14:textFill>
        </w:rPr>
      </w:pPr>
    </w:p>
    <w:p>
      <w:pPr>
        <w:pStyle w:val="2"/>
        <w:rPr>
          <w:rFonts w:ascii="仿宋_GB2312" w:eastAsia="仿宋_GB2312"/>
          <w:color w:val="000000" w:themeColor="text1"/>
          <w:sz w:val="30"/>
          <w:szCs w:val="30"/>
          <w14:textFill>
            <w14:solidFill>
              <w14:schemeClr w14:val="tx1"/>
            </w14:solidFill>
          </w14:textFill>
        </w:rPr>
      </w:pPr>
      <w:bookmarkStart w:id="947" w:name="_Toc7460"/>
      <w:bookmarkStart w:id="948" w:name="_Toc118446918"/>
      <w:r>
        <w:rPr>
          <w:rFonts w:hint="eastAsia"/>
          <w:color w:val="000000" w:themeColor="text1"/>
          <w:sz w:val="30"/>
          <w:szCs w:val="30"/>
          <w14:textFill>
            <w14:solidFill>
              <w14:schemeClr w14:val="tx1"/>
            </w14:solidFill>
          </w14:textFill>
        </w:rPr>
        <w:t>附件11绿色施工安全防护措施标准化图册</w:t>
      </w:r>
      <w:bookmarkEnd w:id="938"/>
      <w:bookmarkEnd w:id="939"/>
      <w:bookmarkEnd w:id="940"/>
      <w:bookmarkEnd w:id="941"/>
      <w:bookmarkEnd w:id="947"/>
      <w:bookmarkEnd w:id="948"/>
    </w:p>
    <w:p>
      <w:pPr>
        <w:spacing w:line="360" w:lineRule="auto"/>
        <w:ind w:right="-1"/>
        <w:jc w:val="center"/>
        <w:rPr>
          <w:rFonts w:ascii="华文中宋" w:hAnsi="华文中宋" w:eastAsia="华文中宋"/>
          <w:b/>
          <w:color w:val="000000" w:themeColor="text1"/>
          <w:sz w:val="52"/>
          <w:szCs w:val="52"/>
          <w14:textFill>
            <w14:solidFill>
              <w14:schemeClr w14:val="tx1"/>
            </w14:solidFill>
          </w14:textFill>
        </w:rPr>
      </w:pPr>
    </w:p>
    <w:p>
      <w:pPr>
        <w:spacing w:line="360" w:lineRule="auto"/>
        <w:jc w:val="center"/>
        <w:rPr>
          <w:b/>
          <w:color w:val="000000" w:themeColor="text1"/>
          <w:sz w:val="72"/>
          <w:szCs w:val="72"/>
          <w14:textFill>
            <w14:solidFill>
              <w14:schemeClr w14:val="tx1"/>
            </w14:solidFill>
          </w14:textFill>
        </w:rPr>
      </w:pPr>
      <w:r>
        <w:rPr>
          <w:rFonts w:hint="eastAsia" w:ascii="华文中宋" w:hAnsi="华文中宋" w:eastAsia="华文中宋"/>
          <w:b/>
          <w:color w:val="000000" w:themeColor="text1"/>
          <w:sz w:val="52"/>
          <w:szCs w:val="52"/>
          <w14:textFill>
            <w14:solidFill>
              <w14:schemeClr w14:val="tx1"/>
            </w14:solidFill>
          </w14:textFill>
        </w:rPr>
        <w:t>绿色施工安全防护措施标准化图册</w:t>
      </w: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jc w:val="center"/>
        <w:rPr>
          <w:b/>
          <w:color w:val="000000" w:themeColor="text1"/>
          <w:sz w:val="32"/>
          <w:szCs w:val="32"/>
          <w14:textFill>
            <w14:solidFill>
              <w14:schemeClr w14:val="tx1"/>
            </w14:solidFill>
          </w14:textFill>
        </w:rPr>
      </w:pPr>
    </w:p>
    <w:p>
      <w:pPr>
        <w:spacing w:line="360" w:lineRule="auto"/>
        <w:ind w:right="-178" w:rightChars="-85"/>
        <w:rPr>
          <w:rFonts w:ascii="华文中宋" w:hAnsi="华文中宋" w:eastAsia="华文中宋"/>
          <w:b/>
          <w:color w:val="000000" w:themeColor="text1"/>
          <w:sz w:val="32"/>
          <w:szCs w:val="32"/>
          <w14:textFill>
            <w14:solidFill>
              <w14:schemeClr w14:val="tx1"/>
            </w14:solidFill>
          </w14:textFill>
        </w:rPr>
      </w:pPr>
    </w:p>
    <w:p>
      <w:pPr>
        <w:spacing w:line="360" w:lineRule="auto"/>
        <w:ind w:right="-178" w:rightChars="-85"/>
        <w:rPr>
          <w:rFonts w:ascii="华文中宋" w:hAnsi="华文中宋" w:eastAsia="华文中宋"/>
          <w:b/>
          <w:color w:val="000000" w:themeColor="text1"/>
          <w:sz w:val="32"/>
          <w:szCs w:val="32"/>
          <w14:textFill>
            <w14:solidFill>
              <w14:schemeClr w14:val="tx1"/>
            </w14:solidFill>
          </w14:textFill>
        </w:rPr>
      </w:pPr>
    </w:p>
    <w:p>
      <w:pPr>
        <w:spacing w:line="360" w:lineRule="auto"/>
        <w:ind w:right="-178" w:rightChars="-85"/>
        <w:rPr>
          <w:rFonts w:ascii="华文中宋" w:hAnsi="华文中宋" w:eastAsia="华文中宋"/>
          <w:b/>
          <w:color w:val="000000" w:themeColor="text1"/>
          <w:sz w:val="32"/>
          <w:szCs w:val="32"/>
          <w14:textFill>
            <w14:solidFill>
              <w14:schemeClr w14:val="tx1"/>
            </w14:solidFill>
          </w14:textFill>
        </w:rPr>
      </w:pPr>
    </w:p>
    <w:p>
      <w:pPr>
        <w:spacing w:line="360" w:lineRule="auto"/>
        <w:ind w:right="-178" w:rightChars="-85" w:firstLine="641"/>
        <w:jc w:val="center"/>
        <w:rPr>
          <w:rFonts w:ascii="华文中宋" w:hAnsi="华文中宋" w:eastAsia="华文中宋"/>
          <w:b/>
          <w:color w:val="000000" w:themeColor="text1"/>
          <w:sz w:val="32"/>
          <w:szCs w:val="32"/>
          <w14:textFill>
            <w14:solidFill>
              <w14:schemeClr w14:val="tx1"/>
            </w14:solidFill>
          </w14:textFill>
        </w:rPr>
      </w:pPr>
      <w:r>
        <w:rPr>
          <w:rFonts w:hint="eastAsia" w:ascii="华文中宋" w:hAnsi="华文中宋" w:eastAsia="华文中宋"/>
          <w:b/>
          <w:color w:val="000000" w:themeColor="text1"/>
          <w:sz w:val="32"/>
          <w:szCs w:val="32"/>
          <w14:textFill>
            <w14:solidFill>
              <w14:schemeClr w14:val="tx1"/>
            </w14:solidFill>
          </w14:textFill>
        </w:rPr>
        <w:t xml:space="preserve"> 2020.3</w:t>
      </w:r>
    </w:p>
    <w:p>
      <w:pPr>
        <w:spacing w:line="360" w:lineRule="auto"/>
        <w:jc w:val="center"/>
        <w:rPr>
          <w:b/>
          <w:color w:val="000000" w:themeColor="text1"/>
          <w:sz w:val="28"/>
          <w:szCs w:val="28"/>
          <w14:textFill>
            <w14:solidFill>
              <w14:schemeClr w14:val="tx1"/>
            </w14:solidFill>
          </w14:textFill>
        </w:rPr>
      </w:pPr>
    </w:p>
    <w:p>
      <w:pPr>
        <w:spacing w:line="360" w:lineRule="auto"/>
        <w:jc w:val="center"/>
        <w:rPr>
          <w:b/>
          <w:color w:val="000000" w:themeColor="text1"/>
          <w:szCs w:val="21"/>
          <w14:textFill>
            <w14:solidFill>
              <w14:schemeClr w14:val="tx1"/>
            </w14:solidFill>
          </w14:textFill>
        </w:rPr>
      </w:pPr>
    </w:p>
    <w:p>
      <w:pPr>
        <w:spacing w:before="240" w:beforeLines="100" w:after="240" w:afterLines="100" w:line="360" w:lineRule="auto"/>
        <w:jc w:val="center"/>
        <w:rPr>
          <w:b/>
          <w:color w:val="000000" w:themeColor="text1"/>
          <w:sz w:val="44"/>
          <w:szCs w:val="44"/>
          <w14:textFill>
            <w14:solidFill>
              <w14:schemeClr w14:val="tx1"/>
            </w14:solidFill>
          </w14:textFill>
        </w:rPr>
        <w:sectPr>
          <w:pgSz w:w="11906" w:h="16838"/>
          <w:pgMar w:top="1134" w:right="1134" w:bottom="1134" w:left="1134" w:header="680" w:footer="992" w:gutter="0"/>
          <w:cols w:space="720" w:num="1"/>
          <w:titlePg/>
          <w:docGrid w:linePitch="312" w:charSpace="0"/>
        </w:sectPr>
      </w:pPr>
    </w:p>
    <w:p>
      <w:pPr>
        <w:spacing w:line="360" w:lineRule="auto"/>
        <w:jc w:val="center"/>
        <w:rPr>
          <w:rFonts w:ascii="黑体" w:hAnsi="黑体" w:eastAsia="黑体"/>
          <w:b/>
          <w:color w:val="000000" w:themeColor="text1"/>
          <w:sz w:val="36"/>
          <w:szCs w:val="36"/>
          <w14:textFill>
            <w14:solidFill>
              <w14:schemeClr w14:val="tx1"/>
            </w14:solidFill>
          </w14:textFill>
        </w:rPr>
      </w:pPr>
      <w:r>
        <w:rPr>
          <w:rFonts w:hint="eastAsia" w:ascii="黑体" w:hAnsi="黑体" w:eastAsia="黑体"/>
          <w:b/>
          <w:color w:val="000000" w:themeColor="text1"/>
          <w:sz w:val="36"/>
          <w:szCs w:val="36"/>
          <w14:textFill>
            <w14:solidFill>
              <w14:schemeClr w14:val="tx1"/>
            </w14:solidFill>
          </w14:textFill>
        </w:rPr>
        <w:t>绿色施工安全防护措施标准化图册</w:t>
      </w:r>
    </w:p>
    <w:p>
      <w:pPr>
        <w:pStyle w:val="4"/>
        <w:spacing w:before="100" w:beforeAutospacing="1" w:after="100" w:afterAutospacing="1" w:line="360" w:lineRule="auto"/>
        <w:rPr>
          <w:color w:val="000000" w:themeColor="text1"/>
          <w:sz w:val="28"/>
          <w:szCs w:val="24"/>
          <w14:textFill>
            <w14:solidFill>
              <w14:schemeClr w14:val="tx1"/>
            </w14:solidFill>
          </w14:textFill>
        </w:rPr>
      </w:pPr>
      <w:bookmarkStart w:id="949" w:name="_Toc44492634"/>
      <w:bookmarkStart w:id="950" w:name="_Toc8629"/>
      <w:bookmarkStart w:id="951" w:name="_Toc1052"/>
      <w:r>
        <w:rPr>
          <w:rFonts w:hint="eastAsia"/>
          <w:color w:val="000000" w:themeColor="text1"/>
          <w:sz w:val="28"/>
          <w:szCs w:val="24"/>
          <w14:textFill>
            <w14:solidFill>
              <w14:schemeClr w14:val="tx1"/>
            </w14:solidFill>
          </w14:textFill>
        </w:rPr>
        <w:t>一、个人劳动防护</w:t>
      </w:r>
      <w:bookmarkEnd w:id="949"/>
      <w:bookmarkEnd w:id="950"/>
      <w:bookmarkEnd w:id="951"/>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各单位必须为员工、作业人员配备必要的劳动防护用品，并督促相关人员在作业时正确使用。各单位应建立健全劳动防护用品的采购、验收、保管、发放、使用、更换、报废等管理制度。劳动防护用品应符合国家标准或行业标准，包括但不限于以下内容。</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52" w:name="_Toc44492635"/>
      <w:bookmarkStart w:id="953" w:name="_Toc25188"/>
      <w:bookmarkStart w:id="954" w:name="_Toc15443"/>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 xml:space="preserve">.1 </w:t>
      </w:r>
      <w:r>
        <w:rPr>
          <w:rFonts w:hint="eastAsia"/>
          <w:color w:val="000000" w:themeColor="text1"/>
          <w:sz w:val="24"/>
          <w:szCs w:val="24"/>
          <w14:textFill>
            <w14:solidFill>
              <w14:schemeClr w14:val="tx1"/>
            </w14:solidFill>
          </w14:textFill>
        </w:rPr>
        <w:t>安全帽</w:t>
      </w:r>
      <w:bookmarkEnd w:id="952"/>
      <w:bookmarkEnd w:id="953"/>
      <w:bookmarkEnd w:id="954"/>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进入施工现场必须戴安全帽，安全帽应符合国家最新标准《安全帽》GB2811-2007，应正确佩戴安全帽，扣好帽带，不准使用缺衬、无带及破损的安全帽。主入口门卫处应备有来访嘉宾用安全帽，为提高卫生性，应配备一次性帽套，并在门卫处准备贵宾证，配合门禁刷卡机使用，供接待上级领导来访参观、观摩、检查等场合使用。</w:t>
      </w:r>
    </w:p>
    <w:p>
      <w:pPr>
        <w:spacing w:line="360" w:lineRule="auto"/>
        <w:jc w:val="center"/>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1404620" cy="1653540"/>
            <wp:effectExtent l="0" t="0" r="0" b="0"/>
            <wp:docPr id="1" name="图片 1" descr="7a2e4b3c2366cbd943f5f10d58eeb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a2e4b3c2366cbd943f5f10d58eeba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404620" cy="1653540"/>
                    </a:xfrm>
                    <a:prstGeom prst="rect">
                      <a:avLst/>
                    </a:prstGeom>
                    <a:noFill/>
                    <a:ln>
                      <a:noFill/>
                    </a:ln>
                  </pic:spPr>
                </pic:pic>
              </a:graphicData>
            </a:graphic>
          </wp:inline>
        </w:drawing>
      </w:r>
      <w:r>
        <w:rPr>
          <w:color w:val="000000" w:themeColor="text1"/>
          <w:sz w:val="24"/>
          <w:szCs w:val="21"/>
          <w14:textFill>
            <w14:solidFill>
              <w14:schemeClr w14:val="tx1"/>
            </w14:solidFill>
          </w14:textFill>
        </w:rPr>
        <w:t xml:space="preserve"> </w:t>
      </w:r>
      <w:r>
        <w:rPr>
          <w:color w:val="000000" w:themeColor="text1"/>
          <w:sz w:val="24"/>
          <w:szCs w:val="21"/>
          <w14:textFill>
            <w14:solidFill>
              <w14:schemeClr w14:val="tx1"/>
            </w14:solidFill>
          </w14:textFill>
        </w:rPr>
        <w:drawing>
          <wp:inline distT="0" distB="0" distL="0" distR="0">
            <wp:extent cx="1272540" cy="1660525"/>
            <wp:effectExtent l="0" t="0" r="0" b="0"/>
            <wp:docPr id="2" name="图片 2" descr="006f4530cac6bc5dec4d56fef4e9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06f4530cac6bc5dec4d56fef4e9ed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272540" cy="1660525"/>
                    </a:xfrm>
                    <a:prstGeom prst="rect">
                      <a:avLst/>
                    </a:prstGeom>
                    <a:noFill/>
                    <a:ln>
                      <a:noFill/>
                    </a:ln>
                  </pic:spPr>
                </pic:pic>
              </a:graphicData>
            </a:graphic>
          </wp:inline>
        </w:drawing>
      </w:r>
      <w:r>
        <w:rPr>
          <w:rFonts w:hint="eastAsia"/>
          <w:color w:val="000000" w:themeColor="text1"/>
          <w:sz w:val="24"/>
          <w:szCs w:val="21"/>
          <w14:textFill>
            <w14:solidFill>
              <w14:schemeClr w14:val="tx1"/>
            </w14:solidFill>
          </w14:textFill>
        </w:rPr>
        <w:t xml:space="preserve"> </w:t>
      </w:r>
      <w:r>
        <w:rPr>
          <w:color w:val="000000" w:themeColor="text1"/>
          <w:sz w:val="24"/>
          <w:szCs w:val="21"/>
          <w14:textFill>
            <w14:solidFill>
              <w14:schemeClr w14:val="tx1"/>
            </w14:solidFill>
          </w14:textFill>
        </w:rPr>
        <w:drawing>
          <wp:inline distT="0" distB="0" distL="0" distR="0">
            <wp:extent cx="1192530" cy="1660525"/>
            <wp:effectExtent l="0" t="0" r="0" b="0"/>
            <wp:docPr id="3" name="图片 3" descr="fd252853948a2a558c90ba6156879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d252853948a2a558c90ba6156879f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192530" cy="166052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55" w:name="_Toc29218"/>
      <w:bookmarkStart w:id="956" w:name="_Toc44492636"/>
      <w:bookmarkStart w:id="957" w:name="_Toc1471"/>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安全鞋</w:t>
      </w:r>
      <w:bookmarkEnd w:id="955"/>
      <w:bookmarkEnd w:id="956"/>
      <w:bookmarkEnd w:id="957"/>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进入施工现场应穿安全鞋，特别是一线作业人员以及有扎脚风险的作业场所。安全鞋必须符合《个体防护装备 安全鞋》</w:t>
      </w:r>
      <w:r>
        <w:rPr>
          <w:color w:val="000000" w:themeColor="text1"/>
          <w:sz w:val="24"/>
          <w:szCs w:val="21"/>
          <w14:textFill>
            <w14:solidFill>
              <w14:schemeClr w14:val="tx1"/>
            </w14:solidFill>
          </w14:textFill>
        </w:rPr>
        <w:t>GB21148</w:t>
      </w:r>
      <w:r>
        <w:rPr>
          <w:rFonts w:hint="eastAsia"/>
          <w:color w:val="000000" w:themeColor="text1"/>
          <w:sz w:val="24"/>
          <w:szCs w:val="21"/>
          <w14:textFill>
            <w14:solidFill>
              <w14:schemeClr w14:val="tx1"/>
            </w14:solidFill>
          </w14:textFill>
        </w:rPr>
        <w:t>-2007相关要求，具备防穿刺、防砸功能。</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58" w:name="_Toc26359"/>
      <w:bookmarkStart w:id="959" w:name="_Toc13426"/>
      <w:bookmarkStart w:id="960" w:name="_Toc44492637"/>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安全带</w:t>
      </w:r>
      <w:bookmarkEnd w:id="958"/>
      <w:bookmarkEnd w:id="959"/>
      <w:bookmarkEnd w:id="960"/>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安全带必须符合《安全带》GB 6095-2009的技术和检验要求。进场必须提供生产日期、生产许可证、产品合格证、检验证。安全带应确保在有效期内使用，应建立管理台账并定期检查、试验，发现异常需提前报废。安全带上的各种部件不得随意拆除、接长使用。</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61" w:name="_Toc44492638"/>
      <w:bookmarkStart w:id="962" w:name="_Toc4039"/>
      <w:bookmarkStart w:id="963" w:name="_Toc9240"/>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反光背心</w:t>
      </w:r>
      <w:bookmarkEnd w:id="961"/>
      <w:bookmarkEnd w:id="962"/>
      <w:bookmarkEnd w:id="963"/>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各项目公司应为上级来访嘉宾配备好反光背心，反光背心前胸、后背位置有所属公司名称及企业标志，具体见下图。各参建单位应为现场管理人员与作业人员配备反光背心，有条件的可配备带反光条的劳保服（提高夜间作业的安全性）。各参建单位作业人员反光背心颜色应统一，并在反光背心前胸、后背位置有所属公司名称及企业标志。</w:t>
      </w:r>
    </w:p>
    <w:p>
      <w:pPr>
        <w:spacing w:line="360" w:lineRule="auto"/>
        <w:jc w:val="center"/>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3679825" cy="2516505"/>
            <wp:effectExtent l="0" t="0" r="0" b="0"/>
            <wp:docPr id="4" name="图片 4" descr="taobaoWWang - 副本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taobaoWWang - 副本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679825" cy="2516505"/>
                    </a:xfrm>
                    <a:prstGeom prst="rect">
                      <a:avLst/>
                    </a:prstGeom>
                    <a:noFill/>
                    <a:ln>
                      <a:noFill/>
                    </a:ln>
                  </pic:spPr>
                </pic:pic>
              </a:graphicData>
            </a:graphic>
          </wp:inline>
        </w:drawing>
      </w:r>
      <w:r>
        <w:rPr>
          <w:rFonts w:hint="eastAsia"/>
          <w:color w:val="000000" w:themeColor="text1"/>
          <w:sz w:val="24"/>
          <w:szCs w:val="21"/>
          <w14:textFill>
            <w14:solidFill>
              <w14:schemeClr w14:val="tx1"/>
            </w14:solidFill>
          </w14:textFill>
        </w:rPr>
        <w:t xml:space="preserve">  </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64" w:name="_Toc44492639"/>
      <w:bookmarkStart w:id="965" w:name="_Toc24856"/>
      <w:bookmarkStart w:id="966" w:name="_Toc20439"/>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5 个人</w:t>
      </w:r>
      <w:r>
        <w:rPr>
          <w:rFonts w:hint="eastAsia"/>
          <w:color w:val="000000" w:themeColor="text1"/>
          <w:sz w:val="24"/>
          <w:szCs w:val="21"/>
          <w14:textFill>
            <w14:solidFill>
              <w14:schemeClr w14:val="tx1"/>
            </w14:solidFill>
          </w14:textFill>
        </w:rPr>
        <w:t>劳动防护用品警示镜</w:t>
      </w:r>
      <w:bookmarkEnd w:id="964"/>
      <w:bookmarkEnd w:id="965"/>
      <w:bookmarkEnd w:id="966"/>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在施工人员主入口明显处设置个人劳动防护用品警示镜（立柱为直径100空心不锈钢管，立杆与图牌间距100，离地总高度2.4米，如下图）。原则上大小尺寸按此标准制作，材质各项目可结合实际情况做适应性修改，不可低于此标准。</w:t>
      </w:r>
    </w:p>
    <w:p>
      <w:pPr>
        <w:adjustRightInd w:val="0"/>
        <w:snapToGrid w:val="0"/>
        <w:jc w:val="center"/>
        <w:rPr>
          <w:rFonts w:ascii="仿宋_GB2312" w:eastAsia="仿宋_GB2312"/>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0" distR="0">
            <wp:extent cx="1909445" cy="256032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909445" cy="2560320"/>
                    </a:xfrm>
                    <a:prstGeom prst="rect">
                      <a:avLst/>
                    </a:prstGeom>
                    <a:noFill/>
                    <a:ln>
                      <a:noFill/>
                    </a:ln>
                  </pic:spPr>
                </pic:pic>
              </a:graphicData>
            </a:graphic>
          </wp:inline>
        </w:drawing>
      </w:r>
      <w:r>
        <w:rPr>
          <w:rFonts w:hint="eastAsia" w:ascii="仿宋_GB2312" w:eastAsia="仿宋_GB2312"/>
          <w:color w:val="000000" w:themeColor="text1"/>
          <w:sz w:val="32"/>
          <w:szCs w:val="32"/>
          <w14:textFill>
            <w14:solidFill>
              <w14:schemeClr w14:val="tx1"/>
            </w14:solidFill>
          </w14:textFill>
        </w:rPr>
        <w:t xml:space="preserve">      </w:t>
      </w:r>
      <w:r>
        <w:rPr>
          <w:rFonts w:ascii="仿宋_GB2312" w:eastAsia="仿宋_GB2312"/>
          <w:color w:val="000000" w:themeColor="text1"/>
          <w:sz w:val="32"/>
          <w:szCs w:val="32"/>
          <w14:textFill>
            <w14:solidFill>
              <w14:schemeClr w14:val="tx1"/>
            </w14:solidFill>
          </w14:textFill>
        </w:rPr>
        <w:drawing>
          <wp:inline distT="0" distB="0" distL="0" distR="0">
            <wp:extent cx="2194560" cy="2538095"/>
            <wp:effectExtent l="0" t="0" r="0" b="0"/>
            <wp:docPr id="6" name="图片 6" descr="C:\Users\王虎\AppData\Local\Temp\14973215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王虎\AppData\Local\Temp\1497321567(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194560" cy="2538095"/>
                    </a:xfrm>
                    <a:prstGeom prst="rect">
                      <a:avLst/>
                    </a:prstGeom>
                    <a:noFill/>
                    <a:ln>
                      <a:noFill/>
                    </a:ln>
                  </pic:spPr>
                </pic:pic>
              </a:graphicData>
            </a:graphic>
          </wp:inline>
        </w:drawing>
      </w:r>
    </w:p>
    <w:p>
      <w:pPr>
        <w:pStyle w:val="4"/>
        <w:spacing w:before="100" w:beforeAutospacing="1" w:after="100" w:afterAutospacing="1" w:line="360" w:lineRule="auto"/>
        <w:rPr>
          <w:color w:val="000000" w:themeColor="text1"/>
          <w:sz w:val="28"/>
          <w:szCs w:val="24"/>
          <w14:textFill>
            <w14:solidFill>
              <w14:schemeClr w14:val="tx1"/>
            </w14:solidFill>
          </w14:textFill>
        </w:rPr>
      </w:pPr>
      <w:bookmarkStart w:id="967" w:name="_Toc44492640"/>
      <w:bookmarkStart w:id="968" w:name="_Toc16695"/>
      <w:bookmarkStart w:id="969" w:name="_Toc13909"/>
      <w:r>
        <w:rPr>
          <w:rFonts w:hint="eastAsia"/>
          <w:color w:val="000000" w:themeColor="text1"/>
          <w:sz w:val="28"/>
          <w:szCs w:val="24"/>
          <w14:textFill>
            <w14:solidFill>
              <w14:schemeClr w14:val="tx1"/>
            </w14:solidFill>
          </w14:textFill>
        </w:rPr>
        <w:t>二、作业安全防护</w:t>
      </w:r>
      <w:bookmarkEnd w:id="967"/>
      <w:bookmarkEnd w:id="968"/>
      <w:bookmarkEnd w:id="969"/>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70" w:name="_Toc44492641"/>
      <w:bookmarkStart w:id="971" w:name="_Toc5570"/>
      <w:bookmarkStart w:id="972" w:name="_Toc8500"/>
      <w:r>
        <w:rPr>
          <w:color w:val="000000" w:themeColor="text1"/>
          <w:sz w:val="24"/>
          <w:szCs w:val="24"/>
          <w14:textFill>
            <w14:solidFill>
              <w14:schemeClr w14:val="tx1"/>
            </w14:solidFill>
          </w14:textFill>
        </w:rPr>
        <w:t xml:space="preserve">2.1 </w:t>
      </w:r>
      <w:r>
        <w:rPr>
          <w:rFonts w:hint="eastAsia"/>
          <w:color w:val="000000" w:themeColor="text1"/>
          <w:sz w:val="24"/>
          <w:szCs w:val="24"/>
          <w14:textFill>
            <w14:solidFill>
              <w14:schemeClr w14:val="tx1"/>
            </w14:solidFill>
          </w14:textFill>
        </w:rPr>
        <w:t>定型化防护栏</w:t>
      </w:r>
      <w:bookmarkEnd w:id="970"/>
      <w:bookmarkEnd w:id="971"/>
      <w:bookmarkEnd w:id="972"/>
    </w:p>
    <w:p>
      <w:pPr>
        <w:spacing w:line="360" w:lineRule="auto"/>
        <w:ind w:firstLine="480"/>
        <w:rPr>
          <w:rFonts w:ascii="宋体" w:hAnsi="宋体"/>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临边护栏建议采用栅栏式定型化防护栏，高度为1</w:t>
      </w:r>
      <w:r>
        <w:rPr>
          <w:color w:val="000000" w:themeColor="text1"/>
          <w:sz w:val="24"/>
          <w14:textFill>
            <w14:solidFill>
              <w14:schemeClr w14:val="tx1"/>
            </w14:solidFill>
          </w14:textFill>
        </w:rPr>
        <w:t>.2m</w:t>
      </w:r>
      <w:r>
        <w:rPr>
          <w:rFonts w:hint="eastAsia"/>
          <w:color w:val="000000" w:themeColor="text1"/>
          <w:sz w:val="24"/>
          <w14:textFill>
            <w14:solidFill>
              <w14:schemeClr w14:val="tx1"/>
            </w14:solidFill>
          </w14:textFill>
        </w:rPr>
        <w:t>。定型化防护尺寸统一为1200X1900mm，色标统一为红白色，底部踢脚板色标为红白相间，3</w:t>
      </w:r>
      <w:r>
        <w:rPr>
          <w:color w:val="000000" w:themeColor="text1"/>
          <w:sz w:val="24"/>
          <w14:textFill>
            <w14:solidFill>
              <w14:schemeClr w14:val="tx1"/>
            </w14:solidFill>
          </w14:textFill>
        </w:rPr>
        <w:t>mm</w:t>
      </w:r>
      <w:r>
        <w:rPr>
          <w:rFonts w:hint="eastAsia"/>
          <w:color w:val="000000" w:themeColor="text1"/>
          <w:sz w:val="24"/>
          <w14:textFill>
            <w14:solidFill>
              <w14:schemeClr w14:val="tx1"/>
            </w14:solidFill>
          </w14:textFill>
        </w:rPr>
        <w:t>厚铁板，高2</w:t>
      </w:r>
      <w:r>
        <w:rPr>
          <w:color w:val="000000" w:themeColor="text1"/>
          <w:sz w:val="24"/>
          <w14:textFill>
            <w14:solidFill>
              <w14:schemeClr w14:val="tx1"/>
            </w14:solidFill>
          </w14:textFill>
        </w:rPr>
        <w:t>00mm</w:t>
      </w:r>
      <w:r>
        <w:rPr>
          <w:rFonts w:hint="eastAsia"/>
          <w:color w:val="000000" w:themeColor="text1"/>
          <w:sz w:val="24"/>
          <w14:textFill>
            <w14:solidFill>
              <w14:schemeClr w14:val="tx1"/>
            </w14:solidFill>
          </w14:textFill>
        </w:rPr>
        <w:t>，水平相间尺寸为200mm。固定立杆色标为红白相间，</w:t>
      </w:r>
      <w:r>
        <w:rPr>
          <w:rFonts w:hint="eastAsia" w:ascii="宋体" w:hAnsi="宋体"/>
          <w:color w:val="000000" w:themeColor="text1"/>
          <w:sz w:val="24"/>
          <w14:textFill>
            <w14:solidFill>
              <w14:schemeClr w14:val="tx1"/>
            </w14:solidFill>
          </w14:textFill>
        </w:rPr>
        <w:t>从上往下依次为</w:t>
      </w:r>
      <w:r>
        <w:rPr>
          <w:rFonts w:ascii="宋体" w:hAnsi="宋体"/>
          <w:color w:val="000000" w:themeColor="text1"/>
          <w:sz w:val="24"/>
          <w14:textFill>
            <w14:solidFill>
              <w14:schemeClr w14:val="tx1"/>
            </w14:solidFill>
          </w14:textFill>
        </w:rPr>
        <w:t>300mm</w:t>
      </w:r>
      <w:r>
        <w:rPr>
          <w:rFonts w:hint="eastAsia" w:ascii="宋体" w:hAnsi="宋体"/>
          <w:color w:val="000000" w:themeColor="text1"/>
          <w:sz w:val="24"/>
          <w14:textFill>
            <w14:solidFill>
              <w14:schemeClr w14:val="tx1"/>
            </w14:solidFill>
          </w14:textFill>
        </w:rPr>
        <w:t>（白）、</w:t>
      </w:r>
      <w:r>
        <w:rPr>
          <w:rFonts w:ascii="宋体" w:hAnsi="宋体"/>
          <w:color w:val="000000" w:themeColor="text1"/>
          <w:sz w:val="24"/>
          <w14:textFill>
            <w14:solidFill>
              <w14:schemeClr w14:val="tx1"/>
            </w14:solidFill>
          </w14:textFill>
        </w:rPr>
        <w:t>400mm</w:t>
      </w:r>
      <w:r>
        <w:rPr>
          <w:rFonts w:hint="eastAsia" w:ascii="宋体" w:hAnsi="宋体"/>
          <w:color w:val="000000" w:themeColor="text1"/>
          <w:sz w:val="24"/>
          <w14:textFill>
            <w14:solidFill>
              <w14:schemeClr w14:val="tx1"/>
            </w14:solidFill>
          </w14:textFill>
        </w:rPr>
        <w:t>（红）、</w:t>
      </w:r>
      <w:r>
        <w:rPr>
          <w:rFonts w:ascii="宋体" w:hAnsi="宋体"/>
          <w:color w:val="000000" w:themeColor="text1"/>
          <w:sz w:val="24"/>
          <w14:textFill>
            <w14:solidFill>
              <w14:schemeClr w14:val="tx1"/>
            </w14:solidFill>
          </w14:textFill>
        </w:rPr>
        <w:t>300mm</w:t>
      </w:r>
      <w:r>
        <w:rPr>
          <w:rFonts w:hint="eastAsia" w:ascii="宋体" w:hAnsi="宋体"/>
          <w:color w:val="000000" w:themeColor="text1"/>
          <w:sz w:val="24"/>
          <w14:textFill>
            <w14:solidFill>
              <w14:schemeClr w14:val="tx1"/>
            </w14:solidFill>
          </w14:textFill>
        </w:rPr>
        <w:t>（白），边框采用30</w:t>
      </w:r>
      <w:r>
        <w:rPr>
          <w:rFonts w:ascii="宋体" w:hAnsi="宋体"/>
          <w:color w:val="000000" w:themeColor="text1"/>
          <w:sz w:val="24"/>
          <w14:textFill>
            <w14:solidFill>
              <w14:schemeClr w14:val="tx1"/>
            </w14:solidFill>
          </w14:textFill>
        </w:rPr>
        <w:t>mm</w:t>
      </w:r>
      <w:r>
        <w:rPr>
          <w:rFonts w:hint="eastAsia" w:ascii="宋体" w:hAnsi="宋体"/>
          <w:color w:val="000000" w:themeColor="text1"/>
          <w:sz w:val="24"/>
          <w14:textFill>
            <w14:solidFill>
              <w14:schemeClr w14:val="tx1"/>
            </w14:solidFill>
          </w14:textFill>
        </w:rPr>
        <w:t>*30</w:t>
      </w:r>
      <w:r>
        <w:rPr>
          <w:rFonts w:ascii="宋体" w:hAnsi="宋体"/>
          <w:color w:val="000000" w:themeColor="text1"/>
          <w:sz w:val="24"/>
          <w14:textFill>
            <w14:solidFill>
              <w14:schemeClr w14:val="tx1"/>
            </w14:solidFill>
          </w14:textFill>
        </w:rPr>
        <w:t>mm</w:t>
      </w:r>
      <w:r>
        <w:rPr>
          <w:rFonts w:hint="eastAsia" w:ascii="宋体" w:hAnsi="宋体"/>
          <w:color w:val="000000" w:themeColor="text1"/>
          <w:sz w:val="24"/>
          <w14:textFill>
            <w14:solidFill>
              <w14:schemeClr w14:val="tx1"/>
            </w14:solidFill>
          </w14:textFill>
        </w:rPr>
        <w:t>方钢制作；栏杆两侧立柱40</w:t>
      </w:r>
      <w:r>
        <w:rPr>
          <w:rFonts w:ascii="宋体" w:hAnsi="宋体"/>
          <w:color w:val="000000" w:themeColor="text1"/>
          <w:sz w:val="24"/>
          <w14:textFill>
            <w14:solidFill>
              <w14:schemeClr w14:val="tx1"/>
            </w14:solidFill>
          </w14:textFill>
        </w:rPr>
        <w:t>mm</w:t>
      </w:r>
      <w:r>
        <w:rPr>
          <w:rFonts w:hint="eastAsia" w:ascii="宋体" w:hAnsi="宋体"/>
          <w:color w:val="000000" w:themeColor="text1"/>
          <w:sz w:val="24"/>
          <w14:textFill>
            <w14:solidFill>
              <w14:schemeClr w14:val="tx1"/>
            </w14:solidFill>
          </w14:textFill>
        </w:rPr>
        <w:t>*40</w:t>
      </w:r>
      <w:r>
        <w:rPr>
          <w:rFonts w:ascii="宋体" w:hAnsi="宋体"/>
          <w:color w:val="000000" w:themeColor="text1"/>
          <w:sz w:val="24"/>
          <w14:textFill>
            <w14:solidFill>
              <w14:schemeClr w14:val="tx1"/>
            </w14:solidFill>
          </w14:textFill>
        </w:rPr>
        <w:t>mm</w:t>
      </w:r>
      <w:r>
        <w:rPr>
          <w:rFonts w:hint="eastAsia" w:ascii="宋体" w:hAnsi="宋体"/>
          <w:color w:val="000000" w:themeColor="text1"/>
          <w:sz w:val="24"/>
          <w14:textFill>
            <w14:solidFill>
              <w14:schemeClr w14:val="tx1"/>
            </w14:solidFill>
          </w14:textFill>
        </w:rPr>
        <w:t>；立柱垫板120</w:t>
      </w:r>
      <w:r>
        <w:rPr>
          <w:rFonts w:ascii="宋体" w:hAnsi="宋体"/>
          <w:color w:val="000000" w:themeColor="text1"/>
          <w:sz w:val="24"/>
          <w14:textFill>
            <w14:solidFill>
              <w14:schemeClr w14:val="tx1"/>
            </w14:solidFill>
          </w14:textFill>
        </w:rPr>
        <w:t>mm</w:t>
      </w:r>
      <w:r>
        <w:rPr>
          <w:rFonts w:hint="eastAsia" w:ascii="宋体" w:hAnsi="宋体"/>
          <w:color w:val="000000" w:themeColor="text1"/>
          <w:sz w:val="24"/>
          <w14:textFill>
            <w14:solidFill>
              <w14:schemeClr w14:val="tx1"/>
            </w14:solidFill>
          </w14:textFill>
        </w:rPr>
        <w:t>*120</w:t>
      </w:r>
      <w:r>
        <w:rPr>
          <w:rFonts w:ascii="宋体" w:hAnsi="宋体"/>
          <w:color w:val="000000" w:themeColor="text1"/>
          <w:sz w:val="24"/>
          <w14:textFill>
            <w14:solidFill>
              <w14:schemeClr w14:val="tx1"/>
            </w14:solidFill>
          </w14:textFill>
        </w:rPr>
        <w:t>mm</w:t>
      </w:r>
      <w:r>
        <w:rPr>
          <w:rFonts w:hint="eastAsia" w:ascii="宋体" w:hAnsi="宋体"/>
          <w:color w:val="000000" w:themeColor="text1"/>
          <w:sz w:val="24"/>
          <w14:textFill>
            <w14:solidFill>
              <w14:schemeClr w14:val="tx1"/>
            </w14:solidFill>
          </w14:textFill>
        </w:rPr>
        <w:t>，厚度4mm，立柱使用四个膨胀螺栓与地面连接固定；</w:t>
      </w:r>
      <w:r>
        <w:rPr>
          <w:rFonts w:hint="eastAsia"/>
          <w:color w:val="000000" w:themeColor="text1"/>
          <w:sz w:val="24"/>
          <w14:textFill>
            <w14:solidFill>
              <w14:schemeClr w14:val="tx1"/>
            </w14:solidFill>
          </w14:textFill>
        </w:rPr>
        <w:t>中间设3</w:t>
      </w:r>
      <w:r>
        <w:rPr>
          <w:color w:val="000000" w:themeColor="text1"/>
          <w:sz w:val="24"/>
          <w14:textFill>
            <w14:solidFill>
              <w14:schemeClr w14:val="tx1"/>
            </w14:solidFill>
          </w14:textFill>
        </w:rPr>
        <w:t>mm</w:t>
      </w:r>
      <w:r>
        <w:rPr>
          <w:rFonts w:hint="eastAsia"/>
          <w:color w:val="000000" w:themeColor="text1"/>
          <w:sz w:val="24"/>
          <w14:textFill>
            <w14:solidFill>
              <w14:schemeClr w14:val="tx1"/>
            </w14:solidFill>
          </w14:textFill>
        </w:rPr>
        <w:t>厚铁板，刷红色油漆，并设置安全警示标语，字体白色。</w:t>
      </w:r>
    </w:p>
    <w:p>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3277235" cy="1997075"/>
            <wp:effectExtent l="0" t="0" r="0" b="0"/>
            <wp:docPr id="7" name="图片 7" descr="定型化围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定型化围栏"/>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277235" cy="199707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73" w:name="_Toc44492642"/>
      <w:bookmarkStart w:id="974" w:name="_Toc27136"/>
      <w:bookmarkStart w:id="975" w:name="_Toc28438"/>
      <w:r>
        <w:rPr>
          <w:color w:val="000000" w:themeColor="text1"/>
          <w:sz w:val="24"/>
          <w:szCs w:val="24"/>
          <w14:textFill>
            <w14:solidFill>
              <w14:schemeClr w14:val="tx1"/>
            </w14:solidFill>
          </w14:textFill>
        </w:rPr>
        <w:t xml:space="preserve">2.2 </w:t>
      </w:r>
      <w:r>
        <w:rPr>
          <w:rFonts w:hint="eastAsia"/>
          <w:color w:val="000000" w:themeColor="text1"/>
          <w:sz w:val="24"/>
          <w:szCs w:val="24"/>
          <w14:textFill>
            <w14:solidFill>
              <w14:schemeClr w14:val="tx1"/>
            </w14:solidFill>
          </w14:textFill>
        </w:rPr>
        <w:t>预留洞口安全防护</w:t>
      </w:r>
      <w:bookmarkEnd w:id="973"/>
      <w:bookmarkEnd w:id="974"/>
      <w:bookmarkEnd w:id="975"/>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（1）垂直洞口：</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对于窗口、竖向洞口高度低于1000mm的临边，可以采用横杆进行防护，其端部采用专用连接件（单边扣件或铸铁式防护配件）进行固定。栏杆采用一道栏杆形式，栏杆离地1200mm。如窗口或竖向洞口的下沿距离地面高度过低，视情况增加一道栏杆。钢管表面涂刷红白相间油漆警示，并张贴安全警示标志。</w:t>
      </w:r>
    </w:p>
    <w:p>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2889250" cy="2560320"/>
            <wp:effectExtent l="0" t="0" r="0" b="0"/>
            <wp:docPr id="8" name="图片 8" descr="1583995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58399583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889250" cy="2560320"/>
                    </a:xfrm>
                    <a:prstGeom prst="rect">
                      <a:avLst/>
                    </a:prstGeom>
                    <a:noFill/>
                    <a:ln>
                      <a:noFill/>
                    </a:ln>
                  </pic:spPr>
                </pic:pic>
              </a:graphicData>
            </a:graphic>
          </wp:inline>
        </w:drawing>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（2）非垂直洞口：</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w:t>
      </w:r>
      <w:r>
        <w:rPr>
          <w:rFonts w:hint="eastAsia"/>
          <w:color w:val="000000" w:themeColor="text1"/>
          <w:sz w:val="24"/>
          <w14:textFill>
            <w14:solidFill>
              <w14:schemeClr w14:val="tx1"/>
            </w14:solidFill>
          </w14:textFill>
        </w:rPr>
        <w:t>）边长小于1500mm的预留洞口</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楼板、屋面和平台等面上短边尺寸小于 1500mm 的洞口，必须用坚实的盖板盖住洞口；盖板须搁置平稳均衡，并用钉在盖板上的木方顶紧洞口边框，防止盖板移位；盖板上表面刷红白相间警戒色和“严禁挪移”黑色字样。</w:t>
      </w:r>
    </w:p>
    <w:p>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1697355" cy="1689735"/>
            <wp:effectExtent l="0" t="0" r="0" b="0"/>
            <wp:docPr id="9" name="图片 9" descr="孔洞盖板俯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孔洞盖板俯视图"/>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697355" cy="1689735"/>
                    </a:xfrm>
                    <a:prstGeom prst="rect">
                      <a:avLst/>
                    </a:prstGeom>
                    <a:noFill/>
                    <a:ln>
                      <a:noFill/>
                    </a:ln>
                  </pic:spPr>
                </pic:pic>
              </a:graphicData>
            </a:graphic>
          </wp:inline>
        </w:drawing>
      </w:r>
      <w:r>
        <w:rPr>
          <w:color w:val="000000" w:themeColor="text1"/>
          <w:sz w:val="24"/>
          <w14:textFill>
            <w14:solidFill>
              <w14:schemeClr w14:val="tx1"/>
            </w14:solidFill>
          </w14:textFill>
        </w:rPr>
        <w:t xml:space="preserve">  </w:t>
      </w:r>
      <w:r>
        <w:rPr>
          <w:color w:val="000000" w:themeColor="text1"/>
          <w:sz w:val="24"/>
          <w14:textFill>
            <w14:solidFill>
              <w14:schemeClr w14:val="tx1"/>
            </w14:solidFill>
          </w14:textFill>
        </w:rPr>
        <w:drawing>
          <wp:inline distT="0" distB="0" distL="0" distR="0">
            <wp:extent cx="2903855" cy="1675130"/>
            <wp:effectExtent l="0" t="0" r="0" b="0"/>
            <wp:docPr id="10" name="图片 10" descr="1537933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379337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903855" cy="1675130"/>
                    </a:xfrm>
                    <a:prstGeom prst="rect">
                      <a:avLst/>
                    </a:prstGeom>
                    <a:noFill/>
                    <a:ln>
                      <a:noFill/>
                    </a:ln>
                  </pic:spPr>
                </pic:pic>
              </a:graphicData>
            </a:graphic>
          </wp:inline>
        </w:drawing>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2）边长为1500mm以上的洞口</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洞口四周用定型化防护栏做围挡，洞口采用水平安全网封闭，并悬挂警示标牌及责任单位信息牌。</w:t>
      </w:r>
    </w:p>
    <w:p>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2019300" cy="1536065"/>
            <wp:effectExtent l="0" t="0" r="0" b="0"/>
            <wp:docPr id="11" name="图片 11" descr="1583996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58399604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019300" cy="1536065"/>
                    </a:xfrm>
                    <a:prstGeom prst="rect">
                      <a:avLst/>
                    </a:prstGeom>
                    <a:noFill/>
                    <a:ln>
                      <a:noFill/>
                    </a:ln>
                  </pic:spPr>
                </pic:pic>
              </a:graphicData>
            </a:graphic>
          </wp:inline>
        </w:drawing>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3）洞口防护色标</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防护色标统一为红白相间的斜条纹，倾角为4</w:t>
      </w:r>
      <w:r>
        <w:rPr>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度。洞口尺寸小于500mm的，水平相间尺寸为100mm；洞口尺寸大于500mm小于1500mm的，水平相间尺寸为150mm；洞口尺寸大于1500mm的，水平相间尺寸为200mm。</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76" w:name="_Toc44492643"/>
      <w:bookmarkStart w:id="977" w:name="_Toc9699"/>
      <w:bookmarkStart w:id="978" w:name="_Toc23890"/>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 xml:space="preserve">.3 </w:t>
      </w:r>
      <w:r>
        <w:rPr>
          <w:rFonts w:hint="eastAsia"/>
          <w:color w:val="000000" w:themeColor="text1"/>
          <w:sz w:val="24"/>
          <w:szCs w:val="24"/>
          <w14:textFill>
            <w14:solidFill>
              <w14:schemeClr w14:val="tx1"/>
            </w14:solidFill>
          </w14:textFill>
        </w:rPr>
        <w:t>电梯井（管道井）口安全防护</w:t>
      </w:r>
      <w:bookmarkEnd w:id="976"/>
      <w:bookmarkEnd w:id="977"/>
      <w:bookmarkEnd w:id="978"/>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电梯井（管道井）口使用定型化防护栏，高度为1</w:t>
      </w:r>
      <w:r>
        <w:rPr>
          <w:color w:val="000000" w:themeColor="text1"/>
          <w:sz w:val="24"/>
          <w14:textFill>
            <w14:solidFill>
              <w14:schemeClr w14:val="tx1"/>
            </w14:solidFill>
          </w14:textFill>
        </w:rPr>
        <w:t>.8m</w:t>
      </w:r>
      <w:r>
        <w:rPr>
          <w:rFonts w:hint="eastAsia"/>
          <w:color w:val="000000" w:themeColor="text1"/>
          <w:sz w:val="24"/>
          <w14:textFill>
            <w14:solidFill>
              <w14:schemeClr w14:val="tx1"/>
            </w14:solidFill>
          </w14:textFill>
        </w:rPr>
        <w:t>，长度试现场实际情况确定，色标统一为红白色；主框架采用2</w:t>
      </w:r>
      <w:r>
        <w:rPr>
          <w:color w:val="000000" w:themeColor="text1"/>
          <w:sz w:val="24"/>
          <w14:textFill>
            <w14:solidFill>
              <w14:schemeClr w14:val="tx1"/>
            </w14:solidFill>
          </w14:textFill>
        </w:rPr>
        <w:t>.5cm</w:t>
      </w:r>
      <w:r>
        <w:rPr>
          <w:rFonts w:hint="eastAsia"/>
          <w:color w:val="000000" w:themeColor="text1"/>
          <w:sz w:val="24"/>
          <w14:textFill>
            <w14:solidFill>
              <w14:schemeClr w14:val="tx1"/>
            </w14:solidFill>
          </w14:textFill>
        </w:rPr>
        <w:t>方钢或圆钢制作，中间设3</w:t>
      </w:r>
      <w:r>
        <w:rPr>
          <w:color w:val="000000" w:themeColor="text1"/>
          <w:sz w:val="24"/>
          <w14:textFill>
            <w14:solidFill>
              <w14:schemeClr w14:val="tx1"/>
            </w14:solidFill>
          </w14:textFill>
        </w:rPr>
        <w:t>mm</w:t>
      </w:r>
      <w:r>
        <w:rPr>
          <w:rFonts w:hint="eastAsia"/>
          <w:color w:val="000000" w:themeColor="text1"/>
          <w:sz w:val="24"/>
          <w14:textFill>
            <w14:solidFill>
              <w14:schemeClr w14:val="tx1"/>
            </w14:solidFill>
          </w14:textFill>
        </w:rPr>
        <w:t>厚铁板，刷红色油漆，并设置安全警示标语，字体白色；框架间设置孔眼小于2</w:t>
      </w:r>
      <w:r>
        <w:rPr>
          <w:color w:val="000000" w:themeColor="text1"/>
          <w:sz w:val="24"/>
          <w14:textFill>
            <w14:solidFill>
              <w14:schemeClr w14:val="tx1"/>
            </w14:solidFill>
          </w14:textFill>
        </w:rPr>
        <w:t>cm</w:t>
      </w:r>
      <w:r>
        <w:rPr>
          <w:rFonts w:hint="eastAsia"/>
          <w:color w:val="000000" w:themeColor="text1"/>
          <w:sz w:val="24"/>
          <w14:textFill>
            <w14:solidFill>
              <w14:schemeClr w14:val="tx1"/>
            </w14:solidFill>
          </w14:textFill>
        </w:rPr>
        <w:t>钢板网；立杆红白相间，</w:t>
      </w:r>
      <w:r>
        <w:rPr>
          <w:rFonts w:hint="eastAsia" w:ascii="宋体" w:hAnsi="宋体"/>
          <w:color w:val="000000" w:themeColor="text1"/>
          <w:sz w:val="24"/>
          <w14:textFill>
            <w14:solidFill>
              <w14:schemeClr w14:val="tx1"/>
            </w14:solidFill>
          </w14:textFill>
        </w:rPr>
        <w:t>从上往下依次为</w:t>
      </w:r>
      <w:r>
        <w:rPr>
          <w:rFonts w:ascii="宋体" w:hAnsi="宋体"/>
          <w:color w:val="000000" w:themeColor="text1"/>
          <w:sz w:val="24"/>
          <w14:textFill>
            <w14:solidFill>
              <w14:schemeClr w14:val="tx1"/>
            </w14:solidFill>
          </w14:textFill>
        </w:rPr>
        <w:t>200mm</w:t>
      </w:r>
      <w:r>
        <w:rPr>
          <w:rFonts w:hint="eastAsia" w:ascii="宋体" w:hAnsi="宋体"/>
          <w:color w:val="000000" w:themeColor="text1"/>
          <w:sz w:val="24"/>
          <w14:textFill>
            <w14:solidFill>
              <w14:schemeClr w14:val="tx1"/>
            </w14:solidFill>
          </w14:textFill>
        </w:rPr>
        <w:t>（白）、</w:t>
      </w:r>
      <w:r>
        <w:rPr>
          <w:rFonts w:ascii="宋体" w:hAnsi="宋体"/>
          <w:color w:val="000000" w:themeColor="text1"/>
          <w:sz w:val="24"/>
          <w14:textFill>
            <w14:solidFill>
              <w14:schemeClr w14:val="tx1"/>
            </w14:solidFill>
          </w14:textFill>
        </w:rPr>
        <w:t>300mm</w:t>
      </w:r>
      <w:r>
        <w:rPr>
          <w:rFonts w:hint="eastAsia" w:ascii="宋体" w:hAnsi="宋体"/>
          <w:color w:val="000000" w:themeColor="text1"/>
          <w:sz w:val="24"/>
          <w14:textFill>
            <w14:solidFill>
              <w14:schemeClr w14:val="tx1"/>
            </w14:solidFill>
          </w14:textFill>
        </w:rPr>
        <w:t>（红）、</w:t>
      </w:r>
      <w:r>
        <w:rPr>
          <w:rFonts w:ascii="宋体" w:hAnsi="宋体"/>
          <w:color w:val="000000" w:themeColor="text1"/>
          <w:sz w:val="24"/>
          <w14:textFill>
            <w14:solidFill>
              <w14:schemeClr w14:val="tx1"/>
            </w14:solidFill>
          </w14:textFill>
        </w:rPr>
        <w:t>200mm</w:t>
      </w:r>
      <w:r>
        <w:rPr>
          <w:rFonts w:hint="eastAsia" w:ascii="宋体" w:hAnsi="宋体"/>
          <w:color w:val="000000" w:themeColor="text1"/>
          <w:sz w:val="24"/>
          <w14:textFill>
            <w14:solidFill>
              <w14:schemeClr w14:val="tx1"/>
            </w14:solidFill>
          </w14:textFill>
        </w:rPr>
        <w:t>（白）、</w:t>
      </w:r>
      <w:r>
        <w:rPr>
          <w:rFonts w:ascii="宋体" w:hAnsi="宋体"/>
          <w:color w:val="000000" w:themeColor="text1"/>
          <w:sz w:val="24"/>
          <w14:textFill>
            <w14:solidFill>
              <w14:schemeClr w14:val="tx1"/>
            </w14:solidFill>
          </w14:textFill>
        </w:rPr>
        <w:t>200mm</w:t>
      </w:r>
      <w:r>
        <w:rPr>
          <w:rFonts w:hint="eastAsia" w:ascii="宋体" w:hAnsi="宋体"/>
          <w:color w:val="000000" w:themeColor="text1"/>
          <w:sz w:val="24"/>
          <w14:textFill>
            <w14:solidFill>
              <w14:schemeClr w14:val="tx1"/>
            </w14:solidFill>
          </w14:textFill>
        </w:rPr>
        <w:t>（红）、</w:t>
      </w:r>
      <w:r>
        <w:rPr>
          <w:rFonts w:ascii="宋体" w:hAnsi="宋体"/>
          <w:color w:val="000000" w:themeColor="text1"/>
          <w:sz w:val="24"/>
          <w14:textFill>
            <w14:solidFill>
              <w14:schemeClr w14:val="tx1"/>
            </w14:solidFill>
          </w14:textFill>
        </w:rPr>
        <w:t>200mm</w:t>
      </w:r>
      <w:r>
        <w:rPr>
          <w:rFonts w:hint="eastAsia" w:ascii="宋体" w:hAnsi="宋体"/>
          <w:color w:val="000000" w:themeColor="text1"/>
          <w:sz w:val="24"/>
          <w14:textFill>
            <w14:solidFill>
              <w14:schemeClr w14:val="tx1"/>
            </w14:solidFill>
          </w14:textFill>
        </w:rPr>
        <w:t>（白）、</w:t>
      </w:r>
      <w:r>
        <w:rPr>
          <w:rFonts w:ascii="宋体" w:hAnsi="宋体"/>
          <w:color w:val="000000" w:themeColor="text1"/>
          <w:sz w:val="24"/>
          <w14:textFill>
            <w14:solidFill>
              <w14:schemeClr w14:val="tx1"/>
            </w14:solidFill>
          </w14:textFill>
        </w:rPr>
        <w:t>300mm</w:t>
      </w:r>
      <w:r>
        <w:rPr>
          <w:rFonts w:hint="eastAsia" w:ascii="宋体" w:hAnsi="宋体"/>
          <w:color w:val="000000" w:themeColor="text1"/>
          <w:sz w:val="24"/>
          <w14:textFill>
            <w14:solidFill>
              <w14:schemeClr w14:val="tx1"/>
            </w14:solidFill>
          </w14:textFill>
        </w:rPr>
        <w:t>（红）、</w:t>
      </w:r>
      <w:r>
        <w:rPr>
          <w:rFonts w:ascii="宋体" w:hAnsi="宋体"/>
          <w:color w:val="000000" w:themeColor="text1"/>
          <w:sz w:val="24"/>
          <w14:textFill>
            <w14:solidFill>
              <w14:schemeClr w14:val="tx1"/>
            </w14:solidFill>
          </w14:textFill>
        </w:rPr>
        <w:t>200mm</w:t>
      </w:r>
      <w:r>
        <w:rPr>
          <w:rFonts w:hint="eastAsia" w:ascii="宋体" w:hAnsi="宋体"/>
          <w:color w:val="000000" w:themeColor="text1"/>
          <w:sz w:val="24"/>
          <w14:textFill>
            <w14:solidFill>
              <w14:schemeClr w14:val="tx1"/>
            </w14:solidFill>
          </w14:textFill>
        </w:rPr>
        <w:t>（白）；水平杆红白相间尺寸为2</w:t>
      </w:r>
      <w:r>
        <w:rPr>
          <w:rFonts w:ascii="宋体" w:hAnsi="宋体"/>
          <w:color w:val="000000" w:themeColor="text1"/>
          <w:sz w:val="24"/>
          <w14:textFill>
            <w14:solidFill>
              <w14:schemeClr w14:val="tx1"/>
            </w14:solidFill>
          </w14:textFill>
        </w:rPr>
        <w:t>00mm</w:t>
      </w:r>
      <w:r>
        <w:rPr>
          <w:rFonts w:hint="eastAsia" w:ascii="宋体" w:hAnsi="宋体"/>
          <w:color w:val="000000" w:themeColor="text1"/>
          <w:sz w:val="24"/>
          <w14:textFill>
            <w14:solidFill>
              <w14:schemeClr w14:val="tx1"/>
            </w14:solidFill>
          </w14:textFill>
        </w:rPr>
        <w:t>，两侧用膨胀螺栓与墙体连接；</w:t>
      </w:r>
      <w:r>
        <w:rPr>
          <w:rFonts w:hint="eastAsia"/>
          <w:color w:val="000000" w:themeColor="text1"/>
          <w:sz w:val="24"/>
          <w14:textFill>
            <w14:solidFill>
              <w14:schemeClr w14:val="tx1"/>
            </w14:solidFill>
          </w14:textFill>
        </w:rPr>
        <w:t>底部设2</w:t>
      </w:r>
      <w:r>
        <w:rPr>
          <w:color w:val="000000" w:themeColor="text1"/>
          <w:sz w:val="24"/>
          <w14:textFill>
            <w14:solidFill>
              <w14:schemeClr w14:val="tx1"/>
            </w14:solidFill>
          </w14:textFill>
        </w:rPr>
        <w:t>00mm</w:t>
      </w:r>
      <w:r>
        <w:rPr>
          <w:rFonts w:hint="eastAsia"/>
          <w:color w:val="000000" w:themeColor="text1"/>
          <w:sz w:val="24"/>
          <w14:textFill>
            <w14:solidFill>
              <w14:schemeClr w14:val="tx1"/>
            </w14:solidFill>
          </w14:textFill>
        </w:rPr>
        <w:t>高踢脚板，材质为3</w:t>
      </w:r>
      <w:r>
        <w:rPr>
          <w:color w:val="000000" w:themeColor="text1"/>
          <w:sz w:val="24"/>
          <w14:textFill>
            <w14:solidFill>
              <w14:schemeClr w14:val="tx1"/>
            </w14:solidFill>
          </w14:textFill>
        </w:rPr>
        <w:t>mm</w:t>
      </w:r>
      <w:r>
        <w:rPr>
          <w:rFonts w:hint="eastAsia"/>
          <w:color w:val="000000" w:themeColor="text1"/>
          <w:sz w:val="24"/>
          <w14:textFill>
            <w14:solidFill>
              <w14:schemeClr w14:val="tx1"/>
            </w14:solidFill>
          </w14:textFill>
        </w:rPr>
        <w:t>厚铁板，刷红白相间警戒色，水平相间尺寸为200mm；防护门底端与地面安装间隙一般为1</w:t>
      </w:r>
      <w:r>
        <w:rPr>
          <w:color w:val="000000" w:themeColor="text1"/>
          <w:sz w:val="24"/>
          <w14:textFill>
            <w14:solidFill>
              <w14:schemeClr w14:val="tx1"/>
            </w14:solidFill>
          </w14:textFill>
        </w:rPr>
        <w:t>~2cm</w:t>
      </w:r>
      <w:r>
        <w:rPr>
          <w:rFonts w:hint="eastAsia"/>
          <w:color w:val="000000" w:themeColor="text1"/>
          <w:sz w:val="24"/>
          <w14:textFill>
            <w14:solidFill>
              <w14:schemeClr w14:val="tx1"/>
            </w14:solidFill>
          </w14:textFill>
        </w:rPr>
        <w:t>，不宜过大。防护门外侧悬挂警示标牌及责任单位。</w:t>
      </w:r>
    </w:p>
    <w:p>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3131185" cy="2399665"/>
            <wp:effectExtent l="0" t="0" r="0" b="0"/>
            <wp:docPr id="12" name="图片 12" descr="电梯井防护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电梯井防护示意图"/>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131185" cy="2399665"/>
                    </a:xfrm>
                    <a:prstGeom prst="rect">
                      <a:avLst/>
                    </a:prstGeom>
                    <a:noFill/>
                    <a:ln>
                      <a:noFill/>
                    </a:ln>
                  </pic:spPr>
                </pic:pic>
              </a:graphicData>
            </a:graphic>
          </wp:inline>
        </w:drawing>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电梯井内水平防护采用在井洞内每隔两层且不大于10m用钢管搭设防护平台，上面兜挂安全水平网进行安全防护。电梯井内的施工层上部，应设置隔离防护设施。</w:t>
      </w:r>
    </w:p>
    <w:p>
      <w:pPr>
        <w:spacing w:line="360" w:lineRule="auto"/>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989455" cy="221678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989455" cy="221678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79" w:name="_Toc22482"/>
      <w:bookmarkStart w:id="980" w:name="_Toc44492644"/>
      <w:bookmarkStart w:id="981" w:name="_Toc26277"/>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 xml:space="preserve">.4 </w:t>
      </w:r>
      <w:r>
        <w:rPr>
          <w:rFonts w:hint="eastAsia"/>
          <w:color w:val="000000" w:themeColor="text1"/>
          <w:sz w:val="24"/>
          <w:szCs w:val="24"/>
          <w14:textFill>
            <w14:solidFill>
              <w14:schemeClr w14:val="tx1"/>
            </w14:solidFill>
          </w14:textFill>
        </w:rPr>
        <w:t>基坑边安全防护</w:t>
      </w:r>
      <w:bookmarkEnd w:id="979"/>
      <w:bookmarkEnd w:id="980"/>
      <w:bookmarkEnd w:id="981"/>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基坑临边防护一般采用钢管搭设两道防护栏杆形式，下道栏杆离地600mm，上道栏杆离地1200mm，立杆打入地面500mm～700mm深。立杆间距应不超过2000mm，立杆与基坑边坡的距离不应小于500mm。</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防护栏杆内侧满挂密目安全网，防护外侧设置200mm高踢脚板。防护栏杆和踢脚板刷红白（黄黑）相间安全警戒色。</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防护栏杆外侧应设置排水沟，内侧设置≥3%的排水坡，采取有组织的排水。</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基坑周边设置夜间警示灯。护栏外侧悬挂“临边危险，注意安全”提示牌，内侧悬挂“小心坍塌”提示牌。</w:t>
      </w:r>
    </w:p>
    <w:p>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4118610" cy="2084705"/>
            <wp:effectExtent l="0" t="0" r="0" b="0"/>
            <wp:docPr id="14" name="图片 14" descr="1583994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58399497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118610" cy="208470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82" w:name="_Toc44492645"/>
      <w:bookmarkStart w:id="983" w:name="_Toc8940"/>
      <w:bookmarkStart w:id="984" w:name="_Toc31625"/>
      <w:r>
        <w:rPr>
          <w:color w:val="000000" w:themeColor="text1"/>
          <w:sz w:val="24"/>
          <w:szCs w:val="24"/>
          <w14:textFill>
            <w14:solidFill>
              <w14:schemeClr w14:val="tx1"/>
            </w14:solidFill>
          </w14:textFill>
        </w:rPr>
        <w:t xml:space="preserve">2.5 </w:t>
      </w:r>
      <w:r>
        <w:rPr>
          <w:rFonts w:hint="eastAsia"/>
          <w:color w:val="000000" w:themeColor="text1"/>
          <w:sz w:val="24"/>
          <w:szCs w:val="24"/>
          <w14:textFill>
            <w14:solidFill>
              <w14:schemeClr w14:val="tx1"/>
            </w14:solidFill>
          </w14:textFill>
        </w:rPr>
        <w:t>楼层边、阳台边、屋面边安全防护</w:t>
      </w:r>
      <w:bookmarkEnd w:id="982"/>
      <w:bookmarkEnd w:id="983"/>
      <w:bookmarkEnd w:id="984"/>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楼层临边、阳台边、屋面临边护栏采用定型化防护栏，定型化防护栏必须与结构主体结构采用螺栓的方式进行固定。</w:t>
      </w:r>
    </w:p>
    <w:p>
      <w:pPr>
        <w:spacing w:line="360" w:lineRule="auto"/>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drawing>
          <wp:inline distT="0" distB="0" distL="0" distR="0">
            <wp:extent cx="2399665" cy="159448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399665" cy="159448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85" w:name="_Toc25461"/>
      <w:bookmarkStart w:id="986" w:name="_Toc44492646"/>
      <w:bookmarkStart w:id="987" w:name="_Toc10716"/>
      <w:r>
        <w:rPr>
          <w:color w:val="000000" w:themeColor="text1"/>
          <w:sz w:val="24"/>
          <w:szCs w:val="24"/>
          <w14:textFill>
            <w14:solidFill>
              <w14:schemeClr w14:val="tx1"/>
            </w14:solidFill>
          </w14:textFill>
        </w:rPr>
        <w:t xml:space="preserve">2.6 </w:t>
      </w:r>
      <w:r>
        <w:rPr>
          <w:rFonts w:hint="eastAsia"/>
          <w:color w:val="000000" w:themeColor="text1"/>
          <w:sz w:val="24"/>
          <w:szCs w:val="24"/>
          <w14:textFill>
            <w14:solidFill>
              <w14:schemeClr w14:val="tx1"/>
            </w14:solidFill>
          </w14:textFill>
        </w:rPr>
        <w:t>楼梯安全防护</w:t>
      </w:r>
      <w:bookmarkEnd w:id="985"/>
      <w:bookmarkEnd w:id="986"/>
      <w:bookmarkEnd w:id="987"/>
    </w:p>
    <w:p>
      <w:pPr>
        <w:spacing w:line="360" w:lineRule="auto"/>
        <w:ind w:firstLine="48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分层施工的楼梯口和梯段边，必须安装临时防护栏杆和踢脚板；防护栏杆应搭设两道，第一道栏杆离地1200mm，第二道栏杆离地600mm；立杆高度 1</w:t>
      </w:r>
      <w:r>
        <w:rPr>
          <w:color w:val="000000" w:themeColor="text1"/>
          <w:sz w:val="24"/>
          <w14:textFill>
            <w14:solidFill>
              <w14:schemeClr w14:val="tx1"/>
            </w14:solidFill>
          </w14:textFill>
        </w:rPr>
        <w:t>2</w:t>
      </w:r>
      <w:r>
        <w:rPr>
          <w:rFonts w:hint="eastAsia"/>
          <w:color w:val="000000" w:themeColor="text1"/>
          <w:sz w:val="24"/>
          <w14:textFill>
            <w14:solidFill>
              <w14:schemeClr w14:val="tx1"/>
            </w14:solidFill>
          </w14:textFill>
        </w:rPr>
        <w:t>00mm，立杆间距不大于2000mm；踢脚板高度为200mm，红白相间，相间尺寸为200mm；楼梯防护栏杆油漆为红白相间，相间尺寸为400mm，楼梯转角处采用定型防护；独立楼梯，若两边均无有效遮挡，则两边均应设置防护栏杆和踢脚板。</w:t>
      </w:r>
    </w:p>
    <w:p>
      <w:pPr>
        <w:spacing w:line="360" w:lineRule="auto"/>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drawing>
          <wp:inline distT="0" distB="0" distL="0" distR="0">
            <wp:extent cx="2157730" cy="147066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157730" cy="1470660"/>
                    </a:xfrm>
                    <a:prstGeom prst="rect">
                      <a:avLst/>
                    </a:prstGeom>
                    <a:noFill/>
                    <a:ln>
                      <a:noFill/>
                    </a:ln>
                  </pic:spPr>
                </pic:pic>
              </a:graphicData>
            </a:graphic>
          </wp:inline>
        </w:drawing>
      </w:r>
    </w:p>
    <w:p>
      <w:pPr>
        <w:spacing w:line="360" w:lineRule="auto"/>
        <w:ind w:firstLine="480"/>
        <w:rPr>
          <w:b/>
          <w:color w:val="000000" w:themeColor="text1"/>
          <w:sz w:val="24"/>
          <w14:textFill>
            <w14:solidFill>
              <w14:schemeClr w14:val="tx1"/>
            </w14:solidFill>
          </w14:textFill>
        </w:rPr>
      </w:pPr>
      <w:r>
        <w:rPr>
          <w:b/>
          <w:color w:val="000000" w:themeColor="text1"/>
          <w:sz w:val="24"/>
          <w14:textFill>
            <w14:solidFill>
              <w14:schemeClr w14:val="tx1"/>
            </w14:solidFill>
          </w14:textFill>
        </w:rPr>
        <w:drawing>
          <wp:inline distT="0" distB="0" distL="0" distR="0">
            <wp:extent cx="4900930" cy="2333625"/>
            <wp:effectExtent l="0" t="0" r="0" b="0"/>
            <wp:docPr id="17" name="图片 17" descr="1583996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8399674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900930" cy="233362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88" w:name="_Toc19538"/>
      <w:bookmarkStart w:id="989" w:name="_Toc31618"/>
      <w:bookmarkStart w:id="990" w:name="_Toc44492647"/>
      <w:r>
        <w:rPr>
          <w:color w:val="000000" w:themeColor="text1"/>
          <w:sz w:val="24"/>
          <w:szCs w:val="24"/>
          <w14:textFill>
            <w14:solidFill>
              <w14:schemeClr w14:val="tx1"/>
            </w14:solidFill>
          </w14:textFill>
        </w:rPr>
        <w:t>2.7 安全通道防护棚</w:t>
      </w:r>
      <w:bookmarkEnd w:id="988"/>
      <w:bookmarkEnd w:id="989"/>
      <w:bookmarkEnd w:id="990"/>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主通道或施工电梯首层入口搭设安全通道防护棚，防护棚两侧需悬挂宣传横幅，施工电梯安装验收牌必须设置在醒目位置，内容包括：设备概括、电梯限载、安装验收信息、安全操作规程、岗位职责等；尺寸为：宽×高=3000mm×1500mm。施工升降机额定载重量、额定乘员数标牌应置于吊笼内醒目位置。</w:t>
      </w:r>
    </w:p>
    <w:p>
      <w:pPr>
        <w:spacing w:line="360" w:lineRule="auto"/>
        <w:rPr>
          <w:rFonts w:ascii="宋体" w:hAnsi="宋体"/>
          <w:color w:val="000000" w:themeColor="text1"/>
          <w:sz w:val="2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drawing>
          <wp:inline distT="0" distB="0" distL="0" distR="0">
            <wp:extent cx="1843405" cy="1960245"/>
            <wp:effectExtent l="0" t="0" r="0" b="0"/>
            <wp:docPr id="18" name="图片 18" descr="C:\Users\王虎\Desktop\新建文件夹\安全通道防护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王虎\Desktop\新建文件夹\安全通道防护棚.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843405" cy="1960245"/>
                    </a:xfrm>
                    <a:prstGeom prst="rect">
                      <a:avLst/>
                    </a:prstGeom>
                    <a:noFill/>
                    <a:ln>
                      <a:noFill/>
                    </a:ln>
                  </pic:spPr>
                </pic:pic>
              </a:graphicData>
            </a:graphic>
          </wp:inline>
        </w:drawing>
      </w:r>
      <w:r>
        <w:rPr>
          <w:rFonts w:ascii="仿宋_GB2312" w:eastAsia="仿宋_GB2312"/>
          <w:color w:val="000000" w:themeColor="text1"/>
          <w:sz w:val="32"/>
          <w:szCs w:val="32"/>
          <w14:textFill>
            <w14:solidFill>
              <w14:schemeClr w14:val="tx1"/>
            </w14:solidFill>
          </w14:textFill>
        </w:rPr>
        <w:t xml:space="preserve"> </w:t>
      </w:r>
      <w:r>
        <w:rPr>
          <w:rFonts w:ascii="仿宋_GB2312" w:hAnsi="等线" w:eastAsia="仿宋_GB2312"/>
          <w:color w:val="000000" w:themeColor="text1"/>
          <w:sz w:val="32"/>
          <w:szCs w:val="32"/>
          <w14:textFill>
            <w14:solidFill>
              <w14:schemeClr w14:val="tx1"/>
            </w14:solidFill>
          </w14:textFill>
        </w:rPr>
        <w:drawing>
          <wp:inline distT="0" distB="0" distL="0" distR="0">
            <wp:extent cx="3350260" cy="1982470"/>
            <wp:effectExtent l="0" t="0" r="0" b="0"/>
            <wp:docPr id="19" name="图片 19" descr="1517757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51775760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350260" cy="1982470"/>
                    </a:xfrm>
                    <a:prstGeom prst="rect">
                      <a:avLst/>
                    </a:prstGeom>
                    <a:noFill/>
                    <a:ln>
                      <a:noFill/>
                    </a:ln>
                  </pic:spPr>
                </pic:pic>
              </a:graphicData>
            </a:graphic>
          </wp:inline>
        </w:drawing>
      </w:r>
    </w:p>
    <w:p>
      <w:pPr>
        <w:spacing w:line="360" w:lineRule="auto"/>
        <w:ind w:firstLine="600" w:firstLineChars="25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各楼层施工电梯平台两扇门中间、侧面需全部封闭，封闭材料使用定型式栏杆及钢网，喷楼层数标志。</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91" w:name="_Toc44492648"/>
      <w:bookmarkStart w:id="992" w:name="_Toc13727"/>
      <w:bookmarkStart w:id="993" w:name="_Toc12937"/>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 xml:space="preserve">.4 </w:t>
      </w:r>
      <w:r>
        <w:rPr>
          <w:rFonts w:hint="eastAsia"/>
          <w:color w:val="000000" w:themeColor="text1"/>
          <w:sz w:val="24"/>
          <w:szCs w:val="24"/>
          <w14:textFill>
            <w14:solidFill>
              <w14:schemeClr w14:val="tx1"/>
            </w14:solidFill>
          </w14:textFill>
        </w:rPr>
        <w:t>钢筋加工棚</w:t>
      </w:r>
      <w:bookmarkEnd w:id="991"/>
      <w:bookmarkEnd w:id="992"/>
      <w:bookmarkEnd w:id="993"/>
    </w:p>
    <w:p>
      <w:pPr>
        <w:spacing w:line="360" w:lineRule="auto"/>
        <w:ind w:firstLine="600" w:firstLineChars="250"/>
        <w:jc w:val="center"/>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钢筋加工棚采用定型化加工棚，按T字形设置。地面需要硬化，立柱基础浇筑700*700*700mmC20混凝土，预埋300*300*12mm钢板，基础螺栓为M40，埋深500mm，地脚螺栓外露扣长100mm。立柱采用120x120x8mm方管，立柱间距6m，高4米，涂刷防锈漆。屋架结构采用100x100x5mm方管焊接，与钢柱通过插接加螺栓连接形成整体，钢架上设置C120*50*20*2.5屋面檩条，间距900mm，上铺设0.6mm单层屋面板。在钢架上平铺 50mm木板作为防砸措施。</w:t>
      </w:r>
      <w:r>
        <w:rPr>
          <w:rFonts w:ascii="宋体" w:hAnsi="宋体"/>
          <w:color w:val="000000" w:themeColor="text1"/>
          <w:sz w:val="24"/>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2267585" cy="144843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267585" cy="144843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94" w:name="_Toc44492649"/>
      <w:bookmarkStart w:id="995" w:name="_Toc21870"/>
      <w:bookmarkStart w:id="996" w:name="_Toc4812"/>
      <w:r>
        <w:rPr>
          <w:color w:val="000000" w:themeColor="text1"/>
          <w:sz w:val="24"/>
          <w:szCs w:val="24"/>
          <w14:textFill>
            <w14:solidFill>
              <w14:schemeClr w14:val="tx1"/>
            </w14:solidFill>
          </w14:textFill>
        </w:rPr>
        <w:t>2.</w:t>
      </w:r>
      <w:r>
        <w:rPr>
          <w:rFonts w:hint="eastAsia"/>
          <w:color w:val="000000" w:themeColor="text1"/>
          <w:sz w:val="24"/>
          <w:szCs w:val="24"/>
          <w14:textFill>
            <w14:solidFill>
              <w14:schemeClr w14:val="tx1"/>
            </w14:solidFill>
          </w14:textFill>
        </w:rPr>
        <w:t>8 施工临时</w:t>
      </w:r>
      <w:r>
        <w:rPr>
          <w:color w:val="000000" w:themeColor="text1"/>
          <w:sz w:val="24"/>
          <w:szCs w:val="24"/>
          <w14:textFill>
            <w14:solidFill>
              <w14:schemeClr w14:val="tx1"/>
            </w14:solidFill>
          </w14:textFill>
        </w:rPr>
        <w:t>用电</w:t>
      </w:r>
      <w:bookmarkEnd w:id="994"/>
      <w:bookmarkEnd w:id="995"/>
      <w:bookmarkEnd w:id="996"/>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总配电箱和二级配电箱要设置防护棚（防护栅栏），防护棚可采用方钢或圆钢制作，稳固安置在混凝土承台上，配电箱防护栅栏刷红白相间警戒色，防护棚外立面挂安全警示标语。</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2955290" cy="1828800"/>
            <wp:effectExtent l="0" t="0" r="0" b="0"/>
            <wp:docPr id="21" name="图片 21" descr="1583999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583999497(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955290" cy="1828800"/>
                    </a:xfrm>
                    <a:prstGeom prst="rect">
                      <a:avLst/>
                    </a:prstGeom>
                    <a:noFill/>
                    <a:ln>
                      <a:noFill/>
                    </a:ln>
                  </pic:spPr>
                </pic:pic>
              </a:graphicData>
            </a:graphic>
          </wp:inline>
        </w:drawing>
      </w:r>
      <w:r>
        <w:rPr>
          <w:rFonts w:ascii="宋体" w:hAnsi="宋体"/>
          <w:color w:val="000000" w:themeColor="text1"/>
          <w:sz w:val="24"/>
          <w14:textFill>
            <w14:solidFill>
              <w14:schemeClr w14:val="tx1"/>
            </w14:solidFill>
          </w14:textFill>
        </w:rPr>
        <w:drawing>
          <wp:inline distT="0" distB="0" distL="0" distR="0">
            <wp:extent cx="2319020" cy="1748155"/>
            <wp:effectExtent l="0" t="0" r="0" b="0"/>
            <wp:docPr id="22" name="图片 22" descr="0b0533db2a647adee43ec2ea8e340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b0533db2a647adee43ec2ea8e340e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319020" cy="174815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997" w:name="_Toc20135"/>
      <w:bookmarkStart w:id="998" w:name="_Toc44492650"/>
      <w:bookmarkStart w:id="999" w:name="_Toc1109"/>
      <w:r>
        <w:rPr>
          <w:rFonts w:hint="eastAsia"/>
          <w:color w:val="000000" w:themeColor="text1"/>
          <w:sz w:val="24"/>
          <w:szCs w:val="24"/>
          <w14:textFill>
            <w14:solidFill>
              <w14:schemeClr w14:val="tx1"/>
            </w14:solidFill>
          </w14:textFill>
        </w:rPr>
        <w:t>2.9施工机具安全防护</w:t>
      </w:r>
      <w:bookmarkEnd w:id="997"/>
      <w:bookmarkEnd w:id="998"/>
      <w:bookmarkEnd w:id="999"/>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施工机具应符合国标要求，配有设备开关，应设有漏电保护装置。</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2.9.1圆盘锯安全防护</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锯片不得有裂口和裂纹，不得有</w:t>
      </w:r>
      <w:r>
        <w:rPr>
          <w:rFonts w:ascii="宋体" w:hAnsi="宋体"/>
          <w:color w:val="000000" w:themeColor="text1"/>
          <w:sz w:val="24"/>
          <w14:textFill>
            <w14:solidFill>
              <w14:schemeClr w14:val="tx1"/>
            </w14:solidFill>
          </w14:textFill>
        </w:rPr>
        <w:t>2</w:t>
      </w:r>
      <w:r>
        <w:rPr>
          <w:rFonts w:hint="eastAsia" w:ascii="宋体" w:hAnsi="宋体"/>
          <w:color w:val="000000" w:themeColor="text1"/>
          <w:sz w:val="24"/>
          <w14:textFill>
            <w14:solidFill>
              <w14:schemeClr w14:val="tx1"/>
            </w14:solidFill>
          </w14:textFill>
        </w:rPr>
        <w:t>个及以上连续缺齿，圆盘锯应装设分料斗。锯片上方应设置防护罩和防护挡板。锯片旋转方向应正确，转速应稳定。应采用单向控制按钮开关，不得使用顺倒开关。防护罩离台面</w:t>
      </w:r>
      <w:r>
        <w:rPr>
          <w:rFonts w:ascii="宋体" w:hAnsi="宋体"/>
          <w:color w:val="000000" w:themeColor="text1"/>
          <w:sz w:val="24"/>
          <w14:textFill>
            <w14:solidFill>
              <w14:schemeClr w14:val="tx1"/>
            </w14:solidFill>
          </w14:textFill>
        </w:rPr>
        <w:t>150mm</w:t>
      </w:r>
      <w:r>
        <w:rPr>
          <w:rFonts w:hint="eastAsia" w:ascii="宋体" w:hAnsi="宋体"/>
          <w:color w:val="000000" w:themeColor="text1"/>
          <w:sz w:val="24"/>
          <w14:textFill>
            <w14:solidFill>
              <w14:schemeClr w14:val="tx1"/>
            </w14:solidFill>
          </w14:textFill>
        </w:rPr>
        <w:t>高，采用</w:t>
      </w:r>
      <w:r>
        <w:rPr>
          <w:rFonts w:ascii="宋体" w:hAnsi="宋体"/>
          <w:color w:val="000000" w:themeColor="text1"/>
          <w:sz w:val="24"/>
          <w14:textFill>
            <w14:solidFill>
              <w14:schemeClr w14:val="tx1"/>
            </w14:solidFill>
          </w14:textFill>
        </w:rPr>
        <w:t>0.8mm</w:t>
      </w:r>
      <w:r>
        <w:rPr>
          <w:rFonts w:hint="eastAsia" w:ascii="宋体" w:hAnsi="宋体"/>
          <w:color w:val="000000" w:themeColor="text1"/>
          <w:sz w:val="24"/>
          <w14:textFill>
            <w14:solidFill>
              <w14:schemeClr w14:val="tx1"/>
            </w14:solidFill>
          </w14:textFill>
        </w:rPr>
        <w:t>厚钢板，红白相间警示油漆间距</w:t>
      </w:r>
      <w:r>
        <w:rPr>
          <w:rFonts w:ascii="宋体" w:hAnsi="宋体"/>
          <w:color w:val="000000" w:themeColor="text1"/>
          <w:sz w:val="24"/>
          <w14:textFill>
            <w14:solidFill>
              <w14:schemeClr w14:val="tx1"/>
            </w14:solidFill>
          </w14:textFill>
        </w:rPr>
        <w:t>200mm</w:t>
      </w:r>
      <w:r>
        <w:rPr>
          <w:rFonts w:hint="eastAsia" w:ascii="宋体" w:hAnsi="宋体"/>
          <w:color w:val="000000" w:themeColor="text1"/>
          <w:sz w:val="24"/>
          <w14:textFill>
            <w14:solidFill>
              <w14:schemeClr w14:val="tx1"/>
            </w14:solidFill>
          </w14:textFill>
        </w:rPr>
        <w:t>，分料器采用</w:t>
      </w:r>
      <w:r>
        <w:rPr>
          <w:rFonts w:ascii="宋体" w:hAnsi="宋体"/>
          <w:color w:val="000000" w:themeColor="text1"/>
          <w:sz w:val="24"/>
          <w14:textFill>
            <w14:solidFill>
              <w14:schemeClr w14:val="tx1"/>
            </w14:solidFill>
          </w14:textFill>
        </w:rPr>
        <w:t>100mm</w:t>
      </w:r>
      <w:r>
        <w:rPr>
          <w:rFonts w:hint="eastAsia" w:ascii="宋体" w:hAnsi="宋体"/>
          <w:color w:val="000000" w:themeColor="text1"/>
          <w:sz w:val="24"/>
          <w14:textFill>
            <w14:solidFill>
              <w14:schemeClr w14:val="tx1"/>
            </w14:solidFill>
          </w14:textFill>
        </w:rPr>
        <w:t>宽锯片。</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1967865" cy="1806575"/>
            <wp:effectExtent l="0" t="0" r="0" b="0"/>
            <wp:docPr id="23" name="图片 23" descr="1583999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583999768(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967865" cy="1806575"/>
                    </a:xfrm>
                    <a:prstGeom prst="rect">
                      <a:avLst/>
                    </a:prstGeom>
                    <a:noFill/>
                    <a:ln>
                      <a:noFill/>
                    </a:ln>
                  </pic:spPr>
                </pic:pic>
              </a:graphicData>
            </a:graphic>
          </wp:inline>
        </w:drawing>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2.9.2钢筋机具安全防护</w:t>
      </w:r>
    </w:p>
    <w:p>
      <w:pPr>
        <w:spacing w:line="360" w:lineRule="auto"/>
        <w:ind w:firstLine="465"/>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安全防护装置应齐全可靠，防护罩或防护板安装应牢固，不应破损。接零应符合用电规定。漏电保护器参数应匹配，安装应正确，动作应灵敏可靠；电气保护装置应齐全有效。机械齿轮、皮带轮等高速运转部分，必须安装防护罩或防护板。弯曲机、切断机要有基础座，钢筋机具传动部分要有可靠的防护罩，并刷红白相间警示油漆，间距</w:t>
      </w:r>
      <w:r>
        <w:rPr>
          <w:rFonts w:ascii="宋体" w:hAnsi="宋体"/>
          <w:color w:val="000000" w:themeColor="text1"/>
          <w:sz w:val="24"/>
          <w14:textFill>
            <w14:solidFill>
              <w14:schemeClr w14:val="tx1"/>
            </w14:solidFill>
          </w14:textFill>
        </w:rPr>
        <w:t>200mm</w:t>
      </w:r>
      <w:r>
        <w:rPr>
          <w:rFonts w:hint="eastAsia" w:ascii="宋体" w:hAnsi="宋体"/>
          <w:color w:val="000000" w:themeColor="text1"/>
          <w:sz w:val="24"/>
          <w14:textFill>
            <w14:solidFill>
              <w14:schemeClr w14:val="tx1"/>
            </w14:solidFill>
          </w14:textFill>
        </w:rPr>
        <w:t>。</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3840480" cy="1390015"/>
            <wp:effectExtent l="0" t="0" r="0" b="0"/>
            <wp:docPr id="24" name="图片 24" descr="1583999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58399985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840480" cy="1390015"/>
                    </a:xfrm>
                    <a:prstGeom prst="rect">
                      <a:avLst/>
                    </a:prstGeom>
                    <a:noFill/>
                    <a:ln>
                      <a:noFill/>
                    </a:ln>
                  </pic:spPr>
                </pic:pic>
              </a:graphicData>
            </a:graphic>
          </wp:inline>
        </w:drawing>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2.9.3砂浆机安全防护</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砂浆机械应有良好的设备基础。移动式砂浆机械应安放在平坦坚实的地坪上。砂浆机械在生产过程中产生的噪声应控制在国家标准《建筑施工场界环境噪声排放标准》GB 12523范围内，其粉尘和固体废弃物排放应符合国家现行相关标准的规定。</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（1）电动机的碳刷与滑环接触应良好，转动中不应有异响、漏电，绝缘性能应符合使用说明书规定，绝缘电阻值不应小于0.5MΩ。</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（2）在运转中电动机轴承允许最高温度取值为：滑动轴承80℃，滚动轴承95℃；正常温度取值应为：滑动轴承40℃，滚动轴承55℃。传动部分要有可靠的防护罩，并刷红白相间警示油漆，间距200mm，要有排水沟。</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2677160" cy="2150745"/>
            <wp:effectExtent l="0" t="0" r="0" b="0"/>
            <wp:docPr id="25" name="图片 25" descr="1583999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583999959(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677160" cy="2150745"/>
                    </a:xfrm>
                    <a:prstGeom prst="rect">
                      <a:avLst/>
                    </a:prstGeom>
                    <a:noFill/>
                    <a:ln>
                      <a:noFill/>
                    </a:ln>
                  </pic:spPr>
                </pic:pic>
              </a:graphicData>
            </a:graphic>
          </wp:inline>
        </w:drawing>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2.9.4电焊机安全防护</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现场使用的电焊机，应设有防雨、防潮、防晒、防砸的机棚，并应装设相应的消防器材。焊接区域及焊渣飞溅范围内不得放置易燃易爆物品。</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（1）电焊机导线应具有良好的绝缘，绝缘电阻不得小于0.5MΩ，接地线接地电阻不得大于4Ω；接地部分不得有腐蚀和受潮。</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电焊机一次线长度不超过5m，二次线长度不超过30m，电焊机必须设有单独的电源开关和自动断电装置，应配装二次侧空载降压器。两侧接线应压接牢固，必须安装可靠防护罩。安全防护罩应齐全有效；漏电保护器参数应匹配，安装应正确，动作应灵敏可靠；接零应良好。</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3）电焊机要求制作专用小车，骨架采用L40角钢焊接制作，骨架内钢筋直径为φ14～φ16，竖向钢筋间距不大于150mm，居中位置设置钢筋门，上锁，四角焊接φ16钢筋吊环，屋盖采用镀锌铁皮瓦，均刷红白相间警示油漆间距400mm。露天冒雨不得从事电焊作业。</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1909445" cy="1997075"/>
            <wp:effectExtent l="0" t="0" r="0" b="0"/>
            <wp:docPr id="26" name="图片 26" descr="1584000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8400007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909445" cy="1997075"/>
                    </a:xfrm>
                    <a:prstGeom prst="rect">
                      <a:avLst/>
                    </a:prstGeom>
                    <a:noFill/>
                    <a:ln>
                      <a:noFill/>
                    </a:ln>
                  </pic:spPr>
                </pic:pic>
              </a:graphicData>
            </a:graphic>
          </wp:inline>
        </w:drawing>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2.9.5泵送管道固定架</w:t>
      </w:r>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适用场所：用于泵送管道拐弯处固定。材料：采用φ</w:t>
      </w:r>
      <w:r>
        <w:rPr>
          <w:rFonts w:ascii="宋体" w:hAnsi="宋体"/>
          <w:color w:val="000000" w:themeColor="text1"/>
          <w:sz w:val="24"/>
          <w14:textFill>
            <w14:solidFill>
              <w14:schemeClr w14:val="tx1"/>
            </w14:solidFill>
          </w14:textFill>
        </w:rPr>
        <w:t>48X3.5</w:t>
      </w:r>
      <w:r>
        <w:rPr>
          <w:rFonts w:hint="eastAsia" w:ascii="宋体" w:hAnsi="宋体"/>
          <w:color w:val="000000" w:themeColor="text1"/>
          <w:sz w:val="24"/>
          <w14:textFill>
            <w14:solidFill>
              <w14:schemeClr w14:val="tx1"/>
            </w14:solidFill>
          </w14:textFill>
        </w:rPr>
        <w:t>钢管。</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1916430" cy="1660525"/>
            <wp:effectExtent l="0" t="0" r="0" b="0"/>
            <wp:docPr id="27" name="图片 27" descr="1584000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584000176(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916430" cy="1660525"/>
                    </a:xfrm>
                    <a:prstGeom prst="rect">
                      <a:avLst/>
                    </a:prstGeom>
                    <a:noFill/>
                    <a:ln>
                      <a:noFill/>
                    </a:ln>
                  </pic:spPr>
                </pic:pic>
              </a:graphicData>
            </a:graphic>
          </wp:inline>
        </w:drawing>
      </w:r>
    </w:p>
    <w:p>
      <w:pPr>
        <w:pStyle w:val="4"/>
        <w:spacing w:before="100" w:beforeAutospacing="1" w:after="100" w:afterAutospacing="1" w:line="360" w:lineRule="auto"/>
        <w:rPr>
          <w:color w:val="000000" w:themeColor="text1"/>
          <w:sz w:val="28"/>
          <w:szCs w:val="24"/>
          <w14:textFill>
            <w14:solidFill>
              <w14:schemeClr w14:val="tx1"/>
            </w14:solidFill>
          </w14:textFill>
        </w:rPr>
      </w:pPr>
      <w:bookmarkStart w:id="1000" w:name="_Toc10315"/>
      <w:bookmarkStart w:id="1001" w:name="_Toc44492651"/>
      <w:bookmarkStart w:id="1002" w:name="_Toc32545"/>
      <w:r>
        <w:rPr>
          <w:rFonts w:hint="eastAsia"/>
          <w:color w:val="000000" w:themeColor="text1"/>
          <w:sz w:val="28"/>
          <w:szCs w:val="24"/>
          <w14:textFill>
            <w14:solidFill>
              <w14:schemeClr w14:val="tx1"/>
            </w14:solidFill>
          </w14:textFill>
        </w:rPr>
        <w:t>三、施工区域</w:t>
      </w:r>
      <w:bookmarkEnd w:id="1000"/>
      <w:bookmarkEnd w:id="1001"/>
      <w:bookmarkEnd w:id="1002"/>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03" w:name="_Toc1049"/>
      <w:bookmarkStart w:id="1004" w:name="_Toc44492652"/>
      <w:bookmarkStart w:id="1005" w:name="_Toc26371"/>
      <w:r>
        <w:rPr>
          <w:color w:val="000000" w:themeColor="text1"/>
          <w:sz w:val="24"/>
          <w:szCs w:val="24"/>
          <w14:textFill>
            <w14:solidFill>
              <w14:schemeClr w14:val="tx1"/>
            </w14:solidFill>
          </w14:textFill>
        </w:rPr>
        <w:t>3</w:t>
      </w:r>
      <w:r>
        <w:rPr>
          <w:rFonts w:hint="eastAsia"/>
          <w:color w:val="000000" w:themeColor="text1"/>
          <w:sz w:val="24"/>
          <w:szCs w:val="24"/>
          <w14:textFill>
            <w14:solidFill>
              <w14:schemeClr w14:val="tx1"/>
            </w14:solidFill>
          </w14:textFill>
        </w:rPr>
        <w:t>.1</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材料堆放</w:t>
      </w:r>
      <w:bookmarkEnd w:id="1003"/>
      <w:bookmarkEnd w:id="1004"/>
      <w:bookmarkEnd w:id="1005"/>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1</w:t>
      </w:r>
      <w:r>
        <w:rPr>
          <w:rFonts w:hint="eastAsia" w:ascii="宋体" w:hAnsi="宋体"/>
          <w:color w:val="000000" w:themeColor="text1"/>
          <w:sz w:val="24"/>
          <w14:textFill>
            <w14:solidFill>
              <w14:schemeClr w14:val="tx1"/>
            </w14:solidFill>
          </w14:textFill>
        </w:rPr>
        <w:t>）施工现场材料、工具等的堆放必须按照总平面图规定的位置放置；材料堆放要整齐，摆放有序，并挂置临时存放标示牌（标牌内容：产品名称、规格、型号、检验状态和产地等）；标示牌挂置要牢固，方向一致，高度相同；根据要求采用固定式或移动式防护栏进行围闭。</w:t>
      </w:r>
    </w:p>
    <w:p>
      <w:pPr>
        <w:spacing w:line="360" w:lineRule="auto"/>
        <w:ind w:firstLine="480" w:firstLineChars="200"/>
        <w:jc w:val="center"/>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（2）材料配件仓库</w:t>
      </w:r>
      <w:r>
        <w:rPr>
          <w:rFonts w:ascii="宋体" w:hAnsi="宋体"/>
          <w:color w:val="000000" w:themeColor="text1"/>
          <w:sz w:val="24"/>
          <w14:textFill>
            <w14:solidFill>
              <w14:schemeClr w14:val="tx1"/>
            </w14:solidFill>
          </w14:textFill>
        </w:rPr>
        <w:t>/</w:t>
      </w:r>
      <w:r>
        <w:rPr>
          <w:rFonts w:hint="eastAsia" w:ascii="宋体" w:hAnsi="宋体"/>
          <w:color w:val="000000" w:themeColor="text1"/>
          <w:sz w:val="24"/>
          <w14:textFill>
            <w14:solidFill>
              <w14:schemeClr w14:val="tx1"/>
            </w14:solidFill>
          </w14:textFill>
        </w:rPr>
        <w:t>应急物资仓库：设置材料配件仓库，货物上架，分类管理，标识清楚，摆放合理有序，台账清楚。应急物资应单独存放，便于取用。</w:t>
      </w:r>
      <w:r>
        <w:rPr>
          <w:rFonts w:ascii="宋体" w:hAnsi="宋体"/>
          <w:color w:val="000000" w:themeColor="text1"/>
          <w:sz w:val="24"/>
          <w14:textFill>
            <w14:solidFill>
              <w14:schemeClr w14:val="tx1"/>
            </w14:solidFill>
          </w14:textFill>
        </w:rPr>
        <w:drawing>
          <wp:inline distT="0" distB="0" distL="0" distR="0">
            <wp:extent cx="2340610" cy="1616710"/>
            <wp:effectExtent l="0" t="0" r="0" b="0"/>
            <wp:docPr id="28" name="图片 28" descr="1584001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58400101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340610" cy="1616710"/>
                    </a:xfrm>
                    <a:prstGeom prst="rect">
                      <a:avLst/>
                    </a:prstGeom>
                    <a:noFill/>
                    <a:ln>
                      <a:noFill/>
                    </a:ln>
                  </pic:spPr>
                </pic:pic>
              </a:graphicData>
            </a:graphic>
          </wp:inline>
        </w:drawing>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（3）模板木方堆放</w:t>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材料堆放高度不得超过</w:t>
      </w:r>
      <w:r>
        <w:rPr>
          <w:rFonts w:ascii="宋体" w:hAnsi="宋体"/>
          <w:color w:val="000000" w:themeColor="text1"/>
          <w:sz w:val="24"/>
          <w14:textFill>
            <w14:solidFill>
              <w14:schemeClr w14:val="tx1"/>
            </w14:solidFill>
          </w14:textFill>
        </w:rPr>
        <w:t>1.6m</w:t>
      </w:r>
      <w:r>
        <w:rPr>
          <w:rFonts w:hint="eastAsia" w:ascii="宋体" w:hAnsi="宋体"/>
          <w:color w:val="000000" w:themeColor="text1"/>
          <w:sz w:val="24"/>
          <w14:textFill>
            <w14:solidFill>
              <w14:schemeClr w14:val="tx1"/>
            </w14:solidFill>
          </w14:textFill>
        </w:rPr>
        <w:t>，并且高度不得大于长度。模板木方应该架空堆放，架空高度不得少于</w:t>
      </w:r>
      <w:r>
        <w:rPr>
          <w:rFonts w:ascii="宋体" w:hAnsi="宋体"/>
          <w:color w:val="000000" w:themeColor="text1"/>
          <w:sz w:val="24"/>
          <w14:textFill>
            <w14:solidFill>
              <w14:schemeClr w14:val="tx1"/>
            </w14:solidFill>
          </w14:textFill>
        </w:rPr>
        <w:t>100mm</w:t>
      </w:r>
      <w:r>
        <w:rPr>
          <w:rFonts w:hint="eastAsia" w:ascii="宋体" w:hAnsi="宋体"/>
          <w:color w:val="000000" w:themeColor="text1"/>
          <w:sz w:val="24"/>
          <w14:textFill>
            <w14:solidFill>
              <w14:schemeClr w14:val="tx1"/>
            </w14:solidFill>
          </w14:textFill>
        </w:rPr>
        <w:t>。模板垫木沿模板短方向布置，间距不能超过</w:t>
      </w:r>
      <w:r>
        <w:rPr>
          <w:rFonts w:ascii="宋体" w:hAnsi="宋体"/>
          <w:color w:val="000000" w:themeColor="text1"/>
          <w:sz w:val="24"/>
          <w14:textFill>
            <w14:solidFill>
              <w14:schemeClr w14:val="tx1"/>
            </w14:solidFill>
          </w14:textFill>
        </w:rPr>
        <w:t>600mm</w:t>
      </w:r>
      <w:r>
        <w:rPr>
          <w:rFonts w:hint="eastAsia" w:ascii="宋体" w:hAnsi="宋体"/>
          <w:color w:val="000000" w:themeColor="text1"/>
          <w:sz w:val="24"/>
          <w14:textFill>
            <w14:solidFill>
              <w14:schemeClr w14:val="tx1"/>
            </w14:solidFill>
          </w14:textFill>
        </w:rPr>
        <w:t>，模板两端悬空长度不得超过</w:t>
      </w:r>
      <w:r>
        <w:rPr>
          <w:rFonts w:ascii="宋体" w:hAnsi="宋体"/>
          <w:color w:val="000000" w:themeColor="text1"/>
          <w:sz w:val="24"/>
          <w14:textFill>
            <w14:solidFill>
              <w14:schemeClr w14:val="tx1"/>
            </w14:solidFill>
          </w14:textFill>
        </w:rPr>
        <w:t>100mm</w:t>
      </w:r>
      <w:r>
        <w:rPr>
          <w:rFonts w:hint="eastAsia" w:ascii="宋体" w:hAnsi="宋体"/>
          <w:color w:val="000000" w:themeColor="text1"/>
          <w:sz w:val="24"/>
          <w14:textFill>
            <w14:solidFill>
              <w14:schemeClr w14:val="tx1"/>
            </w14:solidFill>
          </w14:textFill>
        </w:rPr>
        <w:t>，拼装好的大模板堆放高度不超过六层。木方堆放时，木方与垫木应相互垂直。模板木方堆放应远离动火作业区域。</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2443480" cy="1718945"/>
            <wp:effectExtent l="0" t="0" r="0" b="0"/>
            <wp:docPr id="29" name="图片 29" descr="1584001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58400111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443480" cy="1718945"/>
                    </a:xfrm>
                    <a:prstGeom prst="rect">
                      <a:avLst/>
                    </a:prstGeom>
                    <a:noFill/>
                    <a:ln>
                      <a:noFill/>
                    </a:ln>
                  </pic:spPr>
                </pic:pic>
              </a:graphicData>
            </a:graphic>
          </wp:inline>
        </w:drawing>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（4）钢管堆放</w:t>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钢管堆放应搭设钢管搁置架，底部应找平，上部要设拉结钢管，高度不应超过</w:t>
      </w:r>
      <w:r>
        <w:rPr>
          <w:rFonts w:ascii="宋体" w:hAnsi="宋体"/>
          <w:color w:val="000000" w:themeColor="text1"/>
          <w:sz w:val="24"/>
          <w14:textFill>
            <w14:solidFill>
              <w14:schemeClr w14:val="tx1"/>
            </w14:solidFill>
          </w14:textFill>
        </w:rPr>
        <w:t>1.6m</w:t>
      </w:r>
      <w:r>
        <w:rPr>
          <w:rFonts w:hint="eastAsia" w:ascii="宋体" w:hAnsi="宋体"/>
          <w:color w:val="000000" w:themeColor="text1"/>
          <w:sz w:val="24"/>
          <w14:textFill>
            <w14:solidFill>
              <w14:schemeClr w14:val="tx1"/>
            </w14:solidFill>
          </w14:textFill>
        </w:rPr>
        <w:t>，并应按长度分类堆放。</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2186940" cy="1587500"/>
            <wp:effectExtent l="0" t="0" r="0" b="0"/>
            <wp:docPr id="30" name="图片 30"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186940" cy="1587500"/>
                    </a:xfrm>
                    <a:prstGeom prst="rect">
                      <a:avLst/>
                    </a:prstGeom>
                    <a:noFill/>
                    <a:ln>
                      <a:noFill/>
                    </a:ln>
                  </pic:spPr>
                </pic:pic>
              </a:graphicData>
            </a:graphic>
          </wp:inline>
        </w:drawing>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（5）钢筋堆放</w:t>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钢筋堆放区要求场地硬化、地面无积水，堆放限高≤</w:t>
      </w:r>
      <w:r>
        <w:rPr>
          <w:rFonts w:ascii="宋体" w:hAnsi="宋体"/>
          <w:color w:val="000000" w:themeColor="text1"/>
          <w:sz w:val="24"/>
          <w14:textFill>
            <w14:solidFill>
              <w14:schemeClr w14:val="tx1"/>
            </w14:solidFill>
          </w14:textFill>
        </w:rPr>
        <w:t>1.2m</w:t>
      </w:r>
      <w:r>
        <w:rPr>
          <w:rFonts w:hint="eastAsia" w:ascii="宋体" w:hAnsi="宋体"/>
          <w:color w:val="000000" w:themeColor="text1"/>
          <w:sz w:val="24"/>
          <w14:textFill>
            <w14:solidFill>
              <w14:schemeClr w14:val="tx1"/>
            </w14:solidFill>
          </w14:textFill>
        </w:rPr>
        <w:t>。不同型号的条形捆扎钢筋用槽钢分隔，每种型号钢筋分别挂设标识牌：标注清楚生产厂家、型号、规格、批号、生产日期、进货日期、检验日期、检验编号、检验状态、责任人等。</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3211195" cy="1433830"/>
            <wp:effectExtent l="0" t="0" r="0" b="0"/>
            <wp:docPr id="31" name="图片 31" descr="1584001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58400173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211195" cy="1433830"/>
                    </a:xfrm>
                    <a:prstGeom prst="rect">
                      <a:avLst/>
                    </a:prstGeom>
                    <a:noFill/>
                    <a:ln>
                      <a:noFill/>
                    </a:ln>
                  </pic:spPr>
                </pic:pic>
              </a:graphicData>
            </a:graphic>
          </wp:inline>
        </w:drawing>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（6）易燃易爆物品现场临时存放</w:t>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易燃易爆物品应使用专用存放设备，落实防晒、防雨措施，杜绝现场人员随意接触的可能。周围要配置相应应急设备设施，悬挂安全警示告知牌。</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1697355" cy="1741170"/>
            <wp:effectExtent l="0" t="0" r="0" b="0"/>
            <wp:docPr id="32" name="图片 32" descr="158400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5840018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697355" cy="1741170"/>
                    </a:xfrm>
                    <a:prstGeom prst="rect">
                      <a:avLst/>
                    </a:prstGeom>
                    <a:noFill/>
                    <a:ln>
                      <a:noFill/>
                    </a:ln>
                  </pic:spPr>
                </pic:pic>
              </a:graphicData>
            </a:graphic>
          </wp:inline>
        </w:drawing>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（7）粉状及桶装材料堆放</w:t>
      </w:r>
    </w:p>
    <w:p>
      <w:pPr>
        <w:spacing w:line="360" w:lineRule="auto"/>
        <w:ind w:firstLine="480" w:firstLineChars="200"/>
        <w:jc w:val="left"/>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水泥、白灰等粉状材料和结构胶、油漆等桶装材料要分期分批存放于干爽的室内仓库。仓库要有足够木枋承托，再用夹板或适当的物料铺面，堆放高度不超过</w:t>
      </w:r>
      <w:r>
        <w:rPr>
          <w:rFonts w:ascii="宋体" w:hAnsi="宋体"/>
          <w:color w:val="000000" w:themeColor="text1"/>
          <w:sz w:val="24"/>
          <w14:textFill>
            <w14:solidFill>
              <w14:schemeClr w14:val="tx1"/>
            </w14:solidFill>
          </w14:textFill>
        </w:rPr>
        <w:t>2m</w:t>
      </w:r>
      <w:r>
        <w:rPr>
          <w:rFonts w:hint="eastAsia" w:ascii="宋体" w:hAnsi="宋体"/>
          <w:color w:val="000000" w:themeColor="text1"/>
          <w:sz w:val="24"/>
          <w14:textFill>
            <w14:solidFill>
              <w14:schemeClr w14:val="tx1"/>
            </w14:solidFill>
          </w14:textFill>
        </w:rPr>
        <w:t>或根据材料特性及楼面承重能力降低堆放高度</w:t>
      </w:r>
      <w:r>
        <w:rPr>
          <w:rFonts w:ascii="宋体" w:hAnsi="宋体"/>
          <w:color w:val="000000" w:themeColor="text1"/>
          <w:sz w:val="24"/>
          <w14:textFill>
            <w14:solidFill>
              <w14:schemeClr w14:val="tx1"/>
            </w14:solidFill>
          </w14:textFill>
        </w:rPr>
        <w:t xml:space="preserve"> (</w:t>
      </w:r>
      <w:r>
        <w:rPr>
          <w:rFonts w:hint="eastAsia" w:ascii="宋体" w:hAnsi="宋体"/>
          <w:color w:val="000000" w:themeColor="text1"/>
          <w:sz w:val="24"/>
          <w14:textFill>
            <w14:solidFill>
              <w14:schemeClr w14:val="tx1"/>
            </w14:solidFill>
          </w14:textFill>
        </w:rPr>
        <w:t>以最低者为准</w:t>
      </w:r>
      <w:r>
        <w:rPr>
          <w:rFonts w:ascii="宋体" w:hAnsi="宋体"/>
          <w:color w:val="000000" w:themeColor="text1"/>
          <w:sz w:val="24"/>
          <w14:textFill>
            <w14:solidFill>
              <w14:schemeClr w14:val="tx1"/>
            </w14:solidFill>
          </w14:textFill>
        </w:rPr>
        <w:t>)</w:t>
      </w:r>
      <w:r>
        <w:rPr>
          <w:rFonts w:hint="eastAsia" w:ascii="宋体" w:hAnsi="宋体"/>
          <w:color w:val="000000" w:themeColor="text1"/>
          <w:sz w:val="24"/>
          <w14:textFill>
            <w14:solidFill>
              <w14:schemeClr w14:val="tx1"/>
            </w14:solidFill>
          </w14:textFill>
        </w:rPr>
        <w:t>。结构胶及油漆等一般外面包有保护胶纸，存放时应保留。</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3460115" cy="1550670"/>
            <wp:effectExtent l="0" t="0" r="0" b="0"/>
            <wp:docPr id="33" name="图片 33" descr="1584001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58400191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3460115" cy="1550670"/>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06" w:name="_Toc44492653"/>
      <w:bookmarkStart w:id="1007" w:name="_Toc4891"/>
      <w:bookmarkStart w:id="1008" w:name="_Toc19598"/>
      <w:r>
        <w:rPr>
          <w:color w:val="000000" w:themeColor="text1"/>
          <w:sz w:val="24"/>
          <w:szCs w:val="24"/>
          <w14:textFill>
            <w14:solidFill>
              <w14:schemeClr w14:val="tx1"/>
            </w14:solidFill>
          </w14:textFill>
        </w:rPr>
        <w:t>3</w:t>
      </w:r>
      <w:r>
        <w:rPr>
          <w:rFonts w:hint="eastAsia"/>
          <w:color w:val="000000" w:themeColor="text1"/>
          <w:sz w:val="24"/>
          <w:szCs w:val="24"/>
          <w14:textFill>
            <w14:solidFill>
              <w14:schemeClr w14:val="tx1"/>
            </w14:solidFill>
          </w14:textFill>
        </w:rPr>
        <w:t>.2 现场消防设施</w:t>
      </w:r>
      <w:bookmarkEnd w:id="1006"/>
      <w:bookmarkEnd w:id="1007"/>
      <w:bookmarkEnd w:id="1008"/>
    </w:p>
    <w:p>
      <w:pPr>
        <w:spacing w:line="360" w:lineRule="auto"/>
        <w:ind w:firstLine="600" w:firstLineChars="250"/>
        <w:rPr>
          <w:color w:val="000000" w:themeColor="text1"/>
          <w:szCs w:val="21"/>
          <w14:textFill>
            <w14:solidFill>
              <w14:schemeClr w14:val="tx1"/>
            </w14:solidFill>
          </w14:textFill>
        </w:rPr>
      </w:pPr>
      <w:r>
        <w:rPr>
          <w:rFonts w:hint="eastAsia" w:ascii="宋体" w:hAnsi="宋体"/>
          <w:color w:val="000000" w:themeColor="text1"/>
          <w:sz w:val="24"/>
          <w14:textFill>
            <w14:solidFill>
              <w14:schemeClr w14:val="tx1"/>
            </w14:solidFill>
          </w14:textFill>
        </w:rPr>
        <w:t>现场应设置消防器材架，用来存放灭火器、消防水桶、消防铲、消防斧等消防用具。</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1550670" cy="13970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550670" cy="1397000"/>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09" w:name="_Toc44492654"/>
      <w:bookmarkStart w:id="1010" w:name="_Toc13445"/>
      <w:bookmarkStart w:id="1011" w:name="_Toc1728"/>
      <w:r>
        <w:rPr>
          <w:rFonts w:hint="eastAsia"/>
          <w:color w:val="000000" w:themeColor="text1"/>
          <w:sz w:val="24"/>
          <w:szCs w:val="24"/>
          <w14:textFill>
            <w14:solidFill>
              <w14:schemeClr w14:val="tx1"/>
            </w14:solidFill>
          </w14:textFill>
        </w:rPr>
        <w:t>3.3休息室（吸烟室）</w:t>
      </w:r>
      <w:bookmarkEnd w:id="1009"/>
      <w:bookmarkEnd w:id="1010"/>
      <w:bookmarkEnd w:id="1011"/>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在主要施工场所设置休息室，方便施工人员集中休息，同时远离起重作业区和有交通安全风险的位置。休息室内部配置桌椅、饮水设备、烟灰缸、垃圾箱、灭火器等物品。休息室结构部位采用钢制，并刷漆；内部设置安全生产知识宣传栏、安全操作规程、安全小常识等。</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3533140" cy="1697355"/>
            <wp:effectExtent l="0" t="0" r="0" b="0"/>
            <wp:docPr id="35" name="图片 35" descr="1584002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58400213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533140" cy="169735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12" w:name="_Toc44492655"/>
      <w:bookmarkStart w:id="1013" w:name="_Toc11362"/>
      <w:bookmarkStart w:id="1014" w:name="_Toc26602"/>
      <w:r>
        <w:rPr>
          <w:rFonts w:hint="eastAsia"/>
          <w:color w:val="000000" w:themeColor="text1"/>
          <w:sz w:val="24"/>
          <w:szCs w:val="24"/>
          <w14:textFill>
            <w14:solidFill>
              <w14:schemeClr w14:val="tx1"/>
            </w14:solidFill>
          </w14:textFill>
        </w:rPr>
        <w:t>3.3 安全宣讲台</w:t>
      </w:r>
      <w:bookmarkEnd w:id="1012"/>
      <w:bookmarkEnd w:id="1013"/>
      <w:bookmarkEnd w:id="1014"/>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在施工现场出入口设置安全知识宣讲台，组织班组员工开展班前“三交、三查”活动，交代作业安全风险、工作内容、技术要求，查员工精神面貌、个人防护、衣着等；也可用于向外来参观人员进行入场安全教育和项目介绍。</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3035935" cy="1821180"/>
            <wp:effectExtent l="0" t="0" r="0" b="0"/>
            <wp:docPr id="36" name="图片 36" descr="1584002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58400234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035935" cy="1821180"/>
                    </a:xfrm>
                    <a:prstGeom prst="rect">
                      <a:avLst/>
                    </a:prstGeom>
                    <a:noFill/>
                    <a:ln>
                      <a:noFill/>
                    </a:ln>
                  </pic:spPr>
                </pic:pic>
              </a:graphicData>
            </a:graphic>
          </wp:inline>
        </w:drawing>
      </w:r>
    </w:p>
    <w:p>
      <w:pPr>
        <w:pStyle w:val="4"/>
        <w:spacing w:before="100" w:beforeAutospacing="1" w:after="100" w:afterAutospacing="1"/>
        <w:rPr>
          <w:color w:val="000000" w:themeColor="text1"/>
          <w:sz w:val="24"/>
          <w:szCs w:val="24"/>
          <w14:textFill>
            <w14:solidFill>
              <w14:schemeClr w14:val="tx1"/>
            </w14:solidFill>
          </w14:textFill>
        </w:rPr>
      </w:pPr>
      <w:bookmarkStart w:id="1015" w:name="_Toc2282"/>
      <w:bookmarkStart w:id="1016" w:name="_Toc30171"/>
      <w:bookmarkStart w:id="1017" w:name="_Toc44492656"/>
      <w:r>
        <w:rPr>
          <w:rFonts w:hint="eastAsia"/>
          <w:color w:val="000000" w:themeColor="text1"/>
          <w:sz w:val="24"/>
          <w:szCs w:val="24"/>
          <w14:textFill>
            <w14:solidFill>
              <w14:schemeClr w14:val="tx1"/>
            </w14:solidFill>
          </w14:textFill>
        </w:rPr>
        <w:t>3.4 安全宣传栏</w:t>
      </w:r>
      <w:bookmarkEnd w:id="1015"/>
      <w:bookmarkEnd w:id="1016"/>
      <w:bookmarkEnd w:id="1017"/>
    </w:p>
    <w:p>
      <w:pPr>
        <w:spacing w:line="360" w:lineRule="auto"/>
        <w:ind w:firstLine="600" w:firstLineChars="25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施工营地、施工现场入口处、盾构井入口（门禁）处等设立安全宣传栏，宣传栏上张贴施工现场危险源动态公示、违章行为曝光牌、安全标识标语等。</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4498975" cy="1529080"/>
            <wp:effectExtent l="0" t="0" r="0" b="0"/>
            <wp:docPr id="37" name="图片 37" descr="1584002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58400242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498975" cy="1529080"/>
                    </a:xfrm>
                    <a:prstGeom prst="rect">
                      <a:avLst/>
                    </a:prstGeom>
                    <a:noFill/>
                    <a:ln>
                      <a:noFill/>
                    </a:ln>
                  </pic:spPr>
                </pic:pic>
              </a:graphicData>
            </a:graphic>
          </wp:inline>
        </w:drawing>
      </w:r>
    </w:p>
    <w:p>
      <w:pPr>
        <w:pStyle w:val="4"/>
        <w:spacing w:before="100" w:beforeAutospacing="1" w:after="100" w:afterAutospacing="1"/>
        <w:rPr>
          <w:color w:val="000000" w:themeColor="text1"/>
          <w:sz w:val="24"/>
          <w:szCs w:val="24"/>
          <w14:textFill>
            <w14:solidFill>
              <w14:schemeClr w14:val="tx1"/>
            </w14:solidFill>
          </w14:textFill>
        </w:rPr>
      </w:pPr>
      <w:bookmarkStart w:id="1018" w:name="_Toc44492657"/>
      <w:bookmarkStart w:id="1019" w:name="_Toc23977"/>
      <w:bookmarkStart w:id="1020" w:name="_Toc21930"/>
      <w:r>
        <w:rPr>
          <w:rFonts w:hint="eastAsia"/>
          <w:color w:val="000000" w:themeColor="text1"/>
          <w:sz w:val="24"/>
          <w:szCs w:val="24"/>
          <w14:textFill>
            <w14:solidFill>
              <w14:schemeClr w14:val="tx1"/>
            </w14:solidFill>
          </w14:textFill>
        </w:rPr>
        <w:t>3.5 门禁系统</w:t>
      </w:r>
      <w:bookmarkEnd w:id="1018"/>
      <w:bookmarkEnd w:id="1019"/>
      <w:bookmarkEnd w:id="1020"/>
    </w:p>
    <w:p>
      <w:pPr>
        <w:spacing w:line="360" w:lineRule="auto"/>
        <w:ind w:firstLine="600" w:firstLineChars="25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施工入口处设置门禁管理系统，采用安检门，门口应配置视频监控、显示屏、重大危险源告知牌、安全宣传标语、安全警示标志、应急联络牌及联络电话。门禁系统应可以实现刷工作证和人脸双重识别，记录进入施工区内的人员信息，管理人员随时进行核查。</w:t>
      </w:r>
    </w:p>
    <w:p>
      <w:pPr>
        <w:spacing w:line="360" w:lineRule="auto"/>
        <w:jc w:val="center"/>
        <w:rPr>
          <w:rFonts w:ascii="宋体" w:hAnsi="宋体"/>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drawing>
          <wp:inline distT="0" distB="0" distL="0" distR="0">
            <wp:extent cx="1960245" cy="1558290"/>
            <wp:effectExtent l="0" t="0" r="0" b="0"/>
            <wp:docPr id="38" name="图片 38" descr="1584002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8400262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960245" cy="1558290"/>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21" w:name="_Toc15449"/>
      <w:bookmarkStart w:id="1022" w:name="_Toc32642"/>
      <w:bookmarkStart w:id="1023" w:name="_Toc44492658"/>
      <w:r>
        <w:rPr>
          <w:color w:val="000000" w:themeColor="text1"/>
          <w:sz w:val="24"/>
          <w:szCs w:val="24"/>
          <w14:textFill>
            <w14:solidFill>
              <w14:schemeClr w14:val="tx1"/>
            </w14:solidFill>
          </w14:textFill>
        </w:rPr>
        <w:t>3</w:t>
      </w:r>
      <w:r>
        <w:rPr>
          <w:rFonts w:hint="eastAsia"/>
          <w:color w:val="000000" w:themeColor="text1"/>
          <w:sz w:val="24"/>
          <w:szCs w:val="24"/>
          <w14:textFill>
            <w14:solidFill>
              <w14:schemeClr w14:val="tx1"/>
            </w14:solidFill>
          </w14:textFill>
        </w:rPr>
        <w:t>.6</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洗车槽</w:t>
      </w:r>
      <w:bookmarkEnd w:id="1021"/>
      <w:bookmarkEnd w:id="1022"/>
      <w:bookmarkEnd w:id="1023"/>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在施工场地通向外面的出口处，设置一个洗车槽，出去的施工车辆都必须通过洗车槽的清洗才能上路，避免施工车辆把泥土带出施工现场，造成扬尘污染。</w:t>
      </w:r>
    </w:p>
    <w:p>
      <w:pPr>
        <w:spacing w:line="360" w:lineRule="auto"/>
        <w:rPr>
          <w:rFonts w:ascii="仿宋_GB2312" w:hAnsi="等线" w:eastAsia="仿宋_GB2312"/>
          <w:color w:val="000000" w:themeColor="text1"/>
          <w:sz w:val="32"/>
          <w:szCs w:val="32"/>
          <w14:textFill>
            <w14:solidFill>
              <w14:schemeClr w14:val="tx1"/>
            </w14:solidFill>
          </w14:textFill>
        </w:rPr>
      </w:pPr>
      <w:r>
        <w:rPr>
          <w:rFonts w:ascii="仿宋_GB2312" w:hAnsi="等线" w:eastAsia="仿宋_GB2312"/>
          <w:color w:val="000000" w:themeColor="text1"/>
          <w:sz w:val="32"/>
          <w:szCs w:val="32"/>
          <w14:textFill>
            <w14:solidFill>
              <w14:schemeClr w14:val="tx1"/>
            </w14:solidFill>
          </w14:textFill>
        </w:rPr>
        <w:drawing>
          <wp:inline distT="0" distB="0" distL="0" distR="0">
            <wp:extent cx="2691765" cy="193103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691765" cy="1931035"/>
                    </a:xfrm>
                    <a:prstGeom prst="rect">
                      <a:avLst/>
                    </a:prstGeom>
                    <a:noFill/>
                    <a:ln>
                      <a:noFill/>
                    </a:ln>
                  </pic:spPr>
                </pic:pic>
              </a:graphicData>
            </a:graphic>
          </wp:inline>
        </w:drawing>
      </w:r>
      <w:r>
        <w:rPr>
          <w:rFonts w:hint="eastAsia" w:ascii="仿宋_GB2312" w:hAnsi="等线" w:eastAsia="仿宋_GB2312"/>
          <w:color w:val="000000" w:themeColor="text1"/>
          <w:sz w:val="32"/>
          <w:szCs w:val="32"/>
          <w14:textFill>
            <w14:solidFill>
              <w14:schemeClr w14:val="tx1"/>
            </w14:solidFill>
          </w14:textFill>
        </w:rPr>
        <w:t xml:space="preserve"> </w:t>
      </w:r>
      <w:r>
        <w:rPr>
          <w:rFonts w:ascii="仿宋_GB2312" w:hAnsi="等线" w:eastAsia="仿宋_GB2312"/>
          <w:color w:val="000000" w:themeColor="text1"/>
          <w:sz w:val="32"/>
          <w:szCs w:val="32"/>
          <w14:textFill>
            <w14:solidFill>
              <w14:schemeClr w14:val="tx1"/>
            </w14:solidFill>
          </w14:textFill>
        </w:rPr>
        <w:drawing>
          <wp:inline distT="0" distB="0" distL="0" distR="0">
            <wp:extent cx="2385060" cy="193103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385060" cy="1931035"/>
                    </a:xfrm>
                    <a:prstGeom prst="rect">
                      <a:avLst/>
                    </a:prstGeom>
                    <a:noFill/>
                    <a:ln>
                      <a:noFill/>
                    </a:ln>
                  </pic:spPr>
                </pic:pic>
              </a:graphicData>
            </a:graphic>
          </wp:inline>
        </w:drawing>
      </w:r>
    </w:p>
    <w:p>
      <w:pPr>
        <w:ind w:firstLine="500" w:firstLineChars="250"/>
        <w:rPr>
          <w:rFonts w:ascii="宋体" w:hAnsi="宋体"/>
          <w:color w:val="000000" w:themeColor="text1"/>
          <w:sz w:val="20"/>
          <w14:textFill>
            <w14:solidFill>
              <w14:schemeClr w14:val="tx1"/>
            </w14:solidFill>
          </w14:textFill>
        </w:rPr>
      </w:pPr>
      <w:r>
        <w:rPr>
          <w:rFonts w:hint="eastAsia" w:ascii="宋体" w:hAnsi="宋体"/>
          <w:color w:val="000000" w:themeColor="text1"/>
          <w:sz w:val="20"/>
          <w14:textFill>
            <w14:solidFill>
              <w14:schemeClr w14:val="tx1"/>
            </w14:solidFill>
          </w14:textFill>
        </w:rPr>
        <w:t xml:space="preserve">成品洗车槽（不喷水）       </w:t>
      </w:r>
      <w:r>
        <w:rPr>
          <w:rFonts w:ascii="宋体" w:hAnsi="宋体"/>
          <w:color w:val="000000" w:themeColor="text1"/>
          <w:sz w:val="20"/>
          <w14:textFill>
            <w14:solidFill>
              <w14:schemeClr w14:val="tx1"/>
            </w14:solidFill>
          </w14:textFill>
        </w:rPr>
        <w:t xml:space="preserve">             </w:t>
      </w:r>
      <w:r>
        <w:rPr>
          <w:rFonts w:hint="eastAsia" w:ascii="宋体" w:hAnsi="宋体"/>
          <w:color w:val="000000" w:themeColor="text1"/>
          <w:sz w:val="20"/>
          <w14:textFill>
            <w14:solidFill>
              <w14:schemeClr w14:val="tx1"/>
            </w14:solidFill>
          </w14:textFill>
        </w:rPr>
        <w:t xml:space="preserve">    </w:t>
      </w:r>
      <w:r>
        <w:rPr>
          <w:rFonts w:ascii="宋体" w:hAnsi="宋体"/>
          <w:color w:val="000000" w:themeColor="text1"/>
          <w:sz w:val="20"/>
          <w14:textFill>
            <w14:solidFill>
              <w14:schemeClr w14:val="tx1"/>
            </w14:solidFill>
          </w14:textFill>
        </w:rPr>
        <w:t xml:space="preserve"> </w:t>
      </w:r>
      <w:r>
        <w:rPr>
          <w:rFonts w:hint="eastAsia" w:ascii="宋体" w:hAnsi="宋体"/>
          <w:color w:val="000000" w:themeColor="text1"/>
          <w:sz w:val="20"/>
          <w14:textFill>
            <w14:solidFill>
              <w14:schemeClr w14:val="tx1"/>
            </w14:solidFill>
          </w14:textFill>
        </w:rPr>
        <w:t xml:space="preserve">成品洗车槽（喷水）  </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24" w:name="_Toc30128"/>
      <w:bookmarkStart w:id="1025" w:name="_Toc44492659"/>
      <w:bookmarkStart w:id="1026" w:name="_Toc13213"/>
      <w:r>
        <w:rPr>
          <w:color w:val="000000" w:themeColor="text1"/>
          <w:sz w:val="24"/>
          <w:szCs w:val="24"/>
          <w14:textFill>
            <w14:solidFill>
              <w14:schemeClr w14:val="tx1"/>
            </w14:solidFill>
          </w14:textFill>
        </w:rPr>
        <w:t>3</w:t>
      </w:r>
      <w:r>
        <w:rPr>
          <w:rFonts w:hint="eastAsia"/>
          <w:color w:val="000000" w:themeColor="text1"/>
          <w:sz w:val="24"/>
          <w:szCs w:val="24"/>
          <w14:textFill>
            <w14:solidFill>
              <w14:schemeClr w14:val="tx1"/>
            </w14:solidFill>
          </w14:textFill>
        </w:rPr>
        <w:t>.7</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喷淋降尘系统</w:t>
      </w:r>
      <w:bookmarkEnd w:id="1024"/>
      <w:bookmarkEnd w:id="1025"/>
      <w:bookmarkEnd w:id="1026"/>
    </w:p>
    <w:p>
      <w:pPr>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施工现场主要道路两侧设置能够有效降尘的喷淋系统；喷淋系统包括管道、喷雾头、加压水泵、定时器等，喷雾头宜每隔3M设置一个；喷淋系统应能将水有效雾化；喷淋降尘系统应符合当地部门的管理要求。</w:t>
      </w:r>
    </w:p>
    <w:p>
      <w:pPr>
        <w:spacing w:line="360" w:lineRule="auto"/>
        <w:jc w:val="center"/>
        <w:rPr>
          <w:rFonts w:ascii="宋体" w:hAnsi="宋体"/>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2918460" cy="2026285"/>
            <wp:effectExtent l="0" t="0" r="0" b="0"/>
            <wp:docPr id="41" name="图片 41" descr="1517748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51774860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918460" cy="2026285"/>
                    </a:xfrm>
                    <a:prstGeom prst="rect">
                      <a:avLst/>
                    </a:prstGeom>
                    <a:noFill/>
                    <a:ln>
                      <a:noFill/>
                    </a:ln>
                  </pic:spPr>
                </pic:pic>
              </a:graphicData>
            </a:graphic>
          </wp:inline>
        </w:drawing>
      </w:r>
    </w:p>
    <w:p>
      <w:pPr>
        <w:pStyle w:val="4"/>
        <w:spacing w:before="100" w:beforeAutospacing="1" w:after="100" w:afterAutospacing="1" w:line="360" w:lineRule="auto"/>
        <w:rPr>
          <w:color w:val="000000" w:themeColor="text1"/>
          <w:sz w:val="28"/>
          <w:szCs w:val="24"/>
          <w14:textFill>
            <w14:solidFill>
              <w14:schemeClr w14:val="tx1"/>
            </w14:solidFill>
          </w14:textFill>
        </w:rPr>
      </w:pPr>
      <w:bookmarkStart w:id="1027" w:name="_Toc44492660"/>
      <w:bookmarkStart w:id="1028" w:name="_Toc6678"/>
      <w:bookmarkStart w:id="1029" w:name="_Toc17637"/>
      <w:r>
        <w:rPr>
          <w:rFonts w:hint="eastAsia"/>
          <w:color w:val="000000" w:themeColor="text1"/>
          <w:sz w:val="28"/>
          <w:szCs w:val="24"/>
          <w14:textFill>
            <w14:solidFill>
              <w14:schemeClr w14:val="tx1"/>
            </w14:solidFill>
          </w14:textFill>
        </w:rPr>
        <w:t>四、临建办公区及生活区</w:t>
      </w:r>
      <w:bookmarkEnd w:id="1027"/>
      <w:bookmarkEnd w:id="1028"/>
      <w:bookmarkEnd w:id="1029"/>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30" w:name="_Toc22334"/>
      <w:bookmarkStart w:id="1031" w:name="_Toc44492661"/>
      <w:bookmarkStart w:id="1032" w:name="_Toc13134"/>
      <w:r>
        <w:rPr>
          <w:rFonts w:hint="eastAsia"/>
          <w:color w:val="000000" w:themeColor="text1"/>
          <w:sz w:val="24"/>
          <w:szCs w:val="24"/>
          <w14:textFill>
            <w14:solidFill>
              <w14:schemeClr w14:val="tx1"/>
            </w14:solidFill>
          </w14:textFill>
        </w:rPr>
        <w:t>4.1</w:t>
      </w:r>
      <w:r>
        <w:rPr>
          <w:color w:val="000000" w:themeColor="text1"/>
          <w:sz w:val="24"/>
          <w:szCs w:val="24"/>
          <w14:textFill>
            <w14:solidFill>
              <w14:schemeClr w14:val="tx1"/>
            </w14:solidFill>
          </w14:textFill>
        </w:rPr>
        <w:t xml:space="preserve"> 办公区</w:t>
      </w:r>
      <w:r>
        <w:rPr>
          <w:rFonts w:hint="eastAsia"/>
          <w:color w:val="000000" w:themeColor="text1"/>
          <w:sz w:val="24"/>
          <w:szCs w:val="24"/>
          <w14:textFill>
            <w14:solidFill>
              <w14:schemeClr w14:val="tx1"/>
            </w14:solidFill>
          </w14:textFill>
        </w:rPr>
        <w:t>场地布置基本要求</w:t>
      </w:r>
      <w:bookmarkEnd w:id="1030"/>
      <w:bookmarkEnd w:id="1031"/>
      <w:bookmarkEnd w:id="1032"/>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办公区临建设施应统一规划，并编制临建方案。方案应包括大门、围挡、办公用房、场地道路硬化、绿化等内容。</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办公区总体布局应合理，并满足采光通风要求；场内排水系统完善。</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办公区应优先采用模块化箱房，根据现场条件组合形成各种功能间满足现场办公的需要。模块化箱房室内电气线路应暗装，屋顶应设置保温隔热材料。</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办公区消防通道应硬化且满足消防要求，其他区域应进行绿化或铺设植草砖（透水砖）、办公区集中绿化率不应低于10%。</w:t>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33" w:name="_Toc10982"/>
      <w:bookmarkStart w:id="1034" w:name="_Toc9019"/>
      <w:bookmarkStart w:id="1035" w:name="_Toc44492662"/>
      <w:r>
        <w:rPr>
          <w:rFonts w:hint="eastAsia"/>
          <w:color w:val="000000" w:themeColor="text1"/>
          <w:sz w:val="24"/>
          <w:szCs w:val="24"/>
          <w14:textFill>
            <w14:solidFill>
              <w14:schemeClr w14:val="tx1"/>
            </w14:solidFill>
          </w14:textFill>
        </w:rPr>
        <w:t>4.2</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办公区用房</w:t>
      </w:r>
      <w:bookmarkEnd w:id="1033"/>
      <w:bookmarkEnd w:id="1034"/>
      <w:bookmarkEnd w:id="1035"/>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（1）办公区用房应优先采用模块化箱房。生产厂家应提供产品的设计说明及使用说明，应满足如下要求：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①材料应满足国标的要求。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②应满足抗风抗震及荷载要求。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③应满足建筑防火要求。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④应满足建筑防雷要求。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⑤应满足节能环保要求。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效果图如下：</w:t>
      </w:r>
    </w:p>
    <w:p>
      <w:pPr>
        <w:spacing w:line="360" w:lineRule="auto"/>
        <w:jc w:val="center"/>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2399665" cy="1799590"/>
            <wp:effectExtent l="0" t="0" r="0" b="0"/>
            <wp:docPr id="42" name="图片 42" descr="整体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整体效果图"/>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399665" cy="1799590"/>
                    </a:xfrm>
                    <a:prstGeom prst="rect">
                      <a:avLst/>
                    </a:prstGeom>
                    <a:noFill/>
                    <a:ln>
                      <a:noFill/>
                    </a:ln>
                  </pic:spPr>
                </pic:pic>
              </a:graphicData>
            </a:graphic>
          </wp:inline>
        </w:drawing>
      </w:r>
      <w:r>
        <w:rPr>
          <w:rFonts w:hint="eastAsia"/>
          <w:color w:val="000000" w:themeColor="text1"/>
          <w:sz w:val="24"/>
          <w:szCs w:val="21"/>
          <w14:textFill>
            <w14:solidFill>
              <w14:schemeClr w14:val="tx1"/>
            </w14:solidFill>
          </w14:textFill>
        </w:rPr>
        <w:t xml:space="preserve"> </w:t>
      </w:r>
      <w:r>
        <w:rPr>
          <w:color w:val="000000" w:themeColor="text1"/>
          <w:sz w:val="24"/>
          <w:szCs w:val="21"/>
          <w14:textFill>
            <w14:solidFill>
              <w14:schemeClr w14:val="tx1"/>
            </w14:solidFill>
          </w14:textFill>
        </w:rPr>
        <w:drawing>
          <wp:inline distT="0" distB="0" distL="0" distR="0">
            <wp:extent cx="2414270" cy="1799590"/>
            <wp:effectExtent l="0" t="0" r="0" b="0"/>
            <wp:docPr id="43" name="图片 43" descr="4a50110adb9e9c200d179f9a38117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4a50110adb9e9c200d179f9a38117b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414270" cy="1799590"/>
                    </a:xfrm>
                    <a:prstGeom prst="rect">
                      <a:avLst/>
                    </a:prstGeom>
                    <a:noFill/>
                    <a:ln>
                      <a:noFill/>
                    </a:ln>
                  </pic:spPr>
                </pic:pic>
              </a:graphicData>
            </a:graphic>
          </wp:inline>
        </w:drawing>
      </w:r>
    </w:p>
    <w:p>
      <w:pPr>
        <w:spacing w:line="360" w:lineRule="auto"/>
        <w:jc w:val="center"/>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2399665" cy="1806575"/>
            <wp:effectExtent l="0" t="0" r="0" b="0"/>
            <wp:docPr id="44" name="图片 44" descr="中庭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中庭效果图"/>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399665" cy="1806575"/>
                    </a:xfrm>
                    <a:prstGeom prst="rect">
                      <a:avLst/>
                    </a:prstGeom>
                    <a:noFill/>
                    <a:ln>
                      <a:noFill/>
                    </a:ln>
                  </pic:spPr>
                </pic:pic>
              </a:graphicData>
            </a:graphic>
          </wp:inline>
        </w:drawing>
      </w:r>
      <w:r>
        <w:rPr>
          <w:rFonts w:hint="eastAsia"/>
          <w:color w:val="000000" w:themeColor="text1"/>
          <w:sz w:val="24"/>
          <w:szCs w:val="21"/>
          <w14:textFill>
            <w14:solidFill>
              <w14:schemeClr w14:val="tx1"/>
            </w14:solidFill>
          </w14:textFill>
        </w:rPr>
        <w:t xml:space="preserve"> </w:t>
      </w:r>
      <w:r>
        <w:rPr>
          <w:color w:val="000000" w:themeColor="text1"/>
          <w:sz w:val="24"/>
          <w:szCs w:val="21"/>
          <w14:textFill>
            <w14:solidFill>
              <w14:schemeClr w14:val="tx1"/>
            </w14:solidFill>
          </w14:textFill>
        </w:rPr>
        <w:drawing>
          <wp:inline distT="0" distB="0" distL="0" distR="0">
            <wp:extent cx="2399665" cy="1799590"/>
            <wp:effectExtent l="0" t="0" r="0" b="0"/>
            <wp:docPr id="45" name="图片 45" descr="中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中庭"/>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399665" cy="1799590"/>
                    </a:xfrm>
                    <a:prstGeom prst="rect">
                      <a:avLst/>
                    </a:prstGeom>
                    <a:noFill/>
                    <a:ln>
                      <a:noFill/>
                    </a:ln>
                  </pic:spPr>
                </pic:pic>
              </a:graphicData>
            </a:graphic>
          </wp:inline>
        </w:drawing>
      </w:r>
    </w:p>
    <w:p>
      <w:pPr>
        <w:spacing w:line="360" w:lineRule="auto"/>
        <w:jc w:val="center"/>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2399665" cy="1799590"/>
            <wp:effectExtent l="0" t="0" r="0" b="0"/>
            <wp:docPr id="46" name="图片 46" descr="大会议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大会议室"/>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399665" cy="1799590"/>
                    </a:xfrm>
                    <a:prstGeom prst="rect">
                      <a:avLst/>
                    </a:prstGeom>
                    <a:noFill/>
                    <a:ln>
                      <a:noFill/>
                    </a:ln>
                  </pic:spPr>
                </pic:pic>
              </a:graphicData>
            </a:graphic>
          </wp:inline>
        </w:drawing>
      </w:r>
      <w:r>
        <w:rPr>
          <w:rFonts w:hint="eastAsia"/>
          <w:color w:val="000000" w:themeColor="text1"/>
          <w:sz w:val="24"/>
          <w:szCs w:val="21"/>
          <w14:textFill>
            <w14:solidFill>
              <w14:schemeClr w14:val="tx1"/>
            </w14:solidFill>
          </w14:textFill>
        </w:rPr>
        <w:t xml:space="preserve"> </w:t>
      </w:r>
      <w:r>
        <w:rPr>
          <w:color w:val="000000" w:themeColor="text1"/>
          <w:sz w:val="24"/>
          <w:szCs w:val="21"/>
          <w14:textFill>
            <w14:solidFill>
              <w14:schemeClr w14:val="tx1"/>
            </w14:solidFill>
          </w14:textFill>
        </w:rPr>
        <w:drawing>
          <wp:inline distT="0" distB="0" distL="0" distR="0">
            <wp:extent cx="2399665" cy="1799590"/>
            <wp:effectExtent l="0" t="0" r="0" b="0"/>
            <wp:docPr id="47" name="图片 47" descr="洗手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洗手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399665" cy="179959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（2）模块化箱房整体说明</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①以标准的模块化箱体为单元，对箱体单元进行空间组合，可通过拆卸单元墙体形成不同大小的空间。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②箱体包括标准箱、楼梯箱、卫生间箱、走道箱等基本单元。</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③基本单元的焊接、油漆、内装、管线均应在工厂完成。</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④走道应封闭。</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⑤电气线路应暗装。</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（3）标准箱</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①箱体以6m（长）*3m（宽）*3m（高）为基本尺寸，根据需求可适当调整，但室内净高应不小于2.5m。</w:t>
      </w:r>
    </w:p>
    <w:p>
      <w:pPr>
        <w:spacing w:line="360" w:lineRule="auto"/>
        <w:ind w:firstLine="480" w:firstLineChars="200"/>
        <w:jc w:val="left"/>
        <w:rPr>
          <w:i/>
          <w:color w:val="000000" w:themeColor="text1"/>
          <w:sz w:val="24"/>
          <w:szCs w:val="21"/>
          <w:u w:val="single"/>
          <w14:textFill>
            <w14:solidFill>
              <w14:schemeClr w14:val="tx1"/>
            </w14:solidFill>
          </w14:textFill>
        </w:rPr>
      </w:pPr>
      <w:r>
        <w:rPr>
          <w:rFonts w:hint="eastAsia"/>
          <w:color w:val="000000" w:themeColor="text1"/>
          <w:sz w:val="24"/>
          <w:szCs w:val="21"/>
          <w14:textFill>
            <w14:solidFill>
              <w14:schemeClr w14:val="tx1"/>
            </w14:solidFill>
          </w14:textFill>
        </w:rPr>
        <w:t>②采用塑钢窗或铝合金窗，铝型材厚度应不低于1.2mm，采光面积应不小于1.6m</w:t>
      </w:r>
      <w:r>
        <w:rPr>
          <w:rFonts w:hint="eastAsia"/>
          <w:color w:val="000000" w:themeColor="text1"/>
          <w:sz w:val="24"/>
          <w:szCs w:val="21"/>
          <w:vertAlign w:val="superscript"/>
          <w14:textFill>
            <w14:solidFill>
              <w14:schemeClr w14:val="tx1"/>
            </w14:solidFill>
          </w14:textFill>
        </w:rPr>
        <w:t>2</w:t>
      </w:r>
      <w:r>
        <w:rPr>
          <w:rFonts w:hint="eastAsia"/>
          <w:color w:val="000000" w:themeColor="text1"/>
          <w:sz w:val="24"/>
          <w:szCs w:val="21"/>
          <w14:textFill>
            <w14:solidFill>
              <w14:schemeClr w14:val="tx1"/>
            </w14:solidFill>
          </w14:textFill>
        </w:rPr>
        <w:t>，通风面积应不小于0.8 m</w:t>
      </w:r>
      <w:r>
        <w:rPr>
          <w:rFonts w:hint="eastAsia"/>
          <w:color w:val="000000" w:themeColor="text1"/>
          <w:sz w:val="24"/>
          <w:szCs w:val="21"/>
          <w:vertAlign w:val="superscript"/>
          <w14:textFill>
            <w14:solidFill>
              <w14:schemeClr w14:val="tx1"/>
            </w14:solidFill>
          </w14:textFill>
        </w:rPr>
        <w:t>2</w:t>
      </w:r>
      <w:r>
        <w:rPr>
          <w:rFonts w:hint="eastAsia"/>
          <w:color w:val="000000" w:themeColor="text1"/>
          <w:sz w:val="24"/>
          <w:szCs w:val="21"/>
          <w14:textFill>
            <w14:solidFill>
              <w14:schemeClr w14:val="tx1"/>
            </w14:solidFill>
          </w14:textFill>
        </w:rPr>
        <w:t>。</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③钢制平开门的宽度应不小于850mm，高度应不小于2000mm。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④主体结构应满足承载力的要求，且厚度应不小于3mm；其他结构材料应选用国际型材，厚度应不小于1.5mm；钢材性能不低于Q235。</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⑤墙板用彩钢金属夹芯板，芯材为玻璃棉，总厚度应不小于50mm，彩钢板厚度应不小于0.4mm，玻璃棉容重应不小于56kg/m</w:t>
      </w:r>
      <w:r>
        <w:rPr>
          <w:rFonts w:hint="eastAsia"/>
          <w:color w:val="000000" w:themeColor="text1"/>
          <w:sz w:val="24"/>
          <w:szCs w:val="21"/>
          <w:vertAlign w:val="superscript"/>
          <w14:textFill>
            <w14:solidFill>
              <w14:schemeClr w14:val="tx1"/>
            </w14:solidFill>
          </w14:textFill>
        </w:rPr>
        <w:t>3</w:t>
      </w:r>
      <w:r>
        <w:rPr>
          <w:rFonts w:hint="eastAsia"/>
          <w:color w:val="000000" w:themeColor="text1"/>
          <w:sz w:val="24"/>
          <w:szCs w:val="21"/>
          <w14:textFill>
            <w14:solidFill>
              <w14:schemeClr w14:val="tx1"/>
            </w14:solidFill>
          </w14:textFill>
        </w:rPr>
        <w:t>。</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⑥地板应使用不小于15mm水泥纤维板，面层铺设pvc地板时厚度应不小于1.5mm。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⑦屋顶保温厚度应不小于50mm，玻璃棉容重应不小于14kg/m</w:t>
      </w:r>
      <w:r>
        <w:rPr>
          <w:rFonts w:hint="eastAsia"/>
          <w:color w:val="000000" w:themeColor="text1"/>
          <w:sz w:val="24"/>
          <w:szCs w:val="21"/>
          <w:vertAlign w:val="superscript"/>
          <w14:textFill>
            <w14:solidFill>
              <w14:schemeClr w14:val="tx1"/>
            </w14:solidFill>
          </w14:textFill>
        </w:rPr>
        <w:t>3</w:t>
      </w:r>
      <w:r>
        <w:rPr>
          <w:rFonts w:hint="eastAsia"/>
          <w:color w:val="000000" w:themeColor="text1"/>
          <w:sz w:val="24"/>
          <w:szCs w:val="21"/>
          <w14:textFill>
            <w14:solidFill>
              <w14:schemeClr w14:val="tx1"/>
            </w14:solidFill>
          </w14:textFill>
        </w:rPr>
        <w:t>。</w:t>
      </w:r>
    </w:p>
    <w:p>
      <w:pPr>
        <w:spacing w:line="360" w:lineRule="auto"/>
        <w:jc w:val="center"/>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2260600" cy="1836420"/>
            <wp:effectExtent l="0" t="0" r="0" b="0"/>
            <wp:docPr id="48" name="图片 48" descr="QQ图片2020031815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QQ图片202003181507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260600" cy="183642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（4）卫生间箱</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①外形尺寸应与标准箱一致。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②隔断高度应不低于1.8m。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③地面应使用防滑地砖或防滑pvc。</w:t>
      </w:r>
    </w:p>
    <w:p>
      <w:pPr>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3101340" cy="2136140"/>
            <wp:effectExtent l="0" t="0" r="0" b="0"/>
            <wp:docPr id="49" name="图片 49" descr="7E@CD9$_MV78CJ}CCV0P2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7E@CD9$_MV78CJ}CCV0P21X"/>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101340" cy="2136140"/>
                    </a:xfrm>
                    <a:prstGeom prst="rect">
                      <a:avLst/>
                    </a:prstGeom>
                    <a:noFill/>
                    <a:ln>
                      <a:noFill/>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rFonts w:ascii="宋体" w:hAnsi="宋体" w:cs="宋体"/>
          <w:color w:val="000000" w:themeColor="text1"/>
          <w:kern w:val="0"/>
          <w:sz w:val="24"/>
          <w14:textFill>
            <w14:solidFill>
              <w14:schemeClr w14:val="tx1"/>
            </w14:solidFill>
          </w14:textFill>
        </w:rPr>
        <w:drawing>
          <wp:inline distT="0" distB="0" distL="0" distR="0">
            <wp:extent cx="1448435" cy="2194560"/>
            <wp:effectExtent l="0" t="0" r="0" b="0"/>
            <wp:docPr id="50" name="图片 50" descr="Q4TQYEF8{5@15`Y92A]A~X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Q4TQYEF8{5@15`Y92A]A~XJ"/>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448435" cy="219456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（5）楼梯间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①外形尺寸应与标准箱一致。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②楼梯梯段宽度不小于1.2m，踏步宽度不小于250mm，踏步高度不大于165mm。</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3021330" cy="2282190"/>
            <wp:effectExtent l="0" t="0" r="0" b="0"/>
            <wp:docPr id="51" name="图片 51" descr="W}WBZ@@B}7RVIJ%7P%)J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W}WBZ@@B}7RVIJ%7P%)JO$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021330" cy="228219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（6）走道箱</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①以6m（长）*1.8m（宽）*3m（高）为基本尺寸，根据需求可适当调整。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②外侧应封闭，宜采用玻璃幕墙。</w:t>
      </w:r>
    </w:p>
    <w:p>
      <w:pPr>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2238375" cy="1609090"/>
            <wp:effectExtent l="0" t="0" r="0" b="0"/>
            <wp:docPr id="52" name="图片 52" descr="KY(_P55Y]ILUFT_55N[TF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KY(_P55Y]ILUFT_55N[TFX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238375" cy="1609090"/>
                    </a:xfrm>
                    <a:prstGeom prst="rect">
                      <a:avLst/>
                    </a:prstGeom>
                    <a:noFill/>
                    <a:ln>
                      <a:noFill/>
                    </a:ln>
                  </pic:spPr>
                </pic:pic>
              </a:graphicData>
            </a:graphic>
          </wp:inline>
        </w:drawing>
      </w:r>
      <w:r>
        <w:rPr>
          <w:color w:val="000000" w:themeColor="text1"/>
          <w14:textFill>
            <w14:solidFill>
              <w14:schemeClr w14:val="tx1"/>
            </w14:solidFill>
          </w14:textFill>
        </w:rPr>
        <w:t xml:space="preserve"> </w:t>
      </w:r>
      <w:r>
        <w:rPr>
          <w:rFonts w:ascii="宋体" w:hAnsi="宋体" w:cs="宋体"/>
          <w:color w:val="000000" w:themeColor="text1"/>
          <w:kern w:val="0"/>
          <w:sz w:val="24"/>
          <w14:textFill>
            <w14:solidFill>
              <w14:schemeClr w14:val="tx1"/>
            </w14:solidFill>
          </w14:textFill>
        </w:rPr>
        <w:drawing>
          <wp:inline distT="0" distB="0" distL="0" distR="0">
            <wp:extent cx="2472690" cy="1660525"/>
            <wp:effectExtent l="0" t="0" r="0" b="0"/>
            <wp:docPr id="53" name="图片 53" descr="7C%_~M8}H~W75{P%$C18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7C%_~M8}H~W75{P%$C185~J"/>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472690" cy="1660525"/>
                    </a:xfrm>
                    <a:prstGeom prst="rect">
                      <a:avLst/>
                    </a:prstGeom>
                    <a:noFill/>
                    <a:ln>
                      <a:noFill/>
                    </a:ln>
                  </pic:spPr>
                </pic:pic>
              </a:graphicData>
            </a:graphic>
          </wp:inline>
        </w:drawing>
      </w:r>
    </w:p>
    <w:p>
      <w:pPr>
        <w:widowControl/>
        <w:jc w:val="left"/>
        <w:rPr>
          <w:rFonts w:ascii="宋体" w:hAnsi="宋体" w:cs="宋体"/>
          <w:color w:val="000000" w:themeColor="text1"/>
          <w:kern w:val="0"/>
          <w:sz w:val="24"/>
          <w14:textFill>
            <w14:solidFill>
              <w14:schemeClr w14:val="tx1"/>
            </w14:solidFill>
          </w14:textFill>
        </w:rPr>
      </w:pP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（7）办公模块组合应用</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①由一个标准箱长度加一个走道箱宽度构成单栋箱房的标准跨度（跨度约为7.8m）。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②以3m为一个标准间，由若干个箱体单元组合构成长度尺寸，且总长度应不大于60m。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③长度方向应每不大于22m设置一部楼梯，且满足疏散距离要求。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④走道宽度应不小于1.8m，走道外侧宜封闭。</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⑤层数应不超过3层。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⑥可根据需要增设坡屋面。</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4659630" cy="4184015"/>
            <wp:effectExtent l="0" t="0" r="0" b="0"/>
            <wp:docPr id="54" name="图片 54" descr="Y1H{4J{B$_EZ6KQ08LDBZ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Y1H{4J{B$_EZ6KQ08LDBZ7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659630" cy="4184015"/>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（8）基础</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①断面为400mm*300mm的条形基础，混凝土标号不应低于C20。</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②地基承载力特征值不应小于100kPa。当遇到松散填土等不良地质条件时，应根据地基承载力要求进行地基处理或加固。</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③箱体与基础、箱体与箱体之间应进行有效连接。</w:t>
      </w:r>
    </w:p>
    <w:p>
      <w:pPr>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2333625" cy="1777365"/>
            <wp:effectExtent l="0" t="0" r="0" b="0"/>
            <wp:docPr id="55" name="图片 55" descr="XU10C2]9{0HKS7$R645E~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XU10C2]9{0HKS7$R645E~J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333625" cy="1777365"/>
                    </a:xfrm>
                    <a:prstGeom prst="rect">
                      <a:avLst/>
                    </a:prstGeom>
                    <a:noFill/>
                    <a:ln>
                      <a:noFill/>
                    </a:ln>
                  </pic:spPr>
                </pic:pic>
              </a:graphicData>
            </a:graphic>
          </wp:inline>
        </w:drawing>
      </w:r>
      <w:r>
        <w:rPr>
          <w:color w:val="000000" w:themeColor="text1"/>
          <w14:textFill>
            <w14:solidFill>
              <w14:schemeClr w14:val="tx1"/>
            </w14:solidFill>
          </w14:textFill>
        </w:rPr>
        <w:t xml:space="preserve"> </w:t>
      </w:r>
      <w:r>
        <w:rPr>
          <w:rFonts w:ascii="宋体" w:hAnsi="宋体" w:cs="宋体"/>
          <w:color w:val="000000" w:themeColor="text1"/>
          <w:kern w:val="0"/>
          <w:sz w:val="24"/>
          <w14:textFill>
            <w14:solidFill>
              <w14:schemeClr w14:val="tx1"/>
            </w14:solidFill>
          </w14:textFill>
        </w:rPr>
        <w:drawing>
          <wp:inline distT="0" distB="0" distL="0" distR="0">
            <wp:extent cx="2319020" cy="1755775"/>
            <wp:effectExtent l="0" t="0" r="0" b="0"/>
            <wp:docPr id="56" name="图片 56" descr="N85N09OA6G81E2]YA~2QM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N85N09OA6G81E2]YA~2QMUC"/>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319020" cy="175577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36" w:name="_Toc14032"/>
      <w:bookmarkStart w:id="1037" w:name="_Toc30037"/>
      <w:bookmarkStart w:id="1038" w:name="_Toc44492663"/>
      <w:r>
        <w:rPr>
          <w:rFonts w:hint="eastAsia"/>
          <w:color w:val="000000" w:themeColor="text1"/>
          <w:sz w:val="24"/>
          <w:szCs w:val="24"/>
          <w14:textFill>
            <w14:solidFill>
              <w14:schemeClr w14:val="tx1"/>
            </w14:solidFill>
          </w14:textFill>
        </w:rPr>
        <w:t>4.3</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生活区场地布置基本要求</w:t>
      </w:r>
      <w:bookmarkEnd w:id="1036"/>
      <w:bookmarkEnd w:id="1037"/>
      <w:bookmarkEnd w:id="1038"/>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生活区应统筹安排，合理布局，满足安全、消防、卫生防疫、环境保护、防汛、防洪等要求。整体规划应因地制宜，节约用地。</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生活区与施工作业区、办公区应划分清晰。</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生活区所有临时板房应采用A级防火等级板材，板材厚度及刚度应满足要求；临时板房在设计中应考虑台风。</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生活区板房栋与栋之间防火间距不小于3m，消防通道及水源、灭火器材满足要求。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生活区室外可适当进行绿化或铺设植草砖（透水砖）、彩砖等，非绿化区域和道路应进行硬化，不得有裸露土体。</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生活区消防通道应硬化且布置需满足消防要求。</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4125595" cy="2362835"/>
            <wp:effectExtent l="0" t="0" r="0" b="0"/>
            <wp:docPr id="57" name="图片 57" descr="T0LVD2LC(3_J2IR9L0LI`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T0LVD2LC(3_J2IR9L0LI`N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125595" cy="236283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39" w:name="_Toc23431"/>
      <w:bookmarkStart w:id="1040" w:name="_Toc44492664"/>
      <w:bookmarkStart w:id="1041" w:name="_Toc18801"/>
      <w:r>
        <w:rPr>
          <w:rFonts w:hint="eastAsia"/>
          <w:color w:val="000000" w:themeColor="text1"/>
          <w:sz w:val="24"/>
          <w:szCs w:val="24"/>
          <w14:textFill>
            <w14:solidFill>
              <w14:schemeClr w14:val="tx1"/>
            </w14:solidFill>
          </w14:textFill>
        </w:rPr>
        <w:t>4.4</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生活区用房</w:t>
      </w:r>
      <w:bookmarkEnd w:id="1039"/>
      <w:bookmarkEnd w:id="1040"/>
      <w:bookmarkEnd w:id="1041"/>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（1）生活区用房可根据现场情况选用以下三种类型：</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①模块化箱房</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②拆装式四坡板房</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③拆装式双坡板房</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2574925" cy="1799590"/>
            <wp:effectExtent l="0" t="0" r="0" b="0"/>
            <wp:docPr id="58" name="图片 58" descr="EG8WI6DVUOMC01UX(R4LG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G8WI6DVUOMC01UX(R4LGM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574925" cy="1799590"/>
                    </a:xfrm>
                    <a:prstGeom prst="rect">
                      <a:avLst/>
                    </a:prstGeom>
                    <a:noFill/>
                    <a:ln>
                      <a:noFill/>
                    </a:ln>
                  </pic:spPr>
                </pic:pic>
              </a:graphicData>
            </a:graphic>
          </wp:inline>
        </w:drawing>
      </w:r>
      <w:r>
        <w:rPr>
          <w:rFonts w:ascii="宋体" w:hAnsi="宋体" w:cs="宋体"/>
          <w:color w:val="000000" w:themeColor="text1"/>
          <w:kern w:val="0"/>
          <w:sz w:val="24"/>
          <w14:textFill>
            <w14:solidFill>
              <w14:schemeClr w14:val="tx1"/>
            </w14:solidFill>
          </w14:textFill>
        </w:rPr>
        <w:drawing>
          <wp:inline distT="0" distB="0" distL="0" distR="0">
            <wp:extent cx="2538095" cy="1755775"/>
            <wp:effectExtent l="0" t="0" r="0" b="0"/>
            <wp:docPr id="59" name="图片 59" descr="23KDGPCHX8~YWB2401955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3KDGPCHX8~YWB2401955IY"/>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538095" cy="1755775"/>
                    </a:xfrm>
                    <a:prstGeom prst="rect">
                      <a:avLst/>
                    </a:prstGeom>
                    <a:noFill/>
                    <a:ln>
                      <a:noFill/>
                    </a:ln>
                  </pic:spPr>
                </pic:pic>
              </a:graphicData>
            </a:graphic>
          </wp:inline>
        </w:drawing>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2538095" cy="1638300"/>
            <wp:effectExtent l="0" t="0" r="0" b="0"/>
            <wp:docPr id="60" name="图片 60" descr="JZW5Y5AW$HX7@9KDV$]]B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JZW5Y5AW$HX7@9KDV$]]BL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538095" cy="163830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（2）生活区用房应满足以下基本要求：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①材料应满足国标的要求。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②应满足抗风抗震及荷载要求。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③应满足建筑防火疏散的要求。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④满足节能环保要求。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（3）模块化箱房标准要求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①模块单元及组合参考办公箱房的相关说明。</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②层数不得超过2层。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（4）拆装式四坡板房标准要求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整体说明：</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①以1.15m为设计基数，以3*1.15m为标准开间，以5*1.15m和6*1.15m为标准进深进行组合。</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②主要结构构件采用方钢管和H型钢；围护结构采用彩钢夹芯板；楼面采用水泥纤维板。</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③屋面应采用四面坡，有组织排水。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④层数应不超过2层。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设计要求：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①跨度宜选用5*1.15m和6*1.15m两种规格。</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②以3*1.15m=3.45m为一个标准间，由若干个标准间排列形成长度尺寸，总长度应不大于60m。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③单层高度宜不大于3m，两层高度宜不大于6m。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④长度方向应不大于22m设置一部楼梯，宜满足疏散距离要求。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⑤走道宽度应不小于1.2m。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⑥屋面排水坡道宜不小于30%。</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5303520" cy="4908550"/>
            <wp:effectExtent l="0" t="0" r="0" b="0"/>
            <wp:docPr id="61" name="图片 61" descr="1~3U{H%_0IJSDE2QG4]6V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3U{H%_0IJSDE2QG4]6VO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303520" cy="490855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材料要求：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①承重结构型材宜选用H型钢、方钢管和C型钢等国际材料，其性能应不低于Q235。</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②墙板和屋面瓦宜采用彩钢金属夹芯板，彩钢板厚度应不小于0.3mm，芯材为玻璃棉，容重应不低于48kg/m</w:t>
      </w:r>
      <w:r>
        <w:rPr>
          <w:rFonts w:hint="eastAsia"/>
          <w:color w:val="000000" w:themeColor="text1"/>
          <w:sz w:val="24"/>
          <w:szCs w:val="21"/>
          <w:vertAlign w:val="superscript"/>
          <w14:textFill>
            <w14:solidFill>
              <w14:schemeClr w14:val="tx1"/>
            </w14:solidFill>
          </w14:textFill>
        </w:rPr>
        <w:t>3</w:t>
      </w:r>
      <w:r>
        <w:rPr>
          <w:rFonts w:hint="eastAsia"/>
          <w:color w:val="000000" w:themeColor="text1"/>
          <w:sz w:val="24"/>
          <w:szCs w:val="21"/>
          <w14:textFill>
            <w14:solidFill>
              <w14:schemeClr w14:val="tx1"/>
            </w14:solidFill>
          </w14:textFill>
        </w:rPr>
        <w:t>。</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③楼面板应采用不小于15mm的水泥纤维板。装饰面层宜选用PVC底板或复合地板等轻质材料。</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④铝合金推拉窗的型材壁厚不低于1.2mm，采光面积不小于1.6m</w:t>
      </w:r>
      <w:r>
        <w:rPr>
          <w:rFonts w:hint="eastAsia"/>
          <w:color w:val="000000" w:themeColor="text1"/>
          <w:sz w:val="24"/>
          <w:szCs w:val="21"/>
          <w:vertAlign w:val="superscript"/>
          <w14:textFill>
            <w14:solidFill>
              <w14:schemeClr w14:val="tx1"/>
            </w14:solidFill>
          </w14:textFill>
        </w:rPr>
        <w:t>2</w:t>
      </w:r>
      <w:r>
        <w:rPr>
          <w:rFonts w:hint="eastAsia"/>
          <w:color w:val="000000" w:themeColor="text1"/>
          <w:sz w:val="24"/>
          <w:szCs w:val="21"/>
          <w14:textFill>
            <w14:solidFill>
              <w14:schemeClr w14:val="tx1"/>
            </w14:solidFill>
          </w14:textFill>
        </w:rPr>
        <w:t>，通风面积不小于0.8m</w:t>
      </w:r>
      <w:r>
        <w:rPr>
          <w:rFonts w:hint="eastAsia"/>
          <w:color w:val="000000" w:themeColor="text1"/>
          <w:sz w:val="24"/>
          <w:szCs w:val="21"/>
          <w:vertAlign w:val="superscript"/>
          <w14:textFill>
            <w14:solidFill>
              <w14:schemeClr w14:val="tx1"/>
            </w14:solidFill>
          </w14:textFill>
        </w:rPr>
        <w:t>2</w:t>
      </w:r>
      <w:r>
        <w:rPr>
          <w:rFonts w:hint="eastAsia"/>
          <w:color w:val="000000" w:themeColor="text1"/>
          <w:sz w:val="24"/>
          <w:szCs w:val="21"/>
          <w14:textFill>
            <w14:solidFill>
              <w14:schemeClr w14:val="tx1"/>
            </w14:solidFill>
          </w14:textFill>
        </w:rPr>
        <w:t>。</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⑤地面基层应采用不低于C20混凝土，且厚度应不小于100mm，装饰面层宜选用地砖。</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4923155" cy="4110990"/>
            <wp:effectExtent l="0" t="0" r="0" b="0"/>
            <wp:docPr id="62" name="图片 62" descr="_8$2JUYLELZ%54RFC_$_P9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_8$2JUYLELZ%54RFC_$_P9Q"/>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923155" cy="411099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基础要求：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①采用断面为400mm*400mm的条形基础，混凝土标号不低于C20。</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②地基承载力特征值不应小于100kPa。当遇到松散填土等不良地质条件时，应根据地基承载力要求进行地基处理或加固。</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③立柱与基础采用不小于M12的膨胀螺栓连接。</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主要节点：</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①墙板包裹在立柱外侧，与立柱采用M5.5*65自攻钉连接。</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②屋面瓦与檩条用M5*80自攻钉连接，与檩条连接的波峰处应有1颗自攻钉。</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③楼板与檩条用M5*30自攻钉连接，自攻钉间距不大于300mm。</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5113020" cy="4630420"/>
            <wp:effectExtent l="0" t="0" r="0" b="0"/>
            <wp:docPr id="63" name="图片 63" descr="4ZKG(X)~MT24[WG}TEHHB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4ZKG(X)~MT24[WG}TEHHB7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113020" cy="463042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（5）拆装式双坡板房标准要求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整体说明：</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①以1.82m为设计基数，以2*1.82m为标准开间，以3*1.82m和4*1.82m为标准进深进行组合。</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②梁、柱结构应采用冷弯薄壁型钢；围护结构采用彩钢夹芯板；楼面采用水泥纤维板。</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③屋面应采用双面坡自由排水。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④板房两端头宜设置封闭楼梯间。</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⑤走道宽度应不小于1.2m。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⑥层数应不超过2层。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设计要求：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①由3*1.82m和4*1.82m两种跨度。</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②以3.64m为一个标准间形成长度尺寸，总长度应不大于60m。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③单层高度应不小于2.85m，两层高度应不小于5.7m。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④长度方向应不大于22m设置一部楼梯，宜满足疏散距离要求。楼梯梯段宽度不小于1.2m，踏步宽度不小于250mm，踏步高度不大于165mm。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⑤走道宽度应不小于1.2m。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⑥正立面及山墙面斜拉杆应设置在墙板内侧。</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⑦屋面应采用双坡屋面，坡道不小于20%，自由排水。</w:t>
      </w:r>
    </w:p>
    <w:p>
      <w:pP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1784985" cy="1514475"/>
            <wp:effectExtent l="0" t="0" r="0" b="0"/>
            <wp:docPr id="64" name="图片 64" descr="MHIVJN7S1%H1%YIJGFIZ$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MHIVJN7S1%H1%YIJGFIZ$EU"/>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1784985" cy="1514475"/>
                    </a:xfrm>
                    <a:prstGeom prst="rect">
                      <a:avLst/>
                    </a:prstGeom>
                    <a:noFill/>
                    <a:ln>
                      <a:noFill/>
                    </a:ln>
                  </pic:spPr>
                </pic:pic>
              </a:graphicData>
            </a:graphic>
          </wp:inline>
        </w:drawing>
      </w:r>
      <w:r>
        <w:rPr>
          <w:color w:val="000000" w:themeColor="text1"/>
          <w14:textFill>
            <w14:solidFill>
              <w14:schemeClr w14:val="tx1"/>
            </w14:solidFill>
          </w14:textFill>
        </w:rPr>
        <w:t xml:space="preserve"> </w:t>
      </w:r>
      <w:r>
        <w:rPr>
          <w:rFonts w:ascii="宋体" w:hAnsi="宋体" w:cs="宋体"/>
          <w:color w:val="000000" w:themeColor="text1"/>
          <w:kern w:val="0"/>
          <w:sz w:val="24"/>
          <w14:textFill>
            <w14:solidFill>
              <w14:schemeClr w14:val="tx1"/>
            </w14:solidFill>
          </w14:textFill>
        </w:rPr>
        <w:drawing>
          <wp:inline distT="0" distB="0" distL="0" distR="0">
            <wp:extent cx="3101340" cy="1426210"/>
            <wp:effectExtent l="0" t="0" r="0" b="0"/>
            <wp:docPr id="65" name="图片 65" descr="9N_Z$LUNBP%{HFJCR8K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9N_Z$LUNBP%{HFJCR8K55(0"/>
                    <pic:cNvPicPr>
                      <a:picLocks noChangeAspect="1" noChangeArrowheads="1"/>
                    </pic:cNvPicPr>
                  </pic:nvPicPr>
                  <pic:blipFill>
                    <a:blip r:embed="rId81">
                      <a:extLst>
                        <a:ext uri="{28A0092B-C50C-407E-A947-70E740481C1C}">
                          <a14:useLocalDpi xmlns:a14="http://schemas.microsoft.com/office/drawing/2010/main" val="0"/>
                        </a:ext>
                      </a:extLst>
                    </a:blip>
                    <a:srcRect b="1315"/>
                    <a:stretch>
                      <a:fillRect/>
                    </a:stretch>
                  </pic:blipFill>
                  <pic:spPr>
                    <a:xfrm>
                      <a:off x="0" y="0"/>
                      <a:ext cx="3101340" cy="142621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主要材料：</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①承重结构型材采用冷弯C80*40薄壁型钢，厚度应不小于1.9mm。立柱采用双拼C型钢，屋架用三角形桁架，楼面梁采用平行弦桁架。</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②墙板和屋面瓦采用彩钢金属夹芯板，彩钢板厚度应不小于0.3mm，芯材为玻璃棉，容重应不低于48kg/m</w:t>
      </w:r>
      <w:r>
        <w:rPr>
          <w:rFonts w:hint="eastAsia"/>
          <w:color w:val="000000" w:themeColor="text1"/>
          <w:sz w:val="24"/>
          <w:szCs w:val="21"/>
          <w:vertAlign w:val="superscript"/>
          <w14:textFill>
            <w14:solidFill>
              <w14:schemeClr w14:val="tx1"/>
            </w14:solidFill>
          </w14:textFill>
        </w:rPr>
        <w:t>3</w:t>
      </w:r>
      <w:r>
        <w:rPr>
          <w:rFonts w:hint="eastAsia"/>
          <w:color w:val="000000" w:themeColor="text1"/>
          <w:sz w:val="24"/>
          <w:szCs w:val="21"/>
          <w14:textFill>
            <w14:solidFill>
              <w14:schemeClr w14:val="tx1"/>
            </w14:solidFill>
          </w14:textFill>
        </w:rPr>
        <w:t>。</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③楼面板应采用不小于15mm的水泥纤维板。</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④采用铝合金推拉窗时，型材壁厚不低于1.2mm。</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⑤地面基层应采用不低于C20混凝土，且厚度应不小于100mm，装饰面层宜选用地砖。</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3957320" cy="3745230"/>
            <wp:effectExtent l="0" t="0" r="0" b="0"/>
            <wp:docPr id="66" name="图片 66" descr="EOH2YA6V9VP@3I@H9DJC8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EOH2YA6V9VP@3I@H9DJC8IX"/>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3957320" cy="3745230"/>
                    </a:xfrm>
                    <a:prstGeom prst="rect">
                      <a:avLst/>
                    </a:prstGeom>
                    <a:noFill/>
                    <a:ln>
                      <a:noFill/>
                    </a:ln>
                  </pic:spPr>
                </pic:pic>
              </a:graphicData>
            </a:graphic>
          </wp:inline>
        </w:drawing>
      </w:r>
    </w:p>
    <w:p>
      <w:pPr>
        <w:spacing w:line="360" w:lineRule="auto"/>
        <w:ind w:firstLine="480" w:firstLineChars="200"/>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t>基础要求</w:t>
      </w:r>
      <w:r>
        <w:rPr>
          <w:rFonts w:hint="eastAsia"/>
          <w:color w:val="000000" w:themeColor="text1"/>
          <w:sz w:val="24"/>
          <w:szCs w:val="21"/>
          <w14:textFill>
            <w14:solidFill>
              <w14:schemeClr w14:val="tx1"/>
            </w14:solidFill>
          </w14:textFill>
        </w:rPr>
        <w:t>：</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①断面应采用不小于300mm*300mm的条形基础，混凝土标号不低于C20。</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②地基承载力特征值不应小于100kPa。当遇到松散填土等不良地质条件时，应根据地基承载力要求进行地基处理或加固。</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③立柱与基础安装应采用不小于M10的膨胀螺栓连接。</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主要节点：</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①墙板与立柱宜采用插入式连接。</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②屋面瓦与檩条用M5.5*80自攻钉连接，与檩条连接的波峰处应有1颗自攻钉。</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③楼板与檩条用M5*30沉头自攻钉连接，自攻钉间距不大于300mm。</w:t>
      </w:r>
    </w:p>
    <w:p>
      <w:pPr>
        <w:widowControl/>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3511550" cy="3526155"/>
            <wp:effectExtent l="0" t="0" r="0" b="0"/>
            <wp:docPr id="67" name="图片 67" descr="N)NGZU7NC}[Y63VF4}%`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N)NGZU7NC}[Y63VF4}%`H)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511550" cy="3526155"/>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42" w:name="_Toc804"/>
      <w:bookmarkStart w:id="1043" w:name="_Toc44492665"/>
      <w:bookmarkStart w:id="1044" w:name="_Toc22370"/>
      <w:r>
        <w:rPr>
          <w:rFonts w:hint="eastAsia"/>
          <w:color w:val="000000" w:themeColor="text1"/>
          <w:sz w:val="24"/>
          <w:szCs w:val="24"/>
          <w14:textFill>
            <w14:solidFill>
              <w14:schemeClr w14:val="tx1"/>
            </w14:solidFill>
          </w14:textFill>
        </w:rPr>
        <w:t>4.4</w:t>
      </w:r>
      <w:r>
        <w:rPr>
          <w:color w:val="000000" w:themeColor="text1"/>
          <w:sz w:val="24"/>
          <w:szCs w:val="24"/>
          <w14:textFill>
            <w14:solidFill>
              <w14:schemeClr w14:val="tx1"/>
            </w14:solidFill>
          </w14:textFill>
        </w:rPr>
        <w:t xml:space="preserve"> </w:t>
      </w:r>
      <w:r>
        <w:rPr>
          <w:rFonts w:hint="eastAsia"/>
          <w:color w:val="000000" w:themeColor="text1"/>
          <w:sz w:val="24"/>
          <w14:textFill>
            <w14:solidFill>
              <w14:schemeClr w14:val="tx1"/>
            </w14:solidFill>
          </w14:textFill>
        </w:rPr>
        <w:t>卫生间、浴室</w:t>
      </w:r>
      <w:bookmarkEnd w:id="1042"/>
      <w:bookmarkEnd w:id="1043"/>
      <w:bookmarkEnd w:id="1044"/>
    </w:p>
    <w:p>
      <w:pPr>
        <w:spacing w:line="360" w:lineRule="auto"/>
        <w:ind w:firstLine="480" w:firstLineChars="200"/>
        <w:jc w:val="left"/>
        <w:rPr>
          <w:rFonts w:ascii="宋体" w:hAnsi="宋体"/>
          <w:color w:val="000000" w:themeColor="text1"/>
          <w:sz w:val="24"/>
          <w:szCs w:val="21"/>
          <w14:textFill>
            <w14:solidFill>
              <w14:schemeClr w14:val="tx1"/>
            </w14:solidFill>
          </w14:textFill>
        </w:rPr>
      </w:pPr>
      <w:r>
        <w:rPr>
          <w:rFonts w:hint="eastAsia" w:ascii="宋体" w:hAnsi="宋体"/>
          <w:color w:val="000000" w:themeColor="text1"/>
          <w:sz w:val="24"/>
          <w:szCs w:val="21"/>
          <w14:textFill>
            <w14:solidFill>
              <w14:schemeClr w14:val="tx1"/>
            </w14:solidFill>
          </w14:textFill>
        </w:rPr>
        <w:t>生活区设专门的浴室，男女浴室分开设立，并按人员数量设足够的淋浴设施，每100人配不少于5个淋浴头。</w:t>
      </w:r>
    </w:p>
    <w:p>
      <w:pPr>
        <w:spacing w:line="360" w:lineRule="auto"/>
        <w:ind w:firstLine="480" w:firstLineChars="200"/>
        <w:jc w:val="left"/>
        <w:rPr>
          <w:rFonts w:ascii="宋体" w:hAnsi="宋体"/>
          <w:color w:val="000000" w:themeColor="text1"/>
          <w:sz w:val="24"/>
          <w:szCs w:val="21"/>
          <w14:textFill>
            <w14:solidFill>
              <w14:schemeClr w14:val="tx1"/>
            </w14:solidFill>
          </w14:textFill>
        </w:rPr>
      </w:pPr>
      <w:r>
        <w:rPr>
          <w:rFonts w:hint="eastAsia" w:ascii="宋体" w:hAnsi="宋体"/>
          <w:color w:val="000000" w:themeColor="text1"/>
          <w:sz w:val="24"/>
          <w:szCs w:val="21"/>
          <w14:textFill>
            <w14:solidFill>
              <w14:schemeClr w14:val="tx1"/>
            </w14:solidFill>
          </w14:textFill>
        </w:rPr>
        <w:t>卫生间、浴室内墙及地面应粘贴瓷砖，采用防滑地板或采取防滑措施，谨防滑跌伤人。卫生间和浴室应有冲水设备，外墙张贴管理制度并设置导向牌。</w:t>
      </w:r>
    </w:p>
    <w:p>
      <w:pPr>
        <w:spacing w:line="360" w:lineRule="auto"/>
        <w:ind w:firstLine="480" w:firstLineChars="200"/>
        <w:jc w:val="left"/>
        <w:rPr>
          <w:rFonts w:ascii="宋体" w:hAnsi="宋体"/>
          <w:color w:val="000000" w:themeColor="text1"/>
          <w:sz w:val="24"/>
          <w:szCs w:val="21"/>
          <w14:textFill>
            <w14:solidFill>
              <w14:schemeClr w14:val="tx1"/>
            </w14:solidFill>
          </w14:textFill>
        </w:rPr>
      </w:pPr>
      <w:r>
        <w:rPr>
          <w:rFonts w:hint="eastAsia" w:ascii="宋体" w:hAnsi="宋体"/>
          <w:color w:val="000000" w:themeColor="text1"/>
          <w:sz w:val="24"/>
          <w:szCs w:val="21"/>
          <w14:textFill>
            <w14:solidFill>
              <w14:schemeClr w14:val="tx1"/>
            </w14:solidFill>
          </w14:textFill>
        </w:rPr>
        <w:t>浴室等有水房间应采用防水灯具，高度不低于2.5米。卫生间浴室、龙头应采用节水龙头。</w:t>
      </w:r>
    </w:p>
    <w:p>
      <w:pPr>
        <w:widowControl/>
        <w:jc w:val="left"/>
        <w:rPr>
          <w:color w:val="000000" w:themeColor="text1"/>
          <w:sz w:val="24"/>
          <w:szCs w:val="21"/>
          <w14:textFill>
            <w14:solidFill>
              <w14:schemeClr w14:val="tx1"/>
            </w14:solidFill>
          </w14:textFill>
        </w:rPr>
      </w:pPr>
      <w:r>
        <w:rPr>
          <w:rFonts w:ascii="宋体" w:hAnsi="宋体" w:cs="宋体"/>
          <w:color w:val="000000" w:themeColor="text1"/>
          <w:kern w:val="0"/>
          <w:sz w:val="24"/>
          <w14:textFill>
            <w14:solidFill>
              <w14:schemeClr w14:val="tx1"/>
            </w14:solidFill>
          </w14:textFill>
        </w:rPr>
        <w:drawing>
          <wp:inline distT="0" distB="0" distL="0" distR="0">
            <wp:extent cx="2092325" cy="2465070"/>
            <wp:effectExtent l="0" t="0" r="0" b="0"/>
            <wp:docPr id="68" name="图片 68" descr="Y04@(})12$T(2LC3{U[JX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Y04@(})12$T(2LC3{U[JXC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092325" cy="2465070"/>
                    </a:xfrm>
                    <a:prstGeom prst="rect">
                      <a:avLst/>
                    </a:prstGeom>
                    <a:noFill/>
                    <a:ln>
                      <a:noFill/>
                    </a:ln>
                  </pic:spPr>
                </pic:pic>
              </a:graphicData>
            </a:graphic>
          </wp:inline>
        </w:drawing>
      </w:r>
      <w:r>
        <w:rPr>
          <w:rFonts w:hint="eastAsia" w:ascii="宋体" w:hAnsi="宋体" w:cs="宋体"/>
          <w:color w:val="000000" w:themeColor="text1"/>
          <w:kern w:val="0"/>
          <w:sz w:val="24"/>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2860040" cy="247269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860040" cy="2472690"/>
                    </a:xfrm>
                    <a:prstGeom prst="rect">
                      <a:avLst/>
                    </a:prstGeom>
                    <a:noFill/>
                    <a:ln>
                      <a:noFill/>
                    </a:ln>
                  </pic:spPr>
                </pic:pic>
              </a:graphicData>
            </a:graphic>
          </wp:inline>
        </w:drawing>
      </w:r>
    </w:p>
    <w:p>
      <w:pPr>
        <w:pStyle w:val="4"/>
        <w:spacing w:before="100" w:beforeAutospacing="1" w:after="100" w:afterAutospacing="1" w:line="240" w:lineRule="auto"/>
        <w:rPr>
          <w:color w:val="000000" w:themeColor="text1"/>
          <w:sz w:val="24"/>
          <w:szCs w:val="24"/>
          <w14:textFill>
            <w14:solidFill>
              <w14:schemeClr w14:val="tx1"/>
            </w14:solidFill>
          </w14:textFill>
        </w:rPr>
      </w:pPr>
      <w:bookmarkStart w:id="1045" w:name="_Toc44492666"/>
      <w:bookmarkStart w:id="1046" w:name="_Toc19634"/>
      <w:bookmarkStart w:id="1047" w:name="_Toc821"/>
      <w:r>
        <w:rPr>
          <w:rFonts w:hint="eastAsia"/>
          <w:color w:val="000000" w:themeColor="text1"/>
          <w:sz w:val="24"/>
          <w:szCs w:val="24"/>
          <w14:textFill>
            <w14:solidFill>
              <w14:schemeClr w14:val="tx1"/>
            </w14:solidFill>
          </w14:textFill>
        </w:rPr>
        <w:t>4</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5</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食堂</w:t>
      </w:r>
      <w:bookmarkEnd w:id="1045"/>
      <w:bookmarkEnd w:id="1046"/>
      <w:bookmarkEnd w:id="1047"/>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1</w:t>
      </w:r>
      <w:r>
        <w:rPr>
          <w:rFonts w:hint="eastAsia"/>
          <w:color w:val="000000" w:themeColor="text1"/>
          <w:sz w:val="24"/>
          <w:szCs w:val="21"/>
          <w14:textFill>
            <w14:solidFill>
              <w14:schemeClr w14:val="tx1"/>
            </w14:solidFill>
          </w14:textFill>
        </w:rPr>
        <w:t>）食堂规模、厨师人数应与工程建设规模及用餐人数相适应。</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2</w:t>
      </w:r>
      <w:r>
        <w:rPr>
          <w:rFonts w:hint="eastAsia"/>
          <w:color w:val="000000" w:themeColor="text1"/>
          <w:sz w:val="24"/>
          <w:szCs w:val="21"/>
          <w14:textFill>
            <w14:solidFill>
              <w14:schemeClr w14:val="tx1"/>
            </w14:solidFill>
          </w14:textFill>
        </w:rPr>
        <w:t>）食堂必须办理卫生许可证，相关人员需持有效的健康证明上岗，所在单位应按要求安排食堂相关人员定期体检。食堂的管理人员、卫生许可证、工作人员健康合格证均应公示。</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3</w:t>
      </w:r>
      <w:r>
        <w:rPr>
          <w:rFonts w:hint="eastAsia"/>
          <w:color w:val="000000" w:themeColor="text1"/>
          <w:sz w:val="24"/>
          <w:szCs w:val="21"/>
          <w14:textFill>
            <w14:solidFill>
              <w14:schemeClr w14:val="tx1"/>
            </w14:solidFill>
          </w14:textFill>
        </w:rPr>
        <w:t>）厨师进行炊事工作时要穿戴“三白”（白色工作帽、白色工作服、白色口罩），严禁穿拖鞋，保持个人卫生。</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4</w:t>
      </w:r>
      <w:r>
        <w:rPr>
          <w:rFonts w:hint="eastAsia"/>
          <w:color w:val="000000" w:themeColor="text1"/>
          <w:sz w:val="24"/>
          <w:szCs w:val="21"/>
          <w14:textFill>
            <w14:solidFill>
              <w14:schemeClr w14:val="tx1"/>
            </w14:solidFill>
          </w14:textFill>
        </w:rPr>
        <w:t>）食堂应优先使用天然气或用电，若使用液化气，储罐数量应严格控制，</w:t>
      </w:r>
      <w:r>
        <w:rPr>
          <w:color w:val="000000" w:themeColor="text1"/>
          <w:sz w:val="24"/>
          <w:szCs w:val="21"/>
          <w14:textFill>
            <w14:solidFill>
              <w14:schemeClr w14:val="tx1"/>
            </w14:solidFill>
          </w14:textFill>
        </w:rPr>
        <w:t xml:space="preserve">50kg </w:t>
      </w:r>
      <w:r>
        <w:rPr>
          <w:rFonts w:hint="eastAsia"/>
          <w:color w:val="000000" w:themeColor="text1"/>
          <w:sz w:val="24"/>
          <w:szCs w:val="21"/>
          <w14:textFill>
            <w14:solidFill>
              <w14:schemeClr w14:val="tx1"/>
            </w14:solidFill>
          </w14:textFill>
        </w:rPr>
        <w:t>液化气罐应小于</w:t>
      </w:r>
      <w:r>
        <w:rPr>
          <w:color w:val="000000" w:themeColor="text1"/>
          <w:sz w:val="24"/>
          <w:szCs w:val="21"/>
          <w14:textFill>
            <w14:solidFill>
              <w14:schemeClr w14:val="tx1"/>
            </w14:solidFill>
          </w14:textFill>
        </w:rPr>
        <w:t>8</w:t>
      </w:r>
      <w:r>
        <w:rPr>
          <w:rFonts w:hint="eastAsia"/>
          <w:color w:val="000000" w:themeColor="text1"/>
          <w:sz w:val="24"/>
          <w:szCs w:val="21"/>
          <w14:textFill>
            <w14:solidFill>
              <w14:schemeClr w14:val="tx1"/>
            </w14:solidFill>
          </w14:textFill>
        </w:rPr>
        <w:t>个（总量不超过</w:t>
      </w:r>
      <w:r>
        <w:rPr>
          <w:color w:val="000000" w:themeColor="text1"/>
          <w:sz w:val="24"/>
          <w:szCs w:val="21"/>
          <w14:textFill>
            <w14:solidFill>
              <w14:schemeClr w14:val="tx1"/>
            </w14:solidFill>
          </w14:textFill>
        </w:rPr>
        <w:t>500kg</w:t>
      </w:r>
      <w:r>
        <w:rPr>
          <w:rFonts w:hint="eastAsia"/>
          <w:color w:val="000000" w:themeColor="text1"/>
          <w:sz w:val="24"/>
          <w:szCs w:val="21"/>
          <w14:textFill>
            <w14:solidFill>
              <w14:schemeClr w14:val="tx1"/>
            </w14:solidFill>
          </w14:textFill>
        </w:rPr>
        <w:t>）。食堂应配置灭火器等消防设备设施。</w:t>
      </w:r>
    </w:p>
    <w:p>
      <w:pPr>
        <w:spacing w:line="360" w:lineRule="auto"/>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2538095" cy="2084705"/>
            <wp:effectExtent l="0" t="0" r="0" b="0"/>
            <wp:docPr id="70" name="图片 70" descr="1584089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58408997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538095" cy="2084705"/>
                    </a:xfrm>
                    <a:prstGeom prst="rect">
                      <a:avLst/>
                    </a:prstGeom>
                    <a:noFill/>
                    <a:ln>
                      <a:noFill/>
                    </a:ln>
                  </pic:spPr>
                </pic:pic>
              </a:graphicData>
            </a:graphic>
          </wp:inline>
        </w:drawing>
      </w:r>
      <w:r>
        <w:rPr>
          <w:color w:val="000000" w:themeColor="text1"/>
          <w:sz w:val="24"/>
          <w:szCs w:val="21"/>
          <w14:textFill>
            <w14:solidFill>
              <w14:schemeClr w14:val="tx1"/>
            </w14:solidFill>
          </w14:textFill>
        </w:rPr>
        <w:drawing>
          <wp:inline distT="0" distB="0" distL="0" distR="0">
            <wp:extent cx="2750820" cy="2026285"/>
            <wp:effectExtent l="0" t="0" r="0" b="0"/>
            <wp:docPr id="71" name="图片 71" descr="1584090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584090020(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750820" cy="2026285"/>
                    </a:xfrm>
                    <a:prstGeom prst="rect">
                      <a:avLst/>
                    </a:prstGeom>
                    <a:noFill/>
                    <a:ln>
                      <a:noFill/>
                    </a:ln>
                  </pic:spPr>
                </pic:pic>
              </a:graphicData>
            </a:graphic>
          </wp:inline>
        </w:drawing>
      </w:r>
    </w:p>
    <w:p>
      <w:pPr>
        <w:spacing w:line="360" w:lineRule="auto"/>
        <w:ind w:firstLine="480" w:firstLineChars="200"/>
        <w:jc w:val="left"/>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5</w:t>
      </w:r>
      <w:r>
        <w:rPr>
          <w:rFonts w:hint="eastAsia"/>
          <w:color w:val="000000" w:themeColor="text1"/>
          <w:sz w:val="24"/>
          <w:szCs w:val="21"/>
          <w14:textFill>
            <w14:solidFill>
              <w14:schemeClr w14:val="tx1"/>
            </w14:solidFill>
          </w14:textFill>
        </w:rPr>
        <w:t>）食堂垃圾应装在专门容器或专用塑料袋内，实行封闭管理。生熟食应分别存放，并落实防蝇、污水排放（设置隔油池）等措施。</w:t>
      </w:r>
    </w:p>
    <w:p>
      <w:pPr>
        <w:spacing w:line="360" w:lineRule="auto"/>
        <w:ind w:firstLine="480" w:firstLineChars="200"/>
        <w:jc w:val="left"/>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6</w:t>
      </w:r>
      <w:r>
        <w:rPr>
          <w:rFonts w:hint="eastAsia"/>
          <w:color w:val="000000" w:themeColor="text1"/>
          <w:sz w:val="24"/>
          <w:szCs w:val="21"/>
          <w14:textFill>
            <w14:solidFill>
              <w14:schemeClr w14:val="tx1"/>
            </w14:solidFill>
          </w14:textFill>
        </w:rPr>
        <w:t>）完善食品采购、食物留样等卫生管理制度。</w:t>
      </w:r>
    </w:p>
    <w:p>
      <w:pPr>
        <w:spacing w:line="360" w:lineRule="auto"/>
        <w:ind w:firstLine="480" w:firstLineChars="200"/>
        <w:jc w:val="left"/>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7</w:t>
      </w:r>
      <w:r>
        <w:rPr>
          <w:rFonts w:hint="eastAsia"/>
          <w:color w:val="000000" w:themeColor="text1"/>
          <w:sz w:val="24"/>
          <w:szCs w:val="21"/>
          <w14:textFill>
            <w14:solidFill>
              <w14:schemeClr w14:val="tx1"/>
            </w14:solidFill>
          </w14:textFill>
        </w:rPr>
        <w:t>）职工餐厅设置餐桌、凳子、洗碗池、垃圾桶，食堂管理人员及时做好清洁工作。</w:t>
      </w:r>
    </w:p>
    <w:p>
      <w:pPr>
        <w:spacing w:line="360" w:lineRule="auto"/>
        <w:ind w:firstLine="480" w:firstLineChars="200"/>
        <w:jc w:val="left"/>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w:t>
      </w:r>
      <w:r>
        <w:rPr>
          <w:color w:val="000000" w:themeColor="text1"/>
          <w:sz w:val="24"/>
          <w:szCs w:val="21"/>
          <w14:textFill>
            <w14:solidFill>
              <w14:schemeClr w14:val="tx1"/>
            </w14:solidFill>
          </w14:textFill>
        </w:rPr>
        <w:t>8</w:t>
      </w:r>
      <w:r>
        <w:rPr>
          <w:rFonts w:hint="eastAsia"/>
          <w:color w:val="000000" w:themeColor="text1"/>
          <w:sz w:val="24"/>
          <w:szCs w:val="21"/>
          <w14:textFill>
            <w14:solidFill>
              <w14:schemeClr w14:val="tx1"/>
            </w14:solidFill>
          </w14:textFill>
        </w:rPr>
        <w:t>）食堂应设置适当数量的宣传标语，宣传标语可以包括用餐公约、消防安全、对厨师人员评价公示栏、保持卫生等内容。</w:t>
      </w:r>
    </w:p>
    <w:p>
      <w:pPr>
        <w:spacing w:line="360" w:lineRule="auto"/>
        <w:jc w:val="center"/>
        <w:rPr>
          <w:color w:val="000000" w:themeColor="text1"/>
          <w:sz w:val="24"/>
          <w:szCs w:val="21"/>
          <w14:textFill>
            <w14:solidFill>
              <w14:schemeClr w14:val="tx1"/>
            </w14:solidFill>
          </w14:textFill>
        </w:rPr>
      </w:pPr>
      <w:r>
        <w:rPr>
          <w:color w:val="000000" w:themeColor="text1"/>
          <w:sz w:val="24"/>
          <w:szCs w:val="21"/>
          <w14:textFill>
            <w14:solidFill>
              <w14:schemeClr w14:val="tx1"/>
            </w14:solidFill>
          </w14:textFill>
        </w:rPr>
        <w:drawing>
          <wp:inline distT="0" distB="0" distL="0" distR="0">
            <wp:extent cx="2787015" cy="2223770"/>
            <wp:effectExtent l="0" t="0" r="0" b="0"/>
            <wp:docPr id="72" name="图片 72" descr="1584090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584090589(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787015" cy="2223770"/>
                    </a:xfrm>
                    <a:prstGeom prst="rect">
                      <a:avLst/>
                    </a:prstGeom>
                    <a:noFill/>
                    <a:ln>
                      <a:noFill/>
                    </a:ln>
                  </pic:spPr>
                </pic:pic>
              </a:graphicData>
            </a:graphic>
          </wp:inline>
        </w:drawing>
      </w:r>
    </w:p>
    <w:p>
      <w:pPr>
        <w:pStyle w:val="4"/>
        <w:spacing w:before="100" w:beforeAutospacing="1" w:after="100" w:afterAutospacing="1" w:line="360" w:lineRule="auto"/>
        <w:rPr>
          <w:color w:val="000000" w:themeColor="text1"/>
          <w:sz w:val="28"/>
          <w:szCs w:val="24"/>
          <w14:textFill>
            <w14:solidFill>
              <w14:schemeClr w14:val="tx1"/>
            </w14:solidFill>
          </w14:textFill>
        </w:rPr>
      </w:pPr>
      <w:bookmarkStart w:id="1048" w:name="_Toc5515"/>
      <w:bookmarkStart w:id="1049" w:name="_Toc13752"/>
      <w:bookmarkStart w:id="1050" w:name="_Toc44492667"/>
      <w:r>
        <w:rPr>
          <w:rFonts w:hint="eastAsia"/>
          <w:color w:val="000000" w:themeColor="text1"/>
          <w:sz w:val="28"/>
          <w:szCs w:val="24"/>
          <w14:textFill>
            <w14:solidFill>
              <w14:schemeClr w14:val="tx1"/>
            </w14:solidFill>
          </w14:textFill>
        </w:rPr>
        <w:t>五、安全标志标牌</w:t>
      </w:r>
      <w:bookmarkEnd w:id="1048"/>
      <w:bookmarkEnd w:id="1049"/>
      <w:bookmarkEnd w:id="1050"/>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安全标志标牌设置总原则为：标识清晰、导向明确、牢固美观、整齐划一、数量满足施工要求。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安全标志包括GB2894-</w:t>
      </w:r>
      <w:r>
        <w:rPr>
          <w:color w:val="000000" w:themeColor="text1"/>
          <w:sz w:val="24"/>
          <w:szCs w:val="21"/>
          <w14:textFill>
            <w14:solidFill>
              <w14:schemeClr w14:val="tx1"/>
            </w14:solidFill>
          </w14:textFill>
        </w:rPr>
        <w:t>2008</w:t>
      </w:r>
      <w:r>
        <w:rPr>
          <w:rFonts w:hint="eastAsia"/>
          <w:color w:val="000000" w:themeColor="text1"/>
          <w:sz w:val="24"/>
          <w:szCs w:val="21"/>
          <w14:textFill>
            <w14:solidFill>
              <w14:schemeClr w14:val="tx1"/>
            </w14:solidFill>
          </w14:textFill>
        </w:rPr>
        <w:t>《安全标志及其使用导则》中的禁止标志、警告标志、指令标志和提示标志四大类型，各类标志的详细标准，可参考GB2894-</w:t>
      </w:r>
      <w:r>
        <w:rPr>
          <w:color w:val="000000" w:themeColor="text1"/>
          <w:sz w:val="24"/>
          <w:szCs w:val="21"/>
          <w14:textFill>
            <w14:solidFill>
              <w14:schemeClr w14:val="tx1"/>
            </w14:solidFill>
          </w14:textFill>
        </w:rPr>
        <w:t>2008</w:t>
      </w:r>
      <w:r>
        <w:rPr>
          <w:rFonts w:hint="eastAsia"/>
          <w:color w:val="000000" w:themeColor="text1"/>
          <w:sz w:val="24"/>
          <w:szCs w:val="21"/>
          <w14:textFill>
            <w14:solidFill>
              <w14:schemeClr w14:val="tx1"/>
            </w14:solidFill>
          </w14:textFill>
        </w:rPr>
        <w:t>《安全标志及其使用导则》。</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标志牌采用镀锌铁板、PVC 板或塑料板制成，面层为黑体字。安全标志牌分为禁止标志、警告标志、指令标志、提示标志四种，标志牌宽×高：400mm×500mm；其内容根据图标自定。如下图示：</w:t>
      </w:r>
    </w:p>
    <w:p>
      <w:pPr>
        <w:spacing w:line="360" w:lineRule="auto"/>
        <w:jc w:val="center"/>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drawing>
          <wp:inline distT="0" distB="0" distL="0" distR="0">
            <wp:extent cx="3613785" cy="393573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613785" cy="3935730"/>
                    </a:xfrm>
                    <a:prstGeom prst="rect">
                      <a:avLst/>
                    </a:prstGeom>
                    <a:noFill/>
                    <a:ln>
                      <a:noFill/>
                    </a:ln>
                  </pic:spPr>
                </pic:pic>
              </a:graphicData>
            </a:graphic>
          </wp:inline>
        </w:drawing>
      </w:r>
    </w:p>
    <w:p>
      <w:pPr>
        <w:spacing w:line="360" w:lineRule="auto"/>
        <w:jc w:val="center"/>
        <w:rPr>
          <w:rFonts w:ascii="楷体_GB2312" w:eastAsia="楷体_GB2312"/>
          <w:b/>
          <w:color w:val="000000" w:themeColor="text1"/>
          <w:szCs w:val="21"/>
          <w14:textFill>
            <w14:solidFill>
              <w14:schemeClr w14:val="tx1"/>
            </w14:solidFill>
          </w14:textFill>
        </w:rPr>
      </w:pPr>
      <w:r>
        <w:rPr>
          <w:rFonts w:hint="eastAsia" w:ascii="楷体_GB2312" w:eastAsia="楷体_GB2312"/>
          <w:b/>
          <w:color w:val="000000" w:themeColor="text1"/>
          <w:szCs w:val="21"/>
          <w14:textFill>
            <w14:solidFill>
              <w14:schemeClr w14:val="tx1"/>
            </w14:solidFill>
          </w14:textFill>
        </w:rPr>
        <w:t>禁止标志</w:t>
      </w:r>
    </w:p>
    <w:p>
      <w:pPr>
        <w:spacing w:line="360" w:lineRule="auto"/>
        <w:jc w:val="center"/>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drawing>
          <wp:inline distT="0" distB="0" distL="0" distR="0">
            <wp:extent cx="3606165" cy="432308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3606165" cy="4323080"/>
                    </a:xfrm>
                    <a:prstGeom prst="rect">
                      <a:avLst/>
                    </a:prstGeom>
                    <a:noFill/>
                    <a:ln>
                      <a:noFill/>
                    </a:ln>
                  </pic:spPr>
                </pic:pic>
              </a:graphicData>
            </a:graphic>
          </wp:inline>
        </w:drawing>
      </w:r>
    </w:p>
    <w:p>
      <w:pPr>
        <w:spacing w:line="360" w:lineRule="auto"/>
        <w:jc w:val="center"/>
        <w:rPr>
          <w:rFonts w:ascii="楷体_GB2312" w:eastAsia="楷体_GB2312"/>
          <w:b/>
          <w:color w:val="000000" w:themeColor="text1"/>
          <w:szCs w:val="21"/>
          <w14:textFill>
            <w14:solidFill>
              <w14:schemeClr w14:val="tx1"/>
            </w14:solidFill>
          </w14:textFill>
        </w:rPr>
      </w:pPr>
      <w:r>
        <w:rPr>
          <w:rFonts w:hint="eastAsia" w:ascii="楷体_GB2312" w:eastAsia="楷体_GB2312"/>
          <w:b/>
          <w:color w:val="000000" w:themeColor="text1"/>
          <w:szCs w:val="21"/>
          <w14:textFill>
            <w14:solidFill>
              <w14:schemeClr w14:val="tx1"/>
            </w14:solidFill>
          </w14:textFill>
        </w:rPr>
        <w:t xml:space="preserve"> 警告标志</w:t>
      </w:r>
    </w:p>
    <w:p>
      <w:pPr>
        <w:spacing w:line="360" w:lineRule="auto"/>
        <w:jc w:val="center"/>
        <w:rPr>
          <w:color w:val="000000" w:themeColor="text1"/>
          <w:szCs w:val="2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drawing>
          <wp:inline distT="0" distB="0" distL="0" distR="0">
            <wp:extent cx="3620770" cy="389191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3620770" cy="3891915"/>
                    </a:xfrm>
                    <a:prstGeom prst="rect">
                      <a:avLst/>
                    </a:prstGeom>
                    <a:noFill/>
                    <a:ln>
                      <a:noFill/>
                    </a:ln>
                  </pic:spPr>
                </pic:pic>
              </a:graphicData>
            </a:graphic>
          </wp:inline>
        </w:drawing>
      </w:r>
    </w:p>
    <w:p>
      <w:pPr>
        <w:spacing w:line="360" w:lineRule="auto"/>
        <w:jc w:val="center"/>
        <w:rPr>
          <w:rFonts w:ascii="楷体_GB2312" w:eastAsia="楷体_GB2312"/>
          <w:b/>
          <w:color w:val="000000" w:themeColor="text1"/>
          <w:szCs w:val="21"/>
          <w14:textFill>
            <w14:solidFill>
              <w14:schemeClr w14:val="tx1"/>
            </w14:solidFill>
          </w14:textFill>
        </w:rPr>
      </w:pPr>
      <w:r>
        <w:rPr>
          <w:rFonts w:hint="eastAsia" w:eastAsia="楷体_GB2312"/>
          <w:b/>
          <w:color w:val="000000" w:themeColor="text1"/>
          <w:szCs w:val="21"/>
          <w14:textFill>
            <w14:solidFill>
              <w14:schemeClr w14:val="tx1"/>
            </w14:solidFill>
          </w14:textFill>
        </w:rPr>
        <w:t>指令标示</w:t>
      </w:r>
    </w:p>
    <w:p>
      <w:pPr>
        <w:spacing w:line="360" w:lineRule="auto"/>
        <w:ind w:left="-15" w:leftChars="-7"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禁止标志设置在任何有必须禁止行为的区域，用以禁止可能带来安全隐患的行为，包括“禁止吸烟”、“禁止烟火”、“禁止通行”、“禁止入内”等。</w:t>
      </w:r>
    </w:p>
    <w:p>
      <w:pPr>
        <w:spacing w:line="360" w:lineRule="auto"/>
        <w:ind w:left="-15" w:leftChars="-7"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警告标志设置在施工区域的通道入口、施工控制区域和其他存在安全风险的区域（如临边（水）、配电箱、存在落物打击风险的区域），用以提醒相关人员注意防范和远离危险，包括“注意安全”，“当心坠落”、“当心落物”、“当心滑跌”、“当心触电”等。</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指令标志设置在施工区域的通道入口和必须采取特殊防护的作业场所，用以提醒相关人员必须穿戴必要的劳动保护用品和特殊防护用品，包括“必须穿工作服”，“必须带安全帽”，“必须戴防护眼镜”，“必须系安全带”，“必须带防护手套”等。</w:t>
      </w:r>
    </w:p>
    <w:p>
      <w:pPr>
        <w:pStyle w:val="4"/>
        <w:spacing w:before="100" w:beforeAutospacing="1" w:after="100" w:afterAutospacing="1" w:line="360" w:lineRule="auto"/>
        <w:rPr>
          <w:color w:val="000000" w:themeColor="text1"/>
          <w:sz w:val="28"/>
          <w:szCs w:val="24"/>
          <w14:textFill>
            <w14:solidFill>
              <w14:schemeClr w14:val="tx1"/>
            </w14:solidFill>
          </w14:textFill>
        </w:rPr>
      </w:pPr>
      <w:bookmarkStart w:id="1051" w:name="_Toc16622"/>
      <w:bookmarkStart w:id="1052" w:name="_Toc6012"/>
      <w:bookmarkStart w:id="1053" w:name="_Toc44492668"/>
      <w:r>
        <w:rPr>
          <w:rFonts w:hint="eastAsia"/>
          <w:color w:val="000000" w:themeColor="text1"/>
          <w:sz w:val="28"/>
          <w:szCs w:val="24"/>
          <w14:textFill>
            <w14:solidFill>
              <w14:schemeClr w14:val="tx1"/>
            </w14:solidFill>
          </w14:textFill>
        </w:rPr>
        <w:t>六、附则</w:t>
      </w:r>
      <w:bookmarkEnd w:id="1051"/>
      <w:bookmarkEnd w:id="1052"/>
      <w:bookmarkEnd w:id="1053"/>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1、本图册的图片供各参建单位参考，各项标准为工程绿色施工安全防护措施基本要求，各单位绿色施工安全防护措施标准应不低于此图册相关要求。</w:t>
      </w:r>
    </w:p>
    <w:p>
      <w:pPr>
        <w:spacing w:line="360" w:lineRule="auto"/>
        <w:ind w:firstLine="480" w:firstLineChars="200"/>
        <w:rPr>
          <w:color w:val="000000" w:themeColor="text1"/>
          <w:sz w:val="24"/>
          <w:szCs w:val="21"/>
          <w14:textFill>
            <w14:solidFill>
              <w14:schemeClr w14:val="tx1"/>
            </w14:solidFill>
          </w14:textFill>
        </w:rPr>
      </w:pPr>
      <w:r>
        <w:rPr>
          <w:rFonts w:hint="eastAsia"/>
          <w:color w:val="000000" w:themeColor="text1"/>
          <w:sz w:val="24"/>
          <w:szCs w:val="21"/>
          <w14:textFill>
            <w14:solidFill>
              <w14:schemeClr w14:val="tx1"/>
            </w14:solidFill>
          </w14:textFill>
        </w:rPr>
        <w:t>2、</w:t>
      </w:r>
      <w:r>
        <w:rPr>
          <w:rFonts w:hint="eastAsia"/>
          <w:sz w:val="24"/>
          <w:szCs w:val="21"/>
        </w:rPr>
        <w:t>本图册解释权属发包人</w:t>
      </w:r>
      <w:r>
        <w:rPr>
          <w:rFonts w:hint="eastAsia"/>
          <w:color w:val="000000" w:themeColor="text1"/>
          <w:sz w:val="24"/>
          <w:szCs w:val="21"/>
          <w14:textFill>
            <w14:solidFill>
              <w14:schemeClr w14:val="tx1"/>
            </w14:solidFill>
          </w14:textFill>
        </w:rPr>
        <w:t>。</w:t>
      </w:r>
    </w:p>
    <w:p>
      <w:pPr>
        <w:spacing w:line="360" w:lineRule="auto"/>
        <w:rPr>
          <w:color w:val="000000" w:themeColor="text1"/>
          <w14:textFill>
            <w14:solidFill>
              <w14:schemeClr w14:val="tx1"/>
            </w14:solidFill>
          </w14:textFill>
        </w:rPr>
      </w:pPr>
    </w:p>
    <w:p>
      <w:pPr>
        <w:pStyle w:val="2"/>
        <w:rPr>
          <w:color w:val="000000" w:themeColor="text1"/>
          <w:sz w:val="28"/>
          <w:szCs w:val="28"/>
          <w14:textFill>
            <w14:solidFill>
              <w14:schemeClr w14:val="tx1"/>
            </w14:solidFill>
          </w14:textFill>
        </w:rPr>
      </w:pPr>
      <w:bookmarkStart w:id="1054" w:name="_Toc44227958"/>
      <w:bookmarkStart w:id="1055" w:name="_Toc993"/>
      <w:bookmarkStart w:id="1056" w:name="_Toc44492670"/>
      <w:bookmarkStart w:id="1057" w:name="_Toc24680"/>
      <w:bookmarkStart w:id="1058" w:name="_Toc118446919"/>
      <w:bookmarkStart w:id="1059" w:name="_Toc22024"/>
      <w:bookmarkStart w:id="1060" w:name="_Toc40186532"/>
      <w:r>
        <w:rPr>
          <w:rFonts w:hint="eastAsia"/>
          <w:color w:val="000000" w:themeColor="text1"/>
          <w:sz w:val="28"/>
          <w:szCs w:val="28"/>
          <w14:textFill>
            <w14:solidFill>
              <w14:schemeClr w14:val="tx1"/>
            </w14:solidFill>
          </w14:textFill>
        </w:rPr>
        <w:t>附件1</w:t>
      </w:r>
      <w:bookmarkEnd w:id="1054"/>
      <w:bookmarkEnd w:id="1055"/>
      <w:bookmarkEnd w:id="1056"/>
      <w:bookmarkEnd w:id="1057"/>
      <w:r>
        <w:rPr>
          <w:rFonts w:hint="eastAsia"/>
          <w:color w:val="000000" w:themeColor="text1"/>
          <w:sz w:val="28"/>
          <w:szCs w:val="28"/>
          <w14:textFill>
            <w14:solidFill>
              <w14:schemeClr w14:val="tx1"/>
            </w14:solidFill>
          </w14:textFill>
        </w:rPr>
        <w:t>2粤海置地施工环境VI展示图</w:t>
      </w:r>
      <w:bookmarkEnd w:id="1058"/>
      <w:bookmarkEnd w:id="1059"/>
    </w:p>
    <w:bookmarkEnd w:id="1060"/>
    <w:p>
      <w:pPr>
        <w:spacing w:line="360" w:lineRule="auto"/>
        <w:rPr>
          <w:color w:val="000000" w:themeColor="text1"/>
          <w14:textFill>
            <w14:solidFill>
              <w14:schemeClr w14:val="tx1"/>
            </w14:solidFill>
          </w14:textFill>
        </w:rPr>
      </w:pP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596255" cy="5567045"/>
            <wp:effectExtent l="0" t="0" r="0" b="0"/>
            <wp:docPr id="7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596255" cy="5567045"/>
                    </a:xfrm>
                    <a:prstGeom prst="rect">
                      <a:avLst/>
                    </a:prstGeom>
                    <a:noFill/>
                    <a:ln>
                      <a:noFill/>
                    </a:ln>
                  </pic:spPr>
                </pic:pic>
              </a:graphicData>
            </a:graphic>
          </wp:inline>
        </w:drawing>
      </w:r>
    </w:p>
    <w:p>
      <w:pPr>
        <w:pStyle w:val="52"/>
        <w:ind w:firstLine="0" w:firstLineChars="0"/>
        <w:rPr>
          <w:color w:val="000000" w:themeColor="text1"/>
          <w14:textFill>
            <w14:solidFill>
              <w14:schemeClr w14:val="tx1"/>
            </w14:solidFill>
          </w14:textFill>
        </w:rPr>
      </w:pPr>
    </w:p>
    <w:p>
      <w:pPr>
        <w:pStyle w:val="52"/>
        <w:ind w:firstLine="0" w:firstLineChars="0"/>
        <w:rPr>
          <w:color w:val="000000" w:themeColor="text1"/>
          <w14:textFill>
            <w14:solidFill>
              <w14:schemeClr w14:val="tx1"/>
            </w14:solidFill>
          </w14:textFill>
        </w:rPr>
      </w:pPr>
    </w:p>
    <w:p>
      <w:pPr>
        <w:pStyle w:val="52"/>
        <w:ind w:firstLine="0" w:firstLineChars="0"/>
        <w:rPr>
          <w:color w:val="000000" w:themeColor="text1"/>
          <w14:textFill>
            <w14:solidFill>
              <w14:schemeClr w14:val="tx1"/>
            </w14:solidFill>
          </w14:textFill>
        </w:rPr>
      </w:pPr>
    </w:p>
    <w:p>
      <w:pPr>
        <w:pStyle w:val="52"/>
        <w:ind w:firstLine="0" w:firstLineChars="0"/>
        <w:rPr>
          <w:color w:val="000000" w:themeColor="text1"/>
          <w14:textFill>
            <w14:solidFill>
              <w14:schemeClr w14:val="tx1"/>
            </w14:solidFill>
          </w14:textFill>
        </w:rPr>
      </w:pPr>
    </w:p>
    <w:p>
      <w:pPr>
        <w:pStyle w:val="52"/>
        <w:ind w:firstLine="0" w:firstLineChars="0"/>
        <w:rPr>
          <w:color w:val="000000" w:themeColor="text1"/>
          <w14:textFill>
            <w14:solidFill>
              <w14:schemeClr w14:val="tx1"/>
            </w14:solidFill>
          </w14:textFill>
        </w:rPr>
      </w:pPr>
    </w:p>
    <w:p>
      <w:pPr>
        <w:pStyle w:val="52"/>
        <w:ind w:firstLine="0" w:firstLineChars="0"/>
        <w:rPr>
          <w:color w:val="000000" w:themeColor="text1"/>
          <w14:textFill>
            <w14:solidFill>
              <w14:schemeClr w14:val="tx1"/>
            </w14:solidFill>
          </w14:textFill>
        </w:rPr>
      </w:pPr>
    </w:p>
    <w:p>
      <w:pPr>
        <w:pStyle w:val="52"/>
        <w:ind w:firstLine="0" w:firstLineChars="0"/>
        <w:rPr>
          <w:color w:val="000000" w:themeColor="text1"/>
          <w14:textFill>
            <w14:solidFill>
              <w14:schemeClr w14:val="tx1"/>
            </w14:solidFill>
          </w14:textFill>
        </w:rPr>
      </w:pP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354955" cy="4008755"/>
            <wp:effectExtent l="0" t="0" r="0" b="0"/>
            <wp:docPr id="7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354955" cy="4008755"/>
                    </a:xfrm>
                    <a:prstGeom prst="rect">
                      <a:avLst/>
                    </a:prstGeom>
                    <a:noFill/>
                    <a:ln>
                      <a:noFill/>
                    </a:ln>
                  </pic:spPr>
                </pic:pic>
              </a:graphicData>
            </a:graphic>
          </wp:inline>
        </w:drawing>
      </w:r>
    </w:p>
    <w:p>
      <w:pPr>
        <w:pStyle w:val="52"/>
        <w:ind w:firstLine="0" w:firstLineChars="0"/>
        <w:rPr>
          <w:color w:val="000000" w:themeColor="text1"/>
          <w14:textFill>
            <w14:solidFill>
              <w14:schemeClr w14:val="tx1"/>
            </w14:solidFill>
          </w14:textFill>
        </w:rPr>
      </w:pP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596255" cy="4198620"/>
            <wp:effectExtent l="0" t="0" r="0" b="0"/>
            <wp:docPr id="7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596255" cy="419862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596255" cy="4198620"/>
            <wp:effectExtent l="0" t="0" r="0" b="0"/>
            <wp:docPr id="7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596255" cy="4198620"/>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52"/>
        <w:ind w:firstLine="0" w:firstLineChars="0"/>
        <w:jc w:val="center"/>
        <w:rPr>
          <w:b/>
          <w:color w:val="000000" w:themeColor="text1"/>
          <w:sz w:val="28"/>
          <w:szCs w:val="28"/>
          <w14:textFill>
            <w14:solidFill>
              <w14:schemeClr w14:val="tx1"/>
            </w14:solidFill>
          </w14:textFill>
        </w:rPr>
      </w:pPr>
    </w:p>
    <w:p>
      <w:pPr>
        <w:pStyle w:val="52"/>
        <w:ind w:firstLine="0" w:firstLineChars="0"/>
        <w:jc w:val="center"/>
        <w:rPr>
          <w:b/>
          <w:color w:val="000000" w:themeColor="text1"/>
          <w:sz w:val="28"/>
          <w:szCs w:val="28"/>
          <w14:textFill>
            <w14:solidFill>
              <w14:schemeClr w14:val="tx1"/>
            </w14:solidFill>
          </w14:textFill>
        </w:rPr>
      </w:pPr>
    </w:p>
    <w:p>
      <w:pPr>
        <w:pStyle w:val="52"/>
        <w:ind w:firstLine="0" w:firstLineChars="0"/>
        <w:rPr>
          <w:color w:val="000000" w:themeColor="text1"/>
          <w14:textFill>
            <w14:solidFill>
              <w14:schemeClr w14:val="tx1"/>
            </w14:solidFill>
          </w14:textFill>
        </w:rPr>
      </w:pPr>
    </w:p>
    <w:p>
      <w:pPr>
        <w:pStyle w:val="2"/>
        <w:rPr>
          <w:color w:val="000000" w:themeColor="text1"/>
          <w:sz w:val="28"/>
          <w:szCs w:val="28"/>
          <w14:textFill>
            <w14:solidFill>
              <w14:schemeClr w14:val="tx1"/>
            </w14:solidFill>
          </w14:textFill>
        </w:rPr>
      </w:pPr>
      <w:r>
        <w:rPr>
          <w:color w:val="000000" w:themeColor="text1"/>
          <w14:textFill>
            <w14:solidFill>
              <w14:schemeClr w14:val="tx1"/>
            </w14:solidFill>
          </w14:textFill>
        </w:rPr>
        <w:br w:type="page"/>
      </w:r>
    </w:p>
    <w:p>
      <w:pPr>
        <w:pStyle w:val="52"/>
        <w:ind w:firstLine="0" w:firstLineChars="0"/>
        <w:outlineLvl w:val="0"/>
        <w:rPr>
          <w:rFonts w:eastAsia="宋体"/>
          <w:b/>
          <w:bCs/>
          <w:color w:val="000000" w:themeColor="text1"/>
          <w:kern w:val="44"/>
          <w:sz w:val="30"/>
          <w:szCs w:val="30"/>
          <w14:textFill>
            <w14:solidFill>
              <w14:schemeClr w14:val="tx1"/>
            </w14:solidFill>
          </w14:textFill>
        </w:rPr>
      </w:pPr>
      <w:bookmarkStart w:id="1061" w:name="_Toc118446920"/>
      <w:bookmarkStart w:id="1062" w:name="_Toc27457"/>
      <w:r>
        <w:rPr>
          <w:rFonts w:hint="eastAsia" w:eastAsia="宋体"/>
          <w:b/>
          <w:bCs/>
          <w:color w:val="000000" w:themeColor="text1"/>
          <w:kern w:val="44"/>
          <w:sz w:val="30"/>
          <w:szCs w:val="30"/>
          <w14:textFill>
            <w14:solidFill>
              <w14:schemeClr w14:val="tx1"/>
            </w14:solidFill>
          </w14:textFill>
        </w:rPr>
        <w:t>附件13 图纸</w:t>
      </w:r>
      <w:bookmarkEnd w:id="1061"/>
      <w:bookmarkEnd w:id="1062"/>
      <w:r>
        <w:rPr>
          <w:rFonts w:hint="eastAsia" w:eastAsia="宋体"/>
          <w:b/>
          <w:bCs/>
          <w:color w:val="000000" w:themeColor="text1"/>
          <w:kern w:val="44"/>
          <w:sz w:val="30"/>
          <w:szCs w:val="30"/>
          <w14:textFill>
            <w14:solidFill>
              <w14:schemeClr w14:val="tx1"/>
            </w14:solidFill>
          </w14:textFill>
        </w:rPr>
        <w:t>（另册）</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52"/>
        <w:ind w:firstLine="0" w:firstLineChars="0"/>
        <w:outlineLvl w:val="0"/>
        <w:rPr>
          <w:rFonts w:eastAsia="宋体"/>
          <w:b/>
          <w:bCs/>
          <w:color w:val="000000" w:themeColor="text1"/>
          <w:kern w:val="44"/>
          <w:sz w:val="28"/>
          <w:szCs w:val="28"/>
          <w14:textFill>
            <w14:solidFill>
              <w14:schemeClr w14:val="tx1"/>
            </w14:solidFill>
          </w14:textFill>
        </w:rPr>
      </w:pPr>
      <w:bookmarkStart w:id="1063" w:name="_Toc17912"/>
      <w:bookmarkStart w:id="1064" w:name="_Toc118446921"/>
      <w:r>
        <w:rPr>
          <w:rFonts w:hint="eastAsia" w:eastAsia="宋体"/>
          <w:b/>
          <w:bCs/>
          <w:color w:val="000000" w:themeColor="text1"/>
          <w:kern w:val="44"/>
          <w:sz w:val="28"/>
          <w:szCs w:val="28"/>
          <w14:textFill>
            <w14:solidFill>
              <w14:schemeClr w14:val="tx1"/>
            </w14:solidFill>
          </w14:textFill>
        </w:rPr>
        <w:t xml:space="preserve">附件14 </w:t>
      </w:r>
      <w:bookmarkEnd w:id="1063"/>
      <w:bookmarkEnd w:id="1064"/>
      <w:bookmarkStart w:id="1065" w:name="_Toc21631"/>
      <w:bookmarkStart w:id="1066" w:name="_Toc118446922"/>
      <w:r>
        <w:rPr>
          <w:rFonts w:hint="eastAsia" w:eastAsia="宋体"/>
          <w:b/>
          <w:bCs/>
          <w:color w:val="000000" w:themeColor="text1"/>
          <w:kern w:val="44"/>
          <w:sz w:val="28"/>
          <w:szCs w:val="28"/>
          <w14:textFill>
            <w14:solidFill>
              <w14:schemeClr w14:val="tx1"/>
            </w14:solidFill>
          </w14:textFill>
        </w:rPr>
        <w:t>安全管理协议书</w:t>
      </w:r>
      <w:bookmarkEnd w:id="1065"/>
      <w:bookmarkEnd w:id="1066"/>
    </w:p>
    <w:p>
      <w:pPr>
        <w:spacing w:line="500" w:lineRule="exact"/>
        <w:ind w:right="512" w:rightChars="244"/>
        <w:jc w:val="center"/>
        <w:rPr>
          <w:rFonts w:ascii="黑体" w:hAnsi="黑体" w:eastAsia="黑体" w:cs="黑体"/>
          <w:color w:val="000000" w:themeColor="text1"/>
          <w:sz w:val="28"/>
          <w:szCs w:val="28"/>
          <w14:textFill>
            <w14:solidFill>
              <w14:schemeClr w14:val="tx1"/>
            </w14:solidFill>
          </w14:textFill>
        </w:rPr>
      </w:pPr>
      <w:r>
        <w:rPr>
          <w:rFonts w:hint="eastAsia" w:ascii="黑体" w:hAnsi="黑体" w:eastAsia="黑体" w:cs="黑体"/>
          <w:color w:val="000000" w:themeColor="text1"/>
          <w:sz w:val="28"/>
          <w:szCs w:val="28"/>
          <w14:textFill>
            <w14:solidFill>
              <w14:schemeClr w14:val="tx1"/>
            </w14:solidFill>
          </w14:textFill>
        </w:rPr>
        <w:t>安全管理协议书</w:t>
      </w:r>
    </w:p>
    <w:p>
      <w:pPr>
        <w:spacing w:line="500" w:lineRule="exact"/>
        <w:ind w:right="512" w:rightChars="244"/>
        <w:jc w:val="center"/>
        <w:rPr>
          <w:rFonts w:ascii="黑体" w:hAnsi="黑体" w:eastAsia="黑体" w:cs="黑体"/>
          <w:color w:val="000000" w:themeColor="text1"/>
          <w:sz w:val="36"/>
          <w:szCs w:val="36"/>
          <w14:textFill>
            <w14:solidFill>
              <w14:schemeClr w14:val="tx1"/>
            </w14:solidFill>
          </w14:textFill>
        </w:rPr>
      </w:pPr>
    </w:p>
    <w:p>
      <w:pPr>
        <w:spacing w:line="360" w:lineRule="exact"/>
        <w:ind w:right="512" w:rightChars="244"/>
        <w:rPr>
          <w:rFonts w:ascii="宋体" w:hAnsi="宋体" w:cs="宋体"/>
          <w:color w:val="000000" w:themeColor="text1"/>
          <w:sz w:val="20"/>
          <w:szCs w:val="20"/>
          <w:u w:val="single"/>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承包人（全称）：</w:t>
      </w:r>
      <w:r>
        <w:rPr>
          <w:rFonts w:hint="eastAsia" w:ascii="宋体" w:hAnsi="宋体" w:cs="宋体"/>
          <w:color w:val="000000" w:themeColor="text1"/>
          <w:sz w:val="20"/>
          <w:szCs w:val="20"/>
          <w:u w:val="single"/>
          <w14:textFill>
            <w14:solidFill>
              <w14:schemeClr w14:val="tx1"/>
            </w14:solidFill>
          </w14:textFill>
        </w:rPr>
        <w:t>中国建筑第二工程局有限公司</w:t>
      </w:r>
    </w:p>
    <w:p>
      <w:pPr>
        <w:spacing w:line="360" w:lineRule="exact"/>
        <w:ind w:right="512" w:rightChars="244"/>
        <w:rPr>
          <w:rFonts w:ascii="宋体" w:hAnsi="宋体" w:cs="宋体"/>
          <w:color w:val="000000" w:themeColor="text1"/>
          <w:sz w:val="20"/>
          <w:szCs w:val="20"/>
          <w:u w:val="single"/>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分包人（全称）：</w:t>
      </w:r>
      <w:r>
        <w:rPr>
          <w:rFonts w:hint="eastAsia" w:ascii="宋体" w:hAnsi="宋体" w:cs="宋体"/>
          <w:color w:val="000000" w:themeColor="text1"/>
          <w:sz w:val="20"/>
          <w:szCs w:val="20"/>
          <w:u w:val="single"/>
          <w14:textFill>
            <w14:solidFill>
              <w14:schemeClr w14:val="tx1"/>
            </w14:solidFill>
          </w14:textFill>
        </w:rPr>
        <w:t xml:space="preserve">             </w:t>
      </w:r>
      <w:r>
        <w:rPr>
          <w:rFonts w:ascii="宋体" w:hAnsi="宋体" w:cs="宋体"/>
          <w:color w:val="000000" w:themeColor="text1"/>
          <w:sz w:val="20"/>
          <w:szCs w:val="20"/>
          <w:u w:val="single"/>
          <w14:textFill>
            <w14:solidFill>
              <w14:schemeClr w14:val="tx1"/>
            </w14:solidFill>
          </w14:textFill>
        </w:rPr>
        <w:t xml:space="preserve">         </w:t>
      </w:r>
      <w:r>
        <w:rPr>
          <w:rFonts w:hint="eastAsia" w:ascii="宋体" w:hAnsi="宋体" w:cs="宋体"/>
          <w:color w:val="000000" w:themeColor="text1"/>
          <w:sz w:val="20"/>
          <w:szCs w:val="20"/>
          <w:u w:val="single"/>
          <w14:textFill>
            <w14:solidFill>
              <w14:schemeClr w14:val="tx1"/>
            </w14:solidFill>
          </w14:textFill>
        </w:rPr>
        <w:t xml:space="preserve">    </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依照《安全生产法》、《建筑法》、《建设工程安全生产管理条例》以及《广东省生产安全事故责任划分试行办法》等有关规定，遵循公平、守法、诚信的原则，为确保施工现场安全生产，双方就本项工程施工事项协商一致，订立本协议书。</w:t>
      </w:r>
    </w:p>
    <w:p>
      <w:pPr>
        <w:spacing w:line="360" w:lineRule="exact"/>
        <w:ind w:right="512" w:rightChars="244" w:firstLine="402" w:firstLineChars="200"/>
        <w:rPr>
          <w:rFonts w:ascii="宋体" w:hAnsi="宋体" w:cs="宋体"/>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一、工程概况</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 xml:space="preserve">1、工程名称：                                       </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 xml:space="preserve">2、工程地点：                                        </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3、分承包形式：      专业分包           劳务分包</w:t>
      </w:r>
    </w:p>
    <w:p>
      <w:pPr>
        <w:spacing w:line="360" w:lineRule="exact"/>
        <w:ind w:right="512" w:rightChars="244" w:firstLine="402" w:firstLineChars="200"/>
        <w:rPr>
          <w:rFonts w:ascii="宋体" w:hAnsi="宋体" w:cs="宋体"/>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二、工程目标</w:t>
      </w:r>
    </w:p>
    <w:p>
      <w:pPr>
        <w:spacing w:line="360" w:lineRule="exact"/>
        <w:ind w:right="512" w:rightChars="244" w:firstLine="400" w:firstLineChars="200"/>
        <w:rPr>
          <w:rFonts w:ascii="宋体" w:hAnsi="宋体" w:cs="宋体"/>
          <w:color w:val="000000" w:themeColor="text1"/>
          <w:sz w:val="20"/>
          <w:szCs w:val="20"/>
          <w:u w:val="single"/>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1、因工伤亡控制指标：</w:t>
      </w:r>
      <w:r>
        <w:rPr>
          <w:rFonts w:hint="eastAsia" w:ascii="宋体" w:hAnsi="宋体" w:cs="宋体"/>
          <w:color w:val="000000" w:themeColor="text1"/>
          <w:sz w:val="20"/>
          <w:szCs w:val="20"/>
          <w:u w:val="single"/>
          <w14:textFill>
            <w14:solidFill>
              <w14:schemeClr w14:val="tx1"/>
            </w14:solidFill>
          </w14:textFill>
        </w:rPr>
        <w:t xml:space="preserve"> 因工死亡和重伤事故为0、年因工轻伤事故频率控制在0.2%以内                                 </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2、职业健康控制指标：</w:t>
      </w:r>
      <w:r>
        <w:rPr>
          <w:rFonts w:hint="eastAsia" w:ascii="宋体" w:hAnsi="宋体" w:cs="宋体"/>
          <w:color w:val="000000" w:themeColor="text1"/>
          <w:sz w:val="20"/>
          <w:szCs w:val="20"/>
          <w:u w:val="single"/>
          <w14:textFill>
            <w14:solidFill>
              <w14:schemeClr w14:val="tx1"/>
            </w14:solidFill>
          </w14:textFill>
        </w:rPr>
        <w:t xml:space="preserve">   职业病发生率为0                               </w:t>
      </w:r>
    </w:p>
    <w:p>
      <w:pPr>
        <w:spacing w:line="360" w:lineRule="exact"/>
        <w:ind w:right="512" w:rightChars="244" w:firstLine="400" w:firstLineChars="200"/>
        <w:rPr>
          <w:rFonts w:ascii="宋体" w:hAnsi="宋体" w:cs="宋体"/>
          <w:color w:val="000000" w:themeColor="text1"/>
          <w:sz w:val="20"/>
          <w:szCs w:val="20"/>
          <w:u w:val="single"/>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3、文明安全创优目标：</w:t>
      </w:r>
      <w:r>
        <w:rPr>
          <w:rFonts w:hint="eastAsia" w:ascii="宋体" w:hAnsi="宋体" w:cs="宋体"/>
          <w:color w:val="000000" w:themeColor="text1"/>
          <w:sz w:val="20"/>
          <w:szCs w:val="20"/>
          <w:u w:val="single"/>
          <w14:textFill>
            <w14:solidFill>
              <w14:schemeClr w14:val="tx1"/>
            </w14:solidFill>
          </w14:textFill>
        </w:rPr>
        <w:t xml:space="preserve">                                 </w:t>
      </w:r>
    </w:p>
    <w:p>
      <w:pPr>
        <w:spacing w:line="360" w:lineRule="exact"/>
        <w:ind w:right="512" w:rightChars="244" w:firstLine="402" w:firstLineChars="200"/>
        <w:rPr>
          <w:rFonts w:ascii="宋体" w:hAnsi="宋体" w:cs="宋体"/>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三、总包人权利、责任和义务</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1、贯彻执行国家及地方政府有关安全生产的法规制度，建立健全施工现场安全生产保证体系，对施工现场的安全生产负总责。</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2、制定施工现场安全管理制度，定期布置、实施、检查、评价、总结工程的安全生产情况，对总承包范围内的施工生产活动进行监督、检查和管理。</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3、严格审查分包人营业执照、技术资质等级，不得将工程分包给不具备相应资质（或资格）的分包人。</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4、保证项目工程安全生产费用的有效使用，完善施工现场安全生产条件。</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5、提供施工现场安全生产环境：</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工程安全防护设施由</w:t>
      </w:r>
      <w:r>
        <w:rPr>
          <w:rFonts w:hint="eastAsia" w:ascii="宋体" w:hAnsi="宋体" w:cs="宋体"/>
          <w:color w:val="000000" w:themeColor="text1"/>
          <w:sz w:val="20"/>
          <w:szCs w:val="20"/>
          <w:u w:val="single"/>
          <w14:textFill>
            <w14:solidFill>
              <w14:schemeClr w14:val="tx1"/>
            </w14:solidFill>
          </w14:textFill>
        </w:rPr>
        <w:t xml:space="preserve">   承包人   </w:t>
      </w:r>
      <w:r>
        <w:rPr>
          <w:rFonts w:hint="eastAsia" w:ascii="宋体" w:hAnsi="宋体" w:cs="宋体"/>
          <w:color w:val="000000" w:themeColor="text1"/>
          <w:sz w:val="20"/>
          <w:szCs w:val="20"/>
          <w14:textFill>
            <w14:solidFill>
              <w14:schemeClr w14:val="tx1"/>
            </w14:solidFill>
          </w14:textFill>
        </w:rPr>
        <w:t>方提供，日常维护和作业面防护由</w:t>
      </w:r>
      <w:r>
        <w:rPr>
          <w:rFonts w:hint="eastAsia" w:ascii="宋体" w:hAnsi="宋体" w:cs="宋体"/>
          <w:color w:val="000000" w:themeColor="text1"/>
          <w:sz w:val="20"/>
          <w:szCs w:val="20"/>
          <w:u w:val="single"/>
          <w14:textFill>
            <w14:solidFill>
              <w14:schemeClr w14:val="tx1"/>
            </w14:solidFill>
          </w14:textFill>
        </w:rPr>
        <w:t xml:space="preserve">  分包人  </w:t>
      </w:r>
      <w:r>
        <w:rPr>
          <w:rFonts w:hint="eastAsia" w:ascii="宋体" w:hAnsi="宋体" w:cs="宋体"/>
          <w:color w:val="000000" w:themeColor="text1"/>
          <w:sz w:val="20"/>
          <w:szCs w:val="20"/>
          <w14:textFill>
            <w14:solidFill>
              <w14:schemeClr w14:val="tx1"/>
            </w14:solidFill>
          </w14:textFill>
        </w:rPr>
        <w:t>方负责；</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施工用电从用电电源到</w:t>
      </w:r>
      <w:r>
        <w:rPr>
          <w:rFonts w:hint="eastAsia" w:ascii="宋体" w:hAnsi="宋体" w:cs="宋体"/>
          <w:color w:val="000000" w:themeColor="text1"/>
          <w:sz w:val="20"/>
          <w:szCs w:val="20"/>
          <w:u w:val="single"/>
          <w14:textFill>
            <w14:solidFill>
              <w14:schemeClr w14:val="tx1"/>
            </w14:solidFill>
          </w14:textFill>
        </w:rPr>
        <w:t xml:space="preserve"> 三 </w:t>
      </w:r>
      <w:r>
        <w:rPr>
          <w:rFonts w:hint="eastAsia" w:ascii="宋体" w:hAnsi="宋体" w:cs="宋体"/>
          <w:color w:val="000000" w:themeColor="text1"/>
          <w:sz w:val="20"/>
          <w:szCs w:val="20"/>
          <w14:textFill>
            <w14:solidFill>
              <w14:schemeClr w14:val="tx1"/>
            </w14:solidFill>
          </w14:textFill>
        </w:rPr>
        <w:t>级配电箱由</w:t>
      </w:r>
      <w:r>
        <w:rPr>
          <w:rFonts w:hint="eastAsia" w:ascii="宋体" w:hAnsi="宋体" w:cs="宋体"/>
          <w:color w:val="000000" w:themeColor="text1"/>
          <w:sz w:val="20"/>
          <w:szCs w:val="20"/>
          <w:u w:val="single"/>
          <w14:textFill>
            <w14:solidFill>
              <w14:schemeClr w14:val="tx1"/>
            </w14:solidFill>
          </w14:textFill>
        </w:rPr>
        <w:t xml:space="preserve"> 承包人 </w:t>
      </w:r>
      <w:r>
        <w:rPr>
          <w:rFonts w:hint="eastAsia" w:ascii="宋体" w:hAnsi="宋体" w:cs="宋体"/>
          <w:color w:val="000000" w:themeColor="text1"/>
          <w:sz w:val="20"/>
          <w:szCs w:val="20"/>
          <w14:textFill>
            <w14:solidFill>
              <w14:schemeClr w14:val="tx1"/>
            </w14:solidFill>
          </w14:textFill>
        </w:rPr>
        <w:t>方提供，该级配电箱以下的部分由</w:t>
      </w:r>
      <w:r>
        <w:rPr>
          <w:rFonts w:hint="eastAsia" w:ascii="宋体" w:hAnsi="宋体" w:cs="宋体"/>
          <w:color w:val="000000" w:themeColor="text1"/>
          <w:sz w:val="20"/>
          <w:szCs w:val="20"/>
          <w:u w:val="single"/>
          <w14:textFill>
            <w14:solidFill>
              <w14:schemeClr w14:val="tx1"/>
            </w14:solidFill>
          </w14:textFill>
        </w:rPr>
        <w:t xml:space="preserve">  分包人          </w:t>
      </w:r>
      <w:r>
        <w:rPr>
          <w:rFonts w:hint="eastAsia" w:ascii="宋体" w:hAnsi="宋体" w:cs="宋体"/>
          <w:color w:val="000000" w:themeColor="text1"/>
          <w:sz w:val="20"/>
          <w:szCs w:val="20"/>
          <w14:textFill>
            <w14:solidFill>
              <w14:schemeClr w14:val="tx1"/>
            </w14:solidFill>
          </w14:textFill>
        </w:rPr>
        <w:t>方负责；</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总包人对上述设备、设施具有监督检查权，依据广东省有关安全生产标准和中建一局安全生产规定，对检查中发现的隐患有权责令整改、停工整顿或进行经济处罚。</w:t>
      </w:r>
    </w:p>
    <w:p>
      <w:pPr>
        <w:spacing w:line="360" w:lineRule="exact"/>
        <w:ind w:right="512" w:rightChars="244" w:firstLine="400" w:firstLineChars="200"/>
        <w:rPr>
          <w:rFonts w:ascii="宋体" w:hAnsi="宋体" w:cs="宋体"/>
          <w:color w:val="000000" w:themeColor="text1"/>
          <w:sz w:val="20"/>
          <w:szCs w:val="20"/>
          <w:u w:val="single"/>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6、负责编制施工现场危险性较大的分部分项工程专项施工方案，并监督实施。</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7、负责施工人员入场安全教育培训考核、施工现场专项安全教育，并负责建立特种作业人员备案档案。</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对施工人员违章指挥、违章作业行为，依法查处和纠正。对作业班组人员出现严重违章、恶意违章及多次违章不听劝阻的（违章率高居不下的），实施班组清退。</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8、负责建立健全施工现场安全生产管理制度；负责建立《施工现场生产安全事故应急救援预案》，有权利要求分包建立救援体系，落实救援措施。</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9、按规定对施工现场发生的生产安全事故进行上报。</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10、按规定对施工现场的危险部位进行安全警示标识。</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11、按规定为从事危险作业的人员办理意外伤害保险。</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12、有义务提供施工现场消防安全通道和消防设备。</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13、有义务对分包人发生生产安全事故时提供协助救援服务。</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14、有义务对分包人开展的安全生产活动提供帮助。</w:t>
      </w:r>
    </w:p>
    <w:p>
      <w:pPr>
        <w:spacing w:line="360" w:lineRule="exact"/>
        <w:ind w:right="512" w:rightChars="244" w:firstLine="402" w:firstLineChars="200"/>
        <w:rPr>
          <w:rFonts w:ascii="宋体" w:hAnsi="宋体" w:cs="宋体"/>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四、分包人的权利、责任和义务</w:t>
      </w:r>
    </w:p>
    <w:p>
      <w:pPr>
        <w:spacing w:line="360" w:lineRule="exact"/>
        <w:ind w:right="512" w:rightChars="244" w:firstLine="400" w:firstLineChars="200"/>
        <w:rPr>
          <w:rFonts w:ascii="宋体" w:hAnsi="宋体" w:cs="宋体"/>
          <w:color w:val="000000" w:themeColor="text1"/>
          <w:sz w:val="20"/>
          <w:szCs w:val="20"/>
          <w:u w:val="single"/>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1、分包项目经理：</w:t>
      </w:r>
      <w:r>
        <w:rPr>
          <w:rFonts w:hint="eastAsia" w:ascii="宋体" w:hAnsi="宋体" w:cs="宋体"/>
          <w:color w:val="000000" w:themeColor="text1"/>
          <w:sz w:val="20"/>
          <w:szCs w:val="20"/>
          <w:u w:val="single"/>
          <w14:textFill>
            <w14:solidFill>
              <w14:schemeClr w14:val="tx1"/>
            </w14:solidFill>
          </w14:textFill>
        </w:rPr>
        <w:t xml:space="preserve">       </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2、贯彻落实国家及广东省有关施工现场安全生产的法规和管理制度，建立分包安全生产自保体系，对分承包范围内的安全生产活动进行落实、检查和管理。</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3、按照总包人的有关规定提供相关资料。严格按照合约规定，不得承接、承建超越资质范围的施工任务。不得将分承包项目再次转包。</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4、执行施工现场安全管理规定，服从总包安全生产管理，对分承包施工区域或作业活动的安全生产全面负责，并对总包安全生产负连带责任。</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5、有权对施工现场安全生产工作提出意见和建议；有权拒绝总包违反法律法规的安全指令；对造成后果的违章指令有权检举和控告。</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6、对所管辖范围内的安全防护设施（包括洞口、临边等）搭设、拆除、维护和改造及其使用安全全面负责。</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责任区内的安全防护设施必须符合广东省有关安全标准和总包对施工现场整体安全防护要求，在搭设、拆除和改造前进行申报并听从承包人统一协调。</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7、对所管辖范围内的施工用电设备和用电安全全面负责。</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u w:val="single"/>
          <w14:textFill>
            <w14:solidFill>
              <w14:schemeClr w14:val="tx1"/>
            </w14:solidFill>
          </w14:textFill>
        </w:rPr>
        <w:t xml:space="preserve">    </w:t>
      </w:r>
      <w:r>
        <w:rPr>
          <w:rFonts w:hint="eastAsia" w:ascii="宋体" w:hAnsi="宋体" w:cs="宋体"/>
          <w:color w:val="000000" w:themeColor="text1"/>
          <w:sz w:val="20"/>
          <w:szCs w:val="20"/>
          <w14:textFill>
            <w14:solidFill>
              <w14:schemeClr w14:val="tx1"/>
            </w14:solidFill>
          </w14:textFill>
        </w:rPr>
        <w:t>级以下自备配电设备设施必须符合广东省有关安全标准，对不符合安全标准的用电设备从本责任路段拉接电源有权拒绝。</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8、自带机械设备、设施应符合地方政府有关安全标准，对自带机械设备、设施的安全性和使用、维修安全全面负责。</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使（租）用大型机械设备时，应在安装使用前向总包备案。</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9、负责编制本责任区域的专业施工方案、安全技术措施和安全技术交底，并监督实施。</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10、负责对本单位施工人员进行施工队（班组）级安全教育培训，书面告知本岗作业危害和操作规程，经考试合格上岗。</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负责建立特种作业人员安全教育档案，并保证特种作业人员持证上岗。</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11、负责为本单位施工人员提供符合国家标准的个人劳动防护用品，并监督、教育其正确佩戴和使用。</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12、按规定为本单位施工人员办理合法用工手续和工伤保险。</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13、按规定，定期组织对所管辖施工区域和安全活动进行安全检查，对总包下发的隐患通知进行整改消项。</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在安全检查中发现非责任区域存在安全隐患，有义务向总包及时报告。</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14、服从总包统一的协调和管理，对总包单位下达清退的班组和人员，应积极清退；同时对所管辖区域内的文明施工负责，保证所管辖区域内消防设备设施完好、消防通道畅通、环卫卫生达标。</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15、使用非责任区域安全防护设备设施前，应与总包办理相关手续，并负责使用期间的安全维护。对在使用期间由于管理不善造成的已、未遂事故负责。</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16、在施工现场内发生生产安全事故后，必须立即向总包报告，并按规定逐级上报。同时，有义务配合开展事故调查工作。</w:t>
      </w:r>
    </w:p>
    <w:p>
      <w:pPr>
        <w:spacing w:line="360" w:lineRule="exact"/>
        <w:ind w:right="512" w:rightChars="244" w:firstLine="402" w:firstLineChars="200"/>
        <w:rPr>
          <w:rFonts w:ascii="宋体" w:hAnsi="宋体" w:cs="宋体"/>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五、违约和索赔</w:t>
      </w:r>
    </w:p>
    <w:p>
      <w:pPr>
        <w:spacing w:line="360" w:lineRule="exact"/>
        <w:ind w:right="512" w:rightChars="244" w:firstLine="400" w:firstLineChars="200"/>
        <w:rPr>
          <w:rFonts w:ascii="宋体" w:hAnsi="宋体" w:cs="宋体"/>
          <w:color w:val="000000" w:themeColor="text1"/>
          <w:spacing w:val="-4"/>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w:t>
      </w:r>
      <w:r>
        <w:rPr>
          <w:rFonts w:hint="eastAsia" w:ascii="宋体" w:hAnsi="宋体" w:cs="宋体"/>
          <w:color w:val="000000" w:themeColor="text1"/>
          <w:spacing w:val="-4"/>
          <w:sz w:val="20"/>
          <w:szCs w:val="20"/>
          <w14:textFill>
            <w14:solidFill>
              <w14:schemeClr w14:val="tx1"/>
            </w14:solidFill>
          </w14:textFill>
        </w:rPr>
        <w:t>由于总包责任造成生产安全事故，导致分包人员伤亡，由总包承担事故责任和经济责任。分包有义务负责协助处理善后事宜。</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2、由于分包责任造成生产安全事故，导致总包人员或第三方人员伤亡，由分包承担事故责任和经济责任。总包或第三方有义务负责协助处理善后事宜。</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3、由于双方责任造成的生产安全事故，根据政府有关部门的责任划分承担相应的事故责任和经济责任。</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4、发生生产安全事故后，由于隐瞒不报、谎报、故意拖延不报、故意破坏事故现场，或者无正当理由拒绝接受调查、拒绝提供有关情况和资料，而导致事故性质变化，事故严重程度加剧，由责任方承担全部责任。连带方可依法进行索赔。</w:t>
      </w:r>
    </w:p>
    <w:p>
      <w:pPr>
        <w:spacing w:line="360" w:lineRule="exact"/>
        <w:ind w:right="512" w:rightChars="244" w:firstLine="402" w:firstLineChars="200"/>
        <w:rPr>
          <w:rFonts w:ascii="宋体" w:hAnsi="宋体" w:cs="宋体"/>
          <w:b/>
          <w:bCs/>
          <w:color w:val="000000" w:themeColor="text1"/>
          <w:sz w:val="20"/>
          <w:szCs w:val="20"/>
          <w14:textFill>
            <w14:solidFill>
              <w14:schemeClr w14:val="tx1"/>
            </w14:solidFill>
          </w14:textFill>
        </w:rPr>
      </w:pPr>
      <w:r>
        <w:rPr>
          <w:rFonts w:hint="eastAsia" w:ascii="宋体" w:hAnsi="宋体" w:cs="宋体"/>
          <w:b/>
          <w:bCs/>
          <w:color w:val="000000" w:themeColor="text1"/>
          <w:sz w:val="20"/>
          <w:szCs w:val="20"/>
          <w14:textFill>
            <w14:solidFill>
              <w14:schemeClr w14:val="tx1"/>
            </w14:solidFill>
          </w14:textFill>
        </w:rPr>
        <w:t>六、其他</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1、协议生效和终止：本协议自签订之日起生效，与双方经济合同同等效力。经济合同到期后，本协议同时终止。</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2、协议份数：本协议一式两份，具有同等效力，由总包人、分包人分别保存一份。</w:t>
      </w:r>
    </w:p>
    <w:p>
      <w:pPr>
        <w:spacing w:line="360" w:lineRule="exact"/>
        <w:ind w:right="512" w:rightChars="244" w:firstLine="400" w:firstLineChars="200"/>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0"/>
          <w:szCs w:val="20"/>
          <w14:textFill>
            <w14:solidFill>
              <w14:schemeClr w14:val="tx1"/>
            </w14:solidFill>
          </w14:textFill>
        </w:rPr>
        <w:t>3、补充条款：双方根据法律、行政法规规定，结合施工现场实际，经协商一致，可对本协议条款具体化、补充或修改，另附专用条款约定。</w:t>
      </w:r>
    </w:p>
    <w:p>
      <w:pPr>
        <w:spacing w:line="360" w:lineRule="exact"/>
        <w:ind w:right="512" w:rightChars="244" w:firstLine="570"/>
        <w:rPr>
          <w:rFonts w:ascii="宋体" w:hAnsi="宋体" w:cs="宋体"/>
          <w:color w:val="000000" w:themeColor="text1"/>
          <w:sz w:val="20"/>
          <w:szCs w:val="20"/>
          <w14:textFill>
            <w14:solidFill>
              <w14:schemeClr w14:val="tx1"/>
            </w14:solidFill>
          </w14:textFill>
        </w:rPr>
      </w:pPr>
    </w:p>
    <w:p>
      <w:pPr>
        <w:spacing w:line="360" w:lineRule="exact"/>
        <w:ind w:right="512" w:rightChars="244" w:firstLine="570"/>
        <w:rPr>
          <w:rFonts w:ascii="宋体" w:hAnsi="宋体" w:cs="宋体"/>
          <w:color w:val="000000" w:themeColor="text1"/>
          <w:sz w:val="20"/>
          <w:szCs w:val="20"/>
          <w14:textFill>
            <w14:solidFill>
              <w14:schemeClr w14:val="tx1"/>
            </w14:solidFill>
          </w14:textFill>
        </w:rPr>
      </w:pPr>
    </w:p>
    <w:p>
      <w:pPr>
        <w:spacing w:line="240" w:lineRule="exact"/>
        <w:ind w:right="512" w:rightChars="244" w:firstLine="573"/>
        <w:rPr>
          <w:rFonts w:ascii="宋体" w:hAnsi="宋体" w:cs="宋体"/>
          <w:color w:val="000000" w:themeColor="text1"/>
          <w:sz w:val="20"/>
          <w:szCs w:val="20"/>
          <w14:textFill>
            <w14:solidFill>
              <w14:schemeClr w14:val="tx1"/>
            </w14:solidFill>
          </w14:textFill>
        </w:rPr>
      </w:pPr>
    </w:p>
    <w:p>
      <w:pPr>
        <w:spacing w:line="360" w:lineRule="auto"/>
        <w:rPr>
          <w:b/>
          <w:color w:val="000000" w:themeColor="text1"/>
          <w14:textFill>
            <w14:solidFill>
              <w14:schemeClr w14:val="tx1"/>
            </w14:solidFill>
          </w14:textFill>
        </w:rPr>
      </w:pPr>
      <w:r>
        <w:rPr>
          <w:rFonts w:hint="eastAsia"/>
          <w:b/>
          <w:color w:val="000000" w:themeColor="text1"/>
          <w14:textFill>
            <w14:solidFill>
              <w14:schemeClr w14:val="tx1"/>
            </w14:solidFill>
          </w14:textFill>
        </w:rPr>
        <w:t>承包方：（盖章）                           分包人：（盖章）</w:t>
      </w:r>
      <w:r>
        <w:rPr>
          <w:rFonts w:hint="eastAsia"/>
          <w:b/>
          <w:color w:val="000000" w:themeColor="text1"/>
          <w14:textFill>
            <w14:solidFill>
              <w14:schemeClr w14:val="tx1"/>
            </w14:solidFill>
          </w14:textFill>
        </w:rPr>
        <w:tab/>
      </w:r>
      <w:r>
        <w:rPr>
          <w:rFonts w:hint="eastAsia"/>
          <w:b/>
          <w:color w:val="000000" w:themeColor="text1"/>
          <w14:textFill>
            <w14:solidFill>
              <w14:schemeClr w14:val="tx1"/>
            </w14:solidFill>
          </w14:textFill>
        </w:rPr>
        <w:tab/>
      </w:r>
      <w:r>
        <w:rPr>
          <w:rFonts w:hint="eastAsia"/>
          <w:b/>
          <w:color w:val="000000" w:themeColor="text1"/>
          <w14:textFill>
            <w14:solidFill>
              <w14:schemeClr w14:val="tx1"/>
            </w14:solidFill>
          </w14:textFill>
        </w:rPr>
        <w:tab/>
      </w:r>
      <w:r>
        <w:rPr>
          <w:rFonts w:hint="eastAsia"/>
          <w:b/>
          <w:color w:val="000000" w:themeColor="text1"/>
          <w14:textFill>
            <w14:solidFill>
              <w14:schemeClr w14:val="tx1"/>
            </w14:solidFill>
          </w14:textFill>
        </w:rPr>
        <w:tab/>
      </w:r>
      <w:r>
        <w:rPr>
          <w:rFonts w:hint="eastAsia"/>
          <w:b/>
          <w:color w:val="000000" w:themeColor="text1"/>
          <w14:textFill>
            <w14:solidFill>
              <w14:schemeClr w14:val="tx1"/>
            </w14:solidFill>
          </w14:textFill>
        </w:rPr>
        <w:tab/>
      </w:r>
    </w:p>
    <w:p>
      <w:pPr>
        <w:spacing w:line="360" w:lineRule="auto"/>
        <w:rPr>
          <w:b/>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法定代表人（签字）：                       法定代表人（签字）：                        </w:t>
      </w:r>
    </w:p>
    <w:p>
      <w:pPr>
        <w:widowControl/>
        <w:jc w:val="left"/>
        <w:rPr>
          <w:color w:val="000000" w:themeColor="text1"/>
          <w14:textFill>
            <w14:solidFill>
              <w14:schemeClr w14:val="tx1"/>
            </w14:solidFill>
          </w14:textFill>
        </w:rPr>
      </w:pPr>
      <w:r>
        <w:rPr>
          <w:rFonts w:hint="eastAsia"/>
          <w:b/>
          <w:color w:val="000000" w:themeColor="text1"/>
          <w14:textFill>
            <w14:solidFill>
              <w14:schemeClr w14:val="tx1"/>
            </w14:solidFill>
          </w14:textFill>
        </w:rPr>
        <w:t>或委托代理人（签字）：                     或委托代理人（签字）：</w:t>
      </w:r>
      <w:r>
        <w:rPr>
          <w:rFonts w:hint="eastAsia"/>
          <w:color w:val="000000" w:themeColor="text1"/>
          <w14:textFill>
            <w14:solidFill>
              <w14:schemeClr w14:val="tx1"/>
            </w14:solidFill>
          </w14:textFill>
        </w:rPr>
        <w:t xml:space="preserve">           </w:t>
      </w:r>
    </w:p>
    <w:p>
      <w:pPr>
        <w:widowControl/>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spacing w:line="520" w:lineRule="exact"/>
        <w:outlineLvl w:val="0"/>
        <w:rPr>
          <w:rFonts w:ascii="Cambria" w:hAnsi="Cambria"/>
          <w:b/>
          <w:bCs/>
          <w:color w:val="000000" w:themeColor="text1"/>
          <w:sz w:val="28"/>
          <w:szCs w:val="28"/>
          <w14:textFill>
            <w14:solidFill>
              <w14:schemeClr w14:val="tx1"/>
            </w14:solidFill>
          </w14:textFill>
        </w:rPr>
      </w:pPr>
      <w:bookmarkStart w:id="1067" w:name="_Toc8136"/>
      <w:bookmarkStart w:id="1068" w:name="_Toc31961"/>
      <w:bookmarkStart w:id="1069" w:name="_Toc118446923"/>
      <w:r>
        <w:rPr>
          <w:rFonts w:hint="eastAsia" w:ascii="Cambria" w:hAnsi="Cambria"/>
          <w:b/>
          <w:bCs/>
          <w:color w:val="000000" w:themeColor="text1"/>
          <w:sz w:val="28"/>
          <w:szCs w:val="28"/>
          <w14:textFill>
            <w14:solidFill>
              <w14:schemeClr w14:val="tx1"/>
            </w14:solidFill>
          </w14:textFill>
        </w:rPr>
        <w:t>附件15《安全管理专篇》</w:t>
      </w:r>
      <w:bookmarkEnd w:id="1067"/>
      <w:bookmarkEnd w:id="1068"/>
      <w:bookmarkEnd w:id="1069"/>
    </w:p>
    <w:p>
      <w:pPr>
        <w:tabs>
          <w:tab w:val="left" w:pos="3928"/>
        </w:tabs>
        <w:spacing w:line="360" w:lineRule="auto"/>
        <w:jc w:val="center"/>
        <w:rPr>
          <w:b/>
          <w:color w:val="000000" w:themeColor="text1"/>
          <w:sz w:val="24"/>
          <w:szCs w:val="24"/>
          <w14:textFill>
            <w14:solidFill>
              <w14:schemeClr w14:val="tx1"/>
            </w14:solidFill>
          </w14:textFill>
        </w:rPr>
      </w:pPr>
      <w:r>
        <w:rPr>
          <w:rFonts w:hint="eastAsia"/>
          <w:b/>
          <w:color w:val="000000" w:themeColor="text1"/>
          <w:sz w:val="32"/>
          <w:szCs w:val="32"/>
          <w14:textFill>
            <w14:solidFill>
              <w14:schemeClr w14:val="tx1"/>
            </w14:solidFill>
          </w14:textFill>
        </w:rPr>
        <w:t>安全管理专篇</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70" w:name="_Toc213660313"/>
      <w:bookmarkStart w:id="1071" w:name="_Toc213658612"/>
      <w:bookmarkStart w:id="1072" w:name="_Toc41569103"/>
      <w:bookmarkStart w:id="1073" w:name="一"/>
      <w:r>
        <w:rPr>
          <w:rFonts w:hint="eastAsia" w:hAnsi="宋体" w:cs="新宋体-18030"/>
          <w:b/>
          <w:bCs/>
          <w:color w:val="000000" w:themeColor="text1"/>
          <w:sz w:val="24"/>
          <w:szCs w:val="24"/>
          <w14:textFill>
            <w14:solidFill>
              <w14:schemeClr w14:val="tx1"/>
            </w14:solidFill>
          </w14:textFill>
        </w:rPr>
        <w:t>总则</w:t>
      </w:r>
      <w:bookmarkEnd w:id="1070"/>
      <w:bookmarkEnd w:id="1071"/>
      <w:bookmarkEnd w:id="1072"/>
    </w:p>
    <w:bookmarkEnd w:id="1073"/>
    <w:p>
      <w:pPr>
        <w:snapToGrid w:val="0"/>
        <w:spacing w:line="360" w:lineRule="auto"/>
        <w:ind w:left="424" w:leftChars="202" w:firstLine="480" w:firstLineChars="200"/>
        <w:rPr>
          <w:rFonts w:hAnsi="宋体" w:cs="新宋体-18030"/>
          <w:color w:val="000000" w:themeColor="text1"/>
          <w:sz w:val="24"/>
          <w:szCs w:val="24"/>
          <w14:textFill>
            <w14:solidFill>
              <w14:schemeClr w14:val="tx1"/>
            </w14:solidFill>
          </w14:textFill>
        </w:rPr>
      </w:pPr>
      <w:r>
        <w:rPr>
          <w:rFonts w:hint="eastAsia" w:hAnsi="宋体" w:cs="新宋体-18030"/>
          <w:color w:val="000000" w:themeColor="text1"/>
          <w:sz w:val="24"/>
          <w:szCs w:val="24"/>
          <w14:textFill>
            <w14:solidFill>
              <w14:schemeClr w14:val="tx1"/>
            </w14:solidFill>
          </w14:textFill>
        </w:rPr>
        <w:t>依据中华人民共和国职业健康、安全生产类、环境保护类相关法律、法规、标准的要求</w:t>
      </w:r>
      <w:r>
        <w:rPr>
          <w:rFonts w:hint="eastAsia" w:hAnsi="宋体" w:cs="新宋体-18030"/>
          <w:bCs/>
          <w:color w:val="000000" w:themeColor="text1"/>
          <w:sz w:val="24"/>
          <w:szCs w:val="24"/>
          <w14:textFill>
            <w14:solidFill>
              <w14:schemeClr w14:val="tx1"/>
            </w14:solidFill>
          </w14:textFill>
        </w:rPr>
        <w:t>，</w:t>
      </w:r>
      <w:r>
        <w:rPr>
          <w:rFonts w:hint="eastAsia" w:hAnsi="宋体" w:cs="新宋体-18030"/>
          <w:color w:val="000000" w:themeColor="text1"/>
          <w:sz w:val="24"/>
          <w:szCs w:val="24"/>
          <w14:textFill>
            <w14:solidFill>
              <w14:schemeClr w14:val="tx1"/>
            </w14:solidFill>
          </w14:textFill>
        </w:rPr>
        <w:t>发包人对承包人承包合同规定的活动中的职业健康、安全生产和环境保护（以下简称安全）工作实行统一的协调、管理和指导。</w:t>
      </w:r>
    </w:p>
    <w:p>
      <w:pPr>
        <w:snapToGrid w:val="0"/>
        <w:spacing w:line="360" w:lineRule="auto"/>
        <w:ind w:left="424" w:leftChars="202" w:firstLine="482" w:firstLineChars="200"/>
        <w:rPr>
          <w:rFonts w:hAnsi="宋体" w:cs="新宋体-18030"/>
          <w:b/>
          <w:color w:val="000000" w:themeColor="text1"/>
          <w:sz w:val="24"/>
          <w:szCs w:val="24"/>
          <w14:textFill>
            <w14:solidFill>
              <w14:schemeClr w14:val="tx1"/>
            </w14:solidFill>
          </w14:textFill>
        </w:rPr>
      </w:pPr>
      <w:r>
        <w:rPr>
          <w:rFonts w:hint="eastAsia" w:hAnsi="宋体" w:cs="新宋体-18030"/>
          <w:b/>
          <w:color w:val="000000" w:themeColor="text1"/>
          <w:sz w:val="24"/>
          <w:szCs w:val="24"/>
          <w14:textFill>
            <w14:solidFill>
              <w14:schemeClr w14:val="tx1"/>
            </w14:solidFill>
          </w14:textFill>
        </w:rPr>
        <w:t>本安全管理专篇为发包人与承包人签订的《粤海•云港城项目9#地块工程施工总承包合同》的附件，专篇内容适用于云港城项目9#地块的工程项目。本地块的分包人也须遵守本专篇的相关要求，如分包人违反本专篇的要求，按总承包合同的约定，由分包人向承包人支付违约金，承包人向发包人支付违约金，相关违约金在当期进度款中扣除。</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74" w:name="_Toc213658613"/>
      <w:bookmarkStart w:id="1075" w:name="_Toc213660314"/>
      <w:bookmarkStart w:id="1076" w:name="_Toc41569104"/>
      <w:bookmarkStart w:id="1077" w:name="二"/>
      <w:r>
        <w:rPr>
          <w:rFonts w:hint="eastAsia" w:hAnsi="宋体" w:cs="新宋体-18030"/>
          <w:b/>
          <w:bCs/>
          <w:color w:val="000000" w:themeColor="text1"/>
          <w:sz w:val="24"/>
          <w:szCs w:val="24"/>
          <w14:textFill>
            <w14:solidFill>
              <w14:schemeClr w14:val="tx1"/>
            </w14:solidFill>
          </w14:textFill>
        </w:rPr>
        <w:t>法律法规</w:t>
      </w:r>
      <w:bookmarkEnd w:id="1074"/>
      <w:bookmarkEnd w:id="1075"/>
      <w:bookmarkEnd w:id="1076"/>
    </w:p>
    <w:p>
      <w:pPr>
        <w:snapToGrid w:val="0"/>
        <w:spacing w:before="120" w:after="120" w:line="360" w:lineRule="auto"/>
        <w:ind w:left="418" w:leftChars="199" w:firstLine="444" w:firstLineChars="185"/>
        <w:rPr>
          <w:rFonts w:hAnsi="宋体" w:cs="新宋体-18030"/>
          <w:color w:val="000000" w:themeColor="text1"/>
          <w:sz w:val="24"/>
          <w:szCs w:val="24"/>
          <w14:textFill>
            <w14:solidFill>
              <w14:schemeClr w14:val="tx1"/>
            </w14:solidFill>
          </w14:textFill>
        </w:rPr>
      </w:pPr>
      <w:r>
        <w:rPr>
          <w:rFonts w:hint="eastAsia" w:hAnsi="宋体" w:cs="新宋体-18030"/>
          <w:color w:val="000000" w:themeColor="text1"/>
          <w:sz w:val="24"/>
          <w:szCs w:val="24"/>
          <w14:textFill>
            <w14:solidFill>
              <w14:schemeClr w14:val="tx1"/>
            </w14:solidFill>
          </w14:textFill>
        </w:rPr>
        <w:t>承包人在从事项目活动时必须遵守国家安全生产和环境保护相关的法律、法规、强制性国家标准和相关行业标准，</w:t>
      </w:r>
      <w:r>
        <w:rPr>
          <w:rFonts w:hint="eastAsia"/>
          <w:color w:val="000000" w:themeColor="text1"/>
          <w:sz w:val="24"/>
          <w:szCs w:val="24"/>
          <w14:textFill>
            <w14:solidFill>
              <w14:schemeClr w14:val="tx1"/>
            </w14:solidFill>
          </w14:textFill>
        </w:rPr>
        <w:t>当国家法律、法规、标准变更时，以新版本为准。</w:t>
      </w:r>
    </w:p>
    <w:bookmarkEnd w:id="1077"/>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78" w:name="_Toc213660316"/>
      <w:bookmarkStart w:id="1079" w:name="_Toc213658615"/>
      <w:bookmarkStart w:id="1080" w:name="_Toc41569105"/>
      <w:bookmarkStart w:id="1081" w:name="四"/>
      <w:r>
        <w:rPr>
          <w:rFonts w:hint="eastAsia" w:hAnsi="宋体" w:cs="新宋体-18030"/>
          <w:b/>
          <w:bCs/>
          <w:color w:val="000000" w:themeColor="text1"/>
          <w:sz w:val="24"/>
          <w:szCs w:val="24"/>
          <w14:textFill>
            <w14:solidFill>
              <w14:schemeClr w14:val="tx1"/>
            </w14:solidFill>
          </w14:textFill>
        </w:rPr>
        <w:t>对承包人安全、环境管理程序的要求</w:t>
      </w:r>
      <w:bookmarkEnd w:id="1078"/>
      <w:bookmarkEnd w:id="1079"/>
      <w:bookmarkEnd w:id="1080"/>
    </w:p>
    <w:bookmarkEnd w:id="1081"/>
    <w:p>
      <w:pPr>
        <w:numPr>
          <w:ilvl w:val="1"/>
          <w:numId w:val="20"/>
        </w:numPr>
        <w:tabs>
          <w:tab w:val="left" w:pos="1155"/>
          <w:tab w:val="left" w:pos="1575"/>
        </w:tabs>
        <w:snapToGrid w:val="0"/>
        <w:spacing w:before="120" w:after="120" w:line="360" w:lineRule="auto"/>
        <w:ind w:left="1155" w:hanging="730"/>
        <w:jc w:val="left"/>
        <w:rPr>
          <w:rFonts w:ascii="宋体" w:cs="新宋体-18030"/>
          <w:bCs/>
          <w:snapToGrid w:val="0"/>
          <w:color w:val="000000" w:themeColor="text1"/>
          <w:sz w:val="24"/>
          <w:szCs w:val="24"/>
          <w14:textFill>
            <w14:solidFill>
              <w14:schemeClr w14:val="tx1"/>
            </w14:solidFill>
          </w14:textFill>
        </w:rPr>
      </w:pPr>
      <w:r>
        <w:rPr>
          <w:rFonts w:hint="eastAsia" w:ascii="宋体" w:hAnsi="宋体" w:cs="新宋体-18030"/>
          <w:bCs/>
          <w:snapToGrid w:val="0"/>
          <w:color w:val="000000" w:themeColor="text1"/>
          <w:sz w:val="24"/>
          <w:szCs w:val="24"/>
          <w14:textFill>
            <w14:solidFill>
              <w14:schemeClr w14:val="tx1"/>
            </w14:solidFill>
          </w14:textFill>
        </w:rPr>
        <w:t>承包人应建立健全本单位本工程的安全管理大纲及程序体系，在合同签订后</w:t>
      </w:r>
      <w:r>
        <w:rPr>
          <w:rFonts w:ascii="宋体" w:hAnsi="宋体" w:cs="新宋体-18030"/>
          <w:bCs/>
          <w:snapToGrid w:val="0"/>
          <w:color w:val="000000" w:themeColor="text1"/>
          <w:sz w:val="24"/>
          <w:szCs w:val="24"/>
          <w14:textFill>
            <w14:solidFill>
              <w14:schemeClr w14:val="tx1"/>
            </w14:solidFill>
          </w14:textFill>
        </w:rPr>
        <w:t>1</w:t>
      </w:r>
      <w:r>
        <w:rPr>
          <w:rFonts w:hint="eastAsia" w:ascii="宋体" w:hAnsi="宋体" w:cs="新宋体-18030"/>
          <w:bCs/>
          <w:snapToGrid w:val="0"/>
          <w:color w:val="000000" w:themeColor="text1"/>
          <w:sz w:val="24"/>
          <w:szCs w:val="24"/>
          <w14:textFill>
            <w14:solidFill>
              <w14:schemeClr w14:val="tx1"/>
            </w14:solidFill>
          </w14:textFill>
        </w:rPr>
        <w:t>个月内</w:t>
      </w:r>
      <w:r>
        <w:rPr>
          <w:rFonts w:ascii="宋体" w:hAnsi="宋体" w:cs="新宋体-18030"/>
          <w:bCs/>
          <w:snapToGrid w:val="0"/>
          <w:color w:val="000000" w:themeColor="text1"/>
          <w:sz w:val="24"/>
          <w:szCs w:val="24"/>
          <w14:textFill>
            <w14:solidFill>
              <w14:schemeClr w14:val="tx1"/>
            </w14:solidFill>
          </w14:textFill>
        </w:rPr>
        <w:t>(</w:t>
      </w:r>
      <w:r>
        <w:rPr>
          <w:rFonts w:hint="eastAsia" w:ascii="宋体" w:hAnsi="宋体" w:cs="新宋体-18030"/>
          <w:bCs/>
          <w:snapToGrid w:val="0"/>
          <w:color w:val="000000" w:themeColor="text1"/>
          <w:sz w:val="24"/>
          <w:szCs w:val="24"/>
          <w14:textFill>
            <w14:solidFill>
              <w14:schemeClr w14:val="tx1"/>
            </w14:solidFill>
          </w14:textFill>
        </w:rPr>
        <w:t>工程开工前</w:t>
      </w:r>
      <w:r>
        <w:rPr>
          <w:rFonts w:ascii="宋体" w:hAnsi="宋体" w:cs="新宋体-18030"/>
          <w:bCs/>
          <w:snapToGrid w:val="0"/>
          <w:color w:val="000000" w:themeColor="text1"/>
          <w:sz w:val="24"/>
          <w:szCs w:val="24"/>
          <w14:textFill>
            <w14:solidFill>
              <w14:schemeClr w14:val="tx1"/>
            </w14:solidFill>
          </w14:textFill>
        </w:rPr>
        <w:t>)</w:t>
      </w:r>
      <w:r>
        <w:rPr>
          <w:rFonts w:hint="eastAsia" w:ascii="宋体" w:hAnsi="宋体" w:cs="新宋体-18030"/>
          <w:bCs/>
          <w:snapToGrid w:val="0"/>
          <w:color w:val="000000" w:themeColor="text1"/>
          <w:sz w:val="24"/>
          <w:szCs w:val="24"/>
          <w14:textFill>
            <w14:solidFill>
              <w14:schemeClr w14:val="tx1"/>
            </w14:solidFill>
          </w14:textFill>
        </w:rPr>
        <w:t>向发包人提供安全程序清单。</w:t>
      </w:r>
    </w:p>
    <w:p>
      <w:pPr>
        <w:numPr>
          <w:ilvl w:val="1"/>
          <w:numId w:val="20"/>
        </w:numPr>
        <w:tabs>
          <w:tab w:val="left" w:pos="1155"/>
          <w:tab w:val="left" w:pos="1575"/>
        </w:tabs>
        <w:snapToGrid w:val="0"/>
        <w:spacing w:before="120" w:after="120" w:line="360" w:lineRule="auto"/>
        <w:ind w:left="1155" w:hanging="730"/>
        <w:jc w:val="left"/>
        <w:rPr>
          <w:rFonts w:hAnsi="宋体" w:cs="新宋体-18030"/>
          <w:color w:val="000000" w:themeColor="text1"/>
          <w:sz w:val="24"/>
          <w:szCs w:val="24"/>
          <w14:textFill>
            <w14:solidFill>
              <w14:schemeClr w14:val="tx1"/>
            </w14:solidFill>
          </w14:textFill>
        </w:rPr>
      </w:pPr>
      <w:r>
        <w:rPr>
          <w:rFonts w:hint="eastAsia" w:hAnsi="宋体" w:cs="新宋体-18030"/>
          <w:color w:val="000000" w:themeColor="text1"/>
          <w:sz w:val="24"/>
          <w:szCs w:val="24"/>
          <w14:textFill>
            <w14:solidFill>
              <w14:schemeClr w14:val="tx1"/>
            </w14:solidFill>
          </w14:textFill>
        </w:rPr>
        <w:t>参照执行发包人的程序和其他相关规定时，不取代承包人的安全、环境管理责任，不影响或减轻承包人履行合同安全、环境条款所规定的责任。</w:t>
      </w:r>
    </w:p>
    <w:p>
      <w:pPr>
        <w:numPr>
          <w:ilvl w:val="1"/>
          <w:numId w:val="20"/>
        </w:numPr>
        <w:tabs>
          <w:tab w:val="left" w:pos="1155"/>
          <w:tab w:val="left" w:pos="1575"/>
        </w:tabs>
        <w:snapToGrid w:val="0"/>
        <w:spacing w:before="120" w:after="120" w:line="360" w:lineRule="auto"/>
        <w:ind w:left="1155" w:hanging="730"/>
        <w:jc w:val="left"/>
        <w:rPr>
          <w:rFonts w:hAnsi="宋体" w:cs="新宋体-18030"/>
          <w:color w:val="000000" w:themeColor="text1"/>
          <w:sz w:val="24"/>
          <w:szCs w:val="24"/>
          <w14:textFill>
            <w14:solidFill>
              <w14:schemeClr w14:val="tx1"/>
            </w14:solidFill>
          </w14:textFill>
        </w:rPr>
      </w:pPr>
      <w:r>
        <w:rPr>
          <w:rFonts w:hint="eastAsia" w:hAnsi="宋体" w:cs="新宋体-18030"/>
          <w:color w:val="000000" w:themeColor="text1"/>
          <w:sz w:val="24"/>
          <w:szCs w:val="24"/>
          <w14:textFill>
            <w14:solidFill>
              <w14:schemeClr w14:val="tx1"/>
            </w14:solidFill>
          </w14:textFill>
        </w:rPr>
        <w:t>承包人编制的所有安全大纲、程序、方案必须符合国家和当地法律法规及发包人程序规范要求，在</w:t>
      </w:r>
      <w:r>
        <w:rPr>
          <w:rFonts w:hint="eastAsia" w:ascii="宋体" w:hAnsi="宋体" w:cs="新宋体-18030"/>
          <w:bCs/>
          <w:snapToGrid w:val="0"/>
          <w:color w:val="000000" w:themeColor="text1"/>
          <w:sz w:val="24"/>
          <w:szCs w:val="24"/>
          <w14:textFill>
            <w14:solidFill>
              <w14:schemeClr w14:val="tx1"/>
            </w14:solidFill>
          </w14:textFill>
        </w:rPr>
        <w:t>合同签订后</w:t>
      </w:r>
      <w:r>
        <w:rPr>
          <w:rFonts w:ascii="宋体" w:hAnsi="宋体" w:cs="新宋体-18030"/>
          <w:bCs/>
          <w:snapToGrid w:val="0"/>
          <w:color w:val="000000" w:themeColor="text1"/>
          <w:sz w:val="24"/>
          <w:szCs w:val="24"/>
          <w14:textFill>
            <w14:solidFill>
              <w14:schemeClr w14:val="tx1"/>
            </w14:solidFill>
          </w14:textFill>
        </w:rPr>
        <w:t>1</w:t>
      </w:r>
      <w:r>
        <w:rPr>
          <w:rFonts w:hint="eastAsia" w:ascii="宋体" w:hAnsi="宋体" w:cs="新宋体-18030"/>
          <w:bCs/>
          <w:snapToGrid w:val="0"/>
          <w:color w:val="000000" w:themeColor="text1"/>
          <w:sz w:val="24"/>
          <w:szCs w:val="24"/>
          <w14:textFill>
            <w14:solidFill>
              <w14:schemeClr w14:val="tx1"/>
            </w14:solidFill>
          </w14:textFill>
        </w:rPr>
        <w:t>个月内</w:t>
      </w:r>
      <w:r>
        <w:rPr>
          <w:rFonts w:ascii="宋体" w:hAnsi="宋体" w:cs="新宋体-18030"/>
          <w:bCs/>
          <w:snapToGrid w:val="0"/>
          <w:color w:val="000000" w:themeColor="text1"/>
          <w:sz w:val="24"/>
          <w:szCs w:val="24"/>
          <w14:textFill>
            <w14:solidFill>
              <w14:schemeClr w14:val="tx1"/>
            </w14:solidFill>
          </w14:textFill>
        </w:rPr>
        <w:t>(</w:t>
      </w:r>
      <w:r>
        <w:rPr>
          <w:rFonts w:hint="eastAsia" w:ascii="宋体" w:hAnsi="宋体" w:cs="新宋体-18030"/>
          <w:bCs/>
          <w:snapToGrid w:val="0"/>
          <w:color w:val="000000" w:themeColor="text1"/>
          <w:sz w:val="24"/>
          <w:szCs w:val="24"/>
          <w14:textFill>
            <w14:solidFill>
              <w14:schemeClr w14:val="tx1"/>
            </w14:solidFill>
          </w14:textFill>
        </w:rPr>
        <w:t>工程开工前</w:t>
      </w:r>
      <w:r>
        <w:rPr>
          <w:rFonts w:ascii="宋体" w:hAnsi="宋体" w:cs="新宋体-18030"/>
          <w:bCs/>
          <w:snapToGrid w:val="0"/>
          <w:color w:val="000000" w:themeColor="text1"/>
          <w:sz w:val="24"/>
          <w:szCs w:val="24"/>
          <w14:textFill>
            <w14:solidFill>
              <w14:schemeClr w14:val="tx1"/>
            </w14:solidFill>
          </w14:textFill>
        </w:rPr>
        <w:t>)</w:t>
      </w:r>
      <w:r>
        <w:rPr>
          <w:rFonts w:hint="eastAsia" w:ascii="宋体" w:hAnsi="宋体" w:cs="新宋体-18030"/>
          <w:bCs/>
          <w:snapToGrid w:val="0"/>
          <w:color w:val="000000" w:themeColor="text1"/>
          <w:sz w:val="24"/>
          <w:szCs w:val="24"/>
          <w14:textFill>
            <w14:solidFill>
              <w14:schemeClr w14:val="tx1"/>
            </w14:solidFill>
          </w14:textFill>
        </w:rPr>
        <w:t>向发包人提供，批准生效后方可执行。</w:t>
      </w:r>
    </w:p>
    <w:p>
      <w:pPr>
        <w:numPr>
          <w:ilvl w:val="1"/>
          <w:numId w:val="20"/>
        </w:numPr>
        <w:tabs>
          <w:tab w:val="left" w:pos="1155"/>
          <w:tab w:val="left" w:pos="1575"/>
        </w:tabs>
        <w:snapToGrid w:val="0"/>
        <w:spacing w:before="120" w:after="120" w:line="360" w:lineRule="auto"/>
        <w:ind w:left="1155" w:hanging="730"/>
        <w:jc w:val="left"/>
        <w:rPr>
          <w:rFonts w:hAnsi="宋体" w:cs="新宋体-18030"/>
          <w:color w:val="000000" w:themeColor="text1"/>
          <w:sz w:val="24"/>
          <w:szCs w:val="24"/>
          <w14:textFill>
            <w14:solidFill>
              <w14:schemeClr w14:val="tx1"/>
            </w14:solidFill>
          </w14:textFill>
        </w:rPr>
      </w:pPr>
      <w:r>
        <w:rPr>
          <w:rFonts w:hint="eastAsia" w:ascii="宋体" w:hAnsi="宋体" w:cs="新宋体-18030"/>
          <w:bCs/>
          <w:snapToGrid w:val="0"/>
          <w:color w:val="000000" w:themeColor="text1"/>
          <w:sz w:val="24"/>
          <w:szCs w:val="24"/>
          <w14:textFill>
            <w14:solidFill>
              <w14:schemeClr w14:val="tx1"/>
            </w14:solidFill>
          </w14:textFill>
        </w:rPr>
        <w:t>承包人在合同签订后公司主要负责人（董事长、总经理）、项目经理须到发包人所在地做安全管理汇报（全程录像）。</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82" w:name="五"/>
      <w:bookmarkEnd w:id="1082"/>
      <w:bookmarkStart w:id="1083" w:name="_Toc213660317"/>
      <w:bookmarkStart w:id="1084" w:name="_Toc41569106"/>
      <w:bookmarkStart w:id="1085" w:name="_Toc213658616"/>
      <w:r>
        <w:rPr>
          <w:rFonts w:hint="eastAsia" w:hAnsi="宋体" w:cs="新宋体-18030"/>
          <w:b/>
          <w:bCs/>
          <w:color w:val="000000" w:themeColor="text1"/>
          <w:sz w:val="24"/>
          <w:szCs w:val="24"/>
          <w14:textFill>
            <w14:solidFill>
              <w14:schemeClr w14:val="tx1"/>
            </w14:solidFill>
          </w14:textFill>
        </w:rPr>
        <w:t>安全、环境目标</w:t>
      </w:r>
      <w:bookmarkEnd w:id="1083"/>
      <w:bookmarkEnd w:id="1084"/>
      <w:bookmarkEnd w:id="1085"/>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承包人安全管理要求应实现以下安全目标：</w:t>
      </w:r>
    </w:p>
    <w:p>
      <w:pPr>
        <w:numPr>
          <w:ilvl w:val="2"/>
          <w:numId w:val="20"/>
        </w:numPr>
        <w:tabs>
          <w:tab w:val="left" w:pos="1260"/>
        </w:tabs>
        <w:snapToGrid w:val="0"/>
        <w:spacing w:before="120" w:after="120" w:line="360" w:lineRule="auto"/>
        <w:ind w:left="1260" w:hanging="409"/>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不发生死亡及以上安全生产责任事故；员工重伤及轻伤率不超过千分之一；</w:t>
      </w:r>
    </w:p>
    <w:p>
      <w:pPr>
        <w:numPr>
          <w:ilvl w:val="2"/>
          <w:numId w:val="20"/>
        </w:numPr>
        <w:tabs>
          <w:tab w:val="left" w:pos="1260"/>
        </w:tabs>
        <w:snapToGrid w:val="0"/>
        <w:spacing w:before="120" w:after="120" w:line="360" w:lineRule="auto"/>
        <w:ind w:left="1260" w:hanging="409"/>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直接经济损失100万元以上的非人员伤亡安全生产责任事故为零；</w:t>
      </w:r>
    </w:p>
    <w:p>
      <w:pPr>
        <w:numPr>
          <w:ilvl w:val="2"/>
          <w:numId w:val="20"/>
        </w:numPr>
        <w:tabs>
          <w:tab w:val="left" w:pos="1260"/>
        </w:tabs>
        <w:snapToGrid w:val="0"/>
        <w:spacing w:before="120" w:after="120" w:line="360" w:lineRule="auto"/>
        <w:ind w:left="1260" w:hanging="409"/>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员工职业病率不超过千分之一；</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86" w:name="六"/>
      <w:bookmarkEnd w:id="1086"/>
      <w:bookmarkStart w:id="1087" w:name="_Toc213660318"/>
      <w:bookmarkStart w:id="1088" w:name="_Toc213658617"/>
      <w:bookmarkStart w:id="1089" w:name="_Toc41569107"/>
      <w:r>
        <w:rPr>
          <w:rFonts w:hint="eastAsia" w:hAnsi="宋体" w:cs="新宋体-18030"/>
          <w:b/>
          <w:bCs/>
          <w:color w:val="000000" w:themeColor="text1"/>
          <w:sz w:val="24"/>
          <w:szCs w:val="24"/>
          <w14:textFill>
            <w14:solidFill>
              <w14:schemeClr w14:val="tx1"/>
            </w14:solidFill>
          </w14:textFill>
        </w:rPr>
        <w:t>责任</w:t>
      </w:r>
      <w:bookmarkEnd w:id="1087"/>
      <w:bookmarkEnd w:id="1088"/>
      <w:r>
        <w:rPr>
          <w:rFonts w:hint="eastAsia" w:hAnsi="宋体" w:cs="新宋体-18030"/>
          <w:b/>
          <w:bCs/>
          <w:color w:val="000000" w:themeColor="text1"/>
          <w:sz w:val="24"/>
          <w:szCs w:val="24"/>
          <w14:textFill>
            <w14:solidFill>
              <w14:schemeClr w14:val="tx1"/>
            </w14:solidFill>
          </w14:textFill>
        </w:rPr>
        <w:t>承担</w:t>
      </w:r>
      <w:bookmarkEnd w:id="1089"/>
    </w:p>
    <w:p>
      <w:pPr>
        <w:tabs>
          <w:tab w:val="left" w:pos="1260"/>
        </w:tabs>
        <w:snapToGrid w:val="0"/>
        <w:spacing w:before="120" w:after="120" w:line="360" w:lineRule="auto"/>
        <w:ind w:left="851"/>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承包人应承诺在合同规定的活动中承担以下安全、环境责任：</w:t>
      </w:r>
    </w:p>
    <w:p>
      <w:pPr>
        <w:numPr>
          <w:ilvl w:val="2"/>
          <w:numId w:val="20"/>
        </w:numPr>
        <w:tabs>
          <w:tab w:val="left" w:pos="1365"/>
          <w:tab w:val="clear" w:pos="1418"/>
        </w:tabs>
        <w:snapToGrid w:val="0"/>
        <w:spacing w:before="120" w:after="120" w:line="360" w:lineRule="auto"/>
        <w:ind w:left="1365" w:hanging="514"/>
        <w:rPr>
          <w:rFonts w:ascii="宋体" w:cs="新宋体-18030"/>
          <w:bCs/>
          <w:iCs/>
          <w:color w:val="000000" w:themeColor="text1"/>
          <w:sz w:val="24"/>
          <w:szCs w:val="24"/>
          <w14:textFill>
            <w14:solidFill>
              <w14:schemeClr w14:val="tx1"/>
            </w14:solidFill>
          </w14:textFill>
        </w:rPr>
      </w:pPr>
      <w:r>
        <w:rPr>
          <w:rFonts w:hint="eastAsia" w:ascii="宋体" w:hAnsi="宋体" w:cs="新宋体-18030"/>
          <w:bCs/>
          <w:iCs/>
          <w:color w:val="000000" w:themeColor="text1"/>
          <w:sz w:val="24"/>
          <w:szCs w:val="24"/>
          <w14:textFill>
            <w14:solidFill>
              <w14:schemeClr w14:val="tx1"/>
            </w14:solidFill>
          </w14:textFill>
        </w:rPr>
        <w:t>承包人的法人代表或其授权人对本合同活动的安全、环境负有全面的领导责任。</w:t>
      </w:r>
    </w:p>
    <w:p>
      <w:pPr>
        <w:numPr>
          <w:ilvl w:val="2"/>
          <w:numId w:val="20"/>
        </w:numPr>
        <w:tabs>
          <w:tab w:val="left" w:pos="1365"/>
          <w:tab w:val="clear" w:pos="1418"/>
        </w:tabs>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承包人项目经理对合同活动的安全</w:t>
      </w:r>
      <w:r>
        <w:rPr>
          <w:rFonts w:hint="eastAsia" w:ascii="宋体" w:hAnsi="宋体" w:cs="新宋体-18030"/>
          <w:bCs/>
          <w:iCs/>
          <w:color w:val="000000" w:themeColor="text1"/>
          <w:sz w:val="24"/>
          <w:szCs w:val="24"/>
          <w14:textFill>
            <w14:solidFill>
              <w14:schemeClr w14:val="tx1"/>
            </w14:solidFill>
          </w14:textFill>
        </w:rPr>
        <w:t>、环境</w:t>
      </w:r>
      <w:r>
        <w:rPr>
          <w:rFonts w:hint="eastAsia" w:ascii="宋体" w:hAnsi="宋体" w:cs="新宋体-18030"/>
          <w:bCs/>
          <w:color w:val="000000" w:themeColor="text1"/>
          <w:sz w:val="24"/>
          <w:szCs w:val="24"/>
          <w14:textFill>
            <w14:solidFill>
              <w14:schemeClr w14:val="tx1"/>
            </w14:solidFill>
          </w14:textFill>
        </w:rPr>
        <w:t>工作负有全面的直接领导责任。</w:t>
      </w:r>
    </w:p>
    <w:p>
      <w:pPr>
        <w:numPr>
          <w:ilvl w:val="2"/>
          <w:numId w:val="20"/>
        </w:numPr>
        <w:tabs>
          <w:tab w:val="left" w:pos="1365"/>
          <w:tab w:val="clear" w:pos="1418"/>
        </w:tabs>
        <w:snapToGrid w:val="0"/>
        <w:spacing w:before="120" w:after="120" w:line="360" w:lineRule="auto"/>
        <w:ind w:left="1365" w:hanging="514"/>
        <w:rPr>
          <w:rFonts w:ascii="宋体" w:cs="新宋体-18030"/>
          <w:bCs/>
          <w:iCs/>
          <w:color w:val="000000" w:themeColor="text1"/>
          <w:sz w:val="24"/>
          <w:szCs w:val="24"/>
          <w14:textFill>
            <w14:solidFill>
              <w14:schemeClr w14:val="tx1"/>
            </w14:solidFill>
          </w14:textFill>
        </w:rPr>
      </w:pPr>
      <w:r>
        <w:rPr>
          <w:rFonts w:hint="eastAsia" w:ascii="宋体" w:hAnsi="宋体" w:cs="新宋体-18030"/>
          <w:bCs/>
          <w:iCs/>
          <w:color w:val="000000" w:themeColor="text1"/>
          <w:sz w:val="24"/>
          <w:szCs w:val="24"/>
          <w14:textFill>
            <w14:solidFill>
              <w14:schemeClr w14:val="tx1"/>
            </w14:solidFill>
          </w14:textFill>
        </w:rPr>
        <w:t>承包人应保证本单位安全生产投入的有效实施。</w:t>
      </w:r>
    </w:p>
    <w:p>
      <w:pPr>
        <w:numPr>
          <w:ilvl w:val="2"/>
          <w:numId w:val="20"/>
        </w:numPr>
        <w:tabs>
          <w:tab w:val="left" w:pos="1365"/>
          <w:tab w:val="clear" w:pos="1418"/>
        </w:tabs>
        <w:snapToGrid w:val="0"/>
        <w:spacing w:before="120" w:after="120" w:line="360" w:lineRule="auto"/>
        <w:ind w:left="1365" w:hanging="514"/>
        <w:rPr>
          <w:rFonts w:ascii="宋体" w:cs="新宋体-18030"/>
          <w:bCs/>
          <w:iCs/>
          <w:color w:val="000000" w:themeColor="text1"/>
          <w:sz w:val="24"/>
          <w:szCs w:val="24"/>
          <w14:textFill>
            <w14:solidFill>
              <w14:schemeClr w14:val="tx1"/>
            </w14:solidFill>
          </w14:textFill>
        </w:rPr>
      </w:pPr>
      <w:r>
        <w:rPr>
          <w:rFonts w:hint="eastAsia" w:ascii="宋体" w:hAnsi="宋体" w:cs="新宋体-18030"/>
          <w:bCs/>
          <w:iCs/>
          <w:color w:val="000000" w:themeColor="text1"/>
          <w:sz w:val="24"/>
          <w:szCs w:val="24"/>
          <w14:textFill>
            <w14:solidFill>
              <w14:schemeClr w14:val="tx1"/>
            </w14:solidFill>
          </w14:textFill>
        </w:rPr>
        <w:t>承包人应承诺服从发包人对安全、环境工作的统一协调和管理。</w:t>
      </w:r>
    </w:p>
    <w:p>
      <w:pPr>
        <w:numPr>
          <w:ilvl w:val="2"/>
          <w:numId w:val="20"/>
        </w:numPr>
        <w:tabs>
          <w:tab w:val="left" w:pos="1365"/>
          <w:tab w:val="clear" w:pos="1418"/>
        </w:tabs>
        <w:snapToGrid w:val="0"/>
        <w:spacing w:before="120" w:after="120" w:line="360" w:lineRule="auto"/>
        <w:ind w:left="1365" w:hanging="514"/>
        <w:rPr>
          <w:rFonts w:ascii="宋体" w:cs="新宋体-18030"/>
          <w:bCs/>
          <w:iCs/>
          <w:color w:val="000000" w:themeColor="text1"/>
          <w:sz w:val="24"/>
          <w:szCs w:val="24"/>
          <w14:textFill>
            <w14:solidFill>
              <w14:schemeClr w14:val="tx1"/>
            </w14:solidFill>
          </w14:textFill>
        </w:rPr>
      </w:pPr>
      <w:r>
        <w:rPr>
          <w:rFonts w:hint="eastAsia" w:ascii="宋体" w:hAnsi="宋体" w:cs="新宋体-18030"/>
          <w:bCs/>
          <w:iCs/>
          <w:color w:val="000000" w:themeColor="text1"/>
          <w:sz w:val="24"/>
          <w:szCs w:val="24"/>
          <w14:textFill>
            <w14:solidFill>
              <w14:schemeClr w14:val="tx1"/>
            </w14:solidFill>
          </w14:textFill>
        </w:rPr>
        <w:t>承包人应与分包商、供应商签订安全协议，明确双方安全职责与分工，保证分包商、供应商的资格符合发包人的要求，对施工队伍的安全实施统一管理，对分包商、供应商的安全向发包人负责。</w:t>
      </w:r>
    </w:p>
    <w:p>
      <w:pPr>
        <w:numPr>
          <w:ilvl w:val="2"/>
          <w:numId w:val="20"/>
        </w:numPr>
        <w:tabs>
          <w:tab w:val="left" w:pos="1365"/>
          <w:tab w:val="clear" w:pos="1418"/>
        </w:tabs>
        <w:snapToGrid w:val="0"/>
        <w:spacing w:before="120" w:after="120" w:line="360" w:lineRule="auto"/>
        <w:ind w:left="1365" w:hanging="514"/>
        <w:rPr>
          <w:rFonts w:ascii="宋体" w:cs="新宋体-18030"/>
          <w:bCs/>
          <w:iCs/>
          <w:color w:val="000000" w:themeColor="text1"/>
          <w:sz w:val="24"/>
          <w:szCs w:val="24"/>
          <w14:textFill>
            <w14:solidFill>
              <w14:schemeClr w14:val="tx1"/>
            </w14:solidFill>
          </w14:textFill>
        </w:rPr>
      </w:pPr>
      <w:r>
        <w:rPr>
          <w:rFonts w:hint="eastAsia" w:ascii="宋体" w:hAnsi="宋体" w:cs="新宋体-18030"/>
          <w:bCs/>
          <w:iCs/>
          <w:color w:val="000000" w:themeColor="text1"/>
          <w:sz w:val="24"/>
          <w:szCs w:val="24"/>
          <w14:textFill>
            <w14:solidFill>
              <w14:schemeClr w14:val="tx1"/>
            </w14:solidFill>
          </w14:textFill>
        </w:rPr>
        <w:t>承包人应保证采购、租赁物项的安全性能、环保性能符合国家法律、标准和发包人的要求，对其实施统一的安全管理，并向发包人负责。</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90" w:name="七"/>
      <w:bookmarkEnd w:id="1090"/>
      <w:bookmarkStart w:id="1091" w:name="_Toc41569108"/>
      <w:bookmarkStart w:id="1092" w:name="_Toc213658618"/>
      <w:bookmarkStart w:id="1093" w:name="_Toc213660319"/>
      <w:r>
        <w:rPr>
          <w:rFonts w:hint="eastAsia" w:hAnsi="宋体" w:cs="新宋体-18030"/>
          <w:b/>
          <w:bCs/>
          <w:color w:val="000000" w:themeColor="text1"/>
          <w:sz w:val="24"/>
          <w:szCs w:val="24"/>
          <w14:textFill>
            <w14:solidFill>
              <w14:schemeClr w14:val="tx1"/>
            </w14:solidFill>
          </w14:textFill>
        </w:rPr>
        <w:t>安全协议与接口协调</w:t>
      </w:r>
      <w:bookmarkEnd w:id="1091"/>
      <w:bookmarkEnd w:id="1092"/>
      <w:bookmarkEnd w:id="1093"/>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发包人与承包人可根据实际需要（如现场风险变化或国家新的安全法规要求或合同内容变更等）依据《安全生产法》的规定签订《安全生产管理协议》，该协议作为合同双方安全生产方面的补充规定，具有与合同相同的法律效力。</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承包人应建立“管生产必须管安全”的责任落实和责任链传递机制、“现场施工区域”的安全责任落实及协调机制、承包人引入人员（包括学习人员、参观人员、供应商代表等临时人员）的安全管理和协调机制。</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承包人应指定专人作为安全协调人，与发包人的安全相关部门接口，参与协调管理。</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承包人的安全协调人应具备协调安全工作的能力和权利。发包人有权对协调人的能力和权力做出评价，对于不能胜任的协调人，发包人有权要求承包人换人；合同生效后的</w:t>
      </w:r>
      <w:r>
        <w:rPr>
          <w:rFonts w:ascii="宋体" w:hAnsi="宋体" w:cs="新宋体-18030"/>
          <w:bCs/>
          <w:color w:val="000000" w:themeColor="text1"/>
          <w:sz w:val="24"/>
          <w:szCs w:val="24"/>
          <w14:textFill>
            <w14:solidFill>
              <w14:schemeClr w14:val="tx1"/>
            </w14:solidFill>
          </w14:textFill>
        </w:rPr>
        <w:t>5</w:t>
      </w:r>
      <w:r>
        <w:rPr>
          <w:rFonts w:hint="eastAsia" w:ascii="宋体" w:hAnsi="宋体" w:cs="新宋体-18030"/>
          <w:bCs/>
          <w:color w:val="000000" w:themeColor="text1"/>
          <w:sz w:val="24"/>
          <w:szCs w:val="24"/>
          <w14:textFill>
            <w14:solidFill>
              <w14:schemeClr w14:val="tx1"/>
            </w14:solidFill>
          </w14:textFill>
        </w:rPr>
        <w:t>个工作日之内，承包人指定的安全协调人员应与发包人的安全相关部门建立联系。</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在发生同一区域多个单位施工且影响相互间的安全生产时，承包人有义务与有关单位协商，确定协调的责任和方法，必要时可签订相关协议。该协议应征求发包人的意见，并在发包人备案。</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94" w:name="八"/>
      <w:bookmarkEnd w:id="1094"/>
      <w:bookmarkStart w:id="1095" w:name="_Toc213658619"/>
      <w:bookmarkStart w:id="1096" w:name="_Toc213660320"/>
      <w:bookmarkStart w:id="1097" w:name="_Toc41569109"/>
      <w:r>
        <w:rPr>
          <w:rFonts w:hint="eastAsia" w:hAnsi="宋体" w:cs="新宋体-18030"/>
          <w:b/>
          <w:bCs/>
          <w:color w:val="000000" w:themeColor="text1"/>
          <w:sz w:val="24"/>
          <w:szCs w:val="24"/>
          <w14:textFill>
            <w14:solidFill>
              <w14:schemeClr w14:val="tx1"/>
            </w14:solidFill>
          </w14:textFill>
        </w:rPr>
        <w:t>安全监督组织与网络</w:t>
      </w:r>
      <w:bookmarkEnd w:id="1095"/>
      <w:bookmarkEnd w:id="1096"/>
      <w:bookmarkEnd w:id="1097"/>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承包人必须达到《建筑施工企业安全生产管理机构设置及专职安全生产管理人员配备办法》要求，配备足够专职安全生产管理人员。</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承包人配备项目专职安全生产管理人员应当满足下列要求：</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xml:space="preserve">   （一）建筑工程、装修工程按照建筑面积配备：</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1、1万平方米以下的工程不少于1人；</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2、1万～5万平方米的工程不少于2人；</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3、5万平方米及以上的工程不少于3人，且按专业配备专职安全生产管理人员。</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（二）土木工程、线路管道、设备安装工程按照工程合同价配备：</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1、5000万元以下的工程不少于1人；</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2、5000万～1亿元的工程不少于2人；</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3、1亿元及以上的工程不少于3人，且按专业配备专职安全生产管理人员。</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承包人的分包单位配备项目专职安全生产管理人员应当满足下列要求：</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（一）专业承包单位应当配置至少1人，并根据所承担的分部分项工程的工程量和施工危险程度增加。</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二）劳务分包单位施工人员在50人以下的，应当配备1名专职安全生产管理人员；50人-200人的，应当配备2名专职安全生产管理人员；200人及以上的，应当配备3名及以上专职安全生产管理人员，并根据所承担的分部分项工程施工危险实际情况增加，不得少于工程施工人员总人数的5‰。</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承包人专职安全管理人员必须持安全C证，安全负责人工作年限必须3年以上，持注册安全工程师资格证。</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如不能达到安全管理要求的岗位能力，发包人有权要求更换安全管理人员，承包方必须无条件执行。</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承包人应建立安全管理监督网络，建立诸如安全委员会或其他形式的安全协调机构，并至少每季度组织一次全体会议，必要时组织专项会议。承包人工程安质环委员会对主要管理者关键的</w:t>
      </w:r>
      <w:r>
        <w:rPr>
          <w:rFonts w:ascii="宋体" w:hAnsi="宋体" w:cs="新宋体-18030"/>
          <w:bCs/>
          <w:color w:val="000000" w:themeColor="text1"/>
          <w:sz w:val="24"/>
          <w:szCs w:val="24"/>
          <w14:textFill>
            <w14:solidFill>
              <w14:schemeClr w14:val="tx1"/>
            </w14:solidFill>
          </w14:textFill>
        </w:rPr>
        <w:t>HSE</w:t>
      </w:r>
      <w:r>
        <w:rPr>
          <w:rFonts w:hint="eastAsia" w:ascii="宋体" w:hAnsi="宋体" w:cs="新宋体-18030"/>
          <w:bCs/>
          <w:color w:val="000000" w:themeColor="text1"/>
          <w:sz w:val="24"/>
          <w:szCs w:val="24"/>
          <w14:textFill>
            <w14:solidFill>
              <w14:schemeClr w14:val="tx1"/>
            </w14:solidFill>
          </w14:textFill>
        </w:rPr>
        <w:t>职责履行情况进行检查，检查结果和改进措施输入安全委会会议纪要。</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承包人应建立生产会议上的安全议题制度。</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承包人应参加发包人组织的现场工程安全委员会，积极参与工程安全管理。</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承包人应建立领导</w:t>
      </w:r>
      <w:r>
        <w:rPr>
          <w:rFonts w:ascii="宋体" w:hAnsi="宋体" w:cs="新宋体-18030"/>
          <w:bCs/>
          <w:color w:val="000000" w:themeColor="text1"/>
          <w:sz w:val="24"/>
          <w:szCs w:val="24"/>
          <w14:textFill>
            <w14:solidFill>
              <w14:schemeClr w14:val="tx1"/>
            </w14:solidFill>
          </w14:textFill>
        </w:rPr>
        <w:t xml:space="preserve">HSE </w:t>
      </w:r>
      <w:r>
        <w:rPr>
          <w:rFonts w:hint="eastAsia" w:ascii="宋体" w:hAnsi="宋体" w:cs="新宋体-18030"/>
          <w:bCs/>
          <w:color w:val="000000" w:themeColor="text1"/>
          <w:sz w:val="24"/>
          <w:szCs w:val="24"/>
          <w14:textFill>
            <w14:solidFill>
              <w14:schemeClr w14:val="tx1"/>
            </w14:solidFill>
          </w14:textFill>
        </w:rPr>
        <w:t>管理带班巡视制度，明确高、中层管理人员</w:t>
      </w:r>
      <w:r>
        <w:rPr>
          <w:rFonts w:ascii="宋体" w:hAnsi="宋体" w:cs="新宋体-18030"/>
          <w:bCs/>
          <w:color w:val="000000" w:themeColor="text1"/>
          <w:sz w:val="24"/>
          <w:szCs w:val="24"/>
          <w14:textFill>
            <w14:solidFill>
              <w14:schemeClr w14:val="tx1"/>
            </w14:solidFill>
          </w14:textFill>
        </w:rPr>
        <w:t xml:space="preserve">HSE </w:t>
      </w:r>
      <w:r>
        <w:rPr>
          <w:rFonts w:hint="eastAsia" w:ascii="宋体" w:hAnsi="宋体" w:cs="新宋体-18030"/>
          <w:bCs/>
          <w:color w:val="000000" w:themeColor="text1"/>
          <w:sz w:val="24"/>
          <w:szCs w:val="24"/>
          <w14:textFill>
            <w14:solidFill>
              <w14:schemeClr w14:val="tx1"/>
            </w14:solidFill>
          </w14:textFill>
        </w:rPr>
        <w:t>管理巡视的具体方式、频次、参与人员等。</w:t>
      </w:r>
      <w:r>
        <w:rPr>
          <w:rFonts w:hint="eastAsia" w:ascii="宋体" w:hAnsi="宋体" w:cs="???-18030"/>
          <w:bCs/>
          <w:color w:val="000000" w:themeColor="text1"/>
          <w:sz w:val="24"/>
          <w:szCs w:val="24"/>
          <w14:textFill>
            <w14:solidFill>
              <w14:schemeClr w14:val="tx1"/>
            </w14:solidFill>
          </w14:textFill>
        </w:rPr>
        <w:t>承包人项目经理部成员</w:t>
      </w:r>
      <w:r>
        <w:rPr>
          <w:rFonts w:hint="eastAsia" w:ascii="宋体" w:hAnsi="宋体" w:cs="新宋体-18030"/>
          <w:bCs/>
          <w:color w:val="000000" w:themeColor="text1"/>
          <w:sz w:val="24"/>
          <w:szCs w:val="24"/>
          <w14:textFill>
            <w14:solidFill>
              <w14:schemeClr w14:val="tx1"/>
            </w14:solidFill>
          </w14:textFill>
        </w:rPr>
        <w:t>应每周进行现场管理巡视</w:t>
      </w:r>
      <w:r>
        <w:rPr>
          <w:rFonts w:hint="eastAsia" w:ascii="宋体" w:hAnsi="宋体" w:cs="???-18030"/>
          <w:bCs/>
          <w:color w:val="000000" w:themeColor="text1"/>
          <w:sz w:val="24"/>
          <w:szCs w:val="24"/>
          <w14:textFill>
            <w14:solidFill>
              <w14:schemeClr w14:val="tx1"/>
            </w14:solidFill>
          </w14:textFill>
        </w:rPr>
        <w:t>。</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承包人项目经理部每季度发布项目季度良好表现简报，在项目部会议室、员工食堂、施工现场主要出入口、宣传栏等醒目场所张贴，对良好表现的表扬进行推广。</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当发包人生产主管部门和安全部门的人员要求立即中止违章作业时，承包人员工应无条件立即执行；发包人有权根据现场的安全风险情况进行区域性停工或全场停工，在接到停工令后，承包人应立即停止规定范围内的施工活动，组织安全整改，停工造成的影响和损失由承包人负责承担。</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承包人应健全安全监督机制，现场如有施工，安全员必须到场监督，管理人员上班时间与工人上班时间要同步，杜绝现象出现管理真空。</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098" w:name="九"/>
      <w:bookmarkEnd w:id="1098"/>
      <w:bookmarkStart w:id="1099" w:name="_Toc213660321"/>
      <w:bookmarkStart w:id="1100" w:name="_Toc41569110"/>
      <w:bookmarkStart w:id="1101" w:name="_Toc213658620"/>
      <w:r>
        <w:rPr>
          <w:rFonts w:hint="eastAsia" w:hAnsi="宋体" w:cs="新宋体-18030"/>
          <w:b/>
          <w:bCs/>
          <w:color w:val="000000" w:themeColor="text1"/>
          <w:sz w:val="24"/>
          <w:szCs w:val="24"/>
          <w14:textFill>
            <w14:solidFill>
              <w14:schemeClr w14:val="tx1"/>
            </w14:solidFill>
          </w14:textFill>
        </w:rPr>
        <w:t>人员基本素质</w:t>
      </w:r>
      <w:bookmarkEnd w:id="1099"/>
      <w:bookmarkEnd w:id="1100"/>
      <w:bookmarkEnd w:id="1101"/>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承包人须保证施工人员（包括临时劳务人员、分包人员、劳务人员）的基本素质满足以下要求，并在申请入场证件时以书面形式予以承诺：</w:t>
      </w:r>
      <w:r>
        <w:rPr>
          <w:rFonts w:ascii="宋体" w:hAnsi="宋体" w:cs="新宋体-18030"/>
          <w:bCs/>
          <w:color w:val="000000" w:themeColor="text1"/>
          <w:sz w:val="24"/>
          <w:szCs w:val="24"/>
          <w14:textFill>
            <w14:solidFill>
              <w14:schemeClr w14:val="tx1"/>
            </w14:solidFill>
          </w14:textFill>
        </w:rPr>
        <w:t xml:space="preserve"> </w:t>
      </w:r>
    </w:p>
    <w:p>
      <w:pPr>
        <w:numPr>
          <w:ilvl w:val="2"/>
          <w:numId w:val="21"/>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承包人应在入场前对施工人员进行医学健康检查，且至少每年度进行一次医学健康检查，原则上要求由县级以上医院出具体检报告。特殊工种和特殊岗位人员应按照国家相关规定进行特殊职业能力体检。</w:t>
      </w:r>
    </w:p>
    <w:p>
      <w:pPr>
        <w:numPr>
          <w:ilvl w:val="2"/>
          <w:numId w:val="21"/>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保证入场人员身体健康，无影响工作的残疾、禁忌症，无传染病和其他影响正常工作的严重疾病，无刑事案件牵连。</w:t>
      </w:r>
    </w:p>
    <w:p>
      <w:pPr>
        <w:numPr>
          <w:ilvl w:val="2"/>
          <w:numId w:val="21"/>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工作经验、经历及身体素质应能与所从事的工种相适应。</w:t>
      </w:r>
    </w:p>
    <w:p>
      <w:pPr>
        <w:numPr>
          <w:ilvl w:val="1"/>
          <w:numId w:val="20"/>
        </w:numPr>
        <w:tabs>
          <w:tab w:val="left" w:pos="851"/>
        </w:tabs>
        <w:snapToGrid w:val="0"/>
        <w:spacing w:before="120" w:after="120" w:line="360" w:lineRule="auto"/>
        <w:ind w:left="1134" w:leftChars="338" w:hanging="424" w:hangingChars="177"/>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承包人的主要负责人、项目负责人、专职安全生产管理人员和特种从业人员应当国家及地方行政主管部门或者其他有关部门考核合格后方可任职。</w:t>
      </w:r>
    </w:p>
    <w:p>
      <w:pPr>
        <w:numPr>
          <w:ilvl w:val="1"/>
          <w:numId w:val="20"/>
        </w:numPr>
        <w:tabs>
          <w:tab w:val="left" w:pos="851"/>
        </w:tabs>
        <w:snapToGrid w:val="0"/>
        <w:spacing w:before="120" w:after="120" w:line="360" w:lineRule="auto"/>
        <w:ind w:left="1134" w:leftChars="338" w:hanging="424" w:hangingChars="177"/>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发包人及其上级单位（业主、政府部门等）有权对承包人人员的基本素质情况进行检查，对不能满足要求的人员有权清退出场，由此产生的经济和法律后果由承包人承担</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02" w:name="十"/>
      <w:bookmarkEnd w:id="1102"/>
      <w:bookmarkStart w:id="1103" w:name="_Toc213660322"/>
      <w:bookmarkStart w:id="1104" w:name="_Toc41569111"/>
      <w:bookmarkStart w:id="1105" w:name="_Toc213658621"/>
      <w:r>
        <w:rPr>
          <w:rFonts w:hint="eastAsia" w:hAnsi="宋体" w:cs="新宋体-18030"/>
          <w:b/>
          <w:bCs/>
          <w:color w:val="000000" w:themeColor="text1"/>
          <w:sz w:val="24"/>
          <w:szCs w:val="24"/>
          <w14:textFill>
            <w14:solidFill>
              <w14:schemeClr w14:val="tx1"/>
            </w14:solidFill>
          </w14:textFill>
        </w:rPr>
        <w:t>安全培训与授权</w:t>
      </w:r>
      <w:bookmarkEnd w:id="1103"/>
      <w:bookmarkEnd w:id="1104"/>
      <w:bookmarkEnd w:id="1105"/>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承包人应建立健全安全培训和考核制度，</w:t>
      </w:r>
      <w:r>
        <w:rPr>
          <w:rFonts w:hint="eastAsia" w:ascii="ˎ̥" w:hAnsi="ˎ̥"/>
          <w:color w:val="000000" w:themeColor="text1"/>
          <w:sz w:val="24"/>
          <w:szCs w:val="24"/>
          <w14:textFill>
            <w14:solidFill>
              <w14:schemeClr w14:val="tx1"/>
            </w14:solidFill>
          </w14:textFill>
        </w:rPr>
        <w:t>对项目</w:t>
      </w:r>
      <w:r>
        <w:rPr>
          <w:rFonts w:ascii="ˎ̥" w:hAnsi="ˎ̥"/>
          <w:color w:val="000000" w:themeColor="text1"/>
          <w:sz w:val="24"/>
          <w:szCs w:val="24"/>
          <w14:textFill>
            <w14:solidFill>
              <w14:schemeClr w14:val="tx1"/>
            </w14:solidFill>
          </w14:textFill>
        </w:rPr>
        <w:t>主要负责人、安全生产管理人员、特种作业人员和其他从业人员</w:t>
      </w:r>
      <w:r>
        <w:rPr>
          <w:rFonts w:hint="eastAsia" w:ascii="ˎ̥" w:hAnsi="ˎ̥"/>
          <w:color w:val="000000" w:themeColor="text1"/>
          <w:sz w:val="24"/>
          <w:szCs w:val="24"/>
          <w14:textFill>
            <w14:solidFill>
              <w14:schemeClr w14:val="tx1"/>
            </w14:solidFill>
          </w14:textFill>
        </w:rPr>
        <w:t>进行安全培训，使其</w:t>
      </w:r>
      <w:r>
        <w:rPr>
          <w:rFonts w:ascii="ˎ̥" w:hAnsi="ˎ̥"/>
          <w:color w:val="000000" w:themeColor="text1"/>
          <w:sz w:val="24"/>
          <w:szCs w:val="24"/>
          <w14:textFill>
            <w14:solidFill>
              <w14:schemeClr w14:val="tx1"/>
            </w14:solidFill>
          </w14:textFill>
        </w:rPr>
        <w:t>熟悉有关安全生产规章制度和安全操作规程，具备必要的安全生产知识，掌握本岗位的安全操作技能，增强预防事故、控制职业危害和应急处理的能力。</w:t>
      </w:r>
      <w:r>
        <w:rPr>
          <w:rFonts w:hint="eastAsia" w:ascii="ˎ̥" w:hAnsi="ˎ̥"/>
          <w:color w:val="000000" w:themeColor="text1"/>
          <w:sz w:val="24"/>
          <w:szCs w:val="24"/>
          <w14:textFill>
            <w14:solidFill>
              <w14:schemeClr w14:val="tx1"/>
            </w14:solidFill>
          </w14:textFill>
        </w:rPr>
        <w:t>承包人所有入场人员必须接受入场三级教育和定期安全复训，</w:t>
      </w:r>
      <w:r>
        <w:rPr>
          <w:rFonts w:ascii="ˎ̥" w:hAnsi="ˎ̥"/>
          <w:color w:val="000000" w:themeColor="text1"/>
          <w:sz w:val="24"/>
          <w:szCs w:val="24"/>
          <w14:textFill>
            <w14:solidFill>
              <w14:schemeClr w14:val="tx1"/>
            </w14:solidFill>
          </w14:textFill>
        </w:rPr>
        <w:t>未经安全生产培训合格的从业人员，不得上岗作业。</w:t>
      </w:r>
    </w:p>
    <w:p>
      <w:pPr>
        <w:numPr>
          <w:ilvl w:val="1"/>
          <w:numId w:val="20"/>
        </w:numPr>
        <w:tabs>
          <w:tab w:val="left" w:pos="1155"/>
        </w:tabs>
        <w:snapToGrid w:val="0"/>
        <w:spacing w:before="120" w:after="120" w:line="360" w:lineRule="auto"/>
        <w:ind w:left="1134" w:hanging="714"/>
        <w:rPr>
          <w:rFonts w:hint="eastAsia" w:ascii="ˎ̥" w:hAnsi="ˎ̥"/>
          <w:color w:val="000000" w:themeColor="text1"/>
          <w:sz w:val="24"/>
          <w:szCs w:val="24"/>
          <w14:textFill>
            <w14:solidFill>
              <w14:schemeClr w14:val="tx1"/>
            </w14:solidFill>
          </w14:textFill>
        </w:rPr>
      </w:pPr>
      <w:r>
        <w:rPr>
          <w:rFonts w:hint="eastAsia" w:ascii="ˎ̥" w:hAnsi="ˎ̥"/>
          <w:color w:val="000000" w:themeColor="text1"/>
          <w:sz w:val="24"/>
          <w:szCs w:val="24"/>
          <w14:textFill>
            <w14:solidFill>
              <w14:schemeClr w14:val="tx1"/>
            </w14:solidFill>
          </w14:textFill>
        </w:rPr>
        <w:t>承包人应根据工程进展和需要编制培训教材和培训滚动计划，并报发包人备案。承包人应根据培训安排组织考试，并为每一位入场人员建立安全培训档案。</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承包人应建设有专门的培训教室，并且培训教室配备有良好的培训设施，包括桌椅、投影仪、电脑、音响、空调等。同时根据施工规模和员工数量配备情况对培训设施必要的增加、更新。</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承包人引入的学习人员、参观人员、供应商代表等负有同样的安全培训的责任，包括入场安全培训和现场作业过程安全监督。</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必要时，发包人有权对承包人进行专项安全培训和考核，承包人应予组织、配合。</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在开工前向发包人安全部门提供特殊工种人员的清单、统计资料和证书复印件，在发包人安全部门备案。承包人开工后，应定期对本单位三类人员（项目主要负责人、安全管理人员和特种从业人员）资质进行统计和核实，确保其资质满足要求，并报发包人备案。</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承包人在发包人安全部门备案的岗位包括但不限于以下内容：项目经理、专职安全管理人员、消防负责人等，</w:t>
      </w:r>
      <w:bookmarkStart w:id="1106" w:name="OLE_LINK7"/>
      <w:bookmarkStart w:id="1107" w:name="OLE_LINK8"/>
      <w:r>
        <w:rPr>
          <w:rFonts w:hint="eastAsia" w:ascii="宋体" w:hAnsi="宋体" w:cs="新宋体-18030"/>
          <w:bCs/>
          <w:color w:val="000000" w:themeColor="text1"/>
          <w:sz w:val="24"/>
          <w:szCs w:val="24"/>
          <w14:textFill>
            <w14:solidFill>
              <w14:schemeClr w14:val="tx1"/>
            </w14:solidFill>
          </w14:textFill>
        </w:rPr>
        <w:t>每个岗位都必须有人负责</w:t>
      </w:r>
      <w:bookmarkEnd w:id="1106"/>
      <w:bookmarkEnd w:id="1107"/>
      <w:r>
        <w:rPr>
          <w:rFonts w:hint="eastAsia" w:ascii="宋体" w:hAnsi="宋体" w:cs="新宋体-18030"/>
          <w:bCs/>
          <w:color w:val="000000" w:themeColor="text1"/>
          <w:sz w:val="24"/>
          <w:szCs w:val="24"/>
          <w14:textFill>
            <w14:solidFill>
              <w14:schemeClr w14:val="tx1"/>
            </w14:solidFill>
          </w14:textFill>
        </w:rPr>
        <w:t>，如有变动及时通知发包人。</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承包人的项目经理、施工经理、安全负责人和主要管理人员应认真学习合同中的安全管理部分的条款及发包人的培训要求。</w:t>
      </w:r>
    </w:p>
    <w:p>
      <w:pPr>
        <w:numPr>
          <w:ilvl w:val="0"/>
          <w:numId w:val="20"/>
        </w:numPr>
        <w:snapToGrid w:val="0"/>
        <w:spacing w:before="120" w:after="120" w:line="360" w:lineRule="auto"/>
        <w:outlineLvl w:val="2"/>
        <w:rPr>
          <w:rFonts w:ascii="宋体" w:cs="新宋体-18030"/>
          <w:b/>
          <w:bCs/>
          <w:color w:val="000000" w:themeColor="text1"/>
          <w:sz w:val="24"/>
          <w:szCs w:val="24"/>
          <w14:textFill>
            <w14:solidFill>
              <w14:schemeClr w14:val="tx1"/>
            </w14:solidFill>
          </w14:textFill>
        </w:rPr>
      </w:pPr>
      <w:bookmarkStart w:id="1108" w:name="十一"/>
      <w:bookmarkEnd w:id="1108"/>
      <w:bookmarkStart w:id="1109" w:name="_Toc213660323"/>
      <w:bookmarkStart w:id="1110" w:name="_Toc213658622"/>
      <w:bookmarkStart w:id="1111" w:name="_Toc41569112"/>
      <w:r>
        <w:rPr>
          <w:rFonts w:hint="eastAsia" w:ascii="宋体" w:hAnsi="宋体" w:cs="新宋体-18030"/>
          <w:b/>
          <w:bCs/>
          <w:color w:val="000000" w:themeColor="text1"/>
          <w:sz w:val="24"/>
          <w:szCs w:val="24"/>
          <w14:textFill>
            <w14:solidFill>
              <w14:schemeClr w14:val="tx1"/>
            </w14:solidFill>
          </w14:textFill>
        </w:rPr>
        <w:t>入场控制</w:t>
      </w:r>
      <w:bookmarkEnd w:id="1109"/>
      <w:bookmarkEnd w:id="1110"/>
      <w:bookmarkEnd w:id="1111"/>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入场前安全检查的基本内容包括：安全责任制建设、安全投入、危害识别和风险分析、施工机械的安全状况、安全工器具和材料、安全培训教材和教员、专职安全人员的到岗情况、培训的有效性、人员控制、个人劳动保护用品的发放、防灾物资配备情况等内容。一般情况下，承包人入场前必须满足（但不限于）以下各条件：</w:t>
      </w:r>
    </w:p>
    <w:p>
      <w:pPr>
        <w:numPr>
          <w:ilvl w:val="2"/>
          <w:numId w:val="22"/>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已建立安全责任制且主要部门的责任人已到岗，已建立安全责任考核的制度，包括奖惩制度。</w:t>
      </w:r>
    </w:p>
    <w:p>
      <w:pPr>
        <w:numPr>
          <w:ilvl w:val="2"/>
          <w:numId w:val="22"/>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安全专职机构已经成立，建立了现场安全组织，确定了安全协调员，人员数量和资格满足合同要求，并向发包人安全部门递交安全专职人员名单。</w:t>
      </w:r>
    </w:p>
    <w:p>
      <w:pPr>
        <w:numPr>
          <w:ilvl w:val="2"/>
          <w:numId w:val="22"/>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向发包人安全部门提供书面材料，说明分包商及使用临时劳务工的情况（至少根据前三个月的施工计划）。这些情况应包括活动的内容、人数、与分包商合作的历史、劳务工来源、劳务单位资质等。承包人在办理入场证件时应保证已经为上述职工购买了工伤保险及建筑工程团体人身意外伤害保险或者相应保障的雇主责任保险。</w:t>
      </w:r>
    </w:p>
    <w:p>
      <w:pPr>
        <w:numPr>
          <w:ilvl w:val="2"/>
          <w:numId w:val="22"/>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已按“安全投入项目清单”制定了安全预算和采购计划（至少包括前三个月活动的需要）。</w:t>
      </w:r>
    </w:p>
    <w:p>
      <w:pPr>
        <w:numPr>
          <w:ilvl w:val="2"/>
          <w:numId w:val="22"/>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已完成危险、危害、环境因素识别和风险分析报告（至少包括入场后前三个月与施工计划相应的风险和工业危害分析）及应对措施。</w:t>
      </w:r>
    </w:p>
    <w:p>
      <w:pPr>
        <w:numPr>
          <w:ilvl w:val="2"/>
          <w:numId w:val="22"/>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已完成施工机械、作业材料、安全工器具准备情况的报告和证明资料，应提供各类安全专用器材、仪表的清单（品种和数量，至少包括入场后前三个月的活动的需要）。</w:t>
      </w:r>
    </w:p>
    <w:p>
      <w:pPr>
        <w:numPr>
          <w:ilvl w:val="2"/>
          <w:numId w:val="22"/>
        </w:numPr>
        <w:snapToGrid w:val="0"/>
        <w:spacing w:before="120" w:after="120" w:line="360" w:lineRule="auto"/>
        <w:ind w:left="1365" w:hanging="5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已完成首批人员培训（至少包括前一个月进场的员工）、个人劳动保护用品的发放。</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承包人采购、租赁的安全防护用具、机械设备、施工机具及配件，应当具有生产</w:t>
      </w:r>
      <w:r>
        <w:rPr>
          <w:rFonts w:ascii="宋体" w:hAnsi="宋体" w:cs="新宋体-18030"/>
          <w:bCs/>
          <w:color w:val="000000" w:themeColor="text1"/>
          <w:sz w:val="24"/>
          <w:szCs w:val="24"/>
          <w14:textFill>
            <w14:solidFill>
              <w14:schemeClr w14:val="tx1"/>
            </w14:solidFill>
          </w14:textFill>
        </w:rPr>
        <w:t>(</w:t>
      </w:r>
      <w:r>
        <w:rPr>
          <w:rFonts w:hint="eastAsia" w:ascii="宋体" w:hAnsi="宋体" w:cs="新宋体-18030"/>
          <w:bCs/>
          <w:color w:val="000000" w:themeColor="text1"/>
          <w:sz w:val="24"/>
          <w:szCs w:val="24"/>
          <w14:textFill>
            <w14:solidFill>
              <w14:schemeClr w14:val="tx1"/>
            </w14:solidFill>
          </w14:textFill>
        </w:rPr>
        <w:t>制造</w:t>
      </w:r>
      <w:r>
        <w:rPr>
          <w:rFonts w:ascii="宋体" w:hAnsi="宋体" w:cs="新宋体-18030"/>
          <w:bCs/>
          <w:color w:val="000000" w:themeColor="text1"/>
          <w:sz w:val="24"/>
          <w:szCs w:val="24"/>
          <w14:textFill>
            <w14:solidFill>
              <w14:schemeClr w14:val="tx1"/>
            </w14:solidFill>
          </w14:textFill>
        </w:rPr>
        <w:t>)</w:t>
      </w:r>
      <w:r>
        <w:rPr>
          <w:rFonts w:hint="eastAsia" w:ascii="宋体" w:hAnsi="宋体" w:cs="新宋体-18030"/>
          <w:bCs/>
          <w:color w:val="000000" w:themeColor="text1"/>
          <w:sz w:val="24"/>
          <w:szCs w:val="24"/>
          <w14:textFill>
            <w14:solidFill>
              <w14:schemeClr w14:val="tx1"/>
            </w14:solidFill>
          </w14:textFill>
        </w:rPr>
        <w:t>许可证、产品合格证，并在场外进行预先验收，对不合格产品一律做清退处理。对于现场检查中发现的不合格产品，发包人对承包人入场验收放行人员保留责任追究权利。</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施工现场的安全防护用具、机械设备、施工机具及配件必须由专人管理，承包人应指定专门部门按照国家法规及技术标准要求定期进行检查、维修和保养，建立相应的资料档案，并按照国家有关规定及时报废。</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12" w:name="十三"/>
      <w:bookmarkEnd w:id="1112"/>
      <w:bookmarkStart w:id="1113" w:name="十二"/>
      <w:bookmarkEnd w:id="1113"/>
      <w:bookmarkStart w:id="1114" w:name="_Toc41569113"/>
      <w:bookmarkStart w:id="1115" w:name="_Toc213658624"/>
      <w:bookmarkStart w:id="1116" w:name="_Toc213660325"/>
      <w:r>
        <w:rPr>
          <w:rFonts w:hint="eastAsia" w:hAnsi="宋体" w:cs="新宋体-18030"/>
          <w:b/>
          <w:bCs/>
          <w:color w:val="000000" w:themeColor="text1"/>
          <w:sz w:val="24"/>
          <w:szCs w:val="24"/>
          <w14:textFill>
            <w14:solidFill>
              <w14:schemeClr w14:val="tx1"/>
            </w14:solidFill>
          </w14:textFill>
        </w:rPr>
        <w:t>安全投入</w:t>
      </w:r>
      <w:bookmarkEnd w:id="1114"/>
      <w:bookmarkEnd w:id="1115"/>
      <w:bookmarkEnd w:id="1116"/>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承包人应留存安全费用工程量清单累计完成情况及相关安全费用凭证。</w:t>
      </w:r>
      <w:r>
        <w:rPr>
          <w:rFonts w:hint="eastAsia" w:ascii="宋体" w:hAnsi="宋体"/>
          <w:color w:val="000000" w:themeColor="text1"/>
          <w:sz w:val="24"/>
          <w:szCs w:val="24"/>
          <w14:textFill>
            <w14:solidFill>
              <w14:schemeClr w14:val="tx1"/>
            </w14:solidFill>
          </w14:textFill>
        </w:rPr>
        <w:t>发包人有权对承包人安全费用的使用情况进行检查验证，承包人若不能提供相关安全费用凭证，则发包人视为承包人未产生相关安全费用，有权</w:t>
      </w:r>
      <w:r>
        <w:rPr>
          <w:rFonts w:hint="eastAsia" w:ascii="宋体" w:hAnsi="宋体" w:cs="新宋体-18030"/>
          <w:bCs/>
          <w:color w:val="000000" w:themeColor="text1"/>
          <w:sz w:val="24"/>
          <w:szCs w:val="24"/>
          <w14:textFill>
            <w14:solidFill>
              <w14:schemeClr w14:val="tx1"/>
            </w14:solidFill>
          </w14:textFill>
        </w:rPr>
        <w:t>承包人合同款中扣除等金额费用</w:t>
      </w:r>
      <w:r>
        <w:rPr>
          <w:rFonts w:hint="eastAsia" w:ascii="宋体" w:hAnsi="宋体"/>
          <w:color w:val="000000" w:themeColor="text1"/>
          <w:sz w:val="24"/>
          <w:szCs w:val="24"/>
          <w14:textFill>
            <w14:solidFill>
              <w14:schemeClr w14:val="tx1"/>
            </w14:solidFill>
          </w14:textFill>
        </w:rPr>
        <w:t>。</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承包人应建立安全费用专用账户，保证施工合同安全费用资金专款专用。</w:t>
      </w:r>
      <w:r>
        <w:rPr>
          <w:rFonts w:hint="eastAsia" w:ascii="宋体" w:hAnsi="宋体"/>
          <w:color w:val="000000" w:themeColor="text1"/>
          <w:sz w:val="24"/>
          <w:szCs w:val="24"/>
          <w14:textFill>
            <w14:solidFill>
              <w14:schemeClr w14:val="tx1"/>
            </w14:solidFill>
          </w14:textFill>
        </w:rPr>
        <w:t>承包人应建立安措费支取、安全设施采购和使用数据库，并向发包人无条件公开，</w:t>
      </w:r>
      <w:r>
        <w:rPr>
          <w:rFonts w:hint="eastAsia" w:ascii="宋体" w:hAnsi="宋体" w:cs="新宋体-18030"/>
          <w:bCs/>
          <w:color w:val="000000" w:themeColor="text1"/>
          <w:sz w:val="24"/>
          <w:szCs w:val="24"/>
          <w14:textFill>
            <w14:solidFill>
              <w14:schemeClr w14:val="tx1"/>
            </w14:solidFill>
          </w14:textFill>
        </w:rPr>
        <w:t>发包人有权不定期核查。</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如承包人未建立安措费支取、安全设施采购和使用数据库，或虽建立但未向发包人无条件公开，或发包人在核查承包人的安措费使用情况发现重大问题而承包人未按时整改的，则发包人有权扣除承包人剩余安全措施费用相应金额的合同款。</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承包人安全费用（包括安全生产、文明施工和环境保护费用）的费率不得低于国家或地方政府相关部门规定的最低标准，发包人将安全费用列入工程造价，在竞标时，不得删减，列入标外管理。</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承包人不得克扣其分供商或分包商的安全投入，并且要监督其分供商或分包商安全投入使用情况。</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承包人应监督检查其劳保用品发放情况，严禁承包人从劳务工工资中扣除劳保费用。</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17" w:name="十五"/>
      <w:bookmarkEnd w:id="1117"/>
      <w:bookmarkStart w:id="1118" w:name="_Toc41569114"/>
      <w:bookmarkStart w:id="1119" w:name="_Toc213658626"/>
      <w:bookmarkStart w:id="1120" w:name="_Toc213660327"/>
      <w:r>
        <w:rPr>
          <w:rFonts w:hint="eastAsia" w:hAnsi="宋体" w:cs="新宋体-18030"/>
          <w:b/>
          <w:bCs/>
          <w:color w:val="000000" w:themeColor="text1"/>
          <w:sz w:val="24"/>
          <w:szCs w:val="24"/>
          <w14:textFill>
            <w14:solidFill>
              <w14:schemeClr w14:val="tx1"/>
            </w14:solidFill>
          </w14:textFill>
        </w:rPr>
        <w:t>分包商及劳务用工安全</w:t>
      </w:r>
      <w:bookmarkEnd w:id="1118"/>
      <w:bookmarkEnd w:id="1119"/>
      <w:bookmarkEnd w:id="1120"/>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承包人应根据合同约定建立合格分包方名录（清单），建立分包商资格审查程序，审核验证分包商资质，并报发包人审核备案。</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承包人按照合同规定与分包方签订分包合同，分包合同包含安全协议，并对分包方进行安全监管，并执行发包人安全规定。</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以任何用工形式使用的长期劳务用工和短期、临时劳务用工、参观人员都属于承包人本单位员工。承包人应对其分包商及劳务用工或学徒、技校生实行直接的安全管理，承包人对分包商、劳务用工、本单位临时人员的安全管理负有全部责任。</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21" w:name="十六"/>
      <w:bookmarkEnd w:id="1121"/>
      <w:bookmarkStart w:id="1122" w:name="_Toc213658627"/>
      <w:bookmarkStart w:id="1123" w:name="_Toc213660328"/>
      <w:bookmarkStart w:id="1124" w:name="_Toc41569115"/>
      <w:r>
        <w:rPr>
          <w:rFonts w:hint="eastAsia" w:hAnsi="宋体" w:cs="新宋体-18030"/>
          <w:b/>
          <w:bCs/>
          <w:color w:val="000000" w:themeColor="text1"/>
          <w:sz w:val="24"/>
          <w:szCs w:val="24"/>
          <w14:textFill>
            <w14:solidFill>
              <w14:schemeClr w14:val="tx1"/>
            </w14:solidFill>
          </w14:textFill>
        </w:rPr>
        <w:t>职业健康与卫生防疫</w:t>
      </w:r>
      <w:bookmarkEnd w:id="1122"/>
      <w:bookmarkEnd w:id="1123"/>
      <w:bookmarkEnd w:id="1124"/>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根据国家有关法律法规及标准和发包人要求建立职业健康管理制度，识别涉职业危害重点岗位和人员，并为其建立职业健康监护档案。同时实施施工作业环境影响监测制度，对作业区域粉尘、噪声、有毒有害物质以及温湿度等影响从业人员职业健康因素进行定期监测。</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涉及高温作业、低温作业执行国家标准。</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承包人应保证卫生防疫基本设施的投入，以满足医疗、急救的要求，建立外部医疗支持渠道。</w:t>
      </w:r>
    </w:p>
    <w:p>
      <w:pPr>
        <w:numPr>
          <w:ilvl w:val="1"/>
          <w:numId w:val="20"/>
        </w:numPr>
        <w:tabs>
          <w:tab w:val="left" w:pos="1155"/>
        </w:tabs>
        <w:snapToGrid w:val="0"/>
        <w:spacing w:before="120" w:after="120" w:line="360" w:lineRule="auto"/>
        <w:ind w:left="1134" w:hanging="714"/>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卫生防疫措施计划，做好生活区和施工区的卫生防疫工作；制定和执行保证饮水卫生、饮食卫生、环境卫生和预防集体食物中毒的措施；有灭蚊、灭鼠和消毒的专项工作计划和措施；有针对性地制订预防各类传染疾病的措施。</w:t>
      </w:r>
      <w:bookmarkStart w:id="1125" w:name="十七"/>
      <w:bookmarkEnd w:id="1125"/>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26" w:name="一、"/>
      <w:bookmarkEnd w:id="1126"/>
      <w:bookmarkStart w:id="1127" w:name="二十"/>
      <w:bookmarkEnd w:id="1127"/>
      <w:bookmarkStart w:id="1128" w:name="_Toc41569116"/>
      <w:r>
        <w:rPr>
          <w:rFonts w:hint="eastAsia" w:hAnsi="宋体" w:cs="新宋体-18030"/>
          <w:b/>
          <w:bCs/>
          <w:color w:val="000000" w:themeColor="text1"/>
          <w:sz w:val="24"/>
          <w:szCs w:val="24"/>
          <w14:textFill>
            <w14:solidFill>
              <w14:schemeClr w14:val="tx1"/>
            </w14:solidFill>
          </w14:textFill>
        </w:rPr>
        <w:t>安全风险管理</w:t>
      </w:r>
      <w:bookmarkEnd w:id="1128"/>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承包人应对合同活动进行全面、深入的危险源辨识和风险分析，应向发包人危险源辨识台账。</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承包人应结合本单位的施工计划，识别编制阶段性危大工程清单并报发包人备案。</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承包人应建立施工方案安全技术措施交底机制，施工作业开始前进行安全技术进行交底，制定针对的风险控制措施。</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承包人应积极发明或推广能够提高作业工艺安全性能的新技术、新工艺、新材料。</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29" w:name="二、"/>
      <w:bookmarkEnd w:id="1129"/>
      <w:bookmarkStart w:id="1130" w:name="_Toc41569117"/>
      <w:r>
        <w:rPr>
          <w:rFonts w:hint="eastAsia" w:hAnsi="宋体" w:cs="新宋体-18030"/>
          <w:b/>
          <w:bCs/>
          <w:color w:val="000000" w:themeColor="text1"/>
          <w:sz w:val="24"/>
          <w:szCs w:val="24"/>
          <w14:textFill>
            <w14:solidFill>
              <w14:schemeClr w14:val="tx1"/>
            </w14:solidFill>
          </w14:textFill>
        </w:rPr>
        <w:t>现场作业基本安全条件</w:t>
      </w:r>
      <w:bookmarkEnd w:id="1130"/>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根据发包人要求规定现场作业的基本安全条件，包括照明条件、通风条件、作业平台和通道条件、物料堆放条件、供电供水条件、吸烟点、休息点等，并对临边现场、水边现场、立体交叉作业现场、地面坑洞和沟道、夜间作业现场等的基本安全条件做出特别规定。</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对于特种作业现场的安全条件，如脚手架、吊篮、密闭场所、基坑等，除一般规定外，承包人应对作业基本安全条件予以明确。</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对内部通道及作业区域的照明进行设计和规划。当任意一个部位形成室内作业且照明不足时（特别是地下室），承包人应及时设置施工照明和应急照明，保证任何区域均有足够的照明满足施工作业需求。现场室内应急照明应根据施工进展同步安装完成。</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31" w:name="三、"/>
      <w:bookmarkEnd w:id="1131"/>
      <w:bookmarkStart w:id="1132" w:name="_Toc41569118"/>
      <w:r>
        <w:rPr>
          <w:rFonts w:hint="eastAsia" w:hAnsi="宋体" w:cs="新宋体-18030"/>
          <w:b/>
          <w:bCs/>
          <w:color w:val="000000" w:themeColor="text1"/>
          <w:sz w:val="24"/>
          <w:szCs w:val="24"/>
          <w14:textFill>
            <w14:solidFill>
              <w14:schemeClr w14:val="tx1"/>
            </w14:solidFill>
          </w14:textFill>
        </w:rPr>
        <w:t>劳动保护</w:t>
      </w:r>
      <w:bookmarkEnd w:id="1132"/>
    </w:p>
    <w:p>
      <w:pPr>
        <w:numPr>
          <w:ilvl w:val="1"/>
          <w:numId w:val="20"/>
        </w:numPr>
        <w:tabs>
          <w:tab w:val="left" w:pos="1155"/>
          <w:tab w:val="left" w:pos="1560"/>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承包人为高处作业人员配备的安全带必须为带缓冲包的五点式双钩安全带。</w:t>
      </w:r>
    </w:p>
    <w:p>
      <w:pPr>
        <w:numPr>
          <w:ilvl w:val="1"/>
          <w:numId w:val="20"/>
        </w:numPr>
        <w:tabs>
          <w:tab w:val="left" w:pos="1155"/>
          <w:tab w:val="left" w:pos="1560"/>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承包人按国家标准所规定的劳保用品配备标准为员工配备个人防护用品，并制定管理规定，对个人防护用品进行管理。</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承包人在制定施工方案时，考虑在合适的地方采用设计、工程和管理控制来取代个人防护用品的方案。</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特殊作业环境中作业必须结合安全风险特点佩戴对应特殊劳动防护用品，如带电作业必须穿戴绝缘手套和绝缘鞋。</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特种作业人员应采取一定的措施，在安全帽或工作服标识上与其他工种进行区分。</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33" w:name="四、"/>
      <w:bookmarkEnd w:id="1133"/>
      <w:bookmarkStart w:id="1134" w:name="_Toc41569119"/>
      <w:r>
        <w:rPr>
          <w:rFonts w:hint="eastAsia" w:hAnsi="宋体" w:cs="新宋体-18030"/>
          <w:b/>
          <w:bCs/>
          <w:color w:val="000000" w:themeColor="text1"/>
          <w:sz w:val="24"/>
          <w:szCs w:val="24"/>
          <w14:textFill>
            <w14:solidFill>
              <w14:schemeClr w14:val="tx1"/>
            </w14:solidFill>
          </w14:textFill>
        </w:rPr>
        <w:t>施工机械、施工作业材料和施工机具安全</w:t>
      </w:r>
      <w:bookmarkEnd w:id="1134"/>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对于承包人带入现场的设备、工具、材料，如起重设备、索具、机动车辆、压缩气瓶等，承包人必须按国家法规和标准进行检测、试验，并持有法定部门出具的检验证书。</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承包人要建立施工机械的定期检查保养制度，并有记录。承包人对使用的施工机械、机具（包括租赁的施工机械</w:t>
      </w:r>
      <w:r>
        <w:rPr>
          <w:rFonts w:ascii="宋体" w:hAnsi="宋体" w:cs="新宋体-18030"/>
          <w:bCs/>
          <w:color w:val="000000" w:themeColor="text1"/>
          <w:sz w:val="24"/>
          <w:szCs w:val="24"/>
          <w14:textFill>
            <w14:solidFill>
              <w14:schemeClr w14:val="tx1"/>
            </w14:solidFill>
          </w14:textFill>
        </w:rPr>
        <w:t>/</w:t>
      </w:r>
      <w:r>
        <w:rPr>
          <w:rFonts w:hint="eastAsia" w:ascii="宋体" w:hAnsi="宋体" w:cs="新宋体-18030"/>
          <w:bCs/>
          <w:color w:val="000000" w:themeColor="text1"/>
          <w:sz w:val="24"/>
          <w:szCs w:val="24"/>
          <w14:textFill>
            <w14:solidFill>
              <w14:schemeClr w14:val="tx1"/>
            </w14:solidFill>
          </w14:textFill>
        </w:rPr>
        <w:t>机具）的安全承担直接责任。</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承包人应建立施工机械安全的管理程序，对维护、维修、检测、报废以及档案、记录等各个环节作出规定。</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35" w:name="五、"/>
      <w:bookmarkEnd w:id="1135"/>
      <w:bookmarkStart w:id="1136" w:name="_Toc213660329"/>
      <w:bookmarkStart w:id="1137" w:name="_Toc41569120"/>
      <w:bookmarkStart w:id="1138" w:name="_Toc213658628"/>
      <w:bookmarkStart w:id="1139" w:name="_Toc213660333"/>
      <w:bookmarkStart w:id="1140" w:name="_Toc213658632"/>
      <w:r>
        <w:rPr>
          <w:rFonts w:hint="eastAsia" w:hAnsi="宋体" w:cs="新宋体-18030"/>
          <w:b/>
          <w:bCs/>
          <w:color w:val="000000" w:themeColor="text1"/>
          <w:sz w:val="24"/>
          <w:szCs w:val="24"/>
          <w14:textFill>
            <w14:solidFill>
              <w14:schemeClr w14:val="tx1"/>
            </w14:solidFill>
          </w14:textFill>
        </w:rPr>
        <w:t>消防安全</w:t>
      </w:r>
      <w:bookmarkEnd w:id="1136"/>
      <w:bookmarkEnd w:id="1137"/>
      <w:bookmarkEnd w:id="1138"/>
    </w:p>
    <w:p>
      <w:pPr>
        <w:numPr>
          <w:ilvl w:val="1"/>
          <w:numId w:val="20"/>
        </w:numPr>
        <w:tabs>
          <w:tab w:val="left" w:pos="1155"/>
          <w:tab w:val="left" w:pos="1560"/>
          <w:tab w:val="clear" w:pos="1512"/>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承包人应根据发包人提供的设计资料并结合施工现场实际进行临时消防系统设计，消防系统设计应符合《</w:t>
      </w:r>
      <w:r>
        <w:rPr>
          <w:rFonts w:ascii="宋体" w:hAnsi="宋体" w:cs="新宋体-18030"/>
          <w:bCs/>
          <w:color w:val="000000" w:themeColor="text1"/>
          <w:sz w:val="24"/>
          <w:szCs w:val="24"/>
          <w14:textFill>
            <w14:solidFill>
              <w14:schemeClr w14:val="tx1"/>
            </w14:solidFill>
          </w14:textFill>
        </w:rPr>
        <w:t>建设工程施工现场消防安全技术规范</w:t>
      </w:r>
      <w:r>
        <w:rPr>
          <w:rFonts w:hint="eastAsia" w:ascii="宋体" w:hAnsi="宋体" w:cs="新宋体-18030"/>
          <w:bCs/>
          <w:color w:val="000000" w:themeColor="text1"/>
          <w:sz w:val="24"/>
          <w:szCs w:val="24"/>
          <w14:textFill>
            <w14:solidFill>
              <w14:schemeClr w14:val="tx1"/>
            </w14:solidFill>
          </w14:textFill>
        </w:rPr>
        <w:t>》（</w:t>
      </w:r>
      <w:r>
        <w:rPr>
          <w:rFonts w:ascii="宋体" w:hAnsi="宋体" w:cs="新宋体-18030"/>
          <w:bCs/>
          <w:color w:val="000000" w:themeColor="text1"/>
          <w:sz w:val="24"/>
          <w:szCs w:val="24"/>
          <w14:textFill>
            <w14:solidFill>
              <w14:schemeClr w14:val="tx1"/>
            </w14:solidFill>
          </w14:textFill>
        </w:rPr>
        <w:t>GB50720</w:t>
      </w:r>
      <w:r>
        <w:rPr>
          <w:rFonts w:hint="eastAsia" w:ascii="宋体" w:hAnsi="宋体" w:cs="新宋体-18030"/>
          <w:bCs/>
          <w:color w:val="000000" w:themeColor="text1"/>
          <w:sz w:val="24"/>
          <w:szCs w:val="24"/>
          <w14:textFill>
            <w14:solidFill>
              <w14:schemeClr w14:val="tx1"/>
            </w14:solidFill>
          </w14:textFill>
        </w:rPr>
        <w:t>）的技术要求。</w:t>
      </w:r>
    </w:p>
    <w:p>
      <w:pPr>
        <w:numPr>
          <w:ilvl w:val="1"/>
          <w:numId w:val="20"/>
        </w:numPr>
        <w:tabs>
          <w:tab w:val="left" w:pos="1155"/>
          <w:tab w:val="left" w:pos="1560"/>
          <w:tab w:val="clear" w:pos="1512"/>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承包人应根据临时消防系统设计方案进行临时消防系统施工和维护，确保临时消防系统可用。</w:t>
      </w:r>
    </w:p>
    <w:p>
      <w:pPr>
        <w:numPr>
          <w:ilvl w:val="1"/>
          <w:numId w:val="20"/>
        </w:numPr>
        <w:tabs>
          <w:tab w:val="left" w:pos="1155"/>
          <w:tab w:val="left" w:pos="1560"/>
          <w:tab w:val="clear" w:pos="1512"/>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承包人在施工过程中阻断/更改临时消防管路，对临时消防系统的可用性产生影响时，需提前征得项目部有关部门的同意。</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承包人应落实责任范围内给排水的管理措施和技术措施，保证消防用水。</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承包人应参照发包人程序建立施工动火控制制度，动火作业须办理动火证，并根据《建筑工程消防安全技术规范》为动火作业点配置专职监护人。</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发包人对“流动吸烟”实行“清退出场”处理措施，承包人应建立吸烟点并负责定期清扫，保持清洁卫生，禁止在非指定的吸烟点吸烟。禁止在现场焚烧各类物品及垃圾等。</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41" w:name="_Toc41569121"/>
      <w:r>
        <w:rPr>
          <w:rFonts w:hint="eastAsia" w:hAnsi="宋体" w:cs="新宋体-18030"/>
          <w:b/>
          <w:bCs/>
          <w:color w:val="000000" w:themeColor="text1"/>
          <w:sz w:val="24"/>
          <w:szCs w:val="24"/>
          <w14:textFill>
            <w14:solidFill>
              <w14:schemeClr w14:val="tx1"/>
            </w14:solidFill>
          </w14:textFill>
        </w:rPr>
        <w:t>电气安全</w:t>
      </w:r>
      <w:bookmarkEnd w:id="1141"/>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承包人按《施工现场临时用电安全技术规范》（</w:t>
      </w:r>
      <w:r>
        <w:rPr>
          <w:rFonts w:ascii="宋体" w:hAnsi="宋体" w:cs="新宋体-18030"/>
          <w:bCs/>
          <w:color w:val="000000" w:themeColor="text1"/>
          <w:sz w:val="24"/>
          <w:szCs w:val="24"/>
          <w14:textFill>
            <w14:solidFill>
              <w14:schemeClr w14:val="tx1"/>
            </w14:solidFill>
          </w14:textFill>
        </w:rPr>
        <w:t>JGJ46</w:t>
      </w:r>
      <w:r>
        <w:rPr>
          <w:rFonts w:hint="eastAsia" w:ascii="宋体" w:hAnsi="宋体" w:cs="新宋体-18030"/>
          <w:bCs/>
          <w:color w:val="000000" w:themeColor="text1"/>
          <w:sz w:val="24"/>
          <w:szCs w:val="24"/>
          <w14:textFill>
            <w14:solidFill>
              <w14:schemeClr w14:val="tx1"/>
            </w14:solidFill>
          </w14:textFill>
        </w:rPr>
        <w:t>）、《用电安全导则》（GBT13869），编制《临时用电施工组织设计》，对用电设备容量、电缆走向、电缆敷设、电器安全设施参数、用电管理等进行规定；现场实际情况变更时，《临时用电施工组织设计》应予提前升版和报审。</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配电系统应设置配电柜或总配电箱（即一级配电箱）、分配电箱、开关箱，实行三级配电。总配电箱、开关箱必须装设漏电保护。</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施工现场临时用电工程必须采用三级配电系统、TN-S接零保护系统和二级漏电保护系统。临时用电采用</w:t>
      </w:r>
      <w:r>
        <w:rPr>
          <w:rFonts w:ascii="宋体" w:hAnsi="宋体" w:cs="新宋体-18030"/>
          <w:bCs/>
          <w:color w:val="000000" w:themeColor="text1"/>
          <w:sz w:val="24"/>
          <w:szCs w:val="24"/>
          <w14:textFill>
            <w14:solidFill>
              <w14:schemeClr w14:val="tx1"/>
            </w14:solidFill>
          </w14:textFill>
        </w:rPr>
        <w:t xml:space="preserve">TN-S </w:t>
      </w:r>
      <w:r>
        <w:rPr>
          <w:rFonts w:hint="eastAsia" w:ascii="宋体" w:hAnsi="宋体" w:cs="新宋体-18030"/>
          <w:bCs/>
          <w:color w:val="000000" w:themeColor="text1"/>
          <w:sz w:val="24"/>
          <w:szCs w:val="24"/>
          <w14:textFill>
            <w14:solidFill>
              <w14:schemeClr w14:val="tx1"/>
            </w14:solidFill>
          </w14:textFill>
        </w:rPr>
        <w:t>系统，符合“三级配电、两级保护”，达到“一机、一闸、一漏”的要求。</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施工现场</w:t>
      </w:r>
      <w:r>
        <w:rPr>
          <w:rFonts w:hint="eastAsia" w:ascii="宋体" w:hAnsi="宋体"/>
          <w:color w:val="000000" w:themeColor="text1"/>
          <w:sz w:val="24"/>
          <w:szCs w:val="24"/>
          <w14:textFill>
            <w14:solidFill>
              <w14:schemeClr w14:val="tx1"/>
            </w14:solidFill>
          </w14:textFill>
        </w:rPr>
        <w:t>地埋电缆禁止直埋，必须加套管或保护层</w:t>
      </w:r>
      <w:r>
        <w:rPr>
          <w:rFonts w:hint="eastAsia" w:ascii="宋体" w:hAnsi="宋体" w:cs="新宋体-18030"/>
          <w:bCs/>
          <w:color w:val="000000" w:themeColor="text1"/>
          <w:sz w:val="24"/>
          <w:szCs w:val="24"/>
          <w14:textFill>
            <w14:solidFill>
              <w14:schemeClr w14:val="tx1"/>
            </w14:solidFill>
          </w14:textFill>
        </w:rPr>
        <w:t>。室内</w:t>
      </w:r>
      <w:r>
        <w:rPr>
          <w:rFonts w:hint="eastAsia" w:ascii="宋体" w:cs="宋体"/>
          <w:color w:val="000000" w:themeColor="text1"/>
          <w:sz w:val="24"/>
          <w14:textFill>
            <w14:solidFill>
              <w14:schemeClr w14:val="tx1"/>
            </w14:solidFill>
          </w14:textFill>
        </w:rPr>
        <w:t>电缆敷设应根据施工环境特点安装高度应能够避免机械损伤和其他损伤，采用绝缘挂钩悬挂走线，不得直接挂在金属构架、脚手架等其他支架上。当</w:t>
      </w:r>
      <w:r>
        <w:rPr>
          <w:rFonts w:hint="eastAsia" w:ascii="宋体" w:hAnsi="宋体"/>
          <w:color w:val="000000" w:themeColor="text1"/>
          <w:sz w:val="24"/>
          <w:szCs w:val="24"/>
          <w14:textFill>
            <w14:solidFill>
              <w14:schemeClr w14:val="tx1"/>
            </w14:solidFill>
          </w14:textFill>
        </w:rPr>
        <w:t>电缆敷设穿越楼板、墙壁和空洞时应采取绝缘管或护套进行保护。</w:t>
      </w:r>
      <w:r>
        <w:rPr>
          <w:rFonts w:hint="eastAsia" w:ascii="宋体" w:hAnsi="宋体" w:cs="新宋体-18030"/>
          <w:bCs/>
          <w:color w:val="000000" w:themeColor="text1"/>
          <w:sz w:val="24"/>
          <w:szCs w:val="24"/>
          <w14:textFill>
            <w14:solidFill>
              <w14:schemeClr w14:val="tx1"/>
            </w14:solidFill>
          </w14:textFill>
        </w:rPr>
        <w:t>当采用地面走线时，电缆布置应根据施工用电配电系统及用电需求布置配电线路槽盒，通道处须设置过桥保护。</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结合施工现场临时施工用电施工组织设计建立匹配的接地网络，接地网络按建筑层逐层布置，综合考虑配电系统、用电设备就近连接。不得采用铝导体做接地体或地下接地线。垂直接地体宜采用角钢、钢管或光面圆钢，不得采用螺纹钢。</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移动工具、手持工具等用电设备应有各自的电源开关，必须实行“一机一闸”制，严禁2台或2台以上用电设备(含插座)使用同一开关。</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在水下或潮湿环境中使用电气设备或电动工具，作业前应由电工对其绝缘进行测试，带电零件与壳体之间，基本绝缘不得小于2MΩ，加强绝缘不得小于7MΩ。</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承包人须配备足够的电工（持证）对所有电气设备进行日常维护，保存好维护记录。</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现场带电设备必须张贴安全用电警示牌。</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配电箱张贴设备标牌、维护责任人信息牌、警示标牌。</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42" w:name="十八"/>
      <w:bookmarkEnd w:id="1142"/>
      <w:bookmarkStart w:id="1143" w:name="_Toc41569122"/>
      <w:bookmarkStart w:id="1144" w:name="_Toc213658629"/>
      <w:bookmarkStart w:id="1145" w:name="_Toc213660330"/>
      <w:r>
        <w:rPr>
          <w:rFonts w:hint="eastAsia" w:hAnsi="宋体" w:cs="新宋体-18030"/>
          <w:b/>
          <w:bCs/>
          <w:color w:val="000000" w:themeColor="text1"/>
          <w:sz w:val="24"/>
          <w:szCs w:val="24"/>
          <w14:textFill>
            <w14:solidFill>
              <w14:schemeClr w14:val="tx1"/>
            </w14:solidFill>
          </w14:textFill>
        </w:rPr>
        <w:t>临时照明、应急照明</w:t>
      </w:r>
      <w:bookmarkEnd w:id="1143"/>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承包人应制定临时照明系统总体设计方案，并根据施工进展进行实施更新，满足现场施工照度要求。</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施工区域作业面最低照度满足施工工艺所需照度，应大于</w:t>
      </w:r>
      <w:r>
        <w:rPr>
          <w:rFonts w:ascii="宋体" w:hAnsi="宋体" w:cs="新宋体-18030"/>
          <w:bCs/>
          <w:color w:val="000000" w:themeColor="text1"/>
          <w:sz w:val="24"/>
          <w:szCs w:val="24"/>
          <w14:textFill>
            <w14:solidFill>
              <w14:schemeClr w14:val="tx1"/>
            </w14:solidFill>
          </w14:textFill>
        </w:rPr>
        <w:t>50Lx</w:t>
      </w:r>
      <w:r>
        <w:rPr>
          <w:rFonts w:hint="eastAsia" w:ascii="宋体" w:hAnsi="宋体" w:cs="新宋体-18030"/>
          <w:bCs/>
          <w:color w:val="000000" w:themeColor="text1"/>
          <w:sz w:val="24"/>
          <w:szCs w:val="24"/>
          <w14:textFill>
            <w14:solidFill>
              <w14:schemeClr w14:val="tx1"/>
            </w14:solidFill>
          </w14:textFill>
        </w:rPr>
        <w:t>。</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灯具外壳应采用密封保护罩，不得采用无防护措施的简易照明灯具。照明灯具宜采用环保节能的</w:t>
      </w:r>
      <w:r>
        <w:rPr>
          <w:rFonts w:ascii="宋体" w:hAnsi="宋体" w:cs="新宋体-18030"/>
          <w:bCs/>
          <w:color w:val="000000" w:themeColor="text1"/>
          <w:sz w:val="24"/>
          <w:szCs w:val="24"/>
          <w14:textFill>
            <w14:solidFill>
              <w14:schemeClr w14:val="tx1"/>
            </w14:solidFill>
          </w14:textFill>
        </w:rPr>
        <w:t>LED</w:t>
      </w:r>
      <w:r>
        <w:rPr>
          <w:rFonts w:hint="eastAsia" w:ascii="宋体" w:hAnsi="宋体" w:cs="新宋体-18030"/>
          <w:bCs/>
          <w:color w:val="000000" w:themeColor="text1"/>
          <w:sz w:val="24"/>
          <w:szCs w:val="24"/>
          <w14:textFill>
            <w14:solidFill>
              <w14:schemeClr w14:val="tx1"/>
            </w14:solidFill>
          </w14:textFill>
        </w:rPr>
        <w:t>。照明器具和器材的质量应符合国家现行有关强制性标准的规定，不得使用绝缘老化或破损的器具和器材，照明灯具均应设置保护罩。</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地下室、楼梯间等采光不足的地方需设置采用蓄电池为备用电源的应急照明设置，其连续供电能力不小于3</w:t>
      </w:r>
      <w:r>
        <w:rPr>
          <w:rFonts w:ascii="宋体" w:hAnsi="宋体" w:cs="新宋体-18030"/>
          <w:bCs/>
          <w:color w:val="000000" w:themeColor="text1"/>
          <w:sz w:val="24"/>
          <w:szCs w:val="24"/>
          <w14:textFill>
            <w14:solidFill>
              <w14:schemeClr w14:val="tx1"/>
            </w14:solidFill>
          </w14:textFill>
        </w:rPr>
        <w:t xml:space="preserve">0 </w:t>
      </w:r>
      <w:r>
        <w:rPr>
          <w:rFonts w:hint="eastAsia" w:ascii="宋体" w:hAnsi="宋体" w:cs="新宋体-18030"/>
          <w:bCs/>
          <w:color w:val="000000" w:themeColor="text1"/>
          <w:sz w:val="24"/>
          <w:szCs w:val="24"/>
          <w14:textFill>
            <w14:solidFill>
              <w14:schemeClr w14:val="tx1"/>
            </w14:solidFill>
          </w14:textFill>
        </w:rPr>
        <w:t>分钟。应急照明的高度不低于</w:t>
      </w:r>
      <w:r>
        <w:rPr>
          <w:rFonts w:ascii="宋体" w:hAnsi="宋体" w:cs="新宋体-18030"/>
          <w:bCs/>
          <w:color w:val="000000" w:themeColor="text1"/>
          <w:sz w:val="24"/>
          <w:szCs w:val="24"/>
          <w14:textFill>
            <w14:solidFill>
              <w14:schemeClr w14:val="tx1"/>
            </w14:solidFill>
          </w14:textFill>
        </w:rPr>
        <w:t>2m</w:t>
      </w:r>
      <w:r>
        <w:rPr>
          <w:rFonts w:hint="eastAsia" w:ascii="宋体" w:hAnsi="宋体" w:cs="新宋体-18030"/>
          <w:bCs/>
          <w:color w:val="000000" w:themeColor="text1"/>
          <w:sz w:val="24"/>
          <w:szCs w:val="24"/>
          <w14:textFill>
            <w14:solidFill>
              <w14:schemeClr w14:val="tx1"/>
            </w14:solidFill>
          </w14:textFill>
        </w:rPr>
        <w:t>，间距需满足能见度要求。</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承包人工作人员在易燃易爆场所必须使用防爆手电等照明灯具。</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46" w:name="_Toc41569123"/>
      <w:r>
        <w:rPr>
          <w:rFonts w:hint="eastAsia" w:hAnsi="宋体" w:cs="新宋体-18030"/>
          <w:b/>
          <w:bCs/>
          <w:color w:val="000000" w:themeColor="text1"/>
          <w:sz w:val="24"/>
          <w:szCs w:val="24"/>
          <w14:textFill>
            <w14:solidFill>
              <w14:schemeClr w14:val="tx1"/>
            </w14:solidFill>
          </w14:textFill>
        </w:rPr>
        <w:t>环境保护</w:t>
      </w:r>
      <w:bookmarkEnd w:id="1144"/>
      <w:bookmarkEnd w:id="1145"/>
      <w:bookmarkEnd w:id="1146"/>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承包人应根据实际需要，在施工现场布置满足发包人要求的临时卫生设施（洗手间、卫生间等），并安排专门人员、设备等资源维护现场卫生设施，保证卫生设施清洁、整洁、无异味。</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承包人施工中应及时对裸露的地基、边坡、开挖出来的沙、土以及砂、石、水泥等建筑材料予以保护，防止风刮扬尘，雨水冲刷，流入市政道路等。</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47" w:name="_Toc41569124"/>
      <w:bookmarkStart w:id="1148" w:name="_Toc213660331"/>
      <w:bookmarkStart w:id="1149" w:name="_Toc213658630"/>
      <w:r>
        <w:rPr>
          <w:rFonts w:hint="eastAsia" w:hAnsi="宋体" w:cs="新宋体-18030"/>
          <w:b/>
          <w:bCs/>
          <w:color w:val="000000" w:themeColor="text1"/>
          <w:sz w:val="24"/>
          <w:szCs w:val="24"/>
          <w14:textFill>
            <w14:solidFill>
              <w14:schemeClr w14:val="tx1"/>
            </w14:solidFill>
          </w14:textFill>
        </w:rPr>
        <w:t>施工临建安全</w:t>
      </w:r>
      <w:bookmarkEnd w:id="1147"/>
      <w:bookmarkEnd w:id="1148"/>
      <w:bookmarkEnd w:id="1149"/>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承包人根据发包人现场总体规划制定生产临建规划方案，临建规划布置应满足有关法律法规及标准要求。</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在工地内的临建设施，必须满足国家法规和地方政府的安全规定。临时施工建筑的建设标准应不低于地方规范。应满足消防、安全用电、卫生防疫、防抗台风、雷雨、暴雨、大风等方面的安全要求，尤其严格消防管理，禁止封锁逃生通道。禁止使用工作场所、仓库、生活场所“三合一”的设施。</w:t>
      </w:r>
    </w:p>
    <w:p>
      <w:pPr>
        <w:numPr>
          <w:ilvl w:val="0"/>
          <w:numId w:val="20"/>
        </w:numPr>
        <w:snapToGrid w:val="0"/>
        <w:spacing w:before="120" w:after="120" w:line="360" w:lineRule="auto"/>
        <w:outlineLvl w:val="2"/>
        <w:rPr>
          <w:rFonts w:hAnsi="宋体" w:cs="新宋体-18030"/>
          <w:b/>
          <w:bCs/>
          <w:color w:val="000000" w:themeColor="text1"/>
          <w:sz w:val="24"/>
          <w:szCs w:val="24"/>
          <w14:textFill>
            <w14:solidFill>
              <w14:schemeClr w14:val="tx1"/>
            </w14:solidFill>
          </w14:textFill>
        </w:rPr>
      </w:pPr>
      <w:bookmarkStart w:id="1150" w:name="_Toc41569125"/>
      <w:r>
        <w:rPr>
          <w:rFonts w:hint="eastAsia" w:hAnsi="宋体" w:cs="新宋体-18030"/>
          <w:b/>
          <w:bCs/>
          <w:color w:val="000000" w:themeColor="text1"/>
          <w:sz w:val="24"/>
          <w:szCs w:val="24"/>
          <w14:textFill>
            <w14:solidFill>
              <w14:schemeClr w14:val="tx1"/>
            </w14:solidFill>
          </w14:textFill>
        </w:rPr>
        <w:t>安全文明施工标准化建设</w:t>
      </w:r>
      <w:bookmarkEnd w:id="1150"/>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承包人应落实《粤海置地（深圳）有限公司安全文明施工标准化图册》要求，规范作业安全防护、施工区域、临建办公区定置化标准。图册中</w:t>
      </w:r>
      <w:r>
        <w:rPr>
          <w:rFonts w:hint="eastAsia"/>
          <w:color w:val="000000" w:themeColor="text1"/>
          <w:sz w:val="24"/>
          <w:szCs w:val="21"/>
          <w14:textFill>
            <w14:solidFill>
              <w14:schemeClr w14:val="tx1"/>
            </w14:solidFill>
          </w14:textFill>
        </w:rPr>
        <w:t>各项标准为工程安全文明施工基本要求，各单位安全文明施工标准应不低于此图册相关要求。</w:t>
      </w:r>
    </w:p>
    <w:bookmarkEnd w:id="1139"/>
    <w:bookmarkEnd w:id="1140"/>
    <w:p>
      <w:pPr>
        <w:numPr>
          <w:ilvl w:val="0"/>
          <w:numId w:val="20"/>
        </w:numPr>
        <w:snapToGrid w:val="0"/>
        <w:spacing w:before="120" w:after="120" w:line="360" w:lineRule="auto"/>
        <w:outlineLvl w:val="2"/>
        <w:rPr>
          <w:rFonts w:ascii="宋体" w:cs="新宋体-18030"/>
          <w:b/>
          <w:bCs/>
          <w:color w:val="000000" w:themeColor="text1"/>
          <w:sz w:val="24"/>
          <w:szCs w:val="24"/>
          <w14:textFill>
            <w14:solidFill>
              <w14:schemeClr w14:val="tx1"/>
            </w14:solidFill>
          </w14:textFill>
        </w:rPr>
      </w:pPr>
      <w:bookmarkStart w:id="1151" w:name="二十一"/>
      <w:bookmarkEnd w:id="1151"/>
      <w:bookmarkStart w:id="1152" w:name="_Toc213658634"/>
      <w:bookmarkStart w:id="1153" w:name="_Toc41569126"/>
      <w:bookmarkStart w:id="1154" w:name="_Toc213660335"/>
      <w:r>
        <w:rPr>
          <w:rFonts w:hint="eastAsia" w:ascii="宋体" w:hAnsi="宋体" w:cs="新宋体-18030"/>
          <w:b/>
          <w:bCs/>
          <w:color w:val="000000" w:themeColor="text1"/>
          <w:sz w:val="24"/>
          <w:szCs w:val="24"/>
          <w14:textFill>
            <w14:solidFill>
              <w14:schemeClr w14:val="tx1"/>
            </w14:solidFill>
          </w14:textFill>
        </w:rPr>
        <w:t>事故报告与应急救援</w:t>
      </w:r>
      <w:bookmarkEnd w:id="1152"/>
      <w:bookmarkEnd w:id="1153"/>
      <w:bookmarkEnd w:id="1154"/>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承包人应根据发包人及当地应急资源的具体情况，建立相应的应急响应组织，建立统一的应急渠道，以便能迅速处理突发意外。</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承包人应参照发包人的标准，建立生产安全事件报告准则；应建立事故快速报告制度，不得迟报、谎报、漏报和瞒报。</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承包人应建立事故应急救援机制，明确事故处置的基本原则，即现场发生事故时，首先抢救生命，向救援组织报警，并采取措施限制事故扩大。</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建立专项应急响应预案，包括重大人身伤亡事故的应急预案、消防应急预案、“自然灾害”预案（如防台风、防暴雨、防暑等）。承包人应对应急预案进行适当演练，保证应急预案的可操作性。针对施工临建设施、现场固定施工机械和施工围挡等受强台风或超强台风影响的设施及物项，应充分考虑季节性气候特点做好相关防范工作。因承包人考虑不周或防护不足等造成的损失，由承包人自行承担。</w:t>
      </w:r>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承包人应保证准备好为实行应急响应预案所需的设施、设备、器材、用品，并维护其可用。</w:t>
      </w:r>
    </w:p>
    <w:p>
      <w:pPr>
        <w:numPr>
          <w:ilvl w:val="0"/>
          <w:numId w:val="20"/>
        </w:numPr>
        <w:snapToGrid w:val="0"/>
        <w:spacing w:before="120" w:after="120" w:line="360" w:lineRule="auto"/>
        <w:outlineLvl w:val="2"/>
        <w:rPr>
          <w:rFonts w:ascii="宋体" w:cs="新宋体-18030"/>
          <w:b/>
          <w:bCs/>
          <w:color w:val="000000" w:themeColor="text1"/>
          <w:sz w:val="24"/>
          <w:szCs w:val="24"/>
          <w14:textFill>
            <w14:solidFill>
              <w14:schemeClr w14:val="tx1"/>
            </w14:solidFill>
          </w14:textFill>
        </w:rPr>
      </w:pPr>
      <w:bookmarkStart w:id="1155" w:name="_Toc41569127"/>
      <w:r>
        <w:rPr>
          <w:rFonts w:hint="eastAsia" w:ascii="宋体" w:hAnsi="宋体" w:cs="新宋体-18030"/>
          <w:b/>
          <w:bCs/>
          <w:color w:val="000000" w:themeColor="text1"/>
          <w:sz w:val="24"/>
          <w:szCs w:val="24"/>
          <w14:textFill>
            <w14:solidFill>
              <w14:schemeClr w14:val="tx1"/>
            </w14:solidFill>
          </w14:textFill>
        </w:rPr>
        <w:t>安全生产考核</w:t>
      </w:r>
      <w:bookmarkEnd w:id="1155"/>
    </w:p>
    <w:p>
      <w:pPr>
        <w:numPr>
          <w:ilvl w:val="1"/>
          <w:numId w:val="20"/>
        </w:numPr>
        <w:tabs>
          <w:tab w:val="left" w:pos="1155"/>
        </w:tabs>
        <w:snapToGrid w:val="0"/>
        <w:spacing w:before="120" w:after="120" w:line="360" w:lineRule="auto"/>
        <w:ind w:left="1134" w:hanging="714"/>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发包人对承包人定期进行安全生经理、安全负责人、安全员等，并约谈承包人企业负责人、公司总部分管工程、安全的负责人，必要时要求承包人公司分管工程、安全的负责人驻点督办。</w:t>
      </w:r>
    </w:p>
    <w:p>
      <w:pPr>
        <w:numPr>
          <w:ilvl w:val="0"/>
          <w:numId w:val="20"/>
        </w:numPr>
        <w:snapToGrid w:val="0"/>
        <w:spacing w:before="120" w:after="120" w:line="360" w:lineRule="auto"/>
        <w:ind w:firstLine="0"/>
        <w:outlineLvl w:val="2"/>
        <w:rPr>
          <w:rFonts w:ascii="宋体" w:hAnsi="宋体" w:cs="新宋体-18030"/>
          <w:bCs/>
          <w:color w:val="000000" w:themeColor="text1"/>
          <w:sz w:val="24"/>
          <w:szCs w:val="24"/>
          <w14:textFill>
            <w14:solidFill>
              <w14:schemeClr w14:val="tx1"/>
            </w14:solidFill>
          </w14:textFill>
        </w:rPr>
      </w:pPr>
      <w:bookmarkStart w:id="1156" w:name="十四"/>
      <w:bookmarkEnd w:id="1156"/>
      <w:bookmarkStart w:id="1157" w:name="二十二"/>
      <w:bookmarkEnd w:id="1157"/>
      <w:bookmarkStart w:id="1158" w:name="_Toc41569128"/>
      <w:r>
        <w:rPr>
          <w:rFonts w:hint="eastAsia" w:ascii="宋体" w:hAnsi="宋体" w:cs="新宋体-18030"/>
          <w:b/>
          <w:bCs/>
          <w:color w:val="000000" w:themeColor="text1"/>
          <w:sz w:val="24"/>
          <w:szCs w:val="24"/>
          <w14:textFill>
            <w14:solidFill>
              <w14:schemeClr w14:val="tx1"/>
            </w14:solidFill>
          </w14:textFill>
        </w:rPr>
        <w:t>违约</w:t>
      </w:r>
      <w:bookmarkEnd w:id="1158"/>
    </w:p>
    <w:p>
      <w:pPr>
        <w:tabs>
          <w:tab w:val="left" w:pos="1512"/>
        </w:tabs>
        <w:snapToGrid w:val="0"/>
        <w:spacing w:before="120" w:after="120" w:line="360" w:lineRule="auto"/>
        <w:ind w:firstLine="480" w:firstLineChars="200"/>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26.1</w:t>
      </w:r>
      <w:r>
        <w:rPr>
          <w:rFonts w:hint="eastAsia"/>
          <w:bCs/>
          <w:color w:val="000000" w:themeColor="text1"/>
          <w:szCs w:val="21"/>
          <w14:textFill>
            <w14:solidFill>
              <w14:schemeClr w14:val="tx1"/>
            </w14:solidFill>
          </w14:textFill>
        </w:rPr>
        <w:t>安全生产事故违约考核</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对于承包人的以下严重违约行为，发包人将可直接扣除相应金额的合同款作为违约金。（以每次或起计算）：</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 xml:space="preserve">承包人发生死亡事故（50-100万元/起）； </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承包人发生重伤事故（10-50万元/起）；</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（3）</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承包人导致环境污染受到政府处罚（10万~50万元/起）；</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（4）</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承包人挪用合同安全措施费的，直接扣除挪用金2倍金额的合同款。</w:t>
      </w:r>
    </w:p>
    <w:p>
      <w:pPr>
        <w:tabs>
          <w:tab w:val="left" w:pos="1512"/>
        </w:tabs>
        <w:snapToGrid w:val="0"/>
        <w:spacing w:before="120" w:after="120" w:line="360" w:lineRule="auto"/>
        <w:rPr>
          <w:rFonts w:ascii="宋体" w:hAns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 xml:space="preserve">    26.2</w:t>
      </w:r>
      <w:r>
        <w:rPr>
          <w:rFonts w:hint="eastAsia"/>
          <w:color w:val="000000" w:themeColor="text1"/>
          <w:szCs w:val="21"/>
          <w14:textFill>
            <w14:solidFill>
              <w14:schemeClr w14:val="tx1"/>
            </w14:solidFill>
          </w14:textFill>
        </w:rPr>
        <w:t>安全管理违约考核</w:t>
      </w:r>
    </w:p>
    <w:p>
      <w:pPr>
        <w:tabs>
          <w:tab w:val="left" w:pos="1512"/>
        </w:tabs>
        <w:snapToGrid w:val="0"/>
        <w:spacing w:before="120" w:after="120" w:line="360" w:lineRule="auto"/>
        <w:ind w:firstLine="480" w:firstLineChars="200"/>
        <w:rPr>
          <w:rFonts w:ascii="宋体" w:cs="新宋体-18030"/>
          <w:bCs/>
          <w:color w:val="000000" w:themeColor="text1"/>
          <w:sz w:val="24"/>
          <w:szCs w:val="24"/>
          <w14:textFill>
            <w14:solidFill>
              <w14:schemeClr w14:val="tx1"/>
            </w14:solidFill>
          </w14:textFill>
        </w:rPr>
      </w:pPr>
      <w:r>
        <w:rPr>
          <w:rFonts w:hint="eastAsia" w:ascii="宋体" w:hAnsi="宋体" w:cs="新宋体-18030"/>
          <w:bCs/>
          <w:color w:val="000000" w:themeColor="text1"/>
          <w:sz w:val="24"/>
          <w:szCs w:val="24"/>
          <w14:textFill>
            <w14:solidFill>
              <w14:schemeClr w14:val="tx1"/>
            </w14:solidFill>
          </w14:textFill>
        </w:rPr>
        <w:t>发包人对承包人管理人员及工人严重违章行为实行“一棒出局”零容忍机制，对高处作业不挂安全带、无证从事特殊工作作业、无作业许可进行作业、违章指挥或强令他人冒险作业等行为，一经查处，清退出施工现场，承包人必须无条件执行。</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对于承包人的违约行为，发包人有权在合同款中直接予以扣除相应的违约金。</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发生安全事件隐瞒不报或谎报（5万~10万元）；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设备、设施、机具不符合国家标准要求进入现场（1万~2万元）；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（3）</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未办理作业许可进行作业（2万~3万元）；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（4）</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违章指挥、强令冒险作业（2万~3万元）；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（5）</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无方案施工（包括未审批）、不按程序/方案施工，擅自改变既定的安全措施，降低防护水平或条件（1000-20000元）；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（6）</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形成即刻事故风险的违章行为，拒绝及时整改（1万~2万元）；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（7）</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重大安全缺陷未整改继续施工（1万~2万元）；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（8）</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承包人管理人员对重大违章、集体违章、即刻风险不及时制止或拒绝整改（1万~2万元）；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（9）</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承包人对分包商或劳务公司以包代管、包而不管（1万~2万元）；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（10）</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关键岗位人员未持证上岗或从事的工作与其技能不符，逾期不整改（1万~2万元），关键岗位人员未征得建设方同意私自更换（10~50万元）；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（11）</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承包人现场人员个人劳动保护用品质量不符合相应标准，逾期不更换的（1万~5万元）；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（12）</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影响现场整体安全生产条件和环境条件的活动（3万~4万元）；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（13）</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发包人发出的书面整改行动未按期整改（2万~3万元）；</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（14）</w:t>
      </w:r>
      <w:r>
        <w:rPr>
          <w:rFonts w:hint="eastAsia" w:ascii="宋体" w:hAnsi="宋体"/>
          <w:color w:val="000000" w:themeColor="text1"/>
          <w:sz w:val="24"/>
          <w:szCs w:val="24"/>
          <w14:textFill>
            <w14:solidFill>
              <w14:schemeClr w14:val="tx1"/>
            </w14:solidFill>
          </w14:textFill>
        </w:rPr>
        <w:tab/>
      </w:r>
      <w:r>
        <w:rPr>
          <w:rFonts w:hint="eastAsia" w:ascii="宋体" w:hAnsi="宋体"/>
          <w:color w:val="000000" w:themeColor="text1"/>
          <w:sz w:val="24"/>
          <w:szCs w:val="24"/>
          <w14:textFill>
            <w14:solidFill>
              <w14:schemeClr w14:val="tx1"/>
            </w14:solidFill>
          </w14:textFill>
        </w:rPr>
        <w:t>被各相关方认为具有较大事故隐患的行为或缺陷（1万~5万元）。</w:t>
      </w:r>
    </w:p>
    <w:p>
      <w:pPr>
        <w:widowControl/>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（15）承包人导致环境污染受到政府处罚（10万~50万元/起）；</w:t>
      </w:r>
    </w:p>
    <w:p>
      <w:pPr>
        <w:widowControl/>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（16）承包人挪用合同安全措施费的，直接扣除挪用金2倍金额的合同款。</w:t>
      </w: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26.3现场人员违章</w:t>
      </w:r>
    </w:p>
    <w:p>
      <w:pPr>
        <w:widowControl/>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甲方或监理人发现承包人现场施工人员发生违章行为的，将由监理人按照《安全文明施工违章考核表》对承包人进行考核。</w:t>
      </w:r>
    </w:p>
    <w:p>
      <w:pPr>
        <w:widowControl/>
        <w:snapToGrid w:val="0"/>
        <w:spacing w:line="360" w:lineRule="auto"/>
        <w:ind w:firstLine="480" w:firstLineChars="200"/>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安全文明施工违章考核表</w:t>
      </w:r>
    </w:p>
    <w:tbl>
      <w:tblPr>
        <w:tblStyle w:val="37"/>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7072"/>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8" w:hRule="atLeast"/>
        </w:trPr>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序号</w:t>
            </w:r>
          </w:p>
        </w:tc>
        <w:tc>
          <w:tcPr>
            <w:tcW w:w="707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违章行为</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考核扣款标准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一</w:t>
            </w:r>
          </w:p>
        </w:tc>
        <w:tc>
          <w:tcPr>
            <w:tcW w:w="7072" w:type="dxa"/>
            <w:vAlign w:val="center"/>
          </w:tcPr>
          <w:p>
            <w:pPr>
              <w:snapToGrid w:val="0"/>
              <w:spacing w:line="360" w:lineRule="auto"/>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安全施工</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穿高跟鞋，露脚趾、带钉鞋、凉鞋、裙子、短裤、背心或裸背、长发披肩进入施工现场。</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100元</w:t>
            </w:r>
            <w:r>
              <w:rPr>
                <w:color w:val="000000" w:themeColor="text1"/>
                <w:szCs w:val="21"/>
                <w14:textFill>
                  <w14:solidFill>
                    <w14:schemeClr w14:val="tx1"/>
                  </w14:solidFill>
                </w14:textFill>
              </w:rPr>
              <w:t>/人次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酒后进入施工现场。</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500元</w:t>
            </w:r>
            <w:r>
              <w:rPr>
                <w:color w:val="000000" w:themeColor="text1"/>
                <w:szCs w:val="21"/>
                <w14:textFill>
                  <w14:solidFill>
                    <w14:schemeClr w14:val="tx1"/>
                  </w14:solidFill>
                </w14:textFill>
              </w:rPr>
              <w:t>/人次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072" w:type="dxa"/>
            <w:vAlign w:val="center"/>
          </w:tcPr>
          <w:p>
            <w:pPr>
              <w:snapToGrid w:val="0"/>
              <w:spacing w:line="360" w:lineRule="auto"/>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现场作业人员未进行安全教育的</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200元</w:t>
            </w:r>
            <w:r>
              <w:rPr>
                <w:color w:val="000000" w:themeColor="text1"/>
                <w:szCs w:val="21"/>
                <w14:textFill>
                  <w14:solidFill>
                    <w14:schemeClr w14:val="tx1"/>
                  </w14:solidFill>
                </w14:textFill>
              </w:rPr>
              <w:t>/人次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072" w:type="dxa"/>
            <w:vAlign w:val="center"/>
          </w:tcPr>
          <w:p>
            <w:pPr>
              <w:snapToGrid w:val="0"/>
              <w:spacing w:line="360" w:lineRule="auto"/>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违反起重作业“十不吊”</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200元/人次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7072" w:type="dxa"/>
            <w:vAlign w:val="center"/>
          </w:tcPr>
          <w:p>
            <w:pPr>
              <w:snapToGrid w:val="0"/>
              <w:spacing w:line="360" w:lineRule="auto"/>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起重机作业完成后，钢丝绳未摘除，吊钩未复位</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072" w:type="dxa"/>
            <w:vAlign w:val="center"/>
          </w:tcPr>
          <w:p>
            <w:pPr>
              <w:snapToGrid w:val="0"/>
              <w:spacing w:line="360" w:lineRule="auto"/>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作业人员未按规定佩戴劳动防护用品</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072" w:type="dxa"/>
            <w:vAlign w:val="center"/>
          </w:tcPr>
          <w:p>
            <w:pPr>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易燃易爆物品等危险品</w:t>
            </w:r>
            <w:r>
              <w:rPr>
                <w:rFonts w:hint="eastAsia"/>
                <w:color w:val="000000" w:themeColor="text1"/>
                <w:szCs w:val="21"/>
                <w14:textFill>
                  <w14:solidFill>
                    <w14:schemeClr w14:val="tx1"/>
                  </w14:solidFill>
                </w14:textFill>
              </w:rPr>
              <w:t>未按规定使用、管理和存放，爆破作业违章、违规</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7072" w:type="dxa"/>
            <w:vAlign w:val="center"/>
          </w:tcPr>
          <w:p>
            <w:pPr>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施工作业无安全监管人员</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危险区域或夜间施工无醒目的安全警示标志的</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进入施工现场不戴安全帽，或佩戴不合格的安全帽，或不正确配戴安全帽。</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100元</w:t>
            </w:r>
            <w:r>
              <w:rPr>
                <w:color w:val="000000" w:themeColor="text1"/>
                <w:szCs w:val="21"/>
                <w14:textFill>
                  <w14:solidFill>
                    <w14:schemeClr w14:val="tx1"/>
                  </w14:solidFill>
                </w14:textFill>
              </w:rPr>
              <w:t>/人次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7072" w:type="dxa"/>
            <w:vAlign w:val="center"/>
          </w:tcPr>
          <w:p>
            <w:pPr>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高空</w:t>
            </w:r>
            <w:r>
              <w:rPr>
                <w:rFonts w:hint="eastAsia"/>
                <w:color w:val="000000" w:themeColor="text1"/>
                <w:szCs w:val="21"/>
                <w14:textFill>
                  <w14:solidFill>
                    <w14:schemeClr w14:val="tx1"/>
                  </w14:solidFill>
                </w14:textFill>
              </w:rPr>
              <w:t>（架）</w:t>
            </w:r>
            <w:r>
              <w:rPr>
                <w:color w:val="000000" w:themeColor="text1"/>
                <w:szCs w:val="21"/>
                <w14:textFill>
                  <w14:solidFill>
                    <w14:schemeClr w14:val="tx1"/>
                  </w14:solidFill>
                </w14:textFill>
              </w:rPr>
              <w:t>作业或临边作业不系安全带的</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r>
              <w:rPr>
                <w:rFonts w:hint="eastAsia"/>
                <w:color w:val="000000" w:themeColor="text1"/>
                <w:szCs w:val="21"/>
                <w14:textFill>
                  <w14:solidFill>
                    <w14:schemeClr w14:val="tx1"/>
                  </w14:solidFill>
                </w14:textFill>
              </w:rPr>
              <w:t>元</w:t>
            </w:r>
            <w:r>
              <w:rPr>
                <w:color w:val="000000" w:themeColor="text1"/>
                <w:szCs w:val="21"/>
                <w14:textFill>
                  <w14:solidFill>
                    <w14:schemeClr w14:val="tx1"/>
                  </w14:solidFill>
                </w14:textFill>
              </w:rPr>
              <w:t>/人次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“洞口、临边”无防护栏杆、网或安全网搭设不符合要求</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00元</w:t>
            </w:r>
            <w:r>
              <w:rPr>
                <w:color w:val="000000" w:themeColor="text1"/>
                <w:szCs w:val="21"/>
                <w14:textFill>
                  <w14:solidFill>
                    <w14:schemeClr w14:val="tx1"/>
                  </w14:solidFill>
                </w14:textFill>
              </w:rPr>
              <w:t>/处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7072" w:type="dxa"/>
            <w:vAlign w:val="center"/>
          </w:tcPr>
          <w:p>
            <w:pPr>
              <w:keepNext/>
              <w:keepLines/>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施工临时用电不符合</w:t>
            </w:r>
            <w:r>
              <w:rPr>
                <w:rFonts w:hint="eastAsia"/>
                <w:color w:val="000000" w:themeColor="text1"/>
                <w:szCs w:val="21"/>
                <w14:textFill>
                  <w14:solidFill>
                    <w14:schemeClr w14:val="tx1"/>
                  </w14:solidFill>
                </w14:textFill>
              </w:rPr>
              <w:t>“一机一闸一漏”，未按要求接地，无漏电保护</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00元</w:t>
            </w:r>
            <w:r>
              <w:rPr>
                <w:color w:val="000000" w:themeColor="text1"/>
                <w:szCs w:val="21"/>
                <w14:textFill>
                  <w14:solidFill>
                    <w14:schemeClr w14:val="tx1"/>
                  </w14:solidFill>
                </w14:textFill>
              </w:rPr>
              <w:t>/处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w:t>
            </w:r>
          </w:p>
        </w:tc>
        <w:tc>
          <w:tcPr>
            <w:tcW w:w="7072" w:type="dxa"/>
            <w:vAlign w:val="center"/>
          </w:tcPr>
          <w:p>
            <w:pPr>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作业人员在无防护的支撑上行走</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r>
              <w:rPr>
                <w:rFonts w:hint="eastAsia"/>
                <w:color w:val="000000" w:themeColor="text1"/>
                <w:szCs w:val="21"/>
                <w14:textFill>
                  <w14:solidFill>
                    <w14:schemeClr w14:val="tx1"/>
                  </w14:solidFill>
                </w14:textFill>
              </w:rPr>
              <w:t>元</w:t>
            </w:r>
            <w:r>
              <w:rPr>
                <w:color w:val="000000" w:themeColor="text1"/>
                <w:szCs w:val="21"/>
                <w14:textFill>
                  <w14:solidFill>
                    <w14:schemeClr w14:val="tx1"/>
                  </w14:solidFill>
                </w14:textFill>
              </w:rPr>
              <w:t>/人次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14</w:t>
            </w:r>
          </w:p>
        </w:tc>
        <w:tc>
          <w:tcPr>
            <w:tcW w:w="7072" w:type="dxa"/>
            <w:vAlign w:val="center"/>
          </w:tcPr>
          <w:p>
            <w:pPr>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现场无足够的有效的消防器材</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无防火疏散通道</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无明显的防火标志</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7072" w:type="dxa"/>
            <w:vAlign w:val="center"/>
          </w:tcPr>
          <w:p>
            <w:pPr>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工人宿舍乱拉乱接电线</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使用大功率电器</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16</w:t>
            </w:r>
          </w:p>
        </w:tc>
        <w:tc>
          <w:tcPr>
            <w:tcW w:w="7072" w:type="dxa"/>
            <w:vAlign w:val="center"/>
          </w:tcPr>
          <w:p>
            <w:pPr>
              <w:snapToGrid w:val="0"/>
              <w:spacing w:line="360" w:lineRule="auto"/>
              <w:rPr>
                <w:color w:val="000000" w:themeColor="text1"/>
                <w:szCs w:val="21"/>
                <w14:textFill>
                  <w14:solidFill>
                    <w14:schemeClr w14:val="tx1"/>
                  </w14:solidFill>
                </w14:textFill>
              </w:rPr>
            </w:pPr>
            <w:r>
              <w:rPr>
                <w:color w:val="000000" w:themeColor="text1"/>
                <w:szCs w:val="21"/>
                <w14:textFill>
                  <w14:solidFill>
                    <w14:schemeClr w14:val="tx1"/>
                  </w14:solidFill>
                </w14:textFill>
              </w:rPr>
              <w:t>特种作业人员无证操作</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500元/人次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17</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班前不进行安全交底，无交底记录</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18</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危险性较大分部分项工程未按照专项施工方案落实安全措施</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500</w:t>
            </w:r>
            <w:r>
              <w:rPr>
                <w:rFonts w:hint="eastAsia"/>
                <w:color w:val="000000" w:themeColor="text1"/>
                <w:szCs w:val="21"/>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19</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在施工中存在其他</w:t>
            </w:r>
            <w:r>
              <w:rPr>
                <w:rFonts w:hint="eastAsia"/>
                <w:color w:val="000000" w:themeColor="text1"/>
                <w:szCs w:val="21"/>
                <w14:textFill>
                  <w14:solidFill>
                    <w14:schemeClr w14:val="tx1"/>
                  </w14:solidFill>
                </w14:textFill>
              </w:rPr>
              <w:t>违章</w:t>
            </w:r>
            <w:r>
              <w:rPr>
                <w:color w:val="000000" w:themeColor="text1"/>
                <w:szCs w:val="21"/>
                <w14:textFill>
                  <w14:solidFill>
                    <w14:schemeClr w14:val="tx1"/>
                  </w14:solidFill>
                </w14:textFill>
              </w:rPr>
              <w:t>作业行为的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给予</w:t>
            </w:r>
            <w:r>
              <w:rPr>
                <w:rFonts w:hint="eastAsia"/>
                <w:color w:val="000000" w:themeColor="text1"/>
                <w:szCs w:val="21"/>
                <w14:textFill>
                  <w14:solidFill>
                    <w14:schemeClr w14:val="tx1"/>
                  </w14:solidFill>
                </w14:textFill>
              </w:rPr>
              <w:t>100-</w:t>
            </w:r>
            <w:r>
              <w:rPr>
                <w:color w:val="000000" w:themeColor="text1"/>
                <w:szCs w:val="21"/>
                <w14:textFill>
                  <w14:solidFill>
                    <w14:schemeClr w14:val="tx1"/>
                  </w14:solidFill>
                </w14:textFill>
              </w:rPr>
              <w:t>1000元处罚</w:t>
            </w:r>
            <w:r>
              <w:rPr>
                <w:rFonts w:hint="eastAsia"/>
                <w:color w:val="000000" w:themeColor="text1"/>
                <w:szCs w:val="21"/>
                <w14:textFill>
                  <w14:solidFill>
                    <w14:schemeClr w14:val="tx1"/>
                  </w14:solidFill>
                </w14:textFill>
              </w:rPr>
              <w:t>，同类行为反复出现或性质较为恶劣的可以加重或加倍处罚</w:t>
            </w:r>
          </w:p>
        </w:tc>
        <w:tc>
          <w:tcPr>
            <w:tcW w:w="1562" w:type="dxa"/>
            <w:vAlign w:val="center"/>
          </w:tcPr>
          <w:p>
            <w:pPr>
              <w:snapToGrid w:val="0"/>
              <w:spacing w:line="360" w:lineRule="auto"/>
              <w:jc w:val="center"/>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二</w:t>
            </w:r>
          </w:p>
        </w:tc>
        <w:tc>
          <w:tcPr>
            <w:tcW w:w="7072" w:type="dxa"/>
            <w:vAlign w:val="center"/>
          </w:tcPr>
          <w:p>
            <w:pPr>
              <w:snapToGrid w:val="0"/>
              <w:spacing w:line="360" w:lineRule="auto"/>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文明施工</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工地未按照施工承包合同及发包人要求或其他相关规定制作围挡</w:t>
            </w:r>
            <w:r>
              <w:rPr>
                <w:rFonts w:hint="eastAsia"/>
                <w:color w:val="000000" w:themeColor="text1"/>
                <w:szCs w:val="21"/>
                <w14:textFill>
                  <w14:solidFill>
                    <w14:schemeClr w14:val="tx1"/>
                  </w14:solidFill>
                </w14:textFill>
              </w:rPr>
              <w:t>（蔽），</w:t>
            </w:r>
            <w:r>
              <w:rPr>
                <w:color w:val="000000" w:themeColor="text1"/>
                <w:szCs w:val="21"/>
                <w14:textFill>
                  <w14:solidFill>
                    <w14:schemeClr w14:val="tx1"/>
                  </w14:solidFill>
                </w14:textFill>
              </w:rPr>
              <w:t>或围挡</w:t>
            </w:r>
            <w:r>
              <w:rPr>
                <w:rFonts w:hint="eastAsia"/>
                <w:color w:val="000000" w:themeColor="text1"/>
                <w:szCs w:val="21"/>
                <w14:textFill>
                  <w14:solidFill>
                    <w14:schemeClr w14:val="tx1"/>
                  </w14:solidFill>
                </w14:textFill>
              </w:rPr>
              <w:t>（蔽）不规范</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无大门</w:t>
            </w:r>
            <w:r>
              <w:rPr>
                <w:rFonts w:hint="eastAsia"/>
                <w:color w:val="000000" w:themeColor="text1"/>
                <w:szCs w:val="21"/>
                <w14:textFill>
                  <w14:solidFill>
                    <w14:schemeClr w14:val="tx1"/>
                  </w14:solidFill>
                </w14:textFill>
              </w:rPr>
              <w:t>，无</w:t>
            </w:r>
            <w:r>
              <w:rPr>
                <w:color w:val="000000" w:themeColor="text1"/>
                <w:szCs w:val="21"/>
                <w14:textFill>
                  <w14:solidFill>
                    <w14:schemeClr w14:val="tx1"/>
                  </w14:solidFill>
                </w14:textFill>
              </w:rPr>
              <w:t>门口无企业标志</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不张贴</w:t>
            </w:r>
            <w:r>
              <w:rPr>
                <w:rFonts w:hint="eastAsia"/>
                <w:color w:val="000000" w:themeColor="text1"/>
                <w:szCs w:val="21"/>
                <w14:textFill>
                  <w14:solidFill>
                    <w14:schemeClr w14:val="tx1"/>
                  </w14:solidFill>
                </w14:textFill>
              </w:rPr>
              <w:t>“七牌二图”、重大危险源公示牌、每日作业危险源及防范措施告知牌，无门卫及出入管理制度</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施工现场道路</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材料堆场未硬化</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现场材料</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机具未按照</w:t>
            </w:r>
            <w:r>
              <w:rPr>
                <w:rFonts w:hint="eastAsia"/>
                <w:color w:val="000000" w:themeColor="text1"/>
                <w:szCs w:val="21"/>
                <w14:textFill>
                  <w14:solidFill>
                    <w14:schemeClr w14:val="tx1"/>
                  </w14:solidFill>
                </w14:textFill>
              </w:rPr>
              <w:t>分类堆放</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5</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未设洗车槽</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排水沟</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沉淀池等设施</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或洗车槽</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排水沟</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沉淀池未有效使用</w:t>
            </w:r>
            <w:r>
              <w:rPr>
                <w:rFonts w:hint="eastAsia"/>
                <w:color w:val="000000" w:themeColor="text1"/>
                <w:szCs w:val="21"/>
                <w14:textFill>
                  <w14:solidFill>
                    <w14:schemeClr w14:val="tx1"/>
                  </w14:solidFill>
                </w14:textFill>
              </w:rPr>
              <w:t>、及时清理的</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072" w:type="dxa"/>
            <w:vAlign w:val="center"/>
          </w:tcPr>
          <w:p>
            <w:pPr>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运输材料</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混凝土</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渣土</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垃圾车辆未按规定加盖</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泥沙随车轮带出场外</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影响市容或因违规作业被相关部门查处的</w:t>
            </w:r>
          </w:p>
        </w:tc>
        <w:tc>
          <w:tcPr>
            <w:tcW w:w="1562" w:type="dxa"/>
            <w:vAlign w:val="center"/>
          </w:tcPr>
          <w:p>
            <w:pPr>
              <w:keepNext/>
              <w:keepLines/>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施工现场脏乱差，生活垃圾清理不及时的</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7072" w:type="dxa"/>
            <w:vAlign w:val="center"/>
          </w:tcPr>
          <w:p>
            <w:pPr>
              <w:snapToGrid w:val="0"/>
              <w:spacing w:line="360" w:lineRule="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车辆在现场乱停乱放</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7072" w:type="dxa"/>
            <w:vAlign w:val="center"/>
          </w:tcPr>
          <w:p>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施工人员未在指定的吸烟点吸烟，乱扔烟头</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7072" w:type="dxa"/>
            <w:vAlign w:val="center"/>
          </w:tcPr>
          <w:p>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未按要求落实扬尘污染防治6个100%</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在施工作业中存在其他不文明行为的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给予</w:t>
            </w:r>
            <w:r>
              <w:rPr>
                <w:rFonts w:hint="eastAsia"/>
                <w:color w:val="000000" w:themeColor="text1"/>
                <w:szCs w:val="21"/>
                <w14:textFill>
                  <w14:solidFill>
                    <w14:schemeClr w14:val="tx1"/>
                  </w14:solidFill>
                </w14:textFill>
              </w:rPr>
              <w:t>100-</w:t>
            </w:r>
            <w:r>
              <w:rPr>
                <w:color w:val="000000" w:themeColor="text1"/>
                <w:szCs w:val="21"/>
                <w14:textFill>
                  <w14:solidFill>
                    <w14:schemeClr w14:val="tx1"/>
                  </w14:solidFill>
                </w14:textFill>
              </w:rPr>
              <w:t>1000元处罚</w:t>
            </w:r>
            <w:r>
              <w:rPr>
                <w:rFonts w:hint="eastAsia"/>
                <w:color w:val="000000" w:themeColor="text1"/>
                <w:szCs w:val="21"/>
                <w14:textFill>
                  <w14:solidFill>
                    <w14:schemeClr w14:val="tx1"/>
                  </w14:solidFill>
                </w14:textFill>
              </w:rPr>
              <w:t>，同类行为反复出现的可以加重或加倍处罚</w:t>
            </w:r>
          </w:p>
        </w:tc>
        <w:tc>
          <w:tcPr>
            <w:tcW w:w="1562" w:type="dxa"/>
            <w:vAlign w:val="center"/>
          </w:tcPr>
          <w:p>
            <w:pPr>
              <w:snapToGrid w:val="0"/>
              <w:spacing w:line="360" w:lineRule="auto"/>
              <w:jc w:val="center"/>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pBdr>
                <w:bottom w:val="single" w:color="auto" w:sz="6" w:space="1"/>
              </w:pBdr>
              <w:tabs>
                <w:tab w:val="center" w:pos="4153"/>
                <w:tab w:val="right" w:pos="8306"/>
              </w:tabs>
              <w:snapToGrid w:val="0"/>
              <w:spacing w:line="360" w:lineRule="auto"/>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w:t>
            </w:r>
          </w:p>
        </w:tc>
        <w:tc>
          <w:tcPr>
            <w:tcW w:w="7072" w:type="dxa"/>
            <w:vAlign w:val="center"/>
          </w:tcPr>
          <w:p>
            <w:pPr>
              <w:pBdr>
                <w:bottom w:val="single" w:color="auto" w:sz="6" w:space="1"/>
              </w:pBdr>
              <w:tabs>
                <w:tab w:val="center" w:pos="4153"/>
                <w:tab w:val="right" w:pos="8306"/>
              </w:tabs>
              <w:snapToGrid w:val="0"/>
              <w:spacing w:line="360" w:lineRule="auto"/>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安全文明施工管理</w:t>
            </w:r>
          </w:p>
        </w:tc>
        <w:tc>
          <w:tcPr>
            <w:tcW w:w="1562" w:type="dxa"/>
            <w:vAlign w:val="center"/>
          </w:tcPr>
          <w:p>
            <w:pPr>
              <w:keepNext/>
              <w:keepLines/>
              <w:snapToGrid w:val="0"/>
              <w:spacing w:line="360" w:lineRule="auto"/>
              <w:jc w:val="center"/>
              <w:textAlignment w:val="baseline"/>
              <w:outlineLvl w:val="0"/>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072" w:type="dxa"/>
            <w:vAlign w:val="center"/>
          </w:tcPr>
          <w:p>
            <w:pPr>
              <w:pBdr>
                <w:bottom w:val="single" w:color="auto" w:sz="6" w:space="1"/>
              </w:pBdr>
              <w:tabs>
                <w:tab w:val="center" w:pos="4153"/>
                <w:tab w:val="right" w:pos="8306"/>
              </w:tabs>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现场管理责任人未落实安全职责</w:t>
            </w:r>
          </w:p>
        </w:tc>
        <w:tc>
          <w:tcPr>
            <w:tcW w:w="1562" w:type="dxa"/>
            <w:vAlign w:val="center"/>
          </w:tcPr>
          <w:p>
            <w:pPr>
              <w:keepNext/>
              <w:keepLines/>
              <w:snapToGrid w:val="0"/>
              <w:spacing w:line="360" w:lineRule="auto"/>
              <w:jc w:val="center"/>
              <w:textAlignment w:val="baseline"/>
              <w:outlineLvl w:val="0"/>
              <w:rPr>
                <w:color w:val="000000" w:themeColor="text1"/>
                <w:szCs w:val="21"/>
                <w14:textFill>
                  <w14:solidFill>
                    <w14:schemeClr w14:val="tx1"/>
                  </w14:solidFill>
                </w14:textFill>
              </w:rPr>
            </w:pPr>
            <w:bookmarkStart w:id="1159" w:name="_Toc115428970"/>
            <w:bookmarkStart w:id="1160" w:name="_Toc14383"/>
            <w:bookmarkStart w:id="1161" w:name="_Toc112848801"/>
            <w:bookmarkStart w:id="1162" w:name="_Toc118446924"/>
            <w:bookmarkStart w:id="1163" w:name="_Toc63618714"/>
            <w:bookmarkStart w:id="1164" w:name="_Toc8274"/>
            <w:bookmarkStart w:id="1165" w:name="_Toc27704"/>
            <w:bookmarkStart w:id="1166" w:name="_Toc114231272"/>
            <w:bookmarkStart w:id="1167" w:name="_Toc115428701"/>
            <w:r>
              <w:rPr>
                <w:rFonts w:hint="eastAsia"/>
                <w:color w:val="000000" w:themeColor="text1"/>
                <w:szCs w:val="21"/>
                <w14:textFill>
                  <w14:solidFill>
                    <w14:schemeClr w14:val="tx1"/>
                  </w14:solidFill>
                </w14:textFill>
              </w:rPr>
              <w:t>1000元</w:t>
            </w:r>
            <w:bookmarkEnd w:id="1159"/>
            <w:bookmarkEnd w:id="1160"/>
            <w:bookmarkEnd w:id="1161"/>
            <w:bookmarkEnd w:id="1162"/>
            <w:bookmarkEnd w:id="1163"/>
            <w:bookmarkEnd w:id="1164"/>
            <w:bookmarkEnd w:id="1165"/>
            <w:bookmarkEnd w:id="1166"/>
            <w:bookmarkEnd w:id="116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7072" w:type="dxa"/>
            <w:vAlign w:val="center"/>
          </w:tcPr>
          <w:p>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招用未经资质审查或审查不合格的外包队伍</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7072" w:type="dxa"/>
            <w:vAlign w:val="center"/>
          </w:tcPr>
          <w:p>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未按要求进行安全文明检查（无记录）</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7072" w:type="dxa"/>
            <w:vAlign w:val="center"/>
          </w:tcPr>
          <w:p>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未按要求召开安全会议（无记录）</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7072" w:type="dxa"/>
            <w:vAlign w:val="center"/>
          </w:tcPr>
          <w:p>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未按相关整改通知要求完成整改或没有及时整改</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500元</w:t>
            </w:r>
            <w:r>
              <w:rPr>
                <w:rFonts w:hint="eastAsia"/>
                <w:color w:val="000000" w:themeColor="text1"/>
                <w:szCs w:val="21"/>
                <w14:textFill>
                  <w14:solidFill>
                    <w14:schemeClr w14:val="tx1"/>
                  </w14:solidFill>
                </w14:textFill>
              </w:rPr>
              <w:t>/项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7072" w:type="dxa"/>
            <w:vAlign w:val="center"/>
          </w:tcPr>
          <w:p>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相关安全管理资料、报告、文件未及时上报或更新</w:t>
            </w:r>
          </w:p>
        </w:tc>
        <w:tc>
          <w:tcPr>
            <w:tcW w:w="1562" w:type="dxa"/>
            <w:vAlign w:val="center"/>
          </w:tcPr>
          <w:p>
            <w:pPr>
              <w:snapToGrid w:val="0"/>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072" w:type="dxa"/>
            <w:vAlign w:val="center"/>
          </w:tcPr>
          <w:p>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在管理活动中存在其他失责情况的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给予</w:t>
            </w:r>
            <w:r>
              <w:rPr>
                <w:rFonts w:hint="eastAsia"/>
                <w:color w:val="000000" w:themeColor="text1"/>
                <w:szCs w:val="21"/>
                <w14:textFill>
                  <w14:solidFill>
                    <w14:schemeClr w14:val="tx1"/>
                  </w14:solidFill>
                </w14:textFill>
              </w:rPr>
              <w:t>500-</w:t>
            </w:r>
            <w:r>
              <w:rPr>
                <w:color w:val="000000" w:themeColor="text1"/>
                <w:szCs w:val="21"/>
                <w14:textFill>
                  <w14:solidFill>
                    <w14:schemeClr w14:val="tx1"/>
                  </w14:solidFill>
                </w14:textFill>
              </w:rPr>
              <w:t>5000元处罚</w:t>
            </w:r>
            <w:r>
              <w:rPr>
                <w:rFonts w:hint="eastAsia"/>
                <w:color w:val="000000" w:themeColor="text1"/>
                <w:szCs w:val="21"/>
                <w14:textFill>
                  <w14:solidFill>
                    <w14:schemeClr w14:val="tx1"/>
                  </w14:solidFill>
                </w14:textFill>
              </w:rPr>
              <w:t>，同类行为反复出现的可以加重或加倍处罚</w:t>
            </w:r>
          </w:p>
        </w:tc>
        <w:tc>
          <w:tcPr>
            <w:tcW w:w="1562" w:type="dxa"/>
            <w:vAlign w:val="center"/>
          </w:tcPr>
          <w:p>
            <w:pPr>
              <w:snapToGrid w:val="0"/>
              <w:spacing w:line="360" w:lineRule="auto"/>
              <w:jc w:val="center"/>
              <w:rPr>
                <w:color w:val="000000" w:themeColor="text1"/>
                <w:szCs w:val="21"/>
                <w14:textFill>
                  <w14:solidFill>
                    <w14:schemeClr w14:val="tx1"/>
                  </w14:solidFill>
                </w14:textFill>
              </w:rPr>
            </w:pPr>
          </w:p>
        </w:tc>
      </w:tr>
    </w:tbl>
    <w:p>
      <w:pPr>
        <w:snapToGrid w:val="0"/>
        <w:spacing w:line="360" w:lineRule="auto"/>
        <w:ind w:firstLine="420" w:firstLineChars="200"/>
        <w:jc w:val="left"/>
        <w:rPr>
          <w:color w:val="000000" w:themeColor="text1"/>
          <w:szCs w:val="21"/>
          <w14:textFill>
            <w14:solidFill>
              <w14:schemeClr w14:val="tx1"/>
            </w14:solidFill>
          </w14:textFill>
        </w:rPr>
      </w:pPr>
    </w:p>
    <w:p>
      <w:pPr>
        <w:snapToGrid w:val="0"/>
        <w:spacing w:line="360" w:lineRule="auto"/>
        <w:ind w:firstLine="480" w:firstLineChars="200"/>
        <w:jc w:val="left"/>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26.4另外，相关内容如有重复与前后不一致的，采取就高不就低的原则。</w:t>
      </w:r>
    </w:p>
    <w:p>
      <w:pPr>
        <w:wordWrap w:val="0"/>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color w:val="000000" w:themeColor="text1"/>
          <w:szCs w:val="21"/>
          <w14:textFill>
            <w14:solidFill>
              <w14:schemeClr w14:val="tx1"/>
            </w14:solidFill>
          </w14:textFill>
        </w:rPr>
        <w:t>工程违约处理通知书</w:t>
      </w:r>
    </w:p>
    <w:tbl>
      <w:tblPr>
        <w:tblStyle w:val="37"/>
        <w:tblW w:w="82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3"/>
        <w:gridCol w:w="2074"/>
        <w:gridCol w:w="207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2073" w:type="dxa"/>
            <w:tcBorders>
              <w:top w:val="single" w:color="auto" w:sz="4" w:space="0"/>
              <w:left w:val="single" w:color="auto" w:sz="4" w:space="0"/>
              <w:bottom w:val="single" w:color="auto" w:sz="4" w:space="0"/>
              <w:right w:val="single" w:color="auto" w:sz="4" w:space="0"/>
            </w:tcBorders>
            <w:vAlign w:val="center"/>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工程名称</w:t>
            </w:r>
          </w:p>
        </w:tc>
        <w:tc>
          <w:tcPr>
            <w:tcW w:w="2074" w:type="dxa"/>
            <w:tcBorders>
              <w:top w:val="single" w:color="auto" w:sz="4" w:space="0"/>
              <w:left w:val="single" w:color="auto" w:sz="4" w:space="0"/>
              <w:bottom w:val="single" w:color="auto" w:sz="4" w:space="0"/>
              <w:right w:val="single" w:color="auto" w:sz="4" w:space="0"/>
            </w:tcBorders>
            <w:vAlign w:val="center"/>
          </w:tcPr>
          <w:p>
            <w:pPr>
              <w:keepNext/>
              <w:keepLines/>
              <w:wordWrap w:val="0"/>
              <w:jc w:val="center"/>
              <w:outlineLvl w:val="0"/>
              <w:rPr>
                <w:color w:val="000000" w:themeColor="text1"/>
                <w:szCs w:val="21"/>
                <w14:textFill>
                  <w14:solidFill>
                    <w14:schemeClr w14:val="tx1"/>
                  </w14:solidFill>
                </w14:textFill>
              </w:rPr>
            </w:pPr>
          </w:p>
        </w:tc>
        <w:tc>
          <w:tcPr>
            <w:tcW w:w="2074" w:type="dxa"/>
            <w:tcBorders>
              <w:top w:val="single" w:color="auto" w:sz="4" w:space="0"/>
              <w:left w:val="single" w:color="auto" w:sz="4" w:space="0"/>
              <w:bottom w:val="single" w:color="auto" w:sz="4" w:space="0"/>
              <w:right w:val="single" w:color="auto" w:sz="4" w:space="0"/>
            </w:tcBorders>
            <w:vAlign w:val="center"/>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编号</w:t>
            </w:r>
          </w:p>
        </w:tc>
        <w:tc>
          <w:tcPr>
            <w:tcW w:w="2074" w:type="dxa"/>
            <w:tcBorders>
              <w:top w:val="single" w:color="auto" w:sz="4" w:space="0"/>
              <w:left w:val="single" w:color="auto" w:sz="4" w:space="0"/>
              <w:bottom w:val="single" w:color="auto" w:sz="4" w:space="0"/>
              <w:right w:val="single" w:color="auto" w:sz="4" w:space="0"/>
            </w:tcBorders>
            <w:vAlign w:val="center"/>
          </w:tcPr>
          <w:p>
            <w:pPr>
              <w:keepNext/>
              <w:keepLines/>
              <w:wordWrap w:val="0"/>
              <w:jc w:val="center"/>
              <w:outlineLvl w:val="0"/>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2073" w:type="dxa"/>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施工部位</w:t>
            </w:r>
          </w:p>
        </w:tc>
        <w:tc>
          <w:tcPr>
            <w:tcW w:w="2074" w:type="dxa"/>
            <w:tcBorders>
              <w:top w:val="single" w:color="auto" w:sz="4" w:space="0"/>
              <w:left w:val="single" w:color="auto" w:sz="4" w:space="0"/>
              <w:bottom w:val="single" w:color="auto" w:sz="4" w:space="0"/>
              <w:right w:val="single" w:color="auto" w:sz="4" w:space="0"/>
            </w:tcBorders>
          </w:tcPr>
          <w:p>
            <w:pPr>
              <w:keepNext/>
              <w:keepLines/>
              <w:wordWrap w:val="0"/>
              <w:jc w:val="center"/>
              <w:outlineLvl w:val="0"/>
              <w:rPr>
                <w:color w:val="000000" w:themeColor="text1"/>
                <w:szCs w:val="21"/>
                <w14:textFill>
                  <w14:solidFill>
                    <w14:schemeClr w14:val="tx1"/>
                  </w14:solidFill>
                </w14:textFill>
              </w:rPr>
            </w:pPr>
          </w:p>
        </w:tc>
        <w:tc>
          <w:tcPr>
            <w:tcW w:w="2074" w:type="dxa"/>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日期</w:t>
            </w:r>
          </w:p>
        </w:tc>
        <w:tc>
          <w:tcPr>
            <w:tcW w:w="2074" w:type="dxa"/>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2073" w:type="dxa"/>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违约单位</w:t>
            </w:r>
          </w:p>
        </w:tc>
        <w:tc>
          <w:tcPr>
            <w:tcW w:w="2074" w:type="dxa"/>
            <w:tcBorders>
              <w:top w:val="single" w:color="auto" w:sz="4" w:space="0"/>
              <w:left w:val="single" w:color="auto" w:sz="4" w:space="0"/>
              <w:bottom w:val="single" w:color="auto" w:sz="4" w:space="0"/>
              <w:right w:val="single" w:color="auto" w:sz="4" w:space="0"/>
            </w:tcBorders>
          </w:tcPr>
          <w:p>
            <w:pPr>
              <w:keepNext/>
              <w:keepLines/>
              <w:wordWrap w:val="0"/>
              <w:jc w:val="center"/>
              <w:outlineLvl w:val="0"/>
              <w:rPr>
                <w:color w:val="000000" w:themeColor="text1"/>
                <w:szCs w:val="21"/>
                <w14:textFill>
                  <w14:solidFill>
                    <w14:schemeClr w14:val="tx1"/>
                  </w14:solidFill>
                </w14:textFill>
              </w:rPr>
            </w:pPr>
          </w:p>
        </w:tc>
        <w:tc>
          <w:tcPr>
            <w:tcW w:w="2074" w:type="dxa"/>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违约处理依据</w:t>
            </w:r>
          </w:p>
        </w:tc>
        <w:tc>
          <w:tcPr>
            <w:tcW w:w="2074" w:type="dxa"/>
            <w:tcBorders>
              <w:top w:val="single" w:color="auto" w:sz="4" w:space="0"/>
              <w:left w:val="single" w:color="auto" w:sz="4" w:space="0"/>
              <w:bottom w:val="single" w:color="auto" w:sz="4" w:space="0"/>
              <w:right w:val="single" w:color="auto" w:sz="4" w:space="0"/>
            </w:tcBorders>
          </w:tcPr>
          <w:p>
            <w:pPr>
              <w:keepNext/>
              <w:keepLines/>
              <w:wordWrap w:val="0"/>
              <w:jc w:val="center"/>
              <w:outlineLvl w:val="0"/>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5" w:type="dxa"/>
            <w:gridSpan w:val="4"/>
            <w:tcBorders>
              <w:top w:val="single" w:color="auto" w:sz="4" w:space="0"/>
              <w:left w:val="single" w:color="auto" w:sz="4" w:space="0"/>
              <w:bottom w:val="single" w:color="auto" w:sz="4" w:space="0"/>
              <w:right w:val="single" w:color="auto" w:sz="4" w:space="0"/>
            </w:tcBorders>
          </w:tcPr>
          <w:p>
            <w:pPr>
              <w:wordWrap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违约处理事由：</w:t>
            </w:r>
          </w:p>
          <w:p>
            <w:pPr>
              <w:wordWrap w:val="0"/>
              <w:rPr>
                <w:color w:val="000000" w:themeColor="text1"/>
                <w:szCs w:val="21"/>
                <w14:textFill>
                  <w14:solidFill>
                    <w14:schemeClr w14:val="tx1"/>
                  </w14:solidFill>
                </w14:textFill>
              </w:rPr>
            </w:pPr>
          </w:p>
          <w:p>
            <w:pPr>
              <w:wordWrap w:val="0"/>
              <w:rPr>
                <w:color w:val="000000" w:themeColor="text1"/>
                <w:szCs w:val="21"/>
                <w14:textFill>
                  <w14:solidFill>
                    <w14:schemeClr w14:val="tx1"/>
                  </w14:solidFill>
                </w14:textFill>
              </w:rPr>
            </w:pPr>
          </w:p>
          <w:p>
            <w:pPr>
              <w:wordWrap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违约金额：</w:t>
            </w:r>
          </w:p>
          <w:p>
            <w:pPr>
              <w:wordWrap w:val="0"/>
              <w:rPr>
                <w:color w:val="000000" w:themeColor="text1"/>
                <w:szCs w:val="21"/>
                <w14:textFill>
                  <w14:solidFill>
                    <w14:schemeClr w14:val="tx1"/>
                  </w14:solidFill>
                </w14:textFill>
              </w:rPr>
            </w:pPr>
          </w:p>
          <w:p>
            <w:pPr>
              <w:wordWrap w:val="0"/>
              <w:rPr>
                <w:color w:val="000000" w:themeColor="text1"/>
                <w:szCs w:val="21"/>
                <w14:textFill>
                  <w14:solidFill>
                    <w14:schemeClr w14:val="tx1"/>
                  </w14:solidFill>
                </w14:textFill>
              </w:rPr>
            </w:pPr>
          </w:p>
          <w:p>
            <w:pPr>
              <w:wordWrap w:val="0"/>
              <w:ind w:firstLine="4200" w:firstLineChars="20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违约处理单位：XX监理公司</w:t>
            </w:r>
          </w:p>
          <w:p>
            <w:pPr>
              <w:wordWrap w:val="0"/>
              <w:ind w:firstLine="4830" w:firstLineChars="23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5" w:type="dxa"/>
            <w:gridSpan w:val="4"/>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审批栏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2073" w:type="dxa"/>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监理总监</w:t>
            </w:r>
          </w:p>
        </w:tc>
        <w:tc>
          <w:tcPr>
            <w:tcW w:w="2074" w:type="dxa"/>
            <w:tcBorders>
              <w:top w:val="single" w:color="auto" w:sz="4" w:space="0"/>
              <w:left w:val="single" w:color="auto" w:sz="4" w:space="0"/>
              <w:bottom w:val="single" w:color="auto" w:sz="4" w:space="0"/>
              <w:right w:val="single" w:color="auto" w:sz="4" w:space="0"/>
            </w:tcBorders>
          </w:tcPr>
          <w:p>
            <w:pPr>
              <w:keepNext/>
              <w:keepLines/>
              <w:wordWrap w:val="0"/>
              <w:jc w:val="center"/>
              <w:outlineLvl w:val="0"/>
              <w:rPr>
                <w:color w:val="000000" w:themeColor="text1"/>
                <w:szCs w:val="21"/>
                <w14:textFill>
                  <w14:solidFill>
                    <w14:schemeClr w14:val="tx1"/>
                  </w14:solidFill>
                </w14:textFill>
              </w:rPr>
            </w:pPr>
          </w:p>
        </w:tc>
        <w:tc>
          <w:tcPr>
            <w:tcW w:w="2074" w:type="dxa"/>
            <w:tcBorders>
              <w:top w:val="single" w:color="auto" w:sz="4" w:space="0"/>
              <w:left w:val="single" w:color="auto" w:sz="4" w:space="0"/>
              <w:bottom w:val="single" w:color="auto" w:sz="4" w:space="0"/>
              <w:right w:val="single" w:color="auto" w:sz="4" w:space="0"/>
            </w:tcBorders>
          </w:tcPr>
          <w:p>
            <w:pPr>
              <w:wordWrap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发包人</w:t>
            </w:r>
          </w:p>
        </w:tc>
        <w:tc>
          <w:tcPr>
            <w:tcW w:w="2074" w:type="dxa"/>
            <w:tcBorders>
              <w:top w:val="single" w:color="auto" w:sz="4" w:space="0"/>
              <w:left w:val="single" w:color="auto" w:sz="4" w:space="0"/>
              <w:bottom w:val="single" w:color="auto" w:sz="4" w:space="0"/>
              <w:right w:val="single" w:color="auto" w:sz="4" w:space="0"/>
            </w:tcBorders>
          </w:tcPr>
          <w:p>
            <w:pPr>
              <w:keepNext/>
              <w:keepLines/>
              <w:wordWrap w:val="0"/>
              <w:jc w:val="center"/>
              <w:outlineLvl w:val="0"/>
              <w:rPr>
                <w:color w:val="000000" w:themeColor="text1"/>
                <w:szCs w:val="21"/>
                <w14:textFill>
                  <w14:solidFill>
                    <w14:schemeClr w14:val="tx1"/>
                  </w14:solidFill>
                </w14:textFill>
              </w:rPr>
            </w:pPr>
          </w:p>
        </w:tc>
      </w:tr>
    </w:tbl>
    <w:p>
      <w:pPr>
        <w:ind w:left="240" w:hanging="24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注：1．本单一式四份：发包人存三份、违约单位存一份。</w:t>
      </w:r>
    </w:p>
    <w:p>
      <w:pPr>
        <w:ind w:left="210" w:leftChars="100" w:firstLine="210" w:firstLineChars="1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2．本单对乙方及分包商违约发出的违约处理通知；无论违约单位接受与否，不影响本单的执行。</w:t>
      </w:r>
    </w:p>
    <w:p>
      <w:pPr>
        <w:ind w:firstLine="420" w:firstLineChars="200"/>
        <w:rPr>
          <w:rFonts w:ascii="Cambria" w:hAnsi="Cambria"/>
          <w:b/>
          <w:bCs/>
          <w:color w:val="000000" w:themeColor="text1"/>
          <w:sz w:val="30"/>
          <w:szCs w:val="30"/>
          <w14:textFill>
            <w14:solidFill>
              <w14:schemeClr w14:val="tx1"/>
            </w14:solidFill>
          </w14:textFill>
        </w:rPr>
        <w:sectPr>
          <w:headerReference r:id="rId10" w:type="default"/>
          <w:footerReference r:id="rId11" w:type="default"/>
          <w:type w:val="continuous"/>
          <w:pgSz w:w="11906" w:h="16838"/>
          <w:pgMar w:top="1418" w:right="1554" w:bottom="1418" w:left="1531" w:header="851" w:footer="992" w:gutter="0"/>
          <w:cols w:space="720" w:num="1"/>
          <w:titlePg/>
          <w:docGrid w:type="lines" w:linePitch="312" w:charSpace="0"/>
        </w:sectPr>
      </w:pPr>
      <w:r>
        <w:rPr>
          <w:rFonts w:hint="eastAsia"/>
          <w:color w:val="000000" w:themeColor="text1"/>
          <w:szCs w:val="21"/>
          <w14:textFill>
            <w14:solidFill>
              <w14:schemeClr w14:val="tx1"/>
            </w14:solidFill>
          </w14:textFill>
        </w:rPr>
        <w:t>3．违约处理金额直接在当月的工程进度款中扣除。</w:t>
      </w:r>
    </w:p>
    <w:p>
      <w:pPr>
        <w:spacing w:line="520" w:lineRule="exact"/>
        <w:outlineLvl w:val="0"/>
        <w:rPr>
          <w:rFonts w:ascii="Cambria" w:hAnsi="Cambria"/>
          <w:b/>
          <w:bCs/>
          <w:color w:val="000000" w:themeColor="text1"/>
          <w:sz w:val="28"/>
          <w:szCs w:val="28"/>
          <w14:textFill>
            <w14:solidFill>
              <w14:schemeClr w14:val="tx1"/>
            </w14:solidFill>
          </w14:textFill>
        </w:rPr>
      </w:pPr>
      <w:bookmarkStart w:id="1168" w:name="_Toc6253"/>
      <w:bookmarkStart w:id="1169" w:name="_Toc118446925"/>
      <w:r>
        <w:rPr>
          <w:rFonts w:hint="eastAsia" w:ascii="Cambria" w:hAnsi="Cambria"/>
          <w:b/>
          <w:bCs/>
          <w:color w:val="000000" w:themeColor="text1"/>
          <w:sz w:val="28"/>
          <w:szCs w:val="28"/>
          <w14:textFill>
            <w14:solidFill>
              <w14:schemeClr w14:val="tx1"/>
            </w14:solidFill>
          </w14:textFill>
        </w:rPr>
        <w:t>附件16 拟投项目管理机构人员汇总表</w:t>
      </w:r>
      <w:bookmarkEnd w:id="1168"/>
      <w:r>
        <w:rPr>
          <w:rFonts w:hint="eastAsia" w:ascii="Cambria" w:hAnsi="Cambria"/>
          <w:b/>
          <w:bCs/>
          <w:color w:val="000000" w:themeColor="text1"/>
          <w:sz w:val="28"/>
          <w:szCs w:val="28"/>
          <w14:textFill>
            <w14:solidFill>
              <w14:schemeClr w14:val="tx1"/>
            </w14:solidFill>
          </w14:textFill>
        </w:rPr>
        <w:t>（按投标文件）</w:t>
      </w:r>
      <w:bookmarkEnd w:id="1169"/>
    </w:p>
    <w:p>
      <w:pPr>
        <w:spacing w:line="520" w:lineRule="exact"/>
        <w:rPr>
          <w:rFonts w:ascii="Cambria" w:hAnsi="Cambria"/>
          <w:b/>
          <w:bCs/>
          <w:color w:val="000000" w:themeColor="text1"/>
          <w:sz w:val="28"/>
          <w:szCs w:val="28"/>
          <w14:textFill>
            <w14:solidFill>
              <w14:schemeClr w14:val="tx1"/>
            </w14:solidFill>
          </w14:textFill>
        </w:rPr>
      </w:pPr>
    </w:p>
    <w:p>
      <w:pPr>
        <w:rPr>
          <w:color w:val="000000" w:themeColor="text1"/>
          <w:sz w:val="28"/>
          <w:szCs w:val="28"/>
          <w14:textFill>
            <w14:solidFill>
              <w14:schemeClr w14:val="tx1"/>
            </w14:solidFill>
          </w14:textFill>
        </w:rPr>
      </w:pPr>
    </w:p>
    <w:p>
      <w:pPr>
        <w:spacing w:line="520" w:lineRule="exact"/>
        <w:outlineLvl w:val="0"/>
        <w:rPr>
          <w:color w:val="000000" w:themeColor="text1"/>
          <w:sz w:val="28"/>
          <w:szCs w:val="28"/>
          <w14:textFill>
            <w14:solidFill>
              <w14:schemeClr w14:val="tx1"/>
            </w14:solidFill>
          </w14:textFill>
        </w:rPr>
      </w:pPr>
      <w:bookmarkStart w:id="1170" w:name="_Toc29346"/>
      <w:bookmarkStart w:id="1171" w:name="_Toc118446926"/>
      <w:r>
        <w:rPr>
          <w:rFonts w:hint="eastAsia" w:ascii="Cambria" w:hAnsi="Cambria"/>
          <w:b/>
          <w:bCs/>
          <w:color w:val="000000" w:themeColor="text1"/>
          <w:sz w:val="28"/>
          <w:szCs w:val="28"/>
          <w14:textFill>
            <w14:solidFill>
              <w14:schemeClr w14:val="tx1"/>
            </w14:solidFill>
          </w14:textFill>
        </w:rPr>
        <w:t>附件17 主要施工机械设备表</w:t>
      </w:r>
      <w:bookmarkEnd w:id="1170"/>
      <w:r>
        <w:rPr>
          <w:rFonts w:hint="eastAsia" w:ascii="Cambria" w:hAnsi="Cambria"/>
          <w:b/>
          <w:bCs/>
          <w:color w:val="000000" w:themeColor="text1"/>
          <w:sz w:val="28"/>
          <w:szCs w:val="28"/>
          <w14:textFill>
            <w14:solidFill>
              <w14:schemeClr w14:val="tx1"/>
            </w14:solidFill>
          </w14:textFill>
        </w:rPr>
        <w:t>（按投标文件）</w:t>
      </w:r>
      <w:bookmarkEnd w:id="1171"/>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widowControl/>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rPr>
          <w:rFonts w:ascii="Cambria" w:hAnsi="Cambria"/>
          <w:b/>
          <w:bCs/>
          <w:color w:val="000000" w:themeColor="text1"/>
          <w:sz w:val="30"/>
          <w:szCs w:val="30"/>
          <w14:textFill>
            <w14:solidFill>
              <w14:schemeClr w14:val="tx1"/>
            </w14:solidFill>
          </w14:textFill>
        </w:rPr>
        <w:sectPr>
          <w:headerReference r:id="rId13" w:type="first"/>
          <w:footerReference r:id="rId15" w:type="first"/>
          <w:headerReference r:id="rId12" w:type="default"/>
          <w:footerReference r:id="rId14" w:type="default"/>
          <w:pgSz w:w="11906" w:h="16838"/>
          <w:pgMar w:top="1418" w:right="1554" w:bottom="1418" w:left="1531" w:header="851" w:footer="992" w:gutter="0"/>
          <w:cols w:space="720" w:num="1"/>
          <w:titlePg/>
          <w:docGrid w:type="lines" w:linePitch="312" w:charSpace="0"/>
        </w:sectPr>
      </w:pPr>
    </w:p>
    <w:p>
      <w:pPr>
        <w:spacing w:line="520" w:lineRule="exact"/>
        <w:outlineLvl w:val="0"/>
        <w:rPr>
          <w:rFonts w:ascii="Cambria" w:hAnsi="Cambria"/>
          <w:b/>
          <w:bCs/>
          <w:color w:val="000000" w:themeColor="text1"/>
          <w:sz w:val="28"/>
          <w:szCs w:val="28"/>
          <w14:textFill>
            <w14:solidFill>
              <w14:schemeClr w14:val="tx1"/>
            </w14:solidFill>
          </w14:textFill>
        </w:rPr>
      </w:pPr>
      <w:bookmarkStart w:id="1172" w:name="_Toc118446927"/>
      <w:r>
        <w:rPr>
          <w:rFonts w:hint="eastAsia" w:ascii="Cambria" w:hAnsi="Cambria"/>
          <w:b/>
          <w:bCs/>
          <w:color w:val="000000" w:themeColor="text1"/>
          <w:sz w:val="28"/>
          <w:szCs w:val="28"/>
          <w14:textFill>
            <w14:solidFill>
              <w14:schemeClr w14:val="tx1"/>
            </w14:solidFill>
          </w14:textFill>
        </w:rPr>
        <w:t>附件1</w:t>
      </w:r>
      <w:r>
        <w:rPr>
          <w:rFonts w:ascii="Cambria" w:hAnsi="Cambria"/>
          <w:b/>
          <w:bCs/>
          <w:color w:val="000000" w:themeColor="text1"/>
          <w:sz w:val="28"/>
          <w:szCs w:val="28"/>
          <w14:textFill>
            <w14:solidFill>
              <w14:schemeClr w14:val="tx1"/>
            </w14:solidFill>
          </w14:textFill>
        </w:rPr>
        <w:t>8</w:t>
      </w:r>
      <w:r>
        <w:rPr>
          <w:rFonts w:hint="eastAsia" w:ascii="Cambria" w:hAnsi="Cambria"/>
          <w:b/>
          <w:bCs/>
          <w:color w:val="000000" w:themeColor="text1"/>
          <w:sz w:val="28"/>
          <w:szCs w:val="28"/>
          <w14:textFill>
            <w14:solidFill>
              <w14:schemeClr w14:val="tx1"/>
            </w14:solidFill>
          </w14:textFill>
        </w:rPr>
        <w:t>安全生产不良行为扣分条款</w:t>
      </w:r>
      <w:bookmarkEnd w:id="1172"/>
    </w:p>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广东粤海控股集团有限公司工程建设承包商安全生产不良行为扣分条款</w:t>
      </w:r>
    </w:p>
    <w:tbl>
      <w:tblPr>
        <w:tblStyle w:val="37"/>
        <w:tblW w:w="144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4566"/>
        <w:gridCol w:w="1178"/>
        <w:gridCol w:w="1178"/>
        <w:gridCol w:w="737"/>
        <w:gridCol w:w="6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widowControl/>
              <w:jc w:val="center"/>
              <w:rPr>
                <w:b/>
                <w:bCs/>
                <w:color w:val="000000" w:themeColor="text1"/>
                <w:sz w:val="20"/>
                <w14:textFill>
                  <w14:solidFill>
                    <w14:schemeClr w14:val="tx1"/>
                  </w14:solidFill>
                </w14:textFill>
              </w:rPr>
            </w:pPr>
            <w:r>
              <w:rPr>
                <w:rFonts w:hint="eastAsia"/>
                <w:b/>
                <w:bCs/>
                <w:color w:val="000000" w:themeColor="text1"/>
                <w:sz w:val="20"/>
                <w14:textFill>
                  <w14:solidFill>
                    <w14:schemeClr w14:val="tx1"/>
                  </w14:solidFill>
                </w14:textFill>
              </w:rPr>
              <w:t>序号</w:t>
            </w:r>
          </w:p>
        </w:tc>
        <w:tc>
          <w:tcPr>
            <w:tcW w:w="4394" w:type="dxa"/>
            <w:vAlign w:val="center"/>
          </w:tcPr>
          <w:p>
            <w:pPr>
              <w:jc w:val="center"/>
              <w:rPr>
                <w:b/>
                <w:bCs/>
                <w:color w:val="000000" w:themeColor="text1"/>
                <w:sz w:val="20"/>
                <w14:textFill>
                  <w14:solidFill>
                    <w14:schemeClr w14:val="tx1"/>
                  </w14:solidFill>
                </w14:textFill>
              </w:rPr>
            </w:pPr>
            <w:r>
              <w:rPr>
                <w:rFonts w:hint="eastAsia"/>
                <w:b/>
                <w:bCs/>
                <w:color w:val="000000" w:themeColor="text1"/>
                <w:sz w:val="20"/>
                <w14:textFill>
                  <w14:solidFill>
                    <w14:schemeClr w14:val="tx1"/>
                  </w14:solidFill>
                </w14:textFill>
              </w:rPr>
              <w:t>不良行为现象</w:t>
            </w:r>
          </w:p>
        </w:tc>
        <w:tc>
          <w:tcPr>
            <w:tcW w:w="1134" w:type="dxa"/>
            <w:vAlign w:val="center"/>
          </w:tcPr>
          <w:p>
            <w:pPr>
              <w:jc w:val="center"/>
              <w:rPr>
                <w:color w:val="000000" w:themeColor="text1"/>
                <w14:textFill>
                  <w14:solidFill>
                    <w14:schemeClr w14:val="tx1"/>
                  </w14:solidFill>
                </w14:textFill>
              </w:rPr>
            </w:pPr>
            <w:r>
              <w:rPr>
                <w:rFonts w:hint="eastAsia"/>
                <w:b/>
                <w:bCs/>
                <w:color w:val="000000" w:themeColor="text1"/>
                <w:sz w:val="20"/>
                <w14:textFill>
                  <w14:solidFill>
                    <w14:schemeClr w14:val="tx1"/>
                  </w14:solidFill>
                </w14:textFill>
              </w:rPr>
              <w:t>不良行为代码</w:t>
            </w:r>
          </w:p>
        </w:tc>
        <w:tc>
          <w:tcPr>
            <w:tcW w:w="1134" w:type="dxa"/>
            <w:vAlign w:val="center"/>
          </w:tcPr>
          <w:p>
            <w:pPr>
              <w:widowControl/>
              <w:jc w:val="center"/>
              <w:rPr>
                <w:b/>
                <w:bCs/>
                <w:color w:val="000000" w:themeColor="text1"/>
                <w:sz w:val="20"/>
                <w14:textFill>
                  <w14:solidFill>
                    <w14:schemeClr w14:val="tx1"/>
                  </w14:solidFill>
                </w14:textFill>
              </w:rPr>
            </w:pPr>
            <w:r>
              <w:rPr>
                <w:rFonts w:hint="eastAsia"/>
                <w:b/>
                <w:bCs/>
                <w:color w:val="000000" w:themeColor="text1"/>
                <w:sz w:val="20"/>
                <w14:textFill>
                  <w14:solidFill>
                    <w14:schemeClr w14:val="tx1"/>
                  </w14:solidFill>
                </w14:textFill>
              </w:rPr>
              <w:t>责任承包商</w:t>
            </w:r>
          </w:p>
        </w:tc>
        <w:tc>
          <w:tcPr>
            <w:tcW w:w="709" w:type="dxa"/>
            <w:vAlign w:val="center"/>
          </w:tcPr>
          <w:p>
            <w:pPr>
              <w:jc w:val="center"/>
              <w:rPr>
                <w:b/>
                <w:bCs/>
                <w:color w:val="000000" w:themeColor="text1"/>
                <w:sz w:val="20"/>
                <w14:textFill>
                  <w14:solidFill>
                    <w14:schemeClr w14:val="tx1"/>
                  </w14:solidFill>
                </w14:textFill>
              </w:rPr>
            </w:pPr>
            <w:r>
              <w:rPr>
                <w:rFonts w:hint="eastAsia"/>
                <w:b/>
                <w:bCs/>
                <w:color w:val="000000" w:themeColor="text1"/>
                <w:sz w:val="20"/>
                <w14:textFill>
                  <w14:solidFill>
                    <w14:schemeClr w14:val="tx1"/>
                  </w14:solidFill>
                </w14:textFill>
              </w:rPr>
              <w:t>扣分</w:t>
            </w:r>
            <w:r>
              <w:rPr>
                <w:rFonts w:hint="eastAsia"/>
                <w:b/>
                <w:bCs/>
                <w:color w:val="000000" w:themeColor="text1"/>
                <w:sz w:val="20"/>
                <w14:textFill>
                  <w14:solidFill>
                    <w14:schemeClr w14:val="tx1"/>
                  </w14:solidFill>
                </w14:textFill>
              </w:rPr>
              <w:br w:type="textWrapping"/>
            </w:r>
            <w:r>
              <w:rPr>
                <w:rFonts w:hint="eastAsia"/>
                <w:b/>
                <w:bCs/>
                <w:color w:val="000000" w:themeColor="text1"/>
                <w:sz w:val="20"/>
                <w14:textFill>
                  <w14:solidFill>
                    <w14:schemeClr w14:val="tx1"/>
                  </w14:solidFill>
                </w14:textFill>
              </w:rPr>
              <w:t>上限</w:t>
            </w:r>
          </w:p>
        </w:tc>
        <w:tc>
          <w:tcPr>
            <w:tcW w:w="5812" w:type="dxa"/>
            <w:vAlign w:val="center"/>
          </w:tcPr>
          <w:p>
            <w:pPr>
              <w:jc w:val="center"/>
              <w:rPr>
                <w:b/>
                <w:bCs/>
                <w:color w:val="000000" w:themeColor="text1"/>
                <w:sz w:val="20"/>
                <w14:textFill>
                  <w14:solidFill>
                    <w14:schemeClr w14:val="tx1"/>
                  </w14:solidFill>
                </w14:textFill>
              </w:rPr>
            </w:pPr>
            <w:r>
              <w:rPr>
                <w:rFonts w:hint="eastAsia"/>
                <w:b/>
                <w:bCs/>
                <w:color w:val="000000" w:themeColor="text1"/>
                <w:sz w:val="20"/>
                <w14:textFill>
                  <w14:solidFill>
                    <w14:schemeClr w14:val="tx1"/>
                  </w14:solidFill>
                </w14:textFill>
              </w:rPr>
              <w:t>扣分细则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承包商主要管理人员现场管理缺位。</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G1</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施工单位项目经理、监理单位项目总监理师驻施工现场时间少于合同约定时间，安全管理缺位扣1分。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未建立安全生产责任制；监理单位、施工单位管理人员未持证上岗，或证书与岗位不对应；特种作业人员未持证上岗；作业人员进场前未经现场安全教育培训合格即上岗作业。</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G2</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1、施工、监理项目部未建立安全生产责任制，扣1分。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2、现场总监理师未持有国家或行业相应资格证书每人每次扣1分；资格证书失效，每人每次扣0.5分。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3、需持证上岗的现场监理工程师、监理员未持有国家或行业相应资格证书或证书失效，每人每次扣0.2分。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4、施工单位项目经理未持有相应的注册建造师资格证书每人每次扣1分；资格证书失效，每人每次扣0.5分。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5、施工单位安全员未持有相应资格证书或证书失效，或与岗位不对应，每人每次扣0.2分。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6、施工单位特殊工种人员未持有执业资格证书或证书失效，或与岗位不对应，每人每次扣0.2分。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7、作业现场未进行安全技术交底，每人每次扣0.2分。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8、监理日志/监理日记不健全或未及时发现现场重大安全隐患并提出整改要求的，每次扣0.1分。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3</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施工机具（含特种设备）管理不规范或使用违反操作规程。</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G3</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w:t>
            </w:r>
          </w:p>
        </w:tc>
        <w:tc>
          <w:tcPr>
            <w:tcW w:w="5812" w:type="dxa"/>
            <w:vAlign w:val="center"/>
          </w:tcPr>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、特种设备出现以下任一不良行为的，扣</w:t>
            </w: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①进场未报审、未定期进行检查、维护保养和检验（检测）；</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②安装和拆卸单位不具备资质；安装、拆卸方案未经审查；</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③未办理使用登记证。</w:t>
            </w:r>
            <w:r>
              <w:rPr>
                <w:color w:val="000000" w:themeColor="text1"/>
                <w:sz w:val="20"/>
                <w14:textFill>
                  <w14:solidFill>
                    <w14:schemeClr w14:val="tx1"/>
                  </w14:solidFill>
                </w14:textFill>
              </w:rPr>
              <w:br w:type="textWrapping"/>
            </w:r>
            <w:r>
              <w:rPr>
                <w:color w:val="000000" w:themeColor="text1"/>
                <w:sz w:val="20"/>
                <w14:textFill>
                  <w14:solidFill>
                    <w14:schemeClr w14:val="tx1"/>
                  </w14:solidFill>
                </w14:textFill>
              </w:rPr>
              <w:t>2</w:t>
            </w:r>
            <w:r>
              <w:rPr>
                <w:rFonts w:hint="eastAsia"/>
                <w:color w:val="000000" w:themeColor="text1"/>
                <w:sz w:val="20"/>
                <w14:textFill>
                  <w14:solidFill>
                    <w14:schemeClr w14:val="tx1"/>
                  </w14:solidFill>
                </w14:textFill>
              </w:rPr>
              <w:t>、施工升降机、起重机械、手拉葫芦、手扳葫芦、钢丝绳套、卡线器、紧线器等受力机具、工器具未按要求进行检验、校验的，每项扣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分，累计扣至</w:t>
            </w: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分为止。</w:t>
            </w:r>
            <w:r>
              <w:rPr>
                <w:color w:val="000000" w:themeColor="text1"/>
                <w:sz w:val="20"/>
                <w14:textFill>
                  <w14:solidFill>
                    <w14:schemeClr w14:val="tx1"/>
                  </w14:solidFill>
                </w14:textFill>
              </w:rPr>
              <w:br w:type="textWrapping"/>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、砂轮片、切割机、锯木机刀片等有裂纹、破损仍在使用；机械转动部分保护罩破损或缺失，每项扣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分，累计扣至</w:t>
            </w: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分为止。</w:t>
            </w:r>
            <w:r>
              <w:rPr>
                <w:color w:val="000000" w:themeColor="text1"/>
                <w:sz w:val="20"/>
                <w14:textFill>
                  <w14:solidFill>
                    <w14:schemeClr w14:val="tx1"/>
                  </w14:solidFill>
                </w14:textFill>
              </w:rPr>
              <w:br w:type="textWrapping"/>
            </w:r>
            <w:r>
              <w:rPr>
                <w:color w:val="000000" w:themeColor="text1"/>
                <w:sz w:val="20"/>
                <w14:textFill>
                  <w14:solidFill>
                    <w14:schemeClr w14:val="tx1"/>
                  </w14:solidFill>
                </w14:textFill>
              </w:rPr>
              <w:t>4</w:t>
            </w:r>
            <w:r>
              <w:rPr>
                <w:rFonts w:hint="eastAsia"/>
                <w:color w:val="000000" w:themeColor="text1"/>
                <w:sz w:val="20"/>
                <w14:textFill>
                  <w14:solidFill>
                    <w14:schemeClr w14:val="tx1"/>
                  </w14:solidFill>
                </w14:textFill>
              </w:rPr>
              <w:t>、邻近带电设备施工时，现场处于使用状态的施工机械（具）和设备无人看护，对运行设备构成安全隐患，扣</w:t>
            </w: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分。</w:t>
            </w:r>
          </w:p>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t>5</w:t>
            </w:r>
            <w:r>
              <w:rPr>
                <w:rFonts w:hint="eastAsia"/>
                <w:color w:val="000000" w:themeColor="text1"/>
                <w:sz w:val="20"/>
                <w14:textFill>
                  <w14:solidFill>
                    <w14:schemeClr w14:val="tx1"/>
                  </w14:solidFill>
                </w14:textFill>
              </w:rPr>
              <w:t>、操作施工机具时违反操作规程，每次扣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4</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作业人员个人防护用品配备或使用不符合要求。</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G4</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0.1</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①用人单位未按规定给作业人员配备合格的安全帽、安全带、劳保鞋等防护用品；</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②个人防护用品未进行定期检验。</w:t>
            </w:r>
            <w:r>
              <w:rPr>
                <w:color w:val="000000" w:themeColor="text1"/>
                <w:sz w:val="20"/>
                <w14:textFill>
                  <w14:solidFill>
                    <w14:schemeClr w14:val="tx1"/>
                  </w14:solidFill>
                </w14:textFill>
              </w:rPr>
              <w:br w:type="textWrapping"/>
            </w:r>
            <w:r>
              <w:rPr>
                <w:color w:val="000000" w:themeColor="text1"/>
                <w:sz w:val="20"/>
                <w14:textFill>
                  <w14:solidFill>
                    <w14:schemeClr w14:val="tx1"/>
                  </w14:solidFill>
                </w14:textFill>
              </w:rPr>
              <w:t>2</w:t>
            </w:r>
            <w:r>
              <w:rPr>
                <w:rFonts w:hint="eastAsia"/>
                <w:color w:val="000000" w:themeColor="text1"/>
                <w:sz w:val="20"/>
                <w14:textFill>
                  <w14:solidFill>
                    <w14:schemeClr w14:val="tx1"/>
                  </w14:solidFill>
                </w14:textFill>
              </w:rPr>
              <w:t>、施工人员未佩戴劳动防护用品或与作业任务不符，每处扣</w:t>
            </w:r>
            <w:r>
              <w:rPr>
                <w:color w:val="000000" w:themeColor="text1"/>
                <w:sz w:val="20"/>
                <w14:textFill>
                  <w14:solidFill>
                    <w14:schemeClr w14:val="tx1"/>
                  </w14:solidFill>
                </w14:textFill>
              </w:rPr>
              <w:t>0.1</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、施工人员使用个人防护用品不规范，每处扣</w:t>
            </w:r>
            <w:r>
              <w:rPr>
                <w:color w:val="000000" w:themeColor="text1"/>
                <w:sz w:val="20"/>
                <w14:textFill>
                  <w14:solidFill>
                    <w14:schemeClr w14:val="tx1"/>
                  </w14:solidFill>
                </w14:textFill>
              </w:rPr>
              <w:t>0.1</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5</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起重吊装区域未设警戒标志、无专人指挥；吊件或起重臂下方有人通过或逗留。</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G5</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0.5</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①起重吊装区域未设警戒线（围栏或隔离带）和悬挂警示标志；</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②起重吊装作业相关岗位职责不清，分工不明；</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③起重吊装作业未设专人指挥；</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④吊件或起重臂下方有人逗留或通过。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6</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脚手架搭设和拆除、使用、管理不规范。</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G6</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0.5</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①脚手架搭设和拆除无施工方案，未按规定进行审核、审批；</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②脚手架未经监理单位、使用单位验收合格，未挂牌即投入使用；</w:t>
            </w:r>
            <w:r>
              <w:rPr>
                <w:color w:val="000000" w:themeColor="text1"/>
                <w:sz w:val="20"/>
                <w14:textFill>
                  <w14:solidFill>
                    <w14:schemeClr w14:val="tx1"/>
                  </w14:solidFill>
                </w14:textFill>
              </w:rPr>
              <w:t xml:space="preserve">                                               </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③脚手架长时间停止使用或在强风（</w:t>
            </w:r>
            <w:r>
              <w:rPr>
                <w:color w:val="000000" w:themeColor="text1"/>
                <w:sz w:val="20"/>
                <w14:textFill>
                  <w14:solidFill>
                    <w14:schemeClr w14:val="tx1"/>
                  </w14:solidFill>
                </w14:textFill>
              </w:rPr>
              <w:t>6</w:t>
            </w:r>
            <w:r>
              <w:rPr>
                <w:rFonts w:hint="eastAsia"/>
                <w:color w:val="000000" w:themeColor="text1"/>
                <w:sz w:val="20"/>
                <w14:textFill>
                  <w14:solidFill>
                    <w14:schemeClr w14:val="tx1"/>
                  </w14:solidFill>
                </w14:textFill>
              </w:rPr>
              <w:t>级以上）、暴雨过后，未经检查合格就投入使用；</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④脚手架未按规定搭设和拆除，未设置扫地杆、剪刀撑、抛撑、连墙件；</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⑤脚手架的脚手板材质、规格不符合规范要求，铺板不严密、牢靠；架体外侧无封闭密目式安全网，网间不严密；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⑥靠近带电设施的脚手架未采取封闭措施。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7</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爆破品安全管理要求执行不到位。</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G7</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0.5</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①爆炸物品安全管理人员、仓库管理人员和爆破作业人员等不具备资格；</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②将爆炸物品存放在不具备安全存放条件场所；</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③爆破作业时安全防护措施不符合规范要求。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8</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站班会安全技术交底未落实，施工方案管理不规范，危险性较大的分部分项工程安全管理不到位。</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G8</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设计/施工/监理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w:t>
            </w:r>
          </w:p>
        </w:tc>
        <w:tc>
          <w:tcPr>
            <w:tcW w:w="5812" w:type="dxa"/>
            <w:vAlign w:val="center"/>
          </w:tcPr>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t>1</w:t>
            </w: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t xml:space="preserve">                      </w:t>
            </w:r>
            <w:r>
              <w:rPr>
                <w:color w:val="000000" w:themeColor="text1"/>
                <w:sz w:val="20"/>
                <w14:textFill>
                  <w14:solidFill>
                    <w14:schemeClr w14:val="tx1"/>
                  </w14:solidFill>
                </w14:textFill>
              </w:rPr>
              <w:br w:type="page"/>
            </w:r>
            <w:r>
              <w:rPr>
                <w:rFonts w:hint="eastAsia"/>
                <w:color w:val="000000" w:themeColor="text1"/>
                <w:sz w:val="20"/>
                <w14:textFill>
                  <w14:solidFill>
                    <w14:schemeClr w14:val="tx1"/>
                  </w14:solidFill>
                </w14:textFill>
              </w:rPr>
              <w:t>①</w:t>
            </w:r>
            <w:r>
              <w:rPr>
                <w:rFonts w:hint="eastAsia" w:ascii="宋体" w:hAnsi="宋体"/>
                <w:color w:val="000000" w:themeColor="text1"/>
                <w:sz w:val="20"/>
                <w14:textFill>
                  <w14:solidFill>
                    <w14:schemeClr w14:val="tx1"/>
                  </w14:solidFill>
                </w14:textFill>
              </w:rPr>
              <w:t>①</w:t>
            </w:r>
            <w:r>
              <w:rPr>
                <w:rFonts w:hint="eastAsia"/>
                <w:color w:val="000000" w:themeColor="text1"/>
                <w:sz w:val="20"/>
                <w14:textFill>
                  <w14:solidFill>
                    <w14:schemeClr w14:val="tx1"/>
                  </w14:solidFill>
                </w14:textFill>
              </w:rPr>
              <w:t>现场作业未进行安全风险分析及预控，或与实际情况不符；</w:t>
            </w:r>
            <w:r>
              <w:rPr>
                <w:color w:val="000000" w:themeColor="text1"/>
                <w:sz w:val="20"/>
                <w14:textFill>
                  <w14:solidFill>
                    <w14:schemeClr w14:val="tx1"/>
                  </w14:solidFill>
                </w14:textFill>
              </w:rPr>
              <w:t xml:space="preserve">                                          </w:t>
            </w:r>
            <w:r>
              <w:rPr>
                <w:color w:val="000000" w:themeColor="text1"/>
                <w:sz w:val="20"/>
                <w14:textFill>
                  <w14:solidFill>
                    <w14:schemeClr w14:val="tx1"/>
                  </w14:solidFill>
                </w14:textFill>
              </w:rPr>
              <w:br w:type="page"/>
            </w:r>
            <w:r>
              <w:rPr>
                <w:rFonts w:hint="eastAsia"/>
                <w:color w:val="000000" w:themeColor="text1"/>
                <w:sz w:val="20"/>
                <w14:textFill>
                  <w14:solidFill>
                    <w14:schemeClr w14:val="tx1"/>
                  </w14:solidFill>
                </w14:textFill>
              </w:rPr>
              <w:t>②未开站班会，或站班会安全技术交底等“三交”、“三查”工作与现场实际不符，安全控制措施未真正落实。</w:t>
            </w:r>
            <w:r>
              <w:rPr>
                <w:color w:val="000000" w:themeColor="text1"/>
                <w:sz w:val="20"/>
                <w14:textFill>
                  <w14:solidFill>
                    <w14:schemeClr w14:val="tx1"/>
                  </w14:solidFill>
                </w14:textFill>
              </w:rPr>
              <w:t xml:space="preserve">                                            </w:t>
            </w:r>
            <w:r>
              <w:rPr>
                <w:color w:val="000000" w:themeColor="text1"/>
                <w:sz w:val="20"/>
                <w14:textFill>
                  <w14:solidFill>
                    <w14:schemeClr w14:val="tx1"/>
                  </w14:solidFill>
                </w14:textFill>
              </w:rPr>
              <w:br w:type="page"/>
            </w:r>
            <w:r>
              <w:rPr>
                <w:color w:val="000000" w:themeColor="text1"/>
                <w:sz w:val="20"/>
                <w14:textFill>
                  <w14:solidFill>
                    <w14:schemeClr w14:val="tx1"/>
                  </w14:solidFill>
                </w14:textFill>
              </w:rPr>
              <w:t>2</w:t>
            </w:r>
            <w:r>
              <w:rPr>
                <w:rFonts w:hint="eastAsia"/>
                <w:color w:val="000000" w:themeColor="text1"/>
                <w:sz w:val="20"/>
                <w14:textFill>
                  <w14:solidFill>
                    <w14:schemeClr w14:val="tx1"/>
                  </w14:solidFill>
                </w14:textFill>
              </w:rPr>
              <w:t>、未落实施工方案“四个必须”，每项扣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page"/>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①施工作业前未编制施工方案或方案未通过审批；</w:t>
            </w:r>
          </w:p>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br w:type="page"/>
            </w:r>
            <w:r>
              <w:rPr>
                <w:rFonts w:hint="eastAsia"/>
                <w:color w:val="000000" w:themeColor="text1"/>
                <w:sz w:val="20"/>
                <w14:textFill>
                  <w14:solidFill>
                    <w14:schemeClr w14:val="tx1"/>
                  </w14:solidFill>
                </w14:textFill>
              </w:rPr>
              <w:t>②施工作业前未进行安全技术交底；</w:t>
            </w:r>
          </w:p>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br w:type="page"/>
            </w:r>
            <w:r>
              <w:rPr>
                <w:rFonts w:hint="eastAsia"/>
                <w:color w:val="000000" w:themeColor="text1"/>
                <w:sz w:val="20"/>
                <w14:textFill>
                  <w14:solidFill>
                    <w14:schemeClr w14:val="tx1"/>
                  </w14:solidFill>
                </w14:textFill>
              </w:rPr>
              <w:t>③施工过程未按施工方案施工；</w:t>
            </w:r>
          </w:p>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br w:type="page"/>
            </w:r>
            <w:r>
              <w:rPr>
                <w:rFonts w:hint="eastAsia"/>
                <w:color w:val="000000" w:themeColor="text1"/>
                <w:sz w:val="20"/>
                <w14:textFill>
                  <w14:solidFill>
                    <w14:schemeClr w14:val="tx1"/>
                  </w14:solidFill>
                </w14:textFill>
              </w:rPr>
              <w:t>④施工方案完成后未经验收合格即进入下道程序。</w:t>
            </w:r>
            <w:r>
              <w:rPr>
                <w:color w:val="000000" w:themeColor="text1"/>
                <w:sz w:val="20"/>
                <w14:textFill>
                  <w14:solidFill>
                    <w14:schemeClr w14:val="tx1"/>
                  </w14:solidFill>
                </w14:textFill>
              </w:rPr>
              <w:br w:type="page"/>
            </w:r>
          </w:p>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、危险性较大的分部分项工程未编制安全专项方案，安全专项方案未经技术负责人审批，超过一定规模的危险性较大的分部分项工程未召开专家论证会，每项扣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w:t>
            </w:r>
          </w:p>
          <w:p>
            <w:pPr>
              <w:jc w:val="left"/>
              <w:rPr>
                <w:color w:val="000000" w:themeColor="text1"/>
                <w:sz w:val="20"/>
                <w14:textFill>
                  <w14:solidFill>
                    <w14:schemeClr w14:val="tx1"/>
                  </w14:solidFill>
                </w14:textFill>
              </w:rPr>
            </w:pPr>
            <w:r>
              <w:rPr>
                <w:color w:val="000000" w:themeColor="text1"/>
                <w:sz w:val="20"/>
                <w14:textFill>
                  <w14:solidFill>
                    <w14:schemeClr w14:val="tx1"/>
                  </w14:solidFill>
                </w14:textFill>
              </w:rPr>
              <w:t>4</w:t>
            </w:r>
            <w:r>
              <w:rPr>
                <w:rFonts w:hint="eastAsia"/>
                <w:color w:val="000000" w:themeColor="text1"/>
                <w:sz w:val="20"/>
                <w14:textFill>
                  <w14:solidFill>
                    <w14:schemeClr w14:val="tx1"/>
                  </w14:solidFill>
                </w14:textFill>
              </w:rPr>
              <w:t>、危险性较大的分部分项工程施工过程中，监理无人员旁站监督，发现问题未制止或责令整改，每次扣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9</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施工临时用电不规范。</w:t>
            </w:r>
          </w:p>
        </w:tc>
        <w:tc>
          <w:tcPr>
            <w:tcW w:w="1134"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WG9</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监理</w:t>
            </w:r>
          </w:p>
        </w:tc>
        <w:tc>
          <w:tcPr>
            <w:tcW w:w="709" w:type="dxa"/>
            <w:vAlign w:val="center"/>
          </w:tcPr>
          <w:p>
            <w:pPr>
              <w:jc w:val="center"/>
              <w:rPr>
                <w:color w:val="000000" w:themeColor="text1"/>
                <w:sz w:val="20"/>
                <w14:textFill>
                  <w14:solidFill>
                    <w14:schemeClr w14:val="tx1"/>
                  </w14:solidFill>
                </w14:textFill>
              </w:rPr>
            </w:pPr>
            <w:r>
              <w:rPr>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分，累计扣至</w:t>
            </w:r>
            <w:r>
              <w:rPr>
                <w:color w:val="000000" w:themeColor="text1"/>
                <w:sz w:val="20"/>
                <w14:textFill>
                  <w14:solidFill>
                    <w14:schemeClr w14:val="tx1"/>
                  </w14:solidFill>
                </w14:textFill>
              </w:rPr>
              <w:t>0.5</w:t>
            </w:r>
            <w:r>
              <w:rPr>
                <w:rFonts w:hint="eastAsia"/>
                <w:color w:val="000000" w:themeColor="text1"/>
                <w:sz w:val="20"/>
                <w14:textFill>
                  <w14:solidFill>
                    <w14:schemeClr w14:val="tx1"/>
                  </w14:solidFill>
                </w14:textFill>
              </w:rPr>
              <w:t>分为止：</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①施工现场专用的电源中性点直接接地的低压配电系统未采用</w:t>
            </w:r>
            <w:r>
              <w:rPr>
                <w:color w:val="000000" w:themeColor="text1"/>
                <w:sz w:val="20"/>
                <w14:textFill>
                  <w14:solidFill>
                    <w14:schemeClr w14:val="tx1"/>
                  </w14:solidFill>
                </w14:textFill>
              </w:rPr>
              <w:t>TN-S</w:t>
            </w:r>
            <w:r>
              <w:rPr>
                <w:rFonts w:hint="eastAsia"/>
                <w:color w:val="000000" w:themeColor="text1"/>
                <w:sz w:val="20"/>
                <w14:textFill>
                  <w14:solidFill>
                    <w14:schemeClr w14:val="tx1"/>
                  </w14:solidFill>
                </w14:textFill>
              </w:rPr>
              <w:t>接零保护系统；</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②电源箱设置不符合“一机、一闸、一保护”要求；</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③漏电保护器的选用与供电方式、作业环境不一致、不匹配；</w:t>
            </w:r>
            <w:r>
              <w:rPr>
                <w:color w:val="000000" w:themeColor="text1"/>
                <w:sz w:val="20"/>
                <w14:textFill>
                  <w14:solidFill>
                    <w14:schemeClr w14:val="tx1"/>
                  </w14:solidFill>
                </w14:textFill>
              </w:rPr>
              <w:t xml:space="preserve"> </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④未使用插头而直接用导线插入插座，或挂在刀闸上供电；</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⑤电源箱和用电机具未接地或接地不规范；</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⑥电源线的截面、绝缘、架设（敷设）、接线、刀闸安装等不满足规范要求。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10</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动火作业不规范。</w:t>
            </w:r>
          </w:p>
        </w:tc>
        <w:tc>
          <w:tcPr>
            <w:tcW w:w="1134"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WG10</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监理</w:t>
            </w:r>
          </w:p>
        </w:tc>
        <w:tc>
          <w:tcPr>
            <w:tcW w:w="709" w:type="dxa"/>
            <w:vAlign w:val="center"/>
          </w:tcPr>
          <w:p>
            <w:pPr>
              <w:jc w:val="center"/>
              <w:rPr>
                <w:color w:val="000000" w:themeColor="text1"/>
                <w:sz w:val="20"/>
                <w14:textFill>
                  <w14:solidFill>
                    <w14:schemeClr w14:val="tx1"/>
                  </w14:solidFill>
                </w14:textFill>
              </w:rPr>
            </w:pPr>
            <w:r>
              <w:rPr>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分，累计扣至</w:t>
            </w:r>
            <w:r>
              <w:rPr>
                <w:color w:val="000000" w:themeColor="text1"/>
                <w:sz w:val="20"/>
                <w14:textFill>
                  <w14:solidFill>
                    <w14:schemeClr w14:val="tx1"/>
                  </w14:solidFill>
                </w14:textFill>
              </w:rPr>
              <w:t>0.5</w:t>
            </w:r>
            <w:r>
              <w:rPr>
                <w:rFonts w:hint="eastAsia"/>
                <w:color w:val="000000" w:themeColor="text1"/>
                <w:sz w:val="20"/>
                <w14:textFill>
                  <w14:solidFill>
                    <w14:schemeClr w14:val="tx1"/>
                  </w14:solidFill>
                </w14:textFill>
              </w:rPr>
              <w:t>分为止：</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①动火作业人员未持证上岗，未经培训；</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②未按规定办理动火审批手续，重大活动期间未执行动火作业审批上提一级管理；</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③未严格落实动火作业“三个一律”，动火前未清理可燃物、未按规定进行可燃气体检测，现场存在交叉作业；</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④动火作业时监护人未在现场监督；</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⑤动火作业现场防火措施不到位，未有效设置灭火器、接火斗、阻燃挡板等；</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⑥氧气、乙炔瓶间距不足</w:t>
            </w:r>
            <w:r>
              <w:rPr>
                <w:color w:val="000000" w:themeColor="text1"/>
                <w:sz w:val="20"/>
                <w14:textFill>
                  <w14:solidFill>
                    <w14:schemeClr w14:val="tx1"/>
                  </w14:solidFill>
                </w14:textFill>
              </w:rPr>
              <w:t>5</w:t>
            </w:r>
            <w:r>
              <w:rPr>
                <w:rFonts w:hint="eastAsia"/>
                <w:color w:val="000000" w:themeColor="text1"/>
                <w:sz w:val="20"/>
                <w14:textFill>
                  <w14:solidFill>
                    <w14:schemeClr w14:val="tx1"/>
                  </w14:solidFill>
                </w14:textFill>
              </w:rPr>
              <w:t>米，距离动火作业点不足</w:t>
            </w:r>
            <w:r>
              <w:rPr>
                <w:color w:val="000000" w:themeColor="text1"/>
                <w:sz w:val="20"/>
                <w14:textFill>
                  <w14:solidFill>
                    <w14:schemeClr w14:val="tx1"/>
                  </w14:solidFill>
                </w14:textFill>
              </w:rPr>
              <w:t>10</w:t>
            </w:r>
            <w:r>
              <w:rPr>
                <w:rFonts w:hint="eastAsia"/>
                <w:color w:val="000000" w:themeColor="text1"/>
                <w:sz w:val="20"/>
                <w14:textFill>
                  <w14:solidFill>
                    <w14:schemeClr w14:val="tx1"/>
                  </w14:solidFill>
                </w14:textFill>
              </w:rPr>
              <w:t>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11</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有限空间作业不规范。</w:t>
            </w:r>
          </w:p>
        </w:tc>
        <w:tc>
          <w:tcPr>
            <w:tcW w:w="1134"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WG11</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w:t>
            </w:r>
            <w:r>
              <w:rPr>
                <w:color w:val="000000" w:themeColor="text1"/>
                <w:sz w:val="20"/>
                <w14:textFill>
                  <w14:solidFill>
                    <w14:schemeClr w14:val="tx1"/>
                  </w14:solidFill>
                </w14:textFill>
              </w:rPr>
              <w:t>/</w:t>
            </w:r>
            <w:r>
              <w:rPr>
                <w:rFonts w:hint="eastAsia"/>
                <w:color w:val="000000" w:themeColor="text1"/>
                <w:sz w:val="20"/>
                <w14:textFill>
                  <w14:solidFill>
                    <w14:schemeClr w14:val="tx1"/>
                  </w14:solidFill>
                </w14:textFill>
              </w:rPr>
              <w:t>监理</w:t>
            </w:r>
          </w:p>
        </w:tc>
        <w:tc>
          <w:tcPr>
            <w:tcW w:w="709" w:type="dxa"/>
            <w:vAlign w:val="center"/>
          </w:tcPr>
          <w:p>
            <w:pPr>
              <w:jc w:val="center"/>
              <w:rPr>
                <w:color w:val="000000" w:themeColor="text1"/>
                <w:sz w:val="20"/>
                <w14:textFill>
                  <w14:solidFill>
                    <w14:schemeClr w14:val="tx1"/>
                  </w14:solidFill>
                </w14:textFill>
              </w:rPr>
            </w:pPr>
            <w:r>
              <w:rPr>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分，累计扣至</w:t>
            </w:r>
            <w:r>
              <w:rPr>
                <w:color w:val="000000" w:themeColor="text1"/>
                <w:sz w:val="20"/>
                <w14:textFill>
                  <w14:solidFill>
                    <w14:schemeClr w14:val="tx1"/>
                  </w14:solidFill>
                </w14:textFill>
              </w:rPr>
              <w:t>0.5</w:t>
            </w:r>
            <w:r>
              <w:rPr>
                <w:rFonts w:hint="eastAsia"/>
                <w:color w:val="000000" w:themeColor="text1"/>
                <w:sz w:val="20"/>
                <w14:textFill>
                  <w14:solidFill>
                    <w14:schemeClr w14:val="tx1"/>
                  </w14:solidFill>
                </w14:textFill>
              </w:rPr>
              <w:t>分为止：</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①未经风险辨识；</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②未进行通风和气体检测；</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③不佩戴劳动防护用品；</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④作业现场无人监护；</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⑤电气设备不符合规定；</w:t>
            </w:r>
          </w:p>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⑥未按规定办理有限空间作业手续；</w:t>
            </w:r>
          </w:p>
          <w:p>
            <w:pPr>
              <w:jc w:val="left"/>
              <w:rPr>
                <w:color w:val="000000" w:themeColor="text1"/>
                <w:sz w:val="20"/>
                <w14:textFill>
                  <w14:solidFill>
                    <w14:schemeClr w14:val="tx1"/>
                  </w14:solidFill>
                </w14:textFill>
              </w:rPr>
            </w:pPr>
            <w:r>
              <w:rPr>
                <w:rFonts w:hint="eastAsia" w:ascii="宋体" w:hAnsi="宋体" w:cs="宋体"/>
                <w:color w:val="000000" w:themeColor="text1"/>
                <w:sz w:val="20"/>
                <w14:textFill>
                  <w14:solidFill>
                    <w14:schemeClr w14:val="tx1"/>
                  </w14:solidFill>
                </w14:textFill>
              </w:rPr>
              <w:t>⑦未经培训演练。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12</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四口”、“五临边”未设置明显标识及防护措施；在车行道、人行道上施工，未根据属地区域规定选用围蔽装置，或未在来车方向设置警示牌；施工作业人员在夜间或道路、地下洞室作业时未穿着符合规范的反光衣；施工区域未按规定设置夜间警示装置。</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G1</w:t>
            </w:r>
            <w:r>
              <w:rPr>
                <w:rFonts w:hint="eastAsia"/>
                <w:color w:val="000000" w:themeColor="text1"/>
                <w14:textFill>
                  <w14:solidFill>
                    <w14:schemeClr w14:val="tx1"/>
                  </w14:solidFill>
                </w14:textFill>
              </w:rPr>
              <w:t>2</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0.2</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①“四口”、“五临边”未设置可靠防护安全围栏、盖板，未设置明显的标示牌、警示牌；</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w:t>
            </w:r>
            <w:r>
              <w:rPr>
                <w:color w:val="000000" w:themeColor="text1"/>
                <w:sz w:val="20"/>
                <w14:textFill>
                  <w14:solidFill>
                    <w14:schemeClr w14:val="tx1"/>
                  </w14:solidFill>
                </w14:textFill>
              </w:rPr>
              <w:t xml:space="preserve"> </w:t>
            </w:r>
            <w:r>
              <w:rPr>
                <w:rFonts w:hint="eastAsia"/>
                <w:color w:val="000000" w:themeColor="text1"/>
                <w:sz w:val="20"/>
                <w14:textFill>
                  <w14:solidFill>
                    <w14:schemeClr w14:val="tx1"/>
                  </w14:solidFill>
                </w14:textFill>
              </w:rPr>
              <w:t>在车行道、人行道上施工，未根据属地区域规定选用围蔽装置，或未在来车方向设置警示牌；</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③施工作业人员在夜间作业或道路、地下洞室作业时未穿着符合规范的反光衣；</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④施工区域未按规定设置夜间警示装置。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13</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隧洞通风、排水、爆破、通讯、施工支护、超前地质预报等不符合要求的。</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G1</w:t>
            </w:r>
            <w:r>
              <w:rPr>
                <w:rFonts w:hint="eastAsia"/>
                <w:color w:val="000000" w:themeColor="text1"/>
                <w14:textFill>
                  <w14:solidFill>
                    <w14:schemeClr w14:val="tx1"/>
                  </w14:solidFill>
                </w14:textFill>
              </w:rPr>
              <w:t>3</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出现以下任一不良行为扣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①未编制隧洞工程专项施工方案；专项施工方案未按规定审核、审批；未按规定组织专家论证；</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②未配备通风设施；未配备有毒有害气体检测设备；</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③未设置排水沟、泄水孔等排水措施，隧洞内抽水泵功率不满足排水需求；</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④洞内爆破作业未确定指挥人员、警戒人员、起爆人员，未进行统一指挥的；</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⑤未配备通讯设备的；</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⑥洞内爆破后通风排烟不足</w:t>
            </w:r>
            <w:r>
              <w:rPr>
                <w:color w:val="000000" w:themeColor="text1"/>
                <w:sz w:val="20"/>
                <w14:textFill>
                  <w14:solidFill>
                    <w14:schemeClr w14:val="tx1"/>
                  </w14:solidFill>
                </w14:textFill>
              </w:rPr>
              <w:t>15</w:t>
            </w:r>
            <w:r>
              <w:rPr>
                <w:rFonts w:hint="eastAsia"/>
                <w:color w:val="000000" w:themeColor="text1"/>
                <w:sz w:val="20"/>
                <w14:textFill>
                  <w14:solidFill>
                    <w14:schemeClr w14:val="tx1"/>
                  </w14:solidFill>
                </w14:textFill>
              </w:rPr>
              <w:t>分钟，爆破后未进行检查的；</w:t>
            </w:r>
            <w:r>
              <w:rPr>
                <w:color w:val="000000" w:themeColor="text1"/>
                <w:sz w:val="20"/>
                <w14:textFill>
                  <w14:solidFill>
                    <w14:schemeClr w14:val="tx1"/>
                  </w14:solidFill>
                </w14:textFill>
              </w:rPr>
              <w:br w:type="textWrapping"/>
            </w:r>
            <w:r>
              <w:rPr>
                <w:rFonts w:hint="eastAsia" w:ascii="宋体" w:hAnsi="宋体" w:cs="宋体"/>
                <w:color w:val="000000" w:themeColor="text1"/>
                <w:sz w:val="20"/>
                <w14:textFill>
                  <w14:solidFill>
                    <w14:schemeClr w14:val="tx1"/>
                  </w14:solidFill>
                </w14:textFill>
              </w:rPr>
              <w:t>⑦</w:t>
            </w:r>
            <w:r>
              <w:rPr>
                <w:rFonts w:hint="eastAsia"/>
                <w:color w:val="000000" w:themeColor="text1"/>
                <w:sz w:val="20"/>
                <w14:textFill>
                  <w14:solidFill>
                    <w14:schemeClr w14:val="tx1"/>
                  </w14:solidFill>
                </w14:textFill>
              </w:rPr>
              <w:t>隧洞支护作业程序不符合要求；支护方式不符合设计及规范要求；</w:t>
            </w:r>
          </w:p>
          <w:p>
            <w:pPr>
              <w:jc w:val="left"/>
              <w:rPr>
                <w:color w:val="000000" w:themeColor="text1"/>
                <w:sz w:val="20"/>
                <w14:textFill>
                  <w14:solidFill>
                    <w14:schemeClr w14:val="tx1"/>
                  </w14:solidFill>
                </w14:textFill>
              </w:rPr>
            </w:pPr>
            <w:r>
              <w:rPr>
                <w:rFonts w:hint="eastAsia" w:ascii="宋体" w:hAnsi="宋体" w:cs="宋体"/>
                <w:color w:val="000000" w:themeColor="text1"/>
                <w:sz w:val="20"/>
                <w14:textFill>
                  <w14:solidFill>
                    <w14:schemeClr w14:val="tx1"/>
                  </w14:solidFill>
                </w14:textFill>
              </w:rPr>
              <w:t>⑧</w:t>
            </w:r>
            <w:r>
              <w:rPr>
                <w:rFonts w:hint="eastAsia"/>
                <w:color w:val="000000" w:themeColor="text1"/>
                <w:sz w:val="20"/>
                <w14:textFill>
                  <w14:solidFill>
                    <w14:schemeClr w14:val="tx1"/>
                  </w14:solidFill>
                </w14:textFill>
              </w:rPr>
              <w:t>未按要求编制超前地质预报实施大纲；</w:t>
            </w:r>
          </w:p>
          <w:p>
            <w:pPr>
              <w:jc w:val="left"/>
              <w:rPr>
                <w:color w:val="000000" w:themeColor="text1"/>
                <w:sz w:val="20"/>
                <w14:textFill>
                  <w14:solidFill>
                    <w14:schemeClr w14:val="tx1"/>
                  </w14:solidFill>
                </w14:textFill>
              </w:rPr>
            </w:pPr>
            <w:r>
              <w:rPr>
                <w:rFonts w:hint="eastAsia" w:ascii="宋体" w:hAnsi="宋体" w:cs="宋体"/>
                <w:color w:val="000000" w:themeColor="text1"/>
                <w:sz w:val="20"/>
                <w14:textFill>
                  <w14:solidFill>
                    <w14:schemeClr w14:val="tx1"/>
                  </w14:solidFill>
                </w14:textFill>
              </w:rPr>
              <w:t>⑨</w:t>
            </w:r>
            <w:r>
              <w:rPr>
                <w:rFonts w:hint="eastAsia"/>
                <w:color w:val="000000" w:themeColor="text1"/>
                <w:sz w:val="20"/>
                <w14:textFill>
                  <w14:solidFill>
                    <w14:schemeClr w14:val="tx1"/>
                  </w14:solidFill>
                </w14:textFill>
              </w:rPr>
              <w:t>未严格执行开挖前超前地质预报措施；未将超前地质预报纳入施工组织设计和工序管理。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14</w:t>
            </w:r>
          </w:p>
        </w:tc>
        <w:tc>
          <w:tcPr>
            <w:tcW w:w="4394"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安全文明施工费用的提取和使用管理不规范。</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G1</w:t>
            </w:r>
            <w:r>
              <w:rPr>
                <w:rFonts w:hint="eastAsia"/>
                <w:color w:val="000000" w:themeColor="text1"/>
                <w14:textFill>
                  <w14:solidFill>
                    <w14:schemeClr w14:val="tx1"/>
                  </w14:solidFill>
                </w14:textFill>
              </w:rPr>
              <w:t>4</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施工</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0.5</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在使用安全生产费用过程中，出现以下任一不良行为，每处扣</w:t>
            </w:r>
            <w:r>
              <w:rPr>
                <w:color w:val="000000" w:themeColor="text1"/>
                <w:sz w:val="20"/>
                <w14:textFill>
                  <w14:solidFill>
                    <w14:schemeClr w14:val="tx1"/>
                  </w14:solidFill>
                </w14:textFill>
              </w:rPr>
              <w:t>0.2</w:t>
            </w:r>
            <w:r>
              <w:rPr>
                <w:rFonts w:hint="eastAsia"/>
                <w:color w:val="000000" w:themeColor="text1"/>
                <w:sz w:val="20"/>
                <w14:textFill>
                  <w14:solidFill>
                    <w14:schemeClr w14:val="tx1"/>
                  </w14:solidFill>
                </w14:textFill>
              </w:rPr>
              <w:t>分，累计扣至</w:t>
            </w:r>
            <w:r>
              <w:rPr>
                <w:color w:val="000000" w:themeColor="text1"/>
                <w:sz w:val="20"/>
                <w14:textFill>
                  <w14:solidFill>
                    <w14:schemeClr w14:val="tx1"/>
                  </w14:solidFill>
                </w14:textFill>
              </w:rPr>
              <w:t>0.5</w:t>
            </w:r>
            <w:r>
              <w:rPr>
                <w:rFonts w:hint="eastAsia"/>
                <w:color w:val="000000" w:themeColor="text1"/>
                <w:sz w:val="20"/>
                <w14:textFill>
                  <w14:solidFill>
                    <w14:schemeClr w14:val="tx1"/>
                  </w14:solidFill>
                </w14:textFill>
              </w:rPr>
              <w:t>分为止：</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①未按照国家有关规定计列和使用安全生产费用的；</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②未编制安全生产费用使用计划，专款专用的；</w:t>
            </w:r>
            <w:r>
              <w:rPr>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③未明确安全费用提取和使用的程序、职责及权限的。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15</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因设计工作不到位造成险情的。</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G1</w:t>
            </w:r>
            <w:r>
              <w:rPr>
                <w:rFonts w:hint="eastAsia"/>
                <w:color w:val="000000" w:themeColor="text1"/>
                <w14:textFill>
                  <w14:solidFill>
                    <w14:schemeClr w14:val="tx1"/>
                  </w14:solidFill>
                </w14:textFill>
              </w:rPr>
              <w:t>5</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勘察/设计</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1、因设计方案不合理造成工程施工过程出现险情的，扣1分；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2、因现场设计代表履职不到位造成施工现场出现险情的，扣1分；</w:t>
            </w:r>
            <w:r>
              <w:rPr>
                <w:rFonts w:hint="eastAsia"/>
                <w:color w:val="000000" w:themeColor="text1"/>
                <w:sz w:val="20"/>
                <w14:textFill>
                  <w14:solidFill>
                    <w14:schemeClr w14:val="tx1"/>
                  </w14:solidFill>
                </w14:textFill>
              </w:rPr>
              <w:br w:type="textWrapping"/>
            </w:r>
            <w:r>
              <w:rPr>
                <w:rFonts w:hint="eastAsia"/>
                <w:color w:val="000000" w:themeColor="text1"/>
                <w:sz w:val="20"/>
                <w14:textFill>
                  <w14:solidFill>
                    <w14:schemeClr w14:val="tx1"/>
                  </w14:solidFill>
                </w14:textFill>
              </w:rPr>
              <w:t>3、因前期地质勘察工作遗留问题造成工程现场出现险情的，扣1分。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16</w:t>
            </w:r>
          </w:p>
        </w:tc>
        <w:tc>
          <w:tcPr>
            <w:tcW w:w="4394" w:type="dxa"/>
            <w:vAlign w:val="center"/>
          </w:tcPr>
          <w:p>
            <w:pP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项目建设阶段发生生产安全事故的。</w:t>
            </w:r>
          </w:p>
        </w:tc>
        <w:tc>
          <w:tcPr>
            <w:tcW w:w="1134"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w:t>
            </w:r>
            <w:r>
              <w:rPr>
                <w:color w:val="000000" w:themeColor="text1"/>
                <w14:textFill>
                  <w14:solidFill>
                    <w14:schemeClr w14:val="tx1"/>
                  </w14:solidFill>
                </w14:textFill>
              </w:rPr>
              <w:t>G1</w:t>
            </w:r>
            <w:r>
              <w:rPr>
                <w:rFonts w:hint="eastAsia"/>
                <w:color w:val="000000" w:themeColor="text1"/>
                <w14:textFill>
                  <w14:solidFill>
                    <w14:schemeClr w14:val="tx1"/>
                  </w14:solidFill>
                </w14:textFill>
              </w:rPr>
              <w:t>6</w:t>
            </w:r>
          </w:p>
        </w:tc>
        <w:tc>
          <w:tcPr>
            <w:tcW w:w="1134"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设计/施工/监理</w:t>
            </w:r>
          </w:p>
        </w:tc>
        <w:tc>
          <w:tcPr>
            <w:tcW w:w="709" w:type="dxa"/>
            <w:vAlign w:val="center"/>
          </w:tcPr>
          <w:p>
            <w:pPr>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12</w:t>
            </w:r>
          </w:p>
        </w:tc>
        <w:tc>
          <w:tcPr>
            <w:tcW w:w="5812" w:type="dxa"/>
            <w:vAlign w:val="center"/>
          </w:tcPr>
          <w:p>
            <w:pPr>
              <w:jc w:val="lef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发生亡人生产安全事故的，根据生产安全事故责任扣分。</w:t>
            </w:r>
          </w:p>
        </w:tc>
      </w:tr>
    </w:tbl>
    <w:p>
      <w:pPr>
        <w:spacing w:line="360" w:lineRule="auto"/>
        <w:ind w:right="960"/>
        <w:rPr>
          <w:rFonts w:ascii="宋体" w:hAnsi="宋体" w:cs="宋体"/>
          <w:color w:val="000000" w:themeColor="text1"/>
          <w:kern w:val="0"/>
          <w:sz w:val="24"/>
          <w14:textFill>
            <w14:solidFill>
              <w14:schemeClr w14:val="tx1"/>
            </w14:solidFill>
          </w14:textFill>
        </w:rPr>
        <w:sectPr>
          <w:pgSz w:w="16838" w:h="11906" w:orient="landscape"/>
          <w:pgMar w:top="1531" w:right="1418" w:bottom="1554" w:left="1418" w:header="851" w:footer="992" w:gutter="0"/>
          <w:cols w:space="720" w:num="1"/>
          <w:titlePg/>
          <w:docGrid w:type="lines" w:linePitch="312" w:charSpace="0"/>
        </w:sectPr>
      </w:pPr>
    </w:p>
    <w:p>
      <w:pPr>
        <w:spacing w:line="520" w:lineRule="exact"/>
        <w:outlineLvl w:val="0"/>
        <w:rPr>
          <w:rFonts w:ascii="Cambria" w:hAnsi="Cambria"/>
          <w:b/>
          <w:bCs/>
          <w:color w:val="000000" w:themeColor="text1"/>
          <w:sz w:val="28"/>
          <w:szCs w:val="28"/>
          <w14:textFill>
            <w14:solidFill>
              <w14:schemeClr w14:val="tx1"/>
            </w14:solidFill>
          </w14:textFill>
        </w:rPr>
      </w:pPr>
      <w:bookmarkStart w:id="1173" w:name="_Toc118446928"/>
      <w:r>
        <w:rPr>
          <w:rFonts w:hint="eastAsia" w:ascii="Cambria" w:hAnsi="Cambria"/>
          <w:b/>
          <w:bCs/>
          <w:color w:val="000000" w:themeColor="text1"/>
          <w:sz w:val="28"/>
          <w:szCs w:val="28"/>
          <w14:textFill>
            <w14:solidFill>
              <w14:schemeClr w14:val="tx1"/>
            </w14:solidFill>
          </w14:textFill>
        </w:rPr>
        <w:t>附件</w:t>
      </w:r>
      <w:r>
        <w:rPr>
          <w:rFonts w:ascii="Cambria" w:hAnsi="Cambria"/>
          <w:b/>
          <w:bCs/>
          <w:color w:val="000000" w:themeColor="text1"/>
          <w:sz w:val="28"/>
          <w:szCs w:val="28"/>
          <w14:textFill>
            <w14:solidFill>
              <w14:schemeClr w14:val="tx1"/>
            </w14:solidFill>
          </w14:textFill>
        </w:rPr>
        <w:t>19</w:t>
      </w:r>
      <w:r>
        <w:rPr>
          <w:rFonts w:hint="eastAsia" w:ascii="Cambria" w:hAnsi="Cambria"/>
          <w:b/>
          <w:bCs/>
          <w:color w:val="000000" w:themeColor="text1"/>
          <w:sz w:val="28"/>
          <w:szCs w:val="28"/>
          <w14:textFill>
            <w14:solidFill>
              <w14:schemeClr w14:val="tx1"/>
            </w14:solidFill>
          </w14:textFill>
        </w:rPr>
        <w:t>工程建设资金拨付管理办法及实施细则</w:t>
      </w:r>
      <w:bookmarkEnd w:id="1173"/>
    </w:p>
    <w:p>
      <w:pPr>
        <w:spacing w:line="360" w:lineRule="auto"/>
        <w:ind w:right="-92" w:rightChars="-44"/>
        <w:jc w:val="center"/>
        <w:rPr>
          <w:rFonts w:ascii="宋体" w:hAnsi="宋体" w:cs="宋体"/>
          <w:b/>
          <w:bCs/>
          <w:color w:val="000000" w:themeColor="text1"/>
          <w:sz w:val="32"/>
          <w:szCs w:val="32"/>
          <w14:textFill>
            <w14:solidFill>
              <w14:schemeClr w14:val="tx1"/>
            </w14:solidFill>
          </w14:textFill>
        </w:rPr>
      </w:pPr>
      <w:r>
        <w:rPr>
          <w:rFonts w:hint="eastAsia" w:ascii="宋体" w:hAnsi="宋体" w:cs="宋体"/>
          <w:b/>
          <w:bCs/>
          <w:color w:val="000000" w:themeColor="text1"/>
          <w:sz w:val="32"/>
          <w:szCs w:val="32"/>
          <w14:textFill>
            <w14:solidFill>
              <w14:schemeClr w14:val="tx1"/>
            </w14:solidFill>
          </w14:textFill>
        </w:rPr>
        <w:t>工程建设资金拨付管理办法及实施细则</w:t>
      </w:r>
    </w:p>
    <w:p>
      <w:pPr>
        <w:spacing w:before="312" w:beforeLines="100" w:after="156" w:afterLines="50" w:line="360" w:lineRule="auto"/>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第一章  总则</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第一条   为了加强本工程项目建设资金的使用管理，提高建设资金使用效益，确保建设资金专款专用，并且保证其安全、高效的使用，根据国家有关规定特制定本办法。</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第二条  本办法适用于与本工程建设的工程承包商及监管开户银行。</w:t>
      </w:r>
    </w:p>
    <w:p>
      <w:pPr>
        <w:spacing w:before="156" w:beforeLines="50" w:after="156" w:afterLines="50" w:line="360" w:lineRule="auto"/>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第二章  资金账户的管理</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第一条  工程承包商必须在广州地区开设银行监管账户。未经核准的账户，广东粤海置地发展有限公司（以下简称“置地发展” )不予以拨付工程款项。</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第二条  置地发展确认的监管开户银行应依法为开户单位保密，除国家法律、法规规定的有权部门和置地发展管理规定需要外，不准代任何单位和个人查询、冻结、扣划开户单位的存款。</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第三条  开户单位申请开设银行账户时，应按规定向监管开户银行出具有关证明材料，在条件满足的情况下，监管开户银行应在二天内办妥开户手续。</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第四条  开户单位申请撤销指定的账户，需向置地发展提出书面申请并经同意。同时根据监管开户银行的有关撤销账户要求，办理并完善相关的手续。</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第五条  开户单位的账户只能办理自身的业务，不得出租或转让。工程承包商违反上述规定或套取建设资金另作他用，监管开户银行有权制止，并报置地发展。</w:t>
      </w:r>
    </w:p>
    <w:p>
      <w:pPr>
        <w:spacing w:before="156" w:beforeLines="50" w:after="156" w:afterLines="50" w:line="360" w:lineRule="auto"/>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第三章  项目资金管理</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第一条  为了确保本工程项目建设资金正常运行和安全、有效使用，对本项目建设资金采取集中监控的管理模式。置地发展对参与本项目工程施工的承包商在银行开设专用账户，对其项目资金的流向实施监控，以达到建设资金专款专用的目的。</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第二条  置地发展、工程承包商（分包商）及监管开户银行三方共同签订《广东粤海置地发展有限公司建设项目建设资金管理协议》，监管开户单位授权同意该监管开户银行把工程专项资金的往来结算记录及对账资料提供给置地发展查阅，以此规范建设资金的使用行为。</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第三条  经置地发展审核拨付的工程款，工程承包商应专款专用，严禁挪作他用；工程承包商违反规定用途转款或用款的，监管开户银行有权拒绝付款，并及时把信息反馈到置地发展，置地发展将酌情进行处理。</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第四条  工程承包商应及时支付材料、设备等款项，及时支付施工人员工资，确保工程建设顺利进行。</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第五条  保证建设资金的安全和工程建设的顺利进行，工程承包商在承建的工程正式交验之前，未经置地发展同意不得以任何名义转移资金。</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第六条  监管开户银行应为工程承包商提供全方位的优质服务，不得无理压票压汇；同时应密切跟进开户单位在实际资金运作中提出服务要求，为其解决在工程建设中的实际问题（如施工人员工资的提现等）。</w:t>
      </w:r>
    </w:p>
    <w:p>
      <w:pPr>
        <w:spacing w:before="156" w:beforeLines="50" w:after="156" w:afterLines="50" w:line="360" w:lineRule="auto"/>
        <w:jc w:val="center"/>
        <w:rPr>
          <w:rFonts w:asciiTheme="minorEastAsia" w:hAnsiTheme="minorEastAsia" w:eastAsiaTheme="minorEastAsia"/>
          <w:b/>
          <w:color w:val="000000" w:themeColor="text1"/>
          <w:sz w:val="24"/>
          <w14:textFill>
            <w14:solidFill>
              <w14:schemeClr w14:val="tx1"/>
            </w14:solidFill>
          </w14:textFill>
        </w:rPr>
      </w:pPr>
      <w:r>
        <w:rPr>
          <w:rFonts w:hint="eastAsia" w:asciiTheme="minorEastAsia" w:hAnsiTheme="minorEastAsia" w:eastAsiaTheme="minorEastAsia"/>
          <w:b/>
          <w:color w:val="000000" w:themeColor="text1"/>
          <w:sz w:val="24"/>
          <w14:textFill>
            <w14:solidFill>
              <w14:schemeClr w14:val="tx1"/>
            </w14:solidFill>
          </w14:textFill>
        </w:rPr>
        <w:t>第四章  附则</w:t>
      </w:r>
    </w:p>
    <w:p>
      <w:pPr>
        <w:spacing w:line="360" w:lineRule="auto"/>
        <w:ind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第一条  本办法执行过程中如有问题请及时向置地发展反映。</w:t>
      </w:r>
    </w:p>
    <w:p>
      <w:pPr>
        <w:spacing w:line="360" w:lineRule="auto"/>
        <w:ind w:right="960" w:firstLine="480" w:firstLineChars="200"/>
        <w:rPr>
          <w:rFonts w:asciiTheme="minorEastAsia" w:hAnsiTheme="minorEastAsia" w:eastAsiaTheme="minorEastAsia"/>
          <w:color w:val="000000" w:themeColor="text1"/>
          <w:sz w:val="24"/>
          <w14:textFill>
            <w14:solidFill>
              <w14:schemeClr w14:val="tx1"/>
            </w14:solidFill>
          </w14:textFill>
        </w:rPr>
      </w:pPr>
      <w:r>
        <w:rPr>
          <w:rFonts w:hint="eastAsia" w:asciiTheme="minorEastAsia" w:hAnsiTheme="minorEastAsia" w:eastAsiaTheme="minorEastAsia"/>
          <w:color w:val="000000" w:themeColor="text1"/>
          <w:sz w:val="24"/>
          <w14:textFill>
            <w14:solidFill>
              <w14:schemeClr w14:val="tx1"/>
            </w14:solidFill>
          </w14:textFill>
        </w:rPr>
        <w:t>第二条  本办法自项目竣工结算完成，办理清算后6个月自行废止。</w:t>
      </w:r>
    </w:p>
    <w:p>
      <w:pPr>
        <w:spacing w:line="360" w:lineRule="auto"/>
        <w:ind w:right="960" w:firstLine="480" w:firstLineChars="200"/>
        <w:rPr>
          <w:rFonts w:asciiTheme="minorEastAsia" w:hAnsiTheme="minorEastAsia" w:eastAsiaTheme="minorEastAsia"/>
          <w:color w:val="000000" w:themeColor="text1"/>
          <w:sz w:val="24"/>
          <w14:textFill>
            <w14:solidFill>
              <w14:schemeClr w14:val="tx1"/>
            </w14:solidFill>
          </w14:textFill>
        </w:rPr>
      </w:pPr>
    </w:p>
    <w:p>
      <w:pPr>
        <w:spacing w:line="360" w:lineRule="auto"/>
        <w:ind w:right="960" w:firstLine="480" w:firstLineChars="200"/>
        <w:rPr>
          <w:rFonts w:asciiTheme="minorEastAsia" w:hAnsiTheme="minorEastAsia" w:eastAsiaTheme="minorEastAsia"/>
          <w:color w:val="000000" w:themeColor="text1"/>
          <w:sz w:val="24"/>
          <w14:textFill>
            <w14:solidFill>
              <w14:schemeClr w14:val="tx1"/>
            </w14:solidFill>
          </w14:textFill>
        </w:rPr>
      </w:pPr>
    </w:p>
    <w:p>
      <w:pPr>
        <w:widowControl/>
        <w:jc w:val="left"/>
        <w:rPr>
          <w:rFonts w:asciiTheme="minorEastAsia" w:hAnsiTheme="minorEastAsia" w:eastAsiaTheme="minorEastAsia"/>
          <w:color w:val="000000" w:themeColor="text1"/>
          <w:sz w:val="24"/>
          <w14:textFill>
            <w14:solidFill>
              <w14:schemeClr w14:val="tx1"/>
            </w14:solidFill>
          </w14:textFill>
        </w:rPr>
      </w:pPr>
      <w:r>
        <w:rPr>
          <w:rFonts w:asciiTheme="minorEastAsia" w:hAnsiTheme="minorEastAsia" w:eastAsiaTheme="minorEastAsia"/>
          <w:color w:val="000000" w:themeColor="text1"/>
          <w:sz w:val="24"/>
          <w14:textFill>
            <w14:solidFill>
              <w14:schemeClr w14:val="tx1"/>
            </w14:solidFill>
          </w14:textFill>
        </w:rPr>
        <w:br w:type="page"/>
      </w:r>
    </w:p>
    <w:p>
      <w:pPr>
        <w:spacing w:line="520" w:lineRule="exact"/>
        <w:outlineLvl w:val="0"/>
        <w:rPr>
          <w:rFonts w:ascii="Cambria" w:hAnsi="Cambria"/>
          <w:bCs/>
          <w:color w:val="000000" w:themeColor="text1"/>
          <w:szCs w:val="21"/>
          <w14:textFill>
            <w14:solidFill>
              <w14:schemeClr w14:val="tx1"/>
            </w14:solidFill>
          </w14:textFill>
        </w:rPr>
      </w:pPr>
      <w:bookmarkStart w:id="1174" w:name="_Toc118446929"/>
      <w:r>
        <w:rPr>
          <w:rFonts w:hint="eastAsia" w:ascii="Cambria" w:hAnsi="Cambria"/>
          <w:bCs/>
          <w:color w:val="000000" w:themeColor="text1"/>
          <w:szCs w:val="21"/>
          <w14:textFill>
            <w14:solidFill>
              <w14:schemeClr w14:val="tx1"/>
            </w14:solidFill>
          </w14:textFill>
        </w:rPr>
        <w:t>附件20</w:t>
      </w:r>
      <w:r>
        <w:rPr>
          <w:rFonts w:ascii="Cambria" w:hAnsi="Cambria"/>
          <w:bCs/>
          <w:color w:val="000000" w:themeColor="text1"/>
          <w:szCs w:val="21"/>
          <w14:textFill>
            <w14:solidFill>
              <w14:schemeClr w14:val="tx1"/>
            </w14:solidFill>
          </w14:textFill>
        </w:rPr>
        <w:t xml:space="preserve"> </w:t>
      </w:r>
      <w:bookmarkEnd w:id="1174"/>
      <w:bookmarkStart w:id="1175" w:name="_Toc118446932"/>
      <w:r>
        <w:rPr>
          <w:rFonts w:ascii="Cambria" w:hAnsi="Cambria"/>
          <w:bCs/>
          <w:color w:val="000000" w:themeColor="text1"/>
          <w:szCs w:val="21"/>
          <w14:textFill>
            <w14:solidFill>
              <w14:schemeClr w14:val="tx1"/>
            </w14:solidFill>
          </w14:textFill>
        </w:rPr>
        <w:t>粤海置地第三方质量安全评估标准</w:t>
      </w:r>
      <w:r>
        <w:rPr>
          <w:rFonts w:hint="eastAsia" w:ascii="Cambria" w:hAnsi="Cambria"/>
          <w:bCs/>
          <w:color w:val="000000" w:themeColor="text1"/>
          <w:szCs w:val="21"/>
          <w14:textFill>
            <w14:solidFill>
              <w14:schemeClr w14:val="tx1"/>
            </w14:solidFill>
          </w14:textFill>
        </w:rPr>
        <w:t>（另册）</w:t>
      </w:r>
      <w:bookmarkEnd w:id="1175"/>
    </w:p>
    <w:p>
      <w:pPr>
        <w:spacing w:line="520" w:lineRule="exact"/>
        <w:outlineLvl w:val="0"/>
        <w:rPr>
          <w:rFonts w:ascii="Cambria" w:hAnsi="Cambria"/>
          <w:bCs/>
          <w:color w:val="000000" w:themeColor="text1"/>
          <w:szCs w:val="21"/>
          <w14:textFill>
            <w14:solidFill>
              <w14:schemeClr w14:val="tx1"/>
            </w14:solidFill>
          </w14:textFill>
        </w:rPr>
      </w:pPr>
      <w:bookmarkStart w:id="1176" w:name="_Toc118446933"/>
      <w:r>
        <w:rPr>
          <w:rFonts w:ascii="Cambria" w:hAnsi="Cambria"/>
          <w:bCs/>
          <w:color w:val="000000" w:themeColor="text1"/>
          <w:szCs w:val="21"/>
          <w14:textFill>
            <w14:solidFill>
              <w14:schemeClr w14:val="tx1"/>
            </w14:solidFill>
          </w14:textFill>
        </w:rPr>
        <w:t>附件</w:t>
      </w:r>
      <w:r>
        <w:rPr>
          <w:rFonts w:hint="eastAsia" w:ascii="Cambria" w:hAnsi="Cambria"/>
          <w:bCs/>
          <w:color w:val="000000" w:themeColor="text1"/>
          <w:szCs w:val="21"/>
          <w14:textFill>
            <w14:solidFill>
              <w14:schemeClr w14:val="tx1"/>
            </w14:solidFill>
          </w14:textFill>
        </w:rPr>
        <w:t>21</w:t>
      </w:r>
      <w:r>
        <w:rPr>
          <w:rFonts w:ascii="Cambria" w:hAnsi="Cambria"/>
          <w:bCs/>
          <w:color w:val="000000" w:themeColor="text1"/>
          <w:szCs w:val="21"/>
          <w14:textFill>
            <w14:solidFill>
              <w14:schemeClr w14:val="tx1"/>
            </w14:solidFill>
          </w14:textFill>
        </w:rPr>
        <w:t xml:space="preserve"> 粤海置地工程样板管理办法</w:t>
      </w:r>
      <w:r>
        <w:rPr>
          <w:rFonts w:hint="eastAsia" w:ascii="Cambria" w:hAnsi="Cambria"/>
          <w:bCs/>
          <w:color w:val="000000" w:themeColor="text1"/>
          <w:szCs w:val="21"/>
          <w14:textFill>
            <w14:solidFill>
              <w14:schemeClr w14:val="tx1"/>
            </w14:solidFill>
          </w14:textFill>
        </w:rPr>
        <w:t>（另册）</w:t>
      </w:r>
      <w:bookmarkEnd w:id="1176"/>
    </w:p>
    <w:p>
      <w:pPr>
        <w:spacing w:line="520" w:lineRule="exact"/>
        <w:outlineLvl w:val="0"/>
        <w:rPr>
          <w:rFonts w:ascii="Cambria" w:hAnsi="Cambria"/>
          <w:bCs/>
          <w:color w:val="000000" w:themeColor="text1"/>
          <w:szCs w:val="21"/>
          <w14:textFill>
            <w14:solidFill>
              <w14:schemeClr w14:val="tx1"/>
            </w14:solidFill>
          </w14:textFill>
        </w:rPr>
      </w:pPr>
      <w:r>
        <w:rPr>
          <w:rFonts w:ascii="Cambria" w:hAnsi="Cambria"/>
          <w:bCs/>
          <w:color w:val="000000" w:themeColor="text1"/>
          <w:szCs w:val="21"/>
          <w14:textFill>
            <w14:solidFill>
              <w14:schemeClr w14:val="tx1"/>
            </w14:solidFill>
          </w14:textFill>
        </w:rPr>
        <w:t>附件</w:t>
      </w:r>
      <w:r>
        <w:rPr>
          <w:rFonts w:hint="eastAsia" w:ascii="Cambria" w:hAnsi="Cambria"/>
          <w:bCs/>
          <w:color w:val="000000" w:themeColor="text1"/>
          <w:szCs w:val="21"/>
          <w14:textFill>
            <w14:solidFill>
              <w14:schemeClr w14:val="tx1"/>
            </w14:solidFill>
          </w14:textFill>
        </w:rPr>
        <w:t>22</w:t>
      </w:r>
      <w:r>
        <w:rPr>
          <w:rFonts w:ascii="Cambria" w:hAnsi="Cambria"/>
          <w:bCs/>
          <w:color w:val="000000" w:themeColor="text1"/>
          <w:szCs w:val="21"/>
          <w14:textFill>
            <w14:solidFill>
              <w14:schemeClr w14:val="tx1"/>
            </w14:solidFill>
          </w14:textFill>
        </w:rPr>
        <w:t xml:space="preserve"> </w:t>
      </w:r>
      <w:r>
        <w:rPr>
          <w:rFonts w:hint="eastAsia" w:ascii="Cambria" w:hAnsi="Cambria"/>
          <w:bCs/>
          <w:color w:val="000000" w:themeColor="text1"/>
          <w:szCs w:val="21"/>
          <w14:textFill>
            <w14:solidFill>
              <w14:schemeClr w14:val="tx1"/>
            </w14:solidFill>
          </w14:textFill>
        </w:rPr>
        <w:t>粤海置地景观观感品控技术标准化（另册）</w:t>
      </w:r>
    </w:p>
    <w:p>
      <w:pPr>
        <w:spacing w:line="360" w:lineRule="auto"/>
        <w:ind w:right="960" w:firstLine="480" w:firstLineChars="200"/>
        <w:rPr>
          <w:rFonts w:ascii="宋体" w:hAnsi="宋体" w:cs="宋体"/>
          <w:color w:val="000000" w:themeColor="text1"/>
          <w:kern w:val="0"/>
          <w:sz w:val="24"/>
          <w14:textFill>
            <w14:solidFill>
              <w14:schemeClr w14:val="tx1"/>
            </w14:solidFill>
          </w14:textFill>
        </w:rPr>
      </w:pPr>
    </w:p>
    <w:sectPr>
      <w:pgSz w:w="11906" w:h="16838"/>
      <w:pgMar w:top="1418" w:right="1554" w:bottom="1418" w:left="1531"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TimesNewRomanPSMT">
    <w:altName w:val="等线"/>
    <w:panose1 w:val="00000000000000000000"/>
    <w:charset w:val="86"/>
    <w:family w:val="auto"/>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Arial Unicode MS">
    <w:panose1 w:val="020B0604020202020204"/>
    <w:charset w:val="86"/>
    <w:family w:val="swiss"/>
    <w:pitch w:val="default"/>
    <w:sig w:usb0="FFFFFFFF" w:usb1="E9FFFFFF" w:usb2="0000003F" w:usb3="00000000" w:csb0="603F01FF" w:csb1="FFFF0000"/>
  </w:font>
  <w:font w:name="华文楷体">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新宋体-18030">
    <w:altName w:val="黑体"/>
    <w:panose1 w:val="00000000000000000000"/>
    <w:charset w:val="86"/>
    <w:family w:val="modern"/>
    <w:pitch w:val="default"/>
    <w:sig w:usb0="00000000" w:usb1="00000000" w:usb2="00000010" w:usb3="00000000" w:csb0="00040000" w:csb1="00000000"/>
  </w:font>
  <w:font w:name="???-18030">
    <w:altName w:val="Times New Roman"/>
    <w:panose1 w:val="00000000000000000000"/>
    <w:charset w:val="00"/>
    <w:family w:val="auto"/>
    <w:pitch w:val="default"/>
    <w:sig w:usb0="00000000" w:usb1="00000000" w:usb2="00000000" w:usb3="00000000" w:csb0="00000001" w:csb1="00000000"/>
  </w:font>
  <w:font w:name="ˎ̥">
    <w:altName w:val="Times New Roman"/>
    <w:panose1 w:val="00000000000000000000"/>
    <w:charset w:val="00"/>
    <w:family w:val="roman"/>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fldChar w:fldCharType="begin"/>
    </w:r>
    <w:r>
      <w:instrText xml:space="preserve">PAGE   \* MERGEFORMAT</w:instrText>
    </w:r>
    <w:r>
      <w:fldChar w:fldCharType="separate"/>
    </w:r>
    <w:r>
      <w:rPr>
        <w:lang w:val="zh-CN"/>
      </w:rPr>
      <w:t>3</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fldChar w:fldCharType="begin"/>
    </w:r>
    <w:r>
      <w:rPr>
        <w:rStyle w:val="41"/>
      </w:rPr>
      <w:instrText xml:space="preserve">PAGE  </w:instrText>
    </w:r>
    <w:r>
      <w:fldChar w:fldCharType="separate"/>
    </w:r>
    <w:r>
      <w:rPr>
        <w:rStyle w:val="41"/>
      </w:rPr>
      <w:t>1</w:t>
    </w:r>
    <w:r>
      <w:fldChar w:fldCharType="end"/>
    </w:r>
    <w:r>
      <w:rPr>
        <w:rStyle w:val="41"/>
      </w:rPr>
      <w:t xml:space="preserve"> </w:t>
    </w:r>
    <w:r>
      <w:rPr>
        <w:rStyle w:val="41"/>
        <w:rFonts w:hint="eastAsia"/>
      </w:rPr>
      <w:t>/</w:t>
    </w:r>
    <w:r>
      <w:rPr>
        <w:rStyle w:val="41"/>
      </w:rPr>
      <w:t xml:space="preserve"> </w:t>
    </w:r>
    <w:r>
      <w:fldChar w:fldCharType="begin"/>
    </w:r>
    <w:r>
      <w:rPr>
        <w:rStyle w:val="41"/>
      </w:rPr>
      <w:instrText xml:space="preserve"> NUMPAGES </w:instrText>
    </w:r>
    <w:r>
      <w:fldChar w:fldCharType="separate"/>
    </w:r>
    <w:r>
      <w:rPr>
        <w:rStyle w:val="41"/>
      </w:rPr>
      <w:t>213</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fldChar w:fldCharType="begin"/>
    </w:r>
    <w:r>
      <w:rPr>
        <w:rStyle w:val="41"/>
      </w:rPr>
      <w:instrText xml:space="preserve">PAGE  </w:instrText>
    </w:r>
    <w:r>
      <w:fldChar w:fldCharType="separate"/>
    </w:r>
    <w:r>
      <w:rPr>
        <w:rStyle w:val="41"/>
      </w:rPr>
      <w:t>2</w:t>
    </w:r>
    <w:r>
      <w:fldChar w:fldCharType="end"/>
    </w:r>
    <w:r>
      <w:rPr>
        <w:rStyle w:val="41"/>
      </w:rPr>
      <w:t xml:space="preserve"> </w:t>
    </w:r>
    <w:r>
      <w:rPr>
        <w:rStyle w:val="41"/>
        <w:rFonts w:hint="eastAsia"/>
      </w:rPr>
      <w:t>/</w:t>
    </w:r>
    <w:r>
      <w:rPr>
        <w:rStyle w:val="41"/>
      </w:rPr>
      <w:t xml:space="preserve"> </w:t>
    </w:r>
    <w:r>
      <w:fldChar w:fldCharType="begin"/>
    </w:r>
    <w:r>
      <w:rPr>
        <w:rStyle w:val="41"/>
      </w:rPr>
      <w:instrText xml:space="preserve"> NUMPAGES </w:instrText>
    </w:r>
    <w:r>
      <w:fldChar w:fldCharType="separate"/>
    </w:r>
    <w:r>
      <w:rPr>
        <w:rStyle w:val="41"/>
      </w:rPr>
      <w:t>213</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rPr>
        <w:lang w:val="zh-CN"/>
      </w:rPr>
      <w:t xml:space="preserve"> </w:t>
    </w:r>
    <w:r>
      <w:rPr>
        <w:b/>
        <w:bCs/>
      </w:rPr>
      <w:fldChar w:fldCharType="begin"/>
    </w:r>
    <w:r>
      <w:rPr>
        <w:b/>
        <w:bCs/>
      </w:rPr>
      <w:instrText xml:space="preserve">PAGE  \* Arabic  \* MERGEFORMAT</w:instrText>
    </w:r>
    <w:r>
      <w:rPr>
        <w:b/>
        <w:bCs/>
      </w:rPr>
      <w:fldChar w:fldCharType="separate"/>
    </w:r>
    <w:r>
      <w:rPr>
        <w:b/>
        <w:bCs/>
        <w:lang w:val="zh-CN"/>
      </w:rPr>
      <w:t>57</w:t>
    </w:r>
    <w:r>
      <w:rPr>
        <w:b/>
        <w:bCs/>
      </w:rPr>
      <w:fldChar w:fldCharType="end"/>
    </w:r>
    <w:r>
      <w:rPr>
        <w:lang w:val="zh-CN"/>
      </w:rPr>
      <w:t xml:space="preserve"> / </w:t>
    </w:r>
    <w:r>
      <w:rPr>
        <w:b/>
        <w:bCs/>
      </w:rPr>
      <w:fldChar w:fldCharType="begin"/>
    </w:r>
    <w:r>
      <w:rPr>
        <w:b/>
        <w:bCs/>
      </w:rPr>
      <w:instrText xml:space="preserve">NUMPAGES  \* Arabic  \* MERGEFORMAT</w:instrText>
    </w:r>
    <w:r>
      <w:rPr>
        <w:b/>
        <w:bCs/>
      </w:rPr>
      <w:fldChar w:fldCharType="separate"/>
    </w:r>
    <w:r>
      <w:rPr>
        <w:b/>
        <w:bCs/>
        <w:lang w:val="zh-CN"/>
      </w:rPr>
      <w:t>213</w:t>
    </w:r>
    <w:r>
      <w:rPr>
        <w:b/>
        <w:bCs/>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fldChar w:fldCharType="begin"/>
    </w:r>
    <w:r>
      <w:rPr>
        <w:rStyle w:val="41"/>
      </w:rPr>
      <w:instrText xml:space="preserve">PAGE  </w:instrText>
    </w:r>
    <w:r>
      <w:fldChar w:fldCharType="separate"/>
    </w:r>
    <w:r>
      <w:rPr>
        <w:rStyle w:val="41"/>
      </w:rPr>
      <w:t>4</w:t>
    </w:r>
    <w:r>
      <w:fldChar w:fldCharType="end"/>
    </w:r>
    <w:r>
      <w:rPr>
        <w:rStyle w:val="41"/>
      </w:rPr>
      <w:t xml:space="preserve"> </w:t>
    </w:r>
    <w:r>
      <w:rPr>
        <w:rStyle w:val="41"/>
        <w:rFonts w:hint="eastAsia"/>
      </w:rPr>
      <w:t>/</w:t>
    </w:r>
    <w:r>
      <w:rPr>
        <w:rStyle w:val="41"/>
      </w:rPr>
      <w:t xml:space="preserve"> </w:t>
    </w:r>
    <w:r>
      <w:fldChar w:fldCharType="begin"/>
    </w:r>
    <w:r>
      <w:rPr>
        <w:rStyle w:val="41"/>
      </w:rPr>
      <w:instrText xml:space="preserve"> NUMPAGES </w:instrText>
    </w:r>
    <w:r>
      <w:fldChar w:fldCharType="separate"/>
    </w:r>
    <w:r>
      <w:rPr>
        <w:rStyle w:val="41"/>
      </w:rPr>
      <w:t>213</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fldChar w:fldCharType="begin"/>
    </w:r>
    <w:r>
      <w:rPr>
        <w:rStyle w:val="41"/>
      </w:rPr>
      <w:instrText xml:space="preserve"> PAGE </w:instrText>
    </w:r>
    <w:r>
      <w:fldChar w:fldCharType="separate"/>
    </w:r>
    <w:r>
      <w:rPr>
        <w:rStyle w:val="41"/>
      </w:rPr>
      <w:t>204</w:t>
    </w:r>
    <w:r>
      <w:fldChar w:fldCharType="end"/>
    </w:r>
    <w:r>
      <w:rPr>
        <w:rStyle w:val="41"/>
        <w:rFonts w:hint="eastAsia"/>
      </w:rPr>
      <w:t>/</w:t>
    </w:r>
    <w:r>
      <w:fldChar w:fldCharType="begin"/>
    </w:r>
    <w:r>
      <w:rPr>
        <w:rStyle w:val="41"/>
      </w:rPr>
      <w:instrText xml:space="preserve"> NUMPAGES </w:instrText>
    </w:r>
    <w:r>
      <w:fldChar w:fldCharType="separate"/>
    </w:r>
    <w:r>
      <w:rPr>
        <w:rStyle w:val="41"/>
      </w:rPr>
      <w:t>204</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98734370"/>
    </w:sdtPr>
    <w:sdtContent>
      <w:sdt>
        <w:sdtPr>
          <w:id w:val="-1669238322"/>
        </w:sdtPr>
        <w:sdtContent>
          <w:p>
            <w:pPr>
              <w:pStyle w:val="24"/>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rPr>
              <w:t>212</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212</w:t>
            </w:r>
            <w:r>
              <w:rPr>
                <w:b/>
                <w:bCs/>
                <w:sz w:val="24"/>
                <w:szCs w:val="24"/>
              </w:rPr>
              <w:fldChar w:fldCharType="end"/>
            </w:r>
          </w:p>
        </w:sdtContent>
      </w:sdt>
    </w:sdtContent>
  </w:sdt>
  <w:p>
    <w:pPr>
      <w:pStyle w:val="24"/>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fldChar w:fldCharType="begin"/>
    </w:r>
    <w:r>
      <w:rPr>
        <w:rStyle w:val="41"/>
      </w:rPr>
      <w:instrText xml:space="preserve">PAGE  </w:instrText>
    </w:r>
    <w:r>
      <w:fldChar w:fldCharType="separate"/>
    </w:r>
    <w:r>
      <w:rPr>
        <w:rStyle w:val="41"/>
      </w:rPr>
      <w:t>210</w:t>
    </w:r>
    <w:r>
      <w:fldChar w:fldCharType="end"/>
    </w:r>
    <w:r>
      <w:rPr>
        <w:rStyle w:val="41"/>
      </w:rPr>
      <w:t xml:space="preserve"> </w:t>
    </w:r>
    <w:r>
      <w:rPr>
        <w:rStyle w:val="41"/>
        <w:rFonts w:hint="eastAsia"/>
      </w:rPr>
      <w:t>/</w:t>
    </w:r>
    <w:r>
      <w:rPr>
        <w:rStyle w:val="41"/>
      </w:rPr>
      <w:t xml:space="preserve"> </w:t>
    </w:r>
    <w:r>
      <w:fldChar w:fldCharType="begin"/>
    </w:r>
    <w:r>
      <w:rPr>
        <w:rStyle w:val="41"/>
      </w:rPr>
      <w:instrText xml:space="preserve"> NUMPAGES </w:instrText>
    </w:r>
    <w:r>
      <w:fldChar w:fldCharType="separate"/>
    </w:r>
    <w:r>
      <w:rPr>
        <w:rStyle w:val="41"/>
      </w:rPr>
      <w:t>210</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5"/>
    <w:multiLevelType w:val="multilevel"/>
    <w:tmpl w:val="00000005"/>
    <w:lvl w:ilvl="0" w:tentative="0">
      <w:start w:val="1"/>
      <w:numFmt w:val="decimal"/>
      <w:pStyle w:val="83"/>
      <w:lvlText w:val="%1)"/>
      <w:lvlJc w:val="left"/>
      <w:pPr>
        <w:ind w:left="987" w:hanging="420"/>
      </w:pPr>
      <w:rPr>
        <w:rFonts w:hint="eastAsia"/>
      </w:rPr>
    </w:lvl>
    <w:lvl w:ilvl="1" w:tentative="0">
      <w:start w:val="1"/>
      <w:numFmt w:val="lowerLetter"/>
      <w:lvlText w:val="%2)"/>
      <w:lvlJc w:val="left"/>
      <w:pPr>
        <w:ind w:left="976" w:hanging="420"/>
      </w:pPr>
      <w:rPr>
        <w:rFonts w:hint="eastAsia"/>
      </w:rPr>
    </w:lvl>
    <w:lvl w:ilvl="2" w:tentative="0">
      <w:start w:val="1"/>
      <w:numFmt w:val="lowerRoman"/>
      <w:lvlText w:val="%3."/>
      <w:lvlJc w:val="right"/>
      <w:pPr>
        <w:ind w:left="1396" w:hanging="420"/>
      </w:pPr>
      <w:rPr>
        <w:rFonts w:hint="eastAsia"/>
      </w:rPr>
    </w:lvl>
    <w:lvl w:ilvl="3" w:tentative="0">
      <w:start w:val="1"/>
      <w:numFmt w:val="decimal"/>
      <w:lvlText w:val="%4."/>
      <w:lvlJc w:val="left"/>
      <w:pPr>
        <w:ind w:left="1816" w:hanging="420"/>
      </w:pPr>
      <w:rPr>
        <w:rFonts w:hint="eastAsia"/>
      </w:rPr>
    </w:lvl>
    <w:lvl w:ilvl="4" w:tentative="0">
      <w:start w:val="1"/>
      <w:numFmt w:val="lowerLetter"/>
      <w:lvlText w:val="%5)"/>
      <w:lvlJc w:val="left"/>
      <w:pPr>
        <w:ind w:left="2236" w:hanging="420"/>
      </w:pPr>
      <w:rPr>
        <w:rFonts w:hint="eastAsia"/>
      </w:rPr>
    </w:lvl>
    <w:lvl w:ilvl="5" w:tentative="0">
      <w:start w:val="1"/>
      <w:numFmt w:val="lowerRoman"/>
      <w:lvlText w:val="%6."/>
      <w:lvlJc w:val="right"/>
      <w:pPr>
        <w:ind w:left="2656" w:hanging="420"/>
      </w:pPr>
      <w:rPr>
        <w:rFonts w:hint="eastAsia"/>
      </w:rPr>
    </w:lvl>
    <w:lvl w:ilvl="6" w:tentative="0">
      <w:start w:val="1"/>
      <w:numFmt w:val="decimal"/>
      <w:lvlText w:val="%7."/>
      <w:lvlJc w:val="left"/>
      <w:pPr>
        <w:ind w:left="3076" w:hanging="420"/>
      </w:pPr>
      <w:rPr>
        <w:rFonts w:hint="eastAsia"/>
      </w:rPr>
    </w:lvl>
    <w:lvl w:ilvl="7" w:tentative="0">
      <w:start w:val="1"/>
      <w:numFmt w:val="lowerLetter"/>
      <w:lvlText w:val="%8)"/>
      <w:lvlJc w:val="left"/>
      <w:pPr>
        <w:ind w:left="3496" w:hanging="420"/>
      </w:pPr>
      <w:rPr>
        <w:rFonts w:hint="eastAsia"/>
      </w:rPr>
    </w:lvl>
    <w:lvl w:ilvl="8" w:tentative="0">
      <w:start w:val="1"/>
      <w:numFmt w:val="lowerRoman"/>
      <w:lvlText w:val="%9."/>
      <w:lvlJc w:val="right"/>
      <w:pPr>
        <w:ind w:left="3916" w:hanging="420"/>
      </w:pPr>
      <w:rPr>
        <w:rFonts w:hint="eastAsia"/>
      </w:rPr>
    </w:lvl>
  </w:abstractNum>
  <w:abstractNum w:abstractNumId="1">
    <w:nsid w:val="0000000A"/>
    <w:multiLevelType w:val="multilevel"/>
    <w:tmpl w:val="0000000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F"/>
    <w:multiLevelType w:val="multilevel"/>
    <w:tmpl w:val="0000000F"/>
    <w:lvl w:ilvl="0" w:tentative="0">
      <w:start w:val="1"/>
      <w:numFmt w:val="decimal"/>
      <w:lvlText w:val="%1."/>
      <w:lvlJc w:val="left"/>
      <w:pPr>
        <w:ind w:left="360" w:hanging="36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1"/>
    <w:multiLevelType w:val="multilevel"/>
    <w:tmpl w:val="00000011"/>
    <w:lvl w:ilvl="0" w:tentative="0">
      <w:start w:val="1"/>
      <w:numFmt w:val="japaneseCounting"/>
      <w:lvlText w:val="%1、"/>
      <w:lvlJc w:val="left"/>
      <w:pPr>
        <w:ind w:left="480" w:hanging="48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8"/>
    <w:multiLevelType w:val="multilevel"/>
    <w:tmpl w:val="00000018"/>
    <w:lvl w:ilvl="0" w:tentative="0">
      <w:start w:val="1"/>
      <w:numFmt w:val="decimal"/>
      <w:lvlText w:val="%1."/>
      <w:lvlJc w:val="left"/>
      <w:pPr>
        <w:ind w:left="360" w:hanging="36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4A31C83"/>
    <w:multiLevelType w:val="multilevel"/>
    <w:tmpl w:val="04A31C8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A6867EE"/>
    <w:multiLevelType w:val="multilevel"/>
    <w:tmpl w:val="0A6867EE"/>
    <w:lvl w:ilvl="0" w:tentative="0">
      <w:start w:val="1"/>
      <w:numFmt w:val="decimal"/>
      <w:lvlText w:val="(%1)"/>
      <w:lvlJc w:val="left"/>
      <w:pPr>
        <w:tabs>
          <w:tab w:val="left" w:pos="425"/>
        </w:tabs>
        <w:ind w:left="425" w:hanging="425"/>
      </w:pPr>
      <w:rPr>
        <w:rFonts w:hint="eastAsia" w:ascii="宋体" w:hAnsi="宋体" w:eastAsia="宋体"/>
      </w:rPr>
    </w:lvl>
    <w:lvl w:ilvl="1" w:tentative="0">
      <w:start w:val="4"/>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7">
    <w:nsid w:val="247F49A8"/>
    <w:multiLevelType w:val="multilevel"/>
    <w:tmpl w:val="247F49A8"/>
    <w:lvl w:ilvl="0" w:tentative="0">
      <w:start w:val="1"/>
      <w:numFmt w:val="decimal"/>
      <w:lvlText w:val="%1"/>
      <w:lvlJc w:val="left"/>
      <w:pPr>
        <w:tabs>
          <w:tab w:val="left" w:pos="425"/>
        </w:tabs>
        <w:ind w:left="425" w:hanging="425"/>
      </w:pPr>
      <w:rPr>
        <w:rFonts w:hint="eastAsia" w:ascii="Times New Roman" w:hAnsi="Times New Roman" w:eastAsia="宋体" w:cs="Times New Roman"/>
        <w:b w:val="0"/>
        <w:color w:val="auto"/>
      </w:rPr>
    </w:lvl>
    <w:lvl w:ilvl="1" w:tentative="0">
      <w:start w:val="1"/>
      <w:numFmt w:val="decimal"/>
      <w:lvlText w:val="%1.%2"/>
      <w:lvlJc w:val="left"/>
      <w:pPr>
        <w:tabs>
          <w:tab w:val="left" w:pos="1512"/>
        </w:tabs>
        <w:ind w:left="1512" w:hanging="567"/>
      </w:pPr>
      <w:rPr>
        <w:rFonts w:hint="eastAsia" w:ascii="Times New Roman" w:hAnsi="Times New Roman" w:eastAsia="宋体" w:cs="Times New Roman"/>
        <w:b w:val="0"/>
        <w:color w:val="auto"/>
      </w:rPr>
    </w:lvl>
    <w:lvl w:ilvl="2" w:tentative="0">
      <w:start w:val="1"/>
      <w:numFmt w:val="decimal"/>
      <w:lvlText w:val="(%3)"/>
      <w:lvlJc w:val="left"/>
      <w:pPr>
        <w:tabs>
          <w:tab w:val="left" w:pos="1418"/>
        </w:tabs>
        <w:ind w:left="1418" w:hanging="567"/>
      </w:pPr>
      <w:rPr>
        <w:rFonts w:hint="default" w:cs="Times New Roman"/>
        <w:color w:val="auto"/>
      </w:rPr>
    </w:lvl>
    <w:lvl w:ilvl="3" w:tentative="0">
      <w:start w:val="1"/>
      <w:numFmt w:val="decimal"/>
      <w:lvlText w:val="9.1.%1.%2.%3.%4"/>
      <w:lvlJc w:val="left"/>
      <w:pPr>
        <w:tabs>
          <w:tab w:val="left" w:pos="2356"/>
        </w:tabs>
        <w:ind w:left="1984" w:hanging="708"/>
      </w:pPr>
      <w:rPr>
        <w:rFonts w:hint="eastAsia" w:cs="Times New Roman"/>
      </w:rPr>
    </w:lvl>
    <w:lvl w:ilvl="4" w:tentative="0">
      <w:start w:val="1"/>
      <w:numFmt w:val="decimal"/>
      <w:lvlText w:val="9.1.%1.%2.%3.%4.%5"/>
      <w:lvlJc w:val="left"/>
      <w:pPr>
        <w:tabs>
          <w:tab w:val="left" w:pos="2781"/>
        </w:tabs>
        <w:ind w:left="2551" w:hanging="850"/>
      </w:pPr>
      <w:rPr>
        <w:rFonts w:hint="eastAsia" w:cs="Times New Roman"/>
      </w:rPr>
    </w:lvl>
    <w:lvl w:ilvl="5" w:tentative="0">
      <w:start w:val="1"/>
      <w:numFmt w:val="none"/>
      <w:lvlText w:val=""/>
      <w:lvlJc w:val="left"/>
      <w:pPr>
        <w:tabs>
          <w:tab w:val="left" w:pos="3566"/>
        </w:tabs>
        <w:ind w:left="3260" w:hanging="1134"/>
      </w:pPr>
      <w:rPr>
        <w:rFonts w:hint="eastAsia" w:cs="Times New Roman"/>
      </w:rPr>
    </w:lvl>
    <w:lvl w:ilvl="6" w:tentative="0">
      <w:start w:val="1"/>
      <w:numFmt w:val="decimal"/>
      <w:lvlText w:val="%1.%2.%3.%4.%5.%6.%7"/>
      <w:lvlJc w:val="left"/>
      <w:pPr>
        <w:tabs>
          <w:tab w:val="left" w:pos="3991"/>
        </w:tabs>
        <w:ind w:left="3827" w:hanging="1276"/>
      </w:pPr>
      <w:rPr>
        <w:rFonts w:hint="eastAsia" w:cs="Times New Roman"/>
      </w:rPr>
    </w:lvl>
    <w:lvl w:ilvl="7" w:tentative="0">
      <w:start w:val="1"/>
      <w:numFmt w:val="decimal"/>
      <w:lvlText w:val="%1.%2.%3.%4.%5.%6.%7.%8"/>
      <w:lvlJc w:val="left"/>
      <w:pPr>
        <w:tabs>
          <w:tab w:val="left" w:pos="4776"/>
        </w:tabs>
        <w:ind w:left="4394" w:hanging="1418"/>
      </w:pPr>
      <w:rPr>
        <w:rFonts w:hint="eastAsia" w:cs="Times New Roman"/>
      </w:rPr>
    </w:lvl>
    <w:lvl w:ilvl="8" w:tentative="0">
      <w:start w:val="1"/>
      <w:numFmt w:val="decimal"/>
      <w:lvlText w:val="%1.%2.%3.%4.%5.%6.%7.%8.%9"/>
      <w:lvlJc w:val="left"/>
      <w:pPr>
        <w:tabs>
          <w:tab w:val="left" w:pos="5562"/>
        </w:tabs>
        <w:ind w:left="5102" w:hanging="1700"/>
      </w:pPr>
      <w:rPr>
        <w:rFonts w:hint="eastAsia" w:cs="Times New Roman"/>
      </w:rPr>
    </w:lvl>
  </w:abstractNum>
  <w:abstractNum w:abstractNumId="8">
    <w:nsid w:val="321EECFB"/>
    <w:multiLevelType w:val="singleLevel"/>
    <w:tmpl w:val="321EECFB"/>
    <w:lvl w:ilvl="0" w:tentative="0">
      <w:start w:val="1"/>
      <w:numFmt w:val="decimal"/>
      <w:suff w:val="nothing"/>
      <w:lvlText w:val="%1）"/>
      <w:lvlJc w:val="left"/>
    </w:lvl>
  </w:abstractNum>
  <w:abstractNum w:abstractNumId="9">
    <w:nsid w:val="3BB307AD"/>
    <w:multiLevelType w:val="multilevel"/>
    <w:tmpl w:val="3BB307AD"/>
    <w:lvl w:ilvl="0" w:tentative="0">
      <w:start w:val="10"/>
      <w:numFmt w:val="decimal"/>
      <w:lvlText w:val="%1"/>
      <w:lvlJc w:val="left"/>
      <w:pPr>
        <w:tabs>
          <w:tab w:val="left" w:pos="425"/>
        </w:tabs>
        <w:ind w:left="425" w:hanging="425"/>
      </w:pPr>
      <w:rPr>
        <w:rFonts w:hint="eastAsia" w:ascii="宋体" w:hAnsi="宋体" w:eastAsia="宋体"/>
      </w:rPr>
    </w:lvl>
    <w:lvl w:ilvl="1" w:tentative="0">
      <w:start w:val="3"/>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10">
    <w:nsid w:val="3CBA5DE3"/>
    <w:multiLevelType w:val="multilevel"/>
    <w:tmpl w:val="3CBA5DE3"/>
    <w:lvl w:ilvl="0" w:tentative="0">
      <w:start w:val="8"/>
      <w:numFmt w:val="decimal"/>
      <w:lvlText w:val="%1"/>
      <w:lvlJc w:val="left"/>
      <w:pPr>
        <w:tabs>
          <w:tab w:val="left" w:pos="425"/>
        </w:tabs>
        <w:ind w:left="425" w:hanging="425"/>
      </w:pPr>
      <w:rPr>
        <w:rFonts w:hint="eastAsia" w:ascii="宋体" w:hAnsi="宋体" w:eastAsia="宋体"/>
      </w:rPr>
    </w:lvl>
    <w:lvl w:ilvl="1" w:tentative="0">
      <w:start w:val="8"/>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11">
    <w:nsid w:val="47E56819"/>
    <w:multiLevelType w:val="multilevel"/>
    <w:tmpl w:val="47E56819"/>
    <w:lvl w:ilvl="0" w:tentative="0">
      <w:start w:val="8"/>
      <w:numFmt w:val="decimal"/>
      <w:lvlText w:val="%1"/>
      <w:lvlJc w:val="left"/>
      <w:pPr>
        <w:tabs>
          <w:tab w:val="left" w:pos="425"/>
        </w:tabs>
        <w:ind w:left="425" w:hanging="425"/>
      </w:pPr>
      <w:rPr>
        <w:rFonts w:hint="eastAsia" w:ascii="宋体" w:hAnsi="宋体" w:eastAsia="宋体"/>
      </w:rPr>
    </w:lvl>
    <w:lvl w:ilvl="1" w:tentative="0">
      <w:start w:val="1"/>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12">
    <w:nsid w:val="49A923A9"/>
    <w:multiLevelType w:val="multilevel"/>
    <w:tmpl w:val="49A923A9"/>
    <w:lvl w:ilvl="0" w:tentative="0">
      <w:start w:val="11"/>
      <w:numFmt w:val="decimal"/>
      <w:lvlText w:val="%1"/>
      <w:lvlJc w:val="left"/>
      <w:pPr>
        <w:tabs>
          <w:tab w:val="left" w:pos="425"/>
        </w:tabs>
        <w:ind w:left="425" w:hanging="425"/>
      </w:pPr>
      <w:rPr>
        <w:rFonts w:hint="eastAsia" w:ascii="宋体" w:hAnsi="宋体" w:eastAsia="宋体"/>
      </w:rPr>
    </w:lvl>
    <w:lvl w:ilvl="1" w:tentative="0">
      <w:start w:val="1"/>
      <w:numFmt w:val="decimal"/>
      <w:lvlText w:val="%1.%2"/>
      <w:lvlJc w:val="left"/>
      <w:pPr>
        <w:tabs>
          <w:tab w:val="left" w:pos="1247"/>
        </w:tabs>
        <w:ind w:left="1247" w:hanging="793"/>
      </w:pPr>
      <w:rPr>
        <w:rFonts w:hint="eastAsia" w:ascii="宋体" w:hAnsi="宋体" w:eastAsia="宋体"/>
      </w:rPr>
    </w:lvl>
    <w:lvl w:ilvl="2" w:tentative="0">
      <w:start w:val="1"/>
      <w:numFmt w:val="decimal"/>
      <w:lvlText w:val="%1.%2.%3"/>
      <w:lvlJc w:val="left"/>
      <w:pPr>
        <w:tabs>
          <w:tab w:val="left" w:pos="1418"/>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399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202"/>
        </w:tabs>
        <w:ind w:left="5102" w:hanging="1700"/>
      </w:pPr>
      <w:rPr>
        <w:rFonts w:hint="eastAsia" w:ascii="宋体" w:hAnsi="宋体" w:eastAsia="宋体"/>
      </w:rPr>
    </w:lvl>
  </w:abstractNum>
  <w:abstractNum w:abstractNumId="13">
    <w:nsid w:val="49B6000C"/>
    <w:multiLevelType w:val="multilevel"/>
    <w:tmpl w:val="49B6000C"/>
    <w:lvl w:ilvl="0" w:tentative="0">
      <w:start w:val="9"/>
      <w:numFmt w:val="decimal"/>
      <w:lvlText w:val="%1"/>
      <w:lvlJc w:val="left"/>
      <w:pPr>
        <w:tabs>
          <w:tab w:val="left" w:pos="425"/>
        </w:tabs>
        <w:ind w:left="425" w:hanging="425"/>
      </w:pPr>
      <w:rPr>
        <w:rFonts w:hint="eastAsia" w:ascii="宋体" w:hAnsi="宋体" w:eastAsia="宋体"/>
      </w:rPr>
    </w:lvl>
    <w:lvl w:ilvl="1" w:tentative="0">
      <w:start w:val="1"/>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14">
    <w:nsid w:val="4E18C8BB"/>
    <w:multiLevelType w:val="singleLevel"/>
    <w:tmpl w:val="4E18C8BB"/>
    <w:lvl w:ilvl="0" w:tentative="0">
      <w:start w:val="23"/>
      <w:numFmt w:val="decimal"/>
      <w:lvlText w:val="%1."/>
      <w:lvlJc w:val="left"/>
      <w:pPr>
        <w:tabs>
          <w:tab w:val="left" w:pos="312"/>
        </w:tabs>
      </w:pPr>
    </w:lvl>
  </w:abstractNum>
  <w:abstractNum w:abstractNumId="15">
    <w:nsid w:val="4E3630BD"/>
    <w:multiLevelType w:val="multilevel"/>
    <w:tmpl w:val="4E3630BD"/>
    <w:lvl w:ilvl="0" w:tentative="0">
      <w:start w:val="9"/>
      <w:numFmt w:val="decimal"/>
      <w:lvlText w:val="%1"/>
      <w:lvlJc w:val="left"/>
      <w:pPr>
        <w:tabs>
          <w:tab w:val="left" w:pos="425"/>
        </w:tabs>
        <w:ind w:left="425" w:hanging="425"/>
      </w:pPr>
      <w:rPr>
        <w:rFonts w:hint="eastAsia" w:ascii="宋体" w:hAnsi="宋体" w:eastAsia="宋体"/>
      </w:rPr>
    </w:lvl>
    <w:lvl w:ilvl="1" w:tentative="0">
      <w:start w:val="4"/>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16">
    <w:nsid w:val="585D2242"/>
    <w:multiLevelType w:val="multilevel"/>
    <w:tmpl w:val="585D2242"/>
    <w:lvl w:ilvl="0" w:tentative="0">
      <w:start w:val="8"/>
      <w:numFmt w:val="decimal"/>
      <w:lvlText w:val="%1"/>
      <w:lvlJc w:val="left"/>
      <w:pPr>
        <w:tabs>
          <w:tab w:val="left" w:pos="425"/>
        </w:tabs>
        <w:ind w:left="425" w:hanging="425"/>
      </w:pPr>
      <w:rPr>
        <w:rFonts w:hint="eastAsia" w:ascii="宋体" w:hAnsi="宋体" w:eastAsia="宋体"/>
      </w:rPr>
    </w:lvl>
    <w:lvl w:ilvl="1" w:tentative="0">
      <w:start w:val="7"/>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17">
    <w:nsid w:val="68251067"/>
    <w:multiLevelType w:val="multilevel"/>
    <w:tmpl w:val="68251067"/>
    <w:lvl w:ilvl="0" w:tentative="0">
      <w:start w:val="8"/>
      <w:numFmt w:val="decimal"/>
      <w:lvlText w:val="%1"/>
      <w:lvlJc w:val="left"/>
      <w:pPr>
        <w:tabs>
          <w:tab w:val="left" w:pos="425"/>
        </w:tabs>
        <w:ind w:left="425" w:hanging="425"/>
      </w:pPr>
      <w:rPr>
        <w:rFonts w:hint="eastAsia" w:ascii="宋体" w:hAnsi="宋体" w:eastAsia="宋体"/>
      </w:rPr>
    </w:lvl>
    <w:lvl w:ilvl="1" w:tentative="0">
      <w:start w:val="9"/>
      <w:numFmt w:val="decimal"/>
      <w:lvlText w:val="%1.%2"/>
      <w:lvlJc w:val="left"/>
      <w:pPr>
        <w:tabs>
          <w:tab w:val="left" w:pos="992"/>
        </w:tabs>
        <w:ind w:left="992" w:hanging="567"/>
      </w:pPr>
      <w:rPr>
        <w:rFonts w:hint="eastAsia" w:ascii="宋体" w:hAnsi="宋体" w:eastAsia="宋体"/>
      </w:rPr>
    </w:lvl>
    <w:lvl w:ilvl="2" w:tentative="0">
      <w:start w:val="1"/>
      <w:numFmt w:val="decimal"/>
      <w:lvlText w:val="%1.%2.%3"/>
      <w:lvlJc w:val="left"/>
      <w:pPr>
        <w:tabs>
          <w:tab w:val="left" w:pos="1571"/>
        </w:tabs>
        <w:ind w:left="1418" w:hanging="567"/>
      </w:pPr>
      <w:rPr>
        <w:rFonts w:hint="eastAsia" w:ascii="宋体" w:hAnsi="宋体" w:eastAsia="宋体"/>
      </w:rPr>
    </w:lvl>
    <w:lvl w:ilvl="3" w:tentative="0">
      <w:start w:val="1"/>
      <w:numFmt w:val="decimal"/>
      <w:lvlText w:val="%1.%2.%3.%4"/>
      <w:lvlJc w:val="left"/>
      <w:pPr>
        <w:tabs>
          <w:tab w:val="left" w:pos="2356"/>
        </w:tabs>
        <w:ind w:left="1984" w:hanging="708"/>
      </w:pPr>
      <w:rPr>
        <w:rFonts w:hint="eastAsia" w:ascii="宋体" w:hAnsi="宋体" w:eastAsia="宋体"/>
      </w:rPr>
    </w:lvl>
    <w:lvl w:ilvl="4" w:tentative="0">
      <w:start w:val="1"/>
      <w:numFmt w:val="decimal"/>
      <w:lvlText w:val="%1.%2.%3.%4.%5"/>
      <w:lvlJc w:val="left"/>
      <w:pPr>
        <w:tabs>
          <w:tab w:val="left" w:pos="2781"/>
        </w:tabs>
        <w:ind w:left="2551" w:hanging="850"/>
      </w:pPr>
      <w:rPr>
        <w:rFonts w:hint="eastAsia" w:ascii="宋体" w:hAnsi="宋体" w:eastAsia="宋体"/>
      </w:rPr>
    </w:lvl>
    <w:lvl w:ilvl="5" w:tentative="0">
      <w:start w:val="1"/>
      <w:numFmt w:val="decimal"/>
      <w:lvlText w:val="%1.%2.%3.%4.%5.%6"/>
      <w:lvlJc w:val="left"/>
      <w:pPr>
        <w:tabs>
          <w:tab w:val="left" w:pos="3566"/>
        </w:tabs>
        <w:ind w:left="3260" w:hanging="1134"/>
      </w:pPr>
      <w:rPr>
        <w:rFonts w:hint="eastAsia" w:ascii="宋体" w:hAnsi="宋体" w:eastAsia="宋体"/>
      </w:rPr>
    </w:lvl>
    <w:lvl w:ilvl="6" w:tentative="0">
      <w:start w:val="1"/>
      <w:numFmt w:val="decimal"/>
      <w:lvlText w:val="%1.%2.%3.%4.%5.%6.%7"/>
      <w:lvlJc w:val="left"/>
      <w:pPr>
        <w:tabs>
          <w:tab w:val="left" w:pos="4351"/>
        </w:tabs>
        <w:ind w:left="3827" w:hanging="1276"/>
      </w:pPr>
      <w:rPr>
        <w:rFonts w:hint="eastAsia" w:ascii="宋体" w:hAnsi="宋体" w:eastAsia="宋体"/>
      </w:rPr>
    </w:lvl>
    <w:lvl w:ilvl="7" w:tentative="0">
      <w:start w:val="1"/>
      <w:numFmt w:val="decimal"/>
      <w:lvlText w:val="%1.%2.%3.%4.%5.%6.%7.%8"/>
      <w:lvlJc w:val="left"/>
      <w:pPr>
        <w:tabs>
          <w:tab w:val="left" w:pos="4776"/>
        </w:tabs>
        <w:ind w:left="4394" w:hanging="1418"/>
      </w:pPr>
      <w:rPr>
        <w:rFonts w:hint="eastAsia" w:ascii="宋体" w:hAnsi="宋体" w:eastAsia="宋体"/>
      </w:rPr>
    </w:lvl>
    <w:lvl w:ilvl="8" w:tentative="0">
      <w:start w:val="1"/>
      <w:numFmt w:val="decimal"/>
      <w:lvlText w:val="%1.%2.%3.%4.%5.%6.%7.%8.%9"/>
      <w:lvlJc w:val="left"/>
      <w:pPr>
        <w:tabs>
          <w:tab w:val="left" w:pos="5562"/>
        </w:tabs>
        <w:ind w:left="5102" w:hanging="1700"/>
      </w:pPr>
      <w:rPr>
        <w:rFonts w:hint="eastAsia" w:ascii="宋体" w:hAnsi="宋体" w:eastAsia="宋体"/>
      </w:rPr>
    </w:lvl>
  </w:abstractNum>
  <w:abstractNum w:abstractNumId="18">
    <w:nsid w:val="68A67A33"/>
    <w:multiLevelType w:val="multilevel"/>
    <w:tmpl w:val="68A67A33"/>
    <w:lvl w:ilvl="0" w:tentative="0">
      <w:start w:val="1"/>
      <w:numFmt w:val="decimal"/>
      <w:lvlText w:val="(%1)"/>
      <w:lvlJc w:val="left"/>
      <w:pPr>
        <w:ind w:left="900" w:hanging="420"/>
      </w:pPr>
      <w:rPr>
        <w:rFonts w:hint="default" w:ascii="Times New Roman" w:hAnsi="Times New Roman" w:cs="Times New Roman"/>
      </w:rPr>
    </w:lvl>
    <w:lvl w:ilvl="1" w:tentative="0">
      <w:start w:val="1"/>
      <w:numFmt w:val="decimal"/>
      <w:lvlText w:val="%2）"/>
      <w:lvlJc w:val="left"/>
      <w:pPr>
        <w:ind w:left="1740" w:hanging="840"/>
      </w:pPr>
      <w:rPr>
        <w:rFonts w:hint="default" w:ascii="Times New Roman" w:hAnsi="Times New Roman" w:cs="Times New Roman"/>
      </w:rPr>
    </w:lvl>
    <w:lvl w:ilvl="2" w:tentative="0">
      <w:start w:val="1"/>
      <w:numFmt w:val="lowerRoman"/>
      <w:lvlText w:val="%3."/>
      <w:lvlJc w:val="right"/>
      <w:pPr>
        <w:ind w:left="1740" w:hanging="420"/>
      </w:pPr>
      <w:rPr>
        <w:rFonts w:hint="default" w:ascii="Times New Roman" w:hAnsi="Times New Roman" w:cs="Times New Roman"/>
      </w:rPr>
    </w:lvl>
    <w:lvl w:ilvl="3" w:tentative="0">
      <w:start w:val="1"/>
      <w:numFmt w:val="decimal"/>
      <w:lvlText w:val="%4."/>
      <w:lvlJc w:val="left"/>
      <w:pPr>
        <w:ind w:left="2160" w:hanging="420"/>
      </w:pPr>
      <w:rPr>
        <w:rFonts w:hint="default" w:ascii="Times New Roman" w:hAnsi="Times New Roman" w:cs="Times New Roman"/>
      </w:rPr>
    </w:lvl>
    <w:lvl w:ilvl="4" w:tentative="0">
      <w:start w:val="1"/>
      <w:numFmt w:val="lowerLetter"/>
      <w:lvlText w:val="%5)"/>
      <w:lvlJc w:val="left"/>
      <w:pPr>
        <w:ind w:left="2580" w:hanging="420"/>
      </w:pPr>
      <w:rPr>
        <w:rFonts w:hint="default" w:ascii="Times New Roman" w:hAnsi="Times New Roman" w:cs="Times New Roman"/>
      </w:rPr>
    </w:lvl>
    <w:lvl w:ilvl="5" w:tentative="0">
      <w:start w:val="1"/>
      <w:numFmt w:val="lowerRoman"/>
      <w:lvlText w:val="%6."/>
      <w:lvlJc w:val="right"/>
      <w:pPr>
        <w:ind w:left="3000" w:hanging="420"/>
      </w:pPr>
      <w:rPr>
        <w:rFonts w:hint="default" w:ascii="Times New Roman" w:hAnsi="Times New Roman" w:cs="Times New Roman"/>
      </w:rPr>
    </w:lvl>
    <w:lvl w:ilvl="6" w:tentative="0">
      <w:start w:val="1"/>
      <w:numFmt w:val="decimal"/>
      <w:lvlText w:val="%7."/>
      <w:lvlJc w:val="left"/>
      <w:pPr>
        <w:ind w:left="3420" w:hanging="420"/>
      </w:pPr>
      <w:rPr>
        <w:rFonts w:hint="default" w:ascii="Times New Roman" w:hAnsi="Times New Roman" w:cs="Times New Roman"/>
      </w:rPr>
    </w:lvl>
    <w:lvl w:ilvl="7" w:tentative="0">
      <w:start w:val="1"/>
      <w:numFmt w:val="lowerLetter"/>
      <w:lvlText w:val="%8)"/>
      <w:lvlJc w:val="left"/>
      <w:pPr>
        <w:ind w:left="3840" w:hanging="420"/>
      </w:pPr>
      <w:rPr>
        <w:rFonts w:hint="default" w:ascii="Times New Roman" w:hAnsi="Times New Roman" w:cs="Times New Roman"/>
      </w:rPr>
    </w:lvl>
    <w:lvl w:ilvl="8" w:tentative="0">
      <w:start w:val="1"/>
      <w:numFmt w:val="lowerRoman"/>
      <w:lvlText w:val="%9."/>
      <w:lvlJc w:val="right"/>
      <w:pPr>
        <w:ind w:left="4260" w:hanging="420"/>
      </w:pPr>
      <w:rPr>
        <w:rFonts w:hint="default" w:ascii="Times New Roman" w:hAnsi="Times New Roman" w:cs="Times New Roman"/>
      </w:rPr>
    </w:lvl>
  </w:abstractNum>
  <w:abstractNum w:abstractNumId="19">
    <w:nsid w:val="79D94EB9"/>
    <w:multiLevelType w:val="multilevel"/>
    <w:tmpl w:val="79D94EB9"/>
    <w:lvl w:ilvl="0" w:tentative="0">
      <w:start w:val="1"/>
      <w:numFmt w:val="decimal"/>
      <w:lvlText w:val="%1"/>
      <w:lvlJc w:val="left"/>
      <w:pPr>
        <w:tabs>
          <w:tab w:val="left" w:pos="425"/>
        </w:tabs>
        <w:ind w:left="425" w:hanging="425"/>
      </w:pPr>
      <w:rPr>
        <w:rFonts w:hint="eastAsia" w:ascii="Times New Roman" w:hAnsi="Times New Roman" w:eastAsia="宋体" w:cs="Times New Roman"/>
        <w:b w:val="0"/>
        <w:color w:val="auto"/>
      </w:rPr>
    </w:lvl>
    <w:lvl w:ilvl="1" w:tentative="0">
      <w:start w:val="1"/>
      <w:numFmt w:val="decimal"/>
      <w:lvlText w:val="%1.%2"/>
      <w:lvlJc w:val="left"/>
      <w:pPr>
        <w:tabs>
          <w:tab w:val="left" w:pos="1512"/>
        </w:tabs>
        <w:ind w:left="1512" w:hanging="567"/>
      </w:pPr>
      <w:rPr>
        <w:rFonts w:hint="eastAsia" w:ascii="Times New Roman" w:hAnsi="Times New Roman" w:eastAsia="宋体" w:cs="Times New Roman"/>
        <w:b w:val="0"/>
        <w:color w:val="auto"/>
      </w:rPr>
    </w:lvl>
    <w:lvl w:ilvl="2" w:tentative="0">
      <w:start w:val="1"/>
      <w:numFmt w:val="decimal"/>
      <w:lvlText w:val="(%3)"/>
      <w:lvlJc w:val="left"/>
      <w:pPr>
        <w:tabs>
          <w:tab w:val="left" w:pos="1418"/>
        </w:tabs>
        <w:ind w:left="1418" w:hanging="567"/>
      </w:pPr>
      <w:rPr>
        <w:rFonts w:hint="default" w:cs="Times New Roman"/>
        <w:color w:val="auto"/>
      </w:rPr>
    </w:lvl>
    <w:lvl w:ilvl="3" w:tentative="0">
      <w:start w:val="1"/>
      <w:numFmt w:val="decimal"/>
      <w:lvlText w:val="9.1.%1.%2.%3.%4"/>
      <w:lvlJc w:val="left"/>
      <w:pPr>
        <w:tabs>
          <w:tab w:val="left" w:pos="2356"/>
        </w:tabs>
        <w:ind w:left="1984" w:hanging="708"/>
      </w:pPr>
      <w:rPr>
        <w:rFonts w:hint="eastAsia" w:cs="Times New Roman"/>
      </w:rPr>
    </w:lvl>
    <w:lvl w:ilvl="4" w:tentative="0">
      <w:start w:val="1"/>
      <w:numFmt w:val="decimal"/>
      <w:lvlText w:val="9.1.%1.%2.%3.%4.%5"/>
      <w:lvlJc w:val="left"/>
      <w:pPr>
        <w:tabs>
          <w:tab w:val="left" w:pos="2781"/>
        </w:tabs>
        <w:ind w:left="2551" w:hanging="850"/>
      </w:pPr>
      <w:rPr>
        <w:rFonts w:hint="eastAsia" w:cs="Times New Roman"/>
      </w:rPr>
    </w:lvl>
    <w:lvl w:ilvl="5" w:tentative="0">
      <w:start w:val="1"/>
      <w:numFmt w:val="none"/>
      <w:lvlText w:val=""/>
      <w:lvlJc w:val="left"/>
      <w:pPr>
        <w:tabs>
          <w:tab w:val="left" w:pos="3566"/>
        </w:tabs>
        <w:ind w:left="3260" w:hanging="1134"/>
      </w:pPr>
      <w:rPr>
        <w:rFonts w:hint="eastAsia" w:cs="Times New Roman"/>
      </w:rPr>
    </w:lvl>
    <w:lvl w:ilvl="6" w:tentative="0">
      <w:start w:val="1"/>
      <w:numFmt w:val="decimal"/>
      <w:lvlText w:val="%1.%2.%3.%4.%5.%6.%7"/>
      <w:lvlJc w:val="left"/>
      <w:pPr>
        <w:tabs>
          <w:tab w:val="left" w:pos="3991"/>
        </w:tabs>
        <w:ind w:left="3827" w:hanging="1276"/>
      </w:pPr>
      <w:rPr>
        <w:rFonts w:hint="eastAsia" w:cs="Times New Roman"/>
      </w:rPr>
    </w:lvl>
    <w:lvl w:ilvl="7" w:tentative="0">
      <w:start w:val="1"/>
      <w:numFmt w:val="decimal"/>
      <w:lvlText w:val="%1.%2.%3.%4.%5.%6.%7.%8"/>
      <w:lvlJc w:val="left"/>
      <w:pPr>
        <w:tabs>
          <w:tab w:val="left" w:pos="4776"/>
        </w:tabs>
        <w:ind w:left="4394" w:hanging="1418"/>
      </w:pPr>
      <w:rPr>
        <w:rFonts w:hint="eastAsia" w:cs="Times New Roman"/>
      </w:rPr>
    </w:lvl>
    <w:lvl w:ilvl="8" w:tentative="0">
      <w:start w:val="1"/>
      <w:numFmt w:val="decimal"/>
      <w:lvlText w:val="%1.%2.%3.%4.%5.%6.%7.%8.%9"/>
      <w:lvlJc w:val="left"/>
      <w:pPr>
        <w:tabs>
          <w:tab w:val="left" w:pos="5562"/>
        </w:tabs>
        <w:ind w:left="5102" w:hanging="1700"/>
      </w:pPr>
      <w:rPr>
        <w:rFonts w:hint="eastAsia" w:cs="Times New Roman"/>
      </w:rPr>
    </w:lvl>
  </w:abstractNum>
  <w:abstractNum w:abstractNumId="20">
    <w:nsid w:val="7CA10CFA"/>
    <w:multiLevelType w:val="multilevel"/>
    <w:tmpl w:val="7CA10CFA"/>
    <w:lvl w:ilvl="0" w:tentative="0">
      <w:start w:val="1"/>
      <w:numFmt w:val="decimal"/>
      <w:lvlText w:val="%1"/>
      <w:lvlJc w:val="left"/>
      <w:pPr>
        <w:tabs>
          <w:tab w:val="left" w:pos="425"/>
        </w:tabs>
        <w:ind w:left="425" w:hanging="425"/>
      </w:pPr>
      <w:rPr>
        <w:rFonts w:hint="eastAsia" w:ascii="Times New Roman" w:hAnsi="Times New Roman" w:eastAsia="宋体" w:cs="Times New Roman"/>
        <w:b w:val="0"/>
        <w:color w:val="auto"/>
      </w:rPr>
    </w:lvl>
    <w:lvl w:ilvl="1" w:tentative="0">
      <w:start w:val="1"/>
      <w:numFmt w:val="decimal"/>
      <w:lvlText w:val="%1.%2"/>
      <w:lvlJc w:val="left"/>
      <w:pPr>
        <w:tabs>
          <w:tab w:val="left" w:pos="1512"/>
        </w:tabs>
        <w:ind w:left="1512" w:hanging="567"/>
      </w:pPr>
      <w:rPr>
        <w:rFonts w:hint="eastAsia" w:ascii="Times New Roman" w:hAnsi="Times New Roman" w:eastAsia="宋体" w:cs="Times New Roman"/>
        <w:b w:val="0"/>
        <w:color w:val="auto"/>
      </w:rPr>
    </w:lvl>
    <w:lvl w:ilvl="2" w:tentative="0">
      <w:start w:val="1"/>
      <w:numFmt w:val="decimal"/>
      <w:lvlText w:val="(%3)"/>
      <w:lvlJc w:val="left"/>
      <w:pPr>
        <w:tabs>
          <w:tab w:val="left" w:pos="1418"/>
        </w:tabs>
        <w:ind w:left="1418" w:hanging="567"/>
      </w:pPr>
      <w:rPr>
        <w:rFonts w:hint="default" w:cs="Times New Roman"/>
        <w:color w:val="auto"/>
      </w:rPr>
    </w:lvl>
    <w:lvl w:ilvl="3" w:tentative="0">
      <w:start w:val="1"/>
      <w:numFmt w:val="decimal"/>
      <w:lvlText w:val="9.1.%1.%2.%3.%4"/>
      <w:lvlJc w:val="left"/>
      <w:pPr>
        <w:tabs>
          <w:tab w:val="left" w:pos="2356"/>
        </w:tabs>
        <w:ind w:left="1984" w:hanging="708"/>
      </w:pPr>
      <w:rPr>
        <w:rFonts w:hint="eastAsia" w:cs="Times New Roman"/>
      </w:rPr>
    </w:lvl>
    <w:lvl w:ilvl="4" w:tentative="0">
      <w:start w:val="1"/>
      <w:numFmt w:val="decimal"/>
      <w:lvlText w:val="9.1.%1.%2.%3.%4.%5"/>
      <w:lvlJc w:val="left"/>
      <w:pPr>
        <w:tabs>
          <w:tab w:val="left" w:pos="2781"/>
        </w:tabs>
        <w:ind w:left="2551" w:hanging="850"/>
      </w:pPr>
      <w:rPr>
        <w:rFonts w:hint="eastAsia" w:cs="Times New Roman"/>
      </w:rPr>
    </w:lvl>
    <w:lvl w:ilvl="5" w:tentative="0">
      <w:start w:val="1"/>
      <w:numFmt w:val="none"/>
      <w:lvlText w:val=""/>
      <w:lvlJc w:val="left"/>
      <w:pPr>
        <w:tabs>
          <w:tab w:val="left" w:pos="3566"/>
        </w:tabs>
        <w:ind w:left="3260" w:hanging="1134"/>
      </w:pPr>
      <w:rPr>
        <w:rFonts w:hint="eastAsia" w:cs="Times New Roman"/>
      </w:rPr>
    </w:lvl>
    <w:lvl w:ilvl="6" w:tentative="0">
      <w:start w:val="1"/>
      <w:numFmt w:val="decimal"/>
      <w:lvlText w:val="%1.%2.%3.%4.%5.%6.%7"/>
      <w:lvlJc w:val="left"/>
      <w:pPr>
        <w:tabs>
          <w:tab w:val="left" w:pos="3991"/>
        </w:tabs>
        <w:ind w:left="3827" w:hanging="1276"/>
      </w:pPr>
      <w:rPr>
        <w:rFonts w:hint="eastAsia" w:cs="Times New Roman"/>
      </w:rPr>
    </w:lvl>
    <w:lvl w:ilvl="7" w:tentative="0">
      <w:start w:val="1"/>
      <w:numFmt w:val="decimal"/>
      <w:lvlText w:val="%1.%2.%3.%4.%5.%6.%7.%8"/>
      <w:lvlJc w:val="left"/>
      <w:pPr>
        <w:tabs>
          <w:tab w:val="left" w:pos="4776"/>
        </w:tabs>
        <w:ind w:left="4394" w:hanging="1418"/>
      </w:pPr>
      <w:rPr>
        <w:rFonts w:hint="eastAsia" w:cs="Times New Roman"/>
      </w:rPr>
    </w:lvl>
    <w:lvl w:ilvl="8" w:tentative="0">
      <w:start w:val="1"/>
      <w:numFmt w:val="decimal"/>
      <w:lvlText w:val="%1.%2.%3.%4.%5.%6.%7.%8.%9"/>
      <w:lvlJc w:val="left"/>
      <w:pPr>
        <w:tabs>
          <w:tab w:val="left" w:pos="5562"/>
        </w:tabs>
        <w:ind w:left="5102" w:hanging="1700"/>
      </w:pPr>
      <w:rPr>
        <w:rFonts w:hint="eastAsia" w:cs="Times New Roman"/>
      </w:rPr>
    </w:lvl>
  </w:abstractNum>
  <w:num w:numId="1">
    <w:abstractNumId w:val="0"/>
  </w:num>
  <w:num w:numId="2">
    <w:abstractNumId w:val="0"/>
    <w:lvlOverride w:ilvl="0">
      <w:startOverride w:val="1"/>
    </w:lvlOverride>
  </w:num>
  <w:num w:numId="3">
    <w:abstractNumId w:val="8"/>
  </w:num>
  <w:num w:numId="4">
    <w:abstractNumId w:val="14"/>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lvlOverride w:ilvl="0">
      <w:startOverride w:val="8"/>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8"/>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lvlOverride w:ilvl="0">
      <w:startOverride w:val="8"/>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9"/>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0"/>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num>
  <w:num w:numId="19">
    <w:abstractNumId w:val="5"/>
  </w:num>
  <w:num w:numId="20">
    <w:abstractNumId w:val="19"/>
  </w:num>
  <w:num w:numId="21">
    <w:abstractNumId w:val="7"/>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1"/>
  <w:documentProtection w:enforcement="0"/>
  <w:defaultTabStop w:val="0"/>
  <w:drawingGridHorizontalSpacing w:val="105"/>
  <w:drawingGridVerticalSpacing w:val="156"/>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hmZWYyMWQ4ZjA4NTMzNzc0ZTI0MTcxYjkyNmY1NTYifQ=="/>
  </w:docVars>
  <w:rsids>
    <w:rsidRoot w:val="00172A27"/>
    <w:rsid w:val="0000063D"/>
    <w:rsid w:val="00000BF7"/>
    <w:rsid w:val="00000FEF"/>
    <w:rsid w:val="00001823"/>
    <w:rsid w:val="00002277"/>
    <w:rsid w:val="00002874"/>
    <w:rsid w:val="000029D7"/>
    <w:rsid w:val="00002CE1"/>
    <w:rsid w:val="00003517"/>
    <w:rsid w:val="00003AD5"/>
    <w:rsid w:val="000046B4"/>
    <w:rsid w:val="0000615D"/>
    <w:rsid w:val="00006519"/>
    <w:rsid w:val="00006548"/>
    <w:rsid w:val="00006B37"/>
    <w:rsid w:val="00007B06"/>
    <w:rsid w:val="000100E6"/>
    <w:rsid w:val="0001091C"/>
    <w:rsid w:val="00010953"/>
    <w:rsid w:val="00010C6F"/>
    <w:rsid w:val="00010E93"/>
    <w:rsid w:val="000115AB"/>
    <w:rsid w:val="0001198C"/>
    <w:rsid w:val="00011D32"/>
    <w:rsid w:val="00012A14"/>
    <w:rsid w:val="000134A1"/>
    <w:rsid w:val="00013900"/>
    <w:rsid w:val="00013FA2"/>
    <w:rsid w:val="000144A3"/>
    <w:rsid w:val="00014707"/>
    <w:rsid w:val="00015062"/>
    <w:rsid w:val="0001540F"/>
    <w:rsid w:val="000163CA"/>
    <w:rsid w:val="000202D1"/>
    <w:rsid w:val="0002145E"/>
    <w:rsid w:val="00021BB6"/>
    <w:rsid w:val="00023042"/>
    <w:rsid w:val="00023074"/>
    <w:rsid w:val="00023184"/>
    <w:rsid w:val="0002406F"/>
    <w:rsid w:val="00026A87"/>
    <w:rsid w:val="00027136"/>
    <w:rsid w:val="000275FC"/>
    <w:rsid w:val="00027B10"/>
    <w:rsid w:val="000304FA"/>
    <w:rsid w:val="0003076E"/>
    <w:rsid w:val="00031069"/>
    <w:rsid w:val="00031281"/>
    <w:rsid w:val="00031D65"/>
    <w:rsid w:val="0003224B"/>
    <w:rsid w:val="00032684"/>
    <w:rsid w:val="00032723"/>
    <w:rsid w:val="00032C09"/>
    <w:rsid w:val="00032F63"/>
    <w:rsid w:val="00034082"/>
    <w:rsid w:val="0003474C"/>
    <w:rsid w:val="00035349"/>
    <w:rsid w:val="000353C0"/>
    <w:rsid w:val="0003569A"/>
    <w:rsid w:val="0003636E"/>
    <w:rsid w:val="00036E55"/>
    <w:rsid w:val="00036F2A"/>
    <w:rsid w:val="00037927"/>
    <w:rsid w:val="00040D3A"/>
    <w:rsid w:val="00040E80"/>
    <w:rsid w:val="0004196B"/>
    <w:rsid w:val="000426CE"/>
    <w:rsid w:val="000427CA"/>
    <w:rsid w:val="00042C4F"/>
    <w:rsid w:val="000431FC"/>
    <w:rsid w:val="00043443"/>
    <w:rsid w:val="00043F4F"/>
    <w:rsid w:val="00044C4D"/>
    <w:rsid w:val="00044E82"/>
    <w:rsid w:val="00045091"/>
    <w:rsid w:val="000451C6"/>
    <w:rsid w:val="0004540E"/>
    <w:rsid w:val="00045717"/>
    <w:rsid w:val="00045AAA"/>
    <w:rsid w:val="00046866"/>
    <w:rsid w:val="000469A0"/>
    <w:rsid w:val="00046C2B"/>
    <w:rsid w:val="0004769A"/>
    <w:rsid w:val="000501D0"/>
    <w:rsid w:val="000505A0"/>
    <w:rsid w:val="000507AF"/>
    <w:rsid w:val="00051CF3"/>
    <w:rsid w:val="00051F06"/>
    <w:rsid w:val="00052326"/>
    <w:rsid w:val="0005266A"/>
    <w:rsid w:val="00052807"/>
    <w:rsid w:val="00053414"/>
    <w:rsid w:val="00053580"/>
    <w:rsid w:val="00053853"/>
    <w:rsid w:val="00054660"/>
    <w:rsid w:val="000557EA"/>
    <w:rsid w:val="00056AF6"/>
    <w:rsid w:val="00060448"/>
    <w:rsid w:val="00060D4F"/>
    <w:rsid w:val="00060D59"/>
    <w:rsid w:val="00064AD0"/>
    <w:rsid w:val="00064AF6"/>
    <w:rsid w:val="00065FEC"/>
    <w:rsid w:val="000669BD"/>
    <w:rsid w:val="00070299"/>
    <w:rsid w:val="000715DD"/>
    <w:rsid w:val="00071F11"/>
    <w:rsid w:val="000733C1"/>
    <w:rsid w:val="000736E2"/>
    <w:rsid w:val="00073A95"/>
    <w:rsid w:val="00073C4B"/>
    <w:rsid w:val="00073C87"/>
    <w:rsid w:val="0007402C"/>
    <w:rsid w:val="00074A1A"/>
    <w:rsid w:val="00074E6F"/>
    <w:rsid w:val="000753A9"/>
    <w:rsid w:val="00075922"/>
    <w:rsid w:val="00076546"/>
    <w:rsid w:val="0007727E"/>
    <w:rsid w:val="0007742A"/>
    <w:rsid w:val="000778EF"/>
    <w:rsid w:val="00077C47"/>
    <w:rsid w:val="000800C8"/>
    <w:rsid w:val="000808B0"/>
    <w:rsid w:val="000815DA"/>
    <w:rsid w:val="000816EB"/>
    <w:rsid w:val="000816F3"/>
    <w:rsid w:val="00082747"/>
    <w:rsid w:val="00083826"/>
    <w:rsid w:val="00083ADD"/>
    <w:rsid w:val="00084ADF"/>
    <w:rsid w:val="00085770"/>
    <w:rsid w:val="00085784"/>
    <w:rsid w:val="00090C1F"/>
    <w:rsid w:val="00090DAA"/>
    <w:rsid w:val="000911FA"/>
    <w:rsid w:val="00091585"/>
    <w:rsid w:val="00091623"/>
    <w:rsid w:val="00091F2F"/>
    <w:rsid w:val="00091FC0"/>
    <w:rsid w:val="000925BF"/>
    <w:rsid w:val="000929DE"/>
    <w:rsid w:val="000934FF"/>
    <w:rsid w:val="00093681"/>
    <w:rsid w:val="00093CCC"/>
    <w:rsid w:val="00094965"/>
    <w:rsid w:val="000956C6"/>
    <w:rsid w:val="00095D3C"/>
    <w:rsid w:val="00096106"/>
    <w:rsid w:val="00096B50"/>
    <w:rsid w:val="000976F3"/>
    <w:rsid w:val="000979D5"/>
    <w:rsid w:val="00097C0C"/>
    <w:rsid w:val="00097E4C"/>
    <w:rsid w:val="000A253C"/>
    <w:rsid w:val="000A2856"/>
    <w:rsid w:val="000A28E1"/>
    <w:rsid w:val="000A2E6E"/>
    <w:rsid w:val="000A2F67"/>
    <w:rsid w:val="000A3018"/>
    <w:rsid w:val="000A341E"/>
    <w:rsid w:val="000A3AE7"/>
    <w:rsid w:val="000A4013"/>
    <w:rsid w:val="000A4725"/>
    <w:rsid w:val="000A4EB4"/>
    <w:rsid w:val="000A59DE"/>
    <w:rsid w:val="000A5AED"/>
    <w:rsid w:val="000A6523"/>
    <w:rsid w:val="000A67E5"/>
    <w:rsid w:val="000A6FF1"/>
    <w:rsid w:val="000A73C7"/>
    <w:rsid w:val="000B02B4"/>
    <w:rsid w:val="000B03A2"/>
    <w:rsid w:val="000B03FE"/>
    <w:rsid w:val="000B0B1F"/>
    <w:rsid w:val="000B25EC"/>
    <w:rsid w:val="000B27E4"/>
    <w:rsid w:val="000B2ABC"/>
    <w:rsid w:val="000B3468"/>
    <w:rsid w:val="000B517C"/>
    <w:rsid w:val="000B5868"/>
    <w:rsid w:val="000B5879"/>
    <w:rsid w:val="000B5E97"/>
    <w:rsid w:val="000B6BFE"/>
    <w:rsid w:val="000B6FFB"/>
    <w:rsid w:val="000B77DD"/>
    <w:rsid w:val="000B7EC9"/>
    <w:rsid w:val="000C05C5"/>
    <w:rsid w:val="000C0874"/>
    <w:rsid w:val="000C094F"/>
    <w:rsid w:val="000C0F33"/>
    <w:rsid w:val="000C10BE"/>
    <w:rsid w:val="000C3A26"/>
    <w:rsid w:val="000C447E"/>
    <w:rsid w:val="000C4705"/>
    <w:rsid w:val="000C4CE3"/>
    <w:rsid w:val="000C553E"/>
    <w:rsid w:val="000C5A14"/>
    <w:rsid w:val="000C6E6C"/>
    <w:rsid w:val="000D0923"/>
    <w:rsid w:val="000D1A88"/>
    <w:rsid w:val="000D1E03"/>
    <w:rsid w:val="000D22EC"/>
    <w:rsid w:val="000D234B"/>
    <w:rsid w:val="000D3668"/>
    <w:rsid w:val="000D3854"/>
    <w:rsid w:val="000D4658"/>
    <w:rsid w:val="000D4A98"/>
    <w:rsid w:val="000D5DB1"/>
    <w:rsid w:val="000D64DB"/>
    <w:rsid w:val="000D7B59"/>
    <w:rsid w:val="000E1C66"/>
    <w:rsid w:val="000E1C91"/>
    <w:rsid w:val="000E23D0"/>
    <w:rsid w:val="000E39FB"/>
    <w:rsid w:val="000E41C5"/>
    <w:rsid w:val="000E564B"/>
    <w:rsid w:val="000E60F8"/>
    <w:rsid w:val="000E65FF"/>
    <w:rsid w:val="000E75AE"/>
    <w:rsid w:val="000F0331"/>
    <w:rsid w:val="000F09B7"/>
    <w:rsid w:val="000F0A1D"/>
    <w:rsid w:val="000F1445"/>
    <w:rsid w:val="000F18FB"/>
    <w:rsid w:val="000F220A"/>
    <w:rsid w:val="000F2C29"/>
    <w:rsid w:val="000F32D2"/>
    <w:rsid w:val="000F3568"/>
    <w:rsid w:val="000F3927"/>
    <w:rsid w:val="000F3C1D"/>
    <w:rsid w:val="000F3CB8"/>
    <w:rsid w:val="000F4829"/>
    <w:rsid w:val="000F5011"/>
    <w:rsid w:val="000F59A7"/>
    <w:rsid w:val="000F5DE4"/>
    <w:rsid w:val="000F6696"/>
    <w:rsid w:val="000F66E4"/>
    <w:rsid w:val="000F6A23"/>
    <w:rsid w:val="000F738C"/>
    <w:rsid w:val="000F7CB7"/>
    <w:rsid w:val="000F7F23"/>
    <w:rsid w:val="00100A22"/>
    <w:rsid w:val="00101065"/>
    <w:rsid w:val="00101487"/>
    <w:rsid w:val="001015C9"/>
    <w:rsid w:val="00101BB8"/>
    <w:rsid w:val="00101BD3"/>
    <w:rsid w:val="00102F8A"/>
    <w:rsid w:val="00102FF4"/>
    <w:rsid w:val="00103102"/>
    <w:rsid w:val="0010458E"/>
    <w:rsid w:val="001046F5"/>
    <w:rsid w:val="00104962"/>
    <w:rsid w:val="00105D0A"/>
    <w:rsid w:val="001060A8"/>
    <w:rsid w:val="001066B3"/>
    <w:rsid w:val="00107001"/>
    <w:rsid w:val="00107489"/>
    <w:rsid w:val="001075BF"/>
    <w:rsid w:val="00107A21"/>
    <w:rsid w:val="00107C13"/>
    <w:rsid w:val="001100A4"/>
    <w:rsid w:val="00110602"/>
    <w:rsid w:val="00110E36"/>
    <w:rsid w:val="00110E7C"/>
    <w:rsid w:val="001110E8"/>
    <w:rsid w:val="001116E6"/>
    <w:rsid w:val="00111AF0"/>
    <w:rsid w:val="00113678"/>
    <w:rsid w:val="00116035"/>
    <w:rsid w:val="00116A4A"/>
    <w:rsid w:val="00116D9E"/>
    <w:rsid w:val="0011730D"/>
    <w:rsid w:val="001175D8"/>
    <w:rsid w:val="00117779"/>
    <w:rsid w:val="00120192"/>
    <w:rsid w:val="00121701"/>
    <w:rsid w:val="00121790"/>
    <w:rsid w:val="00122992"/>
    <w:rsid w:val="00122EA6"/>
    <w:rsid w:val="001241F9"/>
    <w:rsid w:val="00124E95"/>
    <w:rsid w:val="001251A1"/>
    <w:rsid w:val="00125D81"/>
    <w:rsid w:val="00126DBC"/>
    <w:rsid w:val="001278CE"/>
    <w:rsid w:val="00131065"/>
    <w:rsid w:val="001317DA"/>
    <w:rsid w:val="00131909"/>
    <w:rsid w:val="001325E2"/>
    <w:rsid w:val="00133EF8"/>
    <w:rsid w:val="00134C53"/>
    <w:rsid w:val="0013500E"/>
    <w:rsid w:val="00135095"/>
    <w:rsid w:val="00135731"/>
    <w:rsid w:val="00135C64"/>
    <w:rsid w:val="001366A5"/>
    <w:rsid w:val="00137357"/>
    <w:rsid w:val="00137CE2"/>
    <w:rsid w:val="0014124C"/>
    <w:rsid w:val="00143619"/>
    <w:rsid w:val="00143FDE"/>
    <w:rsid w:val="001440F9"/>
    <w:rsid w:val="0014535E"/>
    <w:rsid w:val="0014635B"/>
    <w:rsid w:val="001475D4"/>
    <w:rsid w:val="00150301"/>
    <w:rsid w:val="001505B6"/>
    <w:rsid w:val="00151355"/>
    <w:rsid w:val="001518C4"/>
    <w:rsid w:val="00151C1D"/>
    <w:rsid w:val="00152348"/>
    <w:rsid w:val="00152D62"/>
    <w:rsid w:val="00153056"/>
    <w:rsid w:val="001534E2"/>
    <w:rsid w:val="00153501"/>
    <w:rsid w:val="001537D8"/>
    <w:rsid w:val="001543A1"/>
    <w:rsid w:val="00154CA5"/>
    <w:rsid w:val="001554B9"/>
    <w:rsid w:val="00155578"/>
    <w:rsid w:val="001556AC"/>
    <w:rsid w:val="001577E4"/>
    <w:rsid w:val="00160558"/>
    <w:rsid w:val="00160D12"/>
    <w:rsid w:val="00160F4D"/>
    <w:rsid w:val="0016112C"/>
    <w:rsid w:val="0016164C"/>
    <w:rsid w:val="00162088"/>
    <w:rsid w:val="0016368F"/>
    <w:rsid w:val="00164A06"/>
    <w:rsid w:val="00165AEF"/>
    <w:rsid w:val="001667F7"/>
    <w:rsid w:val="001675F7"/>
    <w:rsid w:val="0016776F"/>
    <w:rsid w:val="00167DC6"/>
    <w:rsid w:val="001704AE"/>
    <w:rsid w:val="001706D8"/>
    <w:rsid w:val="0017130F"/>
    <w:rsid w:val="00172428"/>
    <w:rsid w:val="00172A27"/>
    <w:rsid w:val="00172E01"/>
    <w:rsid w:val="001738BB"/>
    <w:rsid w:val="00174A6E"/>
    <w:rsid w:val="00174F3C"/>
    <w:rsid w:val="0017575B"/>
    <w:rsid w:val="00175CFB"/>
    <w:rsid w:val="00176594"/>
    <w:rsid w:val="00176B16"/>
    <w:rsid w:val="00176CB6"/>
    <w:rsid w:val="00176DA4"/>
    <w:rsid w:val="00177A62"/>
    <w:rsid w:val="00177D11"/>
    <w:rsid w:val="001802D0"/>
    <w:rsid w:val="00180763"/>
    <w:rsid w:val="00180D20"/>
    <w:rsid w:val="00181533"/>
    <w:rsid w:val="001815D5"/>
    <w:rsid w:val="00181DF8"/>
    <w:rsid w:val="00182681"/>
    <w:rsid w:val="001832D2"/>
    <w:rsid w:val="00183553"/>
    <w:rsid w:val="00183C2E"/>
    <w:rsid w:val="001845A8"/>
    <w:rsid w:val="00184795"/>
    <w:rsid w:val="00184AA5"/>
    <w:rsid w:val="00185235"/>
    <w:rsid w:val="001859AA"/>
    <w:rsid w:val="00185B68"/>
    <w:rsid w:val="00185E3E"/>
    <w:rsid w:val="00186AC0"/>
    <w:rsid w:val="00187B33"/>
    <w:rsid w:val="00190B7F"/>
    <w:rsid w:val="00191773"/>
    <w:rsid w:val="00192154"/>
    <w:rsid w:val="00193535"/>
    <w:rsid w:val="001962AA"/>
    <w:rsid w:val="00197247"/>
    <w:rsid w:val="001A06F1"/>
    <w:rsid w:val="001A0CFD"/>
    <w:rsid w:val="001A0D27"/>
    <w:rsid w:val="001A1137"/>
    <w:rsid w:val="001A1559"/>
    <w:rsid w:val="001A16EE"/>
    <w:rsid w:val="001A19CD"/>
    <w:rsid w:val="001A1DCE"/>
    <w:rsid w:val="001A3195"/>
    <w:rsid w:val="001A3B3F"/>
    <w:rsid w:val="001A4024"/>
    <w:rsid w:val="001A4BE2"/>
    <w:rsid w:val="001A4CAB"/>
    <w:rsid w:val="001A515C"/>
    <w:rsid w:val="001A5915"/>
    <w:rsid w:val="001A5A84"/>
    <w:rsid w:val="001A65D0"/>
    <w:rsid w:val="001A6F4D"/>
    <w:rsid w:val="001A74B5"/>
    <w:rsid w:val="001A778B"/>
    <w:rsid w:val="001A7D86"/>
    <w:rsid w:val="001B1A4F"/>
    <w:rsid w:val="001B247F"/>
    <w:rsid w:val="001B280B"/>
    <w:rsid w:val="001B29AF"/>
    <w:rsid w:val="001B2F1A"/>
    <w:rsid w:val="001B31E5"/>
    <w:rsid w:val="001B3337"/>
    <w:rsid w:val="001B4DF0"/>
    <w:rsid w:val="001B5CF7"/>
    <w:rsid w:val="001B6952"/>
    <w:rsid w:val="001B740B"/>
    <w:rsid w:val="001B77A2"/>
    <w:rsid w:val="001B79CD"/>
    <w:rsid w:val="001B7D4B"/>
    <w:rsid w:val="001C0395"/>
    <w:rsid w:val="001C0D4D"/>
    <w:rsid w:val="001C1F85"/>
    <w:rsid w:val="001C30F5"/>
    <w:rsid w:val="001C39E1"/>
    <w:rsid w:val="001C4023"/>
    <w:rsid w:val="001C6C4F"/>
    <w:rsid w:val="001D0CF1"/>
    <w:rsid w:val="001D11E8"/>
    <w:rsid w:val="001D24C3"/>
    <w:rsid w:val="001D326C"/>
    <w:rsid w:val="001D38CD"/>
    <w:rsid w:val="001D4C95"/>
    <w:rsid w:val="001D5325"/>
    <w:rsid w:val="001D6FCD"/>
    <w:rsid w:val="001D7476"/>
    <w:rsid w:val="001D7E5C"/>
    <w:rsid w:val="001E01EE"/>
    <w:rsid w:val="001E0C07"/>
    <w:rsid w:val="001E0CD3"/>
    <w:rsid w:val="001E1482"/>
    <w:rsid w:val="001E2138"/>
    <w:rsid w:val="001E271E"/>
    <w:rsid w:val="001E2A87"/>
    <w:rsid w:val="001E4385"/>
    <w:rsid w:val="001E45ED"/>
    <w:rsid w:val="001E4D48"/>
    <w:rsid w:val="001E50A6"/>
    <w:rsid w:val="001E52D8"/>
    <w:rsid w:val="001E6335"/>
    <w:rsid w:val="001E6E0F"/>
    <w:rsid w:val="001E723B"/>
    <w:rsid w:val="001E7360"/>
    <w:rsid w:val="001E7604"/>
    <w:rsid w:val="001E79DD"/>
    <w:rsid w:val="001F0ECB"/>
    <w:rsid w:val="001F1020"/>
    <w:rsid w:val="001F1589"/>
    <w:rsid w:val="001F165D"/>
    <w:rsid w:val="001F17EA"/>
    <w:rsid w:val="001F1E02"/>
    <w:rsid w:val="001F2ABE"/>
    <w:rsid w:val="001F31F0"/>
    <w:rsid w:val="001F4180"/>
    <w:rsid w:val="001F483A"/>
    <w:rsid w:val="001F62C6"/>
    <w:rsid w:val="001F6C44"/>
    <w:rsid w:val="001F785F"/>
    <w:rsid w:val="001F79B7"/>
    <w:rsid w:val="002015E9"/>
    <w:rsid w:val="00201963"/>
    <w:rsid w:val="00201C59"/>
    <w:rsid w:val="00201F23"/>
    <w:rsid w:val="00202CAC"/>
    <w:rsid w:val="00203FA0"/>
    <w:rsid w:val="002053A1"/>
    <w:rsid w:val="00207307"/>
    <w:rsid w:val="00207B70"/>
    <w:rsid w:val="00210A81"/>
    <w:rsid w:val="00210B80"/>
    <w:rsid w:val="00212659"/>
    <w:rsid w:val="00212833"/>
    <w:rsid w:val="00212ADE"/>
    <w:rsid w:val="002133A7"/>
    <w:rsid w:val="00213EDF"/>
    <w:rsid w:val="0021410C"/>
    <w:rsid w:val="00214EB8"/>
    <w:rsid w:val="00214FD4"/>
    <w:rsid w:val="00215903"/>
    <w:rsid w:val="00215EF6"/>
    <w:rsid w:val="0021608D"/>
    <w:rsid w:val="0021643D"/>
    <w:rsid w:val="00216AB0"/>
    <w:rsid w:val="002178CD"/>
    <w:rsid w:val="00217A7C"/>
    <w:rsid w:val="002201EA"/>
    <w:rsid w:val="002208F1"/>
    <w:rsid w:val="00220A82"/>
    <w:rsid w:val="00221794"/>
    <w:rsid w:val="00221E34"/>
    <w:rsid w:val="00221F67"/>
    <w:rsid w:val="00222D00"/>
    <w:rsid w:val="00222D7F"/>
    <w:rsid w:val="002232B6"/>
    <w:rsid w:val="00224091"/>
    <w:rsid w:val="00224470"/>
    <w:rsid w:val="002247F1"/>
    <w:rsid w:val="00224A7D"/>
    <w:rsid w:val="00224E3E"/>
    <w:rsid w:val="00225560"/>
    <w:rsid w:val="00227015"/>
    <w:rsid w:val="002270EA"/>
    <w:rsid w:val="002301B1"/>
    <w:rsid w:val="00230C6E"/>
    <w:rsid w:val="002319FF"/>
    <w:rsid w:val="0023224E"/>
    <w:rsid w:val="0023229E"/>
    <w:rsid w:val="00232437"/>
    <w:rsid w:val="002335C8"/>
    <w:rsid w:val="00233AA8"/>
    <w:rsid w:val="00233BAA"/>
    <w:rsid w:val="00233BF8"/>
    <w:rsid w:val="00233E2C"/>
    <w:rsid w:val="00234473"/>
    <w:rsid w:val="0023626C"/>
    <w:rsid w:val="0023664F"/>
    <w:rsid w:val="0023672C"/>
    <w:rsid w:val="00236D9B"/>
    <w:rsid w:val="00237EDC"/>
    <w:rsid w:val="002403B9"/>
    <w:rsid w:val="002420B0"/>
    <w:rsid w:val="00242591"/>
    <w:rsid w:val="002426BC"/>
    <w:rsid w:val="00242CAE"/>
    <w:rsid w:val="00243901"/>
    <w:rsid w:val="00243A77"/>
    <w:rsid w:val="00243B4F"/>
    <w:rsid w:val="00243CEF"/>
    <w:rsid w:val="0024422B"/>
    <w:rsid w:val="00244AAD"/>
    <w:rsid w:val="00244F54"/>
    <w:rsid w:val="002450A7"/>
    <w:rsid w:val="0024512C"/>
    <w:rsid w:val="00245398"/>
    <w:rsid w:val="00245792"/>
    <w:rsid w:val="00245AF2"/>
    <w:rsid w:val="00245F44"/>
    <w:rsid w:val="00246AA4"/>
    <w:rsid w:val="00247390"/>
    <w:rsid w:val="00247BE2"/>
    <w:rsid w:val="00251119"/>
    <w:rsid w:val="00251AEC"/>
    <w:rsid w:val="002521AE"/>
    <w:rsid w:val="002525D0"/>
    <w:rsid w:val="002539C5"/>
    <w:rsid w:val="00253B73"/>
    <w:rsid w:val="00254C09"/>
    <w:rsid w:val="0025509B"/>
    <w:rsid w:val="00255C60"/>
    <w:rsid w:val="00255E59"/>
    <w:rsid w:val="002570EF"/>
    <w:rsid w:val="00257D2F"/>
    <w:rsid w:val="00257E7F"/>
    <w:rsid w:val="002605D9"/>
    <w:rsid w:val="00260A2D"/>
    <w:rsid w:val="00260CFC"/>
    <w:rsid w:val="00261647"/>
    <w:rsid w:val="00261B06"/>
    <w:rsid w:val="00262281"/>
    <w:rsid w:val="0026273C"/>
    <w:rsid w:val="00263640"/>
    <w:rsid w:val="00263F04"/>
    <w:rsid w:val="00263F91"/>
    <w:rsid w:val="00264D11"/>
    <w:rsid w:val="00265464"/>
    <w:rsid w:val="002663AA"/>
    <w:rsid w:val="00267ACC"/>
    <w:rsid w:val="00267CB2"/>
    <w:rsid w:val="0027072D"/>
    <w:rsid w:val="0027088E"/>
    <w:rsid w:val="00271F58"/>
    <w:rsid w:val="002730C4"/>
    <w:rsid w:val="00273129"/>
    <w:rsid w:val="002746DE"/>
    <w:rsid w:val="002746E5"/>
    <w:rsid w:val="00274A78"/>
    <w:rsid w:val="00275192"/>
    <w:rsid w:val="0027781C"/>
    <w:rsid w:val="00280DEE"/>
    <w:rsid w:val="00281803"/>
    <w:rsid w:val="00281A88"/>
    <w:rsid w:val="00281F70"/>
    <w:rsid w:val="002831A1"/>
    <w:rsid w:val="002831CA"/>
    <w:rsid w:val="00285642"/>
    <w:rsid w:val="002867C3"/>
    <w:rsid w:val="00287B6F"/>
    <w:rsid w:val="00291BD6"/>
    <w:rsid w:val="00291BDD"/>
    <w:rsid w:val="00293F5A"/>
    <w:rsid w:val="00293F82"/>
    <w:rsid w:val="0029401A"/>
    <w:rsid w:val="0029448F"/>
    <w:rsid w:val="002946B6"/>
    <w:rsid w:val="0029578B"/>
    <w:rsid w:val="002958C4"/>
    <w:rsid w:val="00295AB8"/>
    <w:rsid w:val="002966D2"/>
    <w:rsid w:val="00297239"/>
    <w:rsid w:val="002A1D0C"/>
    <w:rsid w:val="002A2F4E"/>
    <w:rsid w:val="002A36E1"/>
    <w:rsid w:val="002A48BB"/>
    <w:rsid w:val="002A49A9"/>
    <w:rsid w:val="002A5487"/>
    <w:rsid w:val="002A60F7"/>
    <w:rsid w:val="002A65A6"/>
    <w:rsid w:val="002A6E0C"/>
    <w:rsid w:val="002A6F1A"/>
    <w:rsid w:val="002B0892"/>
    <w:rsid w:val="002B23A1"/>
    <w:rsid w:val="002B336E"/>
    <w:rsid w:val="002B3EC0"/>
    <w:rsid w:val="002B3FFE"/>
    <w:rsid w:val="002B4181"/>
    <w:rsid w:val="002B49E1"/>
    <w:rsid w:val="002B5BEF"/>
    <w:rsid w:val="002B70DA"/>
    <w:rsid w:val="002B72A6"/>
    <w:rsid w:val="002B7F30"/>
    <w:rsid w:val="002C19ED"/>
    <w:rsid w:val="002C1B13"/>
    <w:rsid w:val="002C3228"/>
    <w:rsid w:val="002C3343"/>
    <w:rsid w:val="002C34D7"/>
    <w:rsid w:val="002C3D02"/>
    <w:rsid w:val="002C3FC6"/>
    <w:rsid w:val="002C4520"/>
    <w:rsid w:val="002C5857"/>
    <w:rsid w:val="002C59A4"/>
    <w:rsid w:val="002C5F99"/>
    <w:rsid w:val="002C7655"/>
    <w:rsid w:val="002D00D8"/>
    <w:rsid w:val="002D0628"/>
    <w:rsid w:val="002D1091"/>
    <w:rsid w:val="002D16B6"/>
    <w:rsid w:val="002D1AFF"/>
    <w:rsid w:val="002D2737"/>
    <w:rsid w:val="002D317F"/>
    <w:rsid w:val="002D364E"/>
    <w:rsid w:val="002D5D50"/>
    <w:rsid w:val="002D5ED6"/>
    <w:rsid w:val="002D63F1"/>
    <w:rsid w:val="002D640A"/>
    <w:rsid w:val="002D6C8A"/>
    <w:rsid w:val="002D7017"/>
    <w:rsid w:val="002D7362"/>
    <w:rsid w:val="002D7A1D"/>
    <w:rsid w:val="002E0D2D"/>
    <w:rsid w:val="002E131A"/>
    <w:rsid w:val="002E1711"/>
    <w:rsid w:val="002E22D0"/>
    <w:rsid w:val="002E3172"/>
    <w:rsid w:val="002E414F"/>
    <w:rsid w:val="002E4A45"/>
    <w:rsid w:val="002E5426"/>
    <w:rsid w:val="002E5E72"/>
    <w:rsid w:val="002E5FAB"/>
    <w:rsid w:val="002E6784"/>
    <w:rsid w:val="002E6C8C"/>
    <w:rsid w:val="002E7824"/>
    <w:rsid w:val="002E785B"/>
    <w:rsid w:val="002E7F19"/>
    <w:rsid w:val="002F037E"/>
    <w:rsid w:val="002F1CCE"/>
    <w:rsid w:val="002F2707"/>
    <w:rsid w:val="002F3037"/>
    <w:rsid w:val="002F343B"/>
    <w:rsid w:val="002F4FBB"/>
    <w:rsid w:val="002F5078"/>
    <w:rsid w:val="002F5E2B"/>
    <w:rsid w:val="002F6941"/>
    <w:rsid w:val="002F73CA"/>
    <w:rsid w:val="002F76F0"/>
    <w:rsid w:val="002F7766"/>
    <w:rsid w:val="003002F6"/>
    <w:rsid w:val="00300826"/>
    <w:rsid w:val="00300BBA"/>
    <w:rsid w:val="00301263"/>
    <w:rsid w:val="0030189E"/>
    <w:rsid w:val="0030594E"/>
    <w:rsid w:val="00306033"/>
    <w:rsid w:val="00306DE7"/>
    <w:rsid w:val="00307711"/>
    <w:rsid w:val="00310087"/>
    <w:rsid w:val="0031054B"/>
    <w:rsid w:val="00310FD1"/>
    <w:rsid w:val="00311ACF"/>
    <w:rsid w:val="00312AEB"/>
    <w:rsid w:val="00314842"/>
    <w:rsid w:val="00314E63"/>
    <w:rsid w:val="00315E66"/>
    <w:rsid w:val="00316096"/>
    <w:rsid w:val="003163A3"/>
    <w:rsid w:val="003163F4"/>
    <w:rsid w:val="00316A09"/>
    <w:rsid w:val="00316C85"/>
    <w:rsid w:val="00317911"/>
    <w:rsid w:val="00317F1E"/>
    <w:rsid w:val="00321B0A"/>
    <w:rsid w:val="00322311"/>
    <w:rsid w:val="0032249B"/>
    <w:rsid w:val="00322F26"/>
    <w:rsid w:val="0032316C"/>
    <w:rsid w:val="00324A8D"/>
    <w:rsid w:val="003254D4"/>
    <w:rsid w:val="0032581E"/>
    <w:rsid w:val="0032625D"/>
    <w:rsid w:val="003268A4"/>
    <w:rsid w:val="00327052"/>
    <w:rsid w:val="00327226"/>
    <w:rsid w:val="00330039"/>
    <w:rsid w:val="00330133"/>
    <w:rsid w:val="00330271"/>
    <w:rsid w:val="0033043A"/>
    <w:rsid w:val="00331A41"/>
    <w:rsid w:val="00331B1D"/>
    <w:rsid w:val="0033262D"/>
    <w:rsid w:val="00332B15"/>
    <w:rsid w:val="00332D31"/>
    <w:rsid w:val="00333439"/>
    <w:rsid w:val="003335C1"/>
    <w:rsid w:val="00333C86"/>
    <w:rsid w:val="00334402"/>
    <w:rsid w:val="00334A93"/>
    <w:rsid w:val="00334E84"/>
    <w:rsid w:val="00335408"/>
    <w:rsid w:val="003356E6"/>
    <w:rsid w:val="0033644C"/>
    <w:rsid w:val="00336DD2"/>
    <w:rsid w:val="00336E8A"/>
    <w:rsid w:val="00337C85"/>
    <w:rsid w:val="00340BF8"/>
    <w:rsid w:val="00340F1C"/>
    <w:rsid w:val="0034339A"/>
    <w:rsid w:val="003434F0"/>
    <w:rsid w:val="003435B3"/>
    <w:rsid w:val="0034485F"/>
    <w:rsid w:val="0034606C"/>
    <w:rsid w:val="003467E2"/>
    <w:rsid w:val="00347429"/>
    <w:rsid w:val="0034755A"/>
    <w:rsid w:val="00347A06"/>
    <w:rsid w:val="00347BDB"/>
    <w:rsid w:val="00347C4A"/>
    <w:rsid w:val="00347CE7"/>
    <w:rsid w:val="00350B5A"/>
    <w:rsid w:val="00350B9F"/>
    <w:rsid w:val="0035350C"/>
    <w:rsid w:val="003537AB"/>
    <w:rsid w:val="00354F85"/>
    <w:rsid w:val="0035531C"/>
    <w:rsid w:val="00355324"/>
    <w:rsid w:val="00355EAC"/>
    <w:rsid w:val="003560C8"/>
    <w:rsid w:val="003561AB"/>
    <w:rsid w:val="0035649C"/>
    <w:rsid w:val="00360C5E"/>
    <w:rsid w:val="00360D48"/>
    <w:rsid w:val="003628A6"/>
    <w:rsid w:val="003637A3"/>
    <w:rsid w:val="00363D70"/>
    <w:rsid w:val="00363E1B"/>
    <w:rsid w:val="00364154"/>
    <w:rsid w:val="003644DF"/>
    <w:rsid w:val="003655A5"/>
    <w:rsid w:val="00365A6D"/>
    <w:rsid w:val="00365D5F"/>
    <w:rsid w:val="00366791"/>
    <w:rsid w:val="003667D7"/>
    <w:rsid w:val="003674E8"/>
    <w:rsid w:val="00372211"/>
    <w:rsid w:val="00372A32"/>
    <w:rsid w:val="00372DA7"/>
    <w:rsid w:val="00372FD3"/>
    <w:rsid w:val="00373637"/>
    <w:rsid w:val="00373B3C"/>
    <w:rsid w:val="00374CFE"/>
    <w:rsid w:val="00374E89"/>
    <w:rsid w:val="00374EF5"/>
    <w:rsid w:val="0037706C"/>
    <w:rsid w:val="003802E8"/>
    <w:rsid w:val="0038088C"/>
    <w:rsid w:val="00381F90"/>
    <w:rsid w:val="0038270F"/>
    <w:rsid w:val="0038382A"/>
    <w:rsid w:val="00385929"/>
    <w:rsid w:val="00386AAF"/>
    <w:rsid w:val="00387858"/>
    <w:rsid w:val="00390525"/>
    <w:rsid w:val="00390791"/>
    <w:rsid w:val="00390B5B"/>
    <w:rsid w:val="003910FD"/>
    <w:rsid w:val="003911E5"/>
    <w:rsid w:val="003926D8"/>
    <w:rsid w:val="003927C9"/>
    <w:rsid w:val="003929F1"/>
    <w:rsid w:val="00392E36"/>
    <w:rsid w:val="003930C8"/>
    <w:rsid w:val="00393D3D"/>
    <w:rsid w:val="003940AE"/>
    <w:rsid w:val="00394323"/>
    <w:rsid w:val="00394954"/>
    <w:rsid w:val="00394D06"/>
    <w:rsid w:val="00395C45"/>
    <w:rsid w:val="00396F58"/>
    <w:rsid w:val="00397947"/>
    <w:rsid w:val="003A1942"/>
    <w:rsid w:val="003A2B72"/>
    <w:rsid w:val="003A3F30"/>
    <w:rsid w:val="003A48AD"/>
    <w:rsid w:val="003A4FC1"/>
    <w:rsid w:val="003A5DA7"/>
    <w:rsid w:val="003A69C6"/>
    <w:rsid w:val="003A6B56"/>
    <w:rsid w:val="003A7236"/>
    <w:rsid w:val="003A79F1"/>
    <w:rsid w:val="003A7E0B"/>
    <w:rsid w:val="003B0820"/>
    <w:rsid w:val="003B1A94"/>
    <w:rsid w:val="003B3136"/>
    <w:rsid w:val="003B366B"/>
    <w:rsid w:val="003B4095"/>
    <w:rsid w:val="003B4BDD"/>
    <w:rsid w:val="003B5388"/>
    <w:rsid w:val="003B5728"/>
    <w:rsid w:val="003B682D"/>
    <w:rsid w:val="003B786C"/>
    <w:rsid w:val="003C047C"/>
    <w:rsid w:val="003C2A2E"/>
    <w:rsid w:val="003C2DBC"/>
    <w:rsid w:val="003C3835"/>
    <w:rsid w:val="003C3B5F"/>
    <w:rsid w:val="003C429F"/>
    <w:rsid w:val="003C4835"/>
    <w:rsid w:val="003C651F"/>
    <w:rsid w:val="003C6A08"/>
    <w:rsid w:val="003C74C4"/>
    <w:rsid w:val="003C76CF"/>
    <w:rsid w:val="003D2355"/>
    <w:rsid w:val="003D2A8A"/>
    <w:rsid w:val="003D3494"/>
    <w:rsid w:val="003D5ED0"/>
    <w:rsid w:val="003D6704"/>
    <w:rsid w:val="003D710F"/>
    <w:rsid w:val="003D7542"/>
    <w:rsid w:val="003E0E6C"/>
    <w:rsid w:val="003E1F6E"/>
    <w:rsid w:val="003E23E3"/>
    <w:rsid w:val="003E2D4C"/>
    <w:rsid w:val="003E3518"/>
    <w:rsid w:val="003E3A57"/>
    <w:rsid w:val="003E3AE8"/>
    <w:rsid w:val="003E47C4"/>
    <w:rsid w:val="003E47C7"/>
    <w:rsid w:val="003E577B"/>
    <w:rsid w:val="003E5837"/>
    <w:rsid w:val="003E6167"/>
    <w:rsid w:val="003F0183"/>
    <w:rsid w:val="003F1941"/>
    <w:rsid w:val="003F1E9C"/>
    <w:rsid w:val="003F3829"/>
    <w:rsid w:val="003F3C2F"/>
    <w:rsid w:val="003F4AAC"/>
    <w:rsid w:val="003F5347"/>
    <w:rsid w:val="003F601D"/>
    <w:rsid w:val="003F60F3"/>
    <w:rsid w:val="003F64A3"/>
    <w:rsid w:val="003F6531"/>
    <w:rsid w:val="003F7281"/>
    <w:rsid w:val="004006B4"/>
    <w:rsid w:val="004014D9"/>
    <w:rsid w:val="004020EC"/>
    <w:rsid w:val="00402C41"/>
    <w:rsid w:val="00404057"/>
    <w:rsid w:val="00404B01"/>
    <w:rsid w:val="00404B48"/>
    <w:rsid w:val="00404D32"/>
    <w:rsid w:val="0040527A"/>
    <w:rsid w:val="0040572C"/>
    <w:rsid w:val="0040591C"/>
    <w:rsid w:val="00405B53"/>
    <w:rsid w:val="00405E4E"/>
    <w:rsid w:val="00406095"/>
    <w:rsid w:val="0040652E"/>
    <w:rsid w:val="00407178"/>
    <w:rsid w:val="004103F4"/>
    <w:rsid w:val="00410E88"/>
    <w:rsid w:val="004117CB"/>
    <w:rsid w:val="00411E9C"/>
    <w:rsid w:val="00411EE9"/>
    <w:rsid w:val="004128BB"/>
    <w:rsid w:val="00413A5F"/>
    <w:rsid w:val="0041408C"/>
    <w:rsid w:val="004140E0"/>
    <w:rsid w:val="00415513"/>
    <w:rsid w:val="0041634E"/>
    <w:rsid w:val="00416630"/>
    <w:rsid w:val="00416EFF"/>
    <w:rsid w:val="004172B0"/>
    <w:rsid w:val="00417564"/>
    <w:rsid w:val="00420C7F"/>
    <w:rsid w:val="00421205"/>
    <w:rsid w:val="00421CA1"/>
    <w:rsid w:val="00421F22"/>
    <w:rsid w:val="00422239"/>
    <w:rsid w:val="004235E1"/>
    <w:rsid w:val="00424033"/>
    <w:rsid w:val="0042427D"/>
    <w:rsid w:val="00425DCA"/>
    <w:rsid w:val="00426496"/>
    <w:rsid w:val="00426707"/>
    <w:rsid w:val="00426A65"/>
    <w:rsid w:val="00426E13"/>
    <w:rsid w:val="00426E4E"/>
    <w:rsid w:val="004277B2"/>
    <w:rsid w:val="004313E7"/>
    <w:rsid w:val="004320B0"/>
    <w:rsid w:val="0043275B"/>
    <w:rsid w:val="00432B37"/>
    <w:rsid w:val="00432C07"/>
    <w:rsid w:val="00433FCC"/>
    <w:rsid w:val="00434744"/>
    <w:rsid w:val="004364C2"/>
    <w:rsid w:val="00436B2D"/>
    <w:rsid w:val="004378BC"/>
    <w:rsid w:val="00437EF8"/>
    <w:rsid w:val="0044150A"/>
    <w:rsid w:val="00441735"/>
    <w:rsid w:val="00441788"/>
    <w:rsid w:val="004421CF"/>
    <w:rsid w:val="00442B6F"/>
    <w:rsid w:val="00443A6E"/>
    <w:rsid w:val="00444145"/>
    <w:rsid w:val="00445532"/>
    <w:rsid w:val="00445668"/>
    <w:rsid w:val="004457DF"/>
    <w:rsid w:val="004475E3"/>
    <w:rsid w:val="0045057F"/>
    <w:rsid w:val="004507A4"/>
    <w:rsid w:val="00450F9D"/>
    <w:rsid w:val="0045139E"/>
    <w:rsid w:val="00451DDF"/>
    <w:rsid w:val="00451EBE"/>
    <w:rsid w:val="00452238"/>
    <w:rsid w:val="004523D6"/>
    <w:rsid w:val="0045276F"/>
    <w:rsid w:val="004527D0"/>
    <w:rsid w:val="00452A4F"/>
    <w:rsid w:val="00452F00"/>
    <w:rsid w:val="0045372E"/>
    <w:rsid w:val="004543AF"/>
    <w:rsid w:val="0045458A"/>
    <w:rsid w:val="00454AC0"/>
    <w:rsid w:val="00454DD1"/>
    <w:rsid w:val="00457D1C"/>
    <w:rsid w:val="00457EBC"/>
    <w:rsid w:val="00457F8F"/>
    <w:rsid w:val="004606C2"/>
    <w:rsid w:val="00462C90"/>
    <w:rsid w:val="0046301F"/>
    <w:rsid w:val="00463350"/>
    <w:rsid w:val="00463589"/>
    <w:rsid w:val="004636FD"/>
    <w:rsid w:val="00463FB4"/>
    <w:rsid w:val="004659F9"/>
    <w:rsid w:val="00466F95"/>
    <w:rsid w:val="00467685"/>
    <w:rsid w:val="00471150"/>
    <w:rsid w:val="004711AA"/>
    <w:rsid w:val="00471558"/>
    <w:rsid w:val="00471AE3"/>
    <w:rsid w:val="00472209"/>
    <w:rsid w:val="00475330"/>
    <w:rsid w:val="00475B9E"/>
    <w:rsid w:val="00477729"/>
    <w:rsid w:val="00480082"/>
    <w:rsid w:val="0048148D"/>
    <w:rsid w:val="00481EB9"/>
    <w:rsid w:val="00482DCC"/>
    <w:rsid w:val="00482EE6"/>
    <w:rsid w:val="004831DE"/>
    <w:rsid w:val="004834A8"/>
    <w:rsid w:val="00484363"/>
    <w:rsid w:val="00484EA7"/>
    <w:rsid w:val="00485BA4"/>
    <w:rsid w:val="00485BC8"/>
    <w:rsid w:val="004873F9"/>
    <w:rsid w:val="004876DE"/>
    <w:rsid w:val="00487FCC"/>
    <w:rsid w:val="00490B5D"/>
    <w:rsid w:val="00493EE7"/>
    <w:rsid w:val="0049469F"/>
    <w:rsid w:val="00494CA5"/>
    <w:rsid w:val="00494E9C"/>
    <w:rsid w:val="00496D48"/>
    <w:rsid w:val="00497361"/>
    <w:rsid w:val="00497382"/>
    <w:rsid w:val="004A14F4"/>
    <w:rsid w:val="004A3256"/>
    <w:rsid w:val="004A3840"/>
    <w:rsid w:val="004A39B6"/>
    <w:rsid w:val="004A3C5D"/>
    <w:rsid w:val="004A479F"/>
    <w:rsid w:val="004A5D0C"/>
    <w:rsid w:val="004A6C89"/>
    <w:rsid w:val="004A6FA5"/>
    <w:rsid w:val="004A7399"/>
    <w:rsid w:val="004A77C3"/>
    <w:rsid w:val="004A7D23"/>
    <w:rsid w:val="004B1D94"/>
    <w:rsid w:val="004B2F7D"/>
    <w:rsid w:val="004B30E8"/>
    <w:rsid w:val="004B3288"/>
    <w:rsid w:val="004B33AE"/>
    <w:rsid w:val="004B36B1"/>
    <w:rsid w:val="004B44DF"/>
    <w:rsid w:val="004B47B5"/>
    <w:rsid w:val="004B4CB7"/>
    <w:rsid w:val="004B4DA4"/>
    <w:rsid w:val="004B5635"/>
    <w:rsid w:val="004B5970"/>
    <w:rsid w:val="004B730F"/>
    <w:rsid w:val="004B7687"/>
    <w:rsid w:val="004B7CF8"/>
    <w:rsid w:val="004C044A"/>
    <w:rsid w:val="004C11C2"/>
    <w:rsid w:val="004C1DE8"/>
    <w:rsid w:val="004C2009"/>
    <w:rsid w:val="004C2574"/>
    <w:rsid w:val="004C4086"/>
    <w:rsid w:val="004C4A3D"/>
    <w:rsid w:val="004C5059"/>
    <w:rsid w:val="004C54C8"/>
    <w:rsid w:val="004C5AD8"/>
    <w:rsid w:val="004C6933"/>
    <w:rsid w:val="004C7198"/>
    <w:rsid w:val="004D0079"/>
    <w:rsid w:val="004D041B"/>
    <w:rsid w:val="004D2607"/>
    <w:rsid w:val="004D2A03"/>
    <w:rsid w:val="004D33D4"/>
    <w:rsid w:val="004D34D5"/>
    <w:rsid w:val="004D36F2"/>
    <w:rsid w:val="004D3863"/>
    <w:rsid w:val="004D554B"/>
    <w:rsid w:val="004D5AC9"/>
    <w:rsid w:val="004D67A7"/>
    <w:rsid w:val="004D72FE"/>
    <w:rsid w:val="004D7656"/>
    <w:rsid w:val="004D7E66"/>
    <w:rsid w:val="004E055B"/>
    <w:rsid w:val="004E0610"/>
    <w:rsid w:val="004E0ADF"/>
    <w:rsid w:val="004E13CB"/>
    <w:rsid w:val="004E1433"/>
    <w:rsid w:val="004E2C9A"/>
    <w:rsid w:val="004E2FAD"/>
    <w:rsid w:val="004E3A1F"/>
    <w:rsid w:val="004E3D61"/>
    <w:rsid w:val="004E42C6"/>
    <w:rsid w:val="004E43F5"/>
    <w:rsid w:val="004E455E"/>
    <w:rsid w:val="004E4AC6"/>
    <w:rsid w:val="004E4BB8"/>
    <w:rsid w:val="004E569D"/>
    <w:rsid w:val="004E5ABE"/>
    <w:rsid w:val="004E66E4"/>
    <w:rsid w:val="004E7EC1"/>
    <w:rsid w:val="004E7FDC"/>
    <w:rsid w:val="004F0413"/>
    <w:rsid w:val="004F0A73"/>
    <w:rsid w:val="004F0B9E"/>
    <w:rsid w:val="004F0C82"/>
    <w:rsid w:val="004F1B0F"/>
    <w:rsid w:val="004F1C25"/>
    <w:rsid w:val="004F1EB7"/>
    <w:rsid w:val="004F2FF1"/>
    <w:rsid w:val="004F3111"/>
    <w:rsid w:val="004F3477"/>
    <w:rsid w:val="004F34DD"/>
    <w:rsid w:val="004F3FC2"/>
    <w:rsid w:val="004F42F2"/>
    <w:rsid w:val="004F489D"/>
    <w:rsid w:val="004F583B"/>
    <w:rsid w:val="004F5D49"/>
    <w:rsid w:val="004F6AE0"/>
    <w:rsid w:val="004F6B48"/>
    <w:rsid w:val="004F6C3B"/>
    <w:rsid w:val="004F6EFF"/>
    <w:rsid w:val="004F6FBB"/>
    <w:rsid w:val="004F7FE0"/>
    <w:rsid w:val="00501096"/>
    <w:rsid w:val="00501F3E"/>
    <w:rsid w:val="0050298B"/>
    <w:rsid w:val="005040A6"/>
    <w:rsid w:val="00504CB1"/>
    <w:rsid w:val="00505F9F"/>
    <w:rsid w:val="00506E90"/>
    <w:rsid w:val="00506FF2"/>
    <w:rsid w:val="005071D3"/>
    <w:rsid w:val="005072E3"/>
    <w:rsid w:val="005116B7"/>
    <w:rsid w:val="00511800"/>
    <w:rsid w:val="00511BF6"/>
    <w:rsid w:val="0051232F"/>
    <w:rsid w:val="0051335E"/>
    <w:rsid w:val="00514286"/>
    <w:rsid w:val="005146AB"/>
    <w:rsid w:val="00514A34"/>
    <w:rsid w:val="00515036"/>
    <w:rsid w:val="005163C6"/>
    <w:rsid w:val="00516664"/>
    <w:rsid w:val="00516B78"/>
    <w:rsid w:val="00516BB6"/>
    <w:rsid w:val="00517B90"/>
    <w:rsid w:val="005213D3"/>
    <w:rsid w:val="00522B42"/>
    <w:rsid w:val="00523698"/>
    <w:rsid w:val="0052527F"/>
    <w:rsid w:val="005264BB"/>
    <w:rsid w:val="0052753A"/>
    <w:rsid w:val="005276A7"/>
    <w:rsid w:val="00527D1D"/>
    <w:rsid w:val="00527D76"/>
    <w:rsid w:val="00527EBF"/>
    <w:rsid w:val="00530017"/>
    <w:rsid w:val="00530C35"/>
    <w:rsid w:val="00530E05"/>
    <w:rsid w:val="00531250"/>
    <w:rsid w:val="00532974"/>
    <w:rsid w:val="00533199"/>
    <w:rsid w:val="0053335B"/>
    <w:rsid w:val="00533B88"/>
    <w:rsid w:val="00533D2A"/>
    <w:rsid w:val="005360AF"/>
    <w:rsid w:val="00536524"/>
    <w:rsid w:val="00536881"/>
    <w:rsid w:val="00537258"/>
    <w:rsid w:val="005375FC"/>
    <w:rsid w:val="005379A5"/>
    <w:rsid w:val="00537B9B"/>
    <w:rsid w:val="00540457"/>
    <w:rsid w:val="005410B5"/>
    <w:rsid w:val="005411A8"/>
    <w:rsid w:val="00541276"/>
    <w:rsid w:val="00543199"/>
    <w:rsid w:val="00543FE3"/>
    <w:rsid w:val="005447F0"/>
    <w:rsid w:val="005462B2"/>
    <w:rsid w:val="005466D0"/>
    <w:rsid w:val="00547412"/>
    <w:rsid w:val="0055087B"/>
    <w:rsid w:val="00550B84"/>
    <w:rsid w:val="005511E4"/>
    <w:rsid w:val="005529DE"/>
    <w:rsid w:val="00552B5A"/>
    <w:rsid w:val="00553579"/>
    <w:rsid w:val="005535F8"/>
    <w:rsid w:val="00553633"/>
    <w:rsid w:val="00553744"/>
    <w:rsid w:val="00553C12"/>
    <w:rsid w:val="00553DD6"/>
    <w:rsid w:val="00555D22"/>
    <w:rsid w:val="00555F3F"/>
    <w:rsid w:val="00556A58"/>
    <w:rsid w:val="00557D5C"/>
    <w:rsid w:val="00557D6B"/>
    <w:rsid w:val="00557F44"/>
    <w:rsid w:val="00561B0E"/>
    <w:rsid w:val="00562317"/>
    <w:rsid w:val="00562425"/>
    <w:rsid w:val="0056317B"/>
    <w:rsid w:val="0056338A"/>
    <w:rsid w:val="00563717"/>
    <w:rsid w:val="00563D95"/>
    <w:rsid w:val="00564F91"/>
    <w:rsid w:val="00565041"/>
    <w:rsid w:val="005650C6"/>
    <w:rsid w:val="00565852"/>
    <w:rsid w:val="00565A38"/>
    <w:rsid w:val="00565D41"/>
    <w:rsid w:val="00570B2A"/>
    <w:rsid w:val="0057235A"/>
    <w:rsid w:val="00572E52"/>
    <w:rsid w:val="00572FE1"/>
    <w:rsid w:val="00573447"/>
    <w:rsid w:val="005735F1"/>
    <w:rsid w:val="0057384A"/>
    <w:rsid w:val="00573E63"/>
    <w:rsid w:val="00574E97"/>
    <w:rsid w:val="00576857"/>
    <w:rsid w:val="00576894"/>
    <w:rsid w:val="005775B6"/>
    <w:rsid w:val="00580187"/>
    <w:rsid w:val="00580263"/>
    <w:rsid w:val="005809BC"/>
    <w:rsid w:val="00581585"/>
    <w:rsid w:val="00581F75"/>
    <w:rsid w:val="00584FA0"/>
    <w:rsid w:val="00585017"/>
    <w:rsid w:val="00585417"/>
    <w:rsid w:val="005857FC"/>
    <w:rsid w:val="005863FC"/>
    <w:rsid w:val="00586624"/>
    <w:rsid w:val="0058678E"/>
    <w:rsid w:val="00587F64"/>
    <w:rsid w:val="00590AF7"/>
    <w:rsid w:val="0059171D"/>
    <w:rsid w:val="00591DEA"/>
    <w:rsid w:val="00592A89"/>
    <w:rsid w:val="00592C17"/>
    <w:rsid w:val="005931B8"/>
    <w:rsid w:val="00593D23"/>
    <w:rsid w:val="005948EF"/>
    <w:rsid w:val="0059576F"/>
    <w:rsid w:val="005957C9"/>
    <w:rsid w:val="00597D94"/>
    <w:rsid w:val="005A0246"/>
    <w:rsid w:val="005A05E0"/>
    <w:rsid w:val="005A1301"/>
    <w:rsid w:val="005A1F28"/>
    <w:rsid w:val="005A2D15"/>
    <w:rsid w:val="005A352C"/>
    <w:rsid w:val="005A3926"/>
    <w:rsid w:val="005A451A"/>
    <w:rsid w:val="005A52DE"/>
    <w:rsid w:val="005A69FE"/>
    <w:rsid w:val="005A7A7F"/>
    <w:rsid w:val="005B0FC5"/>
    <w:rsid w:val="005B102B"/>
    <w:rsid w:val="005B1089"/>
    <w:rsid w:val="005B17AD"/>
    <w:rsid w:val="005B190C"/>
    <w:rsid w:val="005B1CD6"/>
    <w:rsid w:val="005B254E"/>
    <w:rsid w:val="005B294B"/>
    <w:rsid w:val="005B5352"/>
    <w:rsid w:val="005B5367"/>
    <w:rsid w:val="005B60BD"/>
    <w:rsid w:val="005B6418"/>
    <w:rsid w:val="005B66AC"/>
    <w:rsid w:val="005B7825"/>
    <w:rsid w:val="005C07AE"/>
    <w:rsid w:val="005C0C33"/>
    <w:rsid w:val="005C0C94"/>
    <w:rsid w:val="005C0F59"/>
    <w:rsid w:val="005C118F"/>
    <w:rsid w:val="005C18ED"/>
    <w:rsid w:val="005C2707"/>
    <w:rsid w:val="005C2EC8"/>
    <w:rsid w:val="005C425B"/>
    <w:rsid w:val="005C5902"/>
    <w:rsid w:val="005C6A5A"/>
    <w:rsid w:val="005D05E3"/>
    <w:rsid w:val="005D0653"/>
    <w:rsid w:val="005D0AA1"/>
    <w:rsid w:val="005D1B48"/>
    <w:rsid w:val="005D1C8E"/>
    <w:rsid w:val="005D291E"/>
    <w:rsid w:val="005D3298"/>
    <w:rsid w:val="005D33C3"/>
    <w:rsid w:val="005D3806"/>
    <w:rsid w:val="005D3D1D"/>
    <w:rsid w:val="005D5D29"/>
    <w:rsid w:val="005D5E1A"/>
    <w:rsid w:val="005D61FD"/>
    <w:rsid w:val="005D7414"/>
    <w:rsid w:val="005D747A"/>
    <w:rsid w:val="005D7639"/>
    <w:rsid w:val="005D78A6"/>
    <w:rsid w:val="005E0379"/>
    <w:rsid w:val="005E04AD"/>
    <w:rsid w:val="005E0BB7"/>
    <w:rsid w:val="005E133F"/>
    <w:rsid w:val="005E1488"/>
    <w:rsid w:val="005E1749"/>
    <w:rsid w:val="005E289F"/>
    <w:rsid w:val="005E2C3C"/>
    <w:rsid w:val="005E376E"/>
    <w:rsid w:val="005E3DCF"/>
    <w:rsid w:val="005E4082"/>
    <w:rsid w:val="005E4712"/>
    <w:rsid w:val="005E4917"/>
    <w:rsid w:val="005E7E31"/>
    <w:rsid w:val="005E7E85"/>
    <w:rsid w:val="005F0458"/>
    <w:rsid w:val="005F222C"/>
    <w:rsid w:val="005F2348"/>
    <w:rsid w:val="005F2B21"/>
    <w:rsid w:val="005F2FC4"/>
    <w:rsid w:val="005F4062"/>
    <w:rsid w:val="005F62AA"/>
    <w:rsid w:val="005F646A"/>
    <w:rsid w:val="005F6487"/>
    <w:rsid w:val="005F7116"/>
    <w:rsid w:val="00600B66"/>
    <w:rsid w:val="0060155F"/>
    <w:rsid w:val="0060177F"/>
    <w:rsid w:val="006048C6"/>
    <w:rsid w:val="00604EF0"/>
    <w:rsid w:val="00604FF2"/>
    <w:rsid w:val="0060517D"/>
    <w:rsid w:val="00605619"/>
    <w:rsid w:val="00605D2D"/>
    <w:rsid w:val="00605DF5"/>
    <w:rsid w:val="00605F85"/>
    <w:rsid w:val="00605F9C"/>
    <w:rsid w:val="00606DE2"/>
    <w:rsid w:val="00607CE0"/>
    <w:rsid w:val="00607CE4"/>
    <w:rsid w:val="00610C5F"/>
    <w:rsid w:val="006117A3"/>
    <w:rsid w:val="00611C33"/>
    <w:rsid w:val="00612729"/>
    <w:rsid w:val="0061276C"/>
    <w:rsid w:val="006133EB"/>
    <w:rsid w:val="00614118"/>
    <w:rsid w:val="00614420"/>
    <w:rsid w:val="006144EF"/>
    <w:rsid w:val="00614521"/>
    <w:rsid w:val="00614BEE"/>
    <w:rsid w:val="006158CA"/>
    <w:rsid w:val="00615E0A"/>
    <w:rsid w:val="00616C1F"/>
    <w:rsid w:val="00621248"/>
    <w:rsid w:val="00621CEE"/>
    <w:rsid w:val="00621EC7"/>
    <w:rsid w:val="00622A60"/>
    <w:rsid w:val="00623CEF"/>
    <w:rsid w:val="00625325"/>
    <w:rsid w:val="00626612"/>
    <w:rsid w:val="006269FE"/>
    <w:rsid w:val="006277E8"/>
    <w:rsid w:val="00627C37"/>
    <w:rsid w:val="0063075F"/>
    <w:rsid w:val="00631A6F"/>
    <w:rsid w:val="00634092"/>
    <w:rsid w:val="00634F75"/>
    <w:rsid w:val="00635436"/>
    <w:rsid w:val="006355AD"/>
    <w:rsid w:val="006355D0"/>
    <w:rsid w:val="0063593D"/>
    <w:rsid w:val="0063613E"/>
    <w:rsid w:val="00636354"/>
    <w:rsid w:val="00636858"/>
    <w:rsid w:val="00636D71"/>
    <w:rsid w:val="006371B3"/>
    <w:rsid w:val="0063732D"/>
    <w:rsid w:val="006377A5"/>
    <w:rsid w:val="00640419"/>
    <w:rsid w:val="0064087F"/>
    <w:rsid w:val="00640D8B"/>
    <w:rsid w:val="0064196B"/>
    <w:rsid w:val="00641C86"/>
    <w:rsid w:val="006441BC"/>
    <w:rsid w:val="006453AD"/>
    <w:rsid w:val="00647015"/>
    <w:rsid w:val="006507CD"/>
    <w:rsid w:val="00650941"/>
    <w:rsid w:val="0065108C"/>
    <w:rsid w:val="006513CB"/>
    <w:rsid w:val="006526C7"/>
    <w:rsid w:val="00652CD3"/>
    <w:rsid w:val="00652F91"/>
    <w:rsid w:val="00653B38"/>
    <w:rsid w:val="00654C56"/>
    <w:rsid w:val="006553C9"/>
    <w:rsid w:val="0065584F"/>
    <w:rsid w:val="006574B6"/>
    <w:rsid w:val="006575E7"/>
    <w:rsid w:val="006607CA"/>
    <w:rsid w:val="00660CE8"/>
    <w:rsid w:val="006617EA"/>
    <w:rsid w:val="00663003"/>
    <w:rsid w:val="0066336B"/>
    <w:rsid w:val="00664C32"/>
    <w:rsid w:val="00664C7B"/>
    <w:rsid w:val="0066583B"/>
    <w:rsid w:val="006659A0"/>
    <w:rsid w:val="0066640C"/>
    <w:rsid w:val="00666E7B"/>
    <w:rsid w:val="00667B40"/>
    <w:rsid w:val="00667C90"/>
    <w:rsid w:val="00667F63"/>
    <w:rsid w:val="006706D4"/>
    <w:rsid w:val="00671F87"/>
    <w:rsid w:val="00672511"/>
    <w:rsid w:val="006726E3"/>
    <w:rsid w:val="006730CD"/>
    <w:rsid w:val="00673215"/>
    <w:rsid w:val="00675016"/>
    <w:rsid w:val="006750D2"/>
    <w:rsid w:val="006752F4"/>
    <w:rsid w:val="006753D3"/>
    <w:rsid w:val="00675775"/>
    <w:rsid w:val="00675A37"/>
    <w:rsid w:val="0067667F"/>
    <w:rsid w:val="00680648"/>
    <w:rsid w:val="00680982"/>
    <w:rsid w:val="00681B02"/>
    <w:rsid w:val="00681E5E"/>
    <w:rsid w:val="006822F5"/>
    <w:rsid w:val="00682411"/>
    <w:rsid w:val="0068407F"/>
    <w:rsid w:val="0068411D"/>
    <w:rsid w:val="00684B14"/>
    <w:rsid w:val="006853A6"/>
    <w:rsid w:val="00686461"/>
    <w:rsid w:val="006875BD"/>
    <w:rsid w:val="00687947"/>
    <w:rsid w:val="006900B6"/>
    <w:rsid w:val="0069066A"/>
    <w:rsid w:val="00690A30"/>
    <w:rsid w:val="00691A22"/>
    <w:rsid w:val="006921E8"/>
    <w:rsid w:val="00692505"/>
    <w:rsid w:val="0069288F"/>
    <w:rsid w:val="00692C95"/>
    <w:rsid w:val="00693D0B"/>
    <w:rsid w:val="0069495E"/>
    <w:rsid w:val="006952EF"/>
    <w:rsid w:val="00695900"/>
    <w:rsid w:val="00697892"/>
    <w:rsid w:val="00697F4C"/>
    <w:rsid w:val="006A0604"/>
    <w:rsid w:val="006A0779"/>
    <w:rsid w:val="006A0AD7"/>
    <w:rsid w:val="006A0D3C"/>
    <w:rsid w:val="006A16CB"/>
    <w:rsid w:val="006A1805"/>
    <w:rsid w:val="006A216C"/>
    <w:rsid w:val="006A3338"/>
    <w:rsid w:val="006A3729"/>
    <w:rsid w:val="006A4867"/>
    <w:rsid w:val="006A691C"/>
    <w:rsid w:val="006A6AC9"/>
    <w:rsid w:val="006B1211"/>
    <w:rsid w:val="006B13EE"/>
    <w:rsid w:val="006B20A9"/>
    <w:rsid w:val="006B2BDA"/>
    <w:rsid w:val="006B3059"/>
    <w:rsid w:val="006B35CE"/>
    <w:rsid w:val="006B3F91"/>
    <w:rsid w:val="006B49B4"/>
    <w:rsid w:val="006B4FBF"/>
    <w:rsid w:val="006B7430"/>
    <w:rsid w:val="006B7441"/>
    <w:rsid w:val="006C008A"/>
    <w:rsid w:val="006C1007"/>
    <w:rsid w:val="006C2223"/>
    <w:rsid w:val="006C2498"/>
    <w:rsid w:val="006C2C5E"/>
    <w:rsid w:val="006C3F13"/>
    <w:rsid w:val="006C4BB5"/>
    <w:rsid w:val="006C4FD9"/>
    <w:rsid w:val="006C55B4"/>
    <w:rsid w:val="006C5B50"/>
    <w:rsid w:val="006C5C6A"/>
    <w:rsid w:val="006C5F16"/>
    <w:rsid w:val="006C6E2B"/>
    <w:rsid w:val="006C70A1"/>
    <w:rsid w:val="006D06B5"/>
    <w:rsid w:val="006D2BB1"/>
    <w:rsid w:val="006D4E28"/>
    <w:rsid w:val="006D506E"/>
    <w:rsid w:val="006D5961"/>
    <w:rsid w:val="006D5E0B"/>
    <w:rsid w:val="006D5E79"/>
    <w:rsid w:val="006D60D3"/>
    <w:rsid w:val="006D67AD"/>
    <w:rsid w:val="006D75E7"/>
    <w:rsid w:val="006E022F"/>
    <w:rsid w:val="006E1566"/>
    <w:rsid w:val="006E19B4"/>
    <w:rsid w:val="006E1AFF"/>
    <w:rsid w:val="006E1DA3"/>
    <w:rsid w:val="006E2BB4"/>
    <w:rsid w:val="006E355E"/>
    <w:rsid w:val="006E46F8"/>
    <w:rsid w:val="006E475A"/>
    <w:rsid w:val="006E5C05"/>
    <w:rsid w:val="006E6066"/>
    <w:rsid w:val="006E616B"/>
    <w:rsid w:val="006E63F8"/>
    <w:rsid w:val="006E65F6"/>
    <w:rsid w:val="006E67F3"/>
    <w:rsid w:val="006E73F3"/>
    <w:rsid w:val="006E7520"/>
    <w:rsid w:val="006E78A1"/>
    <w:rsid w:val="006E7B0B"/>
    <w:rsid w:val="006E7B58"/>
    <w:rsid w:val="006E7B9D"/>
    <w:rsid w:val="006E7D5E"/>
    <w:rsid w:val="006F1D58"/>
    <w:rsid w:val="006F1F4B"/>
    <w:rsid w:val="006F2F26"/>
    <w:rsid w:val="006F3065"/>
    <w:rsid w:val="006F57E5"/>
    <w:rsid w:val="006F6813"/>
    <w:rsid w:val="006F6F2C"/>
    <w:rsid w:val="006F72E7"/>
    <w:rsid w:val="006F77AC"/>
    <w:rsid w:val="00700447"/>
    <w:rsid w:val="00700674"/>
    <w:rsid w:val="00700858"/>
    <w:rsid w:val="00700979"/>
    <w:rsid w:val="0070169D"/>
    <w:rsid w:val="0070181C"/>
    <w:rsid w:val="00701AD9"/>
    <w:rsid w:val="00701C5A"/>
    <w:rsid w:val="00701EB6"/>
    <w:rsid w:val="0070219A"/>
    <w:rsid w:val="007022F3"/>
    <w:rsid w:val="00702FC1"/>
    <w:rsid w:val="007033F8"/>
    <w:rsid w:val="00705248"/>
    <w:rsid w:val="00705E5B"/>
    <w:rsid w:val="007060C5"/>
    <w:rsid w:val="0070645F"/>
    <w:rsid w:val="007064A6"/>
    <w:rsid w:val="00706DCA"/>
    <w:rsid w:val="00706F2F"/>
    <w:rsid w:val="00707185"/>
    <w:rsid w:val="0070728A"/>
    <w:rsid w:val="0070738A"/>
    <w:rsid w:val="00710014"/>
    <w:rsid w:val="007104C5"/>
    <w:rsid w:val="00710B31"/>
    <w:rsid w:val="00710FAD"/>
    <w:rsid w:val="00711B61"/>
    <w:rsid w:val="007121F5"/>
    <w:rsid w:val="007136B5"/>
    <w:rsid w:val="007139D6"/>
    <w:rsid w:val="00714455"/>
    <w:rsid w:val="0071455F"/>
    <w:rsid w:val="00714AC7"/>
    <w:rsid w:val="00714C51"/>
    <w:rsid w:val="00714D71"/>
    <w:rsid w:val="00715808"/>
    <w:rsid w:val="00715DFC"/>
    <w:rsid w:val="0071624F"/>
    <w:rsid w:val="00716390"/>
    <w:rsid w:val="0071700F"/>
    <w:rsid w:val="0071709A"/>
    <w:rsid w:val="007179F2"/>
    <w:rsid w:val="0072050B"/>
    <w:rsid w:val="007206E6"/>
    <w:rsid w:val="007213C4"/>
    <w:rsid w:val="00721CD1"/>
    <w:rsid w:val="00721D08"/>
    <w:rsid w:val="007222F5"/>
    <w:rsid w:val="00722BC2"/>
    <w:rsid w:val="0072303F"/>
    <w:rsid w:val="00723C2F"/>
    <w:rsid w:val="00723E50"/>
    <w:rsid w:val="007247E4"/>
    <w:rsid w:val="00724C1B"/>
    <w:rsid w:val="007250AB"/>
    <w:rsid w:val="007253A7"/>
    <w:rsid w:val="00725AA5"/>
    <w:rsid w:val="00726A7C"/>
    <w:rsid w:val="007270CF"/>
    <w:rsid w:val="007272EE"/>
    <w:rsid w:val="0072762A"/>
    <w:rsid w:val="00727714"/>
    <w:rsid w:val="00727A5B"/>
    <w:rsid w:val="00727A61"/>
    <w:rsid w:val="00730A58"/>
    <w:rsid w:val="00731DEC"/>
    <w:rsid w:val="00733D05"/>
    <w:rsid w:val="00734241"/>
    <w:rsid w:val="00734BF9"/>
    <w:rsid w:val="0073516B"/>
    <w:rsid w:val="00735B2A"/>
    <w:rsid w:val="0073667F"/>
    <w:rsid w:val="007378AF"/>
    <w:rsid w:val="007378EE"/>
    <w:rsid w:val="00737AF0"/>
    <w:rsid w:val="00737F30"/>
    <w:rsid w:val="00742CD8"/>
    <w:rsid w:val="00743EC5"/>
    <w:rsid w:val="007443D4"/>
    <w:rsid w:val="0074517D"/>
    <w:rsid w:val="00745CAF"/>
    <w:rsid w:val="007466A0"/>
    <w:rsid w:val="007470A0"/>
    <w:rsid w:val="007514EA"/>
    <w:rsid w:val="00751DF5"/>
    <w:rsid w:val="00752545"/>
    <w:rsid w:val="00753814"/>
    <w:rsid w:val="00753AC2"/>
    <w:rsid w:val="00753E41"/>
    <w:rsid w:val="0075494E"/>
    <w:rsid w:val="00756013"/>
    <w:rsid w:val="00756694"/>
    <w:rsid w:val="00757F97"/>
    <w:rsid w:val="007602F9"/>
    <w:rsid w:val="007603BC"/>
    <w:rsid w:val="0076097D"/>
    <w:rsid w:val="00760D18"/>
    <w:rsid w:val="00762B0E"/>
    <w:rsid w:val="00762F96"/>
    <w:rsid w:val="00763C72"/>
    <w:rsid w:val="007645B8"/>
    <w:rsid w:val="00764A6E"/>
    <w:rsid w:val="00765991"/>
    <w:rsid w:val="0076604E"/>
    <w:rsid w:val="00766FCE"/>
    <w:rsid w:val="00767571"/>
    <w:rsid w:val="00767916"/>
    <w:rsid w:val="00767B44"/>
    <w:rsid w:val="00772CC0"/>
    <w:rsid w:val="00773D88"/>
    <w:rsid w:val="00774175"/>
    <w:rsid w:val="00774680"/>
    <w:rsid w:val="00776998"/>
    <w:rsid w:val="00777911"/>
    <w:rsid w:val="007779C1"/>
    <w:rsid w:val="00777FA6"/>
    <w:rsid w:val="00780B7B"/>
    <w:rsid w:val="0078159F"/>
    <w:rsid w:val="00783253"/>
    <w:rsid w:val="00783CEA"/>
    <w:rsid w:val="0078456F"/>
    <w:rsid w:val="00784AD3"/>
    <w:rsid w:val="00784B2B"/>
    <w:rsid w:val="00784EE0"/>
    <w:rsid w:val="00785EA9"/>
    <w:rsid w:val="007861AF"/>
    <w:rsid w:val="007861CC"/>
    <w:rsid w:val="00786304"/>
    <w:rsid w:val="00787893"/>
    <w:rsid w:val="00787D08"/>
    <w:rsid w:val="00787D6C"/>
    <w:rsid w:val="0079038B"/>
    <w:rsid w:val="007922E1"/>
    <w:rsid w:val="0079427F"/>
    <w:rsid w:val="00794604"/>
    <w:rsid w:val="00794AAC"/>
    <w:rsid w:val="00795193"/>
    <w:rsid w:val="0079589F"/>
    <w:rsid w:val="00797322"/>
    <w:rsid w:val="00797802"/>
    <w:rsid w:val="007A102A"/>
    <w:rsid w:val="007A23DE"/>
    <w:rsid w:val="007A31D8"/>
    <w:rsid w:val="007A39B1"/>
    <w:rsid w:val="007A3F3F"/>
    <w:rsid w:val="007A4136"/>
    <w:rsid w:val="007A453D"/>
    <w:rsid w:val="007A47D3"/>
    <w:rsid w:val="007A4D5A"/>
    <w:rsid w:val="007A51F6"/>
    <w:rsid w:val="007A5995"/>
    <w:rsid w:val="007A6917"/>
    <w:rsid w:val="007A6A1A"/>
    <w:rsid w:val="007A7E5A"/>
    <w:rsid w:val="007B0182"/>
    <w:rsid w:val="007B0A38"/>
    <w:rsid w:val="007B2003"/>
    <w:rsid w:val="007B2D08"/>
    <w:rsid w:val="007B35ED"/>
    <w:rsid w:val="007B3733"/>
    <w:rsid w:val="007B3814"/>
    <w:rsid w:val="007B396D"/>
    <w:rsid w:val="007B3B82"/>
    <w:rsid w:val="007B3DF4"/>
    <w:rsid w:val="007B42BE"/>
    <w:rsid w:val="007B4CDC"/>
    <w:rsid w:val="007B5403"/>
    <w:rsid w:val="007B5609"/>
    <w:rsid w:val="007B5766"/>
    <w:rsid w:val="007B5F01"/>
    <w:rsid w:val="007C0163"/>
    <w:rsid w:val="007C0D20"/>
    <w:rsid w:val="007C102E"/>
    <w:rsid w:val="007C1AE0"/>
    <w:rsid w:val="007C1E6D"/>
    <w:rsid w:val="007C203F"/>
    <w:rsid w:val="007C2A0B"/>
    <w:rsid w:val="007C2A65"/>
    <w:rsid w:val="007C2DB8"/>
    <w:rsid w:val="007C2E17"/>
    <w:rsid w:val="007C2EF0"/>
    <w:rsid w:val="007C2F7E"/>
    <w:rsid w:val="007C2F84"/>
    <w:rsid w:val="007C3CB9"/>
    <w:rsid w:val="007C5666"/>
    <w:rsid w:val="007C5E36"/>
    <w:rsid w:val="007C6023"/>
    <w:rsid w:val="007C64B9"/>
    <w:rsid w:val="007C679B"/>
    <w:rsid w:val="007C6A71"/>
    <w:rsid w:val="007D006E"/>
    <w:rsid w:val="007D0374"/>
    <w:rsid w:val="007D0940"/>
    <w:rsid w:val="007D0947"/>
    <w:rsid w:val="007D0ABD"/>
    <w:rsid w:val="007D11BC"/>
    <w:rsid w:val="007D1B8C"/>
    <w:rsid w:val="007D20E9"/>
    <w:rsid w:val="007D2F08"/>
    <w:rsid w:val="007D32D2"/>
    <w:rsid w:val="007D3562"/>
    <w:rsid w:val="007D4190"/>
    <w:rsid w:val="007D4247"/>
    <w:rsid w:val="007D4393"/>
    <w:rsid w:val="007D5056"/>
    <w:rsid w:val="007D52EE"/>
    <w:rsid w:val="007D5B07"/>
    <w:rsid w:val="007D7378"/>
    <w:rsid w:val="007E0642"/>
    <w:rsid w:val="007E09A5"/>
    <w:rsid w:val="007E09B8"/>
    <w:rsid w:val="007E0DD8"/>
    <w:rsid w:val="007E1B74"/>
    <w:rsid w:val="007E1D7A"/>
    <w:rsid w:val="007E21E1"/>
    <w:rsid w:val="007E2971"/>
    <w:rsid w:val="007E2A3C"/>
    <w:rsid w:val="007E2E44"/>
    <w:rsid w:val="007E34F1"/>
    <w:rsid w:val="007E5C08"/>
    <w:rsid w:val="007E5D12"/>
    <w:rsid w:val="007E5DBB"/>
    <w:rsid w:val="007E63C0"/>
    <w:rsid w:val="007E666E"/>
    <w:rsid w:val="007E6B79"/>
    <w:rsid w:val="007E6B9A"/>
    <w:rsid w:val="007E6CB5"/>
    <w:rsid w:val="007E70C7"/>
    <w:rsid w:val="007F0C50"/>
    <w:rsid w:val="007F0FAE"/>
    <w:rsid w:val="007F137B"/>
    <w:rsid w:val="007F154D"/>
    <w:rsid w:val="007F1667"/>
    <w:rsid w:val="007F16B9"/>
    <w:rsid w:val="007F181F"/>
    <w:rsid w:val="007F2F11"/>
    <w:rsid w:val="007F343F"/>
    <w:rsid w:val="007F3A49"/>
    <w:rsid w:val="007F4076"/>
    <w:rsid w:val="007F4BF4"/>
    <w:rsid w:val="007F52D8"/>
    <w:rsid w:val="007F5796"/>
    <w:rsid w:val="007F76A8"/>
    <w:rsid w:val="007F79C2"/>
    <w:rsid w:val="007F7ABF"/>
    <w:rsid w:val="0080004D"/>
    <w:rsid w:val="00800845"/>
    <w:rsid w:val="00801444"/>
    <w:rsid w:val="00801F39"/>
    <w:rsid w:val="008024D8"/>
    <w:rsid w:val="008024DE"/>
    <w:rsid w:val="008039AF"/>
    <w:rsid w:val="00803B02"/>
    <w:rsid w:val="00804CC6"/>
    <w:rsid w:val="00804CD4"/>
    <w:rsid w:val="0080607A"/>
    <w:rsid w:val="00807016"/>
    <w:rsid w:val="008071EF"/>
    <w:rsid w:val="008071FF"/>
    <w:rsid w:val="0080790D"/>
    <w:rsid w:val="00810557"/>
    <w:rsid w:val="008106B8"/>
    <w:rsid w:val="00810F6A"/>
    <w:rsid w:val="00811AAD"/>
    <w:rsid w:val="00811B99"/>
    <w:rsid w:val="00812558"/>
    <w:rsid w:val="00812728"/>
    <w:rsid w:val="00812C6E"/>
    <w:rsid w:val="00812E94"/>
    <w:rsid w:val="0081338E"/>
    <w:rsid w:val="00813495"/>
    <w:rsid w:val="00813BEE"/>
    <w:rsid w:val="00814684"/>
    <w:rsid w:val="00815072"/>
    <w:rsid w:val="00815105"/>
    <w:rsid w:val="008161FD"/>
    <w:rsid w:val="00816F25"/>
    <w:rsid w:val="00817327"/>
    <w:rsid w:val="00820197"/>
    <w:rsid w:val="0082020A"/>
    <w:rsid w:val="00820D7C"/>
    <w:rsid w:val="0082118A"/>
    <w:rsid w:val="00821551"/>
    <w:rsid w:val="00821837"/>
    <w:rsid w:val="00821B8D"/>
    <w:rsid w:val="00821F19"/>
    <w:rsid w:val="008224BB"/>
    <w:rsid w:val="00822DFB"/>
    <w:rsid w:val="00822EBB"/>
    <w:rsid w:val="00823269"/>
    <w:rsid w:val="008235D2"/>
    <w:rsid w:val="008245CA"/>
    <w:rsid w:val="00824C5A"/>
    <w:rsid w:val="00824DFF"/>
    <w:rsid w:val="00825AEF"/>
    <w:rsid w:val="008265EF"/>
    <w:rsid w:val="00827DB5"/>
    <w:rsid w:val="00831F2F"/>
    <w:rsid w:val="008336DB"/>
    <w:rsid w:val="00834A73"/>
    <w:rsid w:val="00834D1F"/>
    <w:rsid w:val="00835247"/>
    <w:rsid w:val="00835F16"/>
    <w:rsid w:val="0083695B"/>
    <w:rsid w:val="0083728C"/>
    <w:rsid w:val="008379F9"/>
    <w:rsid w:val="00840108"/>
    <w:rsid w:val="00840831"/>
    <w:rsid w:val="00840FC8"/>
    <w:rsid w:val="008422AF"/>
    <w:rsid w:val="00842B12"/>
    <w:rsid w:val="00842BA2"/>
    <w:rsid w:val="008438DF"/>
    <w:rsid w:val="008439CA"/>
    <w:rsid w:val="00843C4B"/>
    <w:rsid w:val="0084425F"/>
    <w:rsid w:val="008446FA"/>
    <w:rsid w:val="00844ED5"/>
    <w:rsid w:val="0084700E"/>
    <w:rsid w:val="008479D1"/>
    <w:rsid w:val="00847D38"/>
    <w:rsid w:val="00847DBC"/>
    <w:rsid w:val="008500D1"/>
    <w:rsid w:val="00851430"/>
    <w:rsid w:val="0085163C"/>
    <w:rsid w:val="00851EDD"/>
    <w:rsid w:val="008524E7"/>
    <w:rsid w:val="008528A2"/>
    <w:rsid w:val="00853ED0"/>
    <w:rsid w:val="008547F2"/>
    <w:rsid w:val="00854AB9"/>
    <w:rsid w:val="00854DBC"/>
    <w:rsid w:val="00854EEF"/>
    <w:rsid w:val="008550E2"/>
    <w:rsid w:val="00855520"/>
    <w:rsid w:val="0085588E"/>
    <w:rsid w:val="008571C4"/>
    <w:rsid w:val="00857A23"/>
    <w:rsid w:val="00857E9B"/>
    <w:rsid w:val="00860503"/>
    <w:rsid w:val="00861B37"/>
    <w:rsid w:val="00861C13"/>
    <w:rsid w:val="00862170"/>
    <w:rsid w:val="00863BC0"/>
    <w:rsid w:val="00863C6F"/>
    <w:rsid w:val="008644C6"/>
    <w:rsid w:val="00864DC4"/>
    <w:rsid w:val="00864E42"/>
    <w:rsid w:val="00865944"/>
    <w:rsid w:val="00866066"/>
    <w:rsid w:val="00866909"/>
    <w:rsid w:val="00866F69"/>
    <w:rsid w:val="008671D1"/>
    <w:rsid w:val="008672BE"/>
    <w:rsid w:val="00867500"/>
    <w:rsid w:val="00867666"/>
    <w:rsid w:val="008679DE"/>
    <w:rsid w:val="00867EE9"/>
    <w:rsid w:val="00867F5D"/>
    <w:rsid w:val="008700DE"/>
    <w:rsid w:val="00870271"/>
    <w:rsid w:val="00871DA1"/>
    <w:rsid w:val="00872E5C"/>
    <w:rsid w:val="00873FE7"/>
    <w:rsid w:val="008746DE"/>
    <w:rsid w:val="00875C05"/>
    <w:rsid w:val="00876BD4"/>
    <w:rsid w:val="00877156"/>
    <w:rsid w:val="00877F9C"/>
    <w:rsid w:val="00881550"/>
    <w:rsid w:val="00881921"/>
    <w:rsid w:val="008828AB"/>
    <w:rsid w:val="008832F6"/>
    <w:rsid w:val="00884B30"/>
    <w:rsid w:val="00884F33"/>
    <w:rsid w:val="00885618"/>
    <w:rsid w:val="00885D22"/>
    <w:rsid w:val="008862F1"/>
    <w:rsid w:val="00886645"/>
    <w:rsid w:val="008867A6"/>
    <w:rsid w:val="00886920"/>
    <w:rsid w:val="00886CD7"/>
    <w:rsid w:val="00887241"/>
    <w:rsid w:val="00887C93"/>
    <w:rsid w:val="008908D7"/>
    <w:rsid w:val="0089091E"/>
    <w:rsid w:val="00890C4E"/>
    <w:rsid w:val="0089108E"/>
    <w:rsid w:val="00891E7F"/>
    <w:rsid w:val="00892142"/>
    <w:rsid w:val="00893823"/>
    <w:rsid w:val="00894571"/>
    <w:rsid w:val="00894886"/>
    <w:rsid w:val="0089571E"/>
    <w:rsid w:val="00895B99"/>
    <w:rsid w:val="0089686A"/>
    <w:rsid w:val="00897EE0"/>
    <w:rsid w:val="0089BB27"/>
    <w:rsid w:val="008A004E"/>
    <w:rsid w:val="008A047F"/>
    <w:rsid w:val="008A22A5"/>
    <w:rsid w:val="008A25EB"/>
    <w:rsid w:val="008A2E8E"/>
    <w:rsid w:val="008A3082"/>
    <w:rsid w:val="008A466B"/>
    <w:rsid w:val="008A4792"/>
    <w:rsid w:val="008A4FBC"/>
    <w:rsid w:val="008A5234"/>
    <w:rsid w:val="008A52DF"/>
    <w:rsid w:val="008A5407"/>
    <w:rsid w:val="008A5605"/>
    <w:rsid w:val="008A6501"/>
    <w:rsid w:val="008A682B"/>
    <w:rsid w:val="008A6875"/>
    <w:rsid w:val="008A6B74"/>
    <w:rsid w:val="008A6E52"/>
    <w:rsid w:val="008A79DE"/>
    <w:rsid w:val="008B0429"/>
    <w:rsid w:val="008B1604"/>
    <w:rsid w:val="008B1BBD"/>
    <w:rsid w:val="008B25DC"/>
    <w:rsid w:val="008B2F33"/>
    <w:rsid w:val="008B4EEE"/>
    <w:rsid w:val="008B5824"/>
    <w:rsid w:val="008B5F24"/>
    <w:rsid w:val="008B69C5"/>
    <w:rsid w:val="008B6A72"/>
    <w:rsid w:val="008B72E7"/>
    <w:rsid w:val="008C0B3C"/>
    <w:rsid w:val="008C4170"/>
    <w:rsid w:val="008C42F3"/>
    <w:rsid w:val="008C4811"/>
    <w:rsid w:val="008C4928"/>
    <w:rsid w:val="008C4957"/>
    <w:rsid w:val="008C4BFC"/>
    <w:rsid w:val="008C61C9"/>
    <w:rsid w:val="008C6C28"/>
    <w:rsid w:val="008D0197"/>
    <w:rsid w:val="008D16A0"/>
    <w:rsid w:val="008D1E6A"/>
    <w:rsid w:val="008D22FB"/>
    <w:rsid w:val="008D269B"/>
    <w:rsid w:val="008D280C"/>
    <w:rsid w:val="008D2C1B"/>
    <w:rsid w:val="008D3034"/>
    <w:rsid w:val="008D3274"/>
    <w:rsid w:val="008D48A3"/>
    <w:rsid w:val="008D5365"/>
    <w:rsid w:val="008D78AC"/>
    <w:rsid w:val="008E0193"/>
    <w:rsid w:val="008E0AA4"/>
    <w:rsid w:val="008E1623"/>
    <w:rsid w:val="008E1730"/>
    <w:rsid w:val="008E199E"/>
    <w:rsid w:val="008E1F61"/>
    <w:rsid w:val="008E24C5"/>
    <w:rsid w:val="008E3391"/>
    <w:rsid w:val="008E48F9"/>
    <w:rsid w:val="008E55BC"/>
    <w:rsid w:val="008E5F9C"/>
    <w:rsid w:val="008E6036"/>
    <w:rsid w:val="008E6913"/>
    <w:rsid w:val="008E704A"/>
    <w:rsid w:val="008E711F"/>
    <w:rsid w:val="008E77C1"/>
    <w:rsid w:val="008F08E9"/>
    <w:rsid w:val="008F0BD7"/>
    <w:rsid w:val="008F0F7A"/>
    <w:rsid w:val="008F1851"/>
    <w:rsid w:val="008F1C85"/>
    <w:rsid w:val="008F30FC"/>
    <w:rsid w:val="008F3509"/>
    <w:rsid w:val="008F3C89"/>
    <w:rsid w:val="008F4704"/>
    <w:rsid w:val="008F4CBC"/>
    <w:rsid w:val="008F5650"/>
    <w:rsid w:val="008F781D"/>
    <w:rsid w:val="008F7A73"/>
    <w:rsid w:val="00900C6A"/>
    <w:rsid w:val="0090104E"/>
    <w:rsid w:val="00901188"/>
    <w:rsid w:val="0090165D"/>
    <w:rsid w:val="00901C5C"/>
    <w:rsid w:val="0090360D"/>
    <w:rsid w:val="00904109"/>
    <w:rsid w:val="00905722"/>
    <w:rsid w:val="009063DF"/>
    <w:rsid w:val="00906DF2"/>
    <w:rsid w:val="00906FB1"/>
    <w:rsid w:val="00907141"/>
    <w:rsid w:val="009102D8"/>
    <w:rsid w:val="00910389"/>
    <w:rsid w:val="009107C1"/>
    <w:rsid w:val="00910971"/>
    <w:rsid w:val="00910CBB"/>
    <w:rsid w:val="00910D0A"/>
    <w:rsid w:val="009118AA"/>
    <w:rsid w:val="009126E9"/>
    <w:rsid w:val="00912C28"/>
    <w:rsid w:val="009132DB"/>
    <w:rsid w:val="009133A2"/>
    <w:rsid w:val="00913676"/>
    <w:rsid w:val="00914346"/>
    <w:rsid w:val="009145F7"/>
    <w:rsid w:val="00914D0D"/>
    <w:rsid w:val="00914E2A"/>
    <w:rsid w:val="00915003"/>
    <w:rsid w:val="00916516"/>
    <w:rsid w:val="00916BED"/>
    <w:rsid w:val="009178AE"/>
    <w:rsid w:val="00917FBA"/>
    <w:rsid w:val="0092065C"/>
    <w:rsid w:val="009211F9"/>
    <w:rsid w:val="009216DC"/>
    <w:rsid w:val="00922500"/>
    <w:rsid w:val="0092370C"/>
    <w:rsid w:val="0092431B"/>
    <w:rsid w:val="009256D2"/>
    <w:rsid w:val="00926712"/>
    <w:rsid w:val="0092693D"/>
    <w:rsid w:val="00926E73"/>
    <w:rsid w:val="009278E7"/>
    <w:rsid w:val="00927A9C"/>
    <w:rsid w:val="00927D68"/>
    <w:rsid w:val="0093065E"/>
    <w:rsid w:val="009314B3"/>
    <w:rsid w:val="009316DE"/>
    <w:rsid w:val="009318DB"/>
    <w:rsid w:val="00931E46"/>
    <w:rsid w:val="009324B0"/>
    <w:rsid w:val="00932550"/>
    <w:rsid w:val="00932D74"/>
    <w:rsid w:val="009340FD"/>
    <w:rsid w:val="009345B4"/>
    <w:rsid w:val="00934ACF"/>
    <w:rsid w:val="00934BE3"/>
    <w:rsid w:val="0093527C"/>
    <w:rsid w:val="00936309"/>
    <w:rsid w:val="00936E6A"/>
    <w:rsid w:val="0093769E"/>
    <w:rsid w:val="0094008F"/>
    <w:rsid w:val="009400D3"/>
    <w:rsid w:val="009406DD"/>
    <w:rsid w:val="009413DF"/>
    <w:rsid w:val="0094166A"/>
    <w:rsid w:val="0094183E"/>
    <w:rsid w:val="00942C5E"/>
    <w:rsid w:val="00943419"/>
    <w:rsid w:val="00943C88"/>
    <w:rsid w:val="00943DD1"/>
    <w:rsid w:val="0094431D"/>
    <w:rsid w:val="009443B2"/>
    <w:rsid w:val="00944A88"/>
    <w:rsid w:val="00945276"/>
    <w:rsid w:val="00945343"/>
    <w:rsid w:val="0094546F"/>
    <w:rsid w:val="0094615E"/>
    <w:rsid w:val="00946511"/>
    <w:rsid w:val="009467BD"/>
    <w:rsid w:val="009473C4"/>
    <w:rsid w:val="00947616"/>
    <w:rsid w:val="009479F7"/>
    <w:rsid w:val="00947ECF"/>
    <w:rsid w:val="009501D9"/>
    <w:rsid w:val="0095161C"/>
    <w:rsid w:val="00951698"/>
    <w:rsid w:val="009528D1"/>
    <w:rsid w:val="00952AA7"/>
    <w:rsid w:val="00952CF5"/>
    <w:rsid w:val="009535EB"/>
    <w:rsid w:val="00953CCB"/>
    <w:rsid w:val="009548C9"/>
    <w:rsid w:val="00954A89"/>
    <w:rsid w:val="0095609D"/>
    <w:rsid w:val="009579A3"/>
    <w:rsid w:val="00957B8B"/>
    <w:rsid w:val="0096034B"/>
    <w:rsid w:val="0096042D"/>
    <w:rsid w:val="00960797"/>
    <w:rsid w:val="00960D57"/>
    <w:rsid w:val="00962362"/>
    <w:rsid w:val="00962687"/>
    <w:rsid w:val="00962F0C"/>
    <w:rsid w:val="009635B3"/>
    <w:rsid w:val="00963DED"/>
    <w:rsid w:val="009643ED"/>
    <w:rsid w:val="00964822"/>
    <w:rsid w:val="00964BBE"/>
    <w:rsid w:val="00965382"/>
    <w:rsid w:val="009655AE"/>
    <w:rsid w:val="009659DA"/>
    <w:rsid w:val="00965FCA"/>
    <w:rsid w:val="00966B4D"/>
    <w:rsid w:val="0096751B"/>
    <w:rsid w:val="0096759C"/>
    <w:rsid w:val="00967A92"/>
    <w:rsid w:val="00970BBE"/>
    <w:rsid w:val="0097158F"/>
    <w:rsid w:val="00971596"/>
    <w:rsid w:val="009719DA"/>
    <w:rsid w:val="0097319E"/>
    <w:rsid w:val="009731C4"/>
    <w:rsid w:val="009733F6"/>
    <w:rsid w:val="00973D9E"/>
    <w:rsid w:val="009741B5"/>
    <w:rsid w:val="0097476D"/>
    <w:rsid w:val="00975441"/>
    <w:rsid w:val="00976512"/>
    <w:rsid w:val="00977347"/>
    <w:rsid w:val="00980974"/>
    <w:rsid w:val="00980C71"/>
    <w:rsid w:val="00980CE4"/>
    <w:rsid w:val="00981B5F"/>
    <w:rsid w:val="0098253D"/>
    <w:rsid w:val="009834BC"/>
    <w:rsid w:val="00983FFD"/>
    <w:rsid w:val="0098429C"/>
    <w:rsid w:val="0098443C"/>
    <w:rsid w:val="009859A2"/>
    <w:rsid w:val="009863DC"/>
    <w:rsid w:val="009865C2"/>
    <w:rsid w:val="00987E16"/>
    <w:rsid w:val="0099097E"/>
    <w:rsid w:val="009915C4"/>
    <w:rsid w:val="009924C7"/>
    <w:rsid w:val="00992FBB"/>
    <w:rsid w:val="00993878"/>
    <w:rsid w:val="0099407A"/>
    <w:rsid w:val="0099475A"/>
    <w:rsid w:val="009951AD"/>
    <w:rsid w:val="00996768"/>
    <w:rsid w:val="0099722A"/>
    <w:rsid w:val="00997305"/>
    <w:rsid w:val="009A0705"/>
    <w:rsid w:val="009A29D6"/>
    <w:rsid w:val="009A2A1C"/>
    <w:rsid w:val="009A2A40"/>
    <w:rsid w:val="009A329D"/>
    <w:rsid w:val="009A4241"/>
    <w:rsid w:val="009A47B8"/>
    <w:rsid w:val="009A55A1"/>
    <w:rsid w:val="009A5D46"/>
    <w:rsid w:val="009B0486"/>
    <w:rsid w:val="009B13E4"/>
    <w:rsid w:val="009B1898"/>
    <w:rsid w:val="009B2E6F"/>
    <w:rsid w:val="009B30CC"/>
    <w:rsid w:val="009B3421"/>
    <w:rsid w:val="009B3EE8"/>
    <w:rsid w:val="009B3FCC"/>
    <w:rsid w:val="009B5148"/>
    <w:rsid w:val="009B5B69"/>
    <w:rsid w:val="009B5CF4"/>
    <w:rsid w:val="009B5DCB"/>
    <w:rsid w:val="009B5F6A"/>
    <w:rsid w:val="009B690A"/>
    <w:rsid w:val="009B6A45"/>
    <w:rsid w:val="009B7639"/>
    <w:rsid w:val="009B7D4C"/>
    <w:rsid w:val="009C014B"/>
    <w:rsid w:val="009C0709"/>
    <w:rsid w:val="009C1940"/>
    <w:rsid w:val="009C1BA9"/>
    <w:rsid w:val="009C1E7B"/>
    <w:rsid w:val="009C2CFC"/>
    <w:rsid w:val="009C2D22"/>
    <w:rsid w:val="009C3F92"/>
    <w:rsid w:val="009C495B"/>
    <w:rsid w:val="009C4D7E"/>
    <w:rsid w:val="009C5937"/>
    <w:rsid w:val="009C6402"/>
    <w:rsid w:val="009C6730"/>
    <w:rsid w:val="009C6C44"/>
    <w:rsid w:val="009C743F"/>
    <w:rsid w:val="009C75C0"/>
    <w:rsid w:val="009C76E9"/>
    <w:rsid w:val="009C7778"/>
    <w:rsid w:val="009C78C2"/>
    <w:rsid w:val="009C7E68"/>
    <w:rsid w:val="009D0D87"/>
    <w:rsid w:val="009D2CE3"/>
    <w:rsid w:val="009D3068"/>
    <w:rsid w:val="009D37F0"/>
    <w:rsid w:val="009D3E3C"/>
    <w:rsid w:val="009D4445"/>
    <w:rsid w:val="009D4648"/>
    <w:rsid w:val="009D4B6F"/>
    <w:rsid w:val="009E0C07"/>
    <w:rsid w:val="009E15E6"/>
    <w:rsid w:val="009E2136"/>
    <w:rsid w:val="009E2537"/>
    <w:rsid w:val="009E2ABD"/>
    <w:rsid w:val="009E2FCA"/>
    <w:rsid w:val="009E30FD"/>
    <w:rsid w:val="009E3970"/>
    <w:rsid w:val="009E3D8F"/>
    <w:rsid w:val="009E6453"/>
    <w:rsid w:val="009E6716"/>
    <w:rsid w:val="009E693C"/>
    <w:rsid w:val="009F01D0"/>
    <w:rsid w:val="009F04CF"/>
    <w:rsid w:val="009F163B"/>
    <w:rsid w:val="009F2034"/>
    <w:rsid w:val="009F2DD5"/>
    <w:rsid w:val="009F3E81"/>
    <w:rsid w:val="009F3E86"/>
    <w:rsid w:val="009F44A3"/>
    <w:rsid w:val="009F4900"/>
    <w:rsid w:val="009F4E16"/>
    <w:rsid w:val="009F6E19"/>
    <w:rsid w:val="009F74EB"/>
    <w:rsid w:val="009F7811"/>
    <w:rsid w:val="009F7C4E"/>
    <w:rsid w:val="009F7CF1"/>
    <w:rsid w:val="009F7F5D"/>
    <w:rsid w:val="00A00CA1"/>
    <w:rsid w:val="00A023BB"/>
    <w:rsid w:val="00A02BB6"/>
    <w:rsid w:val="00A03170"/>
    <w:rsid w:val="00A03AF8"/>
    <w:rsid w:val="00A03C6D"/>
    <w:rsid w:val="00A03F12"/>
    <w:rsid w:val="00A03FFE"/>
    <w:rsid w:val="00A04472"/>
    <w:rsid w:val="00A04DF9"/>
    <w:rsid w:val="00A0507E"/>
    <w:rsid w:val="00A05219"/>
    <w:rsid w:val="00A05B20"/>
    <w:rsid w:val="00A06649"/>
    <w:rsid w:val="00A076D7"/>
    <w:rsid w:val="00A10254"/>
    <w:rsid w:val="00A1390D"/>
    <w:rsid w:val="00A13DE1"/>
    <w:rsid w:val="00A14F23"/>
    <w:rsid w:val="00A15B4F"/>
    <w:rsid w:val="00A15C66"/>
    <w:rsid w:val="00A163D1"/>
    <w:rsid w:val="00A16709"/>
    <w:rsid w:val="00A16B71"/>
    <w:rsid w:val="00A17442"/>
    <w:rsid w:val="00A1747C"/>
    <w:rsid w:val="00A21137"/>
    <w:rsid w:val="00A2189B"/>
    <w:rsid w:val="00A218DE"/>
    <w:rsid w:val="00A22CCF"/>
    <w:rsid w:val="00A23104"/>
    <w:rsid w:val="00A2489B"/>
    <w:rsid w:val="00A2524E"/>
    <w:rsid w:val="00A2595F"/>
    <w:rsid w:val="00A26458"/>
    <w:rsid w:val="00A2671F"/>
    <w:rsid w:val="00A2721D"/>
    <w:rsid w:val="00A277BB"/>
    <w:rsid w:val="00A315C3"/>
    <w:rsid w:val="00A317C1"/>
    <w:rsid w:val="00A31863"/>
    <w:rsid w:val="00A32AB5"/>
    <w:rsid w:val="00A32CC0"/>
    <w:rsid w:val="00A333A1"/>
    <w:rsid w:val="00A333F1"/>
    <w:rsid w:val="00A34927"/>
    <w:rsid w:val="00A34D17"/>
    <w:rsid w:val="00A359BB"/>
    <w:rsid w:val="00A35DB1"/>
    <w:rsid w:val="00A3610E"/>
    <w:rsid w:val="00A36793"/>
    <w:rsid w:val="00A36CE4"/>
    <w:rsid w:val="00A36EEF"/>
    <w:rsid w:val="00A36FE8"/>
    <w:rsid w:val="00A3748A"/>
    <w:rsid w:val="00A40EFB"/>
    <w:rsid w:val="00A45054"/>
    <w:rsid w:val="00A45248"/>
    <w:rsid w:val="00A45D95"/>
    <w:rsid w:val="00A4602D"/>
    <w:rsid w:val="00A4651A"/>
    <w:rsid w:val="00A46B07"/>
    <w:rsid w:val="00A46C9C"/>
    <w:rsid w:val="00A46E31"/>
    <w:rsid w:val="00A471AD"/>
    <w:rsid w:val="00A50CD9"/>
    <w:rsid w:val="00A50CDC"/>
    <w:rsid w:val="00A517F2"/>
    <w:rsid w:val="00A53ADB"/>
    <w:rsid w:val="00A53B12"/>
    <w:rsid w:val="00A547BE"/>
    <w:rsid w:val="00A550A6"/>
    <w:rsid w:val="00A55289"/>
    <w:rsid w:val="00A55F0A"/>
    <w:rsid w:val="00A55FC2"/>
    <w:rsid w:val="00A560F0"/>
    <w:rsid w:val="00A56993"/>
    <w:rsid w:val="00A57FA9"/>
    <w:rsid w:val="00A602BC"/>
    <w:rsid w:val="00A60688"/>
    <w:rsid w:val="00A6102F"/>
    <w:rsid w:val="00A61273"/>
    <w:rsid w:val="00A61399"/>
    <w:rsid w:val="00A61DF5"/>
    <w:rsid w:val="00A62653"/>
    <w:rsid w:val="00A6321E"/>
    <w:rsid w:val="00A637D2"/>
    <w:rsid w:val="00A63A8E"/>
    <w:rsid w:val="00A64949"/>
    <w:rsid w:val="00A6495E"/>
    <w:rsid w:val="00A64E34"/>
    <w:rsid w:val="00A6536F"/>
    <w:rsid w:val="00A65843"/>
    <w:rsid w:val="00A65C54"/>
    <w:rsid w:val="00A664D5"/>
    <w:rsid w:val="00A66AFC"/>
    <w:rsid w:val="00A66C5E"/>
    <w:rsid w:val="00A67AB2"/>
    <w:rsid w:val="00A70351"/>
    <w:rsid w:val="00A7214D"/>
    <w:rsid w:val="00A737CE"/>
    <w:rsid w:val="00A73F0D"/>
    <w:rsid w:val="00A743AB"/>
    <w:rsid w:val="00A7472E"/>
    <w:rsid w:val="00A750E7"/>
    <w:rsid w:val="00A762A9"/>
    <w:rsid w:val="00A77C2B"/>
    <w:rsid w:val="00A793A3"/>
    <w:rsid w:val="00A80647"/>
    <w:rsid w:val="00A81A59"/>
    <w:rsid w:val="00A8233F"/>
    <w:rsid w:val="00A8258A"/>
    <w:rsid w:val="00A828B7"/>
    <w:rsid w:val="00A82BBF"/>
    <w:rsid w:val="00A831D0"/>
    <w:rsid w:val="00A84092"/>
    <w:rsid w:val="00A846A3"/>
    <w:rsid w:val="00A8563C"/>
    <w:rsid w:val="00A85690"/>
    <w:rsid w:val="00A857B5"/>
    <w:rsid w:val="00A86109"/>
    <w:rsid w:val="00A86E95"/>
    <w:rsid w:val="00A8727B"/>
    <w:rsid w:val="00A87A57"/>
    <w:rsid w:val="00A901B2"/>
    <w:rsid w:val="00A901FD"/>
    <w:rsid w:val="00A90525"/>
    <w:rsid w:val="00A90FF6"/>
    <w:rsid w:val="00A912B4"/>
    <w:rsid w:val="00A915CF"/>
    <w:rsid w:val="00A936F1"/>
    <w:rsid w:val="00A9381C"/>
    <w:rsid w:val="00A949A3"/>
    <w:rsid w:val="00A95162"/>
    <w:rsid w:val="00A9592B"/>
    <w:rsid w:val="00A95DCD"/>
    <w:rsid w:val="00A973CA"/>
    <w:rsid w:val="00A976A3"/>
    <w:rsid w:val="00A97890"/>
    <w:rsid w:val="00A97C05"/>
    <w:rsid w:val="00AA14D8"/>
    <w:rsid w:val="00AA2495"/>
    <w:rsid w:val="00AA30BA"/>
    <w:rsid w:val="00AA55A6"/>
    <w:rsid w:val="00AA5699"/>
    <w:rsid w:val="00AA685A"/>
    <w:rsid w:val="00AA75BC"/>
    <w:rsid w:val="00AA7826"/>
    <w:rsid w:val="00AA7F95"/>
    <w:rsid w:val="00AB0055"/>
    <w:rsid w:val="00AB0561"/>
    <w:rsid w:val="00AB09D2"/>
    <w:rsid w:val="00AB0D1C"/>
    <w:rsid w:val="00AB1FD8"/>
    <w:rsid w:val="00AB2348"/>
    <w:rsid w:val="00AB502D"/>
    <w:rsid w:val="00AB60EE"/>
    <w:rsid w:val="00AB68A5"/>
    <w:rsid w:val="00AB6908"/>
    <w:rsid w:val="00AB6AB6"/>
    <w:rsid w:val="00AB6E56"/>
    <w:rsid w:val="00AB6E5C"/>
    <w:rsid w:val="00AB750A"/>
    <w:rsid w:val="00AC0B11"/>
    <w:rsid w:val="00AC14F5"/>
    <w:rsid w:val="00AC22C0"/>
    <w:rsid w:val="00AC28CA"/>
    <w:rsid w:val="00AC34BA"/>
    <w:rsid w:val="00AC361D"/>
    <w:rsid w:val="00AC363D"/>
    <w:rsid w:val="00AC4466"/>
    <w:rsid w:val="00AC4948"/>
    <w:rsid w:val="00AC524F"/>
    <w:rsid w:val="00AC57F5"/>
    <w:rsid w:val="00AC5F0B"/>
    <w:rsid w:val="00AC6398"/>
    <w:rsid w:val="00AC650E"/>
    <w:rsid w:val="00AC71F5"/>
    <w:rsid w:val="00AD00FC"/>
    <w:rsid w:val="00AD02B1"/>
    <w:rsid w:val="00AD056A"/>
    <w:rsid w:val="00AD0D9F"/>
    <w:rsid w:val="00AD0FA2"/>
    <w:rsid w:val="00AD15E3"/>
    <w:rsid w:val="00AD2B06"/>
    <w:rsid w:val="00AD52FD"/>
    <w:rsid w:val="00AD5E52"/>
    <w:rsid w:val="00AD67C9"/>
    <w:rsid w:val="00AD6870"/>
    <w:rsid w:val="00AD78DF"/>
    <w:rsid w:val="00AE01E1"/>
    <w:rsid w:val="00AE01F5"/>
    <w:rsid w:val="00AE0EB5"/>
    <w:rsid w:val="00AE1A45"/>
    <w:rsid w:val="00AE205F"/>
    <w:rsid w:val="00AE2C81"/>
    <w:rsid w:val="00AE3213"/>
    <w:rsid w:val="00AE3FD2"/>
    <w:rsid w:val="00AE4DD8"/>
    <w:rsid w:val="00AE588F"/>
    <w:rsid w:val="00AE69FA"/>
    <w:rsid w:val="00AE74BB"/>
    <w:rsid w:val="00AE7A72"/>
    <w:rsid w:val="00AE7B86"/>
    <w:rsid w:val="00AF1CE5"/>
    <w:rsid w:val="00AF20F4"/>
    <w:rsid w:val="00AF21B9"/>
    <w:rsid w:val="00AF22FA"/>
    <w:rsid w:val="00AF42C5"/>
    <w:rsid w:val="00AF47F0"/>
    <w:rsid w:val="00AF4C73"/>
    <w:rsid w:val="00AF5BB4"/>
    <w:rsid w:val="00AF5DA6"/>
    <w:rsid w:val="00AF633C"/>
    <w:rsid w:val="00AF67C9"/>
    <w:rsid w:val="00AF7F4E"/>
    <w:rsid w:val="00B00BC9"/>
    <w:rsid w:val="00B026AF"/>
    <w:rsid w:val="00B02C04"/>
    <w:rsid w:val="00B03905"/>
    <w:rsid w:val="00B041D5"/>
    <w:rsid w:val="00B04B0C"/>
    <w:rsid w:val="00B04CEE"/>
    <w:rsid w:val="00B053C8"/>
    <w:rsid w:val="00B07A9B"/>
    <w:rsid w:val="00B107FB"/>
    <w:rsid w:val="00B112E4"/>
    <w:rsid w:val="00B1139C"/>
    <w:rsid w:val="00B1141B"/>
    <w:rsid w:val="00B11508"/>
    <w:rsid w:val="00B12870"/>
    <w:rsid w:val="00B12CDE"/>
    <w:rsid w:val="00B13CC1"/>
    <w:rsid w:val="00B13E51"/>
    <w:rsid w:val="00B141D7"/>
    <w:rsid w:val="00B15157"/>
    <w:rsid w:val="00B16C73"/>
    <w:rsid w:val="00B17EBA"/>
    <w:rsid w:val="00B22443"/>
    <w:rsid w:val="00B225A7"/>
    <w:rsid w:val="00B2283C"/>
    <w:rsid w:val="00B239DE"/>
    <w:rsid w:val="00B23E35"/>
    <w:rsid w:val="00B24148"/>
    <w:rsid w:val="00B2557A"/>
    <w:rsid w:val="00B2613C"/>
    <w:rsid w:val="00B26222"/>
    <w:rsid w:val="00B270E0"/>
    <w:rsid w:val="00B306A7"/>
    <w:rsid w:val="00B30844"/>
    <w:rsid w:val="00B30857"/>
    <w:rsid w:val="00B30EE0"/>
    <w:rsid w:val="00B31D8D"/>
    <w:rsid w:val="00B31EA0"/>
    <w:rsid w:val="00B31EAC"/>
    <w:rsid w:val="00B344F6"/>
    <w:rsid w:val="00B3597C"/>
    <w:rsid w:val="00B3606A"/>
    <w:rsid w:val="00B3652F"/>
    <w:rsid w:val="00B3678E"/>
    <w:rsid w:val="00B370EB"/>
    <w:rsid w:val="00B37BB7"/>
    <w:rsid w:val="00B37EF2"/>
    <w:rsid w:val="00B400DE"/>
    <w:rsid w:val="00B40423"/>
    <w:rsid w:val="00B4058E"/>
    <w:rsid w:val="00B40630"/>
    <w:rsid w:val="00B40680"/>
    <w:rsid w:val="00B40BFC"/>
    <w:rsid w:val="00B40C47"/>
    <w:rsid w:val="00B411FB"/>
    <w:rsid w:val="00B418A2"/>
    <w:rsid w:val="00B419C6"/>
    <w:rsid w:val="00B42CBE"/>
    <w:rsid w:val="00B42E39"/>
    <w:rsid w:val="00B43C35"/>
    <w:rsid w:val="00B4451F"/>
    <w:rsid w:val="00B44575"/>
    <w:rsid w:val="00B44ABF"/>
    <w:rsid w:val="00B454DF"/>
    <w:rsid w:val="00B4676B"/>
    <w:rsid w:val="00B474E5"/>
    <w:rsid w:val="00B47D1F"/>
    <w:rsid w:val="00B5005F"/>
    <w:rsid w:val="00B503C2"/>
    <w:rsid w:val="00B50F4B"/>
    <w:rsid w:val="00B519E2"/>
    <w:rsid w:val="00B5238D"/>
    <w:rsid w:val="00B527CC"/>
    <w:rsid w:val="00B52860"/>
    <w:rsid w:val="00B52987"/>
    <w:rsid w:val="00B52E48"/>
    <w:rsid w:val="00B5467E"/>
    <w:rsid w:val="00B56DB3"/>
    <w:rsid w:val="00B573BF"/>
    <w:rsid w:val="00B57D00"/>
    <w:rsid w:val="00B57D90"/>
    <w:rsid w:val="00B60925"/>
    <w:rsid w:val="00B610DD"/>
    <w:rsid w:val="00B6216F"/>
    <w:rsid w:val="00B6305A"/>
    <w:rsid w:val="00B636C3"/>
    <w:rsid w:val="00B63A79"/>
    <w:rsid w:val="00B63E9A"/>
    <w:rsid w:val="00B6467E"/>
    <w:rsid w:val="00B64AEA"/>
    <w:rsid w:val="00B65ED8"/>
    <w:rsid w:val="00B67D2B"/>
    <w:rsid w:val="00B701D0"/>
    <w:rsid w:val="00B71045"/>
    <w:rsid w:val="00B723A5"/>
    <w:rsid w:val="00B7372A"/>
    <w:rsid w:val="00B74C27"/>
    <w:rsid w:val="00B754D6"/>
    <w:rsid w:val="00B778D4"/>
    <w:rsid w:val="00B77C2C"/>
    <w:rsid w:val="00B807EA"/>
    <w:rsid w:val="00B80AC9"/>
    <w:rsid w:val="00B80EC9"/>
    <w:rsid w:val="00B810AB"/>
    <w:rsid w:val="00B8299D"/>
    <w:rsid w:val="00B82E24"/>
    <w:rsid w:val="00B838E0"/>
    <w:rsid w:val="00B83DAD"/>
    <w:rsid w:val="00B84296"/>
    <w:rsid w:val="00B849D1"/>
    <w:rsid w:val="00B851F3"/>
    <w:rsid w:val="00B85AAC"/>
    <w:rsid w:val="00B85DBC"/>
    <w:rsid w:val="00B85F21"/>
    <w:rsid w:val="00B863CD"/>
    <w:rsid w:val="00B90206"/>
    <w:rsid w:val="00B929DD"/>
    <w:rsid w:val="00B93065"/>
    <w:rsid w:val="00B932F5"/>
    <w:rsid w:val="00B942E6"/>
    <w:rsid w:val="00B94599"/>
    <w:rsid w:val="00B94A17"/>
    <w:rsid w:val="00B9567D"/>
    <w:rsid w:val="00B96287"/>
    <w:rsid w:val="00B9667E"/>
    <w:rsid w:val="00B96E47"/>
    <w:rsid w:val="00B97117"/>
    <w:rsid w:val="00B97F77"/>
    <w:rsid w:val="00BA0BC2"/>
    <w:rsid w:val="00BA1888"/>
    <w:rsid w:val="00BA1E96"/>
    <w:rsid w:val="00BA246F"/>
    <w:rsid w:val="00BA2D74"/>
    <w:rsid w:val="00BA3A29"/>
    <w:rsid w:val="00BA4180"/>
    <w:rsid w:val="00BA4A5B"/>
    <w:rsid w:val="00BA4D12"/>
    <w:rsid w:val="00BA4ECB"/>
    <w:rsid w:val="00BA5781"/>
    <w:rsid w:val="00BA583F"/>
    <w:rsid w:val="00BA58E8"/>
    <w:rsid w:val="00BA5D0F"/>
    <w:rsid w:val="00BA5FFD"/>
    <w:rsid w:val="00BA6E27"/>
    <w:rsid w:val="00BA7B28"/>
    <w:rsid w:val="00BB21C5"/>
    <w:rsid w:val="00BB247E"/>
    <w:rsid w:val="00BB2829"/>
    <w:rsid w:val="00BB2B43"/>
    <w:rsid w:val="00BB31AF"/>
    <w:rsid w:val="00BB378D"/>
    <w:rsid w:val="00BB3DAD"/>
    <w:rsid w:val="00BB47C6"/>
    <w:rsid w:val="00BB534C"/>
    <w:rsid w:val="00BB633B"/>
    <w:rsid w:val="00BB6B61"/>
    <w:rsid w:val="00BB72D5"/>
    <w:rsid w:val="00BB79AA"/>
    <w:rsid w:val="00BC022C"/>
    <w:rsid w:val="00BC0CE5"/>
    <w:rsid w:val="00BC1A98"/>
    <w:rsid w:val="00BC1DB6"/>
    <w:rsid w:val="00BC2E63"/>
    <w:rsid w:val="00BC2F01"/>
    <w:rsid w:val="00BC441F"/>
    <w:rsid w:val="00BC5348"/>
    <w:rsid w:val="00BC55ED"/>
    <w:rsid w:val="00BC5C98"/>
    <w:rsid w:val="00BC5F26"/>
    <w:rsid w:val="00BD186D"/>
    <w:rsid w:val="00BD195E"/>
    <w:rsid w:val="00BD2008"/>
    <w:rsid w:val="00BD229B"/>
    <w:rsid w:val="00BD2665"/>
    <w:rsid w:val="00BD2DE5"/>
    <w:rsid w:val="00BD32A0"/>
    <w:rsid w:val="00BD3662"/>
    <w:rsid w:val="00BD3E52"/>
    <w:rsid w:val="00BD49FF"/>
    <w:rsid w:val="00BD7037"/>
    <w:rsid w:val="00BD7AAE"/>
    <w:rsid w:val="00BE0170"/>
    <w:rsid w:val="00BE01B1"/>
    <w:rsid w:val="00BE08A1"/>
    <w:rsid w:val="00BE0E28"/>
    <w:rsid w:val="00BE1124"/>
    <w:rsid w:val="00BE1195"/>
    <w:rsid w:val="00BE2235"/>
    <w:rsid w:val="00BE27BB"/>
    <w:rsid w:val="00BE2AD2"/>
    <w:rsid w:val="00BE3045"/>
    <w:rsid w:val="00BE459E"/>
    <w:rsid w:val="00BE4760"/>
    <w:rsid w:val="00BE5150"/>
    <w:rsid w:val="00BE56C4"/>
    <w:rsid w:val="00BE5E50"/>
    <w:rsid w:val="00BE66B3"/>
    <w:rsid w:val="00BE689A"/>
    <w:rsid w:val="00BE6C62"/>
    <w:rsid w:val="00BE712E"/>
    <w:rsid w:val="00BE77A2"/>
    <w:rsid w:val="00BF0629"/>
    <w:rsid w:val="00BF079B"/>
    <w:rsid w:val="00BF0B7E"/>
    <w:rsid w:val="00BF0CAA"/>
    <w:rsid w:val="00BF16A1"/>
    <w:rsid w:val="00BF2E08"/>
    <w:rsid w:val="00BF4211"/>
    <w:rsid w:val="00BF4D02"/>
    <w:rsid w:val="00BF5581"/>
    <w:rsid w:val="00BF5761"/>
    <w:rsid w:val="00BF5B41"/>
    <w:rsid w:val="00BF5E3A"/>
    <w:rsid w:val="00BF5FCD"/>
    <w:rsid w:val="00BF657F"/>
    <w:rsid w:val="00BF6886"/>
    <w:rsid w:val="00BF6936"/>
    <w:rsid w:val="00BF7554"/>
    <w:rsid w:val="00C01137"/>
    <w:rsid w:val="00C01234"/>
    <w:rsid w:val="00C02848"/>
    <w:rsid w:val="00C03A3A"/>
    <w:rsid w:val="00C0415B"/>
    <w:rsid w:val="00C04877"/>
    <w:rsid w:val="00C07651"/>
    <w:rsid w:val="00C07768"/>
    <w:rsid w:val="00C106AC"/>
    <w:rsid w:val="00C10980"/>
    <w:rsid w:val="00C10C0B"/>
    <w:rsid w:val="00C11EDA"/>
    <w:rsid w:val="00C1211F"/>
    <w:rsid w:val="00C13C95"/>
    <w:rsid w:val="00C13FC1"/>
    <w:rsid w:val="00C140A5"/>
    <w:rsid w:val="00C15C63"/>
    <w:rsid w:val="00C1634F"/>
    <w:rsid w:val="00C207BD"/>
    <w:rsid w:val="00C216C4"/>
    <w:rsid w:val="00C22179"/>
    <w:rsid w:val="00C23051"/>
    <w:rsid w:val="00C2322C"/>
    <w:rsid w:val="00C23A69"/>
    <w:rsid w:val="00C23F8D"/>
    <w:rsid w:val="00C24129"/>
    <w:rsid w:val="00C24630"/>
    <w:rsid w:val="00C25E83"/>
    <w:rsid w:val="00C26A96"/>
    <w:rsid w:val="00C30420"/>
    <w:rsid w:val="00C316AE"/>
    <w:rsid w:val="00C326A1"/>
    <w:rsid w:val="00C327EE"/>
    <w:rsid w:val="00C34CCC"/>
    <w:rsid w:val="00C356C9"/>
    <w:rsid w:val="00C35885"/>
    <w:rsid w:val="00C35C9A"/>
    <w:rsid w:val="00C361F4"/>
    <w:rsid w:val="00C36F5B"/>
    <w:rsid w:val="00C37176"/>
    <w:rsid w:val="00C373B3"/>
    <w:rsid w:val="00C4002D"/>
    <w:rsid w:val="00C4053C"/>
    <w:rsid w:val="00C4063B"/>
    <w:rsid w:val="00C407FF"/>
    <w:rsid w:val="00C40ACA"/>
    <w:rsid w:val="00C40E3C"/>
    <w:rsid w:val="00C414B7"/>
    <w:rsid w:val="00C42D9E"/>
    <w:rsid w:val="00C44CFB"/>
    <w:rsid w:val="00C45258"/>
    <w:rsid w:val="00C45267"/>
    <w:rsid w:val="00C4581D"/>
    <w:rsid w:val="00C45888"/>
    <w:rsid w:val="00C460A9"/>
    <w:rsid w:val="00C461DF"/>
    <w:rsid w:val="00C4769E"/>
    <w:rsid w:val="00C47728"/>
    <w:rsid w:val="00C47E97"/>
    <w:rsid w:val="00C517CA"/>
    <w:rsid w:val="00C519BB"/>
    <w:rsid w:val="00C521E2"/>
    <w:rsid w:val="00C5251E"/>
    <w:rsid w:val="00C526C7"/>
    <w:rsid w:val="00C530D1"/>
    <w:rsid w:val="00C53573"/>
    <w:rsid w:val="00C536D8"/>
    <w:rsid w:val="00C538D9"/>
    <w:rsid w:val="00C53D70"/>
    <w:rsid w:val="00C540E0"/>
    <w:rsid w:val="00C54D9C"/>
    <w:rsid w:val="00C557CC"/>
    <w:rsid w:val="00C558CC"/>
    <w:rsid w:val="00C5699C"/>
    <w:rsid w:val="00C56F79"/>
    <w:rsid w:val="00C57D26"/>
    <w:rsid w:val="00C61221"/>
    <w:rsid w:val="00C61639"/>
    <w:rsid w:val="00C61DC0"/>
    <w:rsid w:val="00C624B6"/>
    <w:rsid w:val="00C6250A"/>
    <w:rsid w:val="00C63D99"/>
    <w:rsid w:val="00C63EC4"/>
    <w:rsid w:val="00C645E5"/>
    <w:rsid w:val="00C65FAA"/>
    <w:rsid w:val="00C666A5"/>
    <w:rsid w:val="00C66D1C"/>
    <w:rsid w:val="00C671D2"/>
    <w:rsid w:val="00C677F6"/>
    <w:rsid w:val="00C71562"/>
    <w:rsid w:val="00C7223D"/>
    <w:rsid w:val="00C7243F"/>
    <w:rsid w:val="00C7267F"/>
    <w:rsid w:val="00C7308C"/>
    <w:rsid w:val="00C7331D"/>
    <w:rsid w:val="00C736F1"/>
    <w:rsid w:val="00C73DEA"/>
    <w:rsid w:val="00C73FA8"/>
    <w:rsid w:val="00C74B05"/>
    <w:rsid w:val="00C76852"/>
    <w:rsid w:val="00C76A07"/>
    <w:rsid w:val="00C76C25"/>
    <w:rsid w:val="00C7796B"/>
    <w:rsid w:val="00C80AF3"/>
    <w:rsid w:val="00C81CC4"/>
    <w:rsid w:val="00C81DE5"/>
    <w:rsid w:val="00C823A4"/>
    <w:rsid w:val="00C82A4B"/>
    <w:rsid w:val="00C82FB8"/>
    <w:rsid w:val="00C836BF"/>
    <w:rsid w:val="00C83D2E"/>
    <w:rsid w:val="00C84ED8"/>
    <w:rsid w:val="00C84F91"/>
    <w:rsid w:val="00C85508"/>
    <w:rsid w:val="00C857FF"/>
    <w:rsid w:val="00C85914"/>
    <w:rsid w:val="00C865A7"/>
    <w:rsid w:val="00C87C84"/>
    <w:rsid w:val="00C902B8"/>
    <w:rsid w:val="00C90772"/>
    <w:rsid w:val="00C90893"/>
    <w:rsid w:val="00C90C04"/>
    <w:rsid w:val="00C93DEF"/>
    <w:rsid w:val="00C93EA4"/>
    <w:rsid w:val="00C94641"/>
    <w:rsid w:val="00C95A9C"/>
    <w:rsid w:val="00C974A6"/>
    <w:rsid w:val="00C977B4"/>
    <w:rsid w:val="00C978B0"/>
    <w:rsid w:val="00C97B45"/>
    <w:rsid w:val="00CA068E"/>
    <w:rsid w:val="00CA0A51"/>
    <w:rsid w:val="00CA0AA4"/>
    <w:rsid w:val="00CA1027"/>
    <w:rsid w:val="00CA20B5"/>
    <w:rsid w:val="00CA2E23"/>
    <w:rsid w:val="00CA4971"/>
    <w:rsid w:val="00CA531E"/>
    <w:rsid w:val="00CA5944"/>
    <w:rsid w:val="00CA5F39"/>
    <w:rsid w:val="00CA5F47"/>
    <w:rsid w:val="00CA6041"/>
    <w:rsid w:val="00CA6C32"/>
    <w:rsid w:val="00CA6EDE"/>
    <w:rsid w:val="00CB00AC"/>
    <w:rsid w:val="00CB0552"/>
    <w:rsid w:val="00CB0639"/>
    <w:rsid w:val="00CB1137"/>
    <w:rsid w:val="00CB126B"/>
    <w:rsid w:val="00CB22BC"/>
    <w:rsid w:val="00CB34F5"/>
    <w:rsid w:val="00CB4AE2"/>
    <w:rsid w:val="00CB5918"/>
    <w:rsid w:val="00CB76D7"/>
    <w:rsid w:val="00CB7AC5"/>
    <w:rsid w:val="00CC02E4"/>
    <w:rsid w:val="00CC0677"/>
    <w:rsid w:val="00CC1972"/>
    <w:rsid w:val="00CC274D"/>
    <w:rsid w:val="00CC327F"/>
    <w:rsid w:val="00CC32BB"/>
    <w:rsid w:val="00CC32F2"/>
    <w:rsid w:val="00CC336B"/>
    <w:rsid w:val="00CC363B"/>
    <w:rsid w:val="00CC37F3"/>
    <w:rsid w:val="00CC3ADB"/>
    <w:rsid w:val="00CC3FCD"/>
    <w:rsid w:val="00CC4413"/>
    <w:rsid w:val="00CC455D"/>
    <w:rsid w:val="00CC4636"/>
    <w:rsid w:val="00CC4759"/>
    <w:rsid w:val="00CC5837"/>
    <w:rsid w:val="00CC69A9"/>
    <w:rsid w:val="00CC6A4A"/>
    <w:rsid w:val="00CC7C6E"/>
    <w:rsid w:val="00CC7FA8"/>
    <w:rsid w:val="00CD00A6"/>
    <w:rsid w:val="00CD0307"/>
    <w:rsid w:val="00CD381F"/>
    <w:rsid w:val="00CD3CC8"/>
    <w:rsid w:val="00CD41E2"/>
    <w:rsid w:val="00CD4831"/>
    <w:rsid w:val="00CD496E"/>
    <w:rsid w:val="00CD498D"/>
    <w:rsid w:val="00CD5AE3"/>
    <w:rsid w:val="00CD6756"/>
    <w:rsid w:val="00CD679E"/>
    <w:rsid w:val="00CD706A"/>
    <w:rsid w:val="00CE0929"/>
    <w:rsid w:val="00CE0F8C"/>
    <w:rsid w:val="00CE13E6"/>
    <w:rsid w:val="00CE1B38"/>
    <w:rsid w:val="00CE1C50"/>
    <w:rsid w:val="00CE20D8"/>
    <w:rsid w:val="00CE327E"/>
    <w:rsid w:val="00CE3737"/>
    <w:rsid w:val="00CE4159"/>
    <w:rsid w:val="00CE4D99"/>
    <w:rsid w:val="00CE4EA2"/>
    <w:rsid w:val="00CE50F4"/>
    <w:rsid w:val="00CE59FD"/>
    <w:rsid w:val="00CE5EC2"/>
    <w:rsid w:val="00CE65FF"/>
    <w:rsid w:val="00CE6883"/>
    <w:rsid w:val="00CE6CAD"/>
    <w:rsid w:val="00CE738F"/>
    <w:rsid w:val="00CE7896"/>
    <w:rsid w:val="00CE7B6E"/>
    <w:rsid w:val="00CF0281"/>
    <w:rsid w:val="00CF02E7"/>
    <w:rsid w:val="00CF0B89"/>
    <w:rsid w:val="00CF12F1"/>
    <w:rsid w:val="00CF1F5A"/>
    <w:rsid w:val="00CF2DEC"/>
    <w:rsid w:val="00CF4FDE"/>
    <w:rsid w:val="00CF58C4"/>
    <w:rsid w:val="00CF59A9"/>
    <w:rsid w:val="00CF6ADC"/>
    <w:rsid w:val="00CF7D67"/>
    <w:rsid w:val="00CF7EBA"/>
    <w:rsid w:val="00D0025C"/>
    <w:rsid w:val="00D00EB6"/>
    <w:rsid w:val="00D01632"/>
    <w:rsid w:val="00D01C26"/>
    <w:rsid w:val="00D01DC8"/>
    <w:rsid w:val="00D0289A"/>
    <w:rsid w:val="00D037EB"/>
    <w:rsid w:val="00D04BC2"/>
    <w:rsid w:val="00D053C4"/>
    <w:rsid w:val="00D06292"/>
    <w:rsid w:val="00D06318"/>
    <w:rsid w:val="00D06C97"/>
    <w:rsid w:val="00D070E3"/>
    <w:rsid w:val="00D07444"/>
    <w:rsid w:val="00D0765B"/>
    <w:rsid w:val="00D109A8"/>
    <w:rsid w:val="00D11E44"/>
    <w:rsid w:val="00D11EA4"/>
    <w:rsid w:val="00D122B4"/>
    <w:rsid w:val="00D1245F"/>
    <w:rsid w:val="00D12C15"/>
    <w:rsid w:val="00D12D35"/>
    <w:rsid w:val="00D13A67"/>
    <w:rsid w:val="00D14C23"/>
    <w:rsid w:val="00D14D19"/>
    <w:rsid w:val="00D1509E"/>
    <w:rsid w:val="00D15708"/>
    <w:rsid w:val="00D15936"/>
    <w:rsid w:val="00D15BC5"/>
    <w:rsid w:val="00D163E8"/>
    <w:rsid w:val="00D16814"/>
    <w:rsid w:val="00D16A15"/>
    <w:rsid w:val="00D171F2"/>
    <w:rsid w:val="00D17861"/>
    <w:rsid w:val="00D20DDF"/>
    <w:rsid w:val="00D21A69"/>
    <w:rsid w:val="00D229CD"/>
    <w:rsid w:val="00D22B09"/>
    <w:rsid w:val="00D22C83"/>
    <w:rsid w:val="00D22E87"/>
    <w:rsid w:val="00D23A01"/>
    <w:rsid w:val="00D242F9"/>
    <w:rsid w:val="00D2450D"/>
    <w:rsid w:val="00D24AA5"/>
    <w:rsid w:val="00D26707"/>
    <w:rsid w:val="00D26F02"/>
    <w:rsid w:val="00D274ED"/>
    <w:rsid w:val="00D27DDF"/>
    <w:rsid w:val="00D30762"/>
    <w:rsid w:val="00D30B97"/>
    <w:rsid w:val="00D31357"/>
    <w:rsid w:val="00D31363"/>
    <w:rsid w:val="00D31574"/>
    <w:rsid w:val="00D31610"/>
    <w:rsid w:val="00D3162F"/>
    <w:rsid w:val="00D31962"/>
    <w:rsid w:val="00D32554"/>
    <w:rsid w:val="00D329C6"/>
    <w:rsid w:val="00D3399B"/>
    <w:rsid w:val="00D344AA"/>
    <w:rsid w:val="00D34D46"/>
    <w:rsid w:val="00D358C2"/>
    <w:rsid w:val="00D36050"/>
    <w:rsid w:val="00D36071"/>
    <w:rsid w:val="00D363A9"/>
    <w:rsid w:val="00D3690B"/>
    <w:rsid w:val="00D36E82"/>
    <w:rsid w:val="00D376F1"/>
    <w:rsid w:val="00D3787E"/>
    <w:rsid w:val="00D37A6F"/>
    <w:rsid w:val="00D37CED"/>
    <w:rsid w:val="00D40577"/>
    <w:rsid w:val="00D41233"/>
    <w:rsid w:val="00D41658"/>
    <w:rsid w:val="00D43491"/>
    <w:rsid w:val="00D43932"/>
    <w:rsid w:val="00D43DB0"/>
    <w:rsid w:val="00D43EB7"/>
    <w:rsid w:val="00D440CD"/>
    <w:rsid w:val="00D45E27"/>
    <w:rsid w:val="00D46DDD"/>
    <w:rsid w:val="00D47AEA"/>
    <w:rsid w:val="00D50D55"/>
    <w:rsid w:val="00D5235C"/>
    <w:rsid w:val="00D566D9"/>
    <w:rsid w:val="00D56E10"/>
    <w:rsid w:val="00D57CEB"/>
    <w:rsid w:val="00D61069"/>
    <w:rsid w:val="00D62E8D"/>
    <w:rsid w:val="00D6458C"/>
    <w:rsid w:val="00D6480A"/>
    <w:rsid w:val="00D6489A"/>
    <w:rsid w:val="00D66575"/>
    <w:rsid w:val="00D668D8"/>
    <w:rsid w:val="00D67464"/>
    <w:rsid w:val="00D67A98"/>
    <w:rsid w:val="00D67E21"/>
    <w:rsid w:val="00D67FAC"/>
    <w:rsid w:val="00D701C2"/>
    <w:rsid w:val="00D7179C"/>
    <w:rsid w:val="00D718A4"/>
    <w:rsid w:val="00D71918"/>
    <w:rsid w:val="00D729CF"/>
    <w:rsid w:val="00D72F06"/>
    <w:rsid w:val="00D736E9"/>
    <w:rsid w:val="00D73BDE"/>
    <w:rsid w:val="00D7410A"/>
    <w:rsid w:val="00D7673A"/>
    <w:rsid w:val="00D76F7B"/>
    <w:rsid w:val="00D77209"/>
    <w:rsid w:val="00D80631"/>
    <w:rsid w:val="00D80A47"/>
    <w:rsid w:val="00D8219E"/>
    <w:rsid w:val="00D832FC"/>
    <w:rsid w:val="00D83A0F"/>
    <w:rsid w:val="00D83D0B"/>
    <w:rsid w:val="00D841BD"/>
    <w:rsid w:val="00D846C5"/>
    <w:rsid w:val="00D852C1"/>
    <w:rsid w:val="00D864A7"/>
    <w:rsid w:val="00D867BC"/>
    <w:rsid w:val="00D87337"/>
    <w:rsid w:val="00D87374"/>
    <w:rsid w:val="00D90701"/>
    <w:rsid w:val="00D90FBA"/>
    <w:rsid w:val="00D91B58"/>
    <w:rsid w:val="00D92160"/>
    <w:rsid w:val="00D9236D"/>
    <w:rsid w:val="00D92514"/>
    <w:rsid w:val="00D93E92"/>
    <w:rsid w:val="00D93F50"/>
    <w:rsid w:val="00D94CC1"/>
    <w:rsid w:val="00D9594D"/>
    <w:rsid w:val="00D97068"/>
    <w:rsid w:val="00D97C07"/>
    <w:rsid w:val="00DA084F"/>
    <w:rsid w:val="00DA1203"/>
    <w:rsid w:val="00DA19B2"/>
    <w:rsid w:val="00DA1CD9"/>
    <w:rsid w:val="00DA1FEA"/>
    <w:rsid w:val="00DA229A"/>
    <w:rsid w:val="00DA28B9"/>
    <w:rsid w:val="00DA2C3A"/>
    <w:rsid w:val="00DA3012"/>
    <w:rsid w:val="00DA386C"/>
    <w:rsid w:val="00DA3D90"/>
    <w:rsid w:val="00DA6153"/>
    <w:rsid w:val="00DA641A"/>
    <w:rsid w:val="00DA72C6"/>
    <w:rsid w:val="00DA76C6"/>
    <w:rsid w:val="00DA775D"/>
    <w:rsid w:val="00DB000C"/>
    <w:rsid w:val="00DB09A9"/>
    <w:rsid w:val="00DB0B30"/>
    <w:rsid w:val="00DB0D5B"/>
    <w:rsid w:val="00DB13A2"/>
    <w:rsid w:val="00DB202D"/>
    <w:rsid w:val="00DB21D0"/>
    <w:rsid w:val="00DB2D62"/>
    <w:rsid w:val="00DB3032"/>
    <w:rsid w:val="00DB316A"/>
    <w:rsid w:val="00DB49F2"/>
    <w:rsid w:val="00DB52ED"/>
    <w:rsid w:val="00DB6FE4"/>
    <w:rsid w:val="00DB703A"/>
    <w:rsid w:val="00DB708D"/>
    <w:rsid w:val="00DB7B75"/>
    <w:rsid w:val="00DB7F44"/>
    <w:rsid w:val="00DC0A50"/>
    <w:rsid w:val="00DC1181"/>
    <w:rsid w:val="00DC14EE"/>
    <w:rsid w:val="00DC18CC"/>
    <w:rsid w:val="00DC211B"/>
    <w:rsid w:val="00DC3794"/>
    <w:rsid w:val="00DC441D"/>
    <w:rsid w:val="00DC5170"/>
    <w:rsid w:val="00DC62D5"/>
    <w:rsid w:val="00DC6493"/>
    <w:rsid w:val="00DC6B56"/>
    <w:rsid w:val="00DC7C85"/>
    <w:rsid w:val="00DD06C1"/>
    <w:rsid w:val="00DD13B0"/>
    <w:rsid w:val="00DD1445"/>
    <w:rsid w:val="00DD1C20"/>
    <w:rsid w:val="00DD2223"/>
    <w:rsid w:val="00DD2984"/>
    <w:rsid w:val="00DD2B6E"/>
    <w:rsid w:val="00DD2E83"/>
    <w:rsid w:val="00DD3C99"/>
    <w:rsid w:val="00DD525E"/>
    <w:rsid w:val="00DD565B"/>
    <w:rsid w:val="00DD7C96"/>
    <w:rsid w:val="00DE019F"/>
    <w:rsid w:val="00DE151B"/>
    <w:rsid w:val="00DE1C18"/>
    <w:rsid w:val="00DE1FB4"/>
    <w:rsid w:val="00DE3CF0"/>
    <w:rsid w:val="00DE3DCB"/>
    <w:rsid w:val="00DE41E7"/>
    <w:rsid w:val="00DE55A2"/>
    <w:rsid w:val="00DE5F52"/>
    <w:rsid w:val="00DE7025"/>
    <w:rsid w:val="00DE7173"/>
    <w:rsid w:val="00DE730B"/>
    <w:rsid w:val="00DE794D"/>
    <w:rsid w:val="00DF220C"/>
    <w:rsid w:val="00DF288D"/>
    <w:rsid w:val="00DF2A58"/>
    <w:rsid w:val="00DF32C6"/>
    <w:rsid w:val="00DF489B"/>
    <w:rsid w:val="00DF685E"/>
    <w:rsid w:val="00DF695B"/>
    <w:rsid w:val="00DF6B93"/>
    <w:rsid w:val="00DF701A"/>
    <w:rsid w:val="00DF798A"/>
    <w:rsid w:val="00DF7B73"/>
    <w:rsid w:val="00DF7C17"/>
    <w:rsid w:val="00E00924"/>
    <w:rsid w:val="00E01787"/>
    <w:rsid w:val="00E02064"/>
    <w:rsid w:val="00E03654"/>
    <w:rsid w:val="00E03991"/>
    <w:rsid w:val="00E04D0C"/>
    <w:rsid w:val="00E07362"/>
    <w:rsid w:val="00E075E0"/>
    <w:rsid w:val="00E07C9D"/>
    <w:rsid w:val="00E1027F"/>
    <w:rsid w:val="00E1143E"/>
    <w:rsid w:val="00E11804"/>
    <w:rsid w:val="00E11D97"/>
    <w:rsid w:val="00E13F80"/>
    <w:rsid w:val="00E1440F"/>
    <w:rsid w:val="00E1529D"/>
    <w:rsid w:val="00E153E6"/>
    <w:rsid w:val="00E1591A"/>
    <w:rsid w:val="00E15D8D"/>
    <w:rsid w:val="00E15EB4"/>
    <w:rsid w:val="00E16684"/>
    <w:rsid w:val="00E16B8D"/>
    <w:rsid w:val="00E171AD"/>
    <w:rsid w:val="00E174AC"/>
    <w:rsid w:val="00E1754A"/>
    <w:rsid w:val="00E17551"/>
    <w:rsid w:val="00E20626"/>
    <w:rsid w:val="00E212B6"/>
    <w:rsid w:val="00E21748"/>
    <w:rsid w:val="00E228C5"/>
    <w:rsid w:val="00E22D96"/>
    <w:rsid w:val="00E23190"/>
    <w:rsid w:val="00E23D73"/>
    <w:rsid w:val="00E2496A"/>
    <w:rsid w:val="00E24D25"/>
    <w:rsid w:val="00E24F93"/>
    <w:rsid w:val="00E25940"/>
    <w:rsid w:val="00E25A56"/>
    <w:rsid w:val="00E25DAB"/>
    <w:rsid w:val="00E266C4"/>
    <w:rsid w:val="00E266E6"/>
    <w:rsid w:val="00E267E8"/>
    <w:rsid w:val="00E268DA"/>
    <w:rsid w:val="00E2710B"/>
    <w:rsid w:val="00E2771F"/>
    <w:rsid w:val="00E30023"/>
    <w:rsid w:val="00E3010C"/>
    <w:rsid w:val="00E3072A"/>
    <w:rsid w:val="00E30AD2"/>
    <w:rsid w:val="00E31136"/>
    <w:rsid w:val="00E3225C"/>
    <w:rsid w:val="00E32B39"/>
    <w:rsid w:val="00E32CA2"/>
    <w:rsid w:val="00E32E12"/>
    <w:rsid w:val="00E32FBC"/>
    <w:rsid w:val="00E3308D"/>
    <w:rsid w:val="00E33889"/>
    <w:rsid w:val="00E33962"/>
    <w:rsid w:val="00E33FFA"/>
    <w:rsid w:val="00E3419B"/>
    <w:rsid w:val="00E35E09"/>
    <w:rsid w:val="00E36A17"/>
    <w:rsid w:val="00E37116"/>
    <w:rsid w:val="00E379FE"/>
    <w:rsid w:val="00E40F70"/>
    <w:rsid w:val="00E41143"/>
    <w:rsid w:val="00E41453"/>
    <w:rsid w:val="00E41C1E"/>
    <w:rsid w:val="00E41D18"/>
    <w:rsid w:val="00E421A2"/>
    <w:rsid w:val="00E42D81"/>
    <w:rsid w:val="00E432AB"/>
    <w:rsid w:val="00E436FB"/>
    <w:rsid w:val="00E4400F"/>
    <w:rsid w:val="00E441FD"/>
    <w:rsid w:val="00E44303"/>
    <w:rsid w:val="00E44ABA"/>
    <w:rsid w:val="00E44BA9"/>
    <w:rsid w:val="00E4590D"/>
    <w:rsid w:val="00E45DD7"/>
    <w:rsid w:val="00E4616E"/>
    <w:rsid w:val="00E46CE5"/>
    <w:rsid w:val="00E47160"/>
    <w:rsid w:val="00E475F0"/>
    <w:rsid w:val="00E479D1"/>
    <w:rsid w:val="00E47E08"/>
    <w:rsid w:val="00E50A32"/>
    <w:rsid w:val="00E50B67"/>
    <w:rsid w:val="00E515D6"/>
    <w:rsid w:val="00E51D87"/>
    <w:rsid w:val="00E51FB2"/>
    <w:rsid w:val="00E541CB"/>
    <w:rsid w:val="00E543C2"/>
    <w:rsid w:val="00E5514C"/>
    <w:rsid w:val="00E5572F"/>
    <w:rsid w:val="00E5608A"/>
    <w:rsid w:val="00E5621E"/>
    <w:rsid w:val="00E60404"/>
    <w:rsid w:val="00E6040C"/>
    <w:rsid w:val="00E60A11"/>
    <w:rsid w:val="00E612FA"/>
    <w:rsid w:val="00E62E3B"/>
    <w:rsid w:val="00E633DC"/>
    <w:rsid w:val="00E63929"/>
    <w:rsid w:val="00E63F16"/>
    <w:rsid w:val="00E6458D"/>
    <w:rsid w:val="00E645A0"/>
    <w:rsid w:val="00E64DCC"/>
    <w:rsid w:val="00E64EE7"/>
    <w:rsid w:val="00E656ED"/>
    <w:rsid w:val="00E65E61"/>
    <w:rsid w:val="00E66F3E"/>
    <w:rsid w:val="00E67737"/>
    <w:rsid w:val="00E67A90"/>
    <w:rsid w:val="00E702B4"/>
    <w:rsid w:val="00E70C64"/>
    <w:rsid w:val="00E72EDA"/>
    <w:rsid w:val="00E72F85"/>
    <w:rsid w:val="00E737DA"/>
    <w:rsid w:val="00E74691"/>
    <w:rsid w:val="00E747FB"/>
    <w:rsid w:val="00E758D2"/>
    <w:rsid w:val="00E76640"/>
    <w:rsid w:val="00E7664C"/>
    <w:rsid w:val="00E76A6E"/>
    <w:rsid w:val="00E76BD9"/>
    <w:rsid w:val="00E8032D"/>
    <w:rsid w:val="00E804D3"/>
    <w:rsid w:val="00E80582"/>
    <w:rsid w:val="00E811FD"/>
    <w:rsid w:val="00E8292F"/>
    <w:rsid w:val="00E8318B"/>
    <w:rsid w:val="00E8497F"/>
    <w:rsid w:val="00E84BC3"/>
    <w:rsid w:val="00E85790"/>
    <w:rsid w:val="00E85793"/>
    <w:rsid w:val="00E85794"/>
    <w:rsid w:val="00E85FCD"/>
    <w:rsid w:val="00E865BF"/>
    <w:rsid w:val="00E8681F"/>
    <w:rsid w:val="00E86EFC"/>
    <w:rsid w:val="00E870F6"/>
    <w:rsid w:val="00E874C9"/>
    <w:rsid w:val="00E8753F"/>
    <w:rsid w:val="00E90F1E"/>
    <w:rsid w:val="00E9154A"/>
    <w:rsid w:val="00E915FF"/>
    <w:rsid w:val="00E916CE"/>
    <w:rsid w:val="00E92390"/>
    <w:rsid w:val="00E92395"/>
    <w:rsid w:val="00E929E7"/>
    <w:rsid w:val="00E935A6"/>
    <w:rsid w:val="00E93F03"/>
    <w:rsid w:val="00E9495F"/>
    <w:rsid w:val="00E94FD1"/>
    <w:rsid w:val="00E958B1"/>
    <w:rsid w:val="00E964DC"/>
    <w:rsid w:val="00EA10E1"/>
    <w:rsid w:val="00EA4121"/>
    <w:rsid w:val="00EA4549"/>
    <w:rsid w:val="00EA5D06"/>
    <w:rsid w:val="00EA7B06"/>
    <w:rsid w:val="00EA7F92"/>
    <w:rsid w:val="00EB01FD"/>
    <w:rsid w:val="00EB15E8"/>
    <w:rsid w:val="00EB2AD0"/>
    <w:rsid w:val="00EB2E49"/>
    <w:rsid w:val="00EB3C54"/>
    <w:rsid w:val="00EB4175"/>
    <w:rsid w:val="00EB42F2"/>
    <w:rsid w:val="00EB54ED"/>
    <w:rsid w:val="00EB5B74"/>
    <w:rsid w:val="00EB5BA9"/>
    <w:rsid w:val="00EB6440"/>
    <w:rsid w:val="00EB6852"/>
    <w:rsid w:val="00EB6C69"/>
    <w:rsid w:val="00EB7761"/>
    <w:rsid w:val="00EB7E21"/>
    <w:rsid w:val="00EB7EB0"/>
    <w:rsid w:val="00EC12A7"/>
    <w:rsid w:val="00EC1F4E"/>
    <w:rsid w:val="00EC2C11"/>
    <w:rsid w:val="00EC3477"/>
    <w:rsid w:val="00EC4036"/>
    <w:rsid w:val="00EC5C66"/>
    <w:rsid w:val="00EC63D4"/>
    <w:rsid w:val="00EC670E"/>
    <w:rsid w:val="00EC72AD"/>
    <w:rsid w:val="00EC7F6E"/>
    <w:rsid w:val="00ED0429"/>
    <w:rsid w:val="00ED0767"/>
    <w:rsid w:val="00ED0821"/>
    <w:rsid w:val="00ED0F42"/>
    <w:rsid w:val="00ED130E"/>
    <w:rsid w:val="00ED1ABB"/>
    <w:rsid w:val="00ED457D"/>
    <w:rsid w:val="00ED46A1"/>
    <w:rsid w:val="00ED4D2F"/>
    <w:rsid w:val="00ED4EF1"/>
    <w:rsid w:val="00ED572D"/>
    <w:rsid w:val="00ED61E5"/>
    <w:rsid w:val="00ED6FC4"/>
    <w:rsid w:val="00EE2160"/>
    <w:rsid w:val="00EE271F"/>
    <w:rsid w:val="00EE2A81"/>
    <w:rsid w:val="00EE304E"/>
    <w:rsid w:val="00EE3E0D"/>
    <w:rsid w:val="00EE4230"/>
    <w:rsid w:val="00EE4CD8"/>
    <w:rsid w:val="00EE5AC2"/>
    <w:rsid w:val="00EE5E6A"/>
    <w:rsid w:val="00EE608B"/>
    <w:rsid w:val="00EE70B2"/>
    <w:rsid w:val="00EF0133"/>
    <w:rsid w:val="00EF0D12"/>
    <w:rsid w:val="00EF189E"/>
    <w:rsid w:val="00EF2A0B"/>
    <w:rsid w:val="00EF35C6"/>
    <w:rsid w:val="00EF4480"/>
    <w:rsid w:val="00EF4B6F"/>
    <w:rsid w:val="00EF4F88"/>
    <w:rsid w:val="00EF5C6F"/>
    <w:rsid w:val="00EF6085"/>
    <w:rsid w:val="00EF6429"/>
    <w:rsid w:val="00EF6F29"/>
    <w:rsid w:val="00F00828"/>
    <w:rsid w:val="00F008C0"/>
    <w:rsid w:val="00F013AB"/>
    <w:rsid w:val="00F018B1"/>
    <w:rsid w:val="00F020BF"/>
    <w:rsid w:val="00F02704"/>
    <w:rsid w:val="00F02844"/>
    <w:rsid w:val="00F0351A"/>
    <w:rsid w:val="00F0548B"/>
    <w:rsid w:val="00F07244"/>
    <w:rsid w:val="00F102B1"/>
    <w:rsid w:val="00F10660"/>
    <w:rsid w:val="00F126FE"/>
    <w:rsid w:val="00F12790"/>
    <w:rsid w:val="00F13254"/>
    <w:rsid w:val="00F133A9"/>
    <w:rsid w:val="00F13428"/>
    <w:rsid w:val="00F14580"/>
    <w:rsid w:val="00F14837"/>
    <w:rsid w:val="00F161B4"/>
    <w:rsid w:val="00F164DD"/>
    <w:rsid w:val="00F16BC3"/>
    <w:rsid w:val="00F17B5C"/>
    <w:rsid w:val="00F20914"/>
    <w:rsid w:val="00F21591"/>
    <w:rsid w:val="00F21E6A"/>
    <w:rsid w:val="00F2242B"/>
    <w:rsid w:val="00F22BC5"/>
    <w:rsid w:val="00F22F26"/>
    <w:rsid w:val="00F23540"/>
    <w:rsid w:val="00F2486C"/>
    <w:rsid w:val="00F24A56"/>
    <w:rsid w:val="00F24C51"/>
    <w:rsid w:val="00F256DB"/>
    <w:rsid w:val="00F26223"/>
    <w:rsid w:val="00F264B0"/>
    <w:rsid w:val="00F2787D"/>
    <w:rsid w:val="00F27D65"/>
    <w:rsid w:val="00F304FE"/>
    <w:rsid w:val="00F30567"/>
    <w:rsid w:val="00F3107A"/>
    <w:rsid w:val="00F32C1A"/>
    <w:rsid w:val="00F32C35"/>
    <w:rsid w:val="00F32E72"/>
    <w:rsid w:val="00F35B7A"/>
    <w:rsid w:val="00F36AA6"/>
    <w:rsid w:val="00F36BD9"/>
    <w:rsid w:val="00F371E3"/>
    <w:rsid w:val="00F40483"/>
    <w:rsid w:val="00F40BA7"/>
    <w:rsid w:val="00F41AAC"/>
    <w:rsid w:val="00F41B6E"/>
    <w:rsid w:val="00F41E58"/>
    <w:rsid w:val="00F42DE6"/>
    <w:rsid w:val="00F43070"/>
    <w:rsid w:val="00F43D44"/>
    <w:rsid w:val="00F453DD"/>
    <w:rsid w:val="00F46096"/>
    <w:rsid w:val="00F4634C"/>
    <w:rsid w:val="00F4709E"/>
    <w:rsid w:val="00F47403"/>
    <w:rsid w:val="00F477AB"/>
    <w:rsid w:val="00F47A66"/>
    <w:rsid w:val="00F52897"/>
    <w:rsid w:val="00F52B14"/>
    <w:rsid w:val="00F52FC2"/>
    <w:rsid w:val="00F54730"/>
    <w:rsid w:val="00F556A1"/>
    <w:rsid w:val="00F573A0"/>
    <w:rsid w:val="00F57DEA"/>
    <w:rsid w:val="00F57F02"/>
    <w:rsid w:val="00F60015"/>
    <w:rsid w:val="00F6022A"/>
    <w:rsid w:val="00F6092F"/>
    <w:rsid w:val="00F609EF"/>
    <w:rsid w:val="00F6100D"/>
    <w:rsid w:val="00F61879"/>
    <w:rsid w:val="00F629CE"/>
    <w:rsid w:val="00F63C66"/>
    <w:rsid w:val="00F65706"/>
    <w:rsid w:val="00F657D1"/>
    <w:rsid w:val="00F66935"/>
    <w:rsid w:val="00F671BB"/>
    <w:rsid w:val="00F67717"/>
    <w:rsid w:val="00F67CA1"/>
    <w:rsid w:val="00F67CDB"/>
    <w:rsid w:val="00F71528"/>
    <w:rsid w:val="00F726EF"/>
    <w:rsid w:val="00F72C72"/>
    <w:rsid w:val="00F7310B"/>
    <w:rsid w:val="00F73C7C"/>
    <w:rsid w:val="00F7462C"/>
    <w:rsid w:val="00F74A13"/>
    <w:rsid w:val="00F74EA4"/>
    <w:rsid w:val="00F75E54"/>
    <w:rsid w:val="00F76648"/>
    <w:rsid w:val="00F76AA6"/>
    <w:rsid w:val="00F77B6E"/>
    <w:rsid w:val="00F77F1B"/>
    <w:rsid w:val="00F80939"/>
    <w:rsid w:val="00F8094C"/>
    <w:rsid w:val="00F81D53"/>
    <w:rsid w:val="00F8239B"/>
    <w:rsid w:val="00F82444"/>
    <w:rsid w:val="00F82852"/>
    <w:rsid w:val="00F82B62"/>
    <w:rsid w:val="00F83BB1"/>
    <w:rsid w:val="00F8599D"/>
    <w:rsid w:val="00F85CDA"/>
    <w:rsid w:val="00F85EAB"/>
    <w:rsid w:val="00F90074"/>
    <w:rsid w:val="00F9182D"/>
    <w:rsid w:val="00F91893"/>
    <w:rsid w:val="00F92F80"/>
    <w:rsid w:val="00F939C9"/>
    <w:rsid w:val="00F93D2A"/>
    <w:rsid w:val="00F93E70"/>
    <w:rsid w:val="00F93F77"/>
    <w:rsid w:val="00F945D4"/>
    <w:rsid w:val="00F94728"/>
    <w:rsid w:val="00F94E80"/>
    <w:rsid w:val="00F953A2"/>
    <w:rsid w:val="00F95582"/>
    <w:rsid w:val="00F96159"/>
    <w:rsid w:val="00F96899"/>
    <w:rsid w:val="00F97A13"/>
    <w:rsid w:val="00F97E0A"/>
    <w:rsid w:val="00FA06A6"/>
    <w:rsid w:val="00FA1402"/>
    <w:rsid w:val="00FA282C"/>
    <w:rsid w:val="00FA2DFB"/>
    <w:rsid w:val="00FA3DC0"/>
    <w:rsid w:val="00FA461F"/>
    <w:rsid w:val="00FA48D8"/>
    <w:rsid w:val="00FA4B1E"/>
    <w:rsid w:val="00FA4EF8"/>
    <w:rsid w:val="00FA58FF"/>
    <w:rsid w:val="00FA5B03"/>
    <w:rsid w:val="00FA6453"/>
    <w:rsid w:val="00FA6E80"/>
    <w:rsid w:val="00FA70A2"/>
    <w:rsid w:val="00FB00EF"/>
    <w:rsid w:val="00FB05F1"/>
    <w:rsid w:val="00FB13F1"/>
    <w:rsid w:val="00FB2484"/>
    <w:rsid w:val="00FB3396"/>
    <w:rsid w:val="00FB3486"/>
    <w:rsid w:val="00FB37BB"/>
    <w:rsid w:val="00FB4292"/>
    <w:rsid w:val="00FB5020"/>
    <w:rsid w:val="00FB54C8"/>
    <w:rsid w:val="00FB54FF"/>
    <w:rsid w:val="00FB5D13"/>
    <w:rsid w:val="00FB6C83"/>
    <w:rsid w:val="00FB75C5"/>
    <w:rsid w:val="00FB7A05"/>
    <w:rsid w:val="00FC00F1"/>
    <w:rsid w:val="00FC0982"/>
    <w:rsid w:val="00FC0AB2"/>
    <w:rsid w:val="00FC139E"/>
    <w:rsid w:val="00FC2150"/>
    <w:rsid w:val="00FC28F1"/>
    <w:rsid w:val="00FC337B"/>
    <w:rsid w:val="00FC3679"/>
    <w:rsid w:val="00FC3C29"/>
    <w:rsid w:val="00FC5323"/>
    <w:rsid w:val="00FC6114"/>
    <w:rsid w:val="00FC6D06"/>
    <w:rsid w:val="00FC7C18"/>
    <w:rsid w:val="00FD0ED4"/>
    <w:rsid w:val="00FD1A60"/>
    <w:rsid w:val="00FD2448"/>
    <w:rsid w:val="00FD28FE"/>
    <w:rsid w:val="00FD3AAF"/>
    <w:rsid w:val="00FD43FF"/>
    <w:rsid w:val="00FD5870"/>
    <w:rsid w:val="00FD5AF9"/>
    <w:rsid w:val="00FD5C6D"/>
    <w:rsid w:val="00FD5EBB"/>
    <w:rsid w:val="00FD66A7"/>
    <w:rsid w:val="00FD7DBA"/>
    <w:rsid w:val="00FE1CAB"/>
    <w:rsid w:val="00FE1FB4"/>
    <w:rsid w:val="00FE2EDD"/>
    <w:rsid w:val="00FE3DE7"/>
    <w:rsid w:val="00FE3E0D"/>
    <w:rsid w:val="00FE4B1D"/>
    <w:rsid w:val="00FE4B39"/>
    <w:rsid w:val="00FE4D10"/>
    <w:rsid w:val="00FE50DA"/>
    <w:rsid w:val="00FE53FB"/>
    <w:rsid w:val="00FE5BCE"/>
    <w:rsid w:val="00FE64A5"/>
    <w:rsid w:val="00FE7940"/>
    <w:rsid w:val="00FE7B0B"/>
    <w:rsid w:val="00FF06B3"/>
    <w:rsid w:val="00FF1433"/>
    <w:rsid w:val="00FF243A"/>
    <w:rsid w:val="00FF2C6B"/>
    <w:rsid w:val="00FF4734"/>
    <w:rsid w:val="00FF4B26"/>
    <w:rsid w:val="00FF545D"/>
    <w:rsid w:val="00FF63B9"/>
    <w:rsid w:val="00FF72F4"/>
    <w:rsid w:val="00FF77B6"/>
    <w:rsid w:val="00FF79F6"/>
    <w:rsid w:val="00FF7DE3"/>
    <w:rsid w:val="010C3643"/>
    <w:rsid w:val="01520363"/>
    <w:rsid w:val="01556417"/>
    <w:rsid w:val="015A4688"/>
    <w:rsid w:val="01600513"/>
    <w:rsid w:val="016D0EAE"/>
    <w:rsid w:val="01746FB4"/>
    <w:rsid w:val="01B02A3A"/>
    <w:rsid w:val="01C2190C"/>
    <w:rsid w:val="01C94422"/>
    <w:rsid w:val="01D0086C"/>
    <w:rsid w:val="01D476E9"/>
    <w:rsid w:val="01DD4866"/>
    <w:rsid w:val="01ECD302"/>
    <w:rsid w:val="01EED958"/>
    <w:rsid w:val="0225738E"/>
    <w:rsid w:val="023672F4"/>
    <w:rsid w:val="025561CF"/>
    <w:rsid w:val="025E0000"/>
    <w:rsid w:val="02B524D4"/>
    <w:rsid w:val="02B557CA"/>
    <w:rsid w:val="02D26FA3"/>
    <w:rsid w:val="02F40C3D"/>
    <w:rsid w:val="0334385F"/>
    <w:rsid w:val="033D3523"/>
    <w:rsid w:val="0344272D"/>
    <w:rsid w:val="0369EBFE"/>
    <w:rsid w:val="037C7496"/>
    <w:rsid w:val="03872212"/>
    <w:rsid w:val="038E3E27"/>
    <w:rsid w:val="03BC33DF"/>
    <w:rsid w:val="03BE44DA"/>
    <w:rsid w:val="03D94FAF"/>
    <w:rsid w:val="03DAF410"/>
    <w:rsid w:val="03F826C7"/>
    <w:rsid w:val="040272A1"/>
    <w:rsid w:val="040E5683"/>
    <w:rsid w:val="045B7634"/>
    <w:rsid w:val="04674C72"/>
    <w:rsid w:val="048B06BF"/>
    <w:rsid w:val="04A647CA"/>
    <w:rsid w:val="04B2316F"/>
    <w:rsid w:val="04D4C9F3"/>
    <w:rsid w:val="04D90F82"/>
    <w:rsid w:val="04DF2FB1"/>
    <w:rsid w:val="04F96CD6"/>
    <w:rsid w:val="050F0379"/>
    <w:rsid w:val="051476F0"/>
    <w:rsid w:val="05276C8A"/>
    <w:rsid w:val="055B0D7C"/>
    <w:rsid w:val="056703FD"/>
    <w:rsid w:val="057958C0"/>
    <w:rsid w:val="05C12329"/>
    <w:rsid w:val="05E742CE"/>
    <w:rsid w:val="06035827"/>
    <w:rsid w:val="063512B6"/>
    <w:rsid w:val="0638524B"/>
    <w:rsid w:val="063F4F71"/>
    <w:rsid w:val="065D3E89"/>
    <w:rsid w:val="06F350BB"/>
    <w:rsid w:val="06F63CB4"/>
    <w:rsid w:val="06FB4DE7"/>
    <w:rsid w:val="07016014"/>
    <w:rsid w:val="0748117C"/>
    <w:rsid w:val="0750142A"/>
    <w:rsid w:val="075F5050"/>
    <w:rsid w:val="077E6CFB"/>
    <w:rsid w:val="078F6815"/>
    <w:rsid w:val="07913061"/>
    <w:rsid w:val="07B73066"/>
    <w:rsid w:val="07C6062B"/>
    <w:rsid w:val="07F44EAE"/>
    <w:rsid w:val="07F72252"/>
    <w:rsid w:val="08011F96"/>
    <w:rsid w:val="08090547"/>
    <w:rsid w:val="0812512E"/>
    <w:rsid w:val="081C3795"/>
    <w:rsid w:val="081E53AB"/>
    <w:rsid w:val="0822632F"/>
    <w:rsid w:val="083EA784"/>
    <w:rsid w:val="08462BC7"/>
    <w:rsid w:val="087A0447"/>
    <w:rsid w:val="08A45A7F"/>
    <w:rsid w:val="08B34758"/>
    <w:rsid w:val="08BA7A87"/>
    <w:rsid w:val="08CC56F8"/>
    <w:rsid w:val="08D805A3"/>
    <w:rsid w:val="08F65717"/>
    <w:rsid w:val="08F6CF93"/>
    <w:rsid w:val="09303426"/>
    <w:rsid w:val="093C3D88"/>
    <w:rsid w:val="09476803"/>
    <w:rsid w:val="097D6718"/>
    <w:rsid w:val="098350DA"/>
    <w:rsid w:val="09A45F5E"/>
    <w:rsid w:val="09E716CF"/>
    <w:rsid w:val="09F305E8"/>
    <w:rsid w:val="09FD6A6F"/>
    <w:rsid w:val="0A040FB9"/>
    <w:rsid w:val="0A1F0BEB"/>
    <w:rsid w:val="0A563F94"/>
    <w:rsid w:val="0A65397E"/>
    <w:rsid w:val="0A6B02A0"/>
    <w:rsid w:val="0AAB0844"/>
    <w:rsid w:val="0ADF508F"/>
    <w:rsid w:val="0AE20526"/>
    <w:rsid w:val="0AE93662"/>
    <w:rsid w:val="0B1D13FD"/>
    <w:rsid w:val="0B31710A"/>
    <w:rsid w:val="0B6E2281"/>
    <w:rsid w:val="0B7551DF"/>
    <w:rsid w:val="0B9D7938"/>
    <w:rsid w:val="0B9F5186"/>
    <w:rsid w:val="0BA08867"/>
    <w:rsid w:val="0BB03317"/>
    <w:rsid w:val="0BC6F1D2"/>
    <w:rsid w:val="0BCD4D32"/>
    <w:rsid w:val="0C0EE901"/>
    <w:rsid w:val="0C1C35C4"/>
    <w:rsid w:val="0C2D3942"/>
    <w:rsid w:val="0C2F461F"/>
    <w:rsid w:val="0C376ACB"/>
    <w:rsid w:val="0C3C645E"/>
    <w:rsid w:val="0C57BC5C"/>
    <w:rsid w:val="0C962B0F"/>
    <w:rsid w:val="0CA957FF"/>
    <w:rsid w:val="0CC749D8"/>
    <w:rsid w:val="0CD9F3FF"/>
    <w:rsid w:val="0CE76FFC"/>
    <w:rsid w:val="0CFE0AAC"/>
    <w:rsid w:val="0D40222C"/>
    <w:rsid w:val="0D444814"/>
    <w:rsid w:val="0D454E0B"/>
    <w:rsid w:val="0D496892"/>
    <w:rsid w:val="0D5BEA4A"/>
    <w:rsid w:val="0D5C45C0"/>
    <w:rsid w:val="0D6C1864"/>
    <w:rsid w:val="0D7336B7"/>
    <w:rsid w:val="0D766336"/>
    <w:rsid w:val="0D766750"/>
    <w:rsid w:val="0D892575"/>
    <w:rsid w:val="0D93023D"/>
    <w:rsid w:val="0DD15005"/>
    <w:rsid w:val="0DD60409"/>
    <w:rsid w:val="0DF91165"/>
    <w:rsid w:val="0E116FC1"/>
    <w:rsid w:val="0E13274C"/>
    <w:rsid w:val="0E1550CC"/>
    <w:rsid w:val="0E22282F"/>
    <w:rsid w:val="0E3D30DB"/>
    <w:rsid w:val="0E440B11"/>
    <w:rsid w:val="0E91B3AC"/>
    <w:rsid w:val="0E9C6C84"/>
    <w:rsid w:val="0EB346D0"/>
    <w:rsid w:val="0ED60128"/>
    <w:rsid w:val="0EE02FCE"/>
    <w:rsid w:val="0EEA107A"/>
    <w:rsid w:val="0F091DE5"/>
    <w:rsid w:val="0F1A6EEB"/>
    <w:rsid w:val="0F611CF7"/>
    <w:rsid w:val="0F6B1308"/>
    <w:rsid w:val="0F72215C"/>
    <w:rsid w:val="0F7D53E0"/>
    <w:rsid w:val="0FB1C05F"/>
    <w:rsid w:val="0FB2348D"/>
    <w:rsid w:val="0FB436F8"/>
    <w:rsid w:val="0FB941DD"/>
    <w:rsid w:val="0FBC1346"/>
    <w:rsid w:val="0FC06D96"/>
    <w:rsid w:val="103C741A"/>
    <w:rsid w:val="106A1212"/>
    <w:rsid w:val="107258D9"/>
    <w:rsid w:val="10872B54"/>
    <w:rsid w:val="1092021C"/>
    <w:rsid w:val="1092542E"/>
    <w:rsid w:val="10A9577F"/>
    <w:rsid w:val="10AB5770"/>
    <w:rsid w:val="10B451A3"/>
    <w:rsid w:val="10C13D4D"/>
    <w:rsid w:val="10C4576F"/>
    <w:rsid w:val="10DF7C4F"/>
    <w:rsid w:val="11086B5C"/>
    <w:rsid w:val="111C7210"/>
    <w:rsid w:val="115327BC"/>
    <w:rsid w:val="115B0582"/>
    <w:rsid w:val="115E561D"/>
    <w:rsid w:val="117C6359"/>
    <w:rsid w:val="11856268"/>
    <w:rsid w:val="119011CC"/>
    <w:rsid w:val="11965BC6"/>
    <w:rsid w:val="11A006BD"/>
    <w:rsid w:val="11C92E33"/>
    <w:rsid w:val="11D41D2F"/>
    <w:rsid w:val="11FC011F"/>
    <w:rsid w:val="12262812"/>
    <w:rsid w:val="124D57FF"/>
    <w:rsid w:val="124E53FA"/>
    <w:rsid w:val="124F64A1"/>
    <w:rsid w:val="12534A6C"/>
    <w:rsid w:val="126A4B86"/>
    <w:rsid w:val="126C5EBB"/>
    <w:rsid w:val="126F320F"/>
    <w:rsid w:val="12771554"/>
    <w:rsid w:val="127B59AC"/>
    <w:rsid w:val="12D76EEE"/>
    <w:rsid w:val="12F80B84"/>
    <w:rsid w:val="1327349E"/>
    <w:rsid w:val="13385046"/>
    <w:rsid w:val="134C1C46"/>
    <w:rsid w:val="134C5ADD"/>
    <w:rsid w:val="134E0A43"/>
    <w:rsid w:val="13531B3E"/>
    <w:rsid w:val="137365ED"/>
    <w:rsid w:val="138B5A8D"/>
    <w:rsid w:val="138F3713"/>
    <w:rsid w:val="1390203F"/>
    <w:rsid w:val="139A2BA0"/>
    <w:rsid w:val="13B9518D"/>
    <w:rsid w:val="13F31684"/>
    <w:rsid w:val="13FD4EBE"/>
    <w:rsid w:val="14061E89"/>
    <w:rsid w:val="141F5D94"/>
    <w:rsid w:val="14435418"/>
    <w:rsid w:val="1449051D"/>
    <w:rsid w:val="144A0D71"/>
    <w:rsid w:val="144B2329"/>
    <w:rsid w:val="145C6C53"/>
    <w:rsid w:val="14694849"/>
    <w:rsid w:val="14845562"/>
    <w:rsid w:val="14927E71"/>
    <w:rsid w:val="14950E7D"/>
    <w:rsid w:val="14972381"/>
    <w:rsid w:val="14BB014F"/>
    <w:rsid w:val="14BF229E"/>
    <w:rsid w:val="14C32DA9"/>
    <w:rsid w:val="14CF3310"/>
    <w:rsid w:val="14DB05D0"/>
    <w:rsid w:val="14DF1495"/>
    <w:rsid w:val="14ED2B94"/>
    <w:rsid w:val="14FA03E6"/>
    <w:rsid w:val="14FE3BA1"/>
    <w:rsid w:val="1506492D"/>
    <w:rsid w:val="1506568C"/>
    <w:rsid w:val="150BA6ED"/>
    <w:rsid w:val="150C1EB8"/>
    <w:rsid w:val="15165BC8"/>
    <w:rsid w:val="15175270"/>
    <w:rsid w:val="15243624"/>
    <w:rsid w:val="15383871"/>
    <w:rsid w:val="15524E49"/>
    <w:rsid w:val="15542020"/>
    <w:rsid w:val="15621917"/>
    <w:rsid w:val="156A53A0"/>
    <w:rsid w:val="15701248"/>
    <w:rsid w:val="157A56C9"/>
    <w:rsid w:val="158217F1"/>
    <w:rsid w:val="159F45F6"/>
    <w:rsid w:val="15A5506D"/>
    <w:rsid w:val="15A72150"/>
    <w:rsid w:val="15AC7E84"/>
    <w:rsid w:val="15D849FF"/>
    <w:rsid w:val="15E514E5"/>
    <w:rsid w:val="15FED2E0"/>
    <w:rsid w:val="160903A9"/>
    <w:rsid w:val="1609204E"/>
    <w:rsid w:val="160A63D3"/>
    <w:rsid w:val="161A0483"/>
    <w:rsid w:val="161B1FE5"/>
    <w:rsid w:val="162665CA"/>
    <w:rsid w:val="16377978"/>
    <w:rsid w:val="16435524"/>
    <w:rsid w:val="1671146D"/>
    <w:rsid w:val="167601F3"/>
    <w:rsid w:val="16A71DAD"/>
    <w:rsid w:val="16CF633B"/>
    <w:rsid w:val="16D8D611"/>
    <w:rsid w:val="16DE6045"/>
    <w:rsid w:val="16E502C5"/>
    <w:rsid w:val="16EA78D7"/>
    <w:rsid w:val="170468BE"/>
    <w:rsid w:val="170944B2"/>
    <w:rsid w:val="170A6377"/>
    <w:rsid w:val="170AB26E"/>
    <w:rsid w:val="1723AD29"/>
    <w:rsid w:val="17242614"/>
    <w:rsid w:val="172938FF"/>
    <w:rsid w:val="173328A2"/>
    <w:rsid w:val="175F19DD"/>
    <w:rsid w:val="17645F96"/>
    <w:rsid w:val="17887D6C"/>
    <w:rsid w:val="178A3AD7"/>
    <w:rsid w:val="17922CE8"/>
    <w:rsid w:val="17931DB3"/>
    <w:rsid w:val="17A2297F"/>
    <w:rsid w:val="17AA7EB8"/>
    <w:rsid w:val="17B2164C"/>
    <w:rsid w:val="17C30AA7"/>
    <w:rsid w:val="17DB5DBD"/>
    <w:rsid w:val="17EE1F50"/>
    <w:rsid w:val="1815B365"/>
    <w:rsid w:val="181A12FF"/>
    <w:rsid w:val="18242DE7"/>
    <w:rsid w:val="18250294"/>
    <w:rsid w:val="18335F1D"/>
    <w:rsid w:val="18384643"/>
    <w:rsid w:val="186C453E"/>
    <w:rsid w:val="18757060"/>
    <w:rsid w:val="18785535"/>
    <w:rsid w:val="188E0589"/>
    <w:rsid w:val="18A37048"/>
    <w:rsid w:val="18AC646C"/>
    <w:rsid w:val="18BA6DF2"/>
    <w:rsid w:val="18D31763"/>
    <w:rsid w:val="18D42B21"/>
    <w:rsid w:val="18D76EF3"/>
    <w:rsid w:val="18E62CAD"/>
    <w:rsid w:val="18F86F1F"/>
    <w:rsid w:val="18FC0A05"/>
    <w:rsid w:val="19063AF1"/>
    <w:rsid w:val="190744C9"/>
    <w:rsid w:val="190C25BA"/>
    <w:rsid w:val="19295CAB"/>
    <w:rsid w:val="192964D8"/>
    <w:rsid w:val="192F367F"/>
    <w:rsid w:val="1966063C"/>
    <w:rsid w:val="199D433D"/>
    <w:rsid w:val="19A15A80"/>
    <w:rsid w:val="19A56207"/>
    <w:rsid w:val="19FA6763"/>
    <w:rsid w:val="1A002745"/>
    <w:rsid w:val="1A093A43"/>
    <w:rsid w:val="1A0E0209"/>
    <w:rsid w:val="1A0E61A6"/>
    <w:rsid w:val="1A0F5223"/>
    <w:rsid w:val="1A281749"/>
    <w:rsid w:val="1A35E86F"/>
    <w:rsid w:val="1A365B17"/>
    <w:rsid w:val="1A5F0F93"/>
    <w:rsid w:val="1A6A3474"/>
    <w:rsid w:val="1A6C2877"/>
    <w:rsid w:val="1A716B96"/>
    <w:rsid w:val="1A814D60"/>
    <w:rsid w:val="1A8A716A"/>
    <w:rsid w:val="1A995208"/>
    <w:rsid w:val="1ACD049E"/>
    <w:rsid w:val="1AEA568F"/>
    <w:rsid w:val="1AF75928"/>
    <w:rsid w:val="1B1F68EA"/>
    <w:rsid w:val="1B2C00DF"/>
    <w:rsid w:val="1B2C0866"/>
    <w:rsid w:val="1B4641B9"/>
    <w:rsid w:val="1B515EA2"/>
    <w:rsid w:val="1B5B6DBA"/>
    <w:rsid w:val="1BA37AB2"/>
    <w:rsid w:val="1BFF2D22"/>
    <w:rsid w:val="1C2947A8"/>
    <w:rsid w:val="1C5474E6"/>
    <w:rsid w:val="1C616BBB"/>
    <w:rsid w:val="1C74558F"/>
    <w:rsid w:val="1CB615F4"/>
    <w:rsid w:val="1CBB5AF5"/>
    <w:rsid w:val="1CBC1AA4"/>
    <w:rsid w:val="1CC27D9A"/>
    <w:rsid w:val="1CE60F71"/>
    <w:rsid w:val="1D021D30"/>
    <w:rsid w:val="1D33265B"/>
    <w:rsid w:val="1D3474C4"/>
    <w:rsid w:val="1D4A70A8"/>
    <w:rsid w:val="1D4C09C4"/>
    <w:rsid w:val="1D520B6A"/>
    <w:rsid w:val="1D885592"/>
    <w:rsid w:val="1DFF4048"/>
    <w:rsid w:val="1E0274D8"/>
    <w:rsid w:val="1E041B9F"/>
    <w:rsid w:val="1E0B72E8"/>
    <w:rsid w:val="1E0F5C35"/>
    <w:rsid w:val="1E18008F"/>
    <w:rsid w:val="1E2A7765"/>
    <w:rsid w:val="1E312F40"/>
    <w:rsid w:val="1E4C5491"/>
    <w:rsid w:val="1E551D10"/>
    <w:rsid w:val="1E585B93"/>
    <w:rsid w:val="1E5AD940"/>
    <w:rsid w:val="1E8E373E"/>
    <w:rsid w:val="1E8F186F"/>
    <w:rsid w:val="1E99A1D7"/>
    <w:rsid w:val="1EBB23B0"/>
    <w:rsid w:val="1EC943B8"/>
    <w:rsid w:val="1ED28671"/>
    <w:rsid w:val="1F0E2725"/>
    <w:rsid w:val="1F214E3E"/>
    <w:rsid w:val="1F550844"/>
    <w:rsid w:val="1F580489"/>
    <w:rsid w:val="1F5866E8"/>
    <w:rsid w:val="1F687968"/>
    <w:rsid w:val="1F8E5491"/>
    <w:rsid w:val="1FA57441"/>
    <w:rsid w:val="1FC1C6D5"/>
    <w:rsid w:val="1FD8CB74"/>
    <w:rsid w:val="1FE3480E"/>
    <w:rsid w:val="200808D2"/>
    <w:rsid w:val="204743EB"/>
    <w:rsid w:val="20564E9E"/>
    <w:rsid w:val="208B0D98"/>
    <w:rsid w:val="20AD6BF0"/>
    <w:rsid w:val="20BE1C9F"/>
    <w:rsid w:val="20C1DF52"/>
    <w:rsid w:val="20C335FC"/>
    <w:rsid w:val="20D71763"/>
    <w:rsid w:val="20D90C8E"/>
    <w:rsid w:val="20E66C73"/>
    <w:rsid w:val="20EA16D6"/>
    <w:rsid w:val="2105BC6D"/>
    <w:rsid w:val="211E789C"/>
    <w:rsid w:val="215B20D1"/>
    <w:rsid w:val="217742E0"/>
    <w:rsid w:val="21796D01"/>
    <w:rsid w:val="21803C49"/>
    <w:rsid w:val="218368F4"/>
    <w:rsid w:val="21850995"/>
    <w:rsid w:val="21852AE4"/>
    <w:rsid w:val="219914E7"/>
    <w:rsid w:val="21B7196D"/>
    <w:rsid w:val="21D74148"/>
    <w:rsid w:val="21D91475"/>
    <w:rsid w:val="21F40844"/>
    <w:rsid w:val="22007D31"/>
    <w:rsid w:val="22083F81"/>
    <w:rsid w:val="220C4BAB"/>
    <w:rsid w:val="222114F3"/>
    <w:rsid w:val="22274CF8"/>
    <w:rsid w:val="222F763D"/>
    <w:rsid w:val="22334A6F"/>
    <w:rsid w:val="226A6BEA"/>
    <w:rsid w:val="226F64BB"/>
    <w:rsid w:val="22807A97"/>
    <w:rsid w:val="229029AA"/>
    <w:rsid w:val="22A71415"/>
    <w:rsid w:val="22AC6FF8"/>
    <w:rsid w:val="22AD6B0F"/>
    <w:rsid w:val="22EF3824"/>
    <w:rsid w:val="231F6037"/>
    <w:rsid w:val="234731C4"/>
    <w:rsid w:val="234F0ECF"/>
    <w:rsid w:val="235B16F9"/>
    <w:rsid w:val="23733C0F"/>
    <w:rsid w:val="238A4018"/>
    <w:rsid w:val="2390ED8C"/>
    <w:rsid w:val="23915F20"/>
    <w:rsid w:val="23AC7BD9"/>
    <w:rsid w:val="23BF6BC2"/>
    <w:rsid w:val="23D46612"/>
    <w:rsid w:val="23DB38E3"/>
    <w:rsid w:val="23DE5935"/>
    <w:rsid w:val="23E826E3"/>
    <w:rsid w:val="23E913EA"/>
    <w:rsid w:val="23F87A62"/>
    <w:rsid w:val="241E20A9"/>
    <w:rsid w:val="24208372"/>
    <w:rsid w:val="24281623"/>
    <w:rsid w:val="242B219E"/>
    <w:rsid w:val="24415794"/>
    <w:rsid w:val="24433F1C"/>
    <w:rsid w:val="244F4C86"/>
    <w:rsid w:val="246C6614"/>
    <w:rsid w:val="24707D7F"/>
    <w:rsid w:val="24A36131"/>
    <w:rsid w:val="24BB5EBC"/>
    <w:rsid w:val="24C34ACD"/>
    <w:rsid w:val="24C55AA4"/>
    <w:rsid w:val="24C9474B"/>
    <w:rsid w:val="24DE4BCE"/>
    <w:rsid w:val="24E1A86E"/>
    <w:rsid w:val="24F26C94"/>
    <w:rsid w:val="250042F7"/>
    <w:rsid w:val="250C3198"/>
    <w:rsid w:val="253373C6"/>
    <w:rsid w:val="2555095B"/>
    <w:rsid w:val="2582660D"/>
    <w:rsid w:val="258E59D0"/>
    <w:rsid w:val="25916979"/>
    <w:rsid w:val="25C3732E"/>
    <w:rsid w:val="25D03B2C"/>
    <w:rsid w:val="25D3286F"/>
    <w:rsid w:val="260B00CA"/>
    <w:rsid w:val="262A02CB"/>
    <w:rsid w:val="26372545"/>
    <w:rsid w:val="263C6C62"/>
    <w:rsid w:val="264952C6"/>
    <w:rsid w:val="265811B8"/>
    <w:rsid w:val="266B63A5"/>
    <w:rsid w:val="2678146B"/>
    <w:rsid w:val="2680B3A4"/>
    <w:rsid w:val="268A129D"/>
    <w:rsid w:val="26B434AC"/>
    <w:rsid w:val="26BB68D3"/>
    <w:rsid w:val="26BD21A7"/>
    <w:rsid w:val="26BD2F15"/>
    <w:rsid w:val="26C70F12"/>
    <w:rsid w:val="26D93AF9"/>
    <w:rsid w:val="26E11A97"/>
    <w:rsid w:val="26E7647D"/>
    <w:rsid w:val="26F85C3C"/>
    <w:rsid w:val="271749F1"/>
    <w:rsid w:val="272A4522"/>
    <w:rsid w:val="272B051A"/>
    <w:rsid w:val="276C748B"/>
    <w:rsid w:val="277B0E76"/>
    <w:rsid w:val="27B846EC"/>
    <w:rsid w:val="27C88A15"/>
    <w:rsid w:val="27CD2EE1"/>
    <w:rsid w:val="27D26ED4"/>
    <w:rsid w:val="27E809C4"/>
    <w:rsid w:val="27FA2A03"/>
    <w:rsid w:val="280C5EDE"/>
    <w:rsid w:val="28225AE1"/>
    <w:rsid w:val="28245882"/>
    <w:rsid w:val="286805E2"/>
    <w:rsid w:val="287A103B"/>
    <w:rsid w:val="287E7867"/>
    <w:rsid w:val="287F6F5C"/>
    <w:rsid w:val="28A32BC0"/>
    <w:rsid w:val="28B51B6C"/>
    <w:rsid w:val="28CE12EE"/>
    <w:rsid w:val="28DD131C"/>
    <w:rsid w:val="28E82760"/>
    <w:rsid w:val="28EB4775"/>
    <w:rsid w:val="28F05942"/>
    <w:rsid w:val="29021EC6"/>
    <w:rsid w:val="29053084"/>
    <w:rsid w:val="29084DD5"/>
    <w:rsid w:val="292D5F9D"/>
    <w:rsid w:val="2939294E"/>
    <w:rsid w:val="29423A98"/>
    <w:rsid w:val="29471828"/>
    <w:rsid w:val="29511E37"/>
    <w:rsid w:val="29955C15"/>
    <w:rsid w:val="29C76A90"/>
    <w:rsid w:val="29D65FFE"/>
    <w:rsid w:val="29E52D49"/>
    <w:rsid w:val="29F378B4"/>
    <w:rsid w:val="29F5459D"/>
    <w:rsid w:val="2A46716A"/>
    <w:rsid w:val="2A6401B8"/>
    <w:rsid w:val="2A725C78"/>
    <w:rsid w:val="2AB94469"/>
    <w:rsid w:val="2ABF10B8"/>
    <w:rsid w:val="2ADE52CB"/>
    <w:rsid w:val="2AED33DF"/>
    <w:rsid w:val="2AF00D0F"/>
    <w:rsid w:val="2AFE6969"/>
    <w:rsid w:val="2B2382DF"/>
    <w:rsid w:val="2B27677C"/>
    <w:rsid w:val="2B2C2337"/>
    <w:rsid w:val="2B334F2D"/>
    <w:rsid w:val="2B581C2C"/>
    <w:rsid w:val="2B753FF7"/>
    <w:rsid w:val="2BA85EFD"/>
    <w:rsid w:val="2BAB74EF"/>
    <w:rsid w:val="2BB512A2"/>
    <w:rsid w:val="2BB84222"/>
    <w:rsid w:val="2BC8623A"/>
    <w:rsid w:val="2BCA5EF0"/>
    <w:rsid w:val="2BEE3EF1"/>
    <w:rsid w:val="2BF106A5"/>
    <w:rsid w:val="2BFA7D3F"/>
    <w:rsid w:val="2C04447A"/>
    <w:rsid w:val="2C194E17"/>
    <w:rsid w:val="2C1A0A74"/>
    <w:rsid w:val="2C2A239D"/>
    <w:rsid w:val="2C34AD29"/>
    <w:rsid w:val="2C5D25AF"/>
    <w:rsid w:val="2C8916B8"/>
    <w:rsid w:val="2CA22EE3"/>
    <w:rsid w:val="2CC80720"/>
    <w:rsid w:val="2CD92CB7"/>
    <w:rsid w:val="2CDC52FA"/>
    <w:rsid w:val="2CDE573B"/>
    <w:rsid w:val="2CDF5CC6"/>
    <w:rsid w:val="2CE34C8D"/>
    <w:rsid w:val="2CF463FB"/>
    <w:rsid w:val="2CF56E35"/>
    <w:rsid w:val="2D05070F"/>
    <w:rsid w:val="2D256324"/>
    <w:rsid w:val="2D297207"/>
    <w:rsid w:val="2D3A3D06"/>
    <w:rsid w:val="2D3F35E1"/>
    <w:rsid w:val="2D74058F"/>
    <w:rsid w:val="2D7673F7"/>
    <w:rsid w:val="2DBC96D6"/>
    <w:rsid w:val="2DBDB5CC"/>
    <w:rsid w:val="2DCE3A57"/>
    <w:rsid w:val="2DDC59BE"/>
    <w:rsid w:val="2E4A3E2B"/>
    <w:rsid w:val="2E703312"/>
    <w:rsid w:val="2E79FDF7"/>
    <w:rsid w:val="2E821554"/>
    <w:rsid w:val="2E82D7B6"/>
    <w:rsid w:val="2E8D4470"/>
    <w:rsid w:val="2E900AE0"/>
    <w:rsid w:val="2EE50270"/>
    <w:rsid w:val="2EEA1B0F"/>
    <w:rsid w:val="2EEF2C7F"/>
    <w:rsid w:val="2EF47A5B"/>
    <w:rsid w:val="2EF6D334"/>
    <w:rsid w:val="2F133170"/>
    <w:rsid w:val="2F2C34B9"/>
    <w:rsid w:val="2F365C8B"/>
    <w:rsid w:val="2F6754CE"/>
    <w:rsid w:val="2F6F3228"/>
    <w:rsid w:val="2F7E138E"/>
    <w:rsid w:val="2FB730E6"/>
    <w:rsid w:val="2FB8018F"/>
    <w:rsid w:val="2FBC6680"/>
    <w:rsid w:val="2FD143BF"/>
    <w:rsid w:val="30215ADF"/>
    <w:rsid w:val="302F0CCF"/>
    <w:rsid w:val="304A602C"/>
    <w:rsid w:val="3068C4FD"/>
    <w:rsid w:val="307E8B76"/>
    <w:rsid w:val="30814C1D"/>
    <w:rsid w:val="308934AE"/>
    <w:rsid w:val="3092D6FB"/>
    <w:rsid w:val="30A74D42"/>
    <w:rsid w:val="30B05046"/>
    <w:rsid w:val="30B27FAA"/>
    <w:rsid w:val="30B85F86"/>
    <w:rsid w:val="30BB3C3D"/>
    <w:rsid w:val="30D64AE4"/>
    <w:rsid w:val="30D928DF"/>
    <w:rsid w:val="30DF5D2E"/>
    <w:rsid w:val="30FC6620"/>
    <w:rsid w:val="310D015B"/>
    <w:rsid w:val="311FC1BB"/>
    <w:rsid w:val="313776BC"/>
    <w:rsid w:val="31434C18"/>
    <w:rsid w:val="31D9148B"/>
    <w:rsid w:val="31F2219C"/>
    <w:rsid w:val="321EE5B1"/>
    <w:rsid w:val="32344CFC"/>
    <w:rsid w:val="32472899"/>
    <w:rsid w:val="328D5F5E"/>
    <w:rsid w:val="328F234D"/>
    <w:rsid w:val="329632E1"/>
    <w:rsid w:val="32F21962"/>
    <w:rsid w:val="32FB47F1"/>
    <w:rsid w:val="32FC0B75"/>
    <w:rsid w:val="33064848"/>
    <w:rsid w:val="33255AE6"/>
    <w:rsid w:val="333E2FB8"/>
    <w:rsid w:val="335B70B0"/>
    <w:rsid w:val="33701D6B"/>
    <w:rsid w:val="3384FE5C"/>
    <w:rsid w:val="33C111C5"/>
    <w:rsid w:val="33F82D2E"/>
    <w:rsid w:val="340A2BBB"/>
    <w:rsid w:val="341C4D21"/>
    <w:rsid w:val="3429465F"/>
    <w:rsid w:val="34341DEB"/>
    <w:rsid w:val="3465D67D"/>
    <w:rsid w:val="348542BA"/>
    <w:rsid w:val="348F4919"/>
    <w:rsid w:val="34AE47F0"/>
    <w:rsid w:val="34C56693"/>
    <w:rsid w:val="34D07B27"/>
    <w:rsid w:val="34F860CC"/>
    <w:rsid w:val="352C3736"/>
    <w:rsid w:val="35354012"/>
    <w:rsid w:val="3537256A"/>
    <w:rsid w:val="35725D5F"/>
    <w:rsid w:val="358F4C83"/>
    <w:rsid w:val="35904625"/>
    <w:rsid w:val="35995392"/>
    <w:rsid w:val="35DF5F34"/>
    <w:rsid w:val="35FC3EF1"/>
    <w:rsid w:val="360A60B7"/>
    <w:rsid w:val="360D2313"/>
    <w:rsid w:val="361D7021"/>
    <w:rsid w:val="3642278C"/>
    <w:rsid w:val="36475AF5"/>
    <w:rsid w:val="36526A1E"/>
    <w:rsid w:val="365F7894"/>
    <w:rsid w:val="366F68CB"/>
    <w:rsid w:val="368D6CE8"/>
    <w:rsid w:val="36976311"/>
    <w:rsid w:val="36A5516C"/>
    <w:rsid w:val="36B66E18"/>
    <w:rsid w:val="36B7347B"/>
    <w:rsid w:val="36B73A42"/>
    <w:rsid w:val="36C13925"/>
    <w:rsid w:val="36C2505A"/>
    <w:rsid w:val="36CA6F9D"/>
    <w:rsid w:val="36E14AF3"/>
    <w:rsid w:val="36EF0B81"/>
    <w:rsid w:val="36FE751B"/>
    <w:rsid w:val="37054A87"/>
    <w:rsid w:val="37117919"/>
    <w:rsid w:val="3726435C"/>
    <w:rsid w:val="37390C2F"/>
    <w:rsid w:val="374B2AE9"/>
    <w:rsid w:val="37730610"/>
    <w:rsid w:val="37A2192B"/>
    <w:rsid w:val="37B93098"/>
    <w:rsid w:val="37BA4433"/>
    <w:rsid w:val="37C06C76"/>
    <w:rsid w:val="37F877B5"/>
    <w:rsid w:val="3808188D"/>
    <w:rsid w:val="380E6632"/>
    <w:rsid w:val="38275057"/>
    <w:rsid w:val="384D575A"/>
    <w:rsid w:val="38501CD4"/>
    <w:rsid w:val="3882524A"/>
    <w:rsid w:val="388C62D1"/>
    <w:rsid w:val="389F0E0F"/>
    <w:rsid w:val="38BAFC33"/>
    <w:rsid w:val="390362C3"/>
    <w:rsid w:val="390C4197"/>
    <w:rsid w:val="39242C23"/>
    <w:rsid w:val="39245DD4"/>
    <w:rsid w:val="392A0FB9"/>
    <w:rsid w:val="3935233A"/>
    <w:rsid w:val="3940664A"/>
    <w:rsid w:val="394D4193"/>
    <w:rsid w:val="396F1FE4"/>
    <w:rsid w:val="39756260"/>
    <w:rsid w:val="39A20D1C"/>
    <w:rsid w:val="39BED868"/>
    <w:rsid w:val="39C4CD46"/>
    <w:rsid w:val="39CE7F43"/>
    <w:rsid w:val="39D419A0"/>
    <w:rsid w:val="39F23498"/>
    <w:rsid w:val="39F44054"/>
    <w:rsid w:val="3A036670"/>
    <w:rsid w:val="3A2211F2"/>
    <w:rsid w:val="3A4D72FB"/>
    <w:rsid w:val="3A6A61A7"/>
    <w:rsid w:val="3A6D02B3"/>
    <w:rsid w:val="3A90161F"/>
    <w:rsid w:val="3AA322A6"/>
    <w:rsid w:val="3AAF721F"/>
    <w:rsid w:val="3AB24F6F"/>
    <w:rsid w:val="3ADD2F34"/>
    <w:rsid w:val="3AEE5FD1"/>
    <w:rsid w:val="3AFA03C5"/>
    <w:rsid w:val="3B2151B4"/>
    <w:rsid w:val="3B245E6D"/>
    <w:rsid w:val="3B3167A5"/>
    <w:rsid w:val="3B48344E"/>
    <w:rsid w:val="3B567F5D"/>
    <w:rsid w:val="3B8239CB"/>
    <w:rsid w:val="3B830AD4"/>
    <w:rsid w:val="3B833A43"/>
    <w:rsid w:val="3B86168A"/>
    <w:rsid w:val="3B976916"/>
    <w:rsid w:val="3BA205FC"/>
    <w:rsid w:val="3BB21EE2"/>
    <w:rsid w:val="3BE8159F"/>
    <w:rsid w:val="3BE98895"/>
    <w:rsid w:val="3BEA330B"/>
    <w:rsid w:val="3C09F0F0"/>
    <w:rsid w:val="3C352CBA"/>
    <w:rsid w:val="3C3C17A7"/>
    <w:rsid w:val="3C4B9506"/>
    <w:rsid w:val="3C594AF0"/>
    <w:rsid w:val="3C6B77C7"/>
    <w:rsid w:val="3CB85F01"/>
    <w:rsid w:val="3CCA3413"/>
    <w:rsid w:val="3CCD2B03"/>
    <w:rsid w:val="3CE356FC"/>
    <w:rsid w:val="3CF77C2D"/>
    <w:rsid w:val="3D060129"/>
    <w:rsid w:val="3D295AD9"/>
    <w:rsid w:val="3D3B52C4"/>
    <w:rsid w:val="3D5655AB"/>
    <w:rsid w:val="3D6F0E12"/>
    <w:rsid w:val="3D795CD4"/>
    <w:rsid w:val="3D995463"/>
    <w:rsid w:val="3D9F3012"/>
    <w:rsid w:val="3DB15F3F"/>
    <w:rsid w:val="3DC310A1"/>
    <w:rsid w:val="3DFD3BF5"/>
    <w:rsid w:val="3E2406E2"/>
    <w:rsid w:val="3E2A0069"/>
    <w:rsid w:val="3E416D36"/>
    <w:rsid w:val="3E424E26"/>
    <w:rsid w:val="3E466716"/>
    <w:rsid w:val="3E5B4BFB"/>
    <w:rsid w:val="3E6279AA"/>
    <w:rsid w:val="3E7845A9"/>
    <w:rsid w:val="3E895FE7"/>
    <w:rsid w:val="3E8F04BB"/>
    <w:rsid w:val="3EA66A5A"/>
    <w:rsid w:val="3EA6AFF0"/>
    <w:rsid w:val="3EC961E7"/>
    <w:rsid w:val="3ED554CE"/>
    <w:rsid w:val="3EDB3D37"/>
    <w:rsid w:val="3EF43DA9"/>
    <w:rsid w:val="3EF74684"/>
    <w:rsid w:val="3EF9704E"/>
    <w:rsid w:val="3F0A7128"/>
    <w:rsid w:val="3F5D2032"/>
    <w:rsid w:val="3F717A24"/>
    <w:rsid w:val="3F792535"/>
    <w:rsid w:val="3F7F5122"/>
    <w:rsid w:val="3F817BE4"/>
    <w:rsid w:val="3F9F7FD2"/>
    <w:rsid w:val="3FA3480D"/>
    <w:rsid w:val="3FCA1C0A"/>
    <w:rsid w:val="4005303B"/>
    <w:rsid w:val="40075B89"/>
    <w:rsid w:val="40195F6F"/>
    <w:rsid w:val="405821A8"/>
    <w:rsid w:val="40616103"/>
    <w:rsid w:val="407E7225"/>
    <w:rsid w:val="40C12189"/>
    <w:rsid w:val="40C449AE"/>
    <w:rsid w:val="40C4728A"/>
    <w:rsid w:val="40CB1692"/>
    <w:rsid w:val="40DA6FCE"/>
    <w:rsid w:val="40FC4C3F"/>
    <w:rsid w:val="412A3433"/>
    <w:rsid w:val="412B23F0"/>
    <w:rsid w:val="412E131C"/>
    <w:rsid w:val="415CCFD0"/>
    <w:rsid w:val="41654AEA"/>
    <w:rsid w:val="41721ACC"/>
    <w:rsid w:val="41792995"/>
    <w:rsid w:val="418E4FA7"/>
    <w:rsid w:val="418F55AC"/>
    <w:rsid w:val="419F3FE8"/>
    <w:rsid w:val="41A05DA0"/>
    <w:rsid w:val="41C81E57"/>
    <w:rsid w:val="41E9571B"/>
    <w:rsid w:val="41EA2347"/>
    <w:rsid w:val="41FF5A4E"/>
    <w:rsid w:val="42002212"/>
    <w:rsid w:val="423E5075"/>
    <w:rsid w:val="424E1856"/>
    <w:rsid w:val="42596363"/>
    <w:rsid w:val="42703155"/>
    <w:rsid w:val="429E78CA"/>
    <w:rsid w:val="42BA7414"/>
    <w:rsid w:val="42C0465F"/>
    <w:rsid w:val="42DD0C54"/>
    <w:rsid w:val="43074F8B"/>
    <w:rsid w:val="430B2E6E"/>
    <w:rsid w:val="43331829"/>
    <w:rsid w:val="4340580E"/>
    <w:rsid w:val="434335F7"/>
    <w:rsid w:val="43504DBE"/>
    <w:rsid w:val="43577C9C"/>
    <w:rsid w:val="43686EA5"/>
    <w:rsid w:val="43A136A6"/>
    <w:rsid w:val="43B00545"/>
    <w:rsid w:val="43F51187"/>
    <w:rsid w:val="43F93DAB"/>
    <w:rsid w:val="44285E98"/>
    <w:rsid w:val="44421112"/>
    <w:rsid w:val="4453532F"/>
    <w:rsid w:val="44601E36"/>
    <w:rsid w:val="44641047"/>
    <w:rsid w:val="44817B3A"/>
    <w:rsid w:val="449D5569"/>
    <w:rsid w:val="44A616E4"/>
    <w:rsid w:val="44AE7297"/>
    <w:rsid w:val="44B23A3A"/>
    <w:rsid w:val="44B63651"/>
    <w:rsid w:val="44B963F2"/>
    <w:rsid w:val="44C85ABB"/>
    <w:rsid w:val="44CC2378"/>
    <w:rsid w:val="44CD33CB"/>
    <w:rsid w:val="44DB3B2C"/>
    <w:rsid w:val="44E1092B"/>
    <w:rsid w:val="450B1C91"/>
    <w:rsid w:val="450F0FA4"/>
    <w:rsid w:val="451A4648"/>
    <w:rsid w:val="451C7B19"/>
    <w:rsid w:val="451F161B"/>
    <w:rsid w:val="4523973F"/>
    <w:rsid w:val="45256B3F"/>
    <w:rsid w:val="453C7898"/>
    <w:rsid w:val="454F3FBF"/>
    <w:rsid w:val="45605CF4"/>
    <w:rsid w:val="4564201C"/>
    <w:rsid w:val="457B0D80"/>
    <w:rsid w:val="45820D8D"/>
    <w:rsid w:val="45875897"/>
    <w:rsid w:val="45910879"/>
    <w:rsid w:val="45BD6050"/>
    <w:rsid w:val="45C206D9"/>
    <w:rsid w:val="45D12548"/>
    <w:rsid w:val="45D365A3"/>
    <w:rsid w:val="45DA6B9F"/>
    <w:rsid w:val="45E5517C"/>
    <w:rsid w:val="45E91C44"/>
    <w:rsid w:val="45F721A1"/>
    <w:rsid w:val="45FD0226"/>
    <w:rsid w:val="4626771B"/>
    <w:rsid w:val="462907EA"/>
    <w:rsid w:val="46364CA7"/>
    <w:rsid w:val="46455839"/>
    <w:rsid w:val="464862AD"/>
    <w:rsid w:val="46552B49"/>
    <w:rsid w:val="46671304"/>
    <w:rsid w:val="468E0C5F"/>
    <w:rsid w:val="469B1347"/>
    <w:rsid w:val="46C406C4"/>
    <w:rsid w:val="46CBF9F9"/>
    <w:rsid w:val="46D126C5"/>
    <w:rsid w:val="46EE195C"/>
    <w:rsid w:val="46EE5861"/>
    <w:rsid w:val="46FD0EB1"/>
    <w:rsid w:val="46FF4261"/>
    <w:rsid w:val="470578AE"/>
    <w:rsid w:val="470E4D17"/>
    <w:rsid w:val="471F61FB"/>
    <w:rsid w:val="472A28FB"/>
    <w:rsid w:val="47376F28"/>
    <w:rsid w:val="475F4207"/>
    <w:rsid w:val="476B651D"/>
    <w:rsid w:val="478055C7"/>
    <w:rsid w:val="4785332D"/>
    <w:rsid w:val="4790558E"/>
    <w:rsid w:val="479077DC"/>
    <w:rsid w:val="4791660D"/>
    <w:rsid w:val="47A23289"/>
    <w:rsid w:val="47AF7C1C"/>
    <w:rsid w:val="47BF4AEB"/>
    <w:rsid w:val="47CD163B"/>
    <w:rsid w:val="47CD7B38"/>
    <w:rsid w:val="47CE19D8"/>
    <w:rsid w:val="47D159DD"/>
    <w:rsid w:val="47DA0316"/>
    <w:rsid w:val="47F0E5E4"/>
    <w:rsid w:val="47FE1CD2"/>
    <w:rsid w:val="484B7AA8"/>
    <w:rsid w:val="48593D6C"/>
    <w:rsid w:val="486A1853"/>
    <w:rsid w:val="48724E89"/>
    <w:rsid w:val="487A3533"/>
    <w:rsid w:val="488A35D7"/>
    <w:rsid w:val="48946DE5"/>
    <w:rsid w:val="489575D5"/>
    <w:rsid w:val="48997CC2"/>
    <w:rsid w:val="48AC32B3"/>
    <w:rsid w:val="48AE321A"/>
    <w:rsid w:val="48AF18EA"/>
    <w:rsid w:val="48C40F94"/>
    <w:rsid w:val="48CF2CE2"/>
    <w:rsid w:val="48D53EF9"/>
    <w:rsid w:val="48F3324E"/>
    <w:rsid w:val="48F467ED"/>
    <w:rsid w:val="48F88821"/>
    <w:rsid w:val="48FC3563"/>
    <w:rsid w:val="490B76D1"/>
    <w:rsid w:val="491E6003"/>
    <w:rsid w:val="492321DD"/>
    <w:rsid w:val="493D6932"/>
    <w:rsid w:val="49491B55"/>
    <w:rsid w:val="49817868"/>
    <w:rsid w:val="49C05FC4"/>
    <w:rsid w:val="49CD0897"/>
    <w:rsid w:val="49D2190B"/>
    <w:rsid w:val="49EE1450"/>
    <w:rsid w:val="49F56C35"/>
    <w:rsid w:val="49F801EC"/>
    <w:rsid w:val="4A0D21C2"/>
    <w:rsid w:val="4A25750C"/>
    <w:rsid w:val="4A403876"/>
    <w:rsid w:val="4A452197"/>
    <w:rsid w:val="4A4D3ADA"/>
    <w:rsid w:val="4A8D73EA"/>
    <w:rsid w:val="4ABE20DB"/>
    <w:rsid w:val="4AD54935"/>
    <w:rsid w:val="4AE84DE5"/>
    <w:rsid w:val="4B02784D"/>
    <w:rsid w:val="4B25790C"/>
    <w:rsid w:val="4B2A4A88"/>
    <w:rsid w:val="4B2E2C15"/>
    <w:rsid w:val="4B8607EF"/>
    <w:rsid w:val="4B966242"/>
    <w:rsid w:val="4BAB6845"/>
    <w:rsid w:val="4BE455D1"/>
    <w:rsid w:val="4BF3345F"/>
    <w:rsid w:val="4C024840"/>
    <w:rsid w:val="4C236DBA"/>
    <w:rsid w:val="4C375CE9"/>
    <w:rsid w:val="4C414C64"/>
    <w:rsid w:val="4C45773E"/>
    <w:rsid w:val="4C5B7215"/>
    <w:rsid w:val="4C5F3DA7"/>
    <w:rsid w:val="4C89CD61"/>
    <w:rsid w:val="4CA44180"/>
    <w:rsid w:val="4CA587A3"/>
    <w:rsid w:val="4CA94BBB"/>
    <w:rsid w:val="4CEF2F84"/>
    <w:rsid w:val="4CF55C28"/>
    <w:rsid w:val="4D0D3832"/>
    <w:rsid w:val="4D1976D7"/>
    <w:rsid w:val="4D251E09"/>
    <w:rsid w:val="4D352599"/>
    <w:rsid w:val="4D442966"/>
    <w:rsid w:val="4D4B42C9"/>
    <w:rsid w:val="4D5300D0"/>
    <w:rsid w:val="4D6617A2"/>
    <w:rsid w:val="4D675D25"/>
    <w:rsid w:val="4D76D4E4"/>
    <w:rsid w:val="4D7C2976"/>
    <w:rsid w:val="4D9475CF"/>
    <w:rsid w:val="4DA42E20"/>
    <w:rsid w:val="4DBF7733"/>
    <w:rsid w:val="4DCE4644"/>
    <w:rsid w:val="4DD51ABF"/>
    <w:rsid w:val="4DD74672"/>
    <w:rsid w:val="4DEC6B9B"/>
    <w:rsid w:val="4E0C0D2D"/>
    <w:rsid w:val="4E170A30"/>
    <w:rsid w:val="4E2B7597"/>
    <w:rsid w:val="4E3904C4"/>
    <w:rsid w:val="4E3B72FE"/>
    <w:rsid w:val="4E43479F"/>
    <w:rsid w:val="4E464D79"/>
    <w:rsid w:val="4E527455"/>
    <w:rsid w:val="4E751056"/>
    <w:rsid w:val="4E7B4367"/>
    <w:rsid w:val="4E907FC7"/>
    <w:rsid w:val="4EA84B0E"/>
    <w:rsid w:val="4EAB0426"/>
    <w:rsid w:val="4EB84820"/>
    <w:rsid w:val="4EC6E15C"/>
    <w:rsid w:val="4ED96C3D"/>
    <w:rsid w:val="4EDF7428"/>
    <w:rsid w:val="4EEF6F26"/>
    <w:rsid w:val="4EFA740C"/>
    <w:rsid w:val="4F3319E9"/>
    <w:rsid w:val="4F554BE5"/>
    <w:rsid w:val="4F782B44"/>
    <w:rsid w:val="4F7A5FD9"/>
    <w:rsid w:val="4F8A2910"/>
    <w:rsid w:val="4F8E2EAC"/>
    <w:rsid w:val="4FAE5C05"/>
    <w:rsid w:val="4FAF4381"/>
    <w:rsid w:val="4FD76FE8"/>
    <w:rsid w:val="4FDE7E51"/>
    <w:rsid w:val="4FDF1F0B"/>
    <w:rsid w:val="4FE45E79"/>
    <w:rsid w:val="50166A06"/>
    <w:rsid w:val="502960A6"/>
    <w:rsid w:val="502A762A"/>
    <w:rsid w:val="502F527D"/>
    <w:rsid w:val="503A700C"/>
    <w:rsid w:val="503B7E2C"/>
    <w:rsid w:val="50416722"/>
    <w:rsid w:val="504C6B10"/>
    <w:rsid w:val="50566671"/>
    <w:rsid w:val="50666ED0"/>
    <w:rsid w:val="509E27A0"/>
    <w:rsid w:val="50B75D3E"/>
    <w:rsid w:val="50C524F1"/>
    <w:rsid w:val="50F71B40"/>
    <w:rsid w:val="50FA247F"/>
    <w:rsid w:val="510A5C19"/>
    <w:rsid w:val="5117237B"/>
    <w:rsid w:val="514624AD"/>
    <w:rsid w:val="514B5E29"/>
    <w:rsid w:val="514C01BB"/>
    <w:rsid w:val="515D3F82"/>
    <w:rsid w:val="516A7BBB"/>
    <w:rsid w:val="518D6765"/>
    <w:rsid w:val="518D70E5"/>
    <w:rsid w:val="51A76A58"/>
    <w:rsid w:val="51BD32D4"/>
    <w:rsid w:val="51C24B94"/>
    <w:rsid w:val="52023C94"/>
    <w:rsid w:val="5203450C"/>
    <w:rsid w:val="520A2D52"/>
    <w:rsid w:val="522055E6"/>
    <w:rsid w:val="52690FCE"/>
    <w:rsid w:val="527652FB"/>
    <w:rsid w:val="527862EE"/>
    <w:rsid w:val="529602EA"/>
    <w:rsid w:val="52D750CB"/>
    <w:rsid w:val="52F938A3"/>
    <w:rsid w:val="53000849"/>
    <w:rsid w:val="53183133"/>
    <w:rsid w:val="532358C3"/>
    <w:rsid w:val="53254822"/>
    <w:rsid w:val="534A3713"/>
    <w:rsid w:val="534E7803"/>
    <w:rsid w:val="53525838"/>
    <w:rsid w:val="536D782E"/>
    <w:rsid w:val="53784EF9"/>
    <w:rsid w:val="53B72C63"/>
    <w:rsid w:val="53BA3913"/>
    <w:rsid w:val="53BAC8B3"/>
    <w:rsid w:val="53BB3DBF"/>
    <w:rsid w:val="53BC59DD"/>
    <w:rsid w:val="53C4E943"/>
    <w:rsid w:val="53C9715A"/>
    <w:rsid w:val="53EA271C"/>
    <w:rsid w:val="53FC17CE"/>
    <w:rsid w:val="54092D01"/>
    <w:rsid w:val="540C7047"/>
    <w:rsid w:val="541C6673"/>
    <w:rsid w:val="541E5A8C"/>
    <w:rsid w:val="542B2B59"/>
    <w:rsid w:val="5437502E"/>
    <w:rsid w:val="544308BF"/>
    <w:rsid w:val="54451F68"/>
    <w:rsid w:val="5449144D"/>
    <w:rsid w:val="545D5D9B"/>
    <w:rsid w:val="546E586B"/>
    <w:rsid w:val="548C504A"/>
    <w:rsid w:val="54C8611F"/>
    <w:rsid w:val="54DD0613"/>
    <w:rsid w:val="54E8294F"/>
    <w:rsid w:val="54E82F69"/>
    <w:rsid w:val="55047B41"/>
    <w:rsid w:val="551F2164"/>
    <w:rsid w:val="55236764"/>
    <w:rsid w:val="55545149"/>
    <w:rsid w:val="55954FB0"/>
    <w:rsid w:val="559830A2"/>
    <w:rsid w:val="559C6CA5"/>
    <w:rsid w:val="55A04616"/>
    <w:rsid w:val="55DD7B77"/>
    <w:rsid w:val="55E137D0"/>
    <w:rsid w:val="55FF7504"/>
    <w:rsid w:val="561541C3"/>
    <w:rsid w:val="56253C7F"/>
    <w:rsid w:val="562D690B"/>
    <w:rsid w:val="562F5EFE"/>
    <w:rsid w:val="563E026C"/>
    <w:rsid w:val="56457239"/>
    <w:rsid w:val="5664483F"/>
    <w:rsid w:val="566719DC"/>
    <w:rsid w:val="566BF412"/>
    <w:rsid w:val="567406D4"/>
    <w:rsid w:val="569D42F1"/>
    <w:rsid w:val="56A17DE6"/>
    <w:rsid w:val="56A88EC8"/>
    <w:rsid w:val="56B52C2D"/>
    <w:rsid w:val="56CC11C5"/>
    <w:rsid w:val="56D1D715"/>
    <w:rsid w:val="570D1A54"/>
    <w:rsid w:val="57286365"/>
    <w:rsid w:val="572C3A66"/>
    <w:rsid w:val="574D6CA1"/>
    <w:rsid w:val="575046AD"/>
    <w:rsid w:val="577AFBB1"/>
    <w:rsid w:val="57815C85"/>
    <w:rsid w:val="57A831C9"/>
    <w:rsid w:val="57AE5183"/>
    <w:rsid w:val="57C61D7D"/>
    <w:rsid w:val="57D4431F"/>
    <w:rsid w:val="57D5E4E9"/>
    <w:rsid w:val="57DE7B77"/>
    <w:rsid w:val="57E15788"/>
    <w:rsid w:val="57E246E6"/>
    <w:rsid w:val="57EC72F5"/>
    <w:rsid w:val="57F20E0F"/>
    <w:rsid w:val="58207565"/>
    <w:rsid w:val="58214470"/>
    <w:rsid w:val="582D4928"/>
    <w:rsid w:val="583139C3"/>
    <w:rsid w:val="58504777"/>
    <w:rsid w:val="587C3671"/>
    <w:rsid w:val="588E40C3"/>
    <w:rsid w:val="58922210"/>
    <w:rsid w:val="58A07E1B"/>
    <w:rsid w:val="58A37382"/>
    <w:rsid w:val="58BA52C3"/>
    <w:rsid w:val="58C1031C"/>
    <w:rsid w:val="58D338A8"/>
    <w:rsid w:val="58DA7713"/>
    <w:rsid w:val="58DC1E15"/>
    <w:rsid w:val="58F72C59"/>
    <w:rsid w:val="59103C07"/>
    <w:rsid w:val="591FD831"/>
    <w:rsid w:val="59214981"/>
    <w:rsid w:val="594EDAF1"/>
    <w:rsid w:val="59512731"/>
    <w:rsid w:val="595540DA"/>
    <w:rsid w:val="59593098"/>
    <w:rsid w:val="595E580C"/>
    <w:rsid w:val="5962BC83"/>
    <w:rsid w:val="598919F4"/>
    <w:rsid w:val="59965427"/>
    <w:rsid w:val="59AC6EE1"/>
    <w:rsid w:val="59AD6073"/>
    <w:rsid w:val="59BB2A7D"/>
    <w:rsid w:val="59D71C5C"/>
    <w:rsid w:val="59E00B46"/>
    <w:rsid w:val="59E24AD2"/>
    <w:rsid w:val="59E959BB"/>
    <w:rsid w:val="59ED39B7"/>
    <w:rsid w:val="59F504AE"/>
    <w:rsid w:val="5A0A74C7"/>
    <w:rsid w:val="5A19DCD7"/>
    <w:rsid w:val="5A230493"/>
    <w:rsid w:val="5A285A0E"/>
    <w:rsid w:val="5A6657C1"/>
    <w:rsid w:val="5A697F9B"/>
    <w:rsid w:val="5A843D83"/>
    <w:rsid w:val="5A847D1C"/>
    <w:rsid w:val="5AFF3EBC"/>
    <w:rsid w:val="5B1155A2"/>
    <w:rsid w:val="5B1C0AFF"/>
    <w:rsid w:val="5B282809"/>
    <w:rsid w:val="5B35FA82"/>
    <w:rsid w:val="5B486DE4"/>
    <w:rsid w:val="5B6663C4"/>
    <w:rsid w:val="5B66D99F"/>
    <w:rsid w:val="5B6F7D64"/>
    <w:rsid w:val="5B7E7FAA"/>
    <w:rsid w:val="5BA03ACB"/>
    <w:rsid w:val="5BA11A1B"/>
    <w:rsid w:val="5BA45820"/>
    <w:rsid w:val="5BB66CA7"/>
    <w:rsid w:val="5BD6772F"/>
    <w:rsid w:val="5BF60D08"/>
    <w:rsid w:val="5BFA612C"/>
    <w:rsid w:val="5C3851DE"/>
    <w:rsid w:val="5C442DF7"/>
    <w:rsid w:val="5C51AC4C"/>
    <w:rsid w:val="5C5D51CF"/>
    <w:rsid w:val="5C66374E"/>
    <w:rsid w:val="5C7A4A33"/>
    <w:rsid w:val="5C7B59A2"/>
    <w:rsid w:val="5C897AEB"/>
    <w:rsid w:val="5CC07F8E"/>
    <w:rsid w:val="5CC2459D"/>
    <w:rsid w:val="5CCE758F"/>
    <w:rsid w:val="5CD845B0"/>
    <w:rsid w:val="5CE50AAC"/>
    <w:rsid w:val="5CE724C8"/>
    <w:rsid w:val="5CEA069B"/>
    <w:rsid w:val="5CF840F2"/>
    <w:rsid w:val="5D0222AF"/>
    <w:rsid w:val="5D076C82"/>
    <w:rsid w:val="5D1C2595"/>
    <w:rsid w:val="5D355A75"/>
    <w:rsid w:val="5D365C91"/>
    <w:rsid w:val="5D747693"/>
    <w:rsid w:val="5D761735"/>
    <w:rsid w:val="5D7F7EA5"/>
    <w:rsid w:val="5D8365CC"/>
    <w:rsid w:val="5D94266E"/>
    <w:rsid w:val="5DC310BE"/>
    <w:rsid w:val="5DC56BE4"/>
    <w:rsid w:val="5DC80482"/>
    <w:rsid w:val="5DC90D7E"/>
    <w:rsid w:val="5DCD1661"/>
    <w:rsid w:val="5DDE0FF9"/>
    <w:rsid w:val="5DFB1578"/>
    <w:rsid w:val="5DFD00AD"/>
    <w:rsid w:val="5E00022A"/>
    <w:rsid w:val="5E003E17"/>
    <w:rsid w:val="5E41FAA4"/>
    <w:rsid w:val="5E8162FE"/>
    <w:rsid w:val="5E9B0E8B"/>
    <w:rsid w:val="5E9B37B5"/>
    <w:rsid w:val="5EA23333"/>
    <w:rsid w:val="5EAD2373"/>
    <w:rsid w:val="5EDE33C0"/>
    <w:rsid w:val="5EE24BEA"/>
    <w:rsid w:val="5F053010"/>
    <w:rsid w:val="5F0729D1"/>
    <w:rsid w:val="5F1A6ABC"/>
    <w:rsid w:val="5F24D4A4"/>
    <w:rsid w:val="5F376813"/>
    <w:rsid w:val="5F381500"/>
    <w:rsid w:val="5F3C1128"/>
    <w:rsid w:val="5F494D98"/>
    <w:rsid w:val="5F623411"/>
    <w:rsid w:val="5F7A5DD6"/>
    <w:rsid w:val="5FB011CE"/>
    <w:rsid w:val="5FC174BF"/>
    <w:rsid w:val="5FCD537C"/>
    <w:rsid w:val="5FD06CD8"/>
    <w:rsid w:val="5FD807EF"/>
    <w:rsid w:val="5FDC30E1"/>
    <w:rsid w:val="5FDC5BAF"/>
    <w:rsid w:val="5FF32001"/>
    <w:rsid w:val="600AEC1C"/>
    <w:rsid w:val="600B3771"/>
    <w:rsid w:val="60356E5E"/>
    <w:rsid w:val="606A6521"/>
    <w:rsid w:val="60777BA5"/>
    <w:rsid w:val="6098009C"/>
    <w:rsid w:val="60BA3F90"/>
    <w:rsid w:val="60EE1ECE"/>
    <w:rsid w:val="60F964EC"/>
    <w:rsid w:val="61182ED5"/>
    <w:rsid w:val="615390A9"/>
    <w:rsid w:val="6155E654"/>
    <w:rsid w:val="61638AE9"/>
    <w:rsid w:val="61712162"/>
    <w:rsid w:val="61A15272"/>
    <w:rsid w:val="61D07C6C"/>
    <w:rsid w:val="61D37678"/>
    <w:rsid w:val="61E36654"/>
    <w:rsid w:val="61EFB163"/>
    <w:rsid w:val="620D24DA"/>
    <w:rsid w:val="623205C0"/>
    <w:rsid w:val="62764980"/>
    <w:rsid w:val="627800B0"/>
    <w:rsid w:val="62804F1E"/>
    <w:rsid w:val="628B110A"/>
    <w:rsid w:val="628F23C2"/>
    <w:rsid w:val="62BA5B89"/>
    <w:rsid w:val="62CA6A4B"/>
    <w:rsid w:val="62E461C6"/>
    <w:rsid w:val="62F4531A"/>
    <w:rsid w:val="62F45876"/>
    <w:rsid w:val="63664ED9"/>
    <w:rsid w:val="636F4C8D"/>
    <w:rsid w:val="637040FC"/>
    <w:rsid w:val="63907747"/>
    <w:rsid w:val="63BD3EBA"/>
    <w:rsid w:val="63C17048"/>
    <w:rsid w:val="63E72111"/>
    <w:rsid w:val="63F573F7"/>
    <w:rsid w:val="6414CE7E"/>
    <w:rsid w:val="6415585C"/>
    <w:rsid w:val="64382287"/>
    <w:rsid w:val="643B5DD7"/>
    <w:rsid w:val="6456157F"/>
    <w:rsid w:val="6458B4E5"/>
    <w:rsid w:val="646B3837"/>
    <w:rsid w:val="64801FDE"/>
    <w:rsid w:val="648E5A77"/>
    <w:rsid w:val="64C151D6"/>
    <w:rsid w:val="64C52A50"/>
    <w:rsid w:val="64CE7A66"/>
    <w:rsid w:val="64EE5D87"/>
    <w:rsid w:val="64EEA704"/>
    <w:rsid w:val="64F15B46"/>
    <w:rsid w:val="64F838A8"/>
    <w:rsid w:val="65076C82"/>
    <w:rsid w:val="65135533"/>
    <w:rsid w:val="652D4A3B"/>
    <w:rsid w:val="653E53D4"/>
    <w:rsid w:val="656D3275"/>
    <w:rsid w:val="657DA605"/>
    <w:rsid w:val="65896749"/>
    <w:rsid w:val="658E3990"/>
    <w:rsid w:val="659C36D4"/>
    <w:rsid w:val="65A334C3"/>
    <w:rsid w:val="65B64AE8"/>
    <w:rsid w:val="65E03254"/>
    <w:rsid w:val="65E141CA"/>
    <w:rsid w:val="66071AE7"/>
    <w:rsid w:val="66175E8F"/>
    <w:rsid w:val="6617E2F4"/>
    <w:rsid w:val="661E9C65"/>
    <w:rsid w:val="66383CCB"/>
    <w:rsid w:val="665E0452"/>
    <w:rsid w:val="66667CC6"/>
    <w:rsid w:val="66760283"/>
    <w:rsid w:val="66997839"/>
    <w:rsid w:val="66A076A4"/>
    <w:rsid w:val="66E42B42"/>
    <w:rsid w:val="66ED2CD5"/>
    <w:rsid w:val="671E291F"/>
    <w:rsid w:val="67541570"/>
    <w:rsid w:val="675646F4"/>
    <w:rsid w:val="67650AF0"/>
    <w:rsid w:val="67781DBB"/>
    <w:rsid w:val="679A139F"/>
    <w:rsid w:val="67A37331"/>
    <w:rsid w:val="67D6064A"/>
    <w:rsid w:val="67D732ED"/>
    <w:rsid w:val="67E67E83"/>
    <w:rsid w:val="67E792E9"/>
    <w:rsid w:val="67F50A8B"/>
    <w:rsid w:val="68060D49"/>
    <w:rsid w:val="68163397"/>
    <w:rsid w:val="682249D0"/>
    <w:rsid w:val="682E182A"/>
    <w:rsid w:val="68432F4E"/>
    <w:rsid w:val="68463D3F"/>
    <w:rsid w:val="6846655A"/>
    <w:rsid w:val="684E363B"/>
    <w:rsid w:val="685D514D"/>
    <w:rsid w:val="688095CC"/>
    <w:rsid w:val="68BC012B"/>
    <w:rsid w:val="68C36A23"/>
    <w:rsid w:val="68CC420A"/>
    <w:rsid w:val="68F31801"/>
    <w:rsid w:val="68F60F02"/>
    <w:rsid w:val="68FA50D8"/>
    <w:rsid w:val="691100F4"/>
    <w:rsid w:val="691762DC"/>
    <w:rsid w:val="692CBC56"/>
    <w:rsid w:val="69397707"/>
    <w:rsid w:val="6960590B"/>
    <w:rsid w:val="69782D5D"/>
    <w:rsid w:val="69914D2A"/>
    <w:rsid w:val="699F3323"/>
    <w:rsid w:val="69B011A8"/>
    <w:rsid w:val="69E22137"/>
    <w:rsid w:val="69EE4381"/>
    <w:rsid w:val="69F42ED2"/>
    <w:rsid w:val="69F876A1"/>
    <w:rsid w:val="6A086DE1"/>
    <w:rsid w:val="6A3955BA"/>
    <w:rsid w:val="6A520D1E"/>
    <w:rsid w:val="6A5B4B1E"/>
    <w:rsid w:val="6A622D30"/>
    <w:rsid w:val="6A6F77B8"/>
    <w:rsid w:val="6AB115DD"/>
    <w:rsid w:val="6AD17A38"/>
    <w:rsid w:val="6AD36521"/>
    <w:rsid w:val="6B0845B4"/>
    <w:rsid w:val="6B402502"/>
    <w:rsid w:val="6B5A6629"/>
    <w:rsid w:val="6B5E41D4"/>
    <w:rsid w:val="6B62131E"/>
    <w:rsid w:val="6B6D74AD"/>
    <w:rsid w:val="6BAD2A66"/>
    <w:rsid w:val="6BCF263E"/>
    <w:rsid w:val="6C0A4C10"/>
    <w:rsid w:val="6C0C0043"/>
    <w:rsid w:val="6C123DC2"/>
    <w:rsid w:val="6C1242E2"/>
    <w:rsid w:val="6C3C01B9"/>
    <w:rsid w:val="6C7C2998"/>
    <w:rsid w:val="6C7D4B8C"/>
    <w:rsid w:val="6C927AFA"/>
    <w:rsid w:val="6C9555EB"/>
    <w:rsid w:val="6C9724E6"/>
    <w:rsid w:val="6CA004C6"/>
    <w:rsid w:val="6CAC1676"/>
    <w:rsid w:val="6CAE5601"/>
    <w:rsid w:val="6CB02278"/>
    <w:rsid w:val="6CC1B74F"/>
    <w:rsid w:val="6CDB1F80"/>
    <w:rsid w:val="6CE97CAE"/>
    <w:rsid w:val="6D02028F"/>
    <w:rsid w:val="6D097245"/>
    <w:rsid w:val="6D0F6218"/>
    <w:rsid w:val="6D1A2F53"/>
    <w:rsid w:val="6D213DBA"/>
    <w:rsid w:val="6D2C27DC"/>
    <w:rsid w:val="6D336BE5"/>
    <w:rsid w:val="6D620D3C"/>
    <w:rsid w:val="6D6B522C"/>
    <w:rsid w:val="6D7A2CA7"/>
    <w:rsid w:val="6D7A48E9"/>
    <w:rsid w:val="6D7C48EA"/>
    <w:rsid w:val="6D85FBCE"/>
    <w:rsid w:val="6D8C0E6A"/>
    <w:rsid w:val="6DC33939"/>
    <w:rsid w:val="6DC44A8A"/>
    <w:rsid w:val="6DCE32BB"/>
    <w:rsid w:val="6DD7629D"/>
    <w:rsid w:val="6DE76133"/>
    <w:rsid w:val="6DEA13C4"/>
    <w:rsid w:val="6DEA46B7"/>
    <w:rsid w:val="6DEC510F"/>
    <w:rsid w:val="6E0A107E"/>
    <w:rsid w:val="6E130516"/>
    <w:rsid w:val="6E2150C5"/>
    <w:rsid w:val="6E2C3207"/>
    <w:rsid w:val="6E4D60EA"/>
    <w:rsid w:val="6E5FC2FB"/>
    <w:rsid w:val="6E610CB1"/>
    <w:rsid w:val="6E65794B"/>
    <w:rsid w:val="6E9116FB"/>
    <w:rsid w:val="6EBE184F"/>
    <w:rsid w:val="6EC138B8"/>
    <w:rsid w:val="6EC503F9"/>
    <w:rsid w:val="6EC707D9"/>
    <w:rsid w:val="6ED42224"/>
    <w:rsid w:val="6ED67A67"/>
    <w:rsid w:val="6EDD0049"/>
    <w:rsid w:val="6EDE6D78"/>
    <w:rsid w:val="6EDF37FE"/>
    <w:rsid w:val="6EF931CA"/>
    <w:rsid w:val="6EFE5BE3"/>
    <w:rsid w:val="6F007DA7"/>
    <w:rsid w:val="6F16E1DB"/>
    <w:rsid w:val="6F1928EC"/>
    <w:rsid w:val="6F4B38BC"/>
    <w:rsid w:val="6F4E3BE4"/>
    <w:rsid w:val="6F5D6229"/>
    <w:rsid w:val="6F5E0E95"/>
    <w:rsid w:val="6F6F451A"/>
    <w:rsid w:val="6F716F2F"/>
    <w:rsid w:val="6F733567"/>
    <w:rsid w:val="6F915350"/>
    <w:rsid w:val="6FA0423E"/>
    <w:rsid w:val="6FA7543D"/>
    <w:rsid w:val="6FAA0376"/>
    <w:rsid w:val="6FEB5236"/>
    <w:rsid w:val="6FF64290"/>
    <w:rsid w:val="6FFC7E4C"/>
    <w:rsid w:val="700942C2"/>
    <w:rsid w:val="700A6EC9"/>
    <w:rsid w:val="701A1E83"/>
    <w:rsid w:val="701F405A"/>
    <w:rsid w:val="7034465E"/>
    <w:rsid w:val="70394F30"/>
    <w:rsid w:val="704541AC"/>
    <w:rsid w:val="70715E97"/>
    <w:rsid w:val="707A560C"/>
    <w:rsid w:val="70907AAB"/>
    <w:rsid w:val="70A61B65"/>
    <w:rsid w:val="70C935FC"/>
    <w:rsid w:val="70D9CCB2"/>
    <w:rsid w:val="70F33611"/>
    <w:rsid w:val="70F41329"/>
    <w:rsid w:val="710B26BE"/>
    <w:rsid w:val="714C256E"/>
    <w:rsid w:val="7164387A"/>
    <w:rsid w:val="717A3CAA"/>
    <w:rsid w:val="719F0766"/>
    <w:rsid w:val="71A30B93"/>
    <w:rsid w:val="71A52E8F"/>
    <w:rsid w:val="71BC1C54"/>
    <w:rsid w:val="71E131ED"/>
    <w:rsid w:val="71F641B1"/>
    <w:rsid w:val="71FC4B34"/>
    <w:rsid w:val="7205BEA6"/>
    <w:rsid w:val="724118F3"/>
    <w:rsid w:val="72621B68"/>
    <w:rsid w:val="726958F0"/>
    <w:rsid w:val="727146D9"/>
    <w:rsid w:val="728873C3"/>
    <w:rsid w:val="72930AC8"/>
    <w:rsid w:val="729EDBBD"/>
    <w:rsid w:val="72AD687C"/>
    <w:rsid w:val="72E60AFA"/>
    <w:rsid w:val="72E62A82"/>
    <w:rsid w:val="72FDF143"/>
    <w:rsid w:val="7305498B"/>
    <w:rsid w:val="73090EC9"/>
    <w:rsid w:val="73101B79"/>
    <w:rsid w:val="7310996D"/>
    <w:rsid w:val="73164AEF"/>
    <w:rsid w:val="731676BE"/>
    <w:rsid w:val="73385847"/>
    <w:rsid w:val="734608C8"/>
    <w:rsid w:val="734C5973"/>
    <w:rsid w:val="73523B65"/>
    <w:rsid w:val="7381460F"/>
    <w:rsid w:val="73A46757"/>
    <w:rsid w:val="73A96C88"/>
    <w:rsid w:val="73BE3BC0"/>
    <w:rsid w:val="73D52D89"/>
    <w:rsid w:val="73DD20B5"/>
    <w:rsid w:val="73F30A24"/>
    <w:rsid w:val="73F6322C"/>
    <w:rsid w:val="740F13A0"/>
    <w:rsid w:val="740F1732"/>
    <w:rsid w:val="744F52AA"/>
    <w:rsid w:val="74625526"/>
    <w:rsid w:val="74737229"/>
    <w:rsid w:val="747B78B3"/>
    <w:rsid w:val="748C038F"/>
    <w:rsid w:val="74B4AB20"/>
    <w:rsid w:val="74C5678E"/>
    <w:rsid w:val="74C6742F"/>
    <w:rsid w:val="74C7692B"/>
    <w:rsid w:val="74C81F26"/>
    <w:rsid w:val="74D7460E"/>
    <w:rsid w:val="75466D62"/>
    <w:rsid w:val="754B0E6C"/>
    <w:rsid w:val="755A1920"/>
    <w:rsid w:val="755F1275"/>
    <w:rsid w:val="75650CA6"/>
    <w:rsid w:val="75A37283"/>
    <w:rsid w:val="75B67E87"/>
    <w:rsid w:val="75BB1661"/>
    <w:rsid w:val="75CD4A45"/>
    <w:rsid w:val="75D60992"/>
    <w:rsid w:val="75F35AB0"/>
    <w:rsid w:val="75F81B85"/>
    <w:rsid w:val="75FC2B54"/>
    <w:rsid w:val="76047964"/>
    <w:rsid w:val="760E4029"/>
    <w:rsid w:val="763027E7"/>
    <w:rsid w:val="76604420"/>
    <w:rsid w:val="76604F4D"/>
    <w:rsid w:val="76681F3F"/>
    <w:rsid w:val="766BD3CD"/>
    <w:rsid w:val="767B19C5"/>
    <w:rsid w:val="768076F4"/>
    <w:rsid w:val="76B178AE"/>
    <w:rsid w:val="76E7FA49"/>
    <w:rsid w:val="76E82CAC"/>
    <w:rsid w:val="76EE3962"/>
    <w:rsid w:val="77057BFA"/>
    <w:rsid w:val="770C08ED"/>
    <w:rsid w:val="770C5AE6"/>
    <w:rsid w:val="771F2441"/>
    <w:rsid w:val="772D266D"/>
    <w:rsid w:val="77303E69"/>
    <w:rsid w:val="77462A41"/>
    <w:rsid w:val="778927A3"/>
    <w:rsid w:val="77AC7F9D"/>
    <w:rsid w:val="77B52D54"/>
    <w:rsid w:val="77C27C4C"/>
    <w:rsid w:val="77CE623E"/>
    <w:rsid w:val="77CEAFA5"/>
    <w:rsid w:val="77F65404"/>
    <w:rsid w:val="78012A39"/>
    <w:rsid w:val="78066D81"/>
    <w:rsid w:val="780B27B5"/>
    <w:rsid w:val="78127739"/>
    <w:rsid w:val="78127DE8"/>
    <w:rsid w:val="7827392D"/>
    <w:rsid w:val="782D2E4E"/>
    <w:rsid w:val="7847E6AD"/>
    <w:rsid w:val="78537322"/>
    <w:rsid w:val="787224CA"/>
    <w:rsid w:val="788318A0"/>
    <w:rsid w:val="7884B588"/>
    <w:rsid w:val="78890E39"/>
    <w:rsid w:val="78973DD4"/>
    <w:rsid w:val="789D458E"/>
    <w:rsid w:val="78A67E5C"/>
    <w:rsid w:val="78BA2C76"/>
    <w:rsid w:val="78BC362E"/>
    <w:rsid w:val="78E71CAD"/>
    <w:rsid w:val="78ED0BD0"/>
    <w:rsid w:val="78FA6DBD"/>
    <w:rsid w:val="78FE08A5"/>
    <w:rsid w:val="78FF3A9E"/>
    <w:rsid w:val="7907DD4A"/>
    <w:rsid w:val="79156D22"/>
    <w:rsid w:val="79182D99"/>
    <w:rsid w:val="7919798C"/>
    <w:rsid w:val="79286D28"/>
    <w:rsid w:val="79355B9E"/>
    <w:rsid w:val="794739E7"/>
    <w:rsid w:val="7949678E"/>
    <w:rsid w:val="79533C02"/>
    <w:rsid w:val="796154E7"/>
    <w:rsid w:val="798C63B0"/>
    <w:rsid w:val="79936FCC"/>
    <w:rsid w:val="79992730"/>
    <w:rsid w:val="79A45289"/>
    <w:rsid w:val="79AB0782"/>
    <w:rsid w:val="79CD165B"/>
    <w:rsid w:val="79E96FA6"/>
    <w:rsid w:val="79FEF801"/>
    <w:rsid w:val="7A0120B0"/>
    <w:rsid w:val="7A036DE6"/>
    <w:rsid w:val="7A12251E"/>
    <w:rsid w:val="7A154DC9"/>
    <w:rsid w:val="7A185606"/>
    <w:rsid w:val="7A445D7B"/>
    <w:rsid w:val="7A4B2275"/>
    <w:rsid w:val="7A5235B9"/>
    <w:rsid w:val="7A5D5C88"/>
    <w:rsid w:val="7A5F4AF9"/>
    <w:rsid w:val="7A6A36D7"/>
    <w:rsid w:val="7A8F6D90"/>
    <w:rsid w:val="7AA00365"/>
    <w:rsid w:val="7AB12B59"/>
    <w:rsid w:val="7AD4603F"/>
    <w:rsid w:val="7AD83C49"/>
    <w:rsid w:val="7AF06B00"/>
    <w:rsid w:val="7AF20149"/>
    <w:rsid w:val="7B0C3D14"/>
    <w:rsid w:val="7B252227"/>
    <w:rsid w:val="7B295B47"/>
    <w:rsid w:val="7B2E771F"/>
    <w:rsid w:val="7B3B008E"/>
    <w:rsid w:val="7B48480E"/>
    <w:rsid w:val="7B52553E"/>
    <w:rsid w:val="7B56B43E"/>
    <w:rsid w:val="7B6DA345"/>
    <w:rsid w:val="7B8241C6"/>
    <w:rsid w:val="7BA10EA9"/>
    <w:rsid w:val="7BD14CD9"/>
    <w:rsid w:val="7BF20D61"/>
    <w:rsid w:val="7BFD5343"/>
    <w:rsid w:val="7C1D555F"/>
    <w:rsid w:val="7C57649B"/>
    <w:rsid w:val="7C5B6A3F"/>
    <w:rsid w:val="7C5D20C8"/>
    <w:rsid w:val="7C631D89"/>
    <w:rsid w:val="7C6E7C1A"/>
    <w:rsid w:val="7C894643"/>
    <w:rsid w:val="7C9079E3"/>
    <w:rsid w:val="7CAC1CD8"/>
    <w:rsid w:val="7CC52EA6"/>
    <w:rsid w:val="7CDB9E54"/>
    <w:rsid w:val="7CDF5E82"/>
    <w:rsid w:val="7CF84302"/>
    <w:rsid w:val="7D012775"/>
    <w:rsid w:val="7D08604A"/>
    <w:rsid w:val="7D0E8505"/>
    <w:rsid w:val="7D157114"/>
    <w:rsid w:val="7D1B1F25"/>
    <w:rsid w:val="7D221B52"/>
    <w:rsid w:val="7D2A02EF"/>
    <w:rsid w:val="7D455A59"/>
    <w:rsid w:val="7D6D4D61"/>
    <w:rsid w:val="7D7E5154"/>
    <w:rsid w:val="7D8115D4"/>
    <w:rsid w:val="7D9B0433"/>
    <w:rsid w:val="7DAE4B47"/>
    <w:rsid w:val="7DB3419F"/>
    <w:rsid w:val="7DB3F99B"/>
    <w:rsid w:val="7DB8492A"/>
    <w:rsid w:val="7DC81AF2"/>
    <w:rsid w:val="7DCDE89D"/>
    <w:rsid w:val="7DF6DB8A"/>
    <w:rsid w:val="7E0429B9"/>
    <w:rsid w:val="7E14223D"/>
    <w:rsid w:val="7E4D18AA"/>
    <w:rsid w:val="7E5E26EE"/>
    <w:rsid w:val="7E64482E"/>
    <w:rsid w:val="7E650485"/>
    <w:rsid w:val="7E6A2CF9"/>
    <w:rsid w:val="7E922066"/>
    <w:rsid w:val="7E9FA644"/>
    <w:rsid w:val="7EB2518B"/>
    <w:rsid w:val="7EBE3FD4"/>
    <w:rsid w:val="7EC81C39"/>
    <w:rsid w:val="7EE3E01D"/>
    <w:rsid w:val="7F1B46D7"/>
    <w:rsid w:val="7F2B3DC9"/>
    <w:rsid w:val="7F63604B"/>
    <w:rsid w:val="7F6A3571"/>
    <w:rsid w:val="7F6F21A2"/>
    <w:rsid w:val="7F742459"/>
    <w:rsid w:val="7FA385F2"/>
    <w:rsid w:val="7FD47219"/>
    <w:rsid w:val="7FE86E7F"/>
    <w:rsid w:val="815D45D3"/>
    <w:rsid w:val="81C489F2"/>
    <w:rsid w:val="81CBEA39"/>
    <w:rsid w:val="81CF624E"/>
    <w:rsid w:val="825E8A63"/>
    <w:rsid w:val="82880544"/>
    <w:rsid w:val="82A1363F"/>
    <w:rsid w:val="842D8551"/>
    <w:rsid w:val="855F7A0C"/>
    <w:rsid w:val="85C8F573"/>
    <w:rsid w:val="85DE0D1E"/>
    <w:rsid w:val="85F74D40"/>
    <w:rsid w:val="863191DF"/>
    <w:rsid w:val="869A0824"/>
    <w:rsid w:val="86CF7773"/>
    <w:rsid w:val="871C433C"/>
    <w:rsid w:val="8736A10B"/>
    <w:rsid w:val="87462CC2"/>
    <w:rsid w:val="87D739E9"/>
    <w:rsid w:val="88363D3A"/>
    <w:rsid w:val="8865E0AA"/>
    <w:rsid w:val="895052C8"/>
    <w:rsid w:val="89595529"/>
    <w:rsid w:val="89A05FF8"/>
    <w:rsid w:val="8AFF99D9"/>
    <w:rsid w:val="8BA9993A"/>
    <w:rsid w:val="8C1426B3"/>
    <w:rsid w:val="8D6D93EB"/>
    <w:rsid w:val="8E387917"/>
    <w:rsid w:val="8EB53A38"/>
    <w:rsid w:val="8EEF074B"/>
    <w:rsid w:val="8FC25D5B"/>
    <w:rsid w:val="902A8A8F"/>
    <w:rsid w:val="90495A93"/>
    <w:rsid w:val="90655946"/>
    <w:rsid w:val="906764F3"/>
    <w:rsid w:val="9082A08C"/>
    <w:rsid w:val="9213F3EF"/>
    <w:rsid w:val="9255419B"/>
    <w:rsid w:val="92ECD8F6"/>
    <w:rsid w:val="92EFA03A"/>
    <w:rsid w:val="938DAA7A"/>
    <w:rsid w:val="9406F983"/>
    <w:rsid w:val="940AEFB5"/>
    <w:rsid w:val="94B38D50"/>
    <w:rsid w:val="94B6B687"/>
    <w:rsid w:val="959BDAC4"/>
    <w:rsid w:val="964BA021"/>
    <w:rsid w:val="968D08AD"/>
    <w:rsid w:val="96CDAE63"/>
    <w:rsid w:val="96D10F72"/>
    <w:rsid w:val="9746BCDC"/>
    <w:rsid w:val="988A3FC8"/>
    <w:rsid w:val="98B5ED45"/>
    <w:rsid w:val="9A1B7584"/>
    <w:rsid w:val="9A58B76F"/>
    <w:rsid w:val="9BF73E76"/>
    <w:rsid w:val="9BF90BD3"/>
    <w:rsid w:val="9C0431BC"/>
    <w:rsid w:val="9C4CE787"/>
    <w:rsid w:val="9C9CF0A7"/>
    <w:rsid w:val="9CCF0251"/>
    <w:rsid w:val="9D7B6C20"/>
    <w:rsid w:val="A0423F4C"/>
    <w:rsid w:val="A0753DE4"/>
    <w:rsid w:val="A0D61FBB"/>
    <w:rsid w:val="A1B86BA4"/>
    <w:rsid w:val="A21E7CD4"/>
    <w:rsid w:val="A29432E4"/>
    <w:rsid w:val="A411544A"/>
    <w:rsid w:val="A433B70A"/>
    <w:rsid w:val="A443D049"/>
    <w:rsid w:val="A4535C0A"/>
    <w:rsid w:val="A45EBF13"/>
    <w:rsid w:val="A5357876"/>
    <w:rsid w:val="A5D7CA9E"/>
    <w:rsid w:val="A6081D0F"/>
    <w:rsid w:val="A615308D"/>
    <w:rsid w:val="A6602DBF"/>
    <w:rsid w:val="A7344BEE"/>
    <w:rsid w:val="A75FE230"/>
    <w:rsid w:val="A82B9E91"/>
    <w:rsid w:val="A86BD89E"/>
    <w:rsid w:val="A86FC1D4"/>
    <w:rsid w:val="A88E6534"/>
    <w:rsid w:val="A8BEEB65"/>
    <w:rsid w:val="A8DA5B92"/>
    <w:rsid w:val="AA77A50B"/>
    <w:rsid w:val="AACDD43E"/>
    <w:rsid w:val="AB3B5A64"/>
    <w:rsid w:val="AD43DD82"/>
    <w:rsid w:val="AE726E54"/>
    <w:rsid w:val="B008F4B7"/>
    <w:rsid w:val="B01EDF56"/>
    <w:rsid w:val="B0299B1A"/>
    <w:rsid w:val="B10825E1"/>
    <w:rsid w:val="B16115AC"/>
    <w:rsid w:val="B25C5A21"/>
    <w:rsid w:val="B267DEDF"/>
    <w:rsid w:val="B28BDAC6"/>
    <w:rsid w:val="B2BA9AD5"/>
    <w:rsid w:val="B34B1E32"/>
    <w:rsid w:val="B38D3C80"/>
    <w:rsid w:val="B38F5CD6"/>
    <w:rsid w:val="B4F719AB"/>
    <w:rsid w:val="B517B867"/>
    <w:rsid w:val="B54724AE"/>
    <w:rsid w:val="B556C168"/>
    <w:rsid w:val="B5C884F4"/>
    <w:rsid w:val="B66B7B24"/>
    <w:rsid w:val="B6859ED6"/>
    <w:rsid w:val="B68E5B2F"/>
    <w:rsid w:val="B6B6F1DA"/>
    <w:rsid w:val="B7066DD9"/>
    <w:rsid w:val="B87AE262"/>
    <w:rsid w:val="B8B42B1F"/>
    <w:rsid w:val="B9E0510A"/>
    <w:rsid w:val="B9E080BC"/>
    <w:rsid w:val="BA36AC09"/>
    <w:rsid w:val="BA7D7EF2"/>
    <w:rsid w:val="BAFBC9FC"/>
    <w:rsid w:val="BC774970"/>
    <w:rsid w:val="BCCFBD97"/>
    <w:rsid w:val="BD069A6E"/>
    <w:rsid w:val="BDA0323A"/>
    <w:rsid w:val="BDAB9D0C"/>
    <w:rsid w:val="BE272DAF"/>
    <w:rsid w:val="BF7B4D5B"/>
    <w:rsid w:val="C0693078"/>
    <w:rsid w:val="C078693C"/>
    <w:rsid w:val="C0974243"/>
    <w:rsid w:val="C0C54371"/>
    <w:rsid w:val="C19E8C96"/>
    <w:rsid w:val="C1F0ECC3"/>
    <w:rsid w:val="C2437B8A"/>
    <w:rsid w:val="C327489A"/>
    <w:rsid w:val="C352C627"/>
    <w:rsid w:val="C35CBEFD"/>
    <w:rsid w:val="C3B498B0"/>
    <w:rsid w:val="C3D8FE08"/>
    <w:rsid w:val="C426A47F"/>
    <w:rsid w:val="C4799483"/>
    <w:rsid w:val="C6A31856"/>
    <w:rsid w:val="C6ADF10B"/>
    <w:rsid w:val="C70076C0"/>
    <w:rsid w:val="C8173597"/>
    <w:rsid w:val="C84541F7"/>
    <w:rsid w:val="C9B9DBE9"/>
    <w:rsid w:val="CADFE8D2"/>
    <w:rsid w:val="CB1D981C"/>
    <w:rsid w:val="CB4783B1"/>
    <w:rsid w:val="CB50AD2E"/>
    <w:rsid w:val="CBD4172E"/>
    <w:rsid w:val="CC53E3E9"/>
    <w:rsid w:val="CC82D264"/>
    <w:rsid w:val="CD7B8D6C"/>
    <w:rsid w:val="CE24C05A"/>
    <w:rsid w:val="CE834359"/>
    <w:rsid w:val="CE9A4710"/>
    <w:rsid w:val="CEC49205"/>
    <w:rsid w:val="CEFA3746"/>
    <w:rsid w:val="CF47F4C9"/>
    <w:rsid w:val="CFC7AE5D"/>
    <w:rsid w:val="D06D65EA"/>
    <w:rsid w:val="D0F7472E"/>
    <w:rsid w:val="D19FC85D"/>
    <w:rsid w:val="D1A612CF"/>
    <w:rsid w:val="D20AC37C"/>
    <w:rsid w:val="D263E0DF"/>
    <w:rsid w:val="D3026467"/>
    <w:rsid w:val="D4AB3698"/>
    <w:rsid w:val="D549A56F"/>
    <w:rsid w:val="D5529B35"/>
    <w:rsid w:val="D65FF33E"/>
    <w:rsid w:val="D6E05096"/>
    <w:rsid w:val="D774A8A3"/>
    <w:rsid w:val="D8174F1B"/>
    <w:rsid w:val="D826C7AF"/>
    <w:rsid w:val="D940AA7C"/>
    <w:rsid w:val="D9804CD7"/>
    <w:rsid w:val="D9918B7C"/>
    <w:rsid w:val="DA48CF4C"/>
    <w:rsid w:val="DAC9A9BC"/>
    <w:rsid w:val="DB1FDF15"/>
    <w:rsid w:val="DB5033A8"/>
    <w:rsid w:val="DB83A1A5"/>
    <w:rsid w:val="DBACCF6A"/>
    <w:rsid w:val="DCFF995B"/>
    <w:rsid w:val="DD1D316E"/>
    <w:rsid w:val="DD27902E"/>
    <w:rsid w:val="DDC5944B"/>
    <w:rsid w:val="DE032200"/>
    <w:rsid w:val="DE3DB8D3"/>
    <w:rsid w:val="DE88AB67"/>
    <w:rsid w:val="DF61F323"/>
    <w:rsid w:val="DFBC08CB"/>
    <w:rsid w:val="E0DFDE49"/>
    <w:rsid w:val="E140ADA8"/>
    <w:rsid w:val="E15F969C"/>
    <w:rsid w:val="E27DB72B"/>
    <w:rsid w:val="E30910E7"/>
    <w:rsid w:val="E3484BD9"/>
    <w:rsid w:val="E3FC5201"/>
    <w:rsid w:val="E41D66E0"/>
    <w:rsid w:val="E4202B2F"/>
    <w:rsid w:val="E46F218F"/>
    <w:rsid w:val="E4859783"/>
    <w:rsid w:val="E54FDCDC"/>
    <w:rsid w:val="E59BD697"/>
    <w:rsid w:val="E5AC5E59"/>
    <w:rsid w:val="E5D0C9A5"/>
    <w:rsid w:val="E5DC66C1"/>
    <w:rsid w:val="E6896E57"/>
    <w:rsid w:val="E7A86F72"/>
    <w:rsid w:val="E7B5A841"/>
    <w:rsid w:val="E7BEB275"/>
    <w:rsid w:val="E7E1D530"/>
    <w:rsid w:val="E829DA99"/>
    <w:rsid w:val="E866FA5E"/>
    <w:rsid w:val="E89A5BFD"/>
    <w:rsid w:val="E958C6DE"/>
    <w:rsid w:val="E95DB733"/>
    <w:rsid w:val="EC0CF28D"/>
    <w:rsid w:val="EC237187"/>
    <w:rsid w:val="EC5DFEF0"/>
    <w:rsid w:val="ED6049D3"/>
    <w:rsid w:val="EE88C759"/>
    <w:rsid w:val="EEA8D897"/>
    <w:rsid w:val="EECF9DAA"/>
    <w:rsid w:val="EF1ECBB2"/>
    <w:rsid w:val="EF709EB3"/>
    <w:rsid w:val="EF9940AB"/>
    <w:rsid w:val="EF9B5C93"/>
    <w:rsid w:val="EFB981E6"/>
    <w:rsid w:val="F022F41D"/>
    <w:rsid w:val="F095D3C1"/>
    <w:rsid w:val="F0962FDA"/>
    <w:rsid w:val="F19D0F0B"/>
    <w:rsid w:val="F19F5720"/>
    <w:rsid w:val="F1A3CD0C"/>
    <w:rsid w:val="F1BCC56D"/>
    <w:rsid w:val="F2AEB39F"/>
    <w:rsid w:val="F2CEDF74"/>
    <w:rsid w:val="F2D2431D"/>
    <w:rsid w:val="F428C0CE"/>
    <w:rsid w:val="F57F40B7"/>
    <w:rsid w:val="F5F36B7D"/>
    <w:rsid w:val="F61C54FF"/>
    <w:rsid w:val="F6288F44"/>
    <w:rsid w:val="F649FBB5"/>
    <w:rsid w:val="F6633F8B"/>
    <w:rsid w:val="F6902486"/>
    <w:rsid w:val="F7941D08"/>
    <w:rsid w:val="F819A319"/>
    <w:rsid w:val="F81A2641"/>
    <w:rsid w:val="F869D9D8"/>
    <w:rsid w:val="F8F35A9B"/>
    <w:rsid w:val="F974033D"/>
    <w:rsid w:val="FA7A8E70"/>
    <w:rsid w:val="FA9FE61C"/>
    <w:rsid w:val="FAD11090"/>
    <w:rsid w:val="FB59D600"/>
    <w:rsid w:val="FCA37699"/>
    <w:rsid w:val="FE0D56CC"/>
    <w:rsid w:val="FE951F29"/>
    <w:rsid w:val="FED26F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nhideWhenUsed="0" w:uiPriority="0"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iPriority="99" w:name="Body Text Indent 3"/>
    <w:lsdException w:uiPriority="99"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02"/>
    <w:qFormat/>
    <w:uiPriority w:val="0"/>
    <w:pPr>
      <w:keepNext/>
      <w:keepLines/>
      <w:spacing w:before="340" w:after="330" w:line="576" w:lineRule="auto"/>
      <w:outlineLvl w:val="0"/>
    </w:pPr>
    <w:rPr>
      <w:rFonts w:ascii="Times New Roman" w:hAnsi="Times New Roman"/>
      <w:b/>
      <w:bCs/>
      <w:kern w:val="44"/>
      <w:sz w:val="44"/>
      <w:szCs w:val="44"/>
    </w:rPr>
  </w:style>
  <w:style w:type="paragraph" w:styleId="3">
    <w:name w:val="heading 2"/>
    <w:basedOn w:val="1"/>
    <w:next w:val="1"/>
    <w:link w:val="54"/>
    <w:qFormat/>
    <w:uiPriority w:val="0"/>
    <w:pPr>
      <w:keepNext/>
      <w:keepLines/>
      <w:spacing w:before="260" w:after="260" w:line="413" w:lineRule="auto"/>
      <w:outlineLvl w:val="1"/>
    </w:pPr>
    <w:rPr>
      <w:rFonts w:ascii="Cambria" w:hAnsi="Cambria"/>
      <w:b/>
      <w:bCs/>
      <w:sz w:val="32"/>
      <w:szCs w:val="32"/>
    </w:rPr>
  </w:style>
  <w:style w:type="paragraph" w:styleId="4">
    <w:name w:val="heading 3"/>
    <w:basedOn w:val="1"/>
    <w:next w:val="1"/>
    <w:link w:val="98"/>
    <w:qFormat/>
    <w:uiPriority w:val="0"/>
    <w:pPr>
      <w:keepNext/>
      <w:keepLines/>
      <w:spacing w:before="260" w:after="260" w:line="413" w:lineRule="auto"/>
      <w:outlineLvl w:val="2"/>
    </w:pPr>
    <w:rPr>
      <w:rFonts w:ascii="Times New Roman" w:hAnsi="Times New Roman"/>
      <w:b/>
      <w:bCs/>
      <w:sz w:val="32"/>
      <w:szCs w:val="32"/>
    </w:rPr>
  </w:style>
  <w:style w:type="paragraph" w:styleId="5">
    <w:name w:val="heading 4"/>
    <w:basedOn w:val="1"/>
    <w:next w:val="1"/>
    <w:link w:val="64"/>
    <w:qFormat/>
    <w:uiPriority w:val="0"/>
    <w:pPr>
      <w:keepNext/>
      <w:keepLines/>
      <w:spacing w:before="280" w:after="290" w:line="372" w:lineRule="auto"/>
      <w:outlineLvl w:val="3"/>
    </w:pPr>
    <w:rPr>
      <w:rFonts w:ascii="Cambria" w:hAnsi="Cambria"/>
      <w:b/>
      <w:bCs/>
      <w:sz w:val="28"/>
      <w:szCs w:val="28"/>
    </w:rPr>
  </w:style>
  <w:style w:type="paragraph" w:styleId="6">
    <w:name w:val="heading 5"/>
    <w:basedOn w:val="1"/>
    <w:next w:val="1"/>
    <w:link w:val="84"/>
    <w:qFormat/>
    <w:uiPriority w:val="0"/>
    <w:pPr>
      <w:keepNext/>
      <w:keepLines/>
      <w:spacing w:before="280" w:after="290" w:line="372" w:lineRule="auto"/>
      <w:outlineLvl w:val="4"/>
    </w:pPr>
    <w:rPr>
      <w:rFonts w:ascii="Times New Roman" w:hAnsi="Times New Roman"/>
      <w:b/>
      <w:bCs/>
      <w:sz w:val="28"/>
      <w:szCs w:val="28"/>
    </w:rPr>
  </w:style>
  <w:style w:type="paragraph" w:styleId="7">
    <w:name w:val="heading 6"/>
    <w:basedOn w:val="1"/>
    <w:next w:val="1"/>
    <w:link w:val="63"/>
    <w:qFormat/>
    <w:uiPriority w:val="0"/>
    <w:pPr>
      <w:keepNext/>
      <w:keepLines/>
      <w:spacing w:before="240" w:after="64" w:line="317" w:lineRule="auto"/>
      <w:outlineLvl w:val="5"/>
    </w:pPr>
    <w:rPr>
      <w:rFonts w:ascii="Cambria" w:hAnsi="Cambria"/>
      <w:b/>
      <w:bCs/>
      <w:sz w:val="24"/>
      <w:szCs w:val="24"/>
    </w:rPr>
  </w:style>
  <w:style w:type="paragraph" w:styleId="8">
    <w:name w:val="heading 7"/>
    <w:basedOn w:val="1"/>
    <w:next w:val="1"/>
    <w:link w:val="92"/>
    <w:qFormat/>
    <w:uiPriority w:val="0"/>
    <w:pPr>
      <w:keepNext/>
      <w:keepLines/>
      <w:spacing w:before="240" w:after="64" w:line="317" w:lineRule="auto"/>
      <w:outlineLvl w:val="6"/>
    </w:pPr>
    <w:rPr>
      <w:rFonts w:ascii="Times New Roman" w:hAnsi="Times New Roman"/>
      <w:b/>
      <w:bCs/>
      <w:sz w:val="24"/>
      <w:szCs w:val="24"/>
    </w:rPr>
  </w:style>
  <w:style w:type="paragraph" w:styleId="9">
    <w:name w:val="heading 8"/>
    <w:basedOn w:val="1"/>
    <w:next w:val="1"/>
    <w:link w:val="94"/>
    <w:qFormat/>
    <w:uiPriority w:val="0"/>
    <w:pPr>
      <w:keepNext/>
      <w:keepLines/>
      <w:spacing w:before="240" w:after="64" w:line="317" w:lineRule="auto"/>
      <w:outlineLvl w:val="7"/>
    </w:pPr>
    <w:rPr>
      <w:rFonts w:ascii="Cambria" w:hAnsi="Cambria"/>
      <w:sz w:val="24"/>
      <w:szCs w:val="24"/>
    </w:rPr>
  </w:style>
  <w:style w:type="paragraph" w:styleId="10">
    <w:name w:val="heading 9"/>
    <w:basedOn w:val="1"/>
    <w:next w:val="1"/>
    <w:link w:val="87"/>
    <w:qFormat/>
    <w:uiPriority w:val="0"/>
    <w:pPr>
      <w:keepNext/>
      <w:keepLines/>
      <w:spacing w:before="240" w:after="64" w:line="317" w:lineRule="auto"/>
      <w:outlineLvl w:val="8"/>
    </w:pPr>
    <w:rPr>
      <w:rFonts w:ascii="Cambria" w:hAnsi="Cambria"/>
      <w:szCs w:val="21"/>
    </w:rPr>
  </w:style>
  <w:style w:type="character" w:default="1" w:styleId="39">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2520" w:leftChars="1200"/>
    </w:pPr>
    <w:rPr>
      <w:rFonts w:ascii="Times New Roman" w:hAnsi="Times New Roman"/>
    </w:rPr>
  </w:style>
  <w:style w:type="paragraph" w:styleId="12">
    <w:name w:val="Normal Indent"/>
    <w:basedOn w:val="1"/>
    <w:qFormat/>
    <w:uiPriority w:val="0"/>
    <w:pPr>
      <w:adjustRightInd w:val="0"/>
      <w:spacing w:line="360" w:lineRule="atLeast"/>
      <w:ind w:firstLine="482"/>
      <w:textAlignment w:val="baseline"/>
    </w:pPr>
    <w:rPr>
      <w:rFonts w:ascii="Times New Roman" w:hAnsi="Times New Roman"/>
      <w:kern w:val="0"/>
      <w:sz w:val="24"/>
      <w:szCs w:val="20"/>
    </w:rPr>
  </w:style>
  <w:style w:type="paragraph" w:styleId="13">
    <w:name w:val="caption"/>
    <w:basedOn w:val="1"/>
    <w:next w:val="1"/>
    <w:qFormat/>
    <w:uiPriority w:val="0"/>
    <w:rPr>
      <w:rFonts w:ascii="Cambria" w:hAnsi="Cambria" w:eastAsia="黑体"/>
      <w:sz w:val="20"/>
      <w:szCs w:val="20"/>
    </w:rPr>
  </w:style>
  <w:style w:type="paragraph" w:styleId="14">
    <w:name w:val="Document Map"/>
    <w:basedOn w:val="1"/>
    <w:link w:val="55"/>
    <w:qFormat/>
    <w:uiPriority w:val="0"/>
    <w:pPr>
      <w:shd w:val="clear" w:color="auto" w:fill="000080"/>
    </w:pPr>
    <w:rPr>
      <w:rFonts w:ascii="Times New Roman" w:hAnsi="Times New Roman"/>
      <w:szCs w:val="24"/>
      <w:shd w:val="clear" w:color="auto" w:fill="000080"/>
    </w:rPr>
  </w:style>
  <w:style w:type="paragraph" w:styleId="15">
    <w:name w:val="annotation text"/>
    <w:basedOn w:val="1"/>
    <w:link w:val="81"/>
    <w:qFormat/>
    <w:uiPriority w:val="0"/>
    <w:pPr>
      <w:jc w:val="left"/>
    </w:pPr>
    <w:rPr>
      <w:rFonts w:ascii="Times New Roman" w:hAnsi="Times New Roman"/>
    </w:rPr>
  </w:style>
  <w:style w:type="paragraph" w:styleId="16">
    <w:name w:val="Body Text"/>
    <w:basedOn w:val="1"/>
    <w:link w:val="70"/>
    <w:qFormat/>
    <w:uiPriority w:val="0"/>
    <w:pPr>
      <w:adjustRightInd w:val="0"/>
      <w:spacing w:after="60" w:line="360" w:lineRule="atLeast"/>
      <w:ind w:left="72" w:leftChars="30" w:right="30" w:rightChars="30"/>
      <w:jc w:val="center"/>
      <w:textAlignment w:val="baseline"/>
    </w:pPr>
    <w:rPr>
      <w:rFonts w:ascii="Times New Roman" w:hAnsi="Times New Roman"/>
    </w:rPr>
  </w:style>
  <w:style w:type="paragraph" w:styleId="17">
    <w:name w:val="index 4"/>
    <w:basedOn w:val="1"/>
    <w:next w:val="1"/>
    <w:qFormat/>
    <w:uiPriority w:val="0"/>
    <w:pPr>
      <w:ind w:left="600" w:leftChars="600"/>
    </w:pPr>
    <w:rPr>
      <w:rFonts w:ascii="Times New Roman" w:hAnsi="Times New Roman"/>
      <w:szCs w:val="24"/>
    </w:rPr>
  </w:style>
  <w:style w:type="paragraph" w:styleId="18">
    <w:name w:val="toc 5"/>
    <w:basedOn w:val="1"/>
    <w:next w:val="1"/>
    <w:qFormat/>
    <w:uiPriority w:val="0"/>
    <w:pPr>
      <w:tabs>
        <w:tab w:val="right" w:leader="dot" w:pos="8296"/>
      </w:tabs>
      <w:ind w:left="1050" w:leftChars="500"/>
    </w:pPr>
    <w:rPr>
      <w:rFonts w:ascii="Times New Roman" w:hAnsi="Times New Roman"/>
    </w:rPr>
  </w:style>
  <w:style w:type="paragraph" w:styleId="19">
    <w:name w:val="toc 3"/>
    <w:basedOn w:val="1"/>
    <w:next w:val="1"/>
    <w:qFormat/>
    <w:uiPriority w:val="0"/>
    <w:pPr>
      <w:ind w:left="840" w:leftChars="400"/>
    </w:pPr>
    <w:rPr>
      <w:rFonts w:ascii="Times New Roman" w:hAnsi="Times New Roman"/>
    </w:rPr>
  </w:style>
  <w:style w:type="paragraph" w:styleId="20">
    <w:name w:val="toc 8"/>
    <w:basedOn w:val="1"/>
    <w:next w:val="1"/>
    <w:qFormat/>
    <w:uiPriority w:val="0"/>
    <w:pPr>
      <w:ind w:left="2940" w:leftChars="1400"/>
    </w:pPr>
    <w:rPr>
      <w:rFonts w:ascii="Times New Roman" w:hAnsi="Times New Roman"/>
    </w:rPr>
  </w:style>
  <w:style w:type="paragraph" w:styleId="21">
    <w:name w:val="Date"/>
    <w:basedOn w:val="1"/>
    <w:next w:val="1"/>
    <w:link w:val="50"/>
    <w:qFormat/>
    <w:uiPriority w:val="0"/>
    <w:pPr>
      <w:ind w:left="100" w:leftChars="2500"/>
    </w:pPr>
    <w:rPr>
      <w:rFonts w:ascii="宋体" w:hAnsi="Times New Roman"/>
      <w:sz w:val="28"/>
    </w:rPr>
  </w:style>
  <w:style w:type="paragraph" w:styleId="22">
    <w:name w:val="Body Text Indent 2"/>
    <w:basedOn w:val="1"/>
    <w:link w:val="95"/>
    <w:qFormat/>
    <w:uiPriority w:val="0"/>
    <w:pPr>
      <w:spacing w:line="300" w:lineRule="auto"/>
      <w:ind w:left="418" w:leftChars="199"/>
    </w:pPr>
    <w:rPr>
      <w:rFonts w:ascii="Times New Roman" w:hAnsi="Times New Roman"/>
      <w:sz w:val="24"/>
      <w:szCs w:val="20"/>
    </w:rPr>
  </w:style>
  <w:style w:type="paragraph" w:styleId="23">
    <w:name w:val="Balloon Text"/>
    <w:basedOn w:val="1"/>
    <w:link w:val="69"/>
    <w:qFormat/>
    <w:uiPriority w:val="0"/>
    <w:rPr>
      <w:rFonts w:ascii="宋体" w:hAnsi="Times New Roman"/>
      <w:sz w:val="18"/>
      <w:szCs w:val="18"/>
    </w:rPr>
  </w:style>
  <w:style w:type="paragraph" w:styleId="24">
    <w:name w:val="footer"/>
    <w:basedOn w:val="1"/>
    <w:link w:val="96"/>
    <w:qFormat/>
    <w:uiPriority w:val="0"/>
    <w:pPr>
      <w:tabs>
        <w:tab w:val="center" w:pos="4153"/>
        <w:tab w:val="right" w:pos="8306"/>
      </w:tabs>
      <w:snapToGrid w:val="0"/>
      <w:jc w:val="left"/>
    </w:pPr>
    <w:rPr>
      <w:rFonts w:ascii="Times New Roman" w:hAnsi="Times New Roman"/>
      <w:sz w:val="18"/>
      <w:szCs w:val="18"/>
    </w:rPr>
  </w:style>
  <w:style w:type="paragraph" w:styleId="25">
    <w:name w:val="header"/>
    <w:basedOn w:val="1"/>
    <w:link w:val="46"/>
    <w:qFormat/>
    <w:uiPriority w:val="0"/>
    <w:pPr>
      <w:pBdr>
        <w:bottom w:val="single" w:color="auto" w:sz="6" w:space="1"/>
      </w:pBdr>
      <w:tabs>
        <w:tab w:val="center" w:pos="4153"/>
        <w:tab w:val="right" w:pos="8306"/>
      </w:tabs>
      <w:snapToGrid w:val="0"/>
      <w:jc w:val="center"/>
    </w:pPr>
    <w:rPr>
      <w:rFonts w:ascii="Times New Roman" w:hAnsi="Times New Roman"/>
      <w:sz w:val="18"/>
      <w:szCs w:val="18"/>
    </w:rPr>
  </w:style>
  <w:style w:type="paragraph" w:styleId="26">
    <w:name w:val="toc 1"/>
    <w:basedOn w:val="1"/>
    <w:next w:val="1"/>
    <w:qFormat/>
    <w:uiPriority w:val="39"/>
    <w:pPr>
      <w:tabs>
        <w:tab w:val="right" w:leader="dot" w:pos="8296"/>
      </w:tabs>
    </w:pPr>
    <w:rPr>
      <w:rFonts w:ascii="宋体" w:hAnsi="Times New Roman" w:eastAsia="楷体_GB2312" w:cs="TimesNewRomanPSMT"/>
      <w:b/>
      <w:kern w:val="0"/>
      <w:sz w:val="28"/>
      <w:szCs w:val="20"/>
    </w:rPr>
  </w:style>
  <w:style w:type="paragraph" w:styleId="27">
    <w:name w:val="toc 4"/>
    <w:basedOn w:val="1"/>
    <w:next w:val="1"/>
    <w:qFormat/>
    <w:uiPriority w:val="0"/>
    <w:pPr>
      <w:tabs>
        <w:tab w:val="left" w:pos="1890"/>
        <w:tab w:val="right" w:leader="dot" w:pos="8296"/>
      </w:tabs>
      <w:ind w:left="630" w:leftChars="300"/>
    </w:pPr>
    <w:rPr>
      <w:rFonts w:ascii="Times New Roman" w:hAnsi="Times New Roman"/>
    </w:rPr>
  </w:style>
  <w:style w:type="paragraph" w:styleId="28">
    <w:name w:val="Subtitle"/>
    <w:basedOn w:val="1"/>
    <w:next w:val="1"/>
    <w:link w:val="80"/>
    <w:qFormat/>
    <w:uiPriority w:val="0"/>
    <w:pPr>
      <w:spacing w:before="240" w:after="60" w:line="312" w:lineRule="auto"/>
      <w:jc w:val="center"/>
      <w:outlineLvl w:val="1"/>
    </w:pPr>
    <w:rPr>
      <w:rFonts w:ascii="Cambria" w:hAnsi="Cambria"/>
      <w:b/>
      <w:bCs/>
      <w:kern w:val="28"/>
      <w:sz w:val="32"/>
      <w:szCs w:val="32"/>
    </w:rPr>
  </w:style>
  <w:style w:type="paragraph" w:styleId="29">
    <w:name w:val="toc 6"/>
    <w:basedOn w:val="1"/>
    <w:next w:val="1"/>
    <w:qFormat/>
    <w:uiPriority w:val="0"/>
    <w:pPr>
      <w:ind w:left="2100" w:leftChars="1000"/>
    </w:pPr>
    <w:rPr>
      <w:rFonts w:ascii="Times New Roman" w:hAnsi="Times New Roman"/>
    </w:rPr>
  </w:style>
  <w:style w:type="paragraph" w:styleId="30">
    <w:name w:val="Body Text Indent 3"/>
    <w:basedOn w:val="1"/>
    <w:link w:val="118"/>
    <w:semiHidden/>
    <w:unhideWhenUsed/>
    <w:qFormat/>
    <w:uiPriority w:val="99"/>
    <w:pPr>
      <w:spacing w:after="120"/>
      <w:ind w:left="420" w:leftChars="200"/>
    </w:pPr>
    <w:rPr>
      <w:sz w:val="16"/>
      <w:szCs w:val="16"/>
    </w:rPr>
  </w:style>
  <w:style w:type="paragraph" w:styleId="31">
    <w:name w:val="table of figures"/>
    <w:basedOn w:val="1"/>
    <w:next w:val="1"/>
    <w:qFormat/>
    <w:uiPriority w:val="0"/>
    <w:pPr>
      <w:ind w:left="200" w:leftChars="200" w:hanging="200" w:hangingChars="200"/>
    </w:pPr>
    <w:rPr>
      <w:rFonts w:ascii="Times New Roman" w:hAnsi="Times New Roman"/>
    </w:rPr>
  </w:style>
  <w:style w:type="paragraph" w:styleId="32">
    <w:name w:val="toc 2"/>
    <w:basedOn w:val="1"/>
    <w:next w:val="1"/>
    <w:qFormat/>
    <w:uiPriority w:val="39"/>
    <w:pPr>
      <w:ind w:left="420" w:leftChars="200"/>
    </w:pPr>
    <w:rPr>
      <w:rFonts w:ascii="宋体" w:hAnsi="Times New Roman"/>
      <w:b/>
      <w:sz w:val="28"/>
      <w:szCs w:val="20"/>
    </w:rPr>
  </w:style>
  <w:style w:type="paragraph" w:styleId="33">
    <w:name w:val="toc 9"/>
    <w:basedOn w:val="1"/>
    <w:next w:val="1"/>
    <w:qFormat/>
    <w:uiPriority w:val="0"/>
    <w:pPr>
      <w:ind w:left="3360" w:leftChars="1600"/>
    </w:pPr>
    <w:rPr>
      <w:rFonts w:ascii="Times New Roman" w:hAnsi="Times New Roman"/>
    </w:rPr>
  </w:style>
  <w:style w:type="paragraph" w:styleId="34">
    <w:name w:val="Normal (Web)"/>
    <w:basedOn w:val="1"/>
    <w:qFormat/>
    <w:uiPriority w:val="0"/>
    <w:pPr>
      <w:widowControl/>
      <w:spacing w:before="100" w:beforeAutospacing="1" w:after="100" w:afterAutospacing="1" w:line="320" w:lineRule="atLeast"/>
      <w:jc w:val="left"/>
    </w:pPr>
    <w:rPr>
      <w:rFonts w:ascii="宋体" w:hAnsi="宋体"/>
      <w:kern w:val="0"/>
      <w:sz w:val="18"/>
      <w:szCs w:val="18"/>
    </w:rPr>
  </w:style>
  <w:style w:type="paragraph" w:styleId="35">
    <w:name w:val="Title"/>
    <w:basedOn w:val="1"/>
    <w:next w:val="1"/>
    <w:link w:val="78"/>
    <w:qFormat/>
    <w:uiPriority w:val="0"/>
    <w:pPr>
      <w:spacing w:before="240" w:after="60"/>
      <w:jc w:val="center"/>
      <w:outlineLvl w:val="0"/>
    </w:pPr>
    <w:rPr>
      <w:rFonts w:ascii="Cambria" w:hAnsi="Cambria"/>
      <w:b/>
      <w:bCs/>
      <w:sz w:val="32"/>
      <w:szCs w:val="32"/>
    </w:rPr>
  </w:style>
  <w:style w:type="paragraph" w:styleId="36">
    <w:name w:val="annotation subject"/>
    <w:basedOn w:val="15"/>
    <w:next w:val="15"/>
    <w:link w:val="86"/>
    <w:qFormat/>
    <w:uiPriority w:val="0"/>
    <w:rPr>
      <w:rFonts w:ascii="宋体"/>
      <w:b/>
      <w:bCs/>
      <w:sz w:val="28"/>
    </w:rPr>
  </w:style>
  <w:style w:type="table" w:styleId="38">
    <w:name w:val="Table Grid"/>
    <w:basedOn w:val="3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qFormat/>
    <w:uiPriority w:val="0"/>
    <w:rPr>
      <w:rFonts w:ascii="Times New Roman" w:hAnsi="Times New Roman" w:eastAsia="宋体" w:cs="Times New Roman"/>
      <w:b/>
      <w:bCs/>
    </w:rPr>
  </w:style>
  <w:style w:type="character" w:styleId="41">
    <w:name w:val="page number"/>
    <w:qFormat/>
    <w:uiPriority w:val="0"/>
    <w:rPr>
      <w:rFonts w:ascii="Times New Roman" w:hAnsi="Times New Roman" w:eastAsia="宋体" w:cs="Times New Roman"/>
    </w:rPr>
  </w:style>
  <w:style w:type="character" w:styleId="42">
    <w:name w:val="FollowedHyperlink"/>
    <w:unhideWhenUsed/>
    <w:qFormat/>
    <w:uiPriority w:val="99"/>
    <w:rPr>
      <w:rFonts w:ascii="Times New Roman" w:hAnsi="Times New Roman" w:eastAsia="宋体" w:cs="Times New Roman"/>
      <w:color w:val="954F72"/>
      <w:u w:val="single"/>
    </w:rPr>
  </w:style>
  <w:style w:type="character" w:styleId="43">
    <w:name w:val="Emphasis"/>
    <w:qFormat/>
    <w:uiPriority w:val="0"/>
    <w:rPr>
      <w:rFonts w:ascii="Times New Roman" w:hAnsi="Times New Roman" w:eastAsia="宋体" w:cs="Times New Roman"/>
      <w:i/>
      <w:iCs/>
    </w:rPr>
  </w:style>
  <w:style w:type="character" w:styleId="44">
    <w:name w:val="Hyperlink"/>
    <w:qFormat/>
    <w:uiPriority w:val="99"/>
    <w:rPr>
      <w:rFonts w:ascii="Times New Roman" w:hAnsi="Times New Roman" w:eastAsia="宋体" w:cs="Times New Roman"/>
      <w:color w:val="0000FF"/>
      <w:u w:val="single"/>
    </w:rPr>
  </w:style>
  <w:style w:type="character" w:styleId="45">
    <w:name w:val="annotation reference"/>
    <w:qFormat/>
    <w:uiPriority w:val="99"/>
    <w:rPr>
      <w:rFonts w:ascii="Times New Roman" w:hAnsi="Times New Roman" w:eastAsia="宋体" w:cs="Times New Roman"/>
      <w:sz w:val="21"/>
      <w:szCs w:val="21"/>
    </w:rPr>
  </w:style>
  <w:style w:type="character" w:customStyle="1" w:styleId="46">
    <w:name w:val="页眉 字符"/>
    <w:link w:val="25"/>
    <w:qFormat/>
    <w:uiPriority w:val="0"/>
    <w:rPr>
      <w:rFonts w:ascii="Times New Roman" w:hAnsi="Times New Roman" w:eastAsia="宋体" w:cs="Times New Roman"/>
      <w:kern w:val="2"/>
      <w:sz w:val="18"/>
      <w:szCs w:val="18"/>
    </w:rPr>
  </w:style>
  <w:style w:type="character" w:customStyle="1" w:styleId="47">
    <w:name w:val="段 字符"/>
    <w:link w:val="48"/>
    <w:qFormat/>
    <w:uiPriority w:val="0"/>
    <w:rPr>
      <w:rFonts w:ascii="宋体" w:hAnsi="Times New Roman" w:eastAsia="宋体" w:cs="Times New Roman"/>
      <w:color w:val="000000"/>
      <w:sz w:val="21"/>
    </w:rPr>
  </w:style>
  <w:style w:type="paragraph" w:customStyle="1" w:styleId="48">
    <w:name w:val="段"/>
    <w:basedOn w:val="1"/>
    <w:link w:val="47"/>
    <w:qFormat/>
    <w:uiPriority w:val="0"/>
    <w:pPr>
      <w:widowControl/>
      <w:tabs>
        <w:tab w:val="center" w:pos="4201"/>
        <w:tab w:val="right" w:leader="dot" w:pos="9298"/>
      </w:tabs>
      <w:autoSpaceDE w:val="0"/>
      <w:autoSpaceDN w:val="0"/>
      <w:adjustRightInd w:val="0"/>
      <w:snapToGrid w:val="0"/>
      <w:spacing w:line="360" w:lineRule="auto"/>
      <w:ind w:firstLine="420" w:firstLineChars="200"/>
    </w:pPr>
    <w:rPr>
      <w:rFonts w:ascii="宋体" w:hAnsi="Times New Roman"/>
      <w:color w:val="000000"/>
      <w:kern w:val="0"/>
      <w:szCs w:val="20"/>
    </w:rPr>
  </w:style>
  <w:style w:type="character" w:customStyle="1" w:styleId="49">
    <w:name w:val="不明显强调1"/>
    <w:qFormat/>
    <w:uiPriority w:val="0"/>
    <w:rPr>
      <w:rFonts w:ascii="Times New Roman" w:hAnsi="Times New Roman" w:eastAsia="宋体" w:cs="Times New Roman"/>
      <w:i/>
      <w:iCs/>
      <w:color w:val="808080"/>
    </w:rPr>
  </w:style>
  <w:style w:type="character" w:customStyle="1" w:styleId="50">
    <w:name w:val="日期 字符"/>
    <w:link w:val="21"/>
    <w:qFormat/>
    <w:uiPriority w:val="0"/>
    <w:rPr>
      <w:rFonts w:ascii="宋体" w:hAnsi="Times New Roman" w:eastAsia="宋体" w:cs="Times New Roman"/>
      <w:sz w:val="28"/>
    </w:rPr>
  </w:style>
  <w:style w:type="character" w:customStyle="1" w:styleId="51">
    <w:name w:val="样式1-正文 Char"/>
    <w:link w:val="52"/>
    <w:qFormat/>
    <w:uiPriority w:val="0"/>
    <w:rPr>
      <w:rFonts w:ascii="Times New Roman" w:hAnsi="Times New Roman" w:eastAsia="仿宋_GB2312" w:cs="Times New Roman"/>
      <w:color w:val="000000"/>
      <w:sz w:val="21"/>
      <w:szCs w:val="32"/>
    </w:rPr>
  </w:style>
  <w:style w:type="paragraph" w:customStyle="1" w:styleId="52">
    <w:name w:val="样式1-正文"/>
    <w:basedOn w:val="1"/>
    <w:link w:val="51"/>
    <w:qFormat/>
    <w:uiPriority w:val="0"/>
    <w:pPr>
      <w:autoSpaceDE w:val="0"/>
      <w:autoSpaceDN w:val="0"/>
      <w:adjustRightInd w:val="0"/>
      <w:spacing w:line="360" w:lineRule="auto"/>
      <w:ind w:firstLine="600" w:firstLineChars="200"/>
      <w:jc w:val="left"/>
    </w:pPr>
    <w:rPr>
      <w:rFonts w:ascii="Times New Roman" w:hAnsi="Times New Roman" w:eastAsia="仿宋_GB2312"/>
      <w:color w:val="000000"/>
      <w:kern w:val="0"/>
      <w:szCs w:val="32"/>
    </w:rPr>
  </w:style>
  <w:style w:type="character" w:customStyle="1" w:styleId="53">
    <w:name w:val="textcontents"/>
    <w:qFormat/>
    <w:uiPriority w:val="0"/>
    <w:rPr>
      <w:rFonts w:ascii="Times New Roman" w:hAnsi="Times New Roman" w:eastAsia="宋体" w:cs="Times New Roman"/>
    </w:rPr>
  </w:style>
  <w:style w:type="character" w:customStyle="1" w:styleId="54">
    <w:name w:val="标题 2 字符"/>
    <w:link w:val="3"/>
    <w:qFormat/>
    <w:uiPriority w:val="0"/>
    <w:rPr>
      <w:rFonts w:ascii="Cambria" w:hAnsi="Cambria" w:eastAsia="宋体" w:cs="Times New Roman"/>
      <w:b/>
      <w:bCs/>
      <w:kern w:val="2"/>
      <w:sz w:val="32"/>
      <w:szCs w:val="32"/>
    </w:rPr>
  </w:style>
  <w:style w:type="character" w:customStyle="1" w:styleId="55">
    <w:name w:val="文档结构图 字符"/>
    <w:link w:val="14"/>
    <w:qFormat/>
    <w:uiPriority w:val="0"/>
    <w:rPr>
      <w:rFonts w:ascii="Times New Roman" w:hAnsi="Times New Roman" w:eastAsia="宋体" w:cs="Times New Roman"/>
      <w:szCs w:val="24"/>
      <w:shd w:val="clear" w:color="auto" w:fill="000080"/>
    </w:rPr>
  </w:style>
  <w:style w:type="character" w:customStyle="1" w:styleId="56">
    <w:name w:val="文档结构图 Char1"/>
    <w:qFormat/>
    <w:uiPriority w:val="0"/>
    <w:rPr>
      <w:rFonts w:ascii="宋体" w:hAnsi="Times New Roman" w:eastAsia="宋体" w:cs="Times New Roman"/>
      <w:kern w:val="2"/>
      <w:sz w:val="18"/>
      <w:szCs w:val="18"/>
    </w:rPr>
  </w:style>
  <w:style w:type="character" w:customStyle="1" w:styleId="57">
    <w:name w:val="标题5 Char Char"/>
    <w:link w:val="58"/>
    <w:qFormat/>
    <w:uiPriority w:val="0"/>
    <w:rPr>
      <w:rFonts w:ascii="Arial" w:hAnsi="Arial" w:eastAsia="宋体" w:cs="Times New Roman"/>
      <w:b/>
      <w:bCs/>
      <w:sz w:val="24"/>
      <w:szCs w:val="32"/>
    </w:rPr>
  </w:style>
  <w:style w:type="paragraph" w:customStyle="1" w:styleId="58">
    <w:name w:val="标题5"/>
    <w:basedOn w:val="4"/>
    <w:link w:val="57"/>
    <w:qFormat/>
    <w:uiPriority w:val="0"/>
    <w:rPr>
      <w:rFonts w:ascii="Arial" w:hAnsi="Arial"/>
      <w:b w:val="0"/>
      <w:bCs w:val="0"/>
      <w:sz w:val="24"/>
    </w:rPr>
  </w:style>
  <w:style w:type="character" w:customStyle="1" w:styleId="59">
    <w:name w:val="不明显参考1"/>
    <w:qFormat/>
    <w:uiPriority w:val="0"/>
    <w:rPr>
      <w:rFonts w:ascii="Times New Roman" w:hAnsi="Times New Roman" w:eastAsia="宋体" w:cs="Times New Roman"/>
      <w:smallCaps/>
      <w:color w:val="C0504D"/>
      <w:u w:val="single"/>
    </w:rPr>
  </w:style>
  <w:style w:type="character" w:customStyle="1" w:styleId="60">
    <w:name w:val="标题4 Char Char"/>
    <w:link w:val="61"/>
    <w:qFormat/>
    <w:uiPriority w:val="0"/>
    <w:rPr>
      <w:rFonts w:ascii="Arial" w:hAnsi="Arial" w:eastAsia="宋体" w:cs="Times New Roman"/>
      <w:b/>
      <w:bCs/>
      <w:sz w:val="24"/>
      <w:szCs w:val="32"/>
    </w:rPr>
  </w:style>
  <w:style w:type="paragraph" w:customStyle="1" w:styleId="61">
    <w:name w:val="标题4"/>
    <w:basedOn w:val="3"/>
    <w:next w:val="17"/>
    <w:link w:val="60"/>
    <w:qFormat/>
    <w:uiPriority w:val="0"/>
    <w:rPr>
      <w:rFonts w:ascii="Arial" w:hAnsi="Arial"/>
      <w:b w:val="0"/>
      <w:bCs w:val="0"/>
      <w:sz w:val="24"/>
    </w:rPr>
  </w:style>
  <w:style w:type="character" w:customStyle="1" w:styleId="62">
    <w:name w:val="明显强调1"/>
    <w:qFormat/>
    <w:uiPriority w:val="0"/>
    <w:rPr>
      <w:rFonts w:ascii="Times New Roman" w:hAnsi="Times New Roman" w:eastAsia="宋体" w:cs="Times New Roman"/>
      <w:b/>
      <w:bCs/>
      <w:i/>
      <w:iCs/>
      <w:color w:val="4F81BD"/>
    </w:rPr>
  </w:style>
  <w:style w:type="character" w:customStyle="1" w:styleId="63">
    <w:name w:val="标题 6 字符"/>
    <w:link w:val="7"/>
    <w:qFormat/>
    <w:uiPriority w:val="0"/>
    <w:rPr>
      <w:rFonts w:ascii="Cambria" w:hAnsi="Cambria" w:eastAsia="宋体" w:cs="Times New Roman"/>
      <w:b/>
      <w:bCs/>
      <w:kern w:val="2"/>
      <w:sz w:val="24"/>
      <w:szCs w:val="24"/>
    </w:rPr>
  </w:style>
  <w:style w:type="character" w:customStyle="1" w:styleId="64">
    <w:name w:val="标题 4 字符"/>
    <w:link w:val="5"/>
    <w:qFormat/>
    <w:uiPriority w:val="0"/>
    <w:rPr>
      <w:rFonts w:ascii="Cambria" w:hAnsi="Cambria" w:eastAsia="宋体" w:cs="Times New Roman"/>
      <w:b/>
      <w:bCs/>
      <w:kern w:val="2"/>
      <w:sz w:val="28"/>
      <w:szCs w:val="28"/>
    </w:rPr>
  </w:style>
  <w:style w:type="character" w:customStyle="1" w:styleId="65">
    <w:name w:val="引用 字符"/>
    <w:link w:val="66"/>
    <w:qFormat/>
    <w:uiPriority w:val="0"/>
    <w:rPr>
      <w:rFonts w:ascii="Times New Roman" w:hAnsi="Times New Roman" w:eastAsia="宋体" w:cs="Times New Roman"/>
      <w:i/>
      <w:iCs/>
      <w:color w:val="000000"/>
      <w:kern w:val="2"/>
      <w:sz w:val="21"/>
      <w:szCs w:val="22"/>
    </w:rPr>
  </w:style>
  <w:style w:type="paragraph" w:styleId="66">
    <w:name w:val="Quote"/>
    <w:basedOn w:val="1"/>
    <w:next w:val="1"/>
    <w:link w:val="65"/>
    <w:qFormat/>
    <w:uiPriority w:val="0"/>
    <w:rPr>
      <w:rFonts w:ascii="Times New Roman" w:hAnsi="Times New Roman"/>
      <w:i/>
      <w:iCs/>
      <w:color w:val="000000"/>
    </w:rPr>
  </w:style>
  <w:style w:type="character" w:customStyle="1" w:styleId="67">
    <w:name w:val="样式2-标题1 Char"/>
    <w:link w:val="68"/>
    <w:qFormat/>
    <w:uiPriority w:val="0"/>
    <w:rPr>
      <w:rFonts w:ascii="华文中宋" w:hAnsi="华文中宋" w:eastAsia="华文中宋" w:cs="Times New Roman"/>
      <w:b/>
      <w:bCs/>
      <w:kern w:val="2"/>
      <w:sz w:val="36"/>
      <w:szCs w:val="44"/>
    </w:rPr>
  </w:style>
  <w:style w:type="paragraph" w:customStyle="1" w:styleId="68">
    <w:name w:val="样式2-标题1"/>
    <w:basedOn w:val="4"/>
    <w:link w:val="67"/>
    <w:qFormat/>
    <w:uiPriority w:val="0"/>
    <w:pPr>
      <w:jc w:val="center"/>
      <w:outlineLvl w:val="0"/>
    </w:pPr>
    <w:rPr>
      <w:rFonts w:ascii="华文中宋" w:hAnsi="华文中宋" w:eastAsia="华文中宋"/>
      <w:sz w:val="36"/>
      <w:szCs w:val="44"/>
    </w:rPr>
  </w:style>
  <w:style w:type="character" w:customStyle="1" w:styleId="69">
    <w:name w:val="批注框文本 字符"/>
    <w:link w:val="23"/>
    <w:qFormat/>
    <w:uiPriority w:val="0"/>
    <w:rPr>
      <w:rFonts w:ascii="宋体" w:hAnsi="Times New Roman" w:eastAsia="宋体" w:cs="Times New Roman"/>
      <w:sz w:val="18"/>
      <w:szCs w:val="18"/>
    </w:rPr>
  </w:style>
  <w:style w:type="character" w:customStyle="1" w:styleId="70">
    <w:name w:val="正文文本 字符"/>
    <w:link w:val="16"/>
    <w:qFormat/>
    <w:uiPriority w:val="0"/>
    <w:rPr>
      <w:rFonts w:ascii="Times New Roman" w:hAnsi="Times New Roman" w:eastAsia="宋体" w:cs="Times New Roman"/>
    </w:rPr>
  </w:style>
  <w:style w:type="character" w:customStyle="1" w:styleId="71">
    <w:name w:val="明显参考1"/>
    <w:qFormat/>
    <w:uiPriority w:val="0"/>
    <w:rPr>
      <w:rFonts w:ascii="Times New Roman" w:hAnsi="Times New Roman" w:eastAsia="宋体" w:cs="Times New Roman"/>
      <w:b/>
      <w:bCs/>
      <w:smallCaps/>
      <w:color w:val="C0504D"/>
      <w:spacing w:val="5"/>
      <w:u w:val="single"/>
    </w:rPr>
  </w:style>
  <w:style w:type="character" w:customStyle="1" w:styleId="72">
    <w:name w:val="样式3-标题2 Char"/>
    <w:link w:val="73"/>
    <w:qFormat/>
    <w:uiPriority w:val="0"/>
    <w:rPr>
      <w:rFonts w:ascii="Times New Roman" w:hAnsi="Times New Roman" w:eastAsia="黑体" w:cs="Times New Roman"/>
      <w:bCs/>
      <w:color w:val="000000"/>
      <w:kern w:val="2"/>
      <w:sz w:val="30"/>
      <w:szCs w:val="32"/>
    </w:rPr>
  </w:style>
  <w:style w:type="paragraph" w:customStyle="1" w:styleId="73">
    <w:name w:val="样式3-标题2"/>
    <w:basedOn w:val="5"/>
    <w:link w:val="72"/>
    <w:qFormat/>
    <w:uiPriority w:val="0"/>
    <w:pPr>
      <w:spacing w:before="120" w:after="120" w:line="360" w:lineRule="auto"/>
      <w:outlineLvl w:val="1"/>
    </w:pPr>
    <w:rPr>
      <w:rFonts w:ascii="Times New Roman" w:hAnsi="Times New Roman" w:eastAsia="黑体"/>
      <w:b w:val="0"/>
      <w:color w:val="000000"/>
      <w:sz w:val="30"/>
      <w:szCs w:val="32"/>
    </w:rPr>
  </w:style>
  <w:style w:type="character" w:customStyle="1" w:styleId="74">
    <w:name w:val="样式5-标题4 Char"/>
    <w:link w:val="75"/>
    <w:qFormat/>
    <w:uiPriority w:val="0"/>
    <w:rPr>
      <w:rFonts w:ascii="Times New Roman" w:hAnsi="Times New Roman" w:eastAsia="仿宋_GB2312" w:cs="Times New Roman"/>
      <w:b/>
      <w:color w:val="000000"/>
      <w:sz w:val="21"/>
      <w:szCs w:val="32"/>
    </w:rPr>
  </w:style>
  <w:style w:type="paragraph" w:customStyle="1" w:styleId="75">
    <w:name w:val="样式5-标题4"/>
    <w:basedOn w:val="52"/>
    <w:link w:val="74"/>
    <w:qFormat/>
    <w:uiPriority w:val="0"/>
    <w:pPr>
      <w:ind w:firstLine="200"/>
      <w:outlineLvl w:val="3"/>
    </w:pPr>
    <w:rPr>
      <w:rFonts w:eastAsia="宋体"/>
      <w:b/>
    </w:rPr>
  </w:style>
  <w:style w:type="character" w:customStyle="1" w:styleId="76">
    <w:name w:val="样式4-标题3 Char"/>
    <w:link w:val="77"/>
    <w:qFormat/>
    <w:uiPriority w:val="0"/>
    <w:rPr>
      <w:rFonts w:ascii="Times New Roman" w:hAnsi="Times New Roman" w:eastAsia="黑体" w:cs="Times New Roman"/>
      <w:bCs/>
      <w:color w:val="000000"/>
      <w:kern w:val="2"/>
      <w:sz w:val="24"/>
      <w:szCs w:val="32"/>
    </w:rPr>
  </w:style>
  <w:style w:type="paragraph" w:customStyle="1" w:styleId="77">
    <w:name w:val="样式4-标题3"/>
    <w:basedOn w:val="6"/>
    <w:link w:val="76"/>
    <w:qFormat/>
    <w:uiPriority w:val="0"/>
    <w:pPr>
      <w:spacing w:before="120" w:after="120" w:line="360" w:lineRule="auto"/>
      <w:ind w:firstLine="200" w:firstLineChars="200"/>
      <w:outlineLvl w:val="2"/>
    </w:pPr>
    <w:rPr>
      <w:rFonts w:eastAsia="黑体"/>
      <w:b w:val="0"/>
      <w:color w:val="000000"/>
      <w:sz w:val="24"/>
      <w:szCs w:val="32"/>
    </w:rPr>
  </w:style>
  <w:style w:type="character" w:customStyle="1" w:styleId="78">
    <w:name w:val="标题 字符"/>
    <w:link w:val="35"/>
    <w:qFormat/>
    <w:uiPriority w:val="0"/>
    <w:rPr>
      <w:rFonts w:ascii="Cambria" w:hAnsi="Cambria" w:eastAsia="宋体" w:cs="Times New Roman"/>
      <w:b/>
      <w:bCs/>
      <w:kern w:val="2"/>
      <w:sz w:val="32"/>
      <w:szCs w:val="32"/>
    </w:rPr>
  </w:style>
  <w:style w:type="character" w:customStyle="1" w:styleId="79">
    <w:name w:val="表格文字"/>
    <w:qFormat/>
    <w:uiPriority w:val="0"/>
    <w:rPr>
      <w:rFonts w:ascii="宋体" w:hAnsi="Times New Roman" w:eastAsia="宋体" w:cs="Times New Roman"/>
      <w:sz w:val="18"/>
    </w:rPr>
  </w:style>
  <w:style w:type="character" w:customStyle="1" w:styleId="80">
    <w:name w:val="副标题 字符"/>
    <w:link w:val="28"/>
    <w:qFormat/>
    <w:uiPriority w:val="0"/>
    <w:rPr>
      <w:rFonts w:ascii="Cambria" w:hAnsi="Cambria" w:eastAsia="宋体" w:cs="Times New Roman"/>
      <w:b/>
      <w:bCs/>
      <w:kern w:val="28"/>
      <w:sz w:val="32"/>
      <w:szCs w:val="32"/>
    </w:rPr>
  </w:style>
  <w:style w:type="character" w:customStyle="1" w:styleId="81">
    <w:name w:val="批注文字 字符"/>
    <w:link w:val="15"/>
    <w:qFormat/>
    <w:uiPriority w:val="0"/>
    <w:rPr>
      <w:rFonts w:ascii="Times New Roman" w:hAnsi="Times New Roman" w:eastAsia="宋体" w:cs="Times New Roman"/>
      <w:kern w:val="2"/>
      <w:sz w:val="21"/>
      <w:szCs w:val="22"/>
    </w:rPr>
  </w:style>
  <w:style w:type="character" w:customStyle="1" w:styleId="82">
    <w:name w:val="正文哈哈 Char"/>
    <w:link w:val="83"/>
    <w:qFormat/>
    <w:uiPriority w:val="0"/>
    <w:rPr>
      <w:rFonts w:ascii="宋体" w:hAnsi="宋体" w:eastAsia="楷体_GB2312" w:cs="Times New Roman"/>
      <w:bCs/>
      <w:sz w:val="21"/>
      <w:szCs w:val="28"/>
    </w:rPr>
  </w:style>
  <w:style w:type="paragraph" w:customStyle="1" w:styleId="83">
    <w:name w:val="正文哈哈"/>
    <w:basedOn w:val="1"/>
    <w:link w:val="82"/>
    <w:qFormat/>
    <w:uiPriority w:val="0"/>
    <w:pPr>
      <w:numPr>
        <w:ilvl w:val="0"/>
        <w:numId w:val="1"/>
      </w:numPr>
      <w:adjustRightInd w:val="0"/>
      <w:snapToGrid w:val="0"/>
      <w:spacing w:line="360" w:lineRule="auto"/>
      <w:jc w:val="left"/>
    </w:pPr>
    <w:rPr>
      <w:rFonts w:ascii="宋体" w:hAnsi="宋体" w:eastAsia="楷体_GB2312"/>
      <w:bCs/>
      <w:kern w:val="0"/>
      <w:szCs w:val="28"/>
    </w:rPr>
  </w:style>
  <w:style w:type="character" w:customStyle="1" w:styleId="84">
    <w:name w:val="标题 5 字符"/>
    <w:link w:val="6"/>
    <w:qFormat/>
    <w:uiPriority w:val="0"/>
    <w:rPr>
      <w:rFonts w:ascii="Times New Roman" w:hAnsi="Times New Roman" w:eastAsia="宋体" w:cs="Times New Roman"/>
      <w:b/>
      <w:bCs/>
      <w:kern w:val="2"/>
      <w:sz w:val="28"/>
      <w:szCs w:val="28"/>
    </w:rPr>
  </w:style>
  <w:style w:type="character" w:customStyle="1" w:styleId="85">
    <w:name w:val="书籍标题1"/>
    <w:qFormat/>
    <w:uiPriority w:val="0"/>
    <w:rPr>
      <w:rFonts w:ascii="Times New Roman" w:hAnsi="Times New Roman" w:eastAsia="宋体" w:cs="Times New Roman"/>
      <w:b/>
      <w:bCs/>
      <w:smallCaps/>
      <w:spacing w:val="5"/>
    </w:rPr>
  </w:style>
  <w:style w:type="character" w:customStyle="1" w:styleId="86">
    <w:name w:val="批注主题 字符"/>
    <w:link w:val="36"/>
    <w:qFormat/>
    <w:uiPriority w:val="0"/>
    <w:rPr>
      <w:rFonts w:ascii="宋体" w:hAnsi="Times New Roman" w:eastAsia="宋体" w:cs="Times New Roman"/>
      <w:b/>
      <w:bCs/>
      <w:sz w:val="28"/>
    </w:rPr>
  </w:style>
  <w:style w:type="character" w:customStyle="1" w:styleId="87">
    <w:name w:val="标题 9 字符"/>
    <w:link w:val="10"/>
    <w:qFormat/>
    <w:uiPriority w:val="0"/>
    <w:rPr>
      <w:rFonts w:ascii="Cambria" w:hAnsi="Cambria" w:eastAsia="宋体" w:cs="Times New Roman"/>
      <w:kern w:val="2"/>
      <w:sz w:val="21"/>
      <w:szCs w:val="21"/>
    </w:rPr>
  </w:style>
  <w:style w:type="character" w:customStyle="1" w:styleId="88">
    <w:name w:val="二级标题 Char"/>
    <w:link w:val="89"/>
    <w:qFormat/>
    <w:uiPriority w:val="0"/>
    <w:rPr>
      <w:rFonts w:ascii="楷体" w:hAnsi="楷体" w:eastAsia="楷体" w:cs="Times New Roman"/>
      <w:b/>
      <w:bCs/>
      <w:kern w:val="2"/>
      <w:sz w:val="24"/>
      <w:szCs w:val="24"/>
    </w:rPr>
  </w:style>
  <w:style w:type="paragraph" w:customStyle="1" w:styleId="89">
    <w:name w:val="二级标题"/>
    <w:basedOn w:val="4"/>
    <w:link w:val="88"/>
    <w:qFormat/>
    <w:uiPriority w:val="0"/>
    <w:pPr>
      <w:adjustRightInd w:val="0"/>
      <w:snapToGrid w:val="0"/>
      <w:spacing w:before="0" w:after="0" w:line="360" w:lineRule="auto"/>
      <w:jc w:val="left"/>
    </w:pPr>
    <w:rPr>
      <w:rFonts w:ascii="楷体" w:hAnsi="楷体" w:eastAsia="楷体"/>
      <w:sz w:val="24"/>
      <w:szCs w:val="24"/>
    </w:rPr>
  </w:style>
  <w:style w:type="character" w:customStyle="1" w:styleId="90">
    <w:name w:val="批注文字 Char Char"/>
    <w:qFormat/>
    <w:uiPriority w:val="0"/>
    <w:rPr>
      <w:rFonts w:ascii="宋体" w:hAnsi="Times New Roman" w:eastAsia="宋体" w:cs="Times New Roman"/>
      <w:sz w:val="28"/>
      <w:szCs w:val="20"/>
    </w:rPr>
  </w:style>
  <w:style w:type="character" w:customStyle="1" w:styleId="91">
    <w:name w:val="正文文本 Char1"/>
    <w:qFormat/>
    <w:uiPriority w:val="0"/>
    <w:rPr>
      <w:rFonts w:ascii="Times New Roman" w:hAnsi="Times New Roman" w:eastAsia="宋体" w:cs="Times New Roman"/>
      <w:kern w:val="2"/>
      <w:sz w:val="21"/>
      <w:szCs w:val="22"/>
    </w:rPr>
  </w:style>
  <w:style w:type="character" w:customStyle="1" w:styleId="92">
    <w:name w:val="标题 7 字符"/>
    <w:link w:val="8"/>
    <w:qFormat/>
    <w:uiPriority w:val="0"/>
    <w:rPr>
      <w:rFonts w:ascii="Times New Roman" w:hAnsi="Times New Roman" w:eastAsia="宋体" w:cs="Times New Roman"/>
      <w:b/>
      <w:bCs/>
      <w:kern w:val="2"/>
      <w:sz w:val="24"/>
      <w:szCs w:val="24"/>
    </w:rPr>
  </w:style>
  <w:style w:type="character" w:customStyle="1" w:styleId="93">
    <w:name w:val="批注框文本 Char1"/>
    <w:qFormat/>
    <w:uiPriority w:val="0"/>
    <w:rPr>
      <w:rFonts w:ascii="Times New Roman" w:hAnsi="Times New Roman" w:eastAsia="宋体" w:cs="Times New Roman"/>
      <w:kern w:val="2"/>
      <w:sz w:val="18"/>
      <w:szCs w:val="18"/>
    </w:rPr>
  </w:style>
  <w:style w:type="character" w:customStyle="1" w:styleId="94">
    <w:name w:val="标题 8 字符"/>
    <w:link w:val="9"/>
    <w:qFormat/>
    <w:uiPriority w:val="0"/>
    <w:rPr>
      <w:rFonts w:ascii="Cambria" w:hAnsi="Cambria" w:eastAsia="宋体" w:cs="Times New Roman"/>
      <w:kern w:val="2"/>
      <w:sz w:val="24"/>
      <w:szCs w:val="24"/>
    </w:rPr>
  </w:style>
  <w:style w:type="character" w:customStyle="1" w:styleId="95">
    <w:name w:val="正文文本缩进 2 字符"/>
    <w:link w:val="22"/>
    <w:qFormat/>
    <w:uiPriority w:val="0"/>
    <w:rPr>
      <w:rFonts w:ascii="Times New Roman" w:hAnsi="Times New Roman" w:eastAsia="宋体" w:cs="Times New Roman"/>
      <w:kern w:val="2"/>
      <w:sz w:val="24"/>
    </w:rPr>
  </w:style>
  <w:style w:type="character" w:customStyle="1" w:styleId="96">
    <w:name w:val="页脚 字符"/>
    <w:link w:val="24"/>
    <w:qFormat/>
    <w:uiPriority w:val="99"/>
    <w:rPr>
      <w:rFonts w:ascii="Times New Roman" w:hAnsi="Times New Roman" w:eastAsia="宋体" w:cs="Times New Roman"/>
      <w:kern w:val="2"/>
      <w:sz w:val="18"/>
      <w:szCs w:val="18"/>
    </w:rPr>
  </w:style>
  <w:style w:type="character" w:customStyle="1" w:styleId="97">
    <w:name w:val="日期 Char1"/>
    <w:qFormat/>
    <w:uiPriority w:val="0"/>
    <w:rPr>
      <w:rFonts w:ascii="Times New Roman" w:hAnsi="Times New Roman" w:eastAsia="宋体" w:cs="Times New Roman"/>
      <w:kern w:val="2"/>
      <w:sz w:val="21"/>
      <w:szCs w:val="22"/>
    </w:rPr>
  </w:style>
  <w:style w:type="character" w:customStyle="1" w:styleId="98">
    <w:name w:val="标题 3 字符"/>
    <w:link w:val="4"/>
    <w:qFormat/>
    <w:uiPriority w:val="0"/>
    <w:rPr>
      <w:rFonts w:ascii="Times New Roman" w:hAnsi="Times New Roman" w:eastAsia="宋体" w:cs="Times New Roman"/>
      <w:b/>
      <w:bCs/>
      <w:kern w:val="2"/>
      <w:sz w:val="32"/>
      <w:szCs w:val="32"/>
    </w:rPr>
  </w:style>
  <w:style w:type="character" w:customStyle="1" w:styleId="99">
    <w:name w:val="明显引用 字符"/>
    <w:link w:val="100"/>
    <w:qFormat/>
    <w:uiPriority w:val="0"/>
    <w:rPr>
      <w:rFonts w:ascii="Times New Roman" w:hAnsi="Times New Roman" w:eastAsia="宋体" w:cs="Times New Roman"/>
      <w:b/>
      <w:bCs/>
      <w:i/>
      <w:iCs/>
      <w:color w:val="4F81BD"/>
      <w:kern w:val="2"/>
      <w:sz w:val="21"/>
      <w:szCs w:val="22"/>
    </w:rPr>
  </w:style>
  <w:style w:type="paragraph" w:styleId="100">
    <w:name w:val="Intense Quote"/>
    <w:basedOn w:val="1"/>
    <w:next w:val="1"/>
    <w:link w:val="99"/>
    <w:qFormat/>
    <w:uiPriority w:val="0"/>
    <w:pPr>
      <w:pBdr>
        <w:bottom w:val="single" w:color="4F81BD" w:sz="4" w:space="4"/>
      </w:pBdr>
      <w:spacing w:before="200" w:after="280"/>
      <w:ind w:left="936" w:right="936"/>
    </w:pPr>
    <w:rPr>
      <w:rFonts w:ascii="Times New Roman" w:hAnsi="Times New Roman"/>
      <w:b/>
      <w:bCs/>
      <w:i/>
      <w:iCs/>
      <w:color w:val="4F81BD"/>
    </w:rPr>
  </w:style>
  <w:style w:type="character" w:customStyle="1" w:styleId="101">
    <w:name w:val="批注主题 Char1"/>
    <w:qFormat/>
    <w:uiPriority w:val="0"/>
    <w:rPr>
      <w:rFonts w:ascii="Times New Roman" w:hAnsi="Times New Roman" w:eastAsia="宋体" w:cs="Times New Roman"/>
      <w:b/>
      <w:bCs/>
      <w:kern w:val="2"/>
      <w:sz w:val="21"/>
      <w:szCs w:val="22"/>
    </w:rPr>
  </w:style>
  <w:style w:type="character" w:customStyle="1" w:styleId="102">
    <w:name w:val="标题 1 字符"/>
    <w:link w:val="2"/>
    <w:qFormat/>
    <w:uiPriority w:val="0"/>
    <w:rPr>
      <w:rFonts w:ascii="Times New Roman" w:hAnsi="Times New Roman" w:eastAsia="宋体" w:cs="Times New Roman"/>
      <w:b/>
      <w:bCs/>
      <w:kern w:val="44"/>
      <w:sz w:val="44"/>
      <w:szCs w:val="44"/>
    </w:rPr>
  </w:style>
  <w:style w:type="paragraph" w:customStyle="1" w:styleId="103">
    <w:name w:val="样式 标题 3 + (中文) 黑体 小四 非加粗 段前: 7.8 磅 段后: 0 磅 行距: 固定值 20 磅"/>
    <w:basedOn w:val="4"/>
    <w:qFormat/>
    <w:uiPriority w:val="0"/>
    <w:pPr>
      <w:spacing w:before="0" w:after="0" w:line="400" w:lineRule="exact"/>
    </w:pPr>
    <w:rPr>
      <w:rFonts w:eastAsia="黑体" w:cs="宋体"/>
      <w:b w:val="0"/>
      <w:bCs w:val="0"/>
      <w:sz w:val="24"/>
      <w:szCs w:val="20"/>
    </w:rPr>
  </w:style>
  <w:style w:type="paragraph" w:customStyle="1" w:styleId="104">
    <w:name w:val="列出段落12"/>
    <w:basedOn w:val="1"/>
    <w:qFormat/>
    <w:uiPriority w:val="0"/>
    <w:pPr>
      <w:ind w:firstLine="420" w:firstLineChars="200"/>
    </w:pPr>
    <w:rPr>
      <w:rFonts w:ascii="Times New Roman" w:hAnsi="Times New Roman"/>
    </w:rPr>
  </w:style>
  <w:style w:type="paragraph" w:customStyle="1" w:styleId="105">
    <w:name w:val="智慧工地--【条文说明】"/>
    <w:basedOn w:val="1"/>
    <w:next w:val="1"/>
    <w:qFormat/>
    <w:uiPriority w:val="0"/>
    <w:pPr>
      <w:spacing w:line="360" w:lineRule="auto"/>
    </w:pPr>
    <w:rPr>
      <w:rFonts w:ascii="Times New Roman" w:hAnsi="Times New Roman"/>
      <w:i/>
      <w:szCs w:val="24"/>
    </w:rPr>
  </w:style>
  <w:style w:type="paragraph" w:customStyle="1" w:styleId="106">
    <w:name w:val="1"/>
    <w:basedOn w:val="1"/>
    <w:next w:val="107"/>
    <w:qFormat/>
    <w:uiPriority w:val="0"/>
    <w:pPr>
      <w:spacing w:line="360" w:lineRule="auto"/>
      <w:ind w:firstLine="420" w:firstLineChars="200"/>
    </w:pPr>
    <w:rPr>
      <w:rFonts w:ascii="Times New Roman" w:hAnsi="Times New Roman"/>
      <w:szCs w:val="24"/>
    </w:rPr>
  </w:style>
  <w:style w:type="paragraph" w:styleId="107">
    <w:name w:val="List Paragraph"/>
    <w:basedOn w:val="1"/>
    <w:qFormat/>
    <w:uiPriority w:val="99"/>
    <w:pPr>
      <w:ind w:firstLine="420" w:firstLineChars="200"/>
    </w:pPr>
    <w:rPr>
      <w:rFonts w:ascii="Times New Roman" w:hAnsi="Times New Roman"/>
    </w:rPr>
  </w:style>
  <w:style w:type="paragraph" w:customStyle="1" w:styleId="108">
    <w:name w:val="空半行"/>
    <w:basedOn w:val="1"/>
    <w:qFormat/>
    <w:uiPriority w:val="0"/>
    <w:pPr>
      <w:adjustRightInd w:val="0"/>
      <w:spacing w:line="120" w:lineRule="exact"/>
      <w:textAlignment w:val="baseline"/>
    </w:pPr>
    <w:rPr>
      <w:rFonts w:ascii="Times New Roman" w:hAnsi="Times New Roman" w:eastAsia="仿宋_GB2312"/>
      <w:color w:val="FFFFFF"/>
      <w:kern w:val="0"/>
      <w:sz w:val="30"/>
      <w:szCs w:val="20"/>
    </w:rPr>
  </w:style>
  <w:style w:type="paragraph" w:customStyle="1" w:styleId="109">
    <w:name w:val="修订1"/>
    <w:qFormat/>
    <w:uiPriority w:val="0"/>
    <w:rPr>
      <w:rFonts w:ascii="Calibri" w:hAnsi="Calibri" w:eastAsia="宋体" w:cs="Times New Roman"/>
      <w:kern w:val="2"/>
      <w:sz w:val="21"/>
      <w:szCs w:val="24"/>
      <w:lang w:val="en-US" w:eastAsia="zh-CN" w:bidi="ar-SA"/>
    </w:rPr>
  </w:style>
  <w:style w:type="paragraph" w:customStyle="1" w:styleId="110">
    <w:name w:val="TOC 标题1"/>
    <w:basedOn w:val="2"/>
    <w:next w:val="1"/>
    <w:qFormat/>
    <w:uiPriority w:val="0"/>
    <w:pPr>
      <w:outlineLvl w:val="9"/>
    </w:pPr>
  </w:style>
  <w:style w:type="paragraph" w:customStyle="1" w:styleId="111">
    <w:name w:val="样式 标题 2 + Times New Roman 四号 非加粗 段前: 5 磅 段后: 0 磅 行距: 固定值 20..."/>
    <w:basedOn w:val="3"/>
    <w:qFormat/>
    <w:uiPriority w:val="0"/>
    <w:pPr>
      <w:spacing w:before="100" w:after="0" w:line="400" w:lineRule="exact"/>
    </w:pPr>
    <w:rPr>
      <w:rFonts w:ascii="Times New Roman" w:hAnsi="Times New Roman" w:eastAsia="黑体" w:cs="宋体"/>
      <w:b w:val="0"/>
      <w:bCs w:val="0"/>
      <w:kern w:val="0"/>
      <w:sz w:val="28"/>
      <w:szCs w:val="20"/>
    </w:rPr>
  </w:style>
  <w:style w:type="paragraph" w:styleId="112">
    <w:name w:val="No Spacing"/>
    <w:qFormat/>
    <w:uiPriority w:val="0"/>
    <w:pPr>
      <w:widowControl w:val="0"/>
      <w:jc w:val="both"/>
    </w:pPr>
    <w:rPr>
      <w:rFonts w:ascii="Calibri" w:hAnsi="Calibri" w:eastAsia="宋体" w:cs="Times New Roman"/>
      <w:kern w:val="2"/>
      <w:sz w:val="21"/>
      <w:szCs w:val="22"/>
      <w:lang w:val="en-US" w:eastAsia="zh-CN" w:bidi="ar-SA"/>
    </w:rPr>
  </w:style>
  <w:style w:type="paragraph" w:customStyle="1" w:styleId="113">
    <w:name w:val="Blockquote"/>
    <w:basedOn w:val="1"/>
    <w:qFormat/>
    <w:uiPriority w:val="0"/>
    <w:pPr>
      <w:autoSpaceDE w:val="0"/>
      <w:autoSpaceDN w:val="0"/>
      <w:adjustRightInd w:val="0"/>
      <w:spacing w:before="100" w:after="100"/>
      <w:ind w:left="360" w:right="360"/>
      <w:jc w:val="left"/>
    </w:pPr>
    <w:rPr>
      <w:kern w:val="0"/>
      <w:sz w:val="24"/>
      <w:szCs w:val="20"/>
    </w:rPr>
  </w:style>
  <w:style w:type="paragraph" w:customStyle="1" w:styleId="114">
    <w:name w:val="居中 ctrl+m"/>
    <w:basedOn w:val="1"/>
    <w:qFormat/>
    <w:uiPriority w:val="0"/>
    <w:pPr>
      <w:widowControl/>
      <w:adjustRightInd w:val="0"/>
      <w:snapToGrid w:val="0"/>
      <w:spacing w:line="360" w:lineRule="auto"/>
      <w:jc w:val="center"/>
    </w:pPr>
    <w:rPr>
      <w:rFonts w:ascii="宋体" w:cs="宋体"/>
      <w:szCs w:val="20"/>
    </w:rPr>
  </w:style>
  <w:style w:type="paragraph" w:customStyle="1" w:styleId="115">
    <w:name w:val="flNote"/>
    <w:basedOn w:val="1"/>
    <w:qFormat/>
    <w:uiPriority w:val="0"/>
    <w:pPr>
      <w:adjustRightInd w:val="0"/>
      <w:spacing w:before="320" w:after="160" w:line="360" w:lineRule="atLeast"/>
      <w:jc w:val="center"/>
      <w:textAlignment w:val="baseline"/>
    </w:pPr>
    <w:rPr>
      <w:rFonts w:ascii="Arial" w:hAnsi="Times New Roman" w:eastAsia="黑体"/>
      <w:kern w:val="0"/>
      <w:sz w:val="30"/>
      <w:szCs w:val="20"/>
    </w:rPr>
  </w:style>
  <w:style w:type="paragraph" w:customStyle="1" w:styleId="116">
    <w:name w:val="样式 正文缩进正文（首行缩进两字）正文（首行缩进两字） Char Char2正文（首行缩进两字） Char Char Ch..."/>
    <w:basedOn w:val="12"/>
    <w:qFormat/>
    <w:uiPriority w:val="0"/>
    <w:pPr>
      <w:snapToGrid w:val="0"/>
      <w:spacing w:line="480" w:lineRule="auto"/>
      <w:ind w:firstLine="437"/>
    </w:pPr>
    <w:rPr>
      <w:rFonts w:ascii="宋体" w:hAnsi="宋体"/>
    </w:rPr>
  </w:style>
  <w:style w:type="table" w:customStyle="1" w:styleId="117">
    <w:name w:val="网格型1"/>
    <w:basedOn w:val="3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8">
    <w:name w:val="正文文本缩进 3 字符"/>
    <w:basedOn w:val="39"/>
    <w:link w:val="30"/>
    <w:semiHidden/>
    <w:qFormat/>
    <w:uiPriority w:val="99"/>
    <w:rPr>
      <w:kern w:val="2"/>
      <w:sz w:val="16"/>
      <w:szCs w:val="16"/>
    </w:rPr>
  </w:style>
  <w:style w:type="paragraph" w:customStyle="1" w:styleId="119">
    <w:name w:val="font5"/>
    <w:basedOn w:val="1"/>
    <w:qFormat/>
    <w:uiPriority w:val="0"/>
    <w:pPr>
      <w:widowControl/>
      <w:spacing w:before="100" w:beforeAutospacing="1" w:after="100" w:afterAutospacing="1"/>
      <w:jc w:val="left"/>
    </w:pPr>
    <w:rPr>
      <w:rFonts w:ascii="宋体" w:hAnsi="宋体" w:cs="宋体"/>
      <w:b/>
      <w:bCs/>
      <w:kern w:val="0"/>
      <w:sz w:val="22"/>
    </w:rPr>
  </w:style>
  <w:style w:type="paragraph" w:customStyle="1" w:styleId="120">
    <w:name w:val="font6"/>
    <w:basedOn w:val="1"/>
    <w:qFormat/>
    <w:uiPriority w:val="0"/>
    <w:pPr>
      <w:widowControl/>
      <w:spacing w:before="100" w:beforeAutospacing="1" w:after="100" w:afterAutospacing="1"/>
      <w:jc w:val="left"/>
    </w:pPr>
    <w:rPr>
      <w:rFonts w:ascii="宋体" w:hAnsi="宋体" w:cs="宋体"/>
      <w:b/>
      <w:bCs/>
      <w:color w:val="FF0000"/>
      <w:kern w:val="0"/>
      <w:sz w:val="22"/>
    </w:rPr>
  </w:style>
  <w:style w:type="paragraph" w:customStyle="1" w:styleId="121">
    <w:name w:val="xl67"/>
    <w:basedOn w:val="1"/>
    <w:qFormat/>
    <w:uiPriority w:val="0"/>
    <w:pPr>
      <w:widowControl/>
      <w:spacing w:before="100" w:beforeAutospacing="1" w:after="100" w:afterAutospacing="1"/>
      <w:jc w:val="left"/>
    </w:pPr>
    <w:rPr>
      <w:rFonts w:ascii="宋体" w:hAnsi="宋体" w:cs="宋体"/>
      <w:color w:val="FF0000"/>
      <w:kern w:val="0"/>
      <w:sz w:val="24"/>
      <w:szCs w:val="24"/>
    </w:rPr>
  </w:style>
  <w:style w:type="paragraph" w:customStyle="1" w:styleId="122">
    <w:name w:val="xl68"/>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3">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24">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125">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26">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27">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28">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129">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18"/>
      <w:szCs w:val="18"/>
    </w:rPr>
  </w:style>
  <w:style w:type="paragraph" w:customStyle="1" w:styleId="130">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31">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132">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33">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134">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FFFF00"/>
      <w:kern w:val="0"/>
      <w:sz w:val="20"/>
      <w:szCs w:val="20"/>
    </w:rPr>
  </w:style>
  <w:style w:type="paragraph" w:customStyle="1" w:styleId="135">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136">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13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0"/>
      <w:szCs w:val="20"/>
    </w:rPr>
  </w:style>
  <w:style w:type="paragraph" w:customStyle="1" w:styleId="138">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39">
    <w:name w:val="xl85"/>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40">
    <w:name w:val="xl86"/>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41">
    <w:name w:val="xl8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142">
    <w:name w:val="修订2"/>
    <w:hidden/>
    <w:unhideWhenUsed/>
    <w:qFormat/>
    <w:uiPriority w:val="99"/>
    <w:rPr>
      <w:rFonts w:ascii="Calibri" w:hAnsi="Calibri" w:eastAsia="宋体" w:cs="Times New Roman"/>
      <w:kern w:val="2"/>
      <w:sz w:val="21"/>
      <w:szCs w:val="22"/>
      <w:lang w:val="en-US" w:eastAsia="zh-CN" w:bidi="ar-SA"/>
    </w:rPr>
  </w:style>
  <w:style w:type="paragraph" w:customStyle="1" w:styleId="143">
    <w:name w:val="修订3"/>
    <w:hidden/>
    <w:semiHidden/>
    <w:qFormat/>
    <w:uiPriority w:val="99"/>
    <w:rPr>
      <w:rFonts w:ascii="Calibri" w:hAnsi="Calibri" w:eastAsia="宋体" w:cs="Times New Roman"/>
      <w:kern w:val="2"/>
      <w:sz w:val="21"/>
      <w:szCs w:val="22"/>
      <w:lang w:val="en-US" w:eastAsia="zh-CN" w:bidi="ar-SA"/>
    </w:rPr>
  </w:style>
  <w:style w:type="paragraph" w:customStyle="1" w:styleId="144">
    <w:name w:val="修订4"/>
    <w:hidden/>
    <w:semiHidden/>
    <w:qFormat/>
    <w:uiPriority w:val="99"/>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1.xml"/><Relationship Id="rId96" Type="http://schemas.openxmlformats.org/officeDocument/2006/relationships/numbering" Target="numbering.xml"/><Relationship Id="rId95" Type="http://schemas.openxmlformats.org/officeDocument/2006/relationships/image" Target="media/image79.emf"/><Relationship Id="rId94" Type="http://schemas.openxmlformats.org/officeDocument/2006/relationships/image" Target="media/image78.emf"/><Relationship Id="rId93" Type="http://schemas.openxmlformats.org/officeDocument/2006/relationships/image" Target="media/image77.emf"/><Relationship Id="rId92" Type="http://schemas.openxmlformats.org/officeDocument/2006/relationships/image" Target="media/image76.emf"/><Relationship Id="rId91" Type="http://schemas.openxmlformats.org/officeDocument/2006/relationships/image" Target="media/image75.png"/><Relationship Id="rId90" Type="http://schemas.openxmlformats.org/officeDocument/2006/relationships/image" Target="media/image74.jpeg"/><Relationship Id="rId9" Type="http://schemas.openxmlformats.org/officeDocument/2006/relationships/footer" Target="footer5.xml"/><Relationship Id="rId89" Type="http://schemas.openxmlformats.org/officeDocument/2006/relationships/image" Target="media/image73.jpe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footer" Target="footer4.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jpeg"/><Relationship Id="rId75" Type="http://schemas.openxmlformats.org/officeDocument/2006/relationships/image" Target="media/image59.jpe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header" Target="header2.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header" Target="header1.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pn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jpe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jpe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jpeg"/><Relationship Id="rId37" Type="http://schemas.openxmlformats.org/officeDocument/2006/relationships/image" Target="media/image21.png"/><Relationship Id="rId36" Type="http://schemas.openxmlformats.org/officeDocument/2006/relationships/image" Target="media/image20.jpeg"/><Relationship Id="rId35" Type="http://schemas.openxmlformats.org/officeDocument/2006/relationships/image" Target="media/image19.png"/><Relationship Id="rId34" Type="http://schemas.openxmlformats.org/officeDocument/2006/relationships/image" Target="media/image18.jpeg"/><Relationship Id="rId33" Type="http://schemas.openxmlformats.org/officeDocument/2006/relationships/image" Target="media/image17.png"/><Relationship Id="rId32" Type="http://schemas.openxmlformats.org/officeDocument/2006/relationships/image" Target="media/image16.emf"/><Relationship Id="rId31" Type="http://schemas.openxmlformats.org/officeDocument/2006/relationships/image" Target="media/image15.emf"/><Relationship Id="rId30" Type="http://schemas.openxmlformats.org/officeDocument/2006/relationships/image" Target="media/image14.pn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jpe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jpeg"/><Relationship Id="rId24" Type="http://schemas.openxmlformats.org/officeDocument/2006/relationships/image" Target="media/image8.png"/><Relationship Id="rId23" Type="http://schemas.openxmlformats.org/officeDocument/2006/relationships/image" Target="media/image7.jpe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A1D0C4-39EE-465E-A3AE-42BCA7B7C6EE}">
  <ds:schemaRefs/>
</ds:datastoreItem>
</file>

<file path=docProps/app.xml><?xml version="1.0" encoding="utf-8"?>
<Properties xmlns="http://schemas.openxmlformats.org/officeDocument/2006/extended-properties" xmlns:vt="http://schemas.openxmlformats.org/officeDocument/2006/docPropsVTypes">
  <Template>Normal</Template>
  <Company>hnit</Company>
  <Pages>207</Pages>
  <Words>26925</Words>
  <Characters>153473</Characters>
  <Lines>1278</Lines>
  <Paragraphs>360</Paragraphs>
  <TotalTime>24</TotalTime>
  <ScaleCrop>false</ScaleCrop>
  <LinksUpToDate>false</LinksUpToDate>
  <CharactersWithSpaces>180038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2022-10-11T03:05:00Z</dcterms:created>
  <dc:creator>熊又球</dc:creator>
  <cp:lastModifiedBy>徐家伟</cp:lastModifiedBy>
  <cp:lastPrinted>2022-10-26T01:39:00Z</cp:lastPrinted>
  <dcterms:modified xsi:type="dcterms:W3CDTF">2023-05-31T02:07:18Z</dcterms:modified>
  <dc:title>建设工程施工合同</dc:title>
  <cp:revision>250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0FA33E2F09BD45308573B0FA636C7E9A</vt:lpwstr>
  </property>
</Properties>
</file>