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1"/>
          <w:numId w:val="0"/>
        </w:numPr>
        <w:spacing w:before="0" w:beforeLines="0" w:after="0" w:afterLines="0"/>
        <w:ind w:left="0" w:firstLine="0" w:firstLineChars="0"/>
        <w:jc w:val="both"/>
        <w:outlineLvl w:val="9"/>
      </w:pPr>
    </w:p>
    <w:p>
      <w:pPr>
        <w:pStyle w:val="3"/>
        <w:numPr>
          <w:ilvl w:val="-1"/>
          <w:numId w:val="0"/>
        </w:numPr>
        <w:spacing w:before="0" w:beforeLines="0" w:after="0" w:afterLines="0"/>
        <w:ind w:left="0" w:firstLine="0" w:firstLineChars="0"/>
        <w:jc w:val="both"/>
        <w:outlineLvl w:val="9"/>
      </w:pPr>
    </w:p>
    <w:p>
      <w:pPr>
        <w:pStyle w:val="3"/>
        <w:numPr>
          <w:ilvl w:val="-1"/>
          <w:numId w:val="0"/>
        </w:numPr>
        <w:spacing w:before="0" w:beforeLines="0" w:after="0" w:afterLines="0"/>
        <w:ind w:left="0" w:firstLine="0" w:firstLineChars="0"/>
        <w:jc w:val="both"/>
        <w:outlineLvl w:val="9"/>
      </w:pPr>
    </w:p>
    <w:p>
      <w:pPr>
        <w:pStyle w:val="3"/>
        <w:numPr>
          <w:ilvl w:val="-1"/>
          <w:numId w:val="0"/>
        </w:numPr>
        <w:spacing w:before="0" w:beforeLines="0" w:after="0" w:afterLines="0"/>
        <w:ind w:left="0" w:firstLine="0" w:firstLineChars="0"/>
        <w:jc w:val="both"/>
        <w:outlineLvl w:val="9"/>
      </w:pPr>
    </w:p>
    <w:p>
      <w:pPr>
        <w:pStyle w:val="3"/>
        <w:numPr>
          <w:ilvl w:val="-1"/>
          <w:numId w:val="0"/>
        </w:numPr>
        <w:spacing w:before="0" w:beforeLines="0" w:after="0" w:afterLines="0"/>
        <w:ind w:left="0" w:firstLine="0" w:firstLineChars="0"/>
        <w:jc w:val="center"/>
        <w:outlineLvl w:val="9"/>
      </w:pPr>
      <w:r>
        <w:t>设计任务书</w:t>
      </w:r>
    </w:p>
    <w:p>
      <w:pPr>
        <w:pStyle w:val="2"/>
        <w:spacing w:before="0" w:beforeLines="0" w:after="0" w:afterLines="0"/>
        <w:ind w:left="0" w:firstLine="480" w:firstLineChars="200"/>
        <w:outlineLvl w:val="9"/>
      </w:pPr>
    </w:p>
    <w:p>
      <w:pPr>
        <w:pStyle w:val="2"/>
        <w:spacing w:before="0" w:beforeLines="0" w:after="0" w:afterLines="0"/>
        <w:ind w:left="0" w:firstLine="480" w:firstLineChars="200"/>
        <w:outlineLvl w:val="9"/>
      </w:pPr>
    </w:p>
    <w:p>
      <w:pPr>
        <w:pStyle w:val="2"/>
        <w:spacing w:before="0" w:beforeLines="0" w:after="0" w:afterLines="0"/>
        <w:ind w:left="0" w:firstLine="480" w:firstLineChars="200"/>
        <w:outlineLvl w:val="9"/>
      </w:pPr>
    </w:p>
    <w:p>
      <w:pPr>
        <w:pStyle w:val="2"/>
        <w:spacing w:before="0" w:beforeLines="0" w:after="0" w:afterLines="0"/>
        <w:ind w:left="0" w:firstLine="480" w:firstLineChars="200"/>
        <w:outlineLvl w:val="9"/>
      </w:pPr>
    </w:p>
    <w:p>
      <w:pPr>
        <w:pStyle w:val="2"/>
        <w:spacing w:before="0" w:beforeLines="0" w:after="0" w:afterLines="0"/>
        <w:ind w:left="0" w:firstLine="480" w:firstLineChars="200"/>
        <w:outlineLvl w:val="9"/>
      </w:pPr>
    </w:p>
    <w:p>
      <w:pPr>
        <w:pStyle w:val="2"/>
        <w:spacing w:before="0" w:beforeLines="0" w:after="0" w:afterLines="0"/>
        <w:ind w:left="0" w:firstLine="480" w:firstLineChars="200"/>
        <w:outlineLvl w:val="9"/>
      </w:pPr>
    </w:p>
    <w:p>
      <w:pPr>
        <w:pStyle w:val="2"/>
        <w:spacing w:before="0" w:beforeLines="0" w:after="0" w:afterLines="0"/>
        <w:ind w:left="0" w:firstLine="480" w:firstLineChars="200"/>
        <w:outlineLvl w:val="9"/>
      </w:pPr>
    </w:p>
    <w:p>
      <w:pPr>
        <w:pStyle w:val="2"/>
        <w:spacing w:before="0" w:beforeLines="0" w:after="0" w:afterLines="0"/>
        <w:ind w:left="0" w:firstLine="480" w:firstLineChars="200"/>
        <w:outlineLvl w:val="9"/>
      </w:pPr>
    </w:p>
    <w:p>
      <w:pPr>
        <w:pStyle w:val="2"/>
        <w:spacing w:before="0" w:beforeLines="0" w:after="0" w:afterLines="0"/>
        <w:ind w:left="0" w:firstLine="480" w:firstLineChars="200"/>
        <w:outlineLvl w:val="9"/>
      </w:pPr>
    </w:p>
    <w:p>
      <w:pPr>
        <w:pStyle w:val="2"/>
        <w:spacing w:before="0" w:beforeLines="0" w:after="0" w:afterLines="0"/>
        <w:ind w:left="0" w:firstLine="480" w:firstLineChars="200"/>
        <w:outlineLvl w:val="9"/>
      </w:pPr>
    </w:p>
    <w:p>
      <w:pPr>
        <w:pStyle w:val="2"/>
        <w:spacing w:before="0" w:beforeLines="0" w:after="0" w:afterLines="0"/>
        <w:ind w:left="0" w:firstLine="480" w:firstLineChars="200"/>
        <w:outlineLvl w:val="9"/>
      </w:pPr>
    </w:p>
    <w:p>
      <w:pPr>
        <w:pStyle w:val="2"/>
        <w:spacing w:before="0" w:beforeLines="0" w:after="0" w:afterLines="0"/>
        <w:ind w:left="0" w:firstLine="480" w:firstLineChars="200"/>
        <w:outlineLvl w:val="9"/>
      </w:pPr>
    </w:p>
    <w:p>
      <w:pPr>
        <w:pStyle w:val="2"/>
        <w:spacing w:before="0" w:beforeLines="0" w:after="0" w:afterLines="0"/>
        <w:ind w:left="0" w:firstLine="480" w:firstLineChars="200"/>
        <w:outlineLvl w:val="9"/>
      </w:pPr>
    </w:p>
    <w:p>
      <w:pPr>
        <w:pStyle w:val="2"/>
        <w:spacing w:before="0" w:beforeLines="0" w:after="0" w:afterLines="0"/>
        <w:ind w:left="0" w:firstLine="480" w:firstLineChars="200"/>
        <w:outlineLvl w:val="9"/>
      </w:pPr>
    </w:p>
    <w:p>
      <w:pPr>
        <w:pStyle w:val="2"/>
        <w:spacing w:before="0" w:beforeLines="0" w:after="0" w:afterLines="0"/>
        <w:ind w:left="0" w:firstLine="480" w:firstLineChars="200"/>
        <w:outlineLvl w:val="9"/>
      </w:pPr>
    </w:p>
    <w:p>
      <w:pPr>
        <w:pStyle w:val="2"/>
        <w:spacing w:before="0" w:beforeLines="0" w:after="0" w:afterLines="0"/>
        <w:ind w:left="0" w:firstLine="480" w:firstLineChars="200"/>
        <w:outlineLvl w:val="9"/>
      </w:pPr>
    </w:p>
    <w:p>
      <w:pPr>
        <w:pStyle w:val="2"/>
        <w:spacing w:before="0" w:beforeLines="0" w:after="0" w:afterLines="0"/>
        <w:ind w:left="0" w:firstLine="480" w:firstLineChars="200"/>
        <w:outlineLvl w:val="9"/>
      </w:pPr>
      <w:bookmarkStart w:id="33" w:name="_GoBack"/>
      <w:bookmarkEnd w:id="33"/>
    </w:p>
    <w:p>
      <w:pPr>
        <w:pStyle w:val="2"/>
        <w:spacing w:before="0" w:beforeLines="0" w:after="0" w:afterLines="0"/>
        <w:ind w:left="0" w:firstLine="480" w:firstLineChars="200"/>
        <w:outlineLvl w:val="9"/>
        <w:sectPr>
          <w:pgSz w:w="11906" w:h="16838"/>
          <w:pgMar w:top="1440" w:right="1466" w:bottom="1440" w:left="1440" w:header="851" w:footer="992" w:gutter="0"/>
          <w:cols w:space="720" w:num="1"/>
          <w:docGrid w:type="linesAndChars" w:linePitch="312" w:charSpace="0"/>
        </w:sectPr>
      </w:pPr>
      <w:r>
        <w:rPr>
          <w:rFonts w:hint="eastAsia"/>
        </w:rPr>
        <w:t>广州市增城排水有限公司</w:t>
      </w:r>
    </w:p>
    <w:p>
      <w:pPr>
        <w:pStyle w:val="3"/>
        <w:spacing w:before="0" w:beforeLines="0" w:after="0" w:afterLines="0"/>
        <w:ind w:left="432" w:hanging="432" w:firstLineChars="0"/>
        <w:jc w:val="center"/>
        <w:outlineLvl w:val="9"/>
      </w:pPr>
      <w:bookmarkStart w:id="0" w:name="_Toc533625226"/>
      <w:r>
        <w:rPr>
          <w:rFonts w:hint="eastAsia"/>
        </w:rPr>
        <w:t>项目概况</w:t>
      </w:r>
    </w:p>
    <w:p>
      <w:pPr>
        <w:pStyle w:val="4"/>
        <w:spacing w:before="0" w:beforeLines="0" w:after="0" w:afterLines="0"/>
        <w:ind w:left="0" w:firstLine="640" w:firstLineChars="200"/>
        <w:jc w:val="both"/>
        <w:outlineLvl w:val="9"/>
      </w:pPr>
      <w:bookmarkStart w:id="1" w:name="_Toc26144"/>
      <w:bookmarkStart w:id="2" w:name="_Toc17129"/>
      <w:r>
        <w:rPr>
          <w:rFonts w:hint="eastAsia"/>
        </w:rPr>
        <w:t>项目基本信息</w:t>
      </w:r>
      <w:bookmarkEnd w:id="1"/>
      <w:bookmarkEnd w:id="2"/>
    </w:p>
    <w:p>
      <w:pPr>
        <w:pStyle w:val="5"/>
        <w:spacing w:before="0" w:beforeLines="0" w:after="0" w:afterLines="0"/>
        <w:ind w:firstLine="560" w:firstLineChars="200"/>
        <w:jc w:val="both"/>
        <w:outlineLvl w:val="9"/>
        <w:rPr>
          <w:rFonts w:hint="eastAsia"/>
          <w:lang w:eastAsia="zh-CN"/>
        </w:rPr>
      </w:pPr>
      <w:bookmarkStart w:id="3" w:name="_Toc4476"/>
      <w:bookmarkStart w:id="4" w:name="_Toc8483"/>
      <w:r>
        <w:rPr>
          <w:rFonts w:hint="eastAsia"/>
        </w:rPr>
        <w:t>项目名称</w:t>
      </w:r>
      <w:bookmarkEnd w:id="3"/>
      <w:bookmarkEnd w:id="4"/>
    </w:p>
    <w:p>
      <w:pPr>
        <w:spacing w:beforeLines="-2147483648" w:after="100" w:afterLines="-2147483648" w:afterAutospacing="1" w:line="240" w:lineRule="auto"/>
        <w:ind w:firstLine="480" w:firstLineChars="200"/>
        <w:jc w:val="both"/>
      </w:pPr>
      <w:r>
        <w:rPr>
          <w:rFonts w:hint="eastAsia"/>
        </w:rPr>
        <w:t>增城区开发区下沉式</w:t>
      </w:r>
      <w:r>
        <w:rPr>
          <w:rFonts w:hint="eastAsia"/>
          <w:lang w:val="en-US" w:eastAsia="zh-CN"/>
        </w:rPr>
        <w:t>污水处理</w:t>
      </w:r>
      <w:r>
        <w:rPr>
          <w:rFonts w:hint="eastAsia"/>
        </w:rPr>
        <w:t>厂及配套管网工程</w:t>
      </w:r>
    </w:p>
    <w:p>
      <w:pPr>
        <w:pStyle w:val="5"/>
        <w:spacing w:before="0" w:beforeLines="0" w:after="0" w:afterLines="0"/>
        <w:ind w:firstLine="560" w:firstLineChars="200"/>
        <w:jc w:val="both"/>
        <w:outlineLvl w:val="9"/>
        <w:rPr>
          <w:rFonts w:hint="eastAsia" w:ascii="Times New Roman" w:hAnsi="Times New Roman" w:eastAsia="宋体"/>
          <w:lang w:eastAsia="zh-CN"/>
        </w:rPr>
      </w:pPr>
      <w:bookmarkStart w:id="5" w:name="_Toc4694"/>
      <w:bookmarkStart w:id="6" w:name="_Toc25138"/>
      <w:r>
        <w:rPr>
          <w:rFonts w:hint="eastAsia" w:ascii="Times New Roman" w:hAnsi="Times New Roman" w:eastAsia="宋体"/>
        </w:rPr>
        <w:t>项目建设单位</w:t>
      </w:r>
      <w:bookmarkEnd w:id="5"/>
      <w:bookmarkEnd w:id="6"/>
    </w:p>
    <w:p>
      <w:pPr>
        <w:spacing w:beforeLines="-2147483648" w:after="100" w:afterLines="-2147483648" w:afterAutospacing="1" w:line="240" w:lineRule="auto"/>
        <w:ind w:firstLine="480" w:firstLineChars="200"/>
        <w:jc w:val="both"/>
      </w:pPr>
      <w:r>
        <w:rPr>
          <w:rFonts w:hint="eastAsia"/>
        </w:rPr>
        <w:t>广州市增城排水有限公司</w:t>
      </w:r>
    </w:p>
    <w:p>
      <w:pPr>
        <w:pStyle w:val="5"/>
        <w:spacing w:before="0" w:beforeLines="0" w:after="0" w:afterLines="0"/>
        <w:ind w:firstLine="560" w:firstLineChars="200"/>
        <w:jc w:val="both"/>
        <w:outlineLvl w:val="9"/>
        <w:rPr>
          <w:rFonts w:hint="eastAsia" w:ascii="Times New Roman" w:hAnsi="Times New Roman" w:eastAsia="宋体"/>
          <w:lang w:eastAsia="zh-CN"/>
        </w:rPr>
      </w:pPr>
      <w:bookmarkStart w:id="7" w:name="_Toc29705"/>
      <w:bookmarkStart w:id="8" w:name="_Toc5414"/>
      <w:r>
        <w:rPr>
          <w:rFonts w:hint="eastAsia" w:ascii="Times New Roman" w:hAnsi="Times New Roman" w:eastAsia="宋体"/>
        </w:rPr>
        <w:t>项目背景</w:t>
      </w:r>
      <w:bookmarkEnd w:id="7"/>
      <w:bookmarkEnd w:id="8"/>
    </w:p>
    <w:p>
      <w:pPr>
        <w:spacing w:beforeLines="0" w:afterLines="0" w:line="360" w:lineRule="auto"/>
        <w:ind w:firstLine="480" w:firstLineChars="200"/>
        <w:jc w:val="both"/>
      </w:pPr>
      <w:r>
        <w:rPr>
          <w:rFonts w:hint="eastAsia"/>
        </w:rPr>
        <w:t>2019年12月31日，经广州市人民政府同意，实施增城经济开发区“一区多园”管理，将区位相邻相近的工业集聚区整合为国批园区、开发区南区、开发区东区、开发区北区，面积约99km2。“一区”即本工程所在的增城开发区核心区（南区），是广州“东进”战略的重点发展片区。在“东进”的城市规划战略目标下，逐步完善城市功能成为发展方向。</w:t>
      </w:r>
    </w:p>
    <w:p>
      <w:pPr>
        <w:spacing w:beforeLines="0" w:afterLines="0" w:line="360" w:lineRule="auto"/>
        <w:ind w:firstLine="480" w:firstLineChars="200"/>
        <w:jc w:val="both"/>
      </w:pPr>
      <w:r>
        <w:rPr>
          <w:rFonts w:hint="eastAsia"/>
        </w:rPr>
        <w:t>经开发区企业发展局统计数据，目前在开发区已入驻的企业中涉及废水排放的共66家企业，其中涉及工业废水排放的企业共24家，排水量为10697m3/d，企业预处理后排入市政管道，进入永和污水处理厂一、二、四期生活污水处理系统。污水厂一、二、四期生活污水总处理规模为15万m3/d，根据广州市增城区智慧排水管理系统统计分析，永和污水厂实际运行水量约16~17万m3/d，处于超负荷运行状态，现状永和污水处理系统存在较高的溢流风险。</w:t>
      </w:r>
    </w:p>
    <w:p>
      <w:pPr>
        <w:spacing w:beforeLines="0" w:afterLines="0" w:line="360" w:lineRule="auto"/>
        <w:ind w:firstLine="480" w:firstLineChars="200"/>
        <w:jc w:val="both"/>
      </w:pPr>
      <w:r>
        <w:rPr>
          <w:rFonts w:hint="eastAsia"/>
        </w:rPr>
        <w:t>据调研情况，开发区将有一批以广州增芯科技有限公司为代表的电子信息工业企业入驻园区。增芯厂一期用地370亩，预计日均污废水排放量2.0万m3/d；先进半导体一期用地2.67亩，预计日均污废水排放量3200m3/d；另外超视堺也即将迎来扩产，污废水排放量在原日均1.2万m3/d基础上，增加到1.8万m3/d，因此，开发区2025年前后工业废水量预计将达5万m3/d。增芯企业远期再增加760亩用地，预计日均污废水排放量2万m3/d，以及开发区其他未开发地块也将迎来工业企业入驻，预测远期2035年前后工业废水量将达到6-8万m3/d。</w:t>
      </w:r>
    </w:p>
    <w:p>
      <w:pPr>
        <w:spacing w:beforeLines="0" w:afterLines="0" w:line="360" w:lineRule="auto"/>
        <w:ind w:firstLine="480" w:firstLineChars="200"/>
        <w:jc w:val="both"/>
        <w:rPr>
          <w:rFonts w:ascii="宋体" w:hAnsi="宋体" w:cs="仿宋" w:eastAsiaTheme="minorEastAsia"/>
          <w:bCs/>
          <w:kern w:val="0"/>
        </w:rPr>
      </w:pPr>
      <w:r>
        <w:rPr>
          <w:rFonts w:hint="eastAsia"/>
        </w:rPr>
        <w:t>随着区域经济的快速发展，人口及工业企业数量亦呈增长趋势，污水处理系统服务范围内污水量也将迅速增加，经预测永和污水系统2025年综合污水量将达到22.67万m3/d，2035年综合污水量达到34.19万m3/d，现状永和污水系统无法满足该片区的污水处理需求，为进一步提高现状永和污水系统的污水处理能力，使其与污水量相符合，减少溢流污染河涌，提高污水排放标准，改善水环境，现开展实施增城区开发区下沉式</w:t>
      </w:r>
      <w:r>
        <w:rPr>
          <w:rFonts w:hint="eastAsia"/>
          <w:lang w:eastAsia="zh-CN"/>
        </w:rPr>
        <w:t>污水处理</w:t>
      </w:r>
      <w:r>
        <w:rPr>
          <w:rFonts w:hint="eastAsia"/>
        </w:rPr>
        <w:t>厂及配套管网工程项目。</w:t>
      </w:r>
    </w:p>
    <w:p>
      <w:pPr>
        <w:pStyle w:val="5"/>
        <w:spacing w:before="0" w:beforeLines="0" w:after="0" w:afterLines="0"/>
        <w:ind w:firstLine="560" w:firstLineChars="200"/>
        <w:jc w:val="both"/>
        <w:outlineLvl w:val="9"/>
      </w:pPr>
      <w:bookmarkStart w:id="9" w:name="_Toc25662"/>
      <w:bookmarkStart w:id="10" w:name="_Toc29879"/>
      <w:r>
        <w:rPr>
          <w:rFonts w:hint="eastAsia"/>
        </w:rPr>
        <w:t>项目位置</w:t>
      </w:r>
      <w:bookmarkEnd w:id="9"/>
      <w:bookmarkEnd w:id="10"/>
    </w:p>
    <w:p>
      <w:pPr>
        <w:spacing w:beforeLines="0" w:afterLines="0" w:line="360" w:lineRule="auto"/>
        <w:ind w:firstLine="480" w:firstLineChars="200"/>
        <w:jc w:val="both"/>
      </w:pPr>
      <w:r>
        <w:rPr>
          <w:rFonts w:hint="eastAsia"/>
        </w:rPr>
        <w:t>本工程位于增城区永宁街长岗村创誉路与永和河交界的西南角，服务范围为永宁街道、宁西街道和增城区技术开发区，服务面积104.14平方公里。</w:t>
      </w:r>
    </w:p>
    <w:p>
      <w:pPr>
        <w:spacing w:beforeLines="0" w:afterLines="0" w:line="360" w:lineRule="auto"/>
        <w:ind w:firstLine="480" w:firstLineChars="200"/>
        <w:jc w:val="both"/>
        <w:rPr>
          <w:rFonts w:ascii="宋体" w:hAnsi="宋体" w:cs="仿宋"/>
          <w:bCs/>
          <w:color w:val="FF0000"/>
        </w:rPr>
      </w:pPr>
      <w:r>
        <w:drawing>
          <wp:inline distT="0" distB="0" distL="0" distR="0">
            <wp:extent cx="3803015" cy="3265170"/>
            <wp:effectExtent l="0" t="0" r="6985" b="1143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6" cstate="print"/>
                    <a:stretch>
                      <a:fillRect/>
                    </a:stretch>
                  </pic:blipFill>
                  <pic:spPr>
                    <a:xfrm>
                      <a:off x="0" y="0"/>
                      <a:ext cx="3803015" cy="3265170"/>
                    </a:xfrm>
                    <a:prstGeom prst="rect">
                      <a:avLst/>
                    </a:prstGeom>
                    <a:ln>
                      <a:noFill/>
                    </a:ln>
                    <a:effectLst>
                      <a:softEdge rad="112500"/>
                    </a:effectLst>
                  </pic:spPr>
                </pic:pic>
              </a:graphicData>
            </a:graphic>
          </wp:inline>
        </w:drawing>
      </w:r>
    </w:p>
    <w:p>
      <w:pPr>
        <w:pStyle w:val="5"/>
        <w:spacing w:before="0" w:beforeLines="0" w:after="0" w:afterLines="0"/>
        <w:ind w:firstLine="560" w:firstLineChars="200"/>
        <w:jc w:val="both"/>
        <w:outlineLvl w:val="9"/>
      </w:pPr>
      <w:bookmarkStart w:id="11" w:name="_Toc29735"/>
      <w:bookmarkStart w:id="12" w:name="_Toc30121"/>
      <w:r>
        <w:rPr>
          <w:rFonts w:hint="eastAsia"/>
        </w:rPr>
        <w:t>项目建设规模</w:t>
      </w:r>
      <w:bookmarkEnd w:id="11"/>
      <w:bookmarkEnd w:id="12"/>
    </w:p>
    <w:p>
      <w:pPr>
        <w:spacing w:beforeLines="0" w:afterLines="0" w:line="360" w:lineRule="auto"/>
        <w:ind w:firstLine="480" w:firstLineChars="200"/>
        <w:jc w:val="both"/>
        <w:sectPr>
          <w:pgSz w:w="11906" w:h="16838"/>
          <w:pgMar w:top="1440" w:right="1466" w:bottom="1440" w:left="1440" w:header="851" w:footer="992" w:gutter="0"/>
          <w:cols w:space="720" w:num="1"/>
          <w:docGrid w:type="linesAndChars" w:linePitch="312" w:charSpace="0"/>
        </w:sectPr>
      </w:pPr>
      <w:r>
        <w:rPr>
          <w:rFonts w:hint="eastAsia" w:ascii="宋体" w:hAnsi="宋体"/>
          <w:sz w:val="24"/>
        </w:rPr>
        <w:t>本项目位于永宁街长岗村创誉路与永和河交界的西南角，厂区建设征用地</w:t>
      </w:r>
      <w:r>
        <w:rPr>
          <w:rFonts w:hint="eastAsia" w:ascii="宋体" w:hAnsi="宋体"/>
          <w:sz w:val="24"/>
          <w:lang w:val="en-US" w:eastAsia="zh-CN"/>
        </w:rPr>
        <w:t>99.99</w:t>
      </w:r>
      <w:r>
        <w:rPr>
          <w:rFonts w:hint="eastAsia" w:ascii="宋体" w:hAnsi="宋体"/>
          <w:sz w:val="24"/>
        </w:rPr>
        <w:t>亩，新建开发区下沉式污水处理厂，采用全地下布置形式，近期总建设规模15万m³/d,生活污水厂设计规模10万m³/d（土建一次性完成，设备安装7.5万m³/d），工业废水厂5万m³/d；新建生活污水厂DN1500尾水排放管约12 米，工业废水厂DN1200尾水排放管约4.0 公里</w:t>
      </w:r>
      <w:r>
        <w:rPr>
          <w:rFonts w:hint="eastAsia"/>
        </w:rPr>
        <w:t>。</w:t>
      </w:r>
      <w:r>
        <w:t xml:space="preserve"> </w:t>
      </w:r>
    </w:p>
    <w:p>
      <w:pPr>
        <w:pStyle w:val="3"/>
        <w:spacing w:before="0" w:beforeLines="0" w:after="0" w:afterLines="0"/>
        <w:ind w:left="0" w:firstLine="880" w:firstLineChars="200"/>
        <w:jc w:val="center"/>
        <w:outlineLvl w:val="9"/>
        <w:rPr>
          <w:rFonts w:hint="default"/>
          <w:lang w:val="en-US" w:eastAsia="zh-CN"/>
        </w:rPr>
      </w:pPr>
      <w:r>
        <w:rPr>
          <w:rFonts w:hint="eastAsia"/>
          <w:lang w:val="en-US" w:eastAsia="zh-CN"/>
        </w:rPr>
        <w:t>施工图设计要求</w:t>
      </w:r>
    </w:p>
    <w:p>
      <w:pPr>
        <w:pStyle w:val="4"/>
        <w:spacing w:before="0" w:beforeLines="0" w:after="0" w:afterLines="0"/>
        <w:ind w:firstLine="640" w:firstLineChars="200"/>
        <w:jc w:val="both"/>
        <w:outlineLvl w:val="9"/>
      </w:pPr>
      <w:bookmarkStart w:id="13" w:name="_Toc17943"/>
      <w:bookmarkStart w:id="14" w:name="_Toc27816"/>
      <w:r>
        <w:rPr>
          <w:rFonts w:hint="eastAsia"/>
        </w:rPr>
        <w:t>总平面设计原则</w:t>
      </w:r>
      <w:bookmarkEnd w:id="13"/>
      <w:bookmarkEnd w:id="14"/>
    </w:p>
    <w:p>
      <w:pPr>
        <w:spacing w:beforeLines="0" w:afterLines="0" w:line="360" w:lineRule="auto"/>
        <w:ind w:firstLine="480" w:firstLineChars="200"/>
        <w:jc w:val="both"/>
      </w:pPr>
      <w:r>
        <w:rPr>
          <w:rFonts w:hint="eastAsia"/>
        </w:rPr>
        <w:t>建设项目厂区平面布置的主要原则如下：</w:t>
      </w:r>
    </w:p>
    <w:p>
      <w:pPr>
        <w:spacing w:beforeLines="0" w:afterLines="0" w:line="360" w:lineRule="auto"/>
        <w:ind w:firstLine="480" w:firstLineChars="200"/>
        <w:jc w:val="both"/>
      </w:pPr>
      <w:r>
        <w:rPr>
          <w:rFonts w:hint="eastAsia"/>
        </w:rPr>
        <w:t>（</w:t>
      </w:r>
      <w:r>
        <w:t>1</w:t>
      </w:r>
      <w:r>
        <w:rPr>
          <w:rFonts w:hint="eastAsia"/>
        </w:rPr>
        <w:t>）在满足出水水质要求的前提下，通过对工艺构筑物及总体布置的进一步优化，减少污水提升泵扬程，从而可减少工程总投资和常年运行费用；</w:t>
      </w:r>
    </w:p>
    <w:p>
      <w:pPr>
        <w:spacing w:beforeLines="0" w:afterLines="0" w:line="360" w:lineRule="auto"/>
        <w:ind w:firstLine="480" w:firstLineChars="200"/>
        <w:jc w:val="both"/>
      </w:pPr>
      <w:r>
        <w:rPr>
          <w:rFonts w:hint="eastAsia"/>
        </w:rPr>
        <w:t>（</w:t>
      </w:r>
      <w:r>
        <w:t>2</w:t>
      </w:r>
      <w:r>
        <w:rPr>
          <w:rFonts w:hint="eastAsia"/>
        </w:rPr>
        <w:t>）按照不同功能，分区布置，功能分区明确；</w:t>
      </w:r>
    </w:p>
    <w:p>
      <w:pPr>
        <w:spacing w:beforeLines="0" w:afterLines="0" w:line="360" w:lineRule="auto"/>
        <w:ind w:firstLine="480" w:firstLineChars="200"/>
        <w:jc w:val="both"/>
      </w:pPr>
      <w:r>
        <w:rPr>
          <w:rFonts w:hint="eastAsia"/>
        </w:rPr>
        <w:t>（</w:t>
      </w:r>
      <w:r>
        <w:t>3</w:t>
      </w:r>
      <w:r>
        <w:rPr>
          <w:rFonts w:hint="eastAsia"/>
        </w:rPr>
        <w:t>）各处理构筑物布置紧凑，流程顺畅，避免管线迂回；</w:t>
      </w:r>
    </w:p>
    <w:p>
      <w:pPr>
        <w:spacing w:beforeLines="0" w:afterLines="0" w:line="360" w:lineRule="auto"/>
        <w:ind w:firstLine="480" w:firstLineChars="200"/>
        <w:jc w:val="both"/>
      </w:pPr>
      <w:r>
        <w:rPr>
          <w:rFonts w:hint="eastAsia"/>
        </w:rPr>
        <w:t>（</w:t>
      </w:r>
      <w:r>
        <w:t>4</w:t>
      </w:r>
      <w:r>
        <w:rPr>
          <w:rFonts w:hint="eastAsia"/>
        </w:rPr>
        <w:t>）变配电站布置在既靠近污水处理厂进线，又靠近用电负荷大构筑物处；</w:t>
      </w:r>
    </w:p>
    <w:p>
      <w:pPr>
        <w:spacing w:beforeLines="0" w:afterLines="0" w:line="360" w:lineRule="auto"/>
        <w:ind w:firstLine="480" w:firstLineChars="200"/>
        <w:jc w:val="both"/>
      </w:pPr>
      <w:r>
        <w:rPr>
          <w:rFonts w:hint="eastAsia"/>
        </w:rPr>
        <w:t>（</w:t>
      </w:r>
      <w:r>
        <w:t>5</w:t>
      </w:r>
      <w:r>
        <w:rPr>
          <w:rFonts w:hint="eastAsia"/>
        </w:rPr>
        <w:t>）在营造优美舒适的工作环境的同时，考虑厂区绿化用地；</w:t>
      </w:r>
    </w:p>
    <w:p>
      <w:pPr>
        <w:spacing w:beforeLines="0" w:afterLines="0" w:line="360" w:lineRule="auto"/>
        <w:ind w:firstLine="480" w:firstLineChars="200"/>
        <w:jc w:val="both"/>
      </w:pPr>
      <w:r>
        <w:rPr>
          <w:rFonts w:hint="eastAsia"/>
        </w:rPr>
        <w:t>（</w:t>
      </w:r>
      <w:r>
        <w:t>6</w:t>
      </w:r>
      <w:r>
        <w:rPr>
          <w:rFonts w:hint="eastAsia"/>
        </w:rPr>
        <w:t>）平面布置应满足规划控制和消防安全要求。</w:t>
      </w:r>
    </w:p>
    <w:p>
      <w:pPr>
        <w:pStyle w:val="4"/>
        <w:spacing w:before="0" w:beforeLines="0" w:after="0" w:afterLines="0"/>
        <w:ind w:firstLine="640" w:firstLineChars="200"/>
        <w:jc w:val="both"/>
        <w:outlineLvl w:val="9"/>
      </w:pPr>
      <w:bookmarkStart w:id="15" w:name="_Toc1683"/>
      <w:bookmarkStart w:id="16" w:name="_Toc10042"/>
      <w:r>
        <w:rPr>
          <w:rFonts w:hint="eastAsia"/>
          <w:lang w:val="en-US" w:eastAsia="zh-CN"/>
        </w:rPr>
        <w:t>总图</w:t>
      </w:r>
      <w:r>
        <w:rPr>
          <w:rFonts w:hint="eastAsia"/>
        </w:rPr>
        <w:t>布置</w:t>
      </w:r>
      <w:bookmarkEnd w:id="15"/>
      <w:bookmarkEnd w:id="16"/>
    </w:p>
    <w:p>
      <w:pPr>
        <w:pStyle w:val="5"/>
        <w:spacing w:before="0" w:beforeLines="0" w:after="0" w:afterLines="0"/>
        <w:ind w:left="0" w:firstLine="560" w:firstLineChars="200"/>
        <w:jc w:val="both"/>
        <w:outlineLvl w:val="9"/>
      </w:pPr>
      <w:r>
        <w:rPr>
          <w:rFonts w:hint="eastAsia"/>
        </w:rPr>
        <w:t>地面层布置</w:t>
      </w:r>
    </w:p>
    <w:p>
      <w:pPr>
        <w:snapToGrid w:val="0"/>
        <w:spacing w:beforeLines="0" w:afterLines="0" w:line="360" w:lineRule="auto"/>
        <w:ind w:firstLine="480" w:firstLineChars="200"/>
        <w:jc w:val="both"/>
        <w:rPr>
          <w:lang w:val="zh-CN"/>
        </w:rPr>
      </w:pPr>
      <w:r>
        <w:rPr>
          <w:lang w:val="zh-CN"/>
        </w:rPr>
        <w:t>厂区总平面布置分为地面层、地下负一层和地下负二层三个部分。</w:t>
      </w:r>
    </w:p>
    <w:p>
      <w:pPr>
        <w:spacing w:beforeLines="0" w:after="0" w:afterLines="0" w:line="360" w:lineRule="auto"/>
        <w:ind w:firstLine="480" w:firstLineChars="200"/>
        <w:jc w:val="both"/>
      </w:pPr>
      <w:r>
        <w:rPr>
          <w:rFonts w:hint="eastAsia"/>
          <w:lang w:val="zh-CN"/>
        </w:rPr>
        <w:t>由于周边城市环境对污水厂要求高，要求建成环境友好型、花园式的污水处理厂，需要按照真正生态型标准建设，因此地面层的总体布置着重于园林景观与湿地景观湖的设计。</w:t>
      </w:r>
      <w:r>
        <w:rPr>
          <w:rFonts w:hint="eastAsia"/>
        </w:rPr>
        <w:t>在总体布置时，充分考虑同远期工程相协调，形成一个完整的整体。厂前区管理建筑、生活设施、辅助生产建筑，在布局上，结合道路、环境绿化，构成花园生态型污水处理厂环境空间。厂区总</w:t>
      </w:r>
      <w:r>
        <w:rPr>
          <w:rFonts w:hint="default"/>
        </w:rPr>
        <w:t>体布局需</w:t>
      </w:r>
      <w:r>
        <w:rPr>
          <w:rFonts w:hint="eastAsia"/>
        </w:rPr>
        <w:t>做到功能分区明确，建筑相对集中，节约用地，便于安全生产管理，节约投资</w:t>
      </w:r>
      <w:r>
        <w:rPr>
          <w:rFonts w:hint="default"/>
          <w:lang w:eastAsia="zh-CN"/>
        </w:rPr>
        <w:t>。</w:t>
      </w:r>
    </w:p>
    <w:p>
      <w:pPr>
        <w:pStyle w:val="5"/>
        <w:spacing w:before="0" w:beforeLines="0" w:after="0" w:afterLines="0"/>
        <w:ind w:left="0" w:firstLine="560" w:firstLineChars="200"/>
        <w:jc w:val="both"/>
        <w:outlineLvl w:val="9"/>
      </w:pPr>
      <w:r>
        <w:rPr>
          <w:rFonts w:hint="eastAsia"/>
        </w:rPr>
        <w:t>地下层布置</w:t>
      </w:r>
    </w:p>
    <w:p>
      <w:pPr>
        <w:spacing w:beforeLines="0" w:afterLines="0" w:line="360" w:lineRule="auto"/>
        <w:ind w:firstLine="480" w:firstLineChars="200"/>
        <w:jc w:val="both"/>
      </w:pPr>
      <w:r>
        <w:rPr>
          <w:rFonts w:hint="eastAsia"/>
        </w:rPr>
        <w:t>地下层工艺平面布置力求合理紧凑，用地较省，工艺流程通畅，可节省运行费用。并充分考虑地下层与地上层及周边道路交通出入的合理衔接。</w:t>
      </w:r>
    </w:p>
    <w:p>
      <w:pPr>
        <w:spacing w:beforeLines="0" w:after="0" w:afterLines="0" w:line="360" w:lineRule="auto"/>
        <w:ind w:firstLine="480" w:firstLineChars="200"/>
        <w:jc w:val="both"/>
      </w:pPr>
    </w:p>
    <w:p>
      <w:pPr>
        <w:pStyle w:val="5"/>
        <w:spacing w:before="0" w:beforeLines="0" w:after="0" w:afterLines="0"/>
        <w:ind w:left="0" w:firstLine="560" w:firstLineChars="200"/>
        <w:jc w:val="both"/>
        <w:outlineLvl w:val="9"/>
      </w:pPr>
      <w:r>
        <w:rPr>
          <w:rFonts w:hint="eastAsia"/>
        </w:rPr>
        <w:t>工程竖向布置设计</w:t>
      </w:r>
    </w:p>
    <w:p>
      <w:pPr>
        <w:spacing w:before="0" w:beforeLines="-2147483648" w:after="0" w:afterLines="-2147483648"/>
        <w:ind w:firstLine="0" w:firstLineChars="0"/>
        <w:jc w:val="both"/>
        <w:outlineLvl w:val="9"/>
        <w:rPr>
          <w:rFonts w:hint="default"/>
          <w:szCs w:val="24"/>
          <w:highlight w:val="none"/>
          <w:lang w:val="en-US"/>
        </w:rPr>
      </w:pPr>
      <w:r>
        <w:rPr>
          <w:rFonts w:hint="eastAsia"/>
        </w:rPr>
        <w:t>厂区现状地面标高大部分为9.5～10.5m。综合考虑土方平衡、防汛排涝、城市规划路网以及城市规划竖向高程等诸多因素</w:t>
      </w:r>
      <w:r>
        <w:t>。</w:t>
      </w:r>
      <w:bookmarkStart w:id="17" w:name="_Toc19270"/>
      <w:bookmarkStart w:id="18" w:name="_Toc24033"/>
    </w:p>
    <w:bookmarkEnd w:id="17"/>
    <w:bookmarkEnd w:id="18"/>
    <w:p>
      <w:pPr>
        <w:pStyle w:val="4"/>
        <w:spacing w:beforeLines="0" w:afterLines="0" w:line="360" w:lineRule="auto"/>
        <w:ind w:firstLine="0"/>
        <w:jc w:val="both"/>
      </w:pPr>
      <w:r>
        <w:rPr>
          <w:rFonts w:hint="eastAsia"/>
          <w:lang w:val="en-US" w:eastAsia="zh-CN"/>
        </w:rPr>
        <w:t>工程目标</w:t>
      </w:r>
    </w:p>
    <w:p>
      <w:pPr>
        <w:pStyle w:val="5"/>
        <w:spacing w:beforeLines="0" w:afterLines="0" w:line="360" w:lineRule="auto"/>
        <w:ind w:firstLine="0"/>
        <w:jc w:val="both"/>
        <w:rPr>
          <w:rFonts w:hint="eastAsia"/>
          <w:lang w:val="en-US" w:eastAsia="zh-CN"/>
        </w:rPr>
      </w:pPr>
      <w:r>
        <w:rPr>
          <w:rFonts w:hint="eastAsia"/>
          <w:lang w:val="en-US" w:eastAsia="zh-CN"/>
        </w:rPr>
        <w:t>水质目标</w:t>
      </w:r>
    </w:p>
    <w:p>
      <w:pPr>
        <w:ind w:firstLine="480"/>
        <w:rPr>
          <w:rFonts w:hint="eastAsia"/>
        </w:rPr>
      </w:pPr>
      <w:r>
        <w:rPr>
          <w:rFonts w:hint="eastAsia"/>
        </w:rPr>
        <w:t>生活污水处理系统出水执行《城镇污水处理厂污 染物排放标准》（GB18918-2002）一级 A 标准和广东省《水污染物排放限值》 （DB44/26-2001）第二时段一级标准较严值。实现主要指标 COD、BOD5、氨氮、总磷进一步处理达到《地表水环境质量标准》（GB3838-2002） 中Ⅳ类水质标准。</w:t>
      </w:r>
    </w:p>
    <w:p>
      <w:pPr>
        <w:ind w:firstLine="0" w:firstLineChars="0"/>
        <w:rPr>
          <w:rFonts w:hint="eastAsia"/>
        </w:rPr>
      </w:pPr>
      <w:r>
        <w:rPr>
          <w:rFonts w:hint="eastAsia"/>
        </w:rPr>
        <w:t>工业废水处理系统出水执行《城镇污水处理厂污染物排放标准》（GB18918-2002）一级A标准和广东省《水污染物排放限值》（DB44/26-2001）第二时段一级标准较严值，其中氟化物指标设计出水浓度不高于5mg/L，氨氮指标设计出水浓度不高于1.5mg/L、总磷指标设计出水浓度不高于0.4mg/L。其中氨氮、总磷按照设计出水水质浓度核算年度排放总量。</w:t>
      </w:r>
    </w:p>
    <w:p>
      <w:pPr>
        <w:ind w:firstLine="480"/>
      </w:pPr>
      <w:r>
        <w:rPr>
          <w:rFonts w:hint="eastAsia"/>
          <w:b/>
        </w:rPr>
        <w:t>生活污水厂</w:t>
      </w:r>
      <w:r>
        <w:rPr>
          <w:rFonts w:hint="eastAsia"/>
        </w:rPr>
        <w:t>设计进、出水水质，具体如下表所示：</w:t>
      </w:r>
    </w:p>
    <w:p>
      <w:pPr>
        <w:pStyle w:val="13"/>
        <w:spacing w:after="156"/>
        <w:ind w:firstLine="360"/>
        <w:jc w:val="both"/>
      </w:pPr>
      <w:r>
        <w:rPr>
          <w:rFonts w:hint="eastAsia"/>
        </w:rPr>
        <w:t>生活污水厂设计进、出水水质表单位：</w:t>
      </w:r>
      <w:r>
        <w:t>mg/l</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772"/>
        <w:gridCol w:w="1198"/>
        <w:gridCol w:w="1058"/>
        <w:gridCol w:w="916"/>
        <w:gridCol w:w="1180"/>
        <w:gridCol w:w="916"/>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83"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项目</w:t>
            </w:r>
          </w:p>
        </w:tc>
        <w:tc>
          <w:tcPr>
            <w:tcW w:w="419"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pH</w:t>
            </w:r>
          </w:p>
        </w:tc>
        <w:tc>
          <w:tcPr>
            <w:tcW w:w="650"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CODcr</w:t>
            </w:r>
          </w:p>
        </w:tc>
        <w:tc>
          <w:tcPr>
            <w:tcW w:w="574"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BOD</w:t>
            </w:r>
            <w:r>
              <w:rPr>
                <w:vertAlign w:val="subscript"/>
              </w:rPr>
              <w:t>5</w:t>
            </w:r>
          </w:p>
        </w:tc>
        <w:tc>
          <w:tcPr>
            <w:tcW w:w="497"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SS</w:t>
            </w:r>
          </w:p>
        </w:tc>
        <w:tc>
          <w:tcPr>
            <w:tcW w:w="640"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NH</w:t>
            </w:r>
            <w:r>
              <w:rPr>
                <w:vertAlign w:val="subscript"/>
              </w:rPr>
              <w:t>3</w:t>
            </w:r>
            <w:r>
              <w:t>-N</w:t>
            </w:r>
          </w:p>
        </w:tc>
        <w:tc>
          <w:tcPr>
            <w:tcW w:w="497"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TN</w:t>
            </w:r>
          </w:p>
        </w:tc>
        <w:tc>
          <w:tcPr>
            <w:tcW w:w="540"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83"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设计进水水质</w:t>
            </w:r>
          </w:p>
        </w:tc>
        <w:tc>
          <w:tcPr>
            <w:tcW w:w="419"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6~9</w:t>
            </w:r>
          </w:p>
        </w:tc>
        <w:tc>
          <w:tcPr>
            <w:tcW w:w="650"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300</w:t>
            </w:r>
          </w:p>
        </w:tc>
        <w:tc>
          <w:tcPr>
            <w:tcW w:w="574"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140</w:t>
            </w:r>
          </w:p>
        </w:tc>
        <w:tc>
          <w:tcPr>
            <w:tcW w:w="497"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180</w:t>
            </w:r>
          </w:p>
        </w:tc>
        <w:tc>
          <w:tcPr>
            <w:tcW w:w="640"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25</w:t>
            </w:r>
          </w:p>
        </w:tc>
        <w:tc>
          <w:tcPr>
            <w:tcW w:w="497"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35</w:t>
            </w:r>
          </w:p>
        </w:tc>
        <w:tc>
          <w:tcPr>
            <w:tcW w:w="540"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3" w:type="pct"/>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both"/>
              <w:textAlignment w:val="center"/>
              <w:rPr>
                <w:sz w:val="22"/>
              </w:rPr>
            </w:pPr>
            <w:r>
              <w:rPr>
                <w:rFonts w:hint="eastAsia"/>
                <w:kern w:val="0"/>
                <w:sz w:val="22"/>
              </w:rPr>
              <w:t>设计出水水质</w:t>
            </w:r>
          </w:p>
        </w:tc>
        <w:tc>
          <w:tcPr>
            <w:tcW w:w="877" w:type="dxa"/>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6~9</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≤30</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rPr>
                <w:rFonts w:hint="eastAsia"/>
              </w:rPr>
            </w:pPr>
            <w:r>
              <w:rPr>
                <w:rFonts w:hint="eastAsia"/>
              </w:rPr>
              <w:t>≤6</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w:t>
            </w:r>
            <w:r>
              <w:t>10</w:t>
            </w:r>
          </w:p>
        </w:tc>
        <w:tc>
          <w:tcPr>
            <w:tcW w:w="1340" w:type="dxa"/>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≤1.5</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w:t>
            </w:r>
            <w:r>
              <w:t>15</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≤0.3</w:t>
            </w:r>
          </w:p>
        </w:tc>
      </w:tr>
    </w:tbl>
    <w:p>
      <w:pPr>
        <w:ind w:firstLine="482"/>
        <w:rPr>
          <w:rFonts w:hint="eastAsia"/>
        </w:rPr>
      </w:pPr>
      <w:r>
        <w:rPr>
          <w:rFonts w:hint="eastAsia"/>
          <w:b/>
        </w:rPr>
        <w:t>工业废水厂</w:t>
      </w:r>
      <w:r>
        <w:rPr>
          <w:rFonts w:hint="eastAsia"/>
        </w:rPr>
        <w:t>设计进、出水水质，具体如下表所示：</w:t>
      </w:r>
    </w:p>
    <w:p>
      <w:pPr>
        <w:pStyle w:val="13"/>
        <w:spacing w:after="156"/>
        <w:ind w:firstLine="360"/>
        <w:jc w:val="both"/>
      </w:pPr>
      <w:r>
        <w:rPr>
          <w:rFonts w:hint="eastAsia"/>
        </w:rPr>
        <w:t>工业废水厂设计进、出水水质表单位：</w:t>
      </w:r>
      <w:r>
        <w:t>mg/l</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767"/>
        <w:gridCol w:w="1047"/>
        <w:gridCol w:w="872"/>
        <w:gridCol w:w="837"/>
        <w:gridCol w:w="1110"/>
        <w:gridCol w:w="785"/>
        <w:gridCol w:w="945"/>
        <w:gridCol w:w="944"/>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blHeader/>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项目</w:t>
            </w:r>
          </w:p>
        </w:tc>
        <w:tc>
          <w:tcPr>
            <w:tcW w:w="416"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pH</w:t>
            </w:r>
          </w:p>
        </w:tc>
        <w:tc>
          <w:tcPr>
            <w:tcW w:w="568"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CODcr</w:t>
            </w:r>
          </w:p>
        </w:tc>
        <w:tc>
          <w:tcPr>
            <w:tcW w:w="473"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BOD</w:t>
            </w:r>
            <w:r>
              <w:rPr>
                <w:vertAlign w:val="subscript"/>
              </w:rPr>
              <w:t>5</w:t>
            </w:r>
          </w:p>
        </w:tc>
        <w:tc>
          <w:tcPr>
            <w:tcW w:w="454"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SS</w:t>
            </w:r>
          </w:p>
        </w:tc>
        <w:tc>
          <w:tcPr>
            <w:tcW w:w="602"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NH</w:t>
            </w:r>
            <w:r>
              <w:rPr>
                <w:vertAlign w:val="subscript"/>
              </w:rPr>
              <w:t>3</w:t>
            </w:r>
            <w:r>
              <w:t>-N</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TN</w:t>
            </w:r>
          </w:p>
        </w:tc>
        <w:tc>
          <w:tcPr>
            <w:tcW w:w="512"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TP</w:t>
            </w:r>
          </w:p>
        </w:tc>
        <w:tc>
          <w:tcPr>
            <w:tcW w:w="512" w:type="pct"/>
            <w:tcBorders>
              <w:top w:val="single" w:color="auto" w:sz="4" w:space="0"/>
              <w:left w:val="single" w:color="auto" w:sz="4" w:space="0"/>
              <w:bottom w:val="single" w:color="auto" w:sz="4" w:space="0"/>
              <w:right w:val="single" w:color="auto" w:sz="4" w:space="0"/>
            </w:tcBorders>
            <w:noWrap w:val="0"/>
            <w:vAlign w:val="center"/>
          </w:tcPr>
          <w:p>
            <w:pPr>
              <w:pStyle w:val="35"/>
              <w:ind w:firstLine="0" w:firstLineChars="0"/>
              <w:jc w:val="both"/>
            </w:pPr>
            <w:r>
              <w:rPr>
                <w:rFonts w:hint="eastAsia"/>
              </w:rPr>
              <w:t>总铜</w:t>
            </w:r>
          </w:p>
        </w:tc>
        <w:tc>
          <w:tcPr>
            <w:tcW w:w="562"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进水水质</w:t>
            </w:r>
          </w:p>
        </w:tc>
        <w:tc>
          <w:tcPr>
            <w:tcW w:w="416"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6~9</w:t>
            </w:r>
          </w:p>
        </w:tc>
        <w:tc>
          <w:tcPr>
            <w:tcW w:w="568"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500</w:t>
            </w:r>
          </w:p>
        </w:tc>
        <w:tc>
          <w:tcPr>
            <w:tcW w:w="473"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300</w:t>
            </w:r>
          </w:p>
        </w:tc>
        <w:tc>
          <w:tcPr>
            <w:tcW w:w="454"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400</w:t>
            </w:r>
          </w:p>
        </w:tc>
        <w:tc>
          <w:tcPr>
            <w:tcW w:w="602"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45</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70</w:t>
            </w:r>
          </w:p>
        </w:tc>
        <w:tc>
          <w:tcPr>
            <w:tcW w:w="512"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8</w:t>
            </w:r>
          </w:p>
        </w:tc>
        <w:tc>
          <w:tcPr>
            <w:tcW w:w="512" w:type="pct"/>
            <w:tcBorders>
              <w:top w:val="single" w:color="auto" w:sz="4" w:space="0"/>
              <w:left w:val="single" w:color="auto" w:sz="4" w:space="0"/>
              <w:bottom w:val="single" w:color="auto" w:sz="4" w:space="0"/>
              <w:right w:val="single" w:color="auto" w:sz="4" w:space="0"/>
            </w:tcBorders>
            <w:noWrap w:val="0"/>
            <w:vAlign w:val="center"/>
          </w:tcPr>
          <w:p>
            <w:pPr>
              <w:pStyle w:val="35"/>
              <w:ind w:firstLine="0" w:firstLineChars="0"/>
              <w:jc w:val="both"/>
            </w:pPr>
            <w:r>
              <w:rPr>
                <w:rFonts w:hint="eastAsia"/>
              </w:rPr>
              <w:t>2</w:t>
            </w:r>
          </w:p>
        </w:tc>
        <w:tc>
          <w:tcPr>
            <w:tcW w:w="562"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both"/>
              <w:textAlignment w:val="center"/>
              <w:rPr>
                <w:sz w:val="22"/>
              </w:rPr>
            </w:pPr>
            <w:r>
              <w:rPr>
                <w:rFonts w:hint="eastAsia"/>
                <w:kern w:val="0"/>
                <w:sz w:val="22"/>
              </w:rPr>
              <w:t>出水水质</w:t>
            </w:r>
          </w:p>
        </w:tc>
        <w:tc>
          <w:tcPr>
            <w:tcW w:w="416"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t>6~9</w:t>
            </w:r>
          </w:p>
        </w:tc>
        <w:tc>
          <w:tcPr>
            <w:tcW w:w="568"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w:t>
            </w:r>
            <w:r>
              <w:t>40</w:t>
            </w:r>
          </w:p>
        </w:tc>
        <w:tc>
          <w:tcPr>
            <w:tcW w:w="473"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w:t>
            </w:r>
            <w:r>
              <w:t>10</w:t>
            </w:r>
          </w:p>
        </w:tc>
        <w:tc>
          <w:tcPr>
            <w:tcW w:w="454"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w:t>
            </w:r>
            <w:r>
              <w:t>10</w:t>
            </w:r>
          </w:p>
        </w:tc>
        <w:tc>
          <w:tcPr>
            <w:tcW w:w="602"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w:t>
            </w:r>
            <w:r>
              <w:t>1.5</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w:t>
            </w:r>
            <w:r>
              <w:t>15</w:t>
            </w:r>
          </w:p>
        </w:tc>
        <w:tc>
          <w:tcPr>
            <w:tcW w:w="512"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w:t>
            </w:r>
            <w:r>
              <w:t>0.4</w:t>
            </w:r>
          </w:p>
        </w:tc>
        <w:tc>
          <w:tcPr>
            <w:tcW w:w="512"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≤0</w:t>
            </w:r>
            <w:r>
              <w:t>.5</w:t>
            </w:r>
          </w:p>
        </w:tc>
        <w:tc>
          <w:tcPr>
            <w:tcW w:w="562" w:type="pct"/>
            <w:tcBorders>
              <w:top w:val="single" w:color="auto" w:sz="4" w:space="0"/>
              <w:left w:val="single" w:color="auto" w:sz="4" w:space="0"/>
              <w:bottom w:val="single" w:color="auto" w:sz="4" w:space="0"/>
              <w:right w:val="single" w:color="auto" w:sz="4" w:space="0"/>
            </w:tcBorders>
            <w:noWrap w:val="0"/>
            <w:vAlign w:val="center"/>
          </w:tcPr>
          <w:p>
            <w:pPr>
              <w:pStyle w:val="28"/>
              <w:ind w:firstLine="0" w:firstLineChars="0"/>
              <w:jc w:val="both"/>
            </w:pPr>
            <w:r>
              <w:rPr>
                <w:rFonts w:hint="eastAsia"/>
              </w:rPr>
              <w:t>≤</w:t>
            </w:r>
            <w:r>
              <w:t>5</w:t>
            </w:r>
          </w:p>
        </w:tc>
      </w:tr>
    </w:tbl>
    <w:p>
      <w:pPr>
        <w:pStyle w:val="5"/>
        <w:spacing w:beforeLines="0" w:afterLines="0" w:line="360" w:lineRule="auto"/>
        <w:ind w:firstLine="0"/>
        <w:jc w:val="both"/>
        <w:rPr>
          <w:b/>
          <w:bCs/>
          <w:sz w:val="24"/>
          <w:szCs w:val="32"/>
          <w:highlight w:val="none"/>
        </w:rPr>
      </w:pPr>
      <w:r>
        <w:rPr>
          <w:rFonts w:hint="eastAsia"/>
          <w:b/>
          <w:bCs/>
          <w:sz w:val="24"/>
          <w:szCs w:val="32"/>
          <w:highlight w:val="none"/>
        </w:rPr>
        <w:t>污泥处理目标</w:t>
      </w:r>
    </w:p>
    <w:p>
      <w:pPr>
        <w:ind w:firstLine="480"/>
      </w:pPr>
      <w:r>
        <w:t>水厂污泥应</w:t>
      </w:r>
      <w:r>
        <w:rPr>
          <w:rFonts w:hint="eastAsia"/>
        </w:rPr>
        <w:t>进行减量化、稳定化、无害化和资源化</w:t>
      </w:r>
      <w:r>
        <w:t>处理</w:t>
      </w:r>
      <w:r>
        <w:rPr>
          <w:rFonts w:hint="eastAsia"/>
        </w:rPr>
        <w:t>处置。</w:t>
      </w:r>
      <w:r>
        <w:t>根据由广州市水务局委托编制的《广州市城镇生活污水厂污泥处理处置技术指引》（2013）中对污泥处理处置的要求，将污泥处理至含水率40%后出厂，送至区政府指定的处置场所进行处置。</w:t>
      </w:r>
    </w:p>
    <w:p>
      <w:pPr>
        <w:ind w:firstLine="480"/>
      </w:pPr>
      <w:r>
        <w:rPr>
          <w:rFonts w:hint="eastAsia"/>
        </w:rPr>
        <w:t>考虑到增城区污泥处置产能已非常紧张，本工程考虑生活污水处理厂的污泥在厂内进一步经过碳化处理，后续</w:t>
      </w:r>
      <w:r>
        <w:rPr>
          <w:rFonts w:hint="eastAsia"/>
          <w:lang w:val="en-US" w:eastAsia="zh-CN"/>
        </w:rPr>
        <w:t>外运</w:t>
      </w:r>
      <w:r>
        <w:rPr>
          <w:rFonts w:hint="eastAsia"/>
        </w:rPr>
        <w:t>资源化利用。</w:t>
      </w:r>
    </w:p>
    <w:p>
      <w:pPr>
        <w:pStyle w:val="5"/>
        <w:spacing w:beforeLines="0" w:afterLines="0" w:line="360" w:lineRule="auto"/>
        <w:ind w:firstLine="0"/>
        <w:jc w:val="both"/>
      </w:pPr>
      <w:r>
        <w:rPr>
          <w:rFonts w:hint="eastAsia"/>
        </w:rPr>
        <w:t>臭气处理目标</w:t>
      </w:r>
    </w:p>
    <w:p>
      <w:pPr>
        <w:spacing w:beforeLines="0" w:afterLines="0" w:line="360" w:lineRule="auto"/>
        <w:ind w:firstLine="0"/>
        <w:jc w:val="both"/>
        <w:rPr>
          <w:highlight w:val="none"/>
        </w:rPr>
      </w:pPr>
      <w:r>
        <w:rPr>
          <w:rFonts w:hint="eastAsia"/>
          <w:highlight w:val="none"/>
        </w:rPr>
        <w:t>本工程</w:t>
      </w:r>
      <w:r>
        <w:rPr>
          <w:highlight w:val="none"/>
        </w:rPr>
        <w:t>除臭设计标准按广东省《城镇地下污水处理设施通风与臭气处理技术标准》（DBJ/T 15-202-2020）执行。周界臭气浓度按非工业区控制，不超过10。尾气有组织高空排放，排放塔的高度为</w:t>
      </w:r>
      <w:r>
        <w:rPr>
          <w:rFonts w:hint="eastAsia"/>
          <w:highlight w:val="none"/>
        </w:rPr>
        <w:t>15</w:t>
      </w:r>
      <w:r>
        <w:rPr>
          <w:highlight w:val="none"/>
        </w:rPr>
        <w:t>米，满足广东省《城镇地下污水处理设施通风与臭气处理技术标准》（DBJ/T 15-202-2020）要求</w:t>
      </w:r>
      <w:r>
        <w:rPr>
          <w:rFonts w:hint="eastAsia"/>
          <w:highlight w:val="none"/>
        </w:rPr>
        <w:t>。</w:t>
      </w:r>
    </w:p>
    <w:p>
      <w:pPr>
        <w:pStyle w:val="5"/>
        <w:spacing w:beforeLines="0" w:afterLines="0" w:line="360" w:lineRule="auto"/>
        <w:ind w:firstLine="0"/>
        <w:jc w:val="both"/>
        <w:rPr>
          <w:b/>
          <w:bCs/>
          <w:sz w:val="24"/>
          <w:szCs w:val="32"/>
          <w:highlight w:val="none"/>
        </w:rPr>
      </w:pPr>
      <w:r>
        <w:rPr>
          <w:rFonts w:hint="eastAsia"/>
          <w:b/>
          <w:bCs/>
          <w:sz w:val="24"/>
          <w:szCs w:val="32"/>
          <w:highlight w:val="none"/>
        </w:rPr>
        <w:t>环境保护目标</w:t>
      </w:r>
    </w:p>
    <w:p>
      <w:pPr>
        <w:spacing w:beforeLines="0" w:afterLines="0" w:line="360" w:lineRule="auto"/>
        <w:ind w:firstLine="0"/>
        <w:jc w:val="both"/>
        <w:rPr>
          <w:rFonts w:hint="eastAsia"/>
        </w:rPr>
      </w:pPr>
      <w:r>
        <w:rPr>
          <w:rFonts w:hint="eastAsia"/>
        </w:rPr>
        <w:t>下沉式</w:t>
      </w:r>
      <w:r>
        <w:rPr>
          <w:rFonts w:hint="eastAsia"/>
          <w:lang w:val="en-US" w:eastAsia="zh-CN"/>
        </w:rPr>
        <w:t>污水处理</w:t>
      </w:r>
      <w:r>
        <w:rPr>
          <w:rFonts w:hint="eastAsia"/>
        </w:rPr>
        <w:t>厂</w:t>
      </w:r>
      <w:r>
        <w:t>作为环保工程，设计中应尽量减少</w:t>
      </w:r>
      <w:r>
        <w:rPr>
          <w:rFonts w:hint="eastAsia"/>
        </w:rPr>
        <w:t>下沉式再</w:t>
      </w:r>
      <w:r>
        <w:rPr>
          <w:rFonts w:hint="eastAsia"/>
          <w:lang w:val="en-US" w:eastAsia="zh-CN"/>
        </w:rPr>
        <w:t>污水处理</w:t>
      </w:r>
      <w:r>
        <w:rPr>
          <w:rFonts w:hint="eastAsia"/>
        </w:rPr>
        <w:t>厂</w:t>
      </w:r>
      <w:r>
        <w:t>本身对环境的负面影响，如气味、噪音、固体废弃物等均应达到《环境空气质量标准》（GB3095-</w:t>
      </w:r>
      <w:r>
        <w:rPr>
          <w:rFonts w:hint="eastAsia"/>
        </w:rPr>
        <w:t>2012</w:t>
      </w:r>
      <w:r>
        <w:t>）及《工业企业厂界噪音标准》（GBL2348-90）等标准</w:t>
      </w:r>
      <w:r>
        <w:rPr>
          <w:rFonts w:hint="eastAsia"/>
        </w:rPr>
        <w:t>。</w:t>
      </w:r>
    </w:p>
    <w:p>
      <w:pPr>
        <w:pStyle w:val="4"/>
        <w:spacing w:beforeLines="0" w:afterLines="0" w:line="360" w:lineRule="auto"/>
        <w:ind w:firstLine="0"/>
        <w:jc w:val="both"/>
        <w:rPr>
          <w:rFonts w:hint="default"/>
          <w:lang w:val="en-US" w:eastAsia="zh-CN"/>
        </w:rPr>
      </w:pPr>
      <w:r>
        <w:rPr>
          <w:rFonts w:hint="eastAsia"/>
          <w:lang w:val="en-US" w:eastAsia="zh-CN"/>
        </w:rPr>
        <w:t>工艺流程</w:t>
      </w:r>
    </w:p>
    <w:p>
      <w:pPr>
        <w:spacing w:beforeLines="0" w:afterLines="0" w:line="360" w:lineRule="auto"/>
        <w:ind w:firstLine="0"/>
        <w:jc w:val="both"/>
      </w:pPr>
      <w:r>
        <w:rPr>
          <w:rFonts w:hint="eastAsia"/>
        </w:rPr>
        <w:t>生活污水厂区进水通过</w:t>
      </w:r>
      <w:r>
        <w:t>粗格栅及提升泵房—细格栅及</w:t>
      </w:r>
      <w:r>
        <w:rPr>
          <w:rFonts w:hint="eastAsia"/>
        </w:rPr>
        <w:t>旋流</w:t>
      </w:r>
      <w:r>
        <w:t>沉砂池—精细格栅—</w:t>
      </w:r>
      <w:r>
        <w:rPr>
          <w:rFonts w:hint="eastAsia"/>
        </w:rPr>
        <w:t>改良 AAO 生化池</w:t>
      </w:r>
      <w:r>
        <w:t>—二沉池—高效沉淀池—深床</w:t>
      </w:r>
      <w:r>
        <w:rPr>
          <w:rFonts w:hint="eastAsia"/>
        </w:rPr>
        <w:t>滤池</w:t>
      </w:r>
      <w:r>
        <w:t>—消毒</w:t>
      </w:r>
      <w:r>
        <w:rPr>
          <w:rFonts w:hint="eastAsia"/>
        </w:rPr>
        <w:t>的处理流程后，最终排入水体。</w:t>
      </w:r>
    </w:p>
    <w:p>
      <w:pPr>
        <w:spacing w:beforeLines="0" w:afterLines="0" w:line="360" w:lineRule="auto"/>
        <w:ind w:firstLine="0"/>
        <w:jc w:val="both"/>
      </w:pPr>
      <w:r>
        <w:rPr>
          <w:rFonts w:hint="eastAsia"/>
        </w:rPr>
        <w:t>工业废水厂区进水通过细格栅—提升泵房—精细格栅—调节池—混凝沉淀—水解酸化— A/A/O 生化池—二沉池—高效沉淀池—高级氧化—曝气生物滤池—出水消毒的处理流程后，最终排入水体。</w:t>
      </w:r>
    </w:p>
    <w:p>
      <w:pPr>
        <w:pStyle w:val="2"/>
        <w:spacing w:beforeLines="0" w:afterLines="0" w:line="360" w:lineRule="auto"/>
        <w:ind w:firstLine="0"/>
        <w:jc w:val="both"/>
        <w:rPr>
          <w:rFonts w:hint="eastAsia"/>
        </w:rPr>
      </w:pPr>
    </w:p>
    <w:p>
      <w:pPr>
        <w:pStyle w:val="2"/>
        <w:spacing w:beforeLines="0" w:afterLines="0" w:line="360" w:lineRule="auto"/>
        <w:ind w:firstLine="0"/>
        <w:jc w:val="both"/>
        <w:rPr>
          <w:rFonts w:hint="eastAsia"/>
        </w:rPr>
      </w:pPr>
    </w:p>
    <w:p>
      <w:pPr>
        <w:pStyle w:val="2"/>
        <w:spacing w:beforeLines="0" w:afterLines="0" w:line="360" w:lineRule="auto"/>
        <w:ind w:firstLine="0"/>
        <w:jc w:val="both"/>
        <w:rPr>
          <w:rFonts w:hint="eastAsia"/>
        </w:rPr>
        <w:sectPr>
          <w:pgSz w:w="11906" w:h="16838"/>
          <w:pgMar w:top="1440" w:right="1466" w:bottom="1440" w:left="1440" w:header="851" w:footer="992" w:gutter="0"/>
          <w:cols w:space="720" w:num="1"/>
          <w:docGrid w:type="linesAndChars" w:linePitch="312" w:charSpace="0"/>
        </w:sectPr>
      </w:pPr>
    </w:p>
    <w:p>
      <w:pPr>
        <w:pStyle w:val="12"/>
        <w:spacing w:beforeLines="0" w:afterLines="0" w:line="360" w:lineRule="auto"/>
        <w:ind w:firstLine="0"/>
        <w:jc w:val="both"/>
        <w:rPr>
          <w:highlight w:val="none"/>
        </w:rPr>
      </w:pPr>
    </w:p>
    <w:p>
      <w:pPr>
        <w:pStyle w:val="3"/>
        <w:spacing w:before="0" w:beforeLines="0" w:after="0" w:afterLines="0"/>
        <w:ind w:firstLine="880" w:firstLineChars="200"/>
        <w:jc w:val="center"/>
        <w:outlineLvl w:val="9"/>
      </w:pPr>
      <w:bookmarkStart w:id="19" w:name="_Toc29117"/>
      <w:bookmarkStart w:id="20" w:name="_Toc3388"/>
      <w:bookmarkStart w:id="21" w:name="_Toc16069"/>
      <w:r>
        <w:rPr>
          <w:rFonts w:hint="eastAsia"/>
        </w:rPr>
        <w:t>现状条件</w:t>
      </w:r>
      <w:bookmarkEnd w:id="19"/>
      <w:bookmarkEnd w:id="20"/>
      <w:bookmarkEnd w:id="21"/>
    </w:p>
    <w:p>
      <w:pPr>
        <w:pStyle w:val="4"/>
        <w:spacing w:before="0" w:beforeLines="0" w:after="0" w:afterLines="0"/>
        <w:ind w:left="0" w:firstLine="640" w:firstLineChars="200"/>
        <w:jc w:val="both"/>
        <w:outlineLvl w:val="9"/>
      </w:pPr>
      <w:bookmarkStart w:id="22" w:name="_Toc7129"/>
      <w:bookmarkStart w:id="23" w:name="_Toc15814"/>
      <w:r>
        <w:rPr>
          <w:rFonts w:hint="eastAsia"/>
        </w:rPr>
        <w:t>场地条件</w:t>
      </w:r>
      <w:bookmarkEnd w:id="22"/>
      <w:bookmarkEnd w:id="23"/>
    </w:p>
    <w:p>
      <w:pPr>
        <w:spacing w:beforeLines="0" w:afterLines="0" w:line="360" w:lineRule="auto"/>
        <w:ind w:firstLine="480" w:firstLineChars="200"/>
        <w:jc w:val="both"/>
      </w:pPr>
      <w:r>
        <w:rPr>
          <w:rFonts w:hint="eastAsia"/>
        </w:rPr>
        <w:t>项目用地现阶段为农用地，位于永宁街长岗村创誉路与永和河交界的西南角，顶面标高约9.5～10.5m，红线范围外规划并建有相适应的道路、市政管网和公用动力等配套设施。</w:t>
      </w:r>
    </w:p>
    <w:p>
      <w:pPr>
        <w:pStyle w:val="4"/>
        <w:spacing w:before="0" w:beforeLines="0" w:after="0" w:afterLines="0"/>
        <w:ind w:left="0" w:firstLine="640" w:firstLineChars="200"/>
        <w:jc w:val="both"/>
        <w:outlineLvl w:val="9"/>
      </w:pPr>
      <w:bookmarkStart w:id="24" w:name="_Toc29281"/>
      <w:bookmarkStart w:id="25" w:name="_Toc10059"/>
      <w:r>
        <w:rPr>
          <w:rFonts w:hint="eastAsia"/>
        </w:rPr>
        <w:t>交通条件</w:t>
      </w:r>
      <w:bookmarkEnd w:id="24"/>
      <w:bookmarkEnd w:id="25"/>
    </w:p>
    <w:p>
      <w:pPr>
        <w:spacing w:beforeLines="0" w:afterLines="0" w:line="360" w:lineRule="auto"/>
        <w:ind w:firstLine="480" w:firstLineChars="200"/>
        <w:jc w:val="both"/>
        <w:rPr>
          <w:rFonts w:hint="eastAsia"/>
        </w:rPr>
      </w:pPr>
      <w:r>
        <w:rPr>
          <w:rFonts w:hint="eastAsia"/>
        </w:rPr>
        <w:t>项目建设地点位于广州市增城区永宁街长岗村创誉路与永和河交界的西南角，紧邻济广高速、平安硅谷，长岗村、合生汇、太阳城，以及新塘万达广场，场地呈南北走向，地势平坦，北临创誉路，南面为规划的创建路，东侧永和河，西侧官湖河，交通条件良好。</w:t>
      </w:r>
    </w:p>
    <w:p>
      <w:pPr>
        <w:pStyle w:val="4"/>
        <w:numPr>
          <w:ilvl w:val="0"/>
          <w:numId w:val="2"/>
        </w:numPr>
        <w:spacing w:beforeLines="0" w:afterLines="0" w:line="360" w:lineRule="auto"/>
        <w:ind w:firstLine="640" w:firstLineChars="200"/>
        <w:jc w:val="both"/>
      </w:pPr>
      <w:r>
        <w:rPr>
          <w:rFonts w:hint="eastAsia"/>
        </w:rPr>
        <w:t>气候条件</w:t>
      </w:r>
    </w:p>
    <w:p>
      <w:pPr>
        <w:spacing w:beforeLines="0" w:afterLines="0" w:line="360" w:lineRule="auto"/>
        <w:ind w:firstLine="480" w:firstLineChars="200"/>
        <w:jc w:val="both"/>
        <w:rPr>
          <w:rFonts w:ascii="宋体" w:hAnsi="宋体" w:cs="仿宋"/>
          <w:bCs/>
          <w:szCs w:val="32"/>
        </w:rPr>
      </w:pPr>
      <w:r>
        <w:t>增城区地处亚热带沿海，北回归线从中南部穿过，属海洋性亚热带季风气候，以温暖多雨、光热充足、夏季长、霜期短为特征。全年平均气温为20-22摄氏度，是中国年平均温差最小的大城市之一。一年中最热的月份是7月，月平均气温达28.7℃。最冷月为1 月份，月平均气温为9～16℃。平均相对湿度77%，市区年降雨量约为1720毫米。全年中，4 至6月为雨季，7至9月天气炎热，多台风，10月、11月、和3月气温适中，12至2月为阴凉的冬季。全年水热同期，雨量充沛，利于植物生长，为四季常绿、花团锦簇的城市。增城区属南亚热带海洋性季风气候，北回归线经过增城北部，特点是气温高、雨量充沛、霜日少、光照充足，全年都可栽培作物。但因季风交替迟早及强弱不同，气候多变。受地势影响，北部山区与南部平原气候有差异</w:t>
      </w:r>
      <w:r>
        <w:rPr>
          <w:rFonts w:hint="eastAsia"/>
        </w:rPr>
        <w:t>。</w:t>
      </w:r>
    </w:p>
    <w:p>
      <w:pPr>
        <w:pStyle w:val="4"/>
        <w:spacing w:beforeLines="0" w:afterLines="0" w:line="360" w:lineRule="auto"/>
        <w:ind w:firstLine="640" w:firstLineChars="200"/>
        <w:jc w:val="both"/>
      </w:pPr>
      <w:r>
        <w:rPr>
          <w:rFonts w:hint="eastAsia"/>
        </w:rPr>
        <w:t>地形条件</w:t>
      </w:r>
    </w:p>
    <w:p>
      <w:pPr>
        <w:spacing w:beforeLines="0" w:afterLines="0" w:line="360" w:lineRule="auto"/>
        <w:ind w:firstLine="480" w:firstLineChars="200"/>
        <w:jc w:val="both"/>
      </w:pPr>
      <w:r>
        <w:rPr>
          <w:rFonts w:hint="eastAsia"/>
        </w:rPr>
        <w:t>增城区是广州市市辖区，位于广东省中东部、广州市东部，东江下游北岸，罗浮山西面；东与惠州市接壤，南与东莞市隔江相望，西与黄埔区毗邻，北与从化区和龙门县接界。增城区北部地势较高，南部较低，山地以低山为主，占增城区面积8.3%，是九连山脉的延长部分，山脉呈东北与南西走向，平等排列的中山与低山，其间形成了东江与增江。丘陵地主要分布在中南部，占增城区面积的35.1%。台地多在中南部，占增城区面积 23.2%。南部是三角洲平原，加上河谷平原，占增城区面积的35.4%。中低山：主要分布在北部的大尖山、牛牯嶂等（高度500～1000米）。丘陵：绝对高度在500米以下，相对高度一般不超过200米，形态和缓，切割破碎，分布零乱。台地：周围有陡坡的广阔平台，称为台地。 高度在150米以下，坡度在25°上下，没有突出山顶。河谷平原：分布在高滩东洞、灵山至派潭一带，面积41平方公里。河海堆积地：新塘～仙村～石滩～ 三江三角洲平原是珠江三角洲东北部平原。由东江、增江的冲积、堆积作用与古海湾堆积物所形成。厚 20～30 米，最厚39.6米。</w:t>
      </w:r>
    </w:p>
    <w:p>
      <w:pPr>
        <w:spacing w:beforeLines="0" w:afterLines="0" w:line="360" w:lineRule="auto"/>
        <w:ind w:firstLine="0" w:firstLineChars="0"/>
        <w:jc w:val="both"/>
        <w:rPr>
          <w:rFonts w:ascii="宋体" w:hAnsi="宋体" w:cs="仿宋"/>
          <w:bCs/>
        </w:rPr>
        <w:sectPr>
          <w:pgSz w:w="11906" w:h="16838"/>
          <w:pgMar w:top="1440" w:right="1466" w:bottom="1440" w:left="1440" w:header="851" w:footer="992" w:gutter="0"/>
          <w:cols w:space="720" w:num="1"/>
          <w:docGrid w:type="linesAndChars" w:linePitch="312" w:charSpace="0"/>
        </w:sectPr>
      </w:pPr>
    </w:p>
    <w:p>
      <w:pPr>
        <w:pStyle w:val="2"/>
        <w:jc w:val="both"/>
      </w:pPr>
    </w:p>
    <w:p>
      <w:pPr>
        <w:pStyle w:val="3"/>
        <w:spacing w:before="0" w:beforeLines="0" w:after="0" w:afterLines="0"/>
        <w:ind w:firstLine="880" w:firstLineChars="200"/>
        <w:jc w:val="center"/>
        <w:outlineLvl w:val="9"/>
      </w:pPr>
      <w:bookmarkStart w:id="26" w:name="_Toc17027"/>
      <w:bookmarkStart w:id="27" w:name="_Toc30561"/>
      <w:bookmarkStart w:id="28" w:name="_Toc1522"/>
      <w:r>
        <w:rPr>
          <w:rFonts w:hint="eastAsia"/>
        </w:rPr>
        <w:t>设计依据</w:t>
      </w:r>
      <w:bookmarkEnd w:id="26"/>
      <w:bookmarkEnd w:id="27"/>
      <w:bookmarkEnd w:id="28"/>
    </w:p>
    <w:p>
      <w:pPr>
        <w:pStyle w:val="4"/>
        <w:spacing w:before="0" w:beforeLines="0" w:after="0" w:afterLines="0"/>
        <w:ind w:left="0" w:firstLine="0"/>
        <w:jc w:val="both"/>
        <w:outlineLvl w:val="9"/>
      </w:pPr>
      <w:bookmarkStart w:id="29" w:name="_Toc9482"/>
      <w:bookmarkStart w:id="30" w:name="_Toc21628"/>
      <w:r>
        <w:rPr>
          <w:rFonts w:hint="eastAsia"/>
        </w:rPr>
        <w:t>设计输入条件</w:t>
      </w:r>
      <w:bookmarkEnd w:id="29"/>
      <w:bookmarkEnd w:id="30"/>
    </w:p>
    <w:p>
      <w:pPr>
        <w:spacing w:beforeLines="0" w:afterLines="0" w:line="360" w:lineRule="auto"/>
        <w:ind w:firstLine="480" w:firstLineChars="200"/>
        <w:jc w:val="both"/>
      </w:pPr>
      <w:r>
        <w:rPr>
          <w:rFonts w:hint="eastAsia"/>
        </w:rPr>
        <w:t>项目设计输入条件包括但不限于：</w:t>
      </w:r>
    </w:p>
    <w:p>
      <w:pPr>
        <w:spacing w:beforeLines="0" w:afterLines="0" w:line="360" w:lineRule="auto"/>
        <w:ind w:firstLine="480" w:firstLineChars="200"/>
        <w:jc w:val="both"/>
      </w:pPr>
      <w:r>
        <w:rPr>
          <w:rFonts w:hint="eastAsia"/>
        </w:rPr>
        <w:t>1.可行性研究报告</w:t>
      </w:r>
    </w:p>
    <w:p>
      <w:pPr>
        <w:spacing w:beforeLines="0" w:afterLines="0" w:line="360" w:lineRule="auto"/>
        <w:ind w:firstLine="480" w:firstLineChars="200"/>
        <w:jc w:val="both"/>
      </w:pPr>
      <w:r>
        <w:rPr>
          <w:rFonts w:hint="eastAsia"/>
        </w:rPr>
        <w:t>2.造价控制要求</w:t>
      </w:r>
    </w:p>
    <w:p>
      <w:pPr>
        <w:spacing w:beforeLines="0" w:afterLines="0" w:line="360" w:lineRule="auto"/>
        <w:ind w:firstLine="480" w:firstLineChars="200"/>
        <w:jc w:val="both"/>
      </w:pPr>
      <w:r>
        <w:rPr>
          <w:rFonts w:hint="eastAsia"/>
        </w:rPr>
        <w:t>3.用地红线图</w:t>
      </w:r>
    </w:p>
    <w:p>
      <w:pPr>
        <w:spacing w:beforeLines="0" w:afterLines="0" w:line="360" w:lineRule="auto"/>
        <w:ind w:firstLine="480" w:firstLineChars="200"/>
        <w:jc w:val="both"/>
      </w:pPr>
      <w:r>
        <w:rPr>
          <w:rFonts w:hint="eastAsia"/>
        </w:rPr>
        <w:t>4.环评等前期文件</w:t>
      </w:r>
    </w:p>
    <w:p>
      <w:pPr>
        <w:spacing w:beforeLines="0" w:afterLines="0" w:line="360" w:lineRule="auto"/>
        <w:ind w:firstLine="480" w:firstLineChars="200"/>
        <w:jc w:val="both"/>
        <w:rPr>
          <w:rFonts w:hint="eastAsia"/>
          <w:lang w:eastAsia="zh-CN"/>
        </w:rPr>
      </w:pPr>
      <w:r>
        <w:rPr>
          <w:rFonts w:hint="eastAsia"/>
        </w:rPr>
        <w:t>5.</w:t>
      </w:r>
      <w:r>
        <w:rPr>
          <w:rFonts w:hint="eastAsia"/>
          <w:lang w:val="en-US" w:eastAsia="zh-CN"/>
        </w:rPr>
        <w:t>初步设计</w:t>
      </w:r>
    </w:p>
    <w:p>
      <w:pPr>
        <w:spacing w:beforeLines="0" w:afterLines="0" w:line="360" w:lineRule="auto"/>
        <w:ind w:firstLine="480" w:firstLineChars="200"/>
        <w:jc w:val="both"/>
      </w:pPr>
      <w:r>
        <w:rPr>
          <w:rFonts w:hint="eastAsia"/>
        </w:rPr>
        <w:t>6.使用方对功能需求的意见</w:t>
      </w:r>
    </w:p>
    <w:p>
      <w:pPr>
        <w:spacing w:beforeLines="0" w:afterLines="0" w:line="360" w:lineRule="auto"/>
        <w:ind w:firstLine="480" w:firstLineChars="200"/>
        <w:jc w:val="both"/>
      </w:pPr>
      <w:r>
        <w:rPr>
          <w:rFonts w:hint="eastAsia"/>
        </w:rPr>
        <w:t>7.建设用地规划条件</w:t>
      </w:r>
    </w:p>
    <w:p>
      <w:pPr>
        <w:spacing w:beforeLines="0" w:afterLines="0" w:line="360" w:lineRule="auto"/>
        <w:ind w:firstLine="480" w:firstLineChars="200"/>
        <w:jc w:val="both"/>
      </w:pPr>
      <w:r>
        <w:rPr>
          <w:rFonts w:hint="eastAsia"/>
        </w:rPr>
        <w:t>8.合同及附件</w:t>
      </w:r>
    </w:p>
    <w:p>
      <w:pPr>
        <w:pStyle w:val="4"/>
        <w:spacing w:before="0" w:beforeLines="0" w:after="0" w:afterLines="0"/>
        <w:ind w:left="0" w:firstLine="0"/>
        <w:jc w:val="both"/>
        <w:outlineLvl w:val="9"/>
      </w:pPr>
      <w:bookmarkStart w:id="31" w:name="_Toc20870"/>
      <w:bookmarkStart w:id="32" w:name="_Toc32550"/>
      <w:r>
        <w:rPr>
          <w:rFonts w:hint="eastAsia"/>
        </w:rPr>
        <w:t>现行法律法规、技术标准与规范</w:t>
      </w:r>
      <w:bookmarkEnd w:id="31"/>
      <w:bookmarkEnd w:id="32"/>
    </w:p>
    <w:p>
      <w:pPr>
        <w:spacing w:beforeLines="0" w:afterLines="0" w:line="360" w:lineRule="auto"/>
        <w:ind w:firstLine="480" w:firstLineChars="200"/>
        <w:jc w:val="both"/>
      </w:pPr>
      <w:r>
        <w:rPr>
          <w:rFonts w:hint="eastAsia"/>
        </w:rPr>
        <w:t>1.《中华人民共和国城乡规划法》；</w:t>
      </w:r>
    </w:p>
    <w:p>
      <w:pPr>
        <w:spacing w:beforeLines="0" w:afterLines="0" w:line="360" w:lineRule="auto"/>
        <w:ind w:firstLine="480" w:firstLineChars="200"/>
        <w:jc w:val="both"/>
      </w:pPr>
      <w:r>
        <w:rPr>
          <w:rFonts w:hint="eastAsia"/>
        </w:rPr>
        <w:t>2.《城市规划编制办法》（中华人民共和国建设部令 2005 年第 146 号）；</w:t>
      </w:r>
    </w:p>
    <w:p>
      <w:pPr>
        <w:spacing w:beforeLines="0" w:afterLines="0" w:line="360" w:lineRule="auto"/>
        <w:ind w:firstLine="480" w:firstLineChars="200"/>
        <w:jc w:val="both"/>
      </w:pPr>
      <w:r>
        <w:rPr>
          <w:rFonts w:hint="eastAsia"/>
        </w:rPr>
        <w:t>3.《城市规划编制办法实施细则》（建规〔1995〕333 号）；</w:t>
      </w:r>
    </w:p>
    <w:p>
      <w:pPr>
        <w:spacing w:beforeLines="0" w:afterLines="0" w:line="360" w:lineRule="auto"/>
        <w:ind w:firstLine="480" w:firstLineChars="200"/>
        <w:jc w:val="both"/>
      </w:pPr>
      <w:r>
        <w:rPr>
          <w:rFonts w:hint="eastAsia"/>
        </w:rPr>
        <w:t>4.《城市排水工程规划规范》（</w:t>
      </w:r>
      <w:r>
        <w:t>GB50318-2017</w:t>
      </w:r>
      <w:r>
        <w:rPr>
          <w:rFonts w:hint="eastAsia"/>
        </w:rPr>
        <w:t>）；</w:t>
      </w:r>
    </w:p>
    <w:p>
      <w:pPr>
        <w:spacing w:beforeLines="0" w:afterLines="0" w:line="360" w:lineRule="auto"/>
        <w:ind w:firstLine="480" w:firstLineChars="200"/>
        <w:jc w:val="both"/>
      </w:pPr>
      <w:r>
        <w:rPr>
          <w:rFonts w:hint="eastAsia"/>
        </w:rPr>
        <w:t>5.《室外给水设计标准》（</w:t>
      </w:r>
      <w:r>
        <w:t>GB50013-2018</w:t>
      </w:r>
      <w:r>
        <w:rPr>
          <w:rFonts w:hint="eastAsia"/>
        </w:rPr>
        <w:t>）；</w:t>
      </w:r>
    </w:p>
    <w:p>
      <w:pPr>
        <w:spacing w:beforeLines="0" w:afterLines="0" w:line="360" w:lineRule="auto"/>
        <w:ind w:firstLine="480" w:firstLineChars="200"/>
        <w:jc w:val="both"/>
      </w:pPr>
      <w:r>
        <w:rPr>
          <w:rFonts w:hint="eastAsia"/>
        </w:rPr>
        <w:t>6.《</w:t>
      </w:r>
      <w:r>
        <w:rPr>
          <w:rFonts w:hint="eastAsia"/>
          <w:lang w:val="en-US" w:eastAsia="zh-CN"/>
        </w:rPr>
        <w:t>室外排水设计标准</w:t>
      </w:r>
      <w:r>
        <w:rPr>
          <w:rFonts w:hint="eastAsia"/>
        </w:rPr>
        <w:t>》（</w:t>
      </w:r>
      <w:r>
        <w:t>GB50014-2021</w:t>
      </w:r>
      <w:r>
        <w:rPr>
          <w:rFonts w:hint="eastAsia"/>
        </w:rPr>
        <w:t>）；</w:t>
      </w:r>
    </w:p>
    <w:p>
      <w:pPr>
        <w:spacing w:beforeLines="0" w:afterLines="0" w:line="360" w:lineRule="auto"/>
        <w:ind w:firstLine="480" w:firstLineChars="200"/>
        <w:jc w:val="both"/>
      </w:pPr>
      <w:r>
        <w:rPr>
          <w:rFonts w:hint="eastAsia"/>
        </w:rPr>
        <w:t>7.《城市防洪工程设计规范》（GB/T50805-2012）；</w:t>
      </w:r>
    </w:p>
    <w:p>
      <w:pPr>
        <w:spacing w:beforeLines="0" w:afterLines="0" w:line="360" w:lineRule="auto"/>
        <w:ind w:firstLine="480" w:firstLineChars="200"/>
        <w:jc w:val="both"/>
      </w:pPr>
      <w:r>
        <w:rPr>
          <w:rFonts w:hint="eastAsia"/>
        </w:rPr>
        <w:t>8.《城市电力规划规范》（GB/T50293-2014）；</w:t>
      </w:r>
    </w:p>
    <w:p>
      <w:pPr>
        <w:spacing w:beforeLines="0" w:afterLines="0" w:line="360" w:lineRule="auto"/>
        <w:ind w:firstLine="480" w:firstLineChars="200"/>
        <w:jc w:val="both"/>
      </w:pPr>
      <w:r>
        <w:rPr>
          <w:rFonts w:hint="eastAsia"/>
        </w:rPr>
        <w:t>9.《无障碍设计规范》(GB50763-2012)；</w:t>
      </w:r>
    </w:p>
    <w:p>
      <w:pPr>
        <w:spacing w:beforeLines="0" w:afterLines="0" w:line="360" w:lineRule="auto"/>
        <w:ind w:firstLine="480" w:firstLineChars="200"/>
        <w:jc w:val="both"/>
      </w:pPr>
      <w:r>
        <w:rPr>
          <w:rFonts w:hint="eastAsia"/>
        </w:rPr>
        <w:t>10.《民用建筑通用规范》（GB55031-2022）；</w:t>
      </w:r>
    </w:p>
    <w:p>
      <w:pPr>
        <w:spacing w:beforeLines="0" w:afterLines="0" w:line="360" w:lineRule="auto"/>
        <w:ind w:firstLine="480" w:firstLineChars="200"/>
        <w:jc w:val="both"/>
      </w:pPr>
      <w:r>
        <w:rPr>
          <w:rFonts w:hint="eastAsia"/>
        </w:rPr>
        <w:t>11.《办公建筑设计标准》（</w:t>
      </w:r>
      <w:r>
        <w:t>JGJ/T67-2019</w:t>
      </w:r>
      <w:r>
        <w:rPr>
          <w:rFonts w:hint="eastAsia"/>
        </w:rPr>
        <w:t>）；</w:t>
      </w:r>
    </w:p>
    <w:p>
      <w:pPr>
        <w:spacing w:beforeLines="0" w:afterLines="0" w:line="360" w:lineRule="auto"/>
        <w:ind w:firstLine="480" w:firstLineChars="200"/>
        <w:jc w:val="both"/>
      </w:pPr>
      <w:r>
        <w:rPr>
          <w:rFonts w:hint="eastAsia"/>
        </w:rPr>
        <w:t>12.《无障碍设计规范》（GB50763-2012）；</w:t>
      </w:r>
    </w:p>
    <w:p>
      <w:pPr>
        <w:spacing w:beforeLines="0" w:afterLines="0" w:line="360" w:lineRule="auto"/>
        <w:ind w:firstLine="480" w:firstLineChars="200"/>
        <w:jc w:val="both"/>
      </w:pPr>
      <w:r>
        <w:rPr>
          <w:rFonts w:hint="eastAsia"/>
        </w:rPr>
        <w:t>13.《绿色建筑评价标准》（GB/T50378-2014）；</w:t>
      </w:r>
    </w:p>
    <w:p>
      <w:pPr>
        <w:spacing w:beforeLines="0" w:afterLines="0" w:line="360" w:lineRule="auto"/>
        <w:ind w:firstLine="480" w:firstLineChars="200"/>
        <w:jc w:val="both"/>
      </w:pPr>
      <w:r>
        <w:rPr>
          <w:rFonts w:hint="eastAsia"/>
        </w:rPr>
        <w:t>14.《民用建筑设计统一标准》（</w:t>
      </w:r>
      <w:r>
        <w:t>GB50352-2019</w:t>
      </w:r>
      <w:r>
        <w:rPr>
          <w:rFonts w:hint="eastAsia"/>
        </w:rPr>
        <w:t>）；</w:t>
      </w:r>
    </w:p>
    <w:p>
      <w:pPr>
        <w:spacing w:beforeLines="0" w:afterLines="0" w:line="360" w:lineRule="auto"/>
        <w:ind w:firstLine="480" w:firstLineChars="200"/>
        <w:jc w:val="both"/>
      </w:pPr>
      <w:r>
        <w:rPr>
          <w:rFonts w:hint="eastAsia"/>
        </w:rPr>
        <w:t>15.《建筑地面设计规范》（GB50037-2013）；</w:t>
      </w:r>
    </w:p>
    <w:p>
      <w:pPr>
        <w:spacing w:beforeLines="0" w:afterLines="0" w:line="360" w:lineRule="auto"/>
        <w:ind w:firstLine="480" w:firstLineChars="200"/>
        <w:jc w:val="both"/>
      </w:pPr>
      <w:r>
        <w:rPr>
          <w:rFonts w:hint="eastAsia"/>
        </w:rPr>
        <w:t>16.《建筑设计防火规范》（GB50016-2014）；</w:t>
      </w:r>
    </w:p>
    <w:p>
      <w:pPr>
        <w:spacing w:beforeLines="0" w:afterLines="0" w:line="360" w:lineRule="auto"/>
        <w:ind w:firstLine="480" w:firstLineChars="200"/>
        <w:jc w:val="both"/>
      </w:pPr>
      <w:r>
        <w:rPr>
          <w:rFonts w:hint="eastAsia"/>
        </w:rPr>
        <w:t>17.《建筑内部装修设计防火规范》（GB50222-95）（2001 年修订版）；</w:t>
      </w:r>
    </w:p>
    <w:p>
      <w:pPr>
        <w:spacing w:beforeLines="0" w:afterLines="0" w:line="360" w:lineRule="auto"/>
        <w:ind w:firstLine="480" w:firstLineChars="200"/>
        <w:jc w:val="both"/>
      </w:pPr>
      <w:r>
        <w:rPr>
          <w:rFonts w:hint="eastAsia"/>
        </w:rPr>
        <w:t>18.《公共建筑节能设计标准》（GB50189-2015）；</w:t>
      </w:r>
    </w:p>
    <w:p>
      <w:pPr>
        <w:spacing w:beforeLines="0" w:afterLines="0" w:line="360" w:lineRule="auto"/>
        <w:ind w:firstLine="480" w:firstLineChars="200"/>
        <w:jc w:val="both"/>
      </w:pPr>
      <w:r>
        <w:rPr>
          <w:rFonts w:hint="eastAsia"/>
        </w:rPr>
        <w:t>19.《民用建筑隔声设计规范》（GB50118—2010）；</w:t>
      </w:r>
    </w:p>
    <w:p>
      <w:pPr>
        <w:spacing w:beforeLines="0" w:afterLines="0" w:line="360" w:lineRule="auto"/>
        <w:ind w:firstLine="480" w:firstLineChars="200"/>
        <w:jc w:val="both"/>
      </w:pPr>
      <w:r>
        <w:rPr>
          <w:rFonts w:hint="eastAsia"/>
        </w:rPr>
        <w:t>20.</w:t>
      </w:r>
      <w:r>
        <w:fldChar w:fldCharType="begin"/>
      </w:r>
      <w:r>
        <w:instrText xml:space="preserve"> HYPERLINK "http://baike.baidu.com/item/%E5%9B%BD%E5%AE%B6%E6%A0%87%E5%87%86" \t "http://baike.baidu.com/_blank" </w:instrText>
      </w:r>
      <w:r>
        <w:fldChar w:fldCharType="separate"/>
      </w:r>
      <w:r>
        <w:fldChar w:fldCharType="end"/>
      </w:r>
      <w:r>
        <w:rPr>
          <w:rFonts w:hint="eastAsia"/>
        </w:rPr>
        <w:t>《展览建筑设计规范》JGJ218-20140</w:t>
      </w:r>
    </w:p>
    <w:p>
      <w:pPr>
        <w:spacing w:beforeLines="0" w:afterLines="0" w:line="360" w:lineRule="auto"/>
        <w:ind w:firstLine="480" w:firstLineChars="200"/>
        <w:jc w:val="both"/>
      </w:pPr>
      <w:r>
        <w:rPr>
          <w:rFonts w:hint="eastAsia"/>
        </w:rPr>
        <w:t>21.</w:t>
      </w:r>
      <w:r>
        <w:fldChar w:fldCharType="begin"/>
      </w:r>
      <w:r>
        <w:instrText xml:space="preserve"> HYPERLINK "http://baike.baidu.com/item/%E5%9B%BD%E5%AE%B6%E6%A0%87%E5%87%86" \t "http://baike.baidu.com/_blank" </w:instrText>
      </w:r>
      <w:r>
        <w:fldChar w:fldCharType="separate"/>
      </w:r>
      <w:r>
        <w:fldChar w:fldCharType="end"/>
      </w:r>
      <w:r>
        <w:rPr>
          <w:rFonts w:hint="eastAsia"/>
        </w:rPr>
        <w:t>《建筑抗震设计规范》GB50011-2010</w:t>
      </w:r>
    </w:p>
    <w:p>
      <w:pPr>
        <w:spacing w:beforeLines="0" w:afterLines="0" w:line="360" w:lineRule="auto"/>
        <w:ind w:firstLine="480" w:firstLineChars="200"/>
        <w:jc w:val="both"/>
      </w:pPr>
      <w:r>
        <w:rPr>
          <w:rFonts w:hint="eastAsia"/>
        </w:rPr>
        <w:t>22.《风景园林工程设计文件编制深度规定》</w:t>
      </w:r>
    </w:p>
    <w:p>
      <w:pPr>
        <w:spacing w:beforeLines="0" w:afterLines="0" w:line="360" w:lineRule="auto"/>
        <w:ind w:firstLine="480" w:firstLineChars="200"/>
        <w:jc w:val="both"/>
      </w:pPr>
      <w:r>
        <w:rPr>
          <w:rFonts w:hint="eastAsia"/>
        </w:rPr>
        <w:t>23.《</w:t>
      </w:r>
      <w:r>
        <w:fldChar w:fldCharType="begin"/>
      </w:r>
      <w:r>
        <w:instrText xml:space="preserve"> HYPERLINK "http://baike.baidu.com/view/2841487.htm" </w:instrText>
      </w:r>
      <w:r>
        <w:fldChar w:fldCharType="separate"/>
      </w:r>
      <w:r>
        <w:rPr>
          <w:rFonts w:hint="eastAsia"/>
        </w:rPr>
        <w:t>城市道路和建筑物无障碍设计规范</w:t>
      </w:r>
      <w:r>
        <w:rPr>
          <w:rFonts w:hint="eastAsia"/>
        </w:rPr>
        <w:fldChar w:fldCharType="end"/>
      </w:r>
      <w:r>
        <w:rPr>
          <w:rFonts w:hint="eastAsia"/>
        </w:rPr>
        <w:t>》JGJ50－2001</w:t>
      </w:r>
    </w:p>
    <w:p>
      <w:pPr>
        <w:spacing w:beforeLines="0" w:afterLines="0" w:line="360" w:lineRule="auto"/>
        <w:ind w:firstLine="480" w:firstLineChars="200"/>
        <w:jc w:val="both"/>
      </w:pPr>
      <w:r>
        <w:rPr>
          <w:rFonts w:hint="eastAsia"/>
        </w:rPr>
        <w:t>24.建筑防水工程技术规程 DBJ 15-19-2006</w:t>
      </w:r>
    </w:p>
    <w:p>
      <w:pPr>
        <w:spacing w:beforeLines="0" w:afterLines="0" w:line="360" w:lineRule="auto"/>
        <w:ind w:firstLine="480" w:firstLineChars="200"/>
        <w:jc w:val="both"/>
      </w:pPr>
      <w:r>
        <w:rPr>
          <w:rFonts w:hint="eastAsia"/>
        </w:rPr>
        <w:t>25.建筑工程设计文件编制深度规定（2016年版）</w:t>
      </w:r>
    </w:p>
    <w:p>
      <w:pPr>
        <w:spacing w:beforeLines="0" w:afterLines="0" w:line="360" w:lineRule="auto"/>
        <w:ind w:firstLine="480" w:firstLineChars="200"/>
        <w:jc w:val="both"/>
      </w:pPr>
      <w:r>
        <w:rPr>
          <w:rFonts w:hint="eastAsia"/>
        </w:rPr>
        <w:t>26.《室内装饰工程质量规范》</w:t>
      </w:r>
    </w:p>
    <w:p>
      <w:pPr>
        <w:spacing w:beforeLines="0" w:afterLines="0" w:line="360" w:lineRule="auto"/>
        <w:ind w:firstLine="480" w:firstLineChars="200"/>
        <w:jc w:val="both"/>
      </w:pPr>
      <w:r>
        <w:rPr>
          <w:rFonts w:hint="eastAsia"/>
        </w:rPr>
        <w:t>27.《民用建筑工程室内环境污染控制规范》（GB-50325-2014）</w:t>
      </w:r>
    </w:p>
    <w:p>
      <w:pPr>
        <w:spacing w:beforeLines="0" w:afterLines="0" w:line="360" w:lineRule="auto"/>
        <w:ind w:firstLine="0"/>
        <w:jc w:val="both"/>
        <w:rPr>
          <w:sz w:val="24"/>
          <w:szCs w:val="32"/>
        </w:rPr>
      </w:pPr>
      <w:r>
        <w:rPr>
          <w:rFonts w:hint="eastAsia"/>
        </w:rPr>
        <w:t>28.其他相关规范、规定</w:t>
      </w:r>
      <w:bookmarkEnd w:id="0"/>
    </w:p>
    <w:sectPr>
      <w:pgSz w:w="11906" w:h="16838"/>
      <w:pgMar w:top="1440" w:right="1466" w:bottom="1440" w:left="144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AEEB4"/>
    <w:multiLevelType w:val="multilevel"/>
    <w:tmpl w:val="FD7AEEB4"/>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1">
    <w:nsid w:val="0CD6497C"/>
    <w:multiLevelType w:val="singleLevel"/>
    <w:tmpl w:val="0CD6497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5NWM1MjgzNjc3YTU3MjY4NzUwZjg5MjUwMTVmY2QifQ=="/>
  </w:docVars>
  <w:rsids>
    <w:rsidRoot w:val="00E86E51"/>
    <w:rsid w:val="0002304D"/>
    <w:rsid w:val="00056827"/>
    <w:rsid w:val="00097648"/>
    <w:rsid w:val="000A60B5"/>
    <w:rsid w:val="000C30E9"/>
    <w:rsid w:val="000D2272"/>
    <w:rsid w:val="001407D4"/>
    <w:rsid w:val="001A0D2A"/>
    <w:rsid w:val="001B0CB4"/>
    <w:rsid w:val="002161B8"/>
    <w:rsid w:val="002547A7"/>
    <w:rsid w:val="002758FD"/>
    <w:rsid w:val="002E74E8"/>
    <w:rsid w:val="00322113"/>
    <w:rsid w:val="0032216A"/>
    <w:rsid w:val="00330249"/>
    <w:rsid w:val="00337033"/>
    <w:rsid w:val="003518C7"/>
    <w:rsid w:val="00384606"/>
    <w:rsid w:val="003B5F3C"/>
    <w:rsid w:val="004304EA"/>
    <w:rsid w:val="004D30F3"/>
    <w:rsid w:val="005453C7"/>
    <w:rsid w:val="005820B9"/>
    <w:rsid w:val="005D0AC0"/>
    <w:rsid w:val="00612A06"/>
    <w:rsid w:val="006153DD"/>
    <w:rsid w:val="00625F63"/>
    <w:rsid w:val="0069399D"/>
    <w:rsid w:val="006C62C9"/>
    <w:rsid w:val="006C697E"/>
    <w:rsid w:val="006E4C35"/>
    <w:rsid w:val="007A572E"/>
    <w:rsid w:val="007D5B6D"/>
    <w:rsid w:val="00820DDD"/>
    <w:rsid w:val="0086317E"/>
    <w:rsid w:val="00896453"/>
    <w:rsid w:val="008B2F69"/>
    <w:rsid w:val="008E1B09"/>
    <w:rsid w:val="009C0A9D"/>
    <w:rsid w:val="00A52B4E"/>
    <w:rsid w:val="00B41C9A"/>
    <w:rsid w:val="00B71F65"/>
    <w:rsid w:val="00BA22B2"/>
    <w:rsid w:val="00BA3FA4"/>
    <w:rsid w:val="00BA4CB2"/>
    <w:rsid w:val="00C1064A"/>
    <w:rsid w:val="00C207D3"/>
    <w:rsid w:val="00C4100C"/>
    <w:rsid w:val="00D171ED"/>
    <w:rsid w:val="00D61BB2"/>
    <w:rsid w:val="00D6400D"/>
    <w:rsid w:val="00DB1721"/>
    <w:rsid w:val="00E14C9F"/>
    <w:rsid w:val="00E43D4A"/>
    <w:rsid w:val="00E86E51"/>
    <w:rsid w:val="00EA42D4"/>
    <w:rsid w:val="00EE4863"/>
    <w:rsid w:val="00F422F4"/>
    <w:rsid w:val="00F821D3"/>
    <w:rsid w:val="00FB7B61"/>
    <w:rsid w:val="0B4C6F74"/>
    <w:rsid w:val="123E14FD"/>
    <w:rsid w:val="176F2DE4"/>
    <w:rsid w:val="28374DF6"/>
    <w:rsid w:val="304C7D71"/>
    <w:rsid w:val="384B4551"/>
    <w:rsid w:val="3B0A0D59"/>
    <w:rsid w:val="3BED1CD3"/>
    <w:rsid w:val="3FF15601"/>
    <w:rsid w:val="42674B98"/>
    <w:rsid w:val="42AC5F53"/>
    <w:rsid w:val="4CE40345"/>
    <w:rsid w:val="53DD2C05"/>
    <w:rsid w:val="5E5D3195"/>
    <w:rsid w:val="6497248F"/>
    <w:rsid w:val="665E3072"/>
    <w:rsid w:val="6B1158C9"/>
    <w:rsid w:val="6D8C7AAE"/>
    <w:rsid w:val="701D315C"/>
    <w:rsid w:val="71354F3D"/>
    <w:rsid w:val="762C2542"/>
    <w:rsid w:val="7AAC7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snapToGrid/>
      <w:spacing w:line="360" w:lineRule="auto"/>
      <w:ind w:firstLine="88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8"/>
    <w:qFormat/>
    <w:uiPriority w:val="0"/>
    <w:pPr>
      <w:keepNext/>
      <w:keepLines/>
      <w:numPr>
        <w:ilvl w:val="0"/>
        <w:numId w:val="1"/>
      </w:numPr>
      <w:spacing w:before="240" w:after="240" w:line="360" w:lineRule="auto"/>
      <w:ind w:left="0" w:hanging="432"/>
      <w:jc w:val="center"/>
      <w:outlineLvl w:val="0"/>
    </w:pPr>
    <w:rPr>
      <w:b/>
      <w:bCs/>
      <w:kern w:val="44"/>
      <w:sz w:val="44"/>
      <w:szCs w:val="44"/>
    </w:rPr>
  </w:style>
  <w:style w:type="paragraph" w:styleId="4">
    <w:name w:val="heading 2"/>
    <w:basedOn w:val="1"/>
    <w:next w:val="1"/>
    <w:link w:val="25"/>
    <w:qFormat/>
    <w:uiPriority w:val="0"/>
    <w:pPr>
      <w:keepNext/>
      <w:keepLines/>
      <w:numPr>
        <w:ilvl w:val="1"/>
        <w:numId w:val="1"/>
      </w:numPr>
      <w:spacing w:before="120" w:after="120" w:line="360" w:lineRule="auto"/>
      <w:ind w:left="0" w:hanging="575"/>
      <w:jc w:val="both"/>
      <w:outlineLvl w:val="1"/>
    </w:pPr>
    <w:rPr>
      <w:rFonts w:ascii="Arial" w:hAnsi="Arial"/>
      <w:b/>
      <w:color w:val="000000"/>
      <w:kern w:val="0"/>
      <w:sz w:val="32"/>
    </w:rPr>
  </w:style>
  <w:style w:type="paragraph" w:styleId="5">
    <w:name w:val="heading 3"/>
    <w:basedOn w:val="1"/>
    <w:next w:val="1"/>
    <w:qFormat/>
    <w:uiPriority w:val="0"/>
    <w:pPr>
      <w:keepNext/>
      <w:keepLines/>
      <w:numPr>
        <w:ilvl w:val="2"/>
        <w:numId w:val="1"/>
      </w:numPr>
      <w:spacing w:before="120" w:after="120" w:line="360" w:lineRule="auto"/>
      <w:ind w:left="0" w:hanging="720"/>
      <w:outlineLvl w:val="2"/>
    </w:pPr>
    <w:rPr>
      <w:b/>
      <w:bCs/>
      <w:kern w:val="0"/>
      <w:sz w:val="28"/>
      <w:szCs w:val="32"/>
    </w:rPr>
  </w:style>
  <w:style w:type="paragraph" w:styleId="6">
    <w:name w:val="heading 4"/>
    <w:basedOn w:val="1"/>
    <w:next w:val="1"/>
    <w:qFormat/>
    <w:uiPriority w:val="0"/>
    <w:pPr>
      <w:numPr>
        <w:ilvl w:val="3"/>
        <w:numId w:val="1"/>
      </w:numPr>
      <w:spacing w:before="156" w:beforeLines="50" w:after="156" w:afterLines="50" w:line="360" w:lineRule="auto"/>
      <w:ind w:left="864" w:hanging="864"/>
      <w:jc w:val="center"/>
      <w:outlineLvl w:val="3"/>
    </w:pPr>
    <w:rPr>
      <w:rFonts w:ascii="Arial" w:hAnsi="Arial"/>
      <w:color w:val="000000"/>
      <w:sz w:val="24"/>
      <w:szCs w:val="24"/>
    </w:rPr>
  </w:style>
  <w:style w:type="paragraph" w:styleId="7">
    <w:name w:val="heading 5"/>
    <w:basedOn w:val="1"/>
    <w:next w:val="1"/>
    <w:unhideWhenUsed/>
    <w:qFormat/>
    <w:uiPriority w:val="9"/>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link w:val="32"/>
    <w:semiHidden/>
    <w:unhideWhenUsed/>
    <w:qFormat/>
    <w:uiPriority w:val="9"/>
    <w:pPr>
      <w:keepNext/>
      <w:keepLines/>
      <w:numPr>
        <w:ilvl w:val="8"/>
        <w:numId w:val="1"/>
      </w:numPr>
      <w:spacing w:before="240" w:after="64" w:line="320" w:lineRule="auto"/>
      <w:ind w:left="1583" w:hanging="1583"/>
      <w:outlineLvl w:val="8"/>
    </w:pPr>
    <w:rPr>
      <w:rFonts w:asciiTheme="majorHAnsi" w:hAnsiTheme="majorHAnsi" w:eastAsiaTheme="majorEastAsia" w:cstheme="majorBidi"/>
      <w:szCs w:val="21"/>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Calibri" w:hAnsi="Calibri"/>
      <w:b/>
    </w:rPr>
  </w:style>
  <w:style w:type="paragraph" w:styleId="12">
    <w:name w:val="Normal Indent"/>
    <w:basedOn w:val="1"/>
    <w:qFormat/>
    <w:uiPriority w:val="0"/>
    <w:pPr>
      <w:ind w:firstLine="420" w:firstLineChars="200"/>
    </w:pPr>
  </w:style>
  <w:style w:type="paragraph" w:styleId="13">
    <w:name w:val="caption"/>
    <w:basedOn w:val="1"/>
    <w:next w:val="1"/>
    <w:link w:val="27"/>
    <w:unhideWhenUsed/>
    <w:qFormat/>
    <w:uiPriority w:val="35"/>
    <w:pPr>
      <w:keepNext/>
      <w:spacing w:after="120" w:afterLines="50"/>
      <w:jc w:val="center"/>
    </w:pPr>
    <w:rPr>
      <w:rFonts w:cstheme="majorBidi"/>
      <w:b/>
      <w:sz w:val="24"/>
      <w:szCs w:val="20"/>
    </w:rPr>
  </w:style>
  <w:style w:type="paragraph" w:styleId="14">
    <w:name w:val="Body Text"/>
    <w:basedOn w:val="1"/>
    <w:next w:val="15"/>
    <w:unhideWhenUsed/>
    <w:qFormat/>
    <w:uiPriority w:val="99"/>
    <w:pPr>
      <w:spacing w:after="120"/>
    </w:pPr>
  </w:style>
  <w:style w:type="paragraph" w:styleId="15">
    <w:name w:val="Title"/>
    <w:basedOn w:val="1"/>
    <w:next w:val="1"/>
    <w:qFormat/>
    <w:uiPriority w:val="0"/>
    <w:pPr>
      <w:spacing w:before="240" w:after="60"/>
      <w:jc w:val="center"/>
      <w:outlineLvl w:val="0"/>
    </w:pPr>
    <w:rPr>
      <w:rFonts w:ascii="Cambria" w:hAnsi="Cambria" w:eastAsia="Times New Roman"/>
      <w:b/>
      <w:bCs/>
      <w:kern w:val="0"/>
    </w:rPr>
  </w:style>
  <w:style w:type="paragraph" w:styleId="16">
    <w:name w:val="Plain Text"/>
    <w:basedOn w:val="1"/>
    <w:link w:val="34"/>
    <w:qFormat/>
    <w:uiPriority w:val="99"/>
    <w:rPr>
      <w:rFonts w:ascii="宋体" w:hAnsi="Courier New"/>
      <w:szCs w:val="21"/>
    </w:rPr>
  </w:style>
  <w:style w:type="paragraph" w:styleId="17">
    <w:name w:val="Balloon Text"/>
    <w:basedOn w:val="1"/>
    <w:link w:val="31"/>
    <w:semiHidden/>
    <w:unhideWhenUsed/>
    <w:qFormat/>
    <w:uiPriority w:val="99"/>
    <w:rPr>
      <w:sz w:val="18"/>
      <w:szCs w:val="18"/>
    </w:rPr>
  </w:style>
  <w:style w:type="paragraph" w:styleId="18">
    <w:name w:val="footer"/>
    <w:basedOn w:val="1"/>
    <w:link w:val="24"/>
    <w:unhideWhenUsed/>
    <w:qFormat/>
    <w:uiPriority w:val="99"/>
    <w:pPr>
      <w:tabs>
        <w:tab w:val="center" w:pos="4153"/>
        <w:tab w:val="right" w:pos="8306"/>
      </w:tabs>
      <w:snapToGrid w:val="0"/>
      <w:jc w:val="left"/>
    </w:pPr>
    <w:rPr>
      <w:sz w:val="18"/>
      <w:szCs w:val="18"/>
    </w:rPr>
  </w:style>
  <w:style w:type="paragraph" w:styleId="19">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Body Text First Indent"/>
    <w:basedOn w:val="14"/>
    <w:qFormat/>
    <w:uiPriority w:val="99"/>
    <w:pPr>
      <w:spacing w:line="240" w:lineRule="auto"/>
      <w:ind w:firstLine="420"/>
    </w:pPr>
    <w:rPr>
      <w:sz w:val="28"/>
    </w:rPr>
  </w:style>
  <w:style w:type="character" w:customStyle="1" w:styleId="23">
    <w:name w:val="页眉 字符"/>
    <w:basedOn w:val="22"/>
    <w:link w:val="19"/>
    <w:qFormat/>
    <w:uiPriority w:val="99"/>
    <w:rPr>
      <w:sz w:val="18"/>
      <w:szCs w:val="18"/>
    </w:rPr>
  </w:style>
  <w:style w:type="character" w:customStyle="1" w:styleId="24">
    <w:name w:val="页脚 字符"/>
    <w:basedOn w:val="22"/>
    <w:link w:val="18"/>
    <w:qFormat/>
    <w:uiPriority w:val="99"/>
    <w:rPr>
      <w:sz w:val="18"/>
      <w:szCs w:val="18"/>
    </w:rPr>
  </w:style>
  <w:style w:type="character" w:customStyle="1" w:styleId="25">
    <w:name w:val="标题 2 字符"/>
    <w:basedOn w:val="22"/>
    <w:link w:val="4"/>
    <w:qFormat/>
    <w:uiPriority w:val="0"/>
    <w:rPr>
      <w:rFonts w:ascii="Arial" w:hAnsi="Arial" w:eastAsia="宋体" w:cs="Times New Roman"/>
      <w:b/>
      <w:color w:val="000000"/>
      <w:kern w:val="0"/>
      <w:sz w:val="32"/>
      <w:szCs w:val="24"/>
    </w:rPr>
  </w:style>
  <w:style w:type="paragraph" w:customStyle="1" w:styleId="26">
    <w:name w:val="序列"/>
    <w:basedOn w:val="12"/>
    <w:qFormat/>
    <w:uiPriority w:val="0"/>
    <w:pPr>
      <w:tabs>
        <w:tab w:val="left" w:pos="980"/>
      </w:tabs>
      <w:spacing w:line="360" w:lineRule="auto"/>
      <w:ind w:left="980" w:firstLine="0" w:firstLineChars="0"/>
    </w:pPr>
    <w:rPr>
      <w:sz w:val="24"/>
    </w:rPr>
  </w:style>
  <w:style w:type="character" w:customStyle="1" w:styleId="27">
    <w:name w:val="题注 字符"/>
    <w:link w:val="13"/>
    <w:qFormat/>
    <w:uiPriority w:val="35"/>
    <w:rPr>
      <w:rFonts w:ascii="Times New Roman" w:hAnsi="Times New Roman" w:eastAsia="宋体" w:cstheme="majorBidi"/>
      <w:b/>
      <w:sz w:val="24"/>
      <w:szCs w:val="20"/>
    </w:rPr>
  </w:style>
  <w:style w:type="paragraph" w:customStyle="1" w:styleId="28">
    <w:name w:val="表格内容"/>
    <w:basedOn w:val="1"/>
    <w:link w:val="29"/>
    <w:qFormat/>
    <w:uiPriority w:val="0"/>
    <w:pPr>
      <w:snapToGrid w:val="0"/>
      <w:spacing w:line="360" w:lineRule="auto"/>
      <w:jc w:val="center"/>
    </w:pPr>
    <w:rPr>
      <w:sz w:val="24"/>
      <w:szCs w:val="21"/>
    </w:rPr>
  </w:style>
  <w:style w:type="character" w:customStyle="1" w:styleId="29">
    <w:name w:val="表格内容 Char"/>
    <w:link w:val="28"/>
    <w:qFormat/>
    <w:uiPriority w:val="0"/>
    <w:rPr>
      <w:rFonts w:ascii="Times New Roman" w:hAnsi="Times New Roman" w:eastAsia="宋体" w:cs="Times New Roman"/>
      <w:sz w:val="24"/>
      <w:szCs w:val="21"/>
    </w:rPr>
  </w:style>
  <w:style w:type="paragraph" w:customStyle="1" w:styleId="30">
    <w:name w:val="正文-1"/>
    <w:basedOn w:val="1"/>
    <w:qFormat/>
    <w:uiPriority w:val="0"/>
    <w:pPr>
      <w:autoSpaceDE w:val="0"/>
      <w:autoSpaceDN w:val="0"/>
      <w:adjustRightInd w:val="0"/>
      <w:spacing w:line="440" w:lineRule="exact"/>
      <w:ind w:firstLine="723" w:firstLineChars="200"/>
      <w:textAlignment w:val="center"/>
    </w:pPr>
    <w:rPr>
      <w:color w:val="000000"/>
      <w:sz w:val="24"/>
    </w:rPr>
  </w:style>
  <w:style w:type="character" w:customStyle="1" w:styleId="31">
    <w:name w:val="批注框文本 字符"/>
    <w:basedOn w:val="22"/>
    <w:link w:val="17"/>
    <w:semiHidden/>
    <w:qFormat/>
    <w:uiPriority w:val="99"/>
    <w:rPr>
      <w:rFonts w:ascii="Times New Roman" w:hAnsi="Times New Roman" w:eastAsia="宋体" w:cs="Times New Roman"/>
      <w:kern w:val="2"/>
      <w:sz w:val="18"/>
      <w:szCs w:val="18"/>
    </w:rPr>
  </w:style>
  <w:style w:type="character" w:customStyle="1" w:styleId="32">
    <w:name w:val="标题 9 字符"/>
    <w:basedOn w:val="22"/>
    <w:link w:val="11"/>
    <w:qFormat/>
    <w:uiPriority w:val="0"/>
    <w:rPr>
      <w:rFonts w:asciiTheme="majorHAnsi" w:hAnsiTheme="majorHAnsi" w:eastAsiaTheme="majorEastAsia" w:cstheme="majorBidi"/>
      <w:kern w:val="2"/>
      <w:sz w:val="21"/>
      <w:szCs w:val="21"/>
    </w:rPr>
  </w:style>
  <w:style w:type="paragraph" w:customStyle="1" w:styleId="3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4">
    <w:name w:val="纯文本 字符"/>
    <w:basedOn w:val="22"/>
    <w:link w:val="16"/>
    <w:qFormat/>
    <w:uiPriority w:val="99"/>
    <w:rPr>
      <w:rFonts w:ascii="宋体" w:hAnsi="Courier New" w:eastAsia="宋体" w:cs="Times New Roman"/>
      <w:kern w:val="2"/>
      <w:sz w:val="21"/>
      <w:szCs w:val="21"/>
    </w:rPr>
  </w:style>
  <w:style w:type="paragraph" w:customStyle="1" w:styleId="35">
    <w:name w:val="报告表内"/>
    <w:basedOn w:val="1"/>
    <w:qFormat/>
    <w:uiPriority w:val="0"/>
    <w:pPr>
      <w:adjustRightInd w:val="0"/>
      <w:snapToGrid w:val="0"/>
      <w:jc w:val="center"/>
    </w:pPr>
    <w:rPr>
      <w:lang w:val="zh-CN"/>
    </w:rPr>
  </w:style>
  <w:style w:type="paragraph" w:customStyle="1" w:styleId="36">
    <w:name w:val="列出段落2"/>
    <w:basedOn w:val="1"/>
    <w:qFormat/>
    <w:uiPriority w:val="34"/>
    <w:pPr>
      <w:ind w:firstLine="420" w:firstLineChars="200"/>
    </w:pPr>
    <w:rPr>
      <w:rFonts w:ascii="Calibri" w:hAnsi="Calibri"/>
      <w:szCs w:val="22"/>
    </w:rPr>
  </w:style>
  <w:style w:type="paragraph" w:customStyle="1" w:styleId="37">
    <w:name w:val="BodyText"/>
    <w:basedOn w:val="1"/>
    <w:qFormat/>
    <w:uiPriority w:val="0"/>
    <w:pPr>
      <w:spacing w:after="120"/>
    </w:pPr>
    <w:rPr>
      <w:rFonts w:ascii="Times New Roman" w:hAnsi="Times New Roman"/>
      <w:kern w:val="0"/>
      <w:sz w:val="20"/>
      <w:szCs w:val="20"/>
    </w:rPr>
  </w:style>
  <w:style w:type="character" w:customStyle="1" w:styleId="38">
    <w:name w:val="标题 1 Char"/>
    <w:link w:val="3"/>
    <w:qFormat/>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4131</Words>
  <Characters>4845</Characters>
  <Lines>71</Lines>
  <Paragraphs>20</Paragraphs>
  <TotalTime>0</TotalTime>
  <ScaleCrop>false</ScaleCrop>
  <LinksUpToDate>false</LinksUpToDate>
  <CharactersWithSpaces>4875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2023-05-08T01:57:00Z</dcterms:created>
  <dc:creator>admin</dc:creator>
  <cp:lastModifiedBy>余梦'</cp:lastModifiedBy>
  <dcterms:modified xsi:type="dcterms:W3CDTF">2023-05-24T01:40:21Z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A4974CD62D5D4C7791B3E27EF4517BBF</vt:lpwstr>
  </property>
</Properties>
</file>