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color w:val="auto"/>
          <w:sz w:val="52"/>
          <w:szCs w:val="52"/>
          <w:highlight w:val="none"/>
        </w:rPr>
      </w:pPr>
      <w:r>
        <w:rPr>
          <w:rFonts w:hint="eastAsia" w:ascii="宋体" w:hAnsi="宋体" w:cs="宋体"/>
          <w:b/>
          <w:color w:val="auto"/>
          <w:sz w:val="52"/>
          <w:szCs w:val="52"/>
          <w:highlight w:val="none"/>
        </w:rPr>
        <w:t>广州科教城（兴盛南路、文华路、兴盛北路、育水二路南段）建设工程</w:t>
      </w:r>
    </w:p>
    <w:p>
      <w:pPr>
        <w:jc w:val="center"/>
        <w:outlineLvl w:val="0"/>
        <w:rPr>
          <w:rFonts w:ascii="宋体" w:hAnsi="宋体" w:cs="宋体"/>
          <w:b/>
          <w:color w:val="auto"/>
          <w:sz w:val="52"/>
          <w:szCs w:val="52"/>
          <w:highlight w:val="none"/>
        </w:rPr>
      </w:pPr>
      <w:r>
        <w:rPr>
          <w:rFonts w:hint="eastAsia" w:ascii="宋体" w:hAnsi="宋体" w:cs="宋体"/>
          <w:b/>
          <w:color w:val="auto"/>
          <w:sz w:val="52"/>
          <w:szCs w:val="52"/>
          <w:highlight w:val="none"/>
        </w:rPr>
        <w:t>勘察设计</w:t>
      </w:r>
    </w:p>
    <w:p>
      <w:pPr>
        <w:spacing w:line="360" w:lineRule="auto"/>
        <w:jc w:val="center"/>
        <w:rPr>
          <w:rFonts w:hint="eastAsia" w:ascii="宋体" w:hAnsi="宋体" w:cs="宋体"/>
          <w:b/>
          <w:color w:val="auto"/>
          <w:sz w:val="36"/>
          <w:szCs w:val="36"/>
          <w:highlight w:val="none"/>
        </w:rPr>
      </w:pPr>
    </w:p>
    <w:p>
      <w:pPr>
        <w:spacing w:line="360" w:lineRule="auto"/>
        <w:jc w:val="center"/>
        <w:rPr>
          <w:rFonts w:hint="eastAsia" w:ascii="宋体" w:hAnsi="宋体" w:cs="宋体"/>
          <w:b/>
          <w:color w:val="auto"/>
          <w:sz w:val="36"/>
          <w:szCs w:val="36"/>
          <w:highlight w:val="none"/>
        </w:rPr>
      </w:pPr>
    </w:p>
    <w:p>
      <w:pPr>
        <w:pStyle w:val="2"/>
        <w:rPr>
          <w:rFonts w:hint="eastAsia" w:ascii="宋体" w:hAnsi="宋体" w:cs="宋体"/>
          <w:b/>
          <w:color w:val="auto"/>
          <w:sz w:val="36"/>
          <w:szCs w:val="36"/>
          <w:highlight w:val="none"/>
        </w:rPr>
      </w:pPr>
    </w:p>
    <w:p>
      <w:pPr>
        <w:pStyle w:val="2"/>
        <w:rPr>
          <w:rFonts w:hint="eastAsia" w:ascii="宋体" w:hAnsi="宋体" w:cs="宋体"/>
          <w:b/>
          <w:color w:val="auto"/>
          <w:sz w:val="36"/>
          <w:szCs w:val="36"/>
          <w:highlight w:val="none"/>
        </w:rPr>
      </w:pPr>
    </w:p>
    <w:p>
      <w:pPr>
        <w:spacing w:line="360" w:lineRule="auto"/>
        <w:jc w:val="center"/>
        <w:rPr>
          <w:rFonts w:eastAsia="楷体_GB2312"/>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eastAsia="楷体_GB2312"/>
          <w:b/>
          <w:bCs/>
          <w:color w:val="auto"/>
          <w:spacing w:val="26"/>
          <w:sz w:val="110"/>
          <w:szCs w:val="110"/>
          <w:highlight w:val="none"/>
          <w14:shadow w14:blurRad="50800" w14:dist="38100" w14:dir="2700000" w14:sx="100000" w14:sy="100000" w14:kx="0" w14:ky="0" w14:algn="tl">
            <w14:srgbClr w14:val="000000">
              <w14:alpha w14:val="60000"/>
            </w14:srgbClr>
          </w14:shadow>
        </w:rPr>
        <w:t>招标公告</w:t>
      </w:r>
    </w:p>
    <w:p>
      <w:pPr>
        <w:jc w:val="center"/>
        <w:outlineLvl w:val="0"/>
        <w:rPr>
          <w:rFonts w:ascii="宋体" w:hAnsi="宋体" w:cs="宋体"/>
          <w:b/>
          <w:color w:val="auto"/>
          <w:sz w:val="36"/>
          <w:szCs w:val="36"/>
          <w:highlight w:val="none"/>
        </w:rPr>
      </w:pPr>
    </w:p>
    <w:p>
      <w:pPr>
        <w:pStyle w:val="2"/>
        <w:rPr>
          <w:rFonts w:ascii="宋体" w:hAnsi="宋体" w:cs="宋体"/>
          <w:b/>
          <w:color w:val="auto"/>
          <w:sz w:val="36"/>
          <w:szCs w:val="36"/>
          <w:highlight w:val="none"/>
        </w:rPr>
      </w:pPr>
    </w:p>
    <w:p>
      <w:pPr>
        <w:pStyle w:val="2"/>
        <w:rPr>
          <w:rFonts w:ascii="宋体" w:hAnsi="宋体" w:cs="宋体"/>
          <w:b/>
          <w:color w:val="auto"/>
          <w:sz w:val="36"/>
          <w:szCs w:val="36"/>
          <w:highlight w:val="none"/>
        </w:rPr>
      </w:pPr>
    </w:p>
    <w:p>
      <w:pPr>
        <w:pStyle w:val="2"/>
        <w:rPr>
          <w:rFonts w:ascii="宋体" w:hAnsi="宋体" w:cs="宋体"/>
          <w:b/>
          <w:color w:val="auto"/>
          <w:sz w:val="36"/>
          <w:szCs w:val="36"/>
          <w:highlight w:val="none"/>
        </w:rPr>
      </w:pPr>
    </w:p>
    <w:p>
      <w:pPr>
        <w:pStyle w:val="2"/>
        <w:rPr>
          <w:rFonts w:ascii="宋体" w:hAnsi="宋体" w:cs="宋体"/>
          <w:b/>
          <w:color w:val="auto"/>
          <w:sz w:val="36"/>
          <w:szCs w:val="36"/>
          <w:highlight w:val="none"/>
        </w:rPr>
      </w:pPr>
    </w:p>
    <w:p>
      <w:pPr>
        <w:pStyle w:val="2"/>
        <w:rPr>
          <w:rFonts w:ascii="宋体" w:hAnsi="宋体" w:cs="宋体"/>
          <w:b/>
          <w:color w:val="auto"/>
          <w:sz w:val="36"/>
          <w:szCs w:val="36"/>
          <w:highlight w:val="none"/>
        </w:rPr>
      </w:pPr>
    </w:p>
    <w:p>
      <w:pPr>
        <w:autoSpaceDE w:val="0"/>
        <w:autoSpaceDN w:val="0"/>
        <w:adjustRightInd w:val="0"/>
        <w:spacing w:line="360" w:lineRule="auto"/>
        <w:ind w:firstLine="643" w:firstLineChars="200"/>
        <w:outlineLvl w:val="0"/>
        <w:rPr>
          <w:rFonts w:hint="eastAsia" w:ascii="宋体" w:hAnsi="宋体"/>
          <w:b/>
          <w:bCs/>
          <w:color w:val="auto"/>
          <w:sz w:val="32"/>
          <w:szCs w:val="32"/>
          <w:highlight w:val="none"/>
          <w:u w:val="single"/>
          <w:lang w:eastAsia="zh-CN"/>
        </w:rPr>
      </w:pPr>
      <w:r>
        <w:rPr>
          <w:rFonts w:hint="eastAsia" w:ascii="宋体" w:hAnsi="宋体" w:cs="宋体"/>
          <w:b/>
          <w:bCs/>
          <w:color w:val="auto"/>
          <w:sz w:val="32"/>
          <w:szCs w:val="32"/>
          <w:highlight w:val="none"/>
          <w:lang w:val="zh-CN"/>
        </w:rPr>
        <w:t>招</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zh-CN"/>
        </w:rPr>
        <w:t>标</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zh-CN"/>
        </w:rPr>
        <w:t>人：</w:t>
      </w:r>
      <w:r>
        <w:rPr>
          <w:rFonts w:hint="eastAsia" w:ascii="宋体" w:hAnsi="宋体"/>
          <w:b/>
          <w:bCs/>
          <w:color w:val="auto"/>
          <w:sz w:val="32"/>
          <w:szCs w:val="32"/>
          <w:highlight w:val="none"/>
          <w:u w:val="single"/>
          <w:lang w:eastAsia="zh-CN"/>
        </w:rPr>
        <w:t>广州市增城区人民政府朱村街道办事处</w:t>
      </w:r>
    </w:p>
    <w:p>
      <w:pPr>
        <w:autoSpaceDE w:val="0"/>
        <w:autoSpaceDN w:val="0"/>
        <w:adjustRightInd w:val="0"/>
        <w:spacing w:line="360" w:lineRule="auto"/>
        <w:ind w:firstLine="643" w:firstLineChars="200"/>
        <w:outlineLvl w:val="0"/>
        <w:rPr>
          <w:rFonts w:hint="eastAsia" w:ascii="宋体" w:hAnsi="宋体" w:cs="宋体"/>
          <w:b/>
          <w:bCs/>
          <w:color w:val="auto"/>
          <w:sz w:val="32"/>
          <w:szCs w:val="32"/>
          <w:highlight w:val="none"/>
          <w:u w:val="single"/>
          <w:lang w:val="zh-CN"/>
        </w:rPr>
      </w:pPr>
      <w:r>
        <w:rPr>
          <w:rFonts w:hint="eastAsia" w:ascii="宋体" w:hAnsi="宋体" w:cs="宋体"/>
          <w:b/>
          <w:bCs/>
          <w:color w:val="auto"/>
          <w:sz w:val="32"/>
          <w:szCs w:val="32"/>
          <w:highlight w:val="none"/>
          <w:lang w:val="zh-CN"/>
        </w:rPr>
        <w:t>招标代理：</w:t>
      </w:r>
      <w:r>
        <w:rPr>
          <w:rFonts w:hint="eastAsia" w:ascii="宋体" w:hAnsi="宋体" w:cs="宋体"/>
          <w:b/>
          <w:bCs/>
          <w:color w:val="auto"/>
          <w:sz w:val="32"/>
          <w:szCs w:val="32"/>
          <w:highlight w:val="none"/>
          <w:u w:val="single"/>
          <w:lang w:val="en-US" w:eastAsia="zh-CN"/>
        </w:rPr>
        <w:t>广东巨正建设项目管理有限公司</w:t>
      </w:r>
    </w:p>
    <w:p>
      <w:pPr>
        <w:spacing w:line="360" w:lineRule="auto"/>
        <w:ind w:firstLine="643" w:firstLineChars="200"/>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日</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zh-CN"/>
        </w:rPr>
        <w:t>期：</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val="zh-CN"/>
        </w:rPr>
        <w:t>20</w:t>
      </w:r>
      <w:r>
        <w:rPr>
          <w:rFonts w:hint="eastAsia" w:ascii="宋体" w:hAnsi="宋体" w:cs="宋体"/>
          <w:b/>
          <w:bCs/>
          <w:color w:val="auto"/>
          <w:sz w:val="32"/>
          <w:szCs w:val="32"/>
          <w:highlight w:val="none"/>
          <w:u w:val="single"/>
        </w:rPr>
        <w:t>2</w:t>
      </w:r>
      <w:r>
        <w:rPr>
          <w:rFonts w:hint="eastAsia" w:ascii="宋体" w:hAnsi="宋体" w:cs="宋体"/>
          <w:b/>
          <w:bCs/>
          <w:color w:val="auto"/>
          <w:sz w:val="32"/>
          <w:szCs w:val="32"/>
          <w:highlight w:val="none"/>
          <w:u w:val="single"/>
          <w:lang w:val="en-US" w:eastAsia="zh-CN"/>
        </w:rPr>
        <w:t>3</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lang w:val="zh-CN"/>
        </w:rPr>
        <w:t>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val="en-US" w:eastAsia="zh-CN"/>
        </w:rPr>
        <w:t>5</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lang w:val="zh-CN"/>
        </w:rPr>
        <w:t>月</w:t>
      </w:r>
    </w:p>
    <w:p>
      <w:pPr>
        <w:pStyle w:val="2"/>
        <w:rPr>
          <w:rFonts w:ascii="宋体" w:hAnsi="宋体" w:cs="宋体"/>
          <w:b/>
          <w:color w:val="auto"/>
          <w:sz w:val="36"/>
          <w:szCs w:val="36"/>
          <w:highlight w:val="none"/>
        </w:rPr>
      </w:pPr>
    </w:p>
    <w:p>
      <w:pPr>
        <w:spacing w:line="240" w:lineRule="auto"/>
        <w:rPr>
          <w:rFonts w:ascii="宋体" w:hAnsi="宋体" w:cs="宋体"/>
          <w:color w:val="auto"/>
          <w:sz w:val="24"/>
          <w:highlight w:val="none"/>
        </w:rPr>
      </w:pPr>
      <w:r>
        <w:rPr>
          <w:rFonts w:ascii="宋体" w:hAnsi="宋体" w:cs="宋体"/>
          <w:color w:val="auto"/>
          <w:sz w:val="24"/>
          <w:highlight w:val="none"/>
        </w:rPr>
        <w:br w:type="page"/>
      </w:r>
    </w:p>
    <w:p>
      <w:pPr>
        <w:pStyle w:val="8"/>
        <w:rPr>
          <w:rFonts w:ascii="Times New Roman" w:hAnsi="Times New Roman" w:cs="Times New Roman"/>
          <w:sz w:val="21"/>
        </w:rPr>
      </w:pPr>
    </w:p>
    <w:p>
      <w:pPr>
        <w:spacing w:line="400" w:lineRule="exact"/>
        <w:jc w:val="left"/>
        <w:rPr>
          <w:rFonts w:ascii="宋体" w:hAnsi="宋体" w:cs="宋体"/>
          <w:b/>
          <w:color w:val="auto"/>
          <w:sz w:val="24"/>
          <w:highlight w:val="none"/>
        </w:rPr>
      </w:pPr>
      <w:r>
        <w:rPr>
          <w:rFonts w:hint="eastAsia" w:ascii="宋体" w:hAnsi="宋体" w:cs="宋体"/>
          <w:b/>
          <w:color w:val="auto"/>
          <w:sz w:val="24"/>
          <w:highlight w:val="none"/>
        </w:rPr>
        <w:t>1.1    项目概况</w:t>
      </w:r>
    </w:p>
    <w:p>
      <w:pPr>
        <w:spacing w:line="400" w:lineRule="exact"/>
        <w:jc w:val="left"/>
        <w:rPr>
          <w:rFonts w:ascii="宋体" w:hAnsi="宋体" w:cs="宋体"/>
          <w:color w:val="auto"/>
          <w:sz w:val="24"/>
          <w:highlight w:val="none"/>
          <w:u w:val="single"/>
        </w:rPr>
      </w:pPr>
      <w:r>
        <w:rPr>
          <w:rFonts w:hint="eastAsia" w:ascii="宋体" w:hAnsi="宋体" w:cs="宋体"/>
          <w:color w:val="auto"/>
          <w:sz w:val="24"/>
          <w:highlight w:val="none"/>
        </w:rPr>
        <w:t>1.1.1  工程名称：</w:t>
      </w:r>
      <w:r>
        <w:rPr>
          <w:rFonts w:hint="eastAsia" w:ascii="宋体" w:hAnsi="宋体" w:cs="宋体"/>
          <w:color w:val="auto"/>
          <w:sz w:val="24"/>
          <w:highlight w:val="none"/>
          <w:u w:val="single"/>
        </w:rPr>
        <w:t>广州科教城（兴盛南路、文华路、兴盛北路、育水二路南段）建设工程勘察设计。</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1.1.2  工程位置：</w:t>
      </w:r>
      <w:r>
        <w:rPr>
          <w:rFonts w:hint="eastAsia" w:ascii="宋体" w:hAnsi="宋体" w:cs="宋体"/>
          <w:color w:val="auto"/>
          <w:sz w:val="24"/>
          <w:highlight w:val="none"/>
          <w:u w:val="single"/>
        </w:rPr>
        <w:t>本项目位于增城区朱村街道</w:t>
      </w:r>
      <w:r>
        <w:rPr>
          <w:rFonts w:hint="eastAsia" w:ascii="宋体" w:hAnsi="宋体" w:cs="宋体"/>
          <w:color w:val="auto"/>
          <w:sz w:val="24"/>
          <w:highlight w:val="none"/>
        </w:rPr>
        <w:t>。</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1.1.3  设计范围：</w:t>
      </w:r>
      <w:r>
        <w:rPr>
          <w:rFonts w:hint="eastAsia" w:ascii="宋体" w:hAnsi="宋体" w:cs="宋体"/>
          <w:color w:val="auto"/>
          <w:sz w:val="24"/>
          <w:highlight w:val="none"/>
          <w:u w:val="single"/>
        </w:rPr>
        <w:t>本项目包含2条次干路和2条支路。兴盛南路呈东西走向，东起现状信达南路一期，西至规划道路，全线长0.312km，规划等级为城市次干路，设计速度30km/h，红线宽20m，双向2车道，路面为沥青混凝土。文华路呈东西走向，东起现状信达南路一期，往西延伸，全线长0.178km，规划等级为城市支路，设计速度30km/h，红线宽20m，双向2车道，路面为沥青混凝土。兴盛北路呈东西走向，东起规划信达南路二期，西至规划育水三路南段，全线长0.227km，规划等级为城市次干路，设计速度40km/h，红线宽30m，双向4车道，路面为沥青混凝土。育水二路南段呈南北走向，南起兴盛北路，沿线与规划讲学路相交，北至科德大道，全线长0.840km，规划等级为城市支路，设计速度30km/h，红线宽20m，双向2车道，路面为沥青混凝土，含一座小桥，总投资约12171.00万元，建安费约9948.61万元。涉及的相关专业主要有道路工程、交通工程、桥涵工程、给排水工程、照明工程、电力工程、通信工程及绿化工程等。</w:t>
      </w:r>
    </w:p>
    <w:p>
      <w:pPr>
        <w:spacing w:line="400" w:lineRule="exact"/>
        <w:ind w:left="2040" w:hanging="2040" w:hangingChars="850"/>
        <w:jc w:val="left"/>
        <w:rPr>
          <w:rFonts w:ascii="宋体" w:hAnsi="宋体" w:cs="宋体"/>
          <w:color w:val="auto"/>
          <w:sz w:val="24"/>
          <w:highlight w:val="none"/>
          <w:u w:val="single"/>
        </w:rPr>
      </w:pPr>
      <w:r>
        <w:rPr>
          <w:rFonts w:hint="eastAsia" w:ascii="宋体" w:hAnsi="宋体" w:cs="宋体"/>
          <w:color w:val="auto"/>
          <w:sz w:val="24"/>
          <w:highlight w:val="none"/>
        </w:rPr>
        <w:t xml:space="preserve">1.1.4  专业内容: </w:t>
      </w:r>
      <w:r>
        <w:rPr>
          <w:rFonts w:hint="eastAsia" w:ascii="宋体" w:hAnsi="宋体" w:cs="宋体"/>
          <w:color w:val="auto"/>
          <w:sz w:val="24"/>
          <w:highlight w:val="none"/>
          <w:u w:val="single"/>
        </w:rPr>
        <w:t>■道路工程、■桥梁工程、</w:t>
      </w:r>
      <w:r>
        <w:rPr>
          <w:rFonts w:hint="eastAsia" w:ascii="宋体" w:hAnsi="宋体" w:cs="宋体"/>
          <w:color w:val="auto"/>
          <w:sz w:val="24"/>
          <w:highlight w:val="none"/>
          <w:u w:val="single"/>
        </w:rPr>
        <w:sym w:font="Wingdings 2" w:char="00A3"/>
      </w:r>
      <w:r>
        <w:rPr>
          <w:rFonts w:hint="eastAsia" w:ascii="宋体" w:hAnsi="宋体" w:cs="宋体"/>
          <w:color w:val="auto"/>
          <w:sz w:val="24"/>
          <w:highlight w:val="none"/>
          <w:u w:val="single"/>
        </w:rPr>
        <w:t>城市隧道工程、■排水工程、</w:t>
      </w:r>
    </w:p>
    <w:p>
      <w:pPr>
        <w:spacing w:line="400" w:lineRule="exact"/>
        <w:ind w:left="2035" w:leftChars="969"/>
        <w:jc w:val="left"/>
        <w:rPr>
          <w:rFonts w:ascii="宋体" w:hAnsi="宋体" w:cs="宋体"/>
          <w:b/>
          <w:color w:val="auto"/>
          <w:sz w:val="24"/>
          <w:highlight w:val="none"/>
          <w:u w:val="single"/>
        </w:rPr>
      </w:pPr>
      <w:r>
        <w:rPr>
          <w:rFonts w:hint="eastAsia" w:ascii="宋体" w:hAnsi="宋体" w:cs="宋体"/>
          <w:color w:val="auto"/>
          <w:sz w:val="24"/>
          <w:highlight w:val="none"/>
          <w:u w:val="single"/>
        </w:rPr>
        <w:t>■给水工程、■照明工程、■交通工程、□城镇燃气工程、□热力工程、■绿化工程、■管线综合工程。</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1.1.5  项目批准文件：</w:t>
      </w:r>
      <w:r>
        <w:rPr>
          <w:rFonts w:hint="eastAsia" w:ascii="宋体" w:hAnsi="宋体" w:cs="宋体"/>
          <w:color w:val="auto"/>
          <w:sz w:val="24"/>
          <w:highlight w:val="none"/>
          <w:u w:val="single"/>
        </w:rPr>
        <w:t xml:space="preserve"> 穗增发改函【2023】668号 </w:t>
      </w:r>
      <w:r>
        <w:rPr>
          <w:rFonts w:hint="eastAsia" w:ascii="宋体" w:hAnsi="宋体" w:cs="宋体"/>
          <w:color w:val="auto"/>
          <w:sz w:val="24"/>
          <w:highlight w:val="none"/>
        </w:rPr>
        <w:t>。</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1.1.6  资金来源：</w:t>
      </w:r>
      <w:r>
        <w:rPr>
          <w:rFonts w:hint="eastAsia" w:ascii="宋体" w:hAnsi="宋体" w:cs="宋体"/>
          <w:color w:val="auto"/>
          <w:sz w:val="24"/>
          <w:highlight w:val="none"/>
          <w:u w:val="single"/>
        </w:rPr>
        <w:t>增城区财政资金解决。</w:t>
      </w:r>
      <w:bookmarkStart w:id="11" w:name="_GoBack"/>
      <w:bookmarkEnd w:id="11"/>
    </w:p>
    <w:p>
      <w:pPr>
        <w:spacing w:line="400" w:lineRule="exact"/>
        <w:jc w:val="left"/>
        <w:rPr>
          <w:rFonts w:ascii="宋体" w:hAnsi="宋体" w:cs="宋体"/>
          <w:color w:val="auto"/>
          <w:sz w:val="24"/>
          <w:highlight w:val="none"/>
          <w:u w:val="single"/>
        </w:rPr>
      </w:pPr>
      <w:r>
        <w:rPr>
          <w:rFonts w:hint="eastAsia" w:ascii="宋体" w:hAnsi="宋体" w:cs="宋体"/>
          <w:color w:val="auto"/>
          <w:sz w:val="24"/>
          <w:highlight w:val="none"/>
        </w:rPr>
        <w:t>1.1.7  建设规模：</w:t>
      </w:r>
      <w:r>
        <w:rPr>
          <w:rFonts w:hint="eastAsia" w:ascii="宋体" w:hAnsi="宋体" w:cs="宋体"/>
          <w:color w:val="auto"/>
          <w:sz w:val="24"/>
          <w:highlight w:val="none"/>
          <w:u w:val="single"/>
        </w:rPr>
        <w:t>本项目包含2条次干路和2条支路。兴盛南路呈东西走向，东起现状信达南路一期，西至规划道路，全线长0.312km，规划等级为城市次干路，设计速度30km/h，红线宽20m，双向2车道，路面为沥青混凝土。文华路呈东西走向，东起现状信达南路一期，往西延伸，全线长0.178km，规划等级为城市支路，设计速度30km/h，红线宽20m，双向2车道，路面为沥青混凝土。兴盛北路呈东西走向，东起规划信达南路二期，西至规划育水三路南段，全线长0.227km，规划等级为城市次干路，设计速度40km/h，红线宽30m，双向4车道，路面为沥青混凝土。育水二路南段呈南北走向，南起兴盛北路，沿线与规划讲学路相交，北至科德大道，全线长0.840km，规划等级为城市支路，设计速度30km/h，红线宽20m，双向2车道，路面为沥青混凝土，含一座小桥，总投资约12171.00万元，建安费约9948.61万元。</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1.1.8  设计合理使用年限：</w:t>
      </w:r>
      <w:r>
        <w:rPr>
          <w:rFonts w:hint="eastAsia" w:ascii="宋体" w:hAnsi="宋体" w:cs="宋体"/>
          <w:color w:val="auto"/>
          <w:sz w:val="24"/>
          <w:highlight w:val="none"/>
          <w:u w:val="single"/>
        </w:rPr>
        <w:t xml:space="preserve"> 各项目需达到招标文件要求且不低于相关规范作出的要求</w:t>
      </w:r>
      <w:r>
        <w:rPr>
          <w:rFonts w:hint="eastAsia" w:ascii="宋体" w:hAnsi="宋体" w:cs="宋体"/>
          <w:color w:val="auto"/>
          <w:sz w:val="24"/>
          <w:highlight w:val="none"/>
        </w:rPr>
        <w:t>。</w:t>
      </w:r>
    </w:p>
    <w:p>
      <w:pPr>
        <w:spacing w:line="400" w:lineRule="exact"/>
        <w:ind w:left="821" w:hanging="820" w:hangingChars="342"/>
        <w:jc w:val="left"/>
        <w:rPr>
          <w:rFonts w:ascii="宋体" w:hAnsi="宋体" w:cs="宋体"/>
          <w:color w:val="auto"/>
          <w:sz w:val="24"/>
          <w:highlight w:val="none"/>
          <w:u w:val="single"/>
        </w:rPr>
      </w:pPr>
      <w:r>
        <w:rPr>
          <w:rFonts w:hint="eastAsia" w:ascii="宋体" w:hAnsi="宋体" w:cs="宋体"/>
          <w:color w:val="auto"/>
          <w:sz w:val="24"/>
          <w:highlight w:val="none"/>
        </w:rPr>
        <w:t>1.1.9  招标范围：</w:t>
      </w:r>
      <w:r>
        <w:rPr>
          <w:rFonts w:hint="eastAsia" w:ascii="宋体" w:hAnsi="宋体" w:cs="宋体"/>
          <w:color w:val="auto"/>
          <w:sz w:val="24"/>
          <w:highlight w:val="none"/>
          <w:u w:val="single"/>
        </w:rPr>
        <w:t>■工程勘察（■岩土工程勘察、■工程测量、■工程物探（含管线探测）、</w:t>
      </w:r>
      <w:r>
        <w:rPr>
          <w:rFonts w:hint="eastAsia" w:ascii="宋体" w:hAnsi="宋体" w:cs="宋体"/>
          <w:color w:val="auto"/>
          <w:sz w:val="24"/>
          <w:highlight w:val="none"/>
          <w:u w:val="single"/>
        </w:rPr>
        <w:sym w:font="Wingdings 2" w:char="00A3"/>
      </w:r>
      <w:r>
        <w:rPr>
          <w:rFonts w:hint="eastAsia" w:ascii="宋体" w:hAnsi="宋体" w:cs="宋体"/>
          <w:color w:val="auto"/>
          <w:sz w:val="24"/>
          <w:highlight w:val="none"/>
          <w:u w:val="single"/>
        </w:rPr>
        <w:t>方案修改、■初步设计及概算、■施工图设计、□编制施工图预算、■现场服务、□编制竣工图、■工程变更。</w:t>
      </w:r>
      <w:r>
        <w:rPr>
          <w:rFonts w:hint="eastAsia" w:ascii="宋体" w:hAnsi="宋体"/>
          <w:color w:val="auto"/>
          <w:sz w:val="24"/>
          <w:highlight w:val="none"/>
          <w:u w:val="single"/>
        </w:rPr>
        <w:t>具体以招标人下达的需求书、任务书、合同等相关文件要求为准。</w:t>
      </w:r>
    </w:p>
    <w:p>
      <w:pPr>
        <w:spacing w:line="400" w:lineRule="exact"/>
        <w:ind w:left="821" w:hanging="820" w:hangingChars="342"/>
        <w:jc w:val="left"/>
        <w:rPr>
          <w:rFonts w:ascii="宋体" w:hAnsi="宋体" w:cs="宋体"/>
          <w:color w:val="auto"/>
          <w:sz w:val="24"/>
          <w:highlight w:val="none"/>
          <w:u w:val="double"/>
        </w:rPr>
      </w:pPr>
      <w:r>
        <w:rPr>
          <w:rFonts w:hint="eastAsia" w:ascii="宋体" w:hAnsi="宋体" w:cs="宋体"/>
          <w:color w:val="auto"/>
          <w:sz w:val="24"/>
          <w:highlight w:val="none"/>
        </w:rPr>
        <w:t>1.1.10前期服务机构名称（含项目建议书、可行性研究报告、规划等编制单位）：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exact"/>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[注释] 如果前期服务机构参加本次投标，应将本公告发布前最终完成的工作成果（含电子文件）在投标人购买招标文件的同时提供给所有投标人参考，否则前期参与的服务机构中标无效。</w:t>
      </w:r>
    </w:p>
    <w:p>
      <w:pPr>
        <w:spacing w:line="400" w:lineRule="exact"/>
        <w:jc w:val="left"/>
        <w:rPr>
          <w:rFonts w:ascii="宋体" w:hAnsi="宋体" w:cs="宋体"/>
          <w:color w:val="auto"/>
          <w:sz w:val="24"/>
          <w:highlight w:val="none"/>
        </w:rPr>
      </w:pPr>
    </w:p>
    <w:p>
      <w:pPr>
        <w:spacing w:line="400" w:lineRule="exact"/>
        <w:rPr>
          <w:rFonts w:ascii="宋体" w:hAnsi="宋体" w:cs="宋体"/>
          <w:b/>
          <w:color w:val="auto"/>
          <w:sz w:val="24"/>
          <w:highlight w:val="none"/>
        </w:rPr>
      </w:pPr>
      <w:r>
        <w:rPr>
          <w:rFonts w:hint="eastAsia" w:ascii="宋体" w:hAnsi="宋体" w:cs="宋体"/>
          <w:b/>
          <w:color w:val="auto"/>
          <w:sz w:val="24"/>
          <w:highlight w:val="none"/>
        </w:rPr>
        <w:t>1.2   资格审查合格条件</w:t>
      </w:r>
    </w:p>
    <w:p>
      <w:pPr>
        <w:spacing w:line="400" w:lineRule="exact"/>
        <w:ind w:left="821" w:hanging="820" w:hangingChars="342"/>
        <w:rPr>
          <w:rFonts w:ascii="宋体" w:hAnsi="宋体" w:cs="宋体"/>
          <w:color w:val="auto"/>
          <w:sz w:val="24"/>
          <w:highlight w:val="none"/>
        </w:rPr>
      </w:pPr>
      <w:r>
        <w:rPr>
          <w:rFonts w:hint="eastAsia" w:ascii="宋体" w:hAnsi="宋体" w:cs="宋体"/>
          <w:color w:val="auto"/>
          <w:sz w:val="24"/>
          <w:highlight w:val="none"/>
        </w:rPr>
        <w:t>1.2.1  申请人参加投标的意思表达清楚，投标人代表被授权有效。</w:t>
      </w:r>
    </w:p>
    <w:p>
      <w:pPr>
        <w:spacing w:line="400" w:lineRule="exact"/>
        <w:ind w:left="821" w:hanging="820" w:hangingChars="342"/>
        <w:rPr>
          <w:rFonts w:ascii="宋体" w:hAnsi="宋体" w:cs="宋体"/>
          <w:color w:val="auto"/>
          <w:sz w:val="24"/>
          <w:highlight w:val="none"/>
        </w:rPr>
      </w:pPr>
      <w:r>
        <w:rPr>
          <w:rFonts w:hint="eastAsia" w:ascii="宋体" w:hAnsi="宋体" w:cs="宋体"/>
          <w:color w:val="auto"/>
          <w:sz w:val="24"/>
          <w:highlight w:val="none"/>
        </w:rPr>
        <w:t>1.2.2  申请人具有独立法人资格，持有工商行政管理部门（或市场监督管理部门）核发的法人营业执照，按国家法律经营。</w:t>
      </w:r>
    </w:p>
    <w:p>
      <w:pPr>
        <w:spacing w:line="400" w:lineRule="exact"/>
        <w:ind w:left="821" w:hanging="820" w:hangingChars="342"/>
        <w:rPr>
          <w:rFonts w:ascii="宋体" w:hAnsi="宋体" w:cs="宋体"/>
          <w:color w:val="auto"/>
          <w:sz w:val="24"/>
          <w:highlight w:val="none"/>
          <w:u w:val="single"/>
        </w:rPr>
      </w:pPr>
      <w:r>
        <w:rPr>
          <w:rFonts w:hint="eastAsia" w:ascii="宋体" w:hAnsi="宋体" w:cs="宋体"/>
          <w:color w:val="auto"/>
          <w:sz w:val="24"/>
          <w:highlight w:val="none"/>
        </w:rPr>
        <w:t>1.2.3  申请人须具备建设行政主管部门颁发的</w:t>
      </w:r>
      <w:r>
        <w:rPr>
          <w:rFonts w:hint="eastAsia" w:ascii="宋体" w:hAnsi="宋体" w:cs="宋体"/>
          <w:color w:val="auto"/>
          <w:sz w:val="24"/>
          <w:highlight w:val="none"/>
          <w:u w:val="single"/>
        </w:rPr>
        <w:t>（1）工程设计综合资质；或市政行业设计乙级（或以上）资质；或同时具备市政行业（道路工程）专业设计乙级（或以上）资质及市政行业（桥梁工程）专业设计乙级（或以上）及及市政行业（排水工程）专业设计乙级（或以上）资质。（2）工程勘察综合资质；或同时具备工程勘察专业类（岩土工程）乙级（或以）上资质和工程勘察专业类（工程测量）乙级（或以上）资质；或同时具备工程勘察专业类岩土工程（岩土工程勘察）乙级（或以上）资质和工程勘察专业类（工程测量）乙级（或以上）资质。（香港企业独立参加投标的，须在广东省住房和城乡建设主管部门备案且备案的业务范围满足本项目要求）。</w:t>
      </w:r>
    </w:p>
    <w:p>
      <w:pPr>
        <w:spacing w:line="400" w:lineRule="exact"/>
        <w:ind w:left="814" w:leftChars="341" w:hanging="98" w:hangingChars="41"/>
        <w:rPr>
          <w:rFonts w:ascii="宋体" w:hAnsi="宋体" w:cs="宋体"/>
          <w:color w:val="auto"/>
          <w:sz w:val="24"/>
          <w:highlight w:val="none"/>
        </w:rPr>
      </w:pPr>
      <w:r>
        <w:rPr>
          <w:rFonts w:hint="eastAsia" w:ascii="宋体" w:hAnsi="宋体" w:cs="宋体"/>
          <w:color w:val="auto"/>
          <w:sz w:val="24"/>
          <w:highlight w:val="none"/>
          <w:u w:val="single"/>
        </w:rPr>
        <w:t>注：①投标人必须同时具备（1）（2）项资质要求。国内申请人具体资质要求按照《建设工程勘察设计资质管理规定》（建设部令第160号）、《建设工程勘察设计资质管理规定实施意见》（建市[2007]202号）、《工程勘察资质分级标准》（建设[2001]22号）、《工程勘察、工程设计资质分级标准补充规定》（建设[2001]178号）和《工程设计资质标准》（建市〔2007〕86号）填写。要求同时具备2项或以上资质证书的，申请人可以组成联合体投标。</w:t>
      </w:r>
    </w:p>
    <w:p>
      <w:pPr>
        <w:spacing w:line="400" w:lineRule="exact"/>
        <w:ind w:left="819" w:leftChars="390"/>
        <w:rPr>
          <w:rFonts w:ascii="宋体" w:hAnsi="宋体"/>
          <w:color w:val="auto"/>
          <w:sz w:val="24"/>
          <w:highlight w:val="none"/>
          <w:u w:val="single"/>
        </w:rPr>
      </w:pPr>
      <w:r>
        <w:rPr>
          <w:rFonts w:hint="eastAsia" w:ascii="宋体" w:hAnsi="宋体"/>
          <w:color w:val="auto"/>
          <w:sz w:val="24"/>
          <w:highlight w:val="none"/>
          <w:u w:val="single"/>
        </w:rPr>
        <w:t>②依据《广东省住房和城乡建设厅关于印发香港工程建设咨询企业和专业人士在粤港澳大湾区内地城市开业执业试点管理暂行办法的通知》（粤建规范〔2020〕1号，详见链接：http://zfcxjst.gd.gov.cn/xxgk/wjtz/content/post_3137220.html），自2021年1月1日起，招标人应当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参与本次投标的，应按招标文件要求提供满足评审的相关证明文件。</w:t>
      </w:r>
    </w:p>
    <w:p>
      <w:pPr>
        <w:spacing w:line="400" w:lineRule="exact"/>
        <w:ind w:left="819" w:leftChars="390"/>
        <w:rPr>
          <w:rFonts w:ascii="宋体" w:hAnsi="宋体"/>
          <w:color w:val="auto"/>
          <w:sz w:val="24"/>
          <w:highlight w:val="none"/>
          <w:u w:val="single"/>
        </w:rPr>
      </w:pPr>
      <w:r>
        <w:rPr>
          <w:rFonts w:hint="eastAsia" w:ascii="宋体" w:hAnsi="宋体"/>
          <w:color w:val="auto"/>
          <w:sz w:val="24"/>
          <w:highlight w:val="none"/>
          <w:u w:val="single"/>
        </w:rPr>
        <w:t>③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复印件。</w:t>
      </w:r>
    </w:p>
    <w:p>
      <w:pPr>
        <w:spacing w:line="400" w:lineRule="exact"/>
        <w:ind w:left="819" w:leftChars="390"/>
        <w:rPr>
          <w:rFonts w:ascii="宋体" w:hAnsi="宋体"/>
          <w:color w:val="auto"/>
          <w:sz w:val="24"/>
          <w:highlight w:val="none"/>
          <w:u w:val="single"/>
        </w:rPr>
      </w:pPr>
      <w:r>
        <w:rPr>
          <w:rFonts w:hint="eastAsia" w:ascii="宋体" w:hAnsi="宋体"/>
          <w:color w:val="auto"/>
          <w:sz w:val="24"/>
          <w:highlight w:val="none"/>
          <w:u w:val="single"/>
        </w:rPr>
        <w:t>④外国或澳门、台湾的设计企业必须选择一家符合上述条件的企业进行合作设计。香港企业如不单独参加投标，也必须选择一家符合上述条件的企业进行合作设计。</w:t>
      </w:r>
    </w:p>
    <w:p>
      <w:pPr>
        <w:spacing w:line="400" w:lineRule="exact"/>
        <w:ind w:left="840" w:hanging="840" w:hangingChars="350"/>
        <w:jc w:val="left"/>
        <w:rPr>
          <w:rFonts w:ascii="宋体" w:hAnsi="宋体" w:cs="宋体"/>
          <w:color w:val="auto"/>
          <w:sz w:val="24"/>
          <w:highlight w:val="none"/>
        </w:rPr>
      </w:pPr>
      <w:r>
        <w:rPr>
          <w:rFonts w:hint="eastAsia" w:ascii="宋体" w:hAnsi="宋体" w:cs="宋体"/>
          <w:color w:val="auto"/>
          <w:sz w:val="24"/>
          <w:highlight w:val="none"/>
        </w:rPr>
        <w:t xml:space="preserve">1.2.4  </w:t>
      </w:r>
      <w:r>
        <w:rPr>
          <w:rFonts w:hint="eastAsia" w:ascii="宋体" w:hAnsi="宋体"/>
          <w:color w:val="auto"/>
          <w:sz w:val="24"/>
          <w:highlight w:val="none"/>
          <w:u w:val="single"/>
          <w:lang w:bidi="ar"/>
        </w:rPr>
        <w:t>申请人已在</w:t>
      </w:r>
      <w:r>
        <w:rPr>
          <w:rFonts w:hint="eastAsia" w:ascii="宋体" w:hAnsi="宋体" w:cs="宋体"/>
          <w:color w:val="auto"/>
          <w:sz w:val="24"/>
          <w:highlight w:val="none"/>
          <w:u w:val="single"/>
        </w:rPr>
        <w:t>广州公共资源交易中心企业库办理企业信息登记，拟委派的项目负责人须是本企业信息登记中的在册人员。</w:t>
      </w:r>
    </w:p>
    <w:p>
      <w:pPr>
        <w:spacing w:line="400" w:lineRule="exact"/>
        <w:ind w:left="821" w:hanging="820" w:hangingChars="342"/>
        <w:rPr>
          <w:rFonts w:ascii="宋体" w:hAnsi="宋体"/>
          <w:color w:val="auto"/>
          <w:sz w:val="24"/>
          <w:highlight w:val="none"/>
          <w:u w:val="single"/>
        </w:rPr>
      </w:pPr>
      <w:r>
        <w:rPr>
          <w:rFonts w:hint="eastAsia" w:ascii="宋体" w:hAnsi="宋体" w:cs="宋体"/>
          <w:color w:val="auto"/>
          <w:sz w:val="24"/>
          <w:highlight w:val="none"/>
        </w:rPr>
        <w:t xml:space="preserve">1.2.5  </w:t>
      </w:r>
      <w:r>
        <w:rPr>
          <w:rFonts w:hint="eastAsia" w:ascii="宋体" w:hAnsi="宋体" w:cs="宋体"/>
          <w:color w:val="auto"/>
          <w:sz w:val="24"/>
          <w:highlight w:val="none"/>
          <w:u w:val="single"/>
        </w:rPr>
        <w:t>申请人委派的项目负责人须具备路桥或道桥或市政专业（含相近专业）高级工程师或以上，或从事本专业工作10年或以上的工程师，或在广东省住房和城乡建设主管部门备案且备案的业务范围符合本招标项目对项目负责人要求的香港专业人士。</w:t>
      </w:r>
      <w:r>
        <w:rPr>
          <w:rFonts w:hint="eastAsia" w:ascii="宋体" w:hAnsi="宋体"/>
          <w:color w:val="auto"/>
          <w:sz w:val="24"/>
          <w:highlight w:val="none"/>
          <w:u w:val="single"/>
        </w:rPr>
        <w:t>注：</w:t>
      </w:r>
      <w:r>
        <w:rPr>
          <w:rFonts w:hint="eastAsia" w:ascii="宋体" w:hAnsi="宋体" w:cs="宋体"/>
          <w:color w:val="auto"/>
          <w:sz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pPr>
        <w:spacing w:line="400" w:lineRule="exact"/>
        <w:ind w:left="840" w:hanging="840" w:hangingChars="350"/>
        <w:rPr>
          <w:rFonts w:ascii="宋体" w:hAnsi="宋体" w:cs="宋体"/>
          <w:color w:val="auto"/>
          <w:sz w:val="24"/>
          <w:highlight w:val="none"/>
        </w:rPr>
      </w:pPr>
      <w:r>
        <w:rPr>
          <w:rFonts w:hint="eastAsia" w:ascii="宋体" w:hAnsi="宋体" w:cs="宋体"/>
          <w:color w:val="auto"/>
          <w:sz w:val="24"/>
          <w:highlight w:val="none"/>
        </w:rPr>
        <w:t xml:space="preserve">1.2.6  </w:t>
      </w:r>
      <w:r>
        <w:rPr>
          <w:rFonts w:hint="eastAsia" w:ascii="宋体" w:hAnsi="宋体" w:cs="宋体"/>
          <w:color w:val="auto"/>
          <w:sz w:val="24"/>
          <w:highlight w:val="none"/>
          <w:u w:val="single"/>
        </w:rPr>
        <w:t>投标人委派的概算、勘察专业负责人需具备下列条件之一：①注册执业资格；②本专业（含相近专业）高级工程师（或以上）技术职称；③中级技术职称且从事本专业工作10年或以上。</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注：①从事本专业工作年限按招标文件附录3要求提供的资历表为准。</w:t>
      </w:r>
    </w:p>
    <w:p>
      <w:pPr>
        <w:spacing w:line="4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②香港专业人士的备案业务范围依据《广东省住房和城乡建设厅关于印发香港工程建设咨询企业和专业人士在粤港澳大湾区内地城市开业执业试点管理暂行办法的通知》（粤建规范〔2020〕1号）确定。</w:t>
      </w:r>
    </w:p>
    <w:p>
      <w:pPr>
        <w:spacing w:line="400" w:lineRule="exact"/>
        <w:ind w:left="821" w:hanging="820" w:hangingChars="342"/>
        <w:rPr>
          <w:rFonts w:ascii="宋体" w:hAnsi="宋体" w:cs="宋体"/>
          <w:color w:val="auto"/>
          <w:sz w:val="24"/>
          <w:highlight w:val="none"/>
        </w:rPr>
      </w:pPr>
      <w:r>
        <w:rPr>
          <w:rFonts w:hint="eastAsia" w:ascii="宋体" w:hAnsi="宋体" w:cs="宋体"/>
          <w:color w:val="auto"/>
          <w:sz w:val="24"/>
          <w:highlight w:val="none"/>
        </w:rPr>
        <w:t>1.2.7  投标人没有处于被广州建设行政主管部门取消投标资格的处罚期内；未被纳入国家、市、区的失信联合惩戒名单且被限制参加财政投资工程或政府投资工程或建设工程投标的（具体名单以递交投标文件截止时间“信用广州”https://credit1.gz.gov.cn/sgs/sgsXkNew公布的“失信黑名单”为准）；</w:t>
      </w:r>
    </w:p>
    <w:p>
      <w:pPr>
        <w:spacing w:line="400" w:lineRule="exact"/>
        <w:ind w:left="821" w:hanging="820" w:hangingChars="342"/>
        <w:rPr>
          <w:rFonts w:ascii="宋体" w:hAnsi="宋体" w:cs="宋体"/>
          <w:color w:val="auto"/>
          <w:sz w:val="24"/>
          <w:highlight w:val="none"/>
        </w:rPr>
      </w:pPr>
      <w:r>
        <w:rPr>
          <w:rFonts w:hint="eastAsia" w:ascii="宋体" w:hAnsi="宋体" w:cs="宋体"/>
          <w:color w:val="auto"/>
          <w:sz w:val="24"/>
          <w:highlight w:val="none"/>
        </w:rPr>
        <w:t xml:space="preserve">1.2.8  投标申请人业绩要求（需要 /  ■不需要   ）： </w:t>
      </w:r>
    </w:p>
    <w:p>
      <w:pPr>
        <w:spacing w:line="400" w:lineRule="exact"/>
        <w:ind w:left="819" w:leftChars="390"/>
        <w:rPr>
          <w:rFonts w:ascii="宋体" w:hAnsi="宋体" w:cs="宋体"/>
          <w:dstrike/>
          <w:color w:val="auto"/>
          <w:sz w:val="24"/>
          <w:highlight w:val="none"/>
        </w:rPr>
      </w:pPr>
      <w:r>
        <w:rPr>
          <w:rFonts w:hint="eastAsia" w:ascii="宋体" w:hAnsi="宋体" w:cs="宋体"/>
          <w:dstrike/>
          <w:color w:val="auto"/>
          <w:sz w:val="24"/>
          <w:highlight w:val="none"/>
        </w:rPr>
        <w:t>投标申请人自年月日（近3年或以上）至今（以合同签订日期为准）承担过类似业绩（类似业绩是指达到第1.2.3条所述资质方能承接的项目）。需同时提供如下资料：</w:t>
      </w:r>
    </w:p>
    <w:p>
      <w:pPr>
        <w:spacing w:line="400" w:lineRule="exact"/>
        <w:ind w:left="819" w:leftChars="390"/>
        <w:rPr>
          <w:rFonts w:ascii="宋体" w:hAnsi="宋体" w:cs="宋体"/>
          <w:dstrike/>
          <w:color w:val="auto"/>
          <w:sz w:val="24"/>
          <w:highlight w:val="none"/>
        </w:rPr>
      </w:pPr>
      <w:r>
        <w:rPr>
          <w:rFonts w:hint="eastAsia" w:ascii="宋体" w:hAnsi="宋体" w:cs="宋体"/>
          <w:dstrike/>
          <w:color w:val="auto"/>
          <w:sz w:val="24"/>
          <w:highlight w:val="none"/>
        </w:rPr>
        <w:t>（1）中标通知书或项目审批部门出具的免招标的相关证明；</w:t>
      </w:r>
    </w:p>
    <w:p>
      <w:pPr>
        <w:spacing w:line="400" w:lineRule="exact"/>
        <w:ind w:left="819" w:leftChars="390"/>
        <w:rPr>
          <w:rFonts w:ascii="宋体" w:hAnsi="宋体" w:cs="宋体"/>
          <w:dstrike/>
          <w:color w:val="auto"/>
          <w:sz w:val="24"/>
          <w:highlight w:val="none"/>
        </w:rPr>
      </w:pPr>
      <w:r>
        <w:rPr>
          <w:rFonts w:hint="eastAsia" w:ascii="宋体" w:hAnsi="宋体" w:cs="宋体"/>
          <w:dstrike/>
          <w:color w:val="auto"/>
          <w:sz w:val="24"/>
          <w:highlight w:val="none"/>
        </w:rPr>
        <w:t>（2）设计合同；</w:t>
      </w:r>
    </w:p>
    <w:p>
      <w:pPr>
        <w:spacing w:line="400" w:lineRule="exact"/>
        <w:ind w:left="819" w:leftChars="390"/>
        <w:rPr>
          <w:rFonts w:ascii="宋体" w:hAnsi="宋体" w:cs="宋体"/>
          <w:dstrike/>
          <w:color w:val="auto"/>
          <w:sz w:val="24"/>
          <w:highlight w:val="none"/>
        </w:rPr>
      </w:pPr>
      <w:r>
        <w:rPr>
          <w:rFonts w:hint="eastAsia" w:ascii="宋体" w:hAnsi="宋体" w:cs="宋体"/>
          <w:dstrike/>
          <w:color w:val="auto"/>
          <w:sz w:val="24"/>
          <w:highlight w:val="none"/>
        </w:rPr>
        <w:t>（3）初步设计审查证明或施工图审查备案证明。</w:t>
      </w:r>
    </w:p>
    <w:p>
      <w:pPr>
        <w:spacing w:line="400" w:lineRule="exact"/>
        <w:ind w:left="819" w:leftChars="390"/>
        <w:rPr>
          <w:rFonts w:ascii="宋体" w:hAnsi="宋体" w:cs="宋体"/>
          <w:dstrike/>
          <w:color w:val="auto"/>
          <w:sz w:val="24"/>
          <w:highlight w:val="none"/>
        </w:rPr>
      </w:pPr>
      <w:r>
        <w:rPr>
          <w:rFonts w:hint="eastAsia" w:ascii="宋体" w:hAnsi="宋体" w:cs="宋体"/>
          <w:dstrike/>
          <w:color w:val="auto"/>
          <w:sz w:val="24"/>
          <w:highlight w:val="none"/>
        </w:rPr>
        <w:t>注：广州地区业绩的中标通知书应由以下单位确认：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其他地区业绩的中标通知书应由当地的有形建筑市场确认。</w:t>
      </w:r>
    </w:p>
    <w:p>
      <w:pPr>
        <w:spacing w:line="400" w:lineRule="exact"/>
        <w:rPr>
          <w:rFonts w:ascii="宋体" w:hAnsi="宋体" w:cs="宋体"/>
          <w:color w:val="auto"/>
          <w:sz w:val="24"/>
          <w:highlight w:val="none"/>
        </w:rPr>
      </w:pPr>
      <w:r>
        <w:rPr>
          <w:rFonts w:hint="eastAsia" w:ascii="宋体" w:hAnsi="宋体" w:cs="宋体"/>
          <w:color w:val="auto"/>
          <w:sz w:val="24"/>
          <w:highlight w:val="none"/>
        </w:rPr>
        <w:t>1.2.9  项目负责人业绩要求（需要 /  ■不需要   ）：</w:t>
      </w:r>
    </w:p>
    <w:p>
      <w:pPr>
        <w:spacing w:line="400" w:lineRule="exact"/>
        <w:ind w:left="819" w:leftChars="390"/>
        <w:rPr>
          <w:rFonts w:ascii="宋体" w:hAnsi="宋体" w:cs="宋体"/>
          <w:dstrike/>
          <w:color w:val="auto"/>
          <w:sz w:val="24"/>
          <w:highlight w:val="none"/>
        </w:rPr>
      </w:pPr>
      <w:r>
        <w:rPr>
          <w:rFonts w:hint="eastAsia" w:ascii="宋体" w:hAnsi="宋体" w:cs="宋体"/>
          <w:dstrike/>
          <w:color w:val="auto"/>
          <w:sz w:val="24"/>
          <w:highlight w:val="none"/>
        </w:rPr>
        <w:t>项目负责人自年月日（近3年或以上）至今（以合同签订日期为准）承担过类似业绩（类似业绩是指达到第1.2.3条所述资质方能承接的项目 ）。需同时提供如下资料：</w:t>
      </w:r>
    </w:p>
    <w:p>
      <w:pPr>
        <w:spacing w:line="400" w:lineRule="exact"/>
        <w:ind w:left="819" w:leftChars="390"/>
        <w:rPr>
          <w:rFonts w:ascii="宋体" w:hAnsi="宋体" w:cs="宋体"/>
          <w:dstrike/>
          <w:color w:val="auto"/>
          <w:sz w:val="24"/>
          <w:highlight w:val="none"/>
        </w:rPr>
      </w:pPr>
      <w:r>
        <w:rPr>
          <w:rFonts w:hint="eastAsia" w:ascii="宋体" w:hAnsi="宋体" w:cs="宋体"/>
          <w:dstrike/>
          <w:color w:val="auto"/>
          <w:sz w:val="24"/>
          <w:highlight w:val="none"/>
        </w:rPr>
        <w:t>（1）中标通知书或项目审批部门出具的免招标的相关证明；</w:t>
      </w:r>
    </w:p>
    <w:p>
      <w:pPr>
        <w:spacing w:line="400" w:lineRule="exact"/>
        <w:ind w:left="819" w:leftChars="390"/>
        <w:rPr>
          <w:rFonts w:ascii="宋体" w:hAnsi="宋体" w:cs="宋体"/>
          <w:dstrike/>
          <w:color w:val="auto"/>
          <w:sz w:val="24"/>
          <w:highlight w:val="none"/>
        </w:rPr>
      </w:pPr>
      <w:r>
        <w:rPr>
          <w:rFonts w:hint="eastAsia" w:ascii="宋体" w:hAnsi="宋体" w:cs="宋体"/>
          <w:dstrike/>
          <w:color w:val="auto"/>
          <w:sz w:val="24"/>
          <w:highlight w:val="none"/>
        </w:rPr>
        <w:t>（2）设计合同；</w:t>
      </w:r>
    </w:p>
    <w:p>
      <w:pPr>
        <w:spacing w:line="400" w:lineRule="exact"/>
        <w:ind w:left="819" w:leftChars="390"/>
        <w:rPr>
          <w:rFonts w:ascii="宋体" w:hAnsi="宋体" w:cs="宋体"/>
          <w:dstrike/>
          <w:color w:val="auto"/>
          <w:sz w:val="24"/>
          <w:highlight w:val="none"/>
        </w:rPr>
      </w:pPr>
      <w:r>
        <w:rPr>
          <w:rFonts w:hint="eastAsia" w:ascii="宋体" w:hAnsi="宋体" w:cs="宋体"/>
          <w:dstrike/>
          <w:color w:val="auto"/>
          <w:sz w:val="24"/>
          <w:highlight w:val="none"/>
        </w:rPr>
        <w:t>（3）初步设计审查证明或施工图审查备案证明。</w:t>
      </w:r>
    </w:p>
    <w:p>
      <w:pPr>
        <w:spacing w:line="400" w:lineRule="exact"/>
        <w:ind w:left="819" w:leftChars="390"/>
        <w:rPr>
          <w:rFonts w:ascii="宋体" w:hAnsi="宋体" w:cs="宋体"/>
          <w:dstrike/>
          <w:color w:val="auto"/>
          <w:sz w:val="24"/>
          <w:highlight w:val="none"/>
        </w:rPr>
      </w:pPr>
      <w:r>
        <w:rPr>
          <w:rFonts w:hint="eastAsia" w:ascii="宋体" w:hAnsi="宋体" w:cs="宋体"/>
          <w:dstrike/>
          <w:color w:val="auto"/>
          <w:sz w:val="24"/>
          <w:highlight w:val="none"/>
        </w:rPr>
        <w:t xml:space="preserve">    注：广州地区业绩的中标通知书应由以下单位确认：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其他地区业绩的中标通知书应由当地的有形建筑市场确认。</w:t>
      </w:r>
    </w:p>
    <w:p>
      <w:pPr>
        <w:spacing w:line="400" w:lineRule="exact"/>
        <w:ind w:left="821" w:hanging="820" w:hangingChars="342"/>
        <w:rPr>
          <w:rFonts w:ascii="宋体" w:hAnsi="宋体" w:cs="宋体"/>
          <w:color w:val="auto"/>
          <w:sz w:val="24"/>
          <w:highlight w:val="none"/>
        </w:rPr>
      </w:pPr>
      <w:bookmarkStart w:id="0" w:name="_Toc245023997"/>
      <w:bookmarkStart w:id="1" w:name="_Toc253143216"/>
      <w:bookmarkStart w:id="2" w:name="_Toc249846223"/>
      <w:bookmarkStart w:id="3" w:name="_Toc266881397"/>
      <w:bookmarkStart w:id="4" w:name="_Toc266093545"/>
      <w:bookmarkStart w:id="5" w:name="_Toc249845968"/>
      <w:r>
        <w:rPr>
          <w:rFonts w:hint="eastAsia" w:ascii="宋体" w:hAnsi="宋体" w:cs="宋体"/>
          <w:color w:val="auto"/>
          <w:sz w:val="24"/>
          <w:highlight w:val="none"/>
        </w:rPr>
        <w:t>1.2.10 关于联合体投标：</w:t>
      </w:r>
      <w:bookmarkEnd w:id="0"/>
      <w:bookmarkEnd w:id="1"/>
      <w:bookmarkEnd w:id="2"/>
      <w:bookmarkEnd w:id="3"/>
      <w:bookmarkEnd w:id="4"/>
      <w:bookmarkEnd w:id="5"/>
    </w:p>
    <w:p>
      <w:pPr>
        <w:spacing w:line="400" w:lineRule="exact"/>
        <w:ind w:left="819" w:leftChars="390"/>
        <w:rPr>
          <w:rFonts w:ascii="宋体" w:hAnsi="宋体" w:cs="宋体"/>
          <w:color w:val="auto"/>
          <w:sz w:val="24"/>
          <w:highlight w:val="none"/>
        </w:rPr>
      </w:pPr>
      <w:r>
        <w:rPr>
          <w:rFonts w:hint="eastAsia" w:ascii="宋体" w:hAnsi="宋体" w:cs="宋体"/>
          <w:color w:val="auto"/>
          <w:sz w:val="24"/>
          <w:highlight w:val="none"/>
        </w:rPr>
        <w:t>如投标人组成联合体，联合体应当在投标登记前组成，联合体不超过2名并以</w:t>
      </w:r>
      <w:r>
        <w:rPr>
          <w:rFonts w:hint="eastAsia" w:ascii="宋体" w:hAnsi="宋体" w:cs="宋体"/>
          <w:color w:val="auto"/>
          <w:sz w:val="24"/>
          <w:highlight w:val="none"/>
          <w:u w:val="single"/>
        </w:rPr>
        <w:t xml:space="preserve"> 具备第1.2.3条第（1）设计资质要求的单位 </w:t>
      </w:r>
      <w:r>
        <w:rPr>
          <w:rFonts w:hint="eastAsia" w:ascii="宋体" w:hAnsi="宋体" w:cs="宋体"/>
          <w:color w:val="auto"/>
          <w:sz w:val="24"/>
          <w:highlight w:val="none"/>
        </w:rPr>
        <w:t>为牵头人，并签定联合体共同投标协议。投标人拟任本工程项目负责人应为牵头人正式员工。联合体共同投标协议应明确约定各方拟承担的工作和责任。投标登记截止后联合体增减、更换成员的，其投标无效。</w:t>
      </w:r>
    </w:p>
    <w:p>
      <w:pPr>
        <w:spacing w:line="400" w:lineRule="exact"/>
        <w:ind w:left="821" w:hanging="820" w:hangingChars="342"/>
        <w:rPr>
          <w:rFonts w:ascii="宋体" w:hAnsi="宋体" w:cs="宋体"/>
          <w:color w:val="auto"/>
          <w:sz w:val="24"/>
          <w:highlight w:val="none"/>
        </w:rPr>
      </w:pPr>
    </w:p>
    <w:p>
      <w:pPr>
        <w:spacing w:line="400" w:lineRule="exact"/>
        <w:jc w:val="left"/>
        <w:rPr>
          <w:rFonts w:ascii="宋体" w:hAnsi="宋体" w:cs="宋体"/>
          <w:b/>
          <w:color w:val="auto"/>
          <w:sz w:val="24"/>
          <w:highlight w:val="none"/>
        </w:rPr>
      </w:pPr>
      <w:r>
        <w:rPr>
          <w:rFonts w:hint="eastAsia" w:ascii="宋体" w:hAnsi="宋体" w:cs="宋体"/>
          <w:b/>
          <w:color w:val="auto"/>
          <w:sz w:val="24"/>
          <w:highlight w:val="none"/>
        </w:rPr>
        <w:t>1.3    发布招标公告、递交投标文件时间、开标时间：</w:t>
      </w:r>
    </w:p>
    <w:p>
      <w:pPr>
        <w:spacing w:line="400" w:lineRule="exact"/>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1.3.1  招标公告发布日期（含本日）：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p>
    <w:p>
      <w:pPr>
        <w:spacing w:line="40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分。注：招标公告发布时间为招标公告发出之日起至投标截止时间止。</w:t>
      </w:r>
    </w:p>
    <w:p>
      <w:pPr>
        <w:spacing w:line="400" w:lineRule="exact"/>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1.3.2  招标文件的获取：</w:t>
      </w:r>
      <w:r>
        <w:rPr>
          <w:rFonts w:hint="eastAsia" w:ascii="宋体" w:hAnsi="宋体" w:cs="宋体"/>
          <w:color w:val="auto"/>
          <w:sz w:val="24"/>
          <w:highlight w:val="none"/>
          <w:u w:val="single"/>
        </w:rPr>
        <w:t>凡有意参加投标者，请登录广州公共资源交易中心交易平台网站（网址：http://www.gzggzy.cn）下载电子招标文件。</w:t>
      </w:r>
      <w:r>
        <w:rPr>
          <w:rFonts w:hint="eastAsia" w:ascii="宋体" w:hAnsi="宋体" w:cs="宋体"/>
          <w:color w:val="auto"/>
          <w:sz w:val="24"/>
          <w:highlight w:val="none"/>
        </w:rPr>
        <w:t>招标公告网上发布的同时，通过广州公共资源交易中心网站发布招标文件及其他文件。招标公告发布之日起计算编制投标文件时间，编制投标文件的时间不得少于20天。如招标人需发布补充公告的，以最后发布的补充公告的时间起计算编制投标文件时间，并需在补充公告中明确说明。请密切留意补充公告中的相关信息。</w:t>
      </w:r>
    </w:p>
    <w:p>
      <w:pPr>
        <w:spacing w:line="400" w:lineRule="exact"/>
        <w:ind w:left="850" w:hanging="849" w:hangingChars="354"/>
        <w:jc w:val="left"/>
        <w:rPr>
          <w:rFonts w:ascii="宋体" w:hAnsi="宋体" w:cs="宋体"/>
          <w:color w:val="auto"/>
          <w:sz w:val="24"/>
          <w:highlight w:val="none"/>
        </w:rPr>
      </w:pPr>
      <w:r>
        <w:rPr>
          <w:rFonts w:hint="eastAsia" w:ascii="宋体" w:hAnsi="宋体" w:cs="宋体"/>
          <w:color w:val="auto"/>
          <w:sz w:val="24"/>
          <w:highlight w:val="none"/>
        </w:rPr>
        <w:t>1.3.3  递交投标文件时间、开标时间</w:t>
      </w:r>
    </w:p>
    <w:p>
      <w:pPr>
        <w:spacing w:line="400" w:lineRule="exact"/>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（1） 办理投标登记手续时间：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p>
    <w:p>
      <w:pPr>
        <w:spacing w:line="400" w:lineRule="exact"/>
        <w:ind w:left="821" w:hanging="820" w:hangingChars="342"/>
        <w:jc w:val="lef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分，投标人自行登录广州公共资源交易中心网站办理网上投标登记手续。</w:t>
      </w:r>
      <w:r>
        <w:rPr>
          <w:rFonts w:hint="eastAsia" w:ascii="宋体" w:hAnsi="宋体" w:cs="仿宋_GB2312"/>
          <w:color w:val="auto"/>
          <w:sz w:val="24"/>
          <w:highlight w:val="none"/>
          <w:u w:val="single"/>
        </w:rPr>
        <w:t>按照交易平台关于全流程电子化项目的相关指南进行操作。</w:t>
      </w:r>
    </w:p>
    <w:p>
      <w:pPr>
        <w:spacing w:line="400" w:lineRule="exact"/>
        <w:ind w:left="840" w:leftChars="342" w:hanging="122" w:hangingChars="51"/>
        <w:jc w:val="left"/>
        <w:rPr>
          <w:rFonts w:ascii="宋体" w:hAnsi="宋体" w:cs="宋体"/>
          <w:color w:val="auto"/>
          <w:sz w:val="24"/>
          <w:highlight w:val="none"/>
        </w:rPr>
      </w:pPr>
      <w:r>
        <w:rPr>
          <w:rFonts w:hint="eastAsia" w:ascii="宋体" w:hAnsi="宋体" w:cs="宋体"/>
          <w:color w:val="auto"/>
          <w:sz w:val="24"/>
          <w:highlight w:val="none"/>
        </w:rPr>
        <w:t>（2）递交电子投标文件起始时间：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p>
    <w:p>
      <w:pPr>
        <w:spacing w:line="400" w:lineRule="exact"/>
        <w:ind w:left="630" w:leftChars="300" w:firstLine="2640" w:firstLineChars="1100"/>
        <w:jc w:val="left"/>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p>
    <w:p>
      <w:pPr>
        <w:spacing w:line="400" w:lineRule="exact"/>
        <w:ind w:left="840" w:leftChars="342" w:hanging="122" w:hangingChars="51"/>
        <w:jc w:val="left"/>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投标人通过广州公共资源交易中心网站（网址：http://www.gzggzy.cn/）交易平台递交电子投标文件。投标人应在递交投标文件截止时间前，登录广州公共资源交易中心网站（网址：http://www.gzggzy.cn/）交易平台网站办理网上投标登记手续。按照交易平台关于全流程电子化项目的相关指南进行操作。详见：广州公共资源交易中心网站首页-服务指南-系统帮助-【全流程电子化项目】电子招投标操作手册（无纸化）。</w:t>
      </w:r>
    </w:p>
    <w:p>
      <w:pPr>
        <w:numPr>
          <w:ilvl w:val="0"/>
          <w:numId w:val="1"/>
        </w:numPr>
        <w:spacing w:line="400" w:lineRule="exact"/>
        <w:ind w:left="840" w:leftChars="342" w:hanging="122" w:hangingChars="51"/>
        <w:jc w:val="left"/>
        <w:rPr>
          <w:rFonts w:ascii="宋体" w:hAnsi="宋体" w:cs="宋体"/>
          <w:color w:val="auto"/>
          <w:sz w:val="24"/>
          <w:highlight w:val="none"/>
        </w:rPr>
      </w:pPr>
      <w:r>
        <w:rPr>
          <w:rFonts w:hint="eastAsia" w:ascii="宋体" w:hAnsi="宋体" w:cs="宋体"/>
          <w:color w:val="auto"/>
          <w:sz w:val="24"/>
          <w:highlight w:val="none"/>
        </w:rPr>
        <w:t>投标文件光盘（备用）递交时间：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分至</w:t>
      </w:r>
    </w:p>
    <w:p>
      <w:pPr>
        <w:spacing w:line="400" w:lineRule="exact"/>
        <w:ind w:left="611" w:leftChars="291" w:firstLine="480" w:firstLineChars="200"/>
        <w:jc w:val="lef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分；地点：广州公共资源交易中心增城交易部第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开标室。（电子光盘需按规定封装。投标人将数据刻录到光盘之后，投标前自行检查文件是否可以读取。）</w:t>
      </w:r>
    </w:p>
    <w:p>
      <w:pPr>
        <w:spacing w:line="400" w:lineRule="exact"/>
        <w:ind w:left="840" w:leftChars="342" w:hanging="122" w:hangingChars="51"/>
        <w:jc w:val="left"/>
        <w:rPr>
          <w:rFonts w:ascii="宋体" w:hAnsi="宋体" w:cs="宋体"/>
          <w:color w:val="auto"/>
          <w:sz w:val="24"/>
          <w:highlight w:val="none"/>
        </w:rPr>
      </w:pPr>
      <w:r>
        <w:rPr>
          <w:rFonts w:hint="eastAsia" w:ascii="宋体" w:hAnsi="宋体" w:cs="宋体"/>
          <w:color w:val="auto"/>
          <w:sz w:val="24"/>
          <w:highlight w:val="none"/>
        </w:rPr>
        <w:t>（4）逾期送达的投标文件，电子招标投标交易平台将予以拒收。逾期未上传成功的电子投标文件，招标人拒绝接收。逾期或未在指定地点递交投标文件光盘的,招标人拒绝接收其投标文件光盘。</w:t>
      </w:r>
    </w:p>
    <w:p>
      <w:pPr>
        <w:spacing w:line="400" w:lineRule="exact"/>
        <w:ind w:left="840" w:leftChars="342" w:hanging="122" w:hangingChars="51"/>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olor w:val="auto"/>
          <w:sz w:val="24"/>
          <w:highlight w:val="none"/>
        </w:rPr>
        <w:t>采用电子开标，在招标投标交易平台上公开进行。</w:t>
      </w:r>
      <w:r>
        <w:rPr>
          <w:rFonts w:hint="eastAsia" w:ascii="宋体" w:hAnsi="宋体" w:cs="宋体"/>
          <w:color w:val="auto"/>
          <w:sz w:val="24"/>
          <w:highlight w:val="none"/>
        </w:rPr>
        <w:t>开标时间：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p>
    <w:p>
      <w:pPr>
        <w:spacing w:line="400" w:lineRule="exact"/>
        <w:ind w:left="840" w:leftChars="342" w:hanging="122" w:hangingChars="51"/>
        <w:jc w:val="lef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分；地点：广州公共资源交易中心增城交易部第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开标室。</w:t>
      </w:r>
      <w:r>
        <w:rPr>
          <w:rFonts w:hint="eastAsia" w:ascii="宋体" w:hAnsi="宋体"/>
          <w:color w:val="auto"/>
          <w:sz w:val="24"/>
          <w:highlight w:val="none"/>
        </w:rPr>
        <w:t>（与</w:t>
      </w:r>
      <w:r>
        <w:rPr>
          <w:rFonts w:ascii="宋体" w:hAnsi="宋体"/>
          <w:color w:val="auto"/>
          <w:sz w:val="24"/>
          <w:highlight w:val="none"/>
        </w:rPr>
        <w:t>投标截止时间</w:t>
      </w:r>
      <w:r>
        <w:rPr>
          <w:rFonts w:hint="eastAsia" w:ascii="宋体" w:hAnsi="宋体"/>
          <w:color w:val="auto"/>
          <w:sz w:val="24"/>
          <w:highlight w:val="none"/>
        </w:rPr>
        <w:t>为</w:t>
      </w:r>
      <w:r>
        <w:rPr>
          <w:rFonts w:ascii="宋体" w:hAnsi="宋体"/>
          <w:color w:val="auto"/>
          <w:sz w:val="24"/>
          <w:highlight w:val="none"/>
        </w:rPr>
        <w:t>同一时间</w:t>
      </w:r>
      <w:r>
        <w:rPr>
          <w:rFonts w:hint="eastAsia" w:ascii="宋体" w:hAnsi="宋体"/>
          <w:color w:val="auto"/>
          <w:sz w:val="24"/>
          <w:highlight w:val="none"/>
        </w:rPr>
        <w:t>）。所有投标人均应当准时在线参加开标，</w:t>
      </w:r>
      <w:r>
        <w:rPr>
          <w:rFonts w:ascii="宋体" w:hAnsi="宋体"/>
          <w:color w:val="auto"/>
          <w:sz w:val="24"/>
          <w:highlight w:val="none"/>
        </w:rPr>
        <w:t>投标人</w:t>
      </w:r>
      <w:r>
        <w:rPr>
          <w:rFonts w:hint="eastAsia" w:ascii="宋体" w:hAnsi="宋体"/>
          <w:color w:val="auto"/>
          <w:sz w:val="24"/>
          <w:highlight w:val="none"/>
        </w:rPr>
        <w:t>参与电子</w:t>
      </w:r>
      <w:r>
        <w:rPr>
          <w:rFonts w:ascii="宋体" w:hAnsi="宋体"/>
          <w:color w:val="auto"/>
          <w:sz w:val="24"/>
          <w:highlight w:val="none"/>
        </w:rPr>
        <w:t>开标</w:t>
      </w:r>
      <w:r>
        <w:rPr>
          <w:rFonts w:hint="eastAsia" w:ascii="宋体" w:hAnsi="宋体"/>
          <w:color w:val="auto"/>
          <w:sz w:val="24"/>
          <w:highlight w:val="none"/>
        </w:rPr>
        <w:t>的</w:t>
      </w:r>
      <w:r>
        <w:rPr>
          <w:rFonts w:ascii="宋体" w:hAnsi="宋体"/>
          <w:color w:val="auto"/>
          <w:sz w:val="24"/>
          <w:highlight w:val="none"/>
        </w:rPr>
        <w:t>具体操作详见交易平台</w:t>
      </w:r>
      <w:r>
        <w:rPr>
          <w:rFonts w:hint="eastAsia" w:ascii="宋体" w:hAnsi="宋体"/>
          <w:color w:val="auto"/>
          <w:sz w:val="24"/>
          <w:highlight w:val="none"/>
        </w:rPr>
        <w:t>发布</w:t>
      </w:r>
      <w:r>
        <w:rPr>
          <w:rFonts w:ascii="宋体" w:hAnsi="宋体"/>
          <w:color w:val="auto"/>
          <w:sz w:val="24"/>
          <w:highlight w:val="none"/>
        </w:rPr>
        <w:t>的相关操作指引</w:t>
      </w:r>
      <w:r>
        <w:rPr>
          <w:rFonts w:hint="eastAsia" w:ascii="宋体" w:hAnsi="宋体"/>
          <w:color w:val="auto"/>
          <w:sz w:val="24"/>
          <w:highlight w:val="none"/>
        </w:rPr>
        <w:t>。</w:t>
      </w:r>
    </w:p>
    <w:p>
      <w:pPr>
        <w:spacing w:line="400" w:lineRule="exact"/>
        <w:jc w:val="left"/>
        <w:rPr>
          <w:rFonts w:ascii="宋体" w:hAnsi="宋体" w:cs="宋体"/>
          <w:b/>
          <w:color w:val="auto"/>
          <w:sz w:val="24"/>
          <w:highlight w:val="none"/>
          <w:u w:val="single"/>
        </w:rPr>
      </w:pPr>
      <w:r>
        <w:rPr>
          <w:rFonts w:hint="eastAsia" w:ascii="宋体" w:hAnsi="宋体" w:cs="宋体"/>
          <w:b/>
          <w:color w:val="auto"/>
          <w:sz w:val="24"/>
          <w:highlight w:val="none"/>
        </w:rPr>
        <w:t>1.4   费用：</w:t>
      </w:r>
      <w:r>
        <w:rPr>
          <w:rFonts w:hint="eastAsia" w:ascii="宋体" w:hAnsi="宋体" w:cs="宋体"/>
          <w:b/>
          <w:color w:val="auto"/>
          <w:sz w:val="24"/>
          <w:highlight w:val="none"/>
          <w:u w:val="single"/>
        </w:rPr>
        <w:t>363.91万元（最终以财政评审机构的审核意见为准）。投标人报价不得高于最高投标限价，否则当无效标处理。</w:t>
      </w:r>
    </w:p>
    <w:p>
      <w:pPr>
        <w:spacing w:line="400" w:lineRule="exact"/>
        <w:ind w:left="708" w:hanging="708" w:hangingChars="295"/>
        <w:rPr>
          <w:rFonts w:ascii="宋体" w:hAnsi="宋体" w:cs="宋体"/>
          <w:color w:val="auto"/>
          <w:sz w:val="24"/>
          <w:highlight w:val="none"/>
        </w:rPr>
      </w:pPr>
      <w:r>
        <w:rPr>
          <w:rFonts w:hint="eastAsia" w:ascii="宋体" w:hAnsi="宋体" w:cs="宋体"/>
          <w:color w:val="auto"/>
          <w:sz w:val="24"/>
          <w:highlight w:val="none"/>
        </w:rPr>
        <w:t xml:space="preserve">1.4.1  </w:t>
      </w:r>
      <w:r>
        <w:rPr>
          <w:rFonts w:hint="eastAsia" w:ascii="宋体" w:hAnsi="宋体" w:cs="宋体"/>
          <w:b/>
          <w:bCs/>
          <w:color w:val="auto"/>
          <w:sz w:val="24"/>
          <w:highlight w:val="none"/>
        </w:rPr>
        <w:t>工程勘察费最高投标限价为78.84万元。投标人在附录5中对应的工程勘察费报价不得超过此限额（最终结算以合同价、概算评审价和结算价较低者为结算价）。</w:t>
      </w:r>
    </w:p>
    <w:p>
      <w:pPr>
        <w:spacing w:line="400" w:lineRule="exact"/>
        <w:ind w:left="840" w:hanging="840" w:hangingChars="350"/>
        <w:rPr>
          <w:rFonts w:ascii="宋体" w:hAnsi="宋体" w:cs="宋体"/>
          <w:color w:val="auto"/>
          <w:sz w:val="24"/>
          <w:highlight w:val="none"/>
        </w:rPr>
      </w:pPr>
      <w:r>
        <w:rPr>
          <w:rFonts w:hint="eastAsia" w:ascii="宋体" w:hAnsi="宋体" w:cs="宋体"/>
          <w:color w:val="auto"/>
          <w:sz w:val="24"/>
          <w:highlight w:val="none"/>
        </w:rPr>
        <w:t>1.4.1.1工程测量费的各项费用参考国家发展计划委员会、建设部2002年颁布的《工程勘察设计收费标准》下浮0~20%计算。工程测量费的各项费用仅作为分期付款的依据，最终按实际完成工作量和合同所述的取费标准结算，并以广州市增城区财政评审机构或招标人有关部门或其授权委托单位审定金额为准。</w:t>
      </w:r>
    </w:p>
    <w:p>
      <w:pPr>
        <w:spacing w:line="380" w:lineRule="exact"/>
        <w:ind w:left="840" w:hanging="840" w:hangingChars="350"/>
        <w:rPr>
          <w:rFonts w:ascii="宋体" w:hAnsi="宋体" w:cs="宋体"/>
          <w:color w:val="auto"/>
          <w:sz w:val="24"/>
          <w:highlight w:val="none"/>
        </w:rPr>
      </w:pPr>
      <w:r>
        <w:rPr>
          <w:rFonts w:hint="eastAsia" w:ascii="宋体" w:hAnsi="宋体" w:cs="宋体"/>
          <w:color w:val="auto"/>
          <w:sz w:val="24"/>
          <w:highlight w:val="none"/>
        </w:rPr>
        <w:t>1.4.1.2工程物探费的各项费用参考国家发展计划委员会、建设部2002年颁布的《工程勘察设计收费标准》下浮0~20%计算。工程物探费的各项费用仅作为分期付款的依据，最终按实际完成工作量和合同所述的取费标准结算，并以广州市增城区财政评审机构或招标人有关部门或其授权委托单位审定金额为准。</w:t>
      </w:r>
    </w:p>
    <w:p>
      <w:pPr>
        <w:spacing w:line="380" w:lineRule="exact"/>
        <w:ind w:left="840" w:hanging="840" w:hangingChars="350"/>
        <w:rPr>
          <w:rFonts w:ascii="宋体" w:hAnsi="宋体" w:cs="宋体"/>
          <w:color w:val="auto"/>
          <w:sz w:val="24"/>
          <w:highlight w:val="none"/>
        </w:rPr>
      </w:pPr>
      <w:r>
        <w:rPr>
          <w:rFonts w:hint="eastAsia" w:ascii="宋体" w:hAnsi="宋体" w:cs="宋体"/>
          <w:color w:val="auto"/>
          <w:sz w:val="24"/>
          <w:highlight w:val="none"/>
        </w:rPr>
        <w:t>1.4.1.3岩土工程勘察费用参照国家发展计划委员会、建设部2002年颁布的《工程勘察设计收费标准》下浮0~20%计算。岩土工程勘察费的各项费用仅作为分期付款的依据，最终按实际完成工作量和合同所述的取费标准结算，并以广州市增城区财政评审机构或招标人有关部门或其授权委托单位审定金额为准。</w:t>
      </w:r>
    </w:p>
    <w:p>
      <w:pPr>
        <w:spacing w:line="380" w:lineRule="exact"/>
        <w:ind w:left="840" w:hanging="840" w:hangingChars="350"/>
        <w:rPr>
          <w:rFonts w:ascii="宋体" w:hAnsi="宋体" w:cs="宋体"/>
          <w:color w:val="auto"/>
          <w:sz w:val="24"/>
          <w:highlight w:val="none"/>
        </w:rPr>
      </w:pPr>
      <w:r>
        <w:rPr>
          <w:rFonts w:hint="eastAsia" w:ascii="宋体" w:hAnsi="宋体" w:cs="宋体"/>
          <w:color w:val="auto"/>
          <w:sz w:val="24"/>
          <w:highlight w:val="none"/>
        </w:rPr>
        <w:t xml:space="preserve">1.4.2  </w:t>
      </w:r>
      <w:r>
        <w:rPr>
          <w:rFonts w:hint="eastAsia" w:ascii="宋体" w:hAnsi="宋体" w:cs="宋体"/>
          <w:b/>
          <w:bCs/>
          <w:color w:val="auto"/>
          <w:sz w:val="24"/>
          <w:highlight w:val="none"/>
        </w:rPr>
        <w:t>工程设计费最高投标限价为</w:t>
      </w:r>
      <w:r>
        <w:rPr>
          <w:rFonts w:hint="eastAsia" w:ascii="宋体" w:hAnsi="宋体" w:cs="宋体"/>
          <w:b/>
          <w:bCs/>
          <w:color w:val="auto"/>
          <w:sz w:val="24"/>
          <w:highlight w:val="none"/>
          <w:u w:val="single"/>
        </w:rPr>
        <w:t>285.07</w:t>
      </w:r>
      <w:r>
        <w:rPr>
          <w:rFonts w:hint="eastAsia" w:ascii="宋体" w:hAnsi="宋体" w:cs="宋体"/>
          <w:b/>
          <w:bCs/>
          <w:color w:val="auto"/>
          <w:sz w:val="24"/>
          <w:highlight w:val="none"/>
        </w:rPr>
        <w:t>万元。投标人在附录5中对应的工程设计费报价不得超过此限额（最终结算以合同价、概算评审价和结算价较低者为结算价）。</w:t>
      </w:r>
    </w:p>
    <w:p>
      <w:pPr>
        <w:spacing w:line="380" w:lineRule="exact"/>
        <w:ind w:left="840" w:hanging="840" w:hangingChars="350"/>
        <w:rPr>
          <w:rFonts w:ascii="宋体" w:hAnsi="宋体" w:cs="宋体"/>
          <w:color w:val="auto"/>
          <w:sz w:val="24"/>
          <w:highlight w:val="none"/>
        </w:rPr>
      </w:pPr>
      <w:r>
        <w:rPr>
          <w:rFonts w:hint="eastAsia" w:ascii="宋体" w:hAnsi="宋体" w:cs="宋体"/>
          <w:color w:val="auto"/>
          <w:sz w:val="24"/>
          <w:highlight w:val="none"/>
        </w:rPr>
        <w:t>1.4.1.2.1工程设计费参考国家发展计划委员会、建设部2002年颁布的《工程勘察设计收费标准》下浮0~20%计算。在合同实施期间设计费按建设规模和设计工作量调整，但费率浮动幅度不变，设计费最终结算以广州市增城区财政评审机构或招标人有关部门或其授权委托单位审定金额为准。</w:t>
      </w:r>
    </w:p>
    <w:p>
      <w:pPr>
        <w:spacing w:line="380" w:lineRule="exact"/>
        <w:ind w:left="840" w:hanging="840" w:hangingChars="350"/>
        <w:rPr>
          <w:rFonts w:ascii="宋体" w:hAnsi="宋体" w:cs="宋体"/>
          <w:color w:val="auto"/>
          <w:sz w:val="24"/>
          <w:highlight w:val="none"/>
        </w:rPr>
      </w:pPr>
      <w:r>
        <w:rPr>
          <w:rFonts w:hint="eastAsia" w:ascii="宋体" w:hAnsi="宋体" w:cs="宋体"/>
          <w:color w:val="auto"/>
          <w:sz w:val="24"/>
          <w:highlight w:val="none"/>
        </w:rPr>
        <w:t>1.4.2  财政投资项目应实行限额设计，初步设计的建设内容和建设标准不得超过可行性研究报告批复的范围，编制初步设计概算不得超过经批准的可行性研究报告总投资。</w:t>
      </w:r>
    </w:p>
    <w:p>
      <w:pPr>
        <w:spacing w:line="380" w:lineRule="exact"/>
        <w:ind w:left="840" w:hanging="840" w:hangingChars="350"/>
        <w:rPr>
          <w:rFonts w:ascii="宋体" w:hAnsi="宋体" w:cs="宋体"/>
          <w:color w:val="auto"/>
          <w:sz w:val="24"/>
          <w:highlight w:val="none"/>
        </w:rPr>
      </w:pPr>
      <w:r>
        <w:rPr>
          <w:rFonts w:hint="eastAsia" w:ascii="宋体" w:hAnsi="宋体" w:cs="宋体"/>
          <w:color w:val="auto"/>
          <w:sz w:val="24"/>
          <w:highlight w:val="none"/>
        </w:rPr>
        <w:t xml:space="preserve">       政府固定资产投资应当坚持估算控制概算，概算控制预算，预算控制决算的原则。</w:t>
      </w:r>
    </w:p>
    <w:p>
      <w:pPr>
        <w:spacing w:line="380" w:lineRule="exact"/>
        <w:ind w:left="840" w:hanging="840" w:hangingChars="350"/>
        <w:rPr>
          <w:rFonts w:ascii="宋体" w:hAnsi="宋体" w:cs="宋体"/>
          <w:color w:val="auto"/>
          <w:sz w:val="24"/>
          <w:highlight w:val="none"/>
        </w:rPr>
      </w:pPr>
      <w:r>
        <w:rPr>
          <w:rFonts w:hint="eastAsia" w:ascii="宋体" w:hAnsi="宋体" w:cs="宋体"/>
          <w:color w:val="auto"/>
          <w:sz w:val="24"/>
          <w:highlight w:val="none"/>
        </w:rPr>
        <w:t>1.4.3  未中标单位经济补偿及补偿金额</w:t>
      </w:r>
    </w:p>
    <w:p>
      <w:pPr>
        <w:spacing w:line="380" w:lineRule="exact"/>
        <w:ind w:left="838" w:leftChars="342" w:hanging="120" w:hangingChars="50"/>
        <w:rPr>
          <w:rFonts w:ascii="宋体" w:hAnsi="宋体" w:cs="宋体"/>
          <w:color w:val="auto"/>
          <w:sz w:val="24"/>
          <w:highlight w:val="none"/>
        </w:rPr>
      </w:pPr>
      <w:r>
        <w:rPr>
          <w:rFonts w:hint="eastAsia" w:ascii="宋体" w:hAnsi="宋体" w:cs="宋体"/>
          <w:color w:val="auto"/>
          <w:sz w:val="24"/>
          <w:highlight w:val="none"/>
        </w:rPr>
        <w:t>■本工程不设未中标单位经济补偿，投标费用由投标人自理。</w:t>
      </w:r>
    </w:p>
    <w:p>
      <w:pPr>
        <w:spacing w:line="380" w:lineRule="exact"/>
        <w:ind w:left="838" w:leftChars="342" w:hanging="120" w:hangingChars="50"/>
        <w:rPr>
          <w:rFonts w:ascii="宋体" w:hAnsi="宋体" w:cs="宋体"/>
          <w:dstrike/>
          <w:color w:val="auto"/>
          <w:sz w:val="24"/>
          <w:highlight w:val="none"/>
        </w:rPr>
      </w:pPr>
      <w:r>
        <w:rPr>
          <w:rFonts w:hint="eastAsia" w:ascii="宋体" w:hAnsi="宋体" w:cs="宋体"/>
          <w:dstrike/>
          <w:color w:val="auto"/>
          <w:sz w:val="24"/>
          <w:highlight w:val="none"/>
        </w:rPr>
        <w:t xml:space="preserve">□本工程设未中标单位经济补偿。中标价=工程勘察设计费总额+未中标单位经济补偿总额（未中标单位经济补偿包含在中标价内），中标人根据评标委员会对投标人的评审排序，在收到招标人的第一笔预付款后分别向未中标单位支付经济补偿（含税金等）： </w:t>
      </w:r>
    </w:p>
    <w:p>
      <w:pPr>
        <w:spacing w:line="380" w:lineRule="exact"/>
        <w:ind w:left="838" w:leftChars="399"/>
        <w:rPr>
          <w:rFonts w:ascii="宋体" w:hAnsi="宋体" w:cs="宋体"/>
          <w:dstrike/>
          <w:color w:val="auto"/>
          <w:sz w:val="24"/>
          <w:highlight w:val="none"/>
        </w:rPr>
      </w:pPr>
      <w:r>
        <w:rPr>
          <w:rFonts w:hint="eastAsia" w:ascii="宋体" w:hAnsi="宋体" w:cs="宋体"/>
          <w:dstrike/>
          <w:color w:val="auto"/>
          <w:sz w:val="24"/>
          <w:highlight w:val="none"/>
        </w:rPr>
        <w:t>评审排序第2名万元；</w:t>
      </w:r>
    </w:p>
    <w:p>
      <w:pPr>
        <w:spacing w:line="380" w:lineRule="exact"/>
        <w:ind w:left="838" w:leftChars="399"/>
        <w:rPr>
          <w:rFonts w:ascii="宋体" w:hAnsi="宋体" w:cs="宋体"/>
          <w:dstrike/>
          <w:color w:val="auto"/>
          <w:sz w:val="24"/>
          <w:highlight w:val="none"/>
        </w:rPr>
      </w:pPr>
      <w:r>
        <w:rPr>
          <w:rFonts w:hint="eastAsia" w:ascii="宋体" w:hAnsi="宋体" w:cs="宋体"/>
          <w:dstrike/>
          <w:color w:val="auto"/>
          <w:sz w:val="24"/>
          <w:highlight w:val="none"/>
        </w:rPr>
        <w:t>评审排序第3名万元；</w:t>
      </w:r>
    </w:p>
    <w:p>
      <w:pPr>
        <w:spacing w:line="380" w:lineRule="exact"/>
        <w:ind w:left="838" w:leftChars="399"/>
        <w:rPr>
          <w:rFonts w:ascii="宋体" w:hAnsi="宋体" w:cs="宋体"/>
          <w:dstrike/>
          <w:color w:val="auto"/>
          <w:sz w:val="24"/>
          <w:highlight w:val="none"/>
        </w:rPr>
      </w:pPr>
      <w:r>
        <w:rPr>
          <w:rFonts w:hint="eastAsia" w:ascii="宋体" w:hAnsi="宋体" w:cs="宋体"/>
          <w:dstrike/>
          <w:color w:val="auto"/>
          <w:sz w:val="24"/>
          <w:highlight w:val="none"/>
        </w:rPr>
        <w:t>评审排序第4名万元；</w:t>
      </w:r>
    </w:p>
    <w:p>
      <w:pPr>
        <w:spacing w:line="380" w:lineRule="exact"/>
        <w:ind w:left="838" w:leftChars="399"/>
        <w:rPr>
          <w:rFonts w:ascii="宋体" w:hAnsi="宋体" w:cs="宋体"/>
          <w:dstrike/>
          <w:color w:val="auto"/>
          <w:sz w:val="24"/>
          <w:highlight w:val="none"/>
        </w:rPr>
      </w:pPr>
      <w:r>
        <w:rPr>
          <w:rFonts w:hint="eastAsia" w:ascii="宋体" w:hAnsi="宋体" w:cs="宋体"/>
          <w:dstrike/>
          <w:color w:val="auto"/>
          <w:sz w:val="24"/>
          <w:highlight w:val="none"/>
        </w:rPr>
        <w:t>评审排序第5名万元；</w:t>
      </w:r>
    </w:p>
    <w:p>
      <w:pPr>
        <w:spacing w:line="380" w:lineRule="exact"/>
        <w:ind w:left="838" w:leftChars="399"/>
        <w:rPr>
          <w:rFonts w:ascii="宋体" w:hAnsi="宋体" w:cs="宋体"/>
          <w:dstrike/>
          <w:color w:val="auto"/>
          <w:sz w:val="24"/>
          <w:highlight w:val="none"/>
        </w:rPr>
      </w:pPr>
      <w:r>
        <w:rPr>
          <w:rFonts w:hint="eastAsia" w:ascii="宋体" w:hAnsi="宋体" w:cs="宋体"/>
          <w:dstrike/>
          <w:color w:val="auto"/>
          <w:sz w:val="24"/>
          <w:highlight w:val="none"/>
        </w:rPr>
        <w:t>…………</w:t>
      </w:r>
    </w:p>
    <w:p>
      <w:pPr>
        <w:spacing w:line="380" w:lineRule="exact"/>
        <w:ind w:left="838" w:leftChars="342" w:hanging="120" w:hangingChars="50"/>
        <w:rPr>
          <w:rFonts w:ascii="宋体" w:hAnsi="宋体" w:cs="宋体"/>
          <w:dstrike/>
          <w:color w:val="auto"/>
          <w:sz w:val="24"/>
          <w:highlight w:val="none"/>
        </w:rPr>
      </w:pPr>
      <w:r>
        <w:rPr>
          <w:rFonts w:hint="eastAsia" w:ascii="宋体" w:hAnsi="宋体" w:cs="宋体"/>
          <w:dstrike/>
          <w:color w:val="auto"/>
          <w:sz w:val="24"/>
          <w:highlight w:val="none"/>
        </w:rPr>
        <w:t>其余投标人费用自理。</w:t>
      </w:r>
    </w:p>
    <w:p>
      <w:pPr>
        <w:spacing w:line="380" w:lineRule="exact"/>
        <w:ind w:left="838" w:leftChars="342" w:hanging="120" w:hangingChars="50"/>
        <w:jc w:val="left"/>
        <w:rPr>
          <w:rFonts w:ascii="宋体" w:hAnsi="宋体" w:cs="宋体"/>
          <w:dstrike/>
          <w:color w:val="auto"/>
          <w:sz w:val="24"/>
          <w:highlight w:val="none"/>
        </w:rPr>
      </w:pPr>
      <w:r>
        <w:rPr>
          <w:rFonts w:hint="eastAsia" w:ascii="宋体" w:hAnsi="宋体" w:cs="宋体"/>
          <w:dstrike/>
          <w:color w:val="auto"/>
          <w:sz w:val="24"/>
          <w:highlight w:val="none"/>
        </w:rPr>
        <w:t>注：1.如果招标失败，则当次不向未中标单位支付经济补偿。2.招标人和中标人有权在实施方案中参考使用获得经济补偿的所有投标方案成果的</w:t>
      </w:r>
    </w:p>
    <w:p>
      <w:pPr>
        <w:spacing w:line="380" w:lineRule="exact"/>
        <w:ind w:left="838" w:leftChars="342" w:hanging="120" w:hangingChars="50"/>
        <w:jc w:val="left"/>
        <w:rPr>
          <w:rFonts w:ascii="宋体" w:hAnsi="宋体" w:cs="宋体"/>
          <w:dstrike/>
          <w:color w:val="auto"/>
          <w:sz w:val="24"/>
          <w:highlight w:val="none"/>
        </w:rPr>
      </w:pPr>
    </w:p>
    <w:p>
      <w:pPr>
        <w:spacing w:line="380" w:lineRule="exact"/>
        <w:ind w:left="838" w:leftChars="342" w:hanging="120" w:hangingChars="50"/>
        <w:jc w:val="left"/>
        <w:rPr>
          <w:rFonts w:ascii="宋体" w:hAnsi="宋体" w:cs="宋体"/>
          <w:b/>
          <w:color w:val="auto"/>
          <w:sz w:val="24"/>
          <w:highlight w:val="none"/>
        </w:rPr>
      </w:pPr>
      <w:r>
        <w:rPr>
          <w:rFonts w:hint="eastAsia" w:ascii="宋体" w:hAnsi="宋体" w:cs="宋体"/>
          <w:dstrike/>
          <w:color w:val="auto"/>
          <w:sz w:val="24"/>
          <w:highlight w:val="none"/>
        </w:rPr>
        <w:t>部分内容。</w:t>
      </w:r>
    </w:p>
    <w:p>
      <w:pPr>
        <w:spacing w:line="400" w:lineRule="exact"/>
        <w:jc w:val="left"/>
        <w:rPr>
          <w:rFonts w:ascii="宋体" w:hAnsi="宋体" w:cs="宋体"/>
          <w:b/>
          <w:color w:val="auto"/>
          <w:sz w:val="24"/>
          <w:highlight w:val="none"/>
        </w:rPr>
      </w:pPr>
    </w:p>
    <w:p>
      <w:pPr>
        <w:spacing w:line="400" w:lineRule="exact"/>
        <w:jc w:val="left"/>
        <w:rPr>
          <w:rFonts w:ascii="宋体" w:hAnsi="宋体" w:cs="宋体"/>
          <w:b/>
          <w:color w:val="auto"/>
          <w:sz w:val="24"/>
          <w:highlight w:val="none"/>
        </w:rPr>
      </w:pPr>
      <w:r>
        <w:rPr>
          <w:rFonts w:hint="eastAsia" w:ascii="宋体" w:hAnsi="宋体" w:cs="宋体"/>
          <w:b/>
          <w:color w:val="auto"/>
          <w:sz w:val="24"/>
          <w:highlight w:val="none"/>
        </w:rPr>
        <w:t>1.5    工期</w:t>
      </w:r>
    </w:p>
    <w:p>
      <w:pPr>
        <w:spacing w:line="400" w:lineRule="exact"/>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1.5.1  设计工期：中标人应在收到中标通知书且收到方案修改意见后，20天内完成初步设计（不含招标人对初步设计的审查时间），初步设计审查批准后30天内完成施工图设计（含工程概算），施工图设计文件经审查发现问题后5天内完成补充、修改并送施工图审查单位。如果延误工期，承包人向发包人支付的误期损害赔偿费每天为最终合同价格的0.3%；误期损害赔偿费的最高限额为最终合同价格的30%。</w:t>
      </w:r>
    </w:p>
    <w:p>
      <w:pPr>
        <w:spacing w:line="400" w:lineRule="exact"/>
        <w:ind w:left="821" w:hanging="820" w:hangingChars="342"/>
        <w:jc w:val="left"/>
        <w:rPr>
          <w:rFonts w:ascii="宋体" w:hAnsi="宋体" w:cs="宋体"/>
          <w:color w:val="auto"/>
          <w:sz w:val="24"/>
          <w:highlight w:val="none"/>
        </w:rPr>
      </w:pPr>
      <w:r>
        <w:rPr>
          <w:rFonts w:hint="eastAsia" w:ascii="宋体" w:hAnsi="宋体" w:cs="宋体"/>
          <w:color w:val="auto"/>
          <w:sz w:val="24"/>
          <w:highlight w:val="none"/>
        </w:rPr>
        <w:t>1.5.2  勘察工期：中标通知书发出后，承包人收到发包人发出具备进场条件的的通知起计</w:t>
      </w:r>
      <w:r>
        <w:rPr>
          <w:rFonts w:hint="eastAsia" w:ascii="宋体" w:hAnsi="宋体" w:cs="宋体"/>
          <w:color w:val="auto"/>
          <w:sz w:val="24"/>
          <w:highlight w:val="none"/>
          <w:u w:val="single"/>
        </w:rPr>
        <w:t>30</w:t>
      </w:r>
      <w:r>
        <w:rPr>
          <w:rFonts w:hint="eastAsia" w:ascii="宋体" w:hAnsi="宋体" w:cs="宋体"/>
          <w:color w:val="auto"/>
          <w:sz w:val="24"/>
          <w:highlight w:val="none"/>
        </w:rPr>
        <w:t>日内提交勘察成果文件。如果延误工期，承包人向发包人支付的误期损害赔偿费每天为最终合同价格的0.3%；误期损害赔偿费的最高限额为最终合同价格的30%。</w:t>
      </w:r>
    </w:p>
    <w:p>
      <w:pPr>
        <w:spacing w:line="400" w:lineRule="exact"/>
        <w:ind w:left="1031" w:hanging="1031" w:hangingChars="428"/>
        <w:jc w:val="left"/>
        <w:rPr>
          <w:rFonts w:ascii="宋体" w:hAnsi="宋体" w:cs="宋体"/>
          <w:b/>
          <w:color w:val="auto"/>
          <w:sz w:val="24"/>
          <w:highlight w:val="none"/>
        </w:rPr>
      </w:pPr>
    </w:p>
    <w:p>
      <w:pPr>
        <w:spacing w:line="400" w:lineRule="exact"/>
        <w:ind w:left="1031" w:hanging="1031" w:hangingChars="428"/>
        <w:jc w:val="left"/>
        <w:rPr>
          <w:rFonts w:ascii="宋体" w:hAnsi="宋体" w:cs="宋体"/>
          <w:b/>
          <w:color w:val="auto"/>
          <w:sz w:val="24"/>
          <w:highlight w:val="none"/>
        </w:rPr>
      </w:pPr>
      <w:r>
        <w:rPr>
          <w:rFonts w:hint="eastAsia" w:ascii="宋体" w:hAnsi="宋体" w:cs="宋体"/>
          <w:b/>
          <w:color w:val="auto"/>
          <w:sz w:val="24"/>
          <w:highlight w:val="none"/>
        </w:rPr>
        <w:t>1.6     其他事项</w:t>
      </w:r>
    </w:p>
    <w:p>
      <w:pPr>
        <w:spacing w:line="400" w:lineRule="exact"/>
        <w:ind w:left="1027" w:hanging="1027" w:hangingChars="428"/>
        <w:jc w:val="left"/>
        <w:rPr>
          <w:rFonts w:ascii="宋体" w:hAnsi="宋体" w:cs="宋体"/>
          <w:color w:val="auto"/>
          <w:sz w:val="24"/>
          <w:highlight w:val="none"/>
        </w:rPr>
      </w:pPr>
      <w:r>
        <w:rPr>
          <w:rFonts w:hint="eastAsia" w:ascii="宋体" w:hAnsi="宋体" w:cs="宋体"/>
          <w:color w:val="auto"/>
          <w:sz w:val="24"/>
          <w:highlight w:val="none"/>
        </w:rPr>
        <w:t>1.6.1  投标时是否需要提交设计模型：</w:t>
      </w:r>
      <w:r>
        <w:rPr>
          <w:rFonts w:hint="eastAsia" w:ascii="宋体" w:hAnsi="宋体" w:cs="宋体"/>
          <w:color w:val="auto"/>
          <w:sz w:val="24"/>
          <w:highlight w:val="none"/>
          <w:u w:val="single"/>
        </w:rPr>
        <w:t>不需要</w:t>
      </w:r>
      <w:r>
        <w:rPr>
          <w:rFonts w:hint="eastAsia" w:ascii="宋体" w:hAnsi="宋体" w:cs="宋体"/>
          <w:color w:val="auto"/>
          <w:sz w:val="24"/>
          <w:highlight w:val="none"/>
        </w:rPr>
        <w:t>。</w:t>
      </w:r>
    </w:p>
    <w:p>
      <w:pPr>
        <w:spacing w:line="400" w:lineRule="exact"/>
        <w:ind w:left="941" w:hanging="940" w:hangingChars="392"/>
        <w:jc w:val="left"/>
        <w:rPr>
          <w:rFonts w:ascii="宋体" w:hAnsi="宋体" w:cs="宋体"/>
          <w:color w:val="auto"/>
          <w:sz w:val="24"/>
          <w:highlight w:val="none"/>
        </w:rPr>
      </w:pPr>
      <w:r>
        <w:rPr>
          <w:rFonts w:hint="eastAsia" w:ascii="宋体" w:hAnsi="宋体" w:cs="宋体"/>
          <w:color w:val="auto"/>
          <w:sz w:val="24"/>
          <w:highlight w:val="none"/>
        </w:rPr>
        <w:t>1.6.2  招标项目的电子地形图由</w:t>
      </w:r>
      <w:r>
        <w:rPr>
          <w:rFonts w:hint="eastAsia" w:ascii="宋体" w:hAnsi="宋体"/>
          <w:color w:val="auto"/>
          <w:sz w:val="24"/>
          <w:highlight w:val="none"/>
          <w:u w:val="single"/>
        </w:rPr>
        <w:t>投标人可自行</w:t>
      </w:r>
      <w:r>
        <w:rPr>
          <w:rFonts w:hint="eastAsia" w:ascii="宋体" w:hAnsi="宋体"/>
          <w:color w:val="auto"/>
          <w:sz w:val="24"/>
          <w:highlight w:val="none"/>
        </w:rPr>
        <w:t>到广州市建设大马路10号广州</w:t>
      </w:r>
      <w:r>
        <w:rPr>
          <w:rFonts w:hint="eastAsia" w:ascii="宋体" w:hAnsi="宋体"/>
          <w:color w:val="auto"/>
          <w:sz w:val="24"/>
          <w:highlight w:val="none"/>
          <w:u w:val="single"/>
        </w:rPr>
        <w:t>市城市规划勘测设计研究院购买领取。投标人可通过http://maps.google.com选择satellite（卫星图象）观察本项目的周边环境。</w:t>
      </w:r>
    </w:p>
    <w:p>
      <w:pPr>
        <w:spacing w:line="400" w:lineRule="exact"/>
        <w:ind w:left="821" w:hanging="820" w:hangingChars="342"/>
        <w:jc w:val="left"/>
        <w:rPr>
          <w:rFonts w:ascii="宋体" w:hAnsi="宋体" w:cs="宋体"/>
          <w:dstrike/>
          <w:color w:val="auto"/>
          <w:sz w:val="24"/>
          <w:highlight w:val="none"/>
        </w:rPr>
      </w:pPr>
      <w:r>
        <w:rPr>
          <w:rFonts w:hint="eastAsia" w:ascii="宋体" w:hAnsi="宋体" w:cs="宋体"/>
          <w:dstrike/>
          <w:color w:val="auto"/>
          <w:sz w:val="24"/>
          <w:highlight w:val="none"/>
        </w:rPr>
        <w:t>1.6.3  投标报名费人民币</w:t>
      </w:r>
      <w:r>
        <w:rPr>
          <w:rFonts w:hint="eastAsia" w:ascii="宋体" w:hAnsi="宋体" w:cs="宋体"/>
          <w:dstrike/>
          <w:color w:val="auto"/>
          <w:sz w:val="24"/>
          <w:highlight w:val="none"/>
          <w:u w:val="single"/>
        </w:rPr>
        <w:t xml:space="preserve">  100  </w:t>
      </w:r>
      <w:r>
        <w:rPr>
          <w:rFonts w:hint="eastAsia" w:ascii="宋体" w:hAnsi="宋体" w:cs="宋体"/>
          <w:dstrike/>
          <w:color w:val="auto"/>
          <w:sz w:val="24"/>
          <w:highlight w:val="none"/>
        </w:rPr>
        <w:t>元，交纳后不予退回，由交易服务机构开具发票。</w:t>
      </w:r>
    </w:p>
    <w:p>
      <w:pPr>
        <w:spacing w:line="400" w:lineRule="exact"/>
        <w:ind w:left="840" w:hanging="840" w:hangingChars="350"/>
        <w:rPr>
          <w:rFonts w:ascii="宋体" w:hAnsi="宋体" w:cs="宋体"/>
          <w:color w:val="auto"/>
          <w:sz w:val="24"/>
          <w:highlight w:val="none"/>
          <w:u w:val="single"/>
        </w:rPr>
      </w:pPr>
      <w:r>
        <w:rPr>
          <w:rFonts w:hint="eastAsia" w:ascii="宋体" w:hAnsi="宋体" w:cs="宋体"/>
          <w:color w:val="auto"/>
          <w:sz w:val="24"/>
          <w:highlight w:val="none"/>
          <w:u w:val="single"/>
        </w:rPr>
        <w:t xml:space="preserve">1.6.4  </w:t>
      </w:r>
      <w:bookmarkStart w:id="6" w:name="OLE_LINK54"/>
      <w:r>
        <w:rPr>
          <w:rFonts w:hint="eastAsia" w:ascii="宋体" w:hAnsi="宋体" w:cs="宋体"/>
          <w:color w:val="auto"/>
          <w:sz w:val="24"/>
          <w:highlight w:val="none"/>
          <w:u w:val="single"/>
        </w:rPr>
        <w:t>项目的其他情况在设计任务书中详细介绍。本公告为招标文件的组成部分，更详细的信息以招标文件为准。</w:t>
      </w:r>
      <w:bookmarkEnd w:id="6"/>
    </w:p>
    <w:p>
      <w:pPr>
        <w:spacing w:line="400" w:lineRule="exact"/>
        <w:ind w:left="840" w:hanging="840" w:hangingChars="350"/>
        <w:rPr>
          <w:rFonts w:ascii="宋体" w:hAnsi="宋体" w:cs="宋体"/>
          <w:color w:val="auto"/>
          <w:sz w:val="24"/>
          <w:highlight w:val="none"/>
          <w:u w:val="single"/>
        </w:rPr>
      </w:pPr>
      <w:r>
        <w:rPr>
          <w:rFonts w:hint="eastAsia" w:ascii="宋体" w:hAnsi="宋体" w:cs="宋体"/>
          <w:color w:val="auto"/>
          <w:sz w:val="24"/>
          <w:highlight w:val="none"/>
          <w:u w:val="single"/>
        </w:rPr>
        <w:t xml:space="preserve">1.6.5  </w:t>
      </w:r>
      <w:bookmarkStart w:id="7" w:name="OLE_LINK55"/>
      <w:r>
        <w:rPr>
          <w:rFonts w:hint="eastAsia" w:ascii="宋体" w:hAnsi="宋体" w:cs="宋体"/>
          <w:color w:val="auto"/>
          <w:sz w:val="24"/>
          <w:highlight w:val="none"/>
          <w:u w:val="single"/>
        </w:rPr>
        <w:t>有关招投标相关事宜，与招标人或招标代理机构联系。</w:t>
      </w:r>
      <w:bookmarkEnd w:id="7"/>
    </w:p>
    <w:p>
      <w:pPr>
        <w:spacing w:line="400" w:lineRule="exact"/>
        <w:ind w:left="840" w:hanging="840" w:hangingChars="350"/>
        <w:rPr>
          <w:rFonts w:ascii="宋体" w:hAnsi="宋体" w:cs="宋体"/>
          <w:color w:val="auto"/>
          <w:sz w:val="24"/>
          <w:highlight w:val="none"/>
          <w:u w:val="single"/>
        </w:rPr>
      </w:pPr>
      <w:r>
        <w:rPr>
          <w:rFonts w:hint="eastAsia" w:ascii="宋体" w:hAnsi="宋体" w:cs="宋体"/>
          <w:color w:val="auto"/>
          <w:sz w:val="24"/>
          <w:highlight w:val="none"/>
          <w:u w:val="single"/>
        </w:rPr>
        <w:t xml:space="preserve">1.6.6 </w:t>
      </w:r>
      <w:bookmarkStart w:id="8" w:name="OLE_LINK68"/>
      <w:bookmarkStart w:id="9" w:name="OLE_LINK56"/>
      <w:r>
        <w:rPr>
          <w:rFonts w:hint="eastAsia" w:ascii="宋体" w:hAnsi="宋体" w:cs="宋体"/>
          <w:color w:val="auto"/>
          <w:sz w:val="24"/>
          <w:highlight w:val="none"/>
          <w:u w:val="single"/>
        </w:rPr>
        <w:t xml:space="preserve"> 潜在投标人或利害关系人对本招标公告及招标文件有异议的，向招标人书面提出。</w:t>
      </w:r>
    </w:p>
    <w:p>
      <w:pPr>
        <w:spacing w:line="400" w:lineRule="exact"/>
        <w:ind w:left="958" w:leftChars="456" w:firstLine="120" w:firstLineChars="50"/>
        <w:rPr>
          <w:rFonts w:ascii="宋体" w:hAnsi="宋体" w:cs="宋体"/>
          <w:color w:val="auto"/>
          <w:sz w:val="24"/>
          <w:highlight w:val="none"/>
          <w:u w:val="single"/>
        </w:rPr>
      </w:pPr>
      <w:r>
        <w:rPr>
          <w:rFonts w:hint="eastAsia" w:ascii="宋体" w:hAnsi="宋体" w:cs="宋体"/>
          <w:color w:val="auto"/>
          <w:sz w:val="24"/>
          <w:highlight w:val="none"/>
          <w:u w:val="single"/>
        </w:rPr>
        <w:t>异议受理部门：</w:t>
      </w:r>
      <w:r>
        <w:rPr>
          <w:rFonts w:hint="eastAsia" w:ascii="宋体" w:hAnsi="宋体" w:cs="宋体"/>
          <w:color w:val="auto"/>
          <w:kern w:val="0"/>
          <w:sz w:val="24"/>
          <w:highlight w:val="none"/>
          <w:u w:val="single"/>
        </w:rPr>
        <w:t>广州市增城区人民政府朱村街道办事处</w:t>
      </w:r>
    </w:p>
    <w:p>
      <w:pPr>
        <w:spacing w:line="400" w:lineRule="exact"/>
        <w:ind w:left="958" w:leftChars="456" w:firstLine="120" w:firstLineChars="50"/>
        <w:rPr>
          <w:rFonts w:ascii="宋体" w:hAnsi="宋体" w:cs="宋体"/>
          <w:color w:val="auto"/>
          <w:sz w:val="24"/>
          <w:highlight w:val="none"/>
          <w:u w:val="single"/>
        </w:rPr>
      </w:pPr>
      <w:r>
        <w:rPr>
          <w:rFonts w:hint="eastAsia" w:ascii="宋体" w:hAnsi="宋体" w:cs="宋体"/>
          <w:color w:val="auto"/>
          <w:sz w:val="24"/>
          <w:highlight w:val="none"/>
          <w:u w:val="single"/>
        </w:rPr>
        <w:t>电话：</w:t>
      </w:r>
      <w:r>
        <w:rPr>
          <w:rFonts w:ascii="宋体" w:hAnsi="宋体" w:cs="宋体"/>
          <w:color w:val="auto"/>
          <w:kern w:val="0"/>
          <w:sz w:val="24"/>
          <w:highlight w:val="none"/>
          <w:u w:val="single"/>
        </w:rPr>
        <w:t>020-82855488</w:t>
      </w:r>
    </w:p>
    <w:p>
      <w:pPr>
        <w:spacing w:line="400" w:lineRule="exact"/>
        <w:ind w:left="958" w:leftChars="456" w:firstLine="120" w:firstLineChars="50"/>
        <w:rPr>
          <w:rFonts w:ascii="宋体" w:hAnsi="宋体" w:cs="宋体"/>
          <w:color w:val="auto"/>
          <w:sz w:val="24"/>
          <w:highlight w:val="none"/>
          <w:u w:val="single"/>
        </w:rPr>
      </w:pPr>
      <w:r>
        <w:rPr>
          <w:rFonts w:hint="eastAsia" w:ascii="宋体" w:hAnsi="宋体" w:cs="宋体"/>
          <w:color w:val="auto"/>
          <w:sz w:val="24"/>
          <w:highlight w:val="none"/>
          <w:u w:val="single"/>
        </w:rPr>
        <w:t>地址：</w:t>
      </w:r>
      <w:bookmarkEnd w:id="8"/>
      <w:r>
        <w:rPr>
          <w:rFonts w:hint="eastAsia" w:ascii="宋体" w:hAnsi="宋体" w:cs="宋体"/>
          <w:color w:val="auto"/>
          <w:sz w:val="24"/>
          <w:highlight w:val="none"/>
          <w:u w:val="single"/>
        </w:rPr>
        <w:t>广州市增城区朱村大道中288号</w:t>
      </w:r>
    </w:p>
    <w:bookmarkEnd w:id="9"/>
    <w:p>
      <w:pPr>
        <w:spacing w:line="400" w:lineRule="exact"/>
        <w:ind w:left="941" w:hanging="940" w:hangingChars="392"/>
        <w:jc w:val="left"/>
        <w:rPr>
          <w:rFonts w:ascii="宋体" w:hAnsi="宋体" w:cs="宋体"/>
          <w:color w:val="auto"/>
          <w:sz w:val="24"/>
          <w:highlight w:val="none"/>
          <w:u w:val="single"/>
        </w:rPr>
      </w:pPr>
      <w:r>
        <w:rPr>
          <w:rFonts w:hint="eastAsia" w:ascii="宋体" w:hAnsi="宋体" w:cs="宋体"/>
          <w:color w:val="auto"/>
          <w:sz w:val="24"/>
          <w:highlight w:val="none"/>
          <w:u w:val="single"/>
        </w:rPr>
        <w:t>1.6.7  本次招标公告同时在：广州公共资源交易网（网址：http://www.gzggzy.cn）、广东省招标投标监管网（网址：http://www.gdzbtb.gov.cn/）、广州市增城区人民政府门户网站（http://www.zc.gov.cn/）的“首页&gt;公开&gt;公共资源配置领域&gt;工程建设项目招投标”栏目和中国招标投标公共服务平台（网址：</w:t>
      </w:r>
      <w:r>
        <w:rPr>
          <w:color w:val="auto"/>
          <w:highlight w:val="none"/>
        </w:rPr>
        <w:fldChar w:fldCharType="begin"/>
      </w:r>
      <w:r>
        <w:rPr>
          <w:color w:val="auto"/>
          <w:highlight w:val="none"/>
        </w:rPr>
        <w:instrText xml:space="preserve"> HYPERLINK "http://www.cebpubservice.com/）上发布。本公告的修改、补充，在广州公共资源交易中心网站发布。" </w:instrText>
      </w:r>
      <w:r>
        <w:rPr>
          <w:color w:val="auto"/>
          <w:highlight w:val="none"/>
        </w:rPr>
        <w:fldChar w:fldCharType="separate"/>
      </w:r>
      <w:r>
        <w:rPr>
          <w:rFonts w:hint="eastAsia" w:ascii="宋体" w:hAnsi="宋体" w:cs="宋体"/>
          <w:color w:val="auto"/>
          <w:sz w:val="24"/>
          <w:highlight w:val="none"/>
          <w:u w:val="single"/>
        </w:rPr>
        <w:t>http://www.cebpubservice.com/）上发布。本公告的修改、补充，在广州公共资源交易中心网站发布。</w:t>
      </w:r>
      <w:r>
        <w:rPr>
          <w:rFonts w:hint="eastAsia" w:ascii="宋体" w:hAnsi="宋体" w:cs="宋体"/>
          <w:color w:val="auto"/>
          <w:sz w:val="24"/>
          <w:highlight w:val="none"/>
          <w:u w:val="single"/>
        </w:rPr>
        <w:fldChar w:fldCharType="end"/>
      </w:r>
    </w:p>
    <w:p>
      <w:pPr>
        <w:spacing w:line="400" w:lineRule="exact"/>
        <w:ind w:left="941" w:hanging="940" w:hangingChars="392"/>
        <w:jc w:val="left"/>
        <w:rPr>
          <w:rFonts w:ascii="宋体" w:hAnsi="宋体" w:cs="宋体"/>
          <w:color w:val="auto"/>
          <w:sz w:val="24"/>
          <w:highlight w:val="none"/>
          <w:u w:val="single"/>
        </w:rPr>
      </w:pPr>
      <w:r>
        <w:rPr>
          <w:rFonts w:hint="eastAsia" w:ascii="宋体" w:hAnsi="宋体" w:cs="宋体"/>
          <w:color w:val="auto"/>
          <w:sz w:val="24"/>
          <w:highlight w:val="none"/>
          <w:u w:val="single"/>
        </w:rPr>
        <w:t>1.6.8  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400" w:lineRule="exact"/>
        <w:ind w:left="962" w:leftChars="458" w:firstLine="19" w:firstLineChars="8"/>
        <w:jc w:val="left"/>
        <w:rPr>
          <w:rFonts w:ascii="宋体" w:hAnsi="宋体" w:cs="宋体"/>
          <w:color w:val="auto"/>
          <w:sz w:val="24"/>
          <w:highlight w:val="none"/>
          <w:u w:val="single"/>
        </w:rPr>
      </w:pPr>
      <w:r>
        <w:rPr>
          <w:rFonts w:hint="eastAsia" w:ascii="宋体" w:hAnsi="宋体" w:cs="宋体"/>
          <w:color w:val="auto"/>
          <w:sz w:val="24"/>
          <w:highlight w:val="none"/>
          <w:u w:val="single"/>
        </w:rPr>
        <w:t>1.将中标工程转包或者违法分包的；</w:t>
      </w:r>
    </w:p>
    <w:p>
      <w:pPr>
        <w:spacing w:line="400" w:lineRule="exact"/>
        <w:ind w:left="962" w:leftChars="458" w:firstLine="19" w:firstLineChars="8"/>
        <w:jc w:val="left"/>
        <w:rPr>
          <w:rFonts w:ascii="宋体" w:hAnsi="宋体" w:cs="宋体"/>
          <w:color w:val="auto"/>
          <w:sz w:val="24"/>
          <w:highlight w:val="none"/>
          <w:u w:val="single"/>
        </w:rPr>
      </w:pPr>
      <w:r>
        <w:rPr>
          <w:rFonts w:hint="eastAsia" w:ascii="宋体" w:hAnsi="宋体" w:cs="宋体"/>
          <w:color w:val="auto"/>
          <w:sz w:val="24"/>
          <w:highlight w:val="none"/>
          <w:u w:val="single"/>
        </w:rPr>
        <w:t>2.在中标工程中不执行质量、安全生产相关规定的，造成质量或安全事故的；</w:t>
      </w:r>
    </w:p>
    <w:p>
      <w:pPr>
        <w:spacing w:line="400" w:lineRule="exact"/>
        <w:ind w:left="962" w:leftChars="458" w:firstLine="19" w:firstLineChars="8"/>
        <w:jc w:val="left"/>
        <w:rPr>
          <w:rFonts w:ascii="宋体" w:hAnsi="宋体" w:cs="宋体"/>
          <w:color w:val="auto"/>
          <w:sz w:val="24"/>
          <w:highlight w:val="none"/>
          <w:u w:val="single"/>
        </w:rPr>
      </w:pPr>
      <w:r>
        <w:rPr>
          <w:rFonts w:hint="eastAsia" w:ascii="宋体" w:hAnsi="宋体" w:cs="宋体"/>
          <w:color w:val="auto"/>
          <w:sz w:val="24"/>
          <w:highlight w:val="none"/>
          <w:u w:val="single"/>
        </w:rPr>
        <w:t>3.存在围标或串标情形的；</w:t>
      </w:r>
    </w:p>
    <w:p>
      <w:pPr>
        <w:spacing w:line="400" w:lineRule="exact"/>
        <w:ind w:left="955" w:leftChars="455" w:firstLine="19" w:firstLineChars="8"/>
        <w:jc w:val="left"/>
        <w:rPr>
          <w:rFonts w:ascii="宋体" w:hAnsi="宋体" w:cs="宋体"/>
          <w:b/>
          <w:color w:val="auto"/>
          <w:sz w:val="24"/>
          <w:highlight w:val="none"/>
        </w:rPr>
      </w:pPr>
      <w:r>
        <w:rPr>
          <w:rFonts w:hint="eastAsia" w:ascii="宋体" w:hAnsi="宋体" w:cs="宋体"/>
          <w:color w:val="auto"/>
          <w:sz w:val="24"/>
          <w:highlight w:val="none"/>
          <w:u w:val="single"/>
        </w:rPr>
        <w:t>4.存在弄虚作假骗取中标情形的。</w:t>
      </w:r>
    </w:p>
    <w:p>
      <w:pPr>
        <w:spacing w:line="400" w:lineRule="exact"/>
        <w:jc w:val="left"/>
        <w:rPr>
          <w:rFonts w:ascii="宋体" w:hAnsi="宋体" w:cs="宋体"/>
          <w:b/>
          <w:color w:val="auto"/>
          <w:sz w:val="24"/>
          <w:highlight w:val="none"/>
        </w:rPr>
      </w:pPr>
    </w:p>
    <w:p>
      <w:pPr>
        <w:spacing w:line="400" w:lineRule="exact"/>
        <w:jc w:val="left"/>
        <w:rPr>
          <w:rFonts w:ascii="宋体" w:hAnsi="宋体" w:cs="宋体"/>
          <w:b/>
          <w:color w:val="auto"/>
          <w:sz w:val="24"/>
          <w:highlight w:val="none"/>
        </w:rPr>
      </w:pPr>
      <w:r>
        <w:rPr>
          <w:rFonts w:hint="eastAsia" w:ascii="宋体" w:hAnsi="宋体" w:cs="宋体"/>
          <w:b/>
          <w:color w:val="auto"/>
          <w:sz w:val="24"/>
          <w:highlight w:val="none"/>
        </w:rPr>
        <w:t xml:space="preserve">1.7   </w:t>
      </w:r>
      <w:r>
        <w:rPr>
          <w:rFonts w:hint="eastAsia" w:ascii="宋体" w:hAnsi="宋体" w:cs="宋体"/>
          <w:b/>
          <w:bCs/>
          <w:color w:val="auto"/>
          <w:sz w:val="24"/>
          <w:highlight w:val="none"/>
        </w:rPr>
        <w:t>招标人</w:t>
      </w:r>
    </w:p>
    <w:p>
      <w:pPr>
        <w:spacing w:line="400" w:lineRule="exact"/>
        <w:rPr>
          <w:rFonts w:ascii="宋体" w:hAnsi="宋体" w:cs="宋体"/>
          <w:color w:val="auto"/>
          <w:sz w:val="24"/>
          <w:highlight w:val="none"/>
        </w:rPr>
      </w:pPr>
      <w:bookmarkStart w:id="10" w:name="OLE_LINK69"/>
      <w:r>
        <w:rPr>
          <w:rFonts w:hint="eastAsia" w:ascii="宋体" w:hAnsi="宋体" w:cs="宋体"/>
          <w:color w:val="auto"/>
          <w:sz w:val="24"/>
          <w:highlight w:val="none"/>
        </w:rPr>
        <w:t>1.7.1 名称：</w:t>
      </w:r>
      <w:r>
        <w:rPr>
          <w:rFonts w:hint="eastAsia" w:ascii="宋体" w:hAnsi="宋体" w:cs="宋体"/>
          <w:color w:val="auto"/>
          <w:kern w:val="0"/>
          <w:sz w:val="24"/>
          <w:highlight w:val="none"/>
          <w:u w:val="single"/>
        </w:rPr>
        <w:t>广州市增城区人民政府朱村街道办事处</w:t>
      </w:r>
    </w:p>
    <w:p>
      <w:pPr>
        <w:spacing w:line="400" w:lineRule="exact"/>
        <w:rPr>
          <w:rFonts w:ascii="宋体" w:hAnsi="宋体" w:cs="宋体"/>
          <w:color w:val="auto"/>
          <w:sz w:val="24"/>
          <w:highlight w:val="none"/>
        </w:rPr>
      </w:pPr>
      <w:r>
        <w:rPr>
          <w:rFonts w:hint="eastAsia" w:ascii="宋体" w:hAnsi="宋体" w:cs="宋体"/>
          <w:color w:val="auto"/>
          <w:sz w:val="24"/>
          <w:highlight w:val="none"/>
        </w:rPr>
        <w:t>1.7.2邮政编码、地址：</w:t>
      </w:r>
      <w:r>
        <w:rPr>
          <w:rFonts w:hint="eastAsia" w:ascii="宋体" w:hAnsi="宋体" w:cs="宋体"/>
          <w:color w:val="auto"/>
          <w:sz w:val="24"/>
          <w:highlight w:val="none"/>
          <w:u w:val="single"/>
          <w:lang w:val="en-US" w:eastAsia="zh-CN"/>
        </w:rPr>
        <w:t xml:space="preserve">511300 / </w:t>
      </w:r>
      <w:r>
        <w:rPr>
          <w:rFonts w:hint="eastAsia" w:ascii="宋体" w:hAnsi="宋体" w:cs="宋体"/>
          <w:color w:val="auto"/>
          <w:sz w:val="24"/>
          <w:highlight w:val="none"/>
          <w:u w:val="single"/>
        </w:rPr>
        <w:t>广州市增城区朱村大道中288号</w:t>
      </w:r>
    </w:p>
    <w:p>
      <w:pPr>
        <w:spacing w:line="400" w:lineRule="exact"/>
        <w:jc w:val="left"/>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1.7.3 联系人：</w:t>
      </w:r>
      <w:r>
        <w:rPr>
          <w:rFonts w:hint="eastAsia" w:ascii="宋体" w:hAnsi="宋体" w:cs="宋体"/>
          <w:color w:val="auto"/>
          <w:sz w:val="24"/>
          <w:highlight w:val="none"/>
          <w:u w:val="single"/>
          <w:lang w:val="en-US" w:eastAsia="zh-CN"/>
        </w:rPr>
        <w:t>姚工</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1.7.4 电话（手机）号码：</w:t>
      </w:r>
      <w:r>
        <w:rPr>
          <w:rFonts w:ascii="宋体" w:hAnsi="宋体" w:cs="宋体"/>
          <w:color w:val="auto"/>
          <w:kern w:val="0"/>
          <w:sz w:val="24"/>
          <w:highlight w:val="none"/>
          <w:u w:val="single"/>
        </w:rPr>
        <w:t>020-82855488</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1.7.5 传真号码：</w:t>
      </w:r>
      <w:r>
        <w:rPr>
          <w:rFonts w:ascii="宋体" w:hAnsi="宋体" w:cs="宋体"/>
          <w:color w:val="auto"/>
          <w:kern w:val="0"/>
          <w:sz w:val="24"/>
          <w:highlight w:val="none"/>
          <w:u w:val="single"/>
        </w:rPr>
        <w:t>020-82855488</w:t>
      </w:r>
    </w:p>
    <w:p>
      <w:pPr>
        <w:spacing w:line="400" w:lineRule="exact"/>
        <w:jc w:val="left"/>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1.7.6 电子邮箱：</w:t>
      </w:r>
      <w:bookmarkEnd w:id="10"/>
      <w:r>
        <w:rPr>
          <w:rFonts w:hint="eastAsia" w:ascii="宋体" w:hAnsi="宋体" w:cs="宋体"/>
          <w:color w:val="auto"/>
          <w:sz w:val="24"/>
          <w:highlight w:val="none"/>
          <w:lang w:val="en-US" w:eastAsia="zh-CN"/>
        </w:rPr>
        <w:t>/</w:t>
      </w:r>
    </w:p>
    <w:p>
      <w:pPr>
        <w:spacing w:line="400" w:lineRule="exact"/>
        <w:jc w:val="left"/>
        <w:rPr>
          <w:rFonts w:ascii="宋体" w:hAnsi="宋体" w:cs="宋体"/>
          <w:b/>
          <w:color w:val="auto"/>
          <w:sz w:val="24"/>
          <w:highlight w:val="none"/>
        </w:rPr>
      </w:pPr>
    </w:p>
    <w:p>
      <w:pPr>
        <w:spacing w:line="400" w:lineRule="exact"/>
        <w:jc w:val="left"/>
        <w:rPr>
          <w:rFonts w:ascii="宋体" w:hAnsi="宋体" w:cs="宋体"/>
          <w:b/>
          <w:color w:val="auto"/>
          <w:sz w:val="24"/>
          <w:highlight w:val="none"/>
        </w:rPr>
      </w:pPr>
      <w:r>
        <w:rPr>
          <w:rFonts w:hint="eastAsia" w:ascii="宋体" w:hAnsi="宋体" w:cs="宋体"/>
          <w:b/>
          <w:color w:val="auto"/>
          <w:sz w:val="24"/>
          <w:highlight w:val="none"/>
        </w:rPr>
        <w:t xml:space="preserve">1.8   </w:t>
      </w:r>
      <w:r>
        <w:rPr>
          <w:rFonts w:hint="eastAsia" w:ascii="宋体" w:hAnsi="宋体" w:cs="宋体"/>
          <w:b/>
          <w:bCs/>
          <w:color w:val="auto"/>
          <w:sz w:val="24"/>
          <w:highlight w:val="none"/>
        </w:rPr>
        <w:t>招标代理机构</w:t>
      </w:r>
    </w:p>
    <w:p>
      <w:pPr>
        <w:spacing w:line="400" w:lineRule="exact"/>
        <w:rPr>
          <w:rFonts w:ascii="宋体" w:hAnsi="宋体" w:cs="宋体"/>
          <w:color w:val="auto"/>
          <w:sz w:val="24"/>
          <w:highlight w:val="none"/>
        </w:rPr>
      </w:pPr>
      <w:r>
        <w:rPr>
          <w:rFonts w:hint="eastAsia" w:ascii="宋体" w:hAnsi="宋体" w:cs="宋体"/>
          <w:color w:val="auto"/>
          <w:sz w:val="24"/>
          <w:highlight w:val="none"/>
        </w:rPr>
        <w:t>1.8.1 名称：</w:t>
      </w:r>
      <w:r>
        <w:rPr>
          <w:rFonts w:hint="eastAsia" w:ascii="宋体" w:hAnsi="宋体"/>
          <w:color w:val="auto"/>
          <w:sz w:val="24"/>
          <w:highlight w:val="none"/>
          <w:u w:val="single"/>
        </w:rPr>
        <w:t>广东巨正建设项目管理有限公司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1.8.2 邮政编码、地址：</w:t>
      </w:r>
      <w:r>
        <w:rPr>
          <w:rFonts w:hint="eastAsia" w:ascii="宋体" w:hAnsi="宋体"/>
          <w:color w:val="auto"/>
          <w:sz w:val="24"/>
          <w:highlight w:val="none"/>
          <w:u w:val="single"/>
        </w:rPr>
        <w:t>珠海市香洲红山路</w:t>
      </w:r>
      <w:r>
        <w:rPr>
          <w:rFonts w:ascii="宋体" w:hAnsi="宋体"/>
          <w:color w:val="auto"/>
          <w:sz w:val="24"/>
          <w:highlight w:val="none"/>
          <w:u w:val="single"/>
        </w:rPr>
        <w:t>119</w:t>
      </w:r>
      <w:r>
        <w:rPr>
          <w:rFonts w:hint="eastAsia" w:ascii="宋体" w:hAnsi="宋体"/>
          <w:color w:val="auto"/>
          <w:sz w:val="24"/>
          <w:highlight w:val="none"/>
          <w:u w:val="single"/>
        </w:rPr>
        <w:t>号俊明苑</w:t>
      </w:r>
      <w:r>
        <w:rPr>
          <w:rFonts w:ascii="宋体" w:hAnsi="宋体"/>
          <w:color w:val="auto"/>
          <w:sz w:val="24"/>
          <w:highlight w:val="none"/>
          <w:u w:val="single"/>
        </w:rPr>
        <w:t>137-139</w:t>
      </w:r>
      <w:r>
        <w:rPr>
          <w:rFonts w:hint="eastAsia" w:ascii="宋体" w:hAnsi="宋体"/>
          <w:color w:val="auto"/>
          <w:sz w:val="24"/>
          <w:highlight w:val="none"/>
          <w:u w:val="single"/>
        </w:rPr>
        <w:t>号商铺</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1.8.3 联系人：</w:t>
      </w:r>
      <w:r>
        <w:rPr>
          <w:rFonts w:hint="eastAsia" w:ascii="宋体" w:hAnsi="宋体"/>
          <w:color w:val="auto"/>
          <w:sz w:val="24"/>
          <w:highlight w:val="none"/>
          <w:u w:val="single"/>
        </w:rPr>
        <w:t>邓工</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1.8.4 电话（手机）号码：</w:t>
      </w:r>
      <w:r>
        <w:rPr>
          <w:rFonts w:hint="eastAsia" w:ascii="宋体" w:hAnsi="宋体" w:cs="宋体"/>
          <w:color w:val="auto"/>
          <w:sz w:val="24"/>
          <w:highlight w:val="none"/>
          <w:u w:val="single"/>
        </w:rPr>
        <w:t>15521203600</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1.8.5 传真号码：020-32166083</w:t>
      </w:r>
    </w:p>
    <w:p>
      <w:pPr>
        <w:spacing w:line="400" w:lineRule="exact"/>
        <w:jc w:val="left"/>
        <w:rPr>
          <w:rFonts w:hint="eastAsia" w:ascii="宋体" w:hAnsi="宋体" w:eastAsia="宋体" w:cs="宋体"/>
          <w:b/>
          <w:color w:val="auto"/>
          <w:sz w:val="24"/>
          <w:highlight w:val="none"/>
          <w:lang w:eastAsia="zh-CN"/>
        </w:rPr>
      </w:pPr>
      <w:r>
        <w:rPr>
          <w:rFonts w:hint="eastAsia" w:ascii="宋体" w:hAnsi="宋体" w:cs="宋体"/>
          <w:color w:val="auto"/>
          <w:sz w:val="24"/>
          <w:highlight w:val="none"/>
        </w:rPr>
        <w:t>1.8.6 电子邮箱：</w:t>
      </w:r>
      <w:r>
        <w:rPr>
          <w:rFonts w:hint="eastAsia" w:ascii="宋体" w:hAnsi="宋体" w:cs="宋体"/>
          <w:color w:val="auto"/>
          <w:sz w:val="24"/>
          <w:highlight w:val="none"/>
          <w:u w:val="single"/>
          <w:lang w:val="en-US" w:eastAsia="zh-CN"/>
        </w:rPr>
        <w:t>/</w:t>
      </w:r>
    </w:p>
    <w:p>
      <w:pPr>
        <w:spacing w:line="400" w:lineRule="exact"/>
        <w:jc w:val="left"/>
        <w:rPr>
          <w:rFonts w:ascii="宋体" w:hAnsi="宋体" w:cs="宋体"/>
          <w:b/>
          <w:color w:val="auto"/>
          <w:sz w:val="24"/>
          <w:highlight w:val="none"/>
        </w:rPr>
      </w:pPr>
    </w:p>
    <w:p>
      <w:pPr>
        <w:spacing w:line="400" w:lineRule="exact"/>
        <w:jc w:val="left"/>
        <w:rPr>
          <w:rFonts w:ascii="宋体" w:hAnsi="宋体" w:cs="宋体"/>
          <w:b/>
          <w:color w:val="auto"/>
          <w:sz w:val="24"/>
          <w:highlight w:val="none"/>
        </w:rPr>
      </w:pPr>
      <w:r>
        <w:rPr>
          <w:rFonts w:hint="eastAsia" w:ascii="宋体" w:hAnsi="宋体" w:cs="宋体"/>
          <w:b/>
          <w:color w:val="auto"/>
          <w:sz w:val="24"/>
          <w:highlight w:val="none"/>
        </w:rPr>
        <w:t xml:space="preserve">1.9  </w:t>
      </w:r>
      <w:r>
        <w:rPr>
          <w:rFonts w:hint="eastAsia" w:ascii="宋体" w:hAnsi="宋体" w:cs="宋体"/>
          <w:b/>
          <w:bCs/>
          <w:color w:val="auto"/>
          <w:sz w:val="24"/>
          <w:highlight w:val="none"/>
        </w:rPr>
        <w:t>交易服务机构</w:t>
      </w:r>
    </w:p>
    <w:p>
      <w:pPr>
        <w:spacing w:line="400" w:lineRule="exact"/>
        <w:rPr>
          <w:rFonts w:ascii="宋体" w:hAnsi="宋体" w:cs="宋体"/>
          <w:color w:val="auto"/>
          <w:sz w:val="24"/>
          <w:highlight w:val="none"/>
        </w:rPr>
      </w:pPr>
      <w:r>
        <w:rPr>
          <w:rFonts w:hint="eastAsia" w:ascii="宋体" w:hAnsi="宋体" w:cs="宋体"/>
          <w:color w:val="auto"/>
          <w:sz w:val="24"/>
          <w:highlight w:val="none"/>
        </w:rPr>
        <w:t>1.9.1 名称：</w:t>
      </w:r>
      <w:r>
        <w:rPr>
          <w:rFonts w:hint="eastAsia" w:ascii="宋体" w:hAnsi="宋体" w:cs="宋体"/>
          <w:color w:val="auto"/>
          <w:kern w:val="0"/>
          <w:sz w:val="24"/>
          <w:highlight w:val="none"/>
          <w:u w:val="single"/>
        </w:rPr>
        <w:t>广州公共资源交易中心增城交易部</w:t>
      </w:r>
    </w:p>
    <w:p>
      <w:pPr>
        <w:spacing w:line="400" w:lineRule="exact"/>
        <w:rPr>
          <w:rFonts w:ascii="宋体" w:hAnsi="宋体" w:cs="宋体"/>
          <w:color w:val="auto"/>
          <w:sz w:val="24"/>
          <w:highlight w:val="none"/>
        </w:rPr>
      </w:pPr>
      <w:r>
        <w:rPr>
          <w:rFonts w:hint="eastAsia" w:ascii="宋体" w:hAnsi="宋体" w:cs="宋体"/>
          <w:color w:val="auto"/>
          <w:sz w:val="24"/>
          <w:highlight w:val="none"/>
        </w:rPr>
        <w:t>1.9.2 邮政编码、地址：</w:t>
      </w:r>
      <w:r>
        <w:rPr>
          <w:rFonts w:hint="eastAsia" w:ascii="宋体" w:hAnsi="宋体" w:cs="宋体"/>
          <w:bCs/>
          <w:color w:val="auto"/>
          <w:sz w:val="24"/>
          <w:highlight w:val="none"/>
          <w:u w:val="single"/>
        </w:rPr>
        <w:t>511300</w:t>
      </w:r>
      <w:r>
        <w:rPr>
          <w:rFonts w:hint="eastAsia" w:ascii="宋体" w:hAnsi="宋体" w:cs="宋体"/>
          <w:color w:val="auto"/>
          <w:sz w:val="24"/>
          <w:highlight w:val="none"/>
          <w:u w:val="single"/>
        </w:rPr>
        <w:t>/</w:t>
      </w:r>
      <w:r>
        <w:rPr>
          <w:rFonts w:hint="eastAsia" w:ascii="宋体" w:hAnsi="宋体" w:cs="宋体"/>
          <w:color w:val="auto"/>
          <w:kern w:val="0"/>
          <w:sz w:val="24"/>
          <w:highlight w:val="none"/>
          <w:u w:val="single"/>
        </w:rPr>
        <w:t>增城区荔城街增城大道2号金河湾3栋108</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1.9.3 电话（手机）号码：</w:t>
      </w:r>
      <w:r>
        <w:rPr>
          <w:rFonts w:hint="eastAsia" w:ascii="宋体" w:hAnsi="宋体" w:cs="宋体"/>
          <w:color w:val="auto"/>
          <w:kern w:val="0"/>
          <w:sz w:val="24"/>
          <w:highlight w:val="none"/>
          <w:u w:val="single"/>
        </w:rPr>
        <w:t>020-82622131</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1.9.4 传真号码：</w:t>
      </w:r>
      <w:r>
        <w:rPr>
          <w:rFonts w:hint="eastAsia" w:ascii="宋体" w:hAnsi="宋体" w:cs="宋体"/>
          <w:color w:val="auto"/>
          <w:kern w:val="0"/>
          <w:sz w:val="24"/>
          <w:highlight w:val="none"/>
          <w:u w:val="single"/>
        </w:rPr>
        <w:t>020-82622131</w:t>
      </w:r>
    </w:p>
    <w:p>
      <w:pPr>
        <w:spacing w:line="400" w:lineRule="exact"/>
        <w:rPr>
          <w:rFonts w:ascii="宋体" w:hAnsi="宋体" w:cs="宋体"/>
          <w:color w:val="auto"/>
          <w:sz w:val="24"/>
          <w:highlight w:val="none"/>
          <w:u w:val="single"/>
        </w:rPr>
      </w:pPr>
      <w:r>
        <w:rPr>
          <w:rFonts w:hint="eastAsia" w:ascii="宋体" w:hAnsi="宋体" w:cs="宋体"/>
          <w:color w:val="auto"/>
          <w:sz w:val="24"/>
          <w:highlight w:val="none"/>
        </w:rPr>
        <w:t>1.9.5 网址：</w:t>
      </w:r>
      <w:r>
        <w:rPr>
          <w:rFonts w:hint="eastAsia" w:ascii="宋体" w:hAnsi="宋体" w:cs="宋体"/>
          <w:color w:val="auto"/>
          <w:sz w:val="24"/>
          <w:highlight w:val="none"/>
          <w:u w:val="single"/>
        </w:rPr>
        <w:t>http://www.gzzb.gd.cn</w:t>
      </w:r>
    </w:p>
    <w:p>
      <w:pPr>
        <w:spacing w:line="400" w:lineRule="exact"/>
        <w:jc w:val="left"/>
        <w:rPr>
          <w:rFonts w:ascii="宋体" w:hAnsi="宋体" w:cs="宋体"/>
          <w:b/>
          <w:color w:val="auto"/>
          <w:sz w:val="24"/>
          <w:highlight w:val="none"/>
        </w:rPr>
      </w:pPr>
    </w:p>
    <w:p>
      <w:pPr>
        <w:spacing w:line="400" w:lineRule="exact"/>
        <w:jc w:val="left"/>
        <w:rPr>
          <w:rFonts w:ascii="宋体" w:hAnsi="宋体" w:cs="宋体"/>
          <w:b/>
          <w:color w:val="auto"/>
          <w:sz w:val="24"/>
          <w:highlight w:val="none"/>
        </w:rPr>
      </w:pPr>
      <w:r>
        <w:rPr>
          <w:rFonts w:hint="eastAsia" w:ascii="宋体" w:hAnsi="宋体" w:cs="宋体"/>
          <w:b/>
          <w:color w:val="auto"/>
          <w:sz w:val="24"/>
          <w:highlight w:val="none"/>
        </w:rPr>
        <w:t>1.10   招标</w:t>
      </w:r>
      <w:r>
        <w:rPr>
          <w:rFonts w:hint="eastAsia" w:ascii="宋体" w:hAnsi="宋体" w:cs="宋体"/>
          <w:b/>
          <w:bCs/>
          <w:color w:val="auto"/>
          <w:sz w:val="24"/>
          <w:highlight w:val="none"/>
        </w:rPr>
        <w:t>管理机构</w:t>
      </w:r>
    </w:p>
    <w:p>
      <w:pPr>
        <w:spacing w:line="400" w:lineRule="exact"/>
        <w:rPr>
          <w:rFonts w:ascii="宋体" w:hAnsi="宋体" w:cs="宋体"/>
          <w:color w:val="auto"/>
          <w:sz w:val="24"/>
          <w:highlight w:val="none"/>
        </w:rPr>
      </w:pPr>
      <w:r>
        <w:rPr>
          <w:rFonts w:hint="eastAsia" w:ascii="宋体" w:hAnsi="宋体" w:cs="宋体"/>
          <w:color w:val="auto"/>
          <w:sz w:val="24"/>
          <w:highlight w:val="none"/>
        </w:rPr>
        <w:t>1.10.1 名称：</w:t>
      </w:r>
      <w:r>
        <w:rPr>
          <w:rFonts w:hint="eastAsia" w:ascii="宋体" w:hAnsi="宋体" w:cs="宋体"/>
          <w:color w:val="auto"/>
          <w:sz w:val="24"/>
          <w:highlight w:val="none"/>
          <w:u w:val="single"/>
        </w:rPr>
        <w:t>广州市增城区建设工程招标管理办公室</w:t>
      </w:r>
    </w:p>
    <w:p>
      <w:pPr>
        <w:spacing w:line="400" w:lineRule="exact"/>
        <w:rPr>
          <w:rFonts w:ascii="宋体" w:hAnsi="宋体" w:cs="宋体"/>
          <w:color w:val="auto"/>
          <w:sz w:val="24"/>
          <w:highlight w:val="none"/>
        </w:rPr>
      </w:pPr>
      <w:r>
        <w:rPr>
          <w:rFonts w:hint="eastAsia" w:ascii="宋体" w:hAnsi="宋体" w:cs="宋体"/>
          <w:color w:val="auto"/>
          <w:sz w:val="24"/>
          <w:highlight w:val="none"/>
        </w:rPr>
        <w:t>1.10.2 邮政编码、地址：</w:t>
      </w:r>
      <w:r>
        <w:rPr>
          <w:rFonts w:hint="eastAsia" w:ascii="宋体" w:hAnsi="宋体" w:cs="宋体"/>
          <w:color w:val="auto"/>
          <w:sz w:val="24"/>
          <w:highlight w:val="none"/>
          <w:u w:val="single"/>
        </w:rPr>
        <w:t>511300/广州市增城区荔城街挂绿路12号</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1.10.3 电话（手机）号码：</w:t>
      </w:r>
      <w:r>
        <w:rPr>
          <w:rFonts w:hint="eastAsia" w:ascii="宋体" w:hAnsi="宋体" w:cs="宋体"/>
          <w:color w:val="auto"/>
          <w:sz w:val="24"/>
          <w:highlight w:val="none"/>
          <w:u w:val="single"/>
        </w:rPr>
        <w:t>020-32821156</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1.10.4 传真号码：</w:t>
      </w:r>
      <w:r>
        <w:rPr>
          <w:rFonts w:hint="eastAsia" w:ascii="宋体" w:hAnsi="宋体" w:cs="宋体"/>
          <w:color w:val="auto"/>
          <w:sz w:val="24"/>
          <w:highlight w:val="none"/>
          <w:u w:val="single"/>
        </w:rPr>
        <w:t>020-32821156</w:t>
      </w:r>
    </w:p>
    <w:p>
      <w:pPr>
        <w:rPr>
          <w:rFonts w:ascii="宋体" w:hAnsi="宋体" w:cs="宋体"/>
          <w:color w:val="auto"/>
          <w:sz w:val="24"/>
          <w:highlight w:val="none"/>
        </w:rPr>
      </w:pPr>
      <w:r>
        <w:rPr>
          <w:rFonts w:hint="eastAsia" w:ascii="宋体" w:hAnsi="宋体" w:cs="宋体"/>
          <w:color w:val="auto"/>
          <w:sz w:val="24"/>
          <w:highlight w:val="none"/>
        </w:rPr>
        <w:t>1.10.5 网址：</w:t>
      </w:r>
      <w:r>
        <w:rPr>
          <w:rFonts w:hint="eastAsia" w:ascii="宋体" w:hAnsi="宋体" w:cs="宋体"/>
          <w:color w:val="auto"/>
          <w:sz w:val="24"/>
          <w:highlight w:val="none"/>
          <w:u w:val="single"/>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eastAsia="微软雅黑"/>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6"/>
                      <w:rPr>
                        <w:rFonts w:eastAsia="微软雅黑"/>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CA1CC"/>
    <w:multiLevelType w:val="singleLevel"/>
    <w:tmpl w:val="937CA1C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NDRlNmQyMGU5MmRjNDU4ODg4ZmMzODAzNzA3ZTgifQ=="/>
  </w:docVars>
  <w:rsids>
    <w:rsidRoot w:val="00172A27"/>
    <w:rsid w:val="00015669"/>
    <w:rsid w:val="00054002"/>
    <w:rsid w:val="0008534D"/>
    <w:rsid w:val="000C0859"/>
    <w:rsid w:val="00172A27"/>
    <w:rsid w:val="00190C62"/>
    <w:rsid w:val="0019225E"/>
    <w:rsid w:val="001B6443"/>
    <w:rsid w:val="00226A4F"/>
    <w:rsid w:val="00241C05"/>
    <w:rsid w:val="002441BC"/>
    <w:rsid w:val="00267045"/>
    <w:rsid w:val="002A3A76"/>
    <w:rsid w:val="002A7D1E"/>
    <w:rsid w:val="002C1B83"/>
    <w:rsid w:val="00321DC3"/>
    <w:rsid w:val="00342E37"/>
    <w:rsid w:val="003C7138"/>
    <w:rsid w:val="00403EF3"/>
    <w:rsid w:val="00435B3C"/>
    <w:rsid w:val="004D20C5"/>
    <w:rsid w:val="004F13BC"/>
    <w:rsid w:val="0056778E"/>
    <w:rsid w:val="00605DA9"/>
    <w:rsid w:val="00665256"/>
    <w:rsid w:val="006C18BA"/>
    <w:rsid w:val="00735C37"/>
    <w:rsid w:val="007833ED"/>
    <w:rsid w:val="007B190D"/>
    <w:rsid w:val="007C42B1"/>
    <w:rsid w:val="008013FB"/>
    <w:rsid w:val="008566E7"/>
    <w:rsid w:val="008E16D8"/>
    <w:rsid w:val="00906092"/>
    <w:rsid w:val="00953F8E"/>
    <w:rsid w:val="00A27CA1"/>
    <w:rsid w:val="00A41097"/>
    <w:rsid w:val="00AA27EB"/>
    <w:rsid w:val="00AD1A88"/>
    <w:rsid w:val="00B142C1"/>
    <w:rsid w:val="00BA6A92"/>
    <w:rsid w:val="00BB2F48"/>
    <w:rsid w:val="00BD13B4"/>
    <w:rsid w:val="00C35127"/>
    <w:rsid w:val="00CB3390"/>
    <w:rsid w:val="00CD22BC"/>
    <w:rsid w:val="00D65D42"/>
    <w:rsid w:val="00D75522"/>
    <w:rsid w:val="00DC0B40"/>
    <w:rsid w:val="00DF6650"/>
    <w:rsid w:val="00E35104"/>
    <w:rsid w:val="00E72342"/>
    <w:rsid w:val="00EA4AD7"/>
    <w:rsid w:val="00F44DD9"/>
    <w:rsid w:val="00F65FE6"/>
    <w:rsid w:val="00F7233E"/>
    <w:rsid w:val="00F9222D"/>
    <w:rsid w:val="00FD1CD8"/>
    <w:rsid w:val="01821D8F"/>
    <w:rsid w:val="01FA64FD"/>
    <w:rsid w:val="02661DF8"/>
    <w:rsid w:val="04485CC9"/>
    <w:rsid w:val="058B7F4A"/>
    <w:rsid w:val="05CA273A"/>
    <w:rsid w:val="065350F6"/>
    <w:rsid w:val="06D055A7"/>
    <w:rsid w:val="06DF78E5"/>
    <w:rsid w:val="06F50B98"/>
    <w:rsid w:val="08E07486"/>
    <w:rsid w:val="08E25FED"/>
    <w:rsid w:val="0A3E41D1"/>
    <w:rsid w:val="0A9652E1"/>
    <w:rsid w:val="0AF20BDB"/>
    <w:rsid w:val="0C9D7C88"/>
    <w:rsid w:val="0CA7243A"/>
    <w:rsid w:val="0D4256DF"/>
    <w:rsid w:val="0E63197E"/>
    <w:rsid w:val="0E8B3CCA"/>
    <w:rsid w:val="0F9A2CB2"/>
    <w:rsid w:val="10E9088F"/>
    <w:rsid w:val="11205F82"/>
    <w:rsid w:val="11843EA4"/>
    <w:rsid w:val="119271CA"/>
    <w:rsid w:val="133904E3"/>
    <w:rsid w:val="14830BFE"/>
    <w:rsid w:val="178A4C03"/>
    <w:rsid w:val="17B16B77"/>
    <w:rsid w:val="185E2914"/>
    <w:rsid w:val="187F31F1"/>
    <w:rsid w:val="19522CFD"/>
    <w:rsid w:val="198305A7"/>
    <w:rsid w:val="19D64A12"/>
    <w:rsid w:val="1A22459F"/>
    <w:rsid w:val="1A7E6AC4"/>
    <w:rsid w:val="1C140B02"/>
    <w:rsid w:val="1C622297"/>
    <w:rsid w:val="1D6D1ED1"/>
    <w:rsid w:val="1EC22C01"/>
    <w:rsid w:val="1FC56DA5"/>
    <w:rsid w:val="21076199"/>
    <w:rsid w:val="216D6944"/>
    <w:rsid w:val="21740A38"/>
    <w:rsid w:val="21E7081E"/>
    <w:rsid w:val="21EF3010"/>
    <w:rsid w:val="23495283"/>
    <w:rsid w:val="239B3376"/>
    <w:rsid w:val="23B00D6A"/>
    <w:rsid w:val="2430573D"/>
    <w:rsid w:val="254D1179"/>
    <w:rsid w:val="2566688E"/>
    <w:rsid w:val="26242C97"/>
    <w:rsid w:val="26835A75"/>
    <w:rsid w:val="26EA0582"/>
    <w:rsid w:val="28744E7C"/>
    <w:rsid w:val="2A1A518F"/>
    <w:rsid w:val="2A44640B"/>
    <w:rsid w:val="2AF7727E"/>
    <w:rsid w:val="2C442C1B"/>
    <w:rsid w:val="2D1D7D25"/>
    <w:rsid w:val="2EC27BA3"/>
    <w:rsid w:val="2F417CA1"/>
    <w:rsid w:val="30EB6B44"/>
    <w:rsid w:val="3147257B"/>
    <w:rsid w:val="31DE4CF4"/>
    <w:rsid w:val="326E6078"/>
    <w:rsid w:val="32B17465"/>
    <w:rsid w:val="32D84603"/>
    <w:rsid w:val="330E13B2"/>
    <w:rsid w:val="3317387F"/>
    <w:rsid w:val="34734372"/>
    <w:rsid w:val="349C73F2"/>
    <w:rsid w:val="35C13317"/>
    <w:rsid w:val="35DF0258"/>
    <w:rsid w:val="371D62BE"/>
    <w:rsid w:val="379B59BF"/>
    <w:rsid w:val="39872F04"/>
    <w:rsid w:val="39EC2EF6"/>
    <w:rsid w:val="3AB70BED"/>
    <w:rsid w:val="3AD57F78"/>
    <w:rsid w:val="3B25018E"/>
    <w:rsid w:val="3B6E3362"/>
    <w:rsid w:val="3BA949C7"/>
    <w:rsid w:val="3C5315B2"/>
    <w:rsid w:val="3C9F4788"/>
    <w:rsid w:val="3CB13470"/>
    <w:rsid w:val="3D3A2FAB"/>
    <w:rsid w:val="3D873633"/>
    <w:rsid w:val="3F79605C"/>
    <w:rsid w:val="3FCE0886"/>
    <w:rsid w:val="4066386E"/>
    <w:rsid w:val="40D33A1C"/>
    <w:rsid w:val="40FF42D3"/>
    <w:rsid w:val="430C64A6"/>
    <w:rsid w:val="448625BE"/>
    <w:rsid w:val="464473C4"/>
    <w:rsid w:val="46A7091E"/>
    <w:rsid w:val="46E62A3F"/>
    <w:rsid w:val="496E1C9F"/>
    <w:rsid w:val="4B46482F"/>
    <w:rsid w:val="4CD5193A"/>
    <w:rsid w:val="4D1D2AED"/>
    <w:rsid w:val="4D883A54"/>
    <w:rsid w:val="4F1A33B7"/>
    <w:rsid w:val="4FCB3040"/>
    <w:rsid w:val="502E6093"/>
    <w:rsid w:val="50326F9A"/>
    <w:rsid w:val="50A0722B"/>
    <w:rsid w:val="50BB36A1"/>
    <w:rsid w:val="50F62C7F"/>
    <w:rsid w:val="5127786C"/>
    <w:rsid w:val="52470B24"/>
    <w:rsid w:val="528D20F2"/>
    <w:rsid w:val="53026A91"/>
    <w:rsid w:val="53116184"/>
    <w:rsid w:val="53EF597F"/>
    <w:rsid w:val="540E18F6"/>
    <w:rsid w:val="54362AA9"/>
    <w:rsid w:val="56F06A60"/>
    <w:rsid w:val="5756577C"/>
    <w:rsid w:val="599E71AC"/>
    <w:rsid w:val="5B5E7998"/>
    <w:rsid w:val="5E0B5D5E"/>
    <w:rsid w:val="5E930A90"/>
    <w:rsid w:val="61974273"/>
    <w:rsid w:val="63011CBB"/>
    <w:rsid w:val="6389020D"/>
    <w:rsid w:val="647350F8"/>
    <w:rsid w:val="65C155D3"/>
    <w:rsid w:val="65EF5017"/>
    <w:rsid w:val="663E69C9"/>
    <w:rsid w:val="66BA2070"/>
    <w:rsid w:val="678B015F"/>
    <w:rsid w:val="68B12AD7"/>
    <w:rsid w:val="694C06FD"/>
    <w:rsid w:val="69C73CE4"/>
    <w:rsid w:val="6A040ADC"/>
    <w:rsid w:val="6B0A276B"/>
    <w:rsid w:val="6D6E22F4"/>
    <w:rsid w:val="6F1979A9"/>
    <w:rsid w:val="6F39662D"/>
    <w:rsid w:val="6F9603E0"/>
    <w:rsid w:val="714D3482"/>
    <w:rsid w:val="72121874"/>
    <w:rsid w:val="72CD386B"/>
    <w:rsid w:val="7306762B"/>
    <w:rsid w:val="730D68BC"/>
    <w:rsid w:val="731B1615"/>
    <w:rsid w:val="731F143E"/>
    <w:rsid w:val="73FA56DE"/>
    <w:rsid w:val="74DA2B1D"/>
    <w:rsid w:val="74E94360"/>
    <w:rsid w:val="7546337F"/>
    <w:rsid w:val="76C70E7F"/>
    <w:rsid w:val="76D837AA"/>
    <w:rsid w:val="775B441C"/>
    <w:rsid w:val="783A112E"/>
    <w:rsid w:val="79302407"/>
    <w:rsid w:val="7BE765AC"/>
    <w:rsid w:val="7C670577"/>
    <w:rsid w:val="7C6F6241"/>
    <w:rsid w:val="7CB41EA6"/>
    <w:rsid w:val="7D0849DE"/>
    <w:rsid w:val="7D580D60"/>
    <w:rsid w:val="7F771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cs="Times New Roman"/>
    </w:rPr>
  </w:style>
  <w:style w:type="paragraph" w:styleId="3">
    <w:name w:val="annotation text"/>
    <w:basedOn w:val="1"/>
    <w:link w:val="16"/>
    <w:qFormat/>
    <w:uiPriority w:val="0"/>
    <w:pPr>
      <w:jc w:val="left"/>
    </w:pPr>
  </w:style>
  <w:style w:type="paragraph" w:styleId="4">
    <w:name w:val="Plain Text"/>
    <w:basedOn w:val="1"/>
    <w:next w:val="1"/>
    <w:qFormat/>
    <w:uiPriority w:val="99"/>
    <w:rPr>
      <w:rFonts w:ascii="宋体"/>
      <w:kern w:val="0"/>
      <w:sz w:val="20"/>
      <w:szCs w:val="20"/>
    </w:rPr>
  </w:style>
  <w:style w:type="paragraph" w:styleId="5">
    <w:name w:val="Balloon Text"/>
    <w:basedOn w:val="1"/>
    <w:link w:val="17"/>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style>
  <w:style w:type="paragraph" w:styleId="9">
    <w:name w:val="annotation subject"/>
    <w:basedOn w:val="3"/>
    <w:next w:val="3"/>
    <w:link w:val="20"/>
    <w:qFormat/>
    <w:uiPriority w:val="0"/>
    <w:rPr>
      <w:b/>
      <w:bCs/>
    </w:r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paragraph" w:customStyle="1" w:styleId="14">
    <w:name w:val="正文缩进1"/>
    <w:basedOn w:val="1"/>
    <w:qFormat/>
    <w:uiPriority w:val="0"/>
    <w:pPr>
      <w:ind w:firstLine="420" w:firstLineChars="200"/>
    </w:pPr>
  </w:style>
  <w:style w:type="paragraph" w:customStyle="1" w:styleId="15">
    <w:name w:val="正文缩进11"/>
    <w:basedOn w:val="1"/>
    <w:qFormat/>
    <w:uiPriority w:val="0"/>
    <w:pPr>
      <w:ind w:firstLine="420" w:firstLineChars="200"/>
    </w:pPr>
  </w:style>
  <w:style w:type="character" w:customStyle="1" w:styleId="16">
    <w:name w:val="批注文字 Char"/>
    <w:link w:val="3"/>
    <w:qFormat/>
    <w:uiPriority w:val="0"/>
    <w:rPr>
      <w:kern w:val="2"/>
      <w:sz w:val="21"/>
      <w:szCs w:val="24"/>
    </w:rPr>
  </w:style>
  <w:style w:type="character" w:customStyle="1" w:styleId="17">
    <w:name w:val="批注框文本 Char"/>
    <w:link w:val="5"/>
    <w:qFormat/>
    <w:uiPriority w:val="0"/>
    <w:rPr>
      <w:kern w:val="2"/>
      <w:sz w:val="18"/>
      <w:szCs w:val="18"/>
    </w:rPr>
  </w:style>
  <w:style w:type="character" w:customStyle="1" w:styleId="18">
    <w:name w:val="页脚 Char"/>
    <w:link w:val="6"/>
    <w:qFormat/>
    <w:uiPriority w:val="0"/>
    <w:rPr>
      <w:kern w:val="2"/>
      <w:sz w:val="18"/>
      <w:szCs w:val="18"/>
    </w:rPr>
  </w:style>
  <w:style w:type="character" w:customStyle="1" w:styleId="19">
    <w:name w:val="页眉 Char"/>
    <w:link w:val="7"/>
    <w:qFormat/>
    <w:uiPriority w:val="0"/>
    <w:rPr>
      <w:kern w:val="2"/>
      <w:sz w:val="18"/>
      <w:szCs w:val="18"/>
    </w:rPr>
  </w:style>
  <w:style w:type="character" w:customStyle="1" w:styleId="20">
    <w:name w:val="批注主题 Char"/>
    <w:link w:val="9"/>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6769</Words>
  <Characters>7815</Characters>
  <Lines>58</Lines>
  <Paragraphs>16</Paragraphs>
  <TotalTime>31</TotalTime>
  <ScaleCrop>false</ScaleCrop>
  <LinksUpToDate>false</LinksUpToDate>
  <CharactersWithSpaces>8144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2023-04-23T01:00:00Z</dcterms:created>
  <dc:creator>YT</dc:creator>
  <cp:lastModifiedBy>梁wy</cp:lastModifiedBy>
  <cp:lastPrinted>2023-03-13T08:46:00Z</cp:lastPrinted>
  <dcterms:modified xsi:type="dcterms:W3CDTF">2023-05-24T02:59:19Z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821BC6EFF1FF48D2B2827D91BF28A44E_13</vt:lpwstr>
  </property>
</Properties>
</file>