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olor w:val="000000"/>
          <w:sz w:val="36"/>
          <w:szCs w:val="36"/>
        </w:rPr>
      </w:pPr>
    </w:p>
    <w:p>
      <w:pPr>
        <w:spacing w:line="360" w:lineRule="auto"/>
        <w:jc w:val="center"/>
        <w:rPr>
          <w:rFonts w:ascii="宋体" w:hAnsi="宋体"/>
          <w:b/>
          <w:bCs/>
          <w:color w:val="000000"/>
          <w:sz w:val="40"/>
          <w:szCs w:val="40"/>
        </w:rPr>
      </w:pPr>
      <w:r>
        <w:rPr>
          <w:rFonts w:hint="eastAsia" w:ascii="宋体" w:hAnsi="宋体"/>
          <w:b/>
          <w:bCs/>
          <w:color w:val="000000"/>
          <w:sz w:val="40"/>
          <w:szCs w:val="40"/>
        </w:rPr>
        <w:t>老旧小区排水单元达标创建工程(荔湾北片区)</w:t>
      </w:r>
    </w:p>
    <w:p>
      <w:pPr>
        <w:spacing w:line="360" w:lineRule="auto"/>
        <w:jc w:val="center"/>
        <w:rPr>
          <w:rFonts w:ascii="宋体" w:hAnsi="宋体" w:cs="黑体"/>
          <w:b/>
          <w:bCs/>
          <w:color w:val="000000"/>
          <w:sz w:val="44"/>
          <w:szCs w:val="44"/>
        </w:rPr>
      </w:pPr>
      <w:r>
        <w:rPr>
          <w:rFonts w:hint="eastAsia" w:ascii="宋体" w:hAnsi="宋体"/>
          <w:b/>
          <w:bCs/>
          <w:color w:val="000000"/>
          <w:sz w:val="40"/>
          <w:szCs w:val="40"/>
        </w:rPr>
        <w:t>技术服务</w:t>
      </w:r>
    </w:p>
    <w:p>
      <w:pPr>
        <w:spacing w:line="360" w:lineRule="auto"/>
        <w:jc w:val="center"/>
        <w:rPr>
          <w:rFonts w:ascii="宋体" w:hAnsi="宋体" w:cs="黑体"/>
          <w:b/>
          <w:bCs/>
          <w:color w:val="000000"/>
          <w:sz w:val="44"/>
          <w:szCs w:val="44"/>
        </w:rPr>
      </w:pPr>
    </w:p>
    <w:p>
      <w:pPr>
        <w:spacing w:line="360" w:lineRule="auto"/>
        <w:jc w:val="center"/>
        <w:rPr>
          <w:rFonts w:ascii="宋体" w:hAnsi="宋体" w:cs="黑体"/>
          <w:b/>
          <w:bCs/>
          <w:color w:val="000000"/>
          <w:sz w:val="44"/>
          <w:szCs w:val="44"/>
        </w:rPr>
      </w:pPr>
    </w:p>
    <w:p>
      <w:pPr>
        <w:spacing w:line="360" w:lineRule="auto"/>
        <w:jc w:val="center"/>
        <w:rPr>
          <w:rFonts w:ascii="宋体" w:hAnsi="宋体" w:cs="黑体"/>
          <w:b/>
          <w:bCs/>
          <w:color w:val="000000"/>
          <w:sz w:val="44"/>
          <w:szCs w:val="44"/>
        </w:rPr>
      </w:pPr>
    </w:p>
    <w:p>
      <w:pPr>
        <w:spacing w:line="360" w:lineRule="auto"/>
        <w:jc w:val="center"/>
        <w:rPr>
          <w:rFonts w:ascii="宋体" w:hAnsi="宋体" w:cs="黑体"/>
          <w:b/>
          <w:bCs/>
          <w:color w:val="000000"/>
          <w:sz w:val="44"/>
          <w:szCs w:val="44"/>
        </w:rPr>
      </w:pPr>
    </w:p>
    <w:p>
      <w:pPr>
        <w:spacing w:line="360" w:lineRule="auto"/>
        <w:jc w:val="center"/>
        <w:rPr>
          <w:rFonts w:ascii="宋体" w:hAnsi="宋体"/>
          <w:b/>
          <w:bCs/>
          <w:color w:val="000000"/>
          <w:sz w:val="80"/>
          <w:szCs w:val="80"/>
        </w:rPr>
      </w:pPr>
      <w:r>
        <w:rPr>
          <w:rFonts w:hint="eastAsia" w:ascii="宋体" w:hAnsi="宋体"/>
          <w:b/>
          <w:bCs/>
          <w:color w:val="000000"/>
          <w:sz w:val="80"/>
          <w:szCs w:val="80"/>
        </w:rPr>
        <w:t>招 标 文 件</w:t>
      </w:r>
    </w:p>
    <w:p>
      <w:pPr>
        <w:pStyle w:val="14"/>
        <w:spacing w:line="360" w:lineRule="auto"/>
        <w:rPr>
          <w:rFonts w:ascii="宋体" w:hAnsi="宋体"/>
          <w:color w:val="000000"/>
        </w:rPr>
      </w:pPr>
    </w:p>
    <w:p>
      <w:pPr>
        <w:spacing w:line="360" w:lineRule="auto"/>
        <w:ind w:firstLine="883" w:firstLineChars="200"/>
        <w:jc w:val="center"/>
        <w:rPr>
          <w:rFonts w:ascii="宋体" w:hAnsi="宋体"/>
          <w:b/>
          <w:color w:val="000000"/>
          <w:sz w:val="44"/>
          <w:szCs w:val="44"/>
        </w:rPr>
      </w:pPr>
    </w:p>
    <w:p>
      <w:pPr>
        <w:spacing w:line="360" w:lineRule="auto"/>
        <w:ind w:firstLine="883" w:firstLineChars="200"/>
        <w:jc w:val="center"/>
        <w:rPr>
          <w:rFonts w:ascii="宋体" w:hAnsi="宋体"/>
          <w:b/>
          <w:color w:val="000000"/>
          <w:sz w:val="44"/>
          <w:szCs w:val="44"/>
        </w:rPr>
      </w:pPr>
    </w:p>
    <w:p>
      <w:pPr>
        <w:spacing w:line="360" w:lineRule="auto"/>
        <w:rPr>
          <w:rFonts w:ascii="宋体" w:hAnsi="宋体"/>
          <w:b/>
          <w:color w:val="000000"/>
          <w:sz w:val="44"/>
          <w:szCs w:val="44"/>
        </w:rPr>
      </w:pPr>
    </w:p>
    <w:p>
      <w:pPr>
        <w:spacing w:line="360" w:lineRule="auto"/>
        <w:ind w:firstLine="883" w:firstLineChars="200"/>
        <w:jc w:val="center"/>
        <w:rPr>
          <w:rFonts w:ascii="宋体" w:hAnsi="宋体"/>
          <w:b/>
          <w:color w:val="000000"/>
          <w:sz w:val="44"/>
          <w:szCs w:val="44"/>
        </w:rPr>
      </w:pPr>
    </w:p>
    <w:p>
      <w:pPr>
        <w:pStyle w:val="21"/>
        <w:spacing w:line="360" w:lineRule="auto"/>
        <w:ind w:firstLine="1960" w:firstLineChars="700"/>
        <w:rPr>
          <w:rFonts w:ascii="宋体" w:hAnsi="宋体"/>
          <w:color w:val="000000"/>
          <w:sz w:val="28"/>
          <w:szCs w:val="28"/>
        </w:rPr>
      </w:pPr>
      <w:r>
        <w:rPr>
          <w:rFonts w:hint="eastAsia" w:ascii="宋体" w:hAnsi="宋体"/>
          <w:color w:val="000000"/>
          <w:sz w:val="28"/>
          <w:szCs w:val="28"/>
        </w:rPr>
        <w:t>招 标 单 位 ：</w:t>
      </w:r>
      <w:r>
        <w:rPr>
          <w:rFonts w:hint="eastAsia" w:ascii="宋体" w:hAnsi="宋体"/>
          <w:color w:val="000000"/>
          <w:sz w:val="28"/>
          <w:szCs w:val="28"/>
          <w:u w:val="single"/>
        </w:rPr>
        <w:t>广州市荔湾区水务工程建设管理中心</w:t>
      </w:r>
    </w:p>
    <w:p>
      <w:pPr>
        <w:pStyle w:val="21"/>
        <w:spacing w:line="360" w:lineRule="auto"/>
        <w:ind w:firstLine="1960" w:firstLineChars="700"/>
        <w:rPr>
          <w:rFonts w:ascii="宋体" w:hAnsi="宋体"/>
          <w:color w:val="000000"/>
          <w:sz w:val="28"/>
          <w:szCs w:val="28"/>
        </w:rPr>
      </w:pPr>
      <w:bookmarkStart w:id="0" w:name="OLE_LINK4"/>
      <w:r>
        <w:rPr>
          <w:rFonts w:hint="eastAsia" w:ascii="宋体" w:hAnsi="宋体"/>
          <w:color w:val="000000"/>
          <w:sz w:val="28"/>
          <w:szCs w:val="28"/>
        </w:rPr>
        <w:t>招标代理机构：</w:t>
      </w:r>
      <w:r>
        <w:rPr>
          <w:rFonts w:hint="eastAsia" w:ascii="宋体" w:hAnsi="宋体"/>
          <w:color w:val="000000"/>
          <w:sz w:val="28"/>
          <w:szCs w:val="28"/>
          <w:u w:val="single"/>
        </w:rPr>
        <w:t>广东华工工程建设监理有限公司</w:t>
      </w:r>
    </w:p>
    <w:bookmarkEnd w:id="0"/>
    <w:p>
      <w:pPr>
        <w:pStyle w:val="21"/>
        <w:spacing w:line="360" w:lineRule="auto"/>
        <w:ind w:firstLine="1960" w:firstLineChars="700"/>
        <w:rPr>
          <w:rFonts w:ascii="宋体" w:hAnsi="宋体"/>
          <w:color w:val="000000"/>
        </w:rPr>
      </w:pPr>
      <w:r>
        <w:rPr>
          <w:rFonts w:hint="eastAsia" w:ascii="宋体" w:hAnsi="宋体"/>
          <w:color w:val="000000"/>
          <w:sz w:val="28"/>
          <w:szCs w:val="28"/>
        </w:rPr>
        <w:t>日        期：2023年5月</w:t>
      </w:r>
    </w:p>
    <w:p>
      <w:pPr>
        <w:widowControl/>
        <w:spacing w:line="360" w:lineRule="auto"/>
        <w:jc w:val="left"/>
        <w:rPr>
          <w:rFonts w:ascii="宋体" w:hAnsi="宋体" w:cs="宋体"/>
          <w:b/>
          <w:bCs/>
          <w:color w:val="000000"/>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134" w:right="1417" w:bottom="1134" w:left="1134" w:header="720" w:footer="720" w:gutter="0"/>
          <w:pgNumType w:start="0"/>
          <w:cols w:space="720" w:num="1"/>
          <w:titlePg/>
          <w:docGrid w:linePitch="286" w:charSpace="0"/>
        </w:sectPr>
      </w:pPr>
    </w:p>
    <w:p/>
    <w:p>
      <w:pPr>
        <w:pStyle w:val="60"/>
        <w:jc w:val="center"/>
      </w:pPr>
      <w:r>
        <w:rPr>
          <w:lang w:val="zh-CN"/>
        </w:rPr>
        <w:t>目录</w:t>
      </w:r>
    </w:p>
    <w:p>
      <w:pPr>
        <w:pStyle w:val="20"/>
        <w:tabs>
          <w:tab w:val="right" w:leader="dot" w:pos="9629"/>
        </w:tabs>
        <w:spacing w:line="360" w:lineRule="auto"/>
        <w:rPr>
          <w:rFonts w:ascii="等线" w:hAnsi="等线" w:eastAsia="等线"/>
          <w:szCs w:val="22"/>
        </w:rPr>
      </w:pPr>
      <w:r>
        <w:fldChar w:fldCharType="begin"/>
      </w:r>
      <w:r>
        <w:instrText xml:space="preserve"> TOC \o "1-3" \h \z \u </w:instrText>
      </w:r>
      <w:r>
        <w:fldChar w:fldCharType="separate"/>
      </w:r>
      <w:r>
        <w:fldChar w:fldCharType="begin"/>
      </w:r>
      <w:r>
        <w:instrText xml:space="preserve"> HYPERLINK \l "_Toc43990374" </w:instrText>
      </w:r>
      <w:r>
        <w:fldChar w:fldCharType="separate"/>
      </w:r>
      <w:r>
        <w:rPr>
          <w:rStyle w:val="29"/>
          <w:rFonts w:hint="eastAsia" w:ascii="宋体" w:hAnsi="宋体"/>
        </w:rPr>
        <w:t>第一章</w:t>
      </w:r>
      <w:r>
        <w:tab/>
      </w:r>
      <w:r>
        <w:fldChar w:fldCharType="begin"/>
      </w:r>
      <w:r>
        <w:instrText xml:space="preserve"> PAGEREF _Toc43990374 \h </w:instrText>
      </w:r>
      <w:r>
        <w:fldChar w:fldCharType="separate"/>
      </w:r>
      <w:r>
        <w:t>3</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instrText xml:space="preserve"> HYPERLINK \l "_Toc43990375" </w:instrText>
      </w:r>
      <w:r>
        <w:fldChar w:fldCharType="separate"/>
      </w:r>
      <w:r>
        <w:rPr>
          <w:rStyle w:val="29"/>
          <w:rFonts w:hint="eastAsia" w:ascii="宋体" w:hAnsi="宋体"/>
        </w:rPr>
        <w:t>招标公告</w:t>
      </w:r>
      <w:r>
        <w:tab/>
      </w:r>
      <w:r>
        <w:fldChar w:fldCharType="begin"/>
      </w:r>
      <w:r>
        <w:instrText xml:space="preserve"> PAGEREF _Toc43990375 \h </w:instrText>
      </w:r>
      <w:r>
        <w:fldChar w:fldCharType="separate"/>
      </w:r>
      <w:r>
        <w:t>3</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instrText xml:space="preserve"> HYPERLINK \l "_Toc43990376" </w:instrText>
      </w:r>
      <w:r>
        <w:fldChar w:fldCharType="separate"/>
      </w:r>
      <w:r>
        <w:rPr>
          <w:rStyle w:val="29"/>
          <w:rFonts w:hint="eastAsia" w:ascii="宋体" w:hAnsi="宋体"/>
        </w:rPr>
        <w:t>第二章投标人须知</w:t>
      </w:r>
      <w:r>
        <w:tab/>
      </w:r>
      <w:r>
        <w:fldChar w:fldCharType="begin"/>
      </w:r>
      <w:r>
        <w:instrText xml:space="preserve"> PAGEREF _Toc43990376 \h </w:instrText>
      </w:r>
      <w:r>
        <w:fldChar w:fldCharType="separate"/>
      </w:r>
      <w:r>
        <w:t>4</w:t>
      </w:r>
      <w:r>
        <w:fldChar w:fldCharType="end"/>
      </w:r>
      <w:r>
        <w:fldChar w:fldCharType="end"/>
      </w:r>
    </w:p>
    <w:p>
      <w:pPr>
        <w:pStyle w:val="13"/>
        <w:tabs>
          <w:tab w:val="right" w:leader="dot" w:pos="9629"/>
        </w:tabs>
        <w:spacing w:line="360" w:lineRule="auto"/>
        <w:rPr>
          <w:rFonts w:ascii="等线" w:hAnsi="等线" w:eastAsia="等线"/>
          <w:szCs w:val="22"/>
        </w:rPr>
      </w:pPr>
      <w:r>
        <w:fldChar w:fldCharType="begin"/>
      </w:r>
      <w:r>
        <w:instrText xml:space="preserve"> HYPERLINK \l "_Toc43990377" </w:instrText>
      </w:r>
      <w:r>
        <w:fldChar w:fldCharType="separate"/>
      </w:r>
      <w:r>
        <w:rPr>
          <w:rStyle w:val="29"/>
          <w:rFonts w:hint="eastAsia" w:ascii="宋体" w:hAnsi="宋体"/>
        </w:rPr>
        <w:t>投标人须知前附表</w:t>
      </w:r>
      <w:r>
        <w:tab/>
      </w:r>
      <w:r>
        <w:fldChar w:fldCharType="begin"/>
      </w:r>
      <w:r>
        <w:instrText xml:space="preserve"> PAGEREF _Toc43990377 \h </w:instrText>
      </w:r>
      <w:r>
        <w:fldChar w:fldCharType="separate"/>
      </w:r>
      <w:r>
        <w:t>4</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instrText xml:space="preserve"> HYPERLINK \l "_Toc43990378" </w:instrText>
      </w:r>
      <w:r>
        <w:fldChar w:fldCharType="separate"/>
      </w:r>
      <w:r>
        <w:rPr>
          <w:rStyle w:val="29"/>
          <w:rFonts w:hint="eastAsia" w:ascii="宋体" w:hAnsi="宋体"/>
        </w:rPr>
        <w:t>第三章评标办法（综合评估法）</w:t>
      </w:r>
      <w:r>
        <w:tab/>
      </w:r>
      <w:r>
        <w:fldChar w:fldCharType="begin"/>
      </w:r>
      <w:r>
        <w:instrText xml:space="preserve"> PAGEREF _Toc43990378 \h </w:instrText>
      </w:r>
      <w:r>
        <w:fldChar w:fldCharType="separate"/>
      </w:r>
      <w:r>
        <w:t>24</w:t>
      </w:r>
      <w:r>
        <w:fldChar w:fldCharType="end"/>
      </w:r>
      <w:r>
        <w:fldChar w:fldCharType="end"/>
      </w:r>
    </w:p>
    <w:p>
      <w:pPr>
        <w:pStyle w:val="13"/>
        <w:tabs>
          <w:tab w:val="right" w:leader="dot" w:pos="9629"/>
        </w:tabs>
        <w:spacing w:line="360" w:lineRule="auto"/>
        <w:rPr>
          <w:rFonts w:ascii="等线" w:hAnsi="等线" w:eastAsia="等线"/>
          <w:szCs w:val="22"/>
        </w:rPr>
      </w:pPr>
      <w:r>
        <w:fldChar w:fldCharType="begin"/>
      </w:r>
      <w:r>
        <w:instrText xml:space="preserve"> HYPERLINK \l "_Toc43990379" </w:instrText>
      </w:r>
      <w:r>
        <w:fldChar w:fldCharType="separate"/>
      </w:r>
      <w:r>
        <w:rPr>
          <w:rStyle w:val="29"/>
          <w:rFonts w:hint="eastAsia" w:ascii="宋体" w:hAnsi="宋体"/>
        </w:rPr>
        <w:t>评标办法前附表</w:t>
      </w:r>
      <w:r>
        <w:tab/>
      </w:r>
      <w:r>
        <w:fldChar w:fldCharType="begin"/>
      </w:r>
      <w:r>
        <w:instrText xml:space="preserve"> PAGEREF _Toc43990379 \h </w:instrText>
      </w:r>
      <w:r>
        <w:fldChar w:fldCharType="separate"/>
      </w:r>
      <w:r>
        <w:t>24</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instrText xml:space="preserve"> HYPERLINK \l "_Toc43990380" </w:instrText>
      </w:r>
      <w:r>
        <w:fldChar w:fldCharType="separate"/>
      </w:r>
      <w:r>
        <w:rPr>
          <w:rStyle w:val="29"/>
          <w:rFonts w:hint="eastAsia"/>
        </w:rPr>
        <w:t>第四章</w:t>
      </w:r>
      <w:r>
        <w:rPr>
          <w:rStyle w:val="29"/>
          <w:rFonts w:hint="eastAsia" w:ascii="宋体" w:hAnsi="宋体"/>
        </w:rPr>
        <w:t xml:space="preserve"> 合同条款及格式</w:t>
      </w:r>
      <w:r>
        <w:tab/>
      </w:r>
      <w:r>
        <w:fldChar w:fldCharType="begin"/>
      </w:r>
      <w:r>
        <w:instrText xml:space="preserve"> PAGEREF _Toc43990380 \h </w:instrText>
      </w:r>
      <w:r>
        <w:fldChar w:fldCharType="separate"/>
      </w:r>
      <w:r>
        <w:t>32</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instrText xml:space="preserve"> HYPERLINK \l "_Toc43990381" </w:instrText>
      </w:r>
      <w:r>
        <w:fldChar w:fldCharType="separate"/>
      </w:r>
      <w:r>
        <w:rPr>
          <w:rStyle w:val="29"/>
          <w:rFonts w:hint="eastAsia" w:ascii="宋体" w:hAnsi="宋体"/>
        </w:rPr>
        <w:t>第五章委托人要求</w:t>
      </w:r>
      <w:r>
        <w:tab/>
      </w:r>
      <w:r>
        <w:fldChar w:fldCharType="begin"/>
      </w:r>
      <w:r>
        <w:instrText xml:space="preserve"> PAGEREF _Toc43990381 \h </w:instrText>
      </w:r>
      <w:r>
        <w:fldChar w:fldCharType="separate"/>
      </w:r>
      <w:r>
        <w:t>33</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instrText xml:space="preserve"> HYPERLINK \l "_Toc43990382" </w:instrText>
      </w:r>
      <w:r>
        <w:fldChar w:fldCharType="separate"/>
      </w:r>
      <w:r>
        <w:rPr>
          <w:rStyle w:val="29"/>
          <w:rFonts w:hint="eastAsia" w:ascii="宋体" w:hAnsi="宋体"/>
        </w:rPr>
        <w:t>第六章投标文件格</w:t>
      </w:r>
      <w:bookmarkStart w:id="1" w:name="_Hlt47623325"/>
      <w:bookmarkStart w:id="2" w:name="_Hlt47623324"/>
      <w:bookmarkStart w:id="3" w:name="_Hlt51581413"/>
      <w:bookmarkStart w:id="4" w:name="_Hlt51581414"/>
      <w:r>
        <w:rPr>
          <w:rStyle w:val="29"/>
          <w:rFonts w:hint="eastAsia" w:ascii="宋体" w:hAnsi="宋体"/>
        </w:rPr>
        <w:t>式</w:t>
      </w:r>
      <w:bookmarkEnd w:id="1"/>
      <w:bookmarkEnd w:id="2"/>
      <w:bookmarkEnd w:id="3"/>
      <w:bookmarkEnd w:id="4"/>
      <w:r>
        <w:tab/>
      </w:r>
      <w:r>
        <w:fldChar w:fldCharType="begin"/>
      </w:r>
      <w:r>
        <w:instrText xml:space="preserve"> PAGEREF _Toc43990382 \h </w:instrText>
      </w:r>
      <w:r>
        <w:fldChar w:fldCharType="separate"/>
      </w:r>
      <w:r>
        <w:t>35</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instrText xml:space="preserve"> HYPERLINK \l "_Toc43990383" </w:instrText>
      </w:r>
      <w:r>
        <w:fldChar w:fldCharType="separate"/>
      </w:r>
      <w:r>
        <w:rPr>
          <w:rStyle w:val="29"/>
          <w:rFonts w:hint="eastAsia" w:ascii="宋体" w:hAnsi="宋体"/>
        </w:rPr>
        <w:t>一、投标函及投标</w:t>
      </w:r>
      <w:bookmarkStart w:id="5" w:name="_Hlt47623349"/>
      <w:r>
        <w:rPr>
          <w:rStyle w:val="29"/>
          <w:rFonts w:hint="eastAsia" w:ascii="宋体" w:hAnsi="宋体"/>
        </w:rPr>
        <w:t>函</w:t>
      </w:r>
      <w:bookmarkEnd w:id="5"/>
      <w:r>
        <w:rPr>
          <w:rStyle w:val="29"/>
          <w:rFonts w:hint="eastAsia" w:ascii="宋体" w:hAnsi="宋体"/>
        </w:rPr>
        <w:t>附录</w:t>
      </w:r>
      <w:r>
        <w:tab/>
      </w:r>
      <w:r>
        <w:fldChar w:fldCharType="begin"/>
      </w:r>
      <w:r>
        <w:instrText xml:space="preserve"> PAGEREF _Toc43990383 \h </w:instrText>
      </w:r>
      <w:r>
        <w:fldChar w:fldCharType="separate"/>
      </w:r>
      <w:r>
        <w:t>39</w:t>
      </w:r>
      <w:r>
        <w:fldChar w:fldCharType="end"/>
      </w:r>
      <w:r>
        <w:fldChar w:fldCharType="end"/>
      </w:r>
    </w:p>
    <w:p>
      <w:pPr>
        <w:pStyle w:val="20"/>
        <w:tabs>
          <w:tab w:val="right" w:leader="dot" w:pos="9629"/>
        </w:tabs>
        <w:spacing w:line="360" w:lineRule="auto"/>
        <w:rPr>
          <w:rFonts w:ascii="等线" w:hAnsi="等线" w:eastAsia="等线"/>
          <w:szCs w:val="22"/>
        </w:rPr>
      </w:pPr>
      <w:r>
        <w:fldChar w:fldCharType="begin"/>
      </w:r>
      <w:r>
        <w:instrText xml:space="preserve"> HYPERLINK \l "_Toc43990386" </w:instrText>
      </w:r>
      <w:r>
        <w:fldChar w:fldCharType="separate"/>
      </w:r>
      <w:r>
        <w:rPr>
          <w:rStyle w:val="29"/>
          <w:rFonts w:hint="eastAsia" w:ascii="宋体" w:hAnsi="宋体"/>
          <w:bCs/>
        </w:rPr>
        <w:t>二、法定代表人身份证明书</w:t>
      </w:r>
      <w:r>
        <w:tab/>
      </w:r>
      <w:r>
        <w:fldChar w:fldCharType="begin"/>
      </w:r>
      <w:r>
        <w:instrText xml:space="preserve"> PAGEREF _Toc43990386 \h </w:instrText>
      </w:r>
      <w:r>
        <w:fldChar w:fldCharType="separate"/>
      </w:r>
      <w:r>
        <w:t>41</w:t>
      </w:r>
      <w:r>
        <w:fldChar w:fldCharType="end"/>
      </w:r>
      <w:r>
        <w:fldChar w:fldCharType="end"/>
      </w:r>
    </w:p>
    <w:p>
      <w:pPr>
        <w:pStyle w:val="20"/>
        <w:tabs>
          <w:tab w:val="right" w:leader="dot" w:pos="9629"/>
        </w:tabs>
        <w:spacing w:line="360" w:lineRule="auto"/>
      </w:pPr>
      <w:r>
        <w:fldChar w:fldCharType="begin"/>
      </w:r>
      <w:r>
        <w:instrText xml:space="preserve"> HYPERLINK \l "_Toc43990387" </w:instrText>
      </w:r>
      <w:r>
        <w:fldChar w:fldCharType="separate"/>
      </w:r>
      <w:r>
        <w:rPr>
          <w:rStyle w:val="29"/>
          <w:rFonts w:hint="eastAsia" w:ascii="宋体" w:hAnsi="宋体"/>
          <w:bCs/>
        </w:rPr>
        <w:t>三、资格审查资料</w:t>
      </w:r>
      <w:r>
        <w:tab/>
      </w:r>
      <w:r>
        <w:fldChar w:fldCharType="begin"/>
      </w:r>
      <w:r>
        <w:instrText xml:space="preserve"> PAGEREF _Toc43990387 \h </w:instrText>
      </w:r>
      <w:r>
        <w:fldChar w:fldCharType="separate"/>
      </w:r>
      <w:r>
        <w:t>43</w:t>
      </w:r>
      <w:r>
        <w:fldChar w:fldCharType="end"/>
      </w:r>
      <w:r>
        <w:fldChar w:fldCharType="end"/>
      </w:r>
    </w:p>
    <w:p/>
    <w:p>
      <w:pPr>
        <w:spacing w:line="360" w:lineRule="auto"/>
      </w:pPr>
      <w:r>
        <w:rPr>
          <w:bCs/>
          <w:lang w:val="zh-CN"/>
        </w:rPr>
        <w:fldChar w:fldCharType="end"/>
      </w:r>
    </w:p>
    <w:p>
      <w:pPr>
        <w:jc w:val="center"/>
        <w:rPr>
          <w:rFonts w:ascii="宋体" w:hAnsi="宋体"/>
          <w:b/>
          <w:bCs/>
          <w:color w:val="000000"/>
          <w:sz w:val="24"/>
          <w:szCs w:val="24"/>
        </w:rPr>
      </w:pPr>
      <w:r>
        <w:rPr>
          <w:rFonts w:hint="eastAsia" w:ascii="宋体" w:hAnsi="宋体"/>
          <w:b/>
          <w:bCs/>
          <w:color w:val="000000"/>
          <w:sz w:val="24"/>
          <w:szCs w:val="24"/>
        </w:rPr>
        <w:br w:type="page"/>
      </w: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24"/>
          <w:szCs w:val="24"/>
        </w:rPr>
      </w:pPr>
    </w:p>
    <w:p>
      <w:pPr>
        <w:jc w:val="center"/>
        <w:rPr>
          <w:rFonts w:ascii="宋体" w:hAnsi="宋体"/>
          <w:b/>
          <w:bCs/>
          <w:color w:val="000000"/>
          <w:sz w:val="30"/>
          <w:szCs w:val="30"/>
        </w:rPr>
      </w:pPr>
      <w:bookmarkStart w:id="6" w:name="_Toc43989732"/>
      <w:bookmarkStart w:id="7" w:name="_Toc43989929"/>
      <w:r>
        <w:rPr>
          <w:rFonts w:hint="eastAsia" w:ascii="宋体" w:hAnsi="宋体"/>
          <w:b/>
          <w:bCs/>
          <w:color w:val="000000"/>
          <w:sz w:val="52"/>
          <w:szCs w:val="52"/>
        </w:rPr>
        <w:t>第一卷</w:t>
      </w:r>
      <w:bookmarkEnd w:id="6"/>
      <w:bookmarkEnd w:id="7"/>
      <w:r>
        <w:rPr>
          <w:rFonts w:hint="eastAsia" w:ascii="宋体" w:hAnsi="宋体"/>
          <w:b/>
          <w:bCs/>
          <w:color w:val="000000"/>
          <w:sz w:val="52"/>
          <w:szCs w:val="52"/>
        </w:rPr>
        <w:br w:type="page"/>
      </w:r>
    </w:p>
    <w:p>
      <w:pPr>
        <w:rPr>
          <w:rFonts w:ascii="宋体" w:hAnsi="宋体"/>
          <w:color w:val="000000"/>
        </w:rPr>
      </w:pPr>
      <w:bookmarkStart w:id="8" w:name="_Toc9309"/>
      <w:bookmarkEnd w:id="8"/>
      <w:bookmarkStart w:id="9" w:name="_Toc393961862"/>
      <w:bookmarkEnd w:id="9"/>
      <w:bookmarkStart w:id="10" w:name="_Toc26914"/>
      <w:bookmarkEnd w:id="10"/>
    </w:p>
    <w:p>
      <w:pPr>
        <w:pStyle w:val="4"/>
        <w:jc w:val="center"/>
        <w:rPr>
          <w:rFonts w:ascii="宋体" w:hAnsi="宋体" w:eastAsia="宋体"/>
          <w:color w:val="000000"/>
        </w:rPr>
      </w:pPr>
      <w:bookmarkStart w:id="11" w:name="_Toc16720"/>
      <w:bookmarkEnd w:id="11"/>
      <w:bookmarkStart w:id="12" w:name="_Toc514170118"/>
      <w:bookmarkEnd w:id="12"/>
      <w:bookmarkStart w:id="13" w:name="_Toc2170"/>
      <w:bookmarkEnd w:id="13"/>
      <w:bookmarkStart w:id="14" w:name="_Toc1036"/>
      <w:bookmarkEnd w:id="14"/>
      <w:bookmarkStart w:id="15" w:name="_Toc610"/>
      <w:bookmarkEnd w:id="15"/>
      <w:bookmarkStart w:id="16" w:name="_Toc43990374"/>
      <w:bookmarkStart w:id="17" w:name="_Toc43989733"/>
      <w:bookmarkStart w:id="18" w:name="_Toc43989930"/>
      <w:bookmarkStart w:id="19" w:name="_Toc13962"/>
      <w:r>
        <w:rPr>
          <w:rFonts w:hint="eastAsia" w:ascii="宋体" w:hAnsi="宋体" w:eastAsia="宋体"/>
          <w:color w:val="000000"/>
        </w:rPr>
        <w:t>第一章</w:t>
      </w:r>
      <w:bookmarkEnd w:id="16"/>
      <w:bookmarkEnd w:id="17"/>
      <w:bookmarkEnd w:id="18"/>
    </w:p>
    <w:p>
      <w:pPr>
        <w:pStyle w:val="4"/>
        <w:jc w:val="center"/>
        <w:rPr>
          <w:rFonts w:ascii="宋体" w:hAnsi="宋体" w:eastAsia="宋体"/>
          <w:color w:val="000000"/>
        </w:rPr>
      </w:pPr>
      <w:bookmarkStart w:id="20" w:name="_Toc43989931"/>
      <w:bookmarkStart w:id="21" w:name="_Toc43989734"/>
      <w:bookmarkStart w:id="22" w:name="_Toc43990375"/>
      <w:r>
        <w:rPr>
          <w:rFonts w:hint="eastAsia" w:ascii="宋体" w:hAnsi="宋体" w:eastAsia="宋体"/>
          <w:color w:val="000000"/>
        </w:rPr>
        <w:t>招标公告</w:t>
      </w:r>
      <w:bookmarkEnd w:id="19"/>
      <w:bookmarkEnd w:id="20"/>
      <w:bookmarkEnd w:id="21"/>
      <w:bookmarkEnd w:id="22"/>
    </w:p>
    <w:p>
      <w:pPr>
        <w:spacing w:before="240" w:beforeLines="100" w:line="300" w:lineRule="exact"/>
        <w:ind w:right="840"/>
        <w:jc w:val="center"/>
        <w:rPr>
          <w:rFonts w:ascii="宋体" w:hAnsi="宋体"/>
          <w:b/>
          <w:bCs/>
          <w:color w:val="000000"/>
          <w:sz w:val="28"/>
          <w:szCs w:val="28"/>
        </w:rPr>
      </w:pPr>
      <w:bookmarkStart w:id="23" w:name="_Toc6636"/>
      <w:bookmarkEnd w:id="23"/>
      <w:r>
        <w:rPr>
          <w:rFonts w:hint="eastAsia" w:ascii="宋体" w:hAnsi="宋体"/>
          <w:color w:val="000000"/>
        </w:rPr>
        <w:t xml:space="preserve">      </w:t>
      </w:r>
      <w:r>
        <w:rPr>
          <w:rFonts w:ascii="宋体" w:hAnsi="宋体"/>
          <w:color w:val="000000"/>
          <w:sz w:val="28"/>
          <w:szCs w:val="28"/>
        </w:rPr>
        <w:t xml:space="preserve"> 另册</w:t>
      </w:r>
    </w:p>
    <w:p>
      <w:pPr>
        <w:pStyle w:val="4"/>
        <w:jc w:val="center"/>
        <w:rPr>
          <w:rFonts w:ascii="宋体" w:hAnsi="宋体" w:eastAsia="宋体"/>
          <w:color w:val="000000"/>
        </w:rPr>
      </w:pPr>
      <w:bookmarkStart w:id="24" w:name="_Toc393961863"/>
      <w:bookmarkEnd w:id="24"/>
      <w:r>
        <w:rPr>
          <w:rFonts w:hint="eastAsia" w:ascii="宋体" w:hAnsi="宋体" w:eastAsia="宋体"/>
          <w:color w:val="000000"/>
        </w:rPr>
        <w:br w:type="page"/>
      </w:r>
      <w:bookmarkStart w:id="25" w:name="_Toc9935"/>
      <w:bookmarkEnd w:id="25"/>
      <w:bookmarkStart w:id="26" w:name="_Toc19352"/>
      <w:bookmarkEnd w:id="26"/>
      <w:bookmarkStart w:id="27" w:name="_Toc5915"/>
      <w:bookmarkEnd w:id="27"/>
      <w:bookmarkStart w:id="28" w:name="_Toc15805"/>
      <w:bookmarkEnd w:id="28"/>
      <w:bookmarkStart w:id="29" w:name="_Toc514170119"/>
      <w:bookmarkEnd w:id="29"/>
      <w:bookmarkStart w:id="30" w:name="_Toc22940"/>
      <w:bookmarkEnd w:id="30"/>
      <w:bookmarkStart w:id="31" w:name="_Toc27380"/>
      <w:bookmarkEnd w:id="31"/>
      <w:bookmarkStart w:id="32" w:name="_Toc43989735"/>
      <w:bookmarkStart w:id="33" w:name="_Toc174"/>
      <w:bookmarkStart w:id="34" w:name="_Toc43989932"/>
      <w:bookmarkStart w:id="35" w:name="_Toc43990376"/>
      <w:r>
        <w:rPr>
          <w:rFonts w:hint="eastAsia" w:ascii="宋体" w:hAnsi="宋体" w:eastAsia="宋体"/>
          <w:color w:val="000000"/>
        </w:rPr>
        <w:t>第二章投标人须知</w:t>
      </w:r>
      <w:bookmarkEnd w:id="32"/>
      <w:bookmarkEnd w:id="33"/>
      <w:bookmarkEnd w:id="34"/>
      <w:bookmarkEnd w:id="35"/>
    </w:p>
    <w:p>
      <w:pPr>
        <w:pStyle w:val="5"/>
        <w:jc w:val="center"/>
        <w:rPr>
          <w:rFonts w:ascii="宋体" w:hAnsi="宋体"/>
          <w:color w:val="000000"/>
        </w:rPr>
      </w:pPr>
      <w:bookmarkStart w:id="36" w:name="_Toc514170120"/>
      <w:bookmarkEnd w:id="36"/>
      <w:bookmarkStart w:id="37" w:name="_Toc2375"/>
      <w:bookmarkEnd w:id="37"/>
      <w:bookmarkStart w:id="38" w:name="_Toc7336"/>
      <w:bookmarkEnd w:id="38"/>
      <w:bookmarkStart w:id="39" w:name="_Toc393961864"/>
      <w:bookmarkEnd w:id="39"/>
      <w:bookmarkStart w:id="40" w:name="_Toc14233"/>
      <w:bookmarkEnd w:id="40"/>
      <w:bookmarkStart w:id="41" w:name="_Toc24793"/>
      <w:bookmarkEnd w:id="41"/>
      <w:bookmarkStart w:id="42" w:name="_Toc32677"/>
      <w:bookmarkEnd w:id="42"/>
      <w:bookmarkStart w:id="43" w:name="_Toc43990377"/>
      <w:bookmarkStart w:id="44" w:name="_Toc12460"/>
      <w:bookmarkStart w:id="45" w:name="_Toc43989736"/>
      <w:bookmarkStart w:id="46" w:name="_Toc43989933"/>
      <w:r>
        <w:rPr>
          <w:rFonts w:hint="eastAsia" w:ascii="宋体" w:hAnsi="宋体"/>
          <w:color w:val="000000"/>
        </w:rPr>
        <w:t>投标人须知前附表</w:t>
      </w:r>
      <w:bookmarkEnd w:id="43"/>
      <w:bookmarkEnd w:id="44"/>
      <w:bookmarkEnd w:id="45"/>
      <w:bookmarkEnd w:id="46"/>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2423"/>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highlight w:val="none"/>
              </w:rPr>
            </w:pPr>
            <w:r>
              <w:rPr>
                <w:rFonts w:hint="eastAsia" w:ascii="宋体" w:hAnsi="宋体"/>
                <w:b/>
                <w:highlight w:val="none"/>
              </w:rPr>
              <w:t>条款号</w:t>
            </w:r>
          </w:p>
        </w:tc>
        <w:tc>
          <w:tcPr>
            <w:tcW w:w="242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highlight w:val="none"/>
              </w:rPr>
            </w:pPr>
            <w:r>
              <w:rPr>
                <w:rFonts w:hint="eastAsia" w:ascii="宋体" w:hAnsi="宋体"/>
                <w:b/>
                <w:highlight w:val="none"/>
              </w:rPr>
              <w:t>条  款  名  称</w:t>
            </w:r>
          </w:p>
        </w:tc>
        <w:tc>
          <w:tcPr>
            <w:tcW w:w="61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highlight w:val="none"/>
              </w:rPr>
            </w:pPr>
            <w:r>
              <w:rPr>
                <w:rFonts w:hint="eastAsia" w:ascii="宋体" w:hAnsi="宋体"/>
                <w:b/>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1.1.2</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招标人</w:t>
            </w:r>
          </w:p>
        </w:tc>
        <w:tc>
          <w:tcPr>
            <w:tcW w:w="6111" w:type="dxa"/>
            <w:tcBorders>
              <w:top w:val="single" w:color="auto" w:sz="4" w:space="0"/>
              <w:left w:val="nil"/>
              <w:bottom w:val="single" w:color="auto" w:sz="4" w:space="0"/>
              <w:right w:val="single" w:color="auto" w:sz="4" w:space="0"/>
            </w:tcBorders>
            <w:vAlign w:val="center"/>
          </w:tcPr>
          <w:p>
            <w:pPr>
              <w:spacing w:line="360" w:lineRule="auto"/>
              <w:ind w:left="630" w:hanging="630" w:hangingChars="300"/>
              <w:rPr>
                <w:rFonts w:ascii="宋体" w:hAnsi="宋体"/>
                <w:highlight w:val="none"/>
              </w:rPr>
            </w:pPr>
            <w:r>
              <w:rPr>
                <w:rFonts w:ascii="宋体" w:hAnsi="宋体"/>
                <w:highlight w:val="none"/>
              </w:rPr>
              <w:t>名称：</w:t>
            </w:r>
            <w:r>
              <w:rPr>
                <w:rFonts w:hint="eastAsia" w:ascii="宋体" w:hAnsi="宋体"/>
                <w:highlight w:val="none"/>
                <w:u w:val="single"/>
              </w:rPr>
              <w:t>广州市荔湾区水务工程建设管理中心</w:t>
            </w:r>
          </w:p>
          <w:p>
            <w:pPr>
              <w:spacing w:line="360" w:lineRule="auto"/>
              <w:rPr>
                <w:rFonts w:ascii="宋体" w:hAnsi="宋体"/>
                <w:highlight w:val="none"/>
              </w:rPr>
            </w:pPr>
            <w:r>
              <w:rPr>
                <w:rFonts w:ascii="宋体" w:hAnsi="宋体"/>
                <w:highlight w:val="none"/>
              </w:rPr>
              <w:t>地址：</w:t>
            </w:r>
            <w:r>
              <w:rPr>
                <w:rFonts w:hint="eastAsia" w:ascii="宋体" w:hAnsi="宋体"/>
                <w:highlight w:val="none"/>
                <w:u w:val="single"/>
              </w:rPr>
              <w:t xml:space="preserve">广州市荔湾区东漖大街120号三防仓库五楼  </w:t>
            </w:r>
          </w:p>
          <w:p>
            <w:pPr>
              <w:spacing w:line="360" w:lineRule="auto"/>
              <w:rPr>
                <w:rFonts w:ascii="宋体" w:hAnsi="宋体"/>
                <w:highlight w:val="none"/>
              </w:rPr>
            </w:pPr>
            <w:r>
              <w:rPr>
                <w:rFonts w:ascii="宋体" w:hAnsi="宋体"/>
                <w:highlight w:val="none"/>
              </w:rPr>
              <w:t>联系人：</w:t>
            </w:r>
            <w:r>
              <w:rPr>
                <w:rFonts w:hint="eastAsia" w:ascii="宋体" w:hAnsi="宋体"/>
                <w:highlight w:val="none"/>
                <w:u w:val="single"/>
              </w:rPr>
              <w:t>朱工</w:t>
            </w:r>
          </w:p>
          <w:p>
            <w:pPr>
              <w:spacing w:line="360" w:lineRule="auto"/>
              <w:rPr>
                <w:rFonts w:ascii="宋体" w:hAnsi="宋体"/>
                <w:highlight w:val="none"/>
              </w:rPr>
            </w:pPr>
            <w:r>
              <w:rPr>
                <w:rFonts w:ascii="宋体" w:hAnsi="宋体"/>
                <w:highlight w:val="none"/>
              </w:rPr>
              <w:t>电话：</w:t>
            </w:r>
            <w:r>
              <w:rPr>
                <w:rFonts w:hint="eastAsia" w:ascii="宋体" w:hAnsi="宋体"/>
                <w:highlight w:val="none"/>
                <w:u w:val="single"/>
              </w:rPr>
              <w:t>020-81</w:t>
            </w:r>
            <w:r>
              <w:rPr>
                <w:rFonts w:hint="eastAsia" w:ascii="宋体" w:hAnsi="宋体"/>
                <w:highlight w:val="none"/>
                <w:u w:val="single"/>
                <w:lang w:val="en-US" w:eastAsia="zh-CN"/>
              </w:rPr>
              <w:t>614458</w:t>
            </w:r>
            <w:r>
              <w:rPr>
                <w:rFonts w:hint="eastAsia" w:ascii="宋体" w:hAnsi="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1.1.3</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招标代理机构</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u w:val="single"/>
              </w:rPr>
            </w:pPr>
            <w:r>
              <w:rPr>
                <w:rFonts w:ascii="宋体" w:hAnsi="宋体"/>
                <w:highlight w:val="none"/>
              </w:rPr>
              <w:t>名称：</w:t>
            </w:r>
            <w:r>
              <w:rPr>
                <w:rFonts w:hint="eastAsia" w:ascii="宋体" w:hAnsi="宋体"/>
                <w:highlight w:val="none"/>
                <w:u w:val="single"/>
              </w:rPr>
              <w:t>广东华工工程建设监理有限公司</w:t>
            </w:r>
          </w:p>
          <w:p>
            <w:pPr>
              <w:spacing w:line="360" w:lineRule="auto"/>
              <w:rPr>
                <w:rFonts w:ascii="宋体" w:hAnsi="宋体"/>
                <w:highlight w:val="none"/>
                <w:u w:val="single"/>
              </w:rPr>
            </w:pPr>
            <w:r>
              <w:rPr>
                <w:rFonts w:ascii="宋体" w:hAnsi="宋体"/>
                <w:highlight w:val="none"/>
              </w:rPr>
              <w:t>地址：</w:t>
            </w:r>
            <w:r>
              <w:rPr>
                <w:rFonts w:hint="eastAsia" w:ascii="宋体" w:hAnsi="宋体"/>
                <w:highlight w:val="none"/>
                <w:u w:val="single"/>
              </w:rPr>
              <w:t xml:space="preserve">广州市天河区五山路373号之三金华园区726室 </w:t>
            </w:r>
          </w:p>
          <w:p>
            <w:pPr>
              <w:spacing w:line="360" w:lineRule="auto"/>
              <w:rPr>
                <w:rFonts w:ascii="宋体" w:hAnsi="宋体"/>
                <w:highlight w:val="none"/>
              </w:rPr>
            </w:pPr>
            <w:r>
              <w:rPr>
                <w:rFonts w:ascii="宋体" w:hAnsi="宋体"/>
                <w:highlight w:val="none"/>
              </w:rPr>
              <w:t>联系人：</w:t>
            </w:r>
            <w:r>
              <w:rPr>
                <w:rFonts w:hint="eastAsia" w:ascii="宋体" w:hAnsi="宋体"/>
                <w:highlight w:val="none"/>
                <w:u w:val="single"/>
              </w:rPr>
              <w:t>郭工</w:t>
            </w:r>
          </w:p>
          <w:p>
            <w:pPr>
              <w:spacing w:line="360" w:lineRule="auto"/>
              <w:rPr>
                <w:rFonts w:ascii="宋体" w:hAnsi="宋体"/>
                <w:highlight w:val="none"/>
              </w:rPr>
            </w:pPr>
            <w:r>
              <w:rPr>
                <w:rFonts w:ascii="宋体" w:hAnsi="宋体"/>
                <w:highlight w:val="none"/>
              </w:rPr>
              <w:t>电话：</w:t>
            </w:r>
            <w:r>
              <w:rPr>
                <w:rFonts w:hint="eastAsia" w:ascii="宋体" w:hAnsi="宋体"/>
                <w:highlight w:val="none"/>
                <w:u w:val="single"/>
              </w:rPr>
              <w:t>020-88138686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1.1.4</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招标项目名称</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u w:val="single"/>
              </w:rPr>
              <w:t>老旧小区排水单元达标创建工程(荔湾北片区)技术服务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1.1.5</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项目建设地点</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1.1.6</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项目建设规模</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1.1.7</w:t>
            </w:r>
          </w:p>
        </w:tc>
        <w:tc>
          <w:tcPr>
            <w:tcW w:w="242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highlight w:val="none"/>
              </w:rPr>
            </w:pPr>
            <w:r>
              <w:rPr>
                <w:rFonts w:hint="eastAsia" w:ascii="宋体" w:hAnsi="宋体" w:cs="宋体"/>
                <w:highlight w:val="none"/>
              </w:rPr>
              <w:t>工程项目施工预计开工日期</w:t>
            </w:r>
            <w:r>
              <w:rPr>
                <w:rFonts w:hint="eastAsia"/>
                <w:highlight w:val="none"/>
              </w:rPr>
              <w:t>和建设周期</w:t>
            </w:r>
          </w:p>
        </w:tc>
        <w:tc>
          <w:tcPr>
            <w:tcW w:w="6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highlight w:val="none"/>
                <w:u w:val="single"/>
              </w:rPr>
            </w:pPr>
            <w:r>
              <w:rPr>
                <w:rFonts w:hint="eastAsia" w:ascii="宋体" w:hAnsi="宋体" w:cs="宋体"/>
                <w:highlight w:val="none"/>
                <w:u w:val="single"/>
              </w:rPr>
              <w:t>施工计划开工日期：/；</w:t>
            </w:r>
          </w:p>
          <w:p>
            <w:pPr>
              <w:widowControl/>
              <w:spacing w:line="360" w:lineRule="auto"/>
              <w:jc w:val="left"/>
              <w:rPr>
                <w:rFonts w:ascii="宋体" w:hAnsi="宋体" w:cs="宋体"/>
                <w:highlight w:val="none"/>
                <w:u w:val="single"/>
              </w:rPr>
            </w:pPr>
            <w:r>
              <w:rPr>
                <w:rFonts w:hint="eastAsia"/>
                <w:highlight w:val="none"/>
                <w:u w:val="single"/>
              </w:rPr>
              <w:t>建设周期：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1.1.8</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项目投资估算</w:t>
            </w:r>
          </w:p>
        </w:tc>
        <w:tc>
          <w:tcPr>
            <w:tcW w:w="6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highlight w:val="none"/>
                <w:u w:val="single"/>
              </w:rPr>
            </w:pPr>
            <w:r>
              <w:rPr>
                <w:rFonts w:hint="eastAsia" w:ascii="宋体" w:hAnsi="宋体"/>
                <w:highlight w:val="none"/>
                <w:u w:val="single"/>
              </w:rPr>
              <w:t>项目总投资为 9117.92万元，以主管部门批复的工程概算金额为准。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1.2.1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资金来源及比例</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u w:val="single"/>
              </w:rPr>
            </w:pPr>
            <w:r>
              <w:rPr>
                <w:rFonts w:hint="eastAsia" w:ascii="宋体" w:hAnsi="宋体" w:cs="宋体"/>
                <w:highlight w:val="none"/>
              </w:rPr>
              <w:t>区财政资金，100%。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1.2.2</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资金落实情况</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1.3.1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招标范围</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1.3.2</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u w:val="single"/>
              </w:rPr>
            </w:pPr>
            <w:r>
              <w:rPr>
                <w:rFonts w:hint="eastAsia" w:ascii="宋体" w:hAnsi="宋体"/>
                <w:highlight w:val="none"/>
                <w:u w:val="single"/>
              </w:rPr>
              <w:t>服务期</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highlight w:val="none"/>
              </w:rPr>
            </w:pPr>
            <w:r>
              <w:rPr>
                <w:rFonts w:hint="eastAsia" w:ascii="宋体" w:hAnsi="宋体"/>
                <w:highlight w:val="none"/>
              </w:rPr>
              <w:t>由</w:t>
            </w:r>
            <w:r>
              <w:rPr>
                <w:rFonts w:hint="eastAsia" w:ascii="宋体" w:hAnsi="宋体"/>
                <w:highlight w:val="none"/>
                <w:lang w:val="en-US" w:eastAsia="zh-CN"/>
              </w:rPr>
              <w:t>初步</w:t>
            </w:r>
            <w:r>
              <w:rPr>
                <w:rFonts w:hint="eastAsia" w:ascii="宋体" w:hAnsi="宋体"/>
                <w:highlight w:val="none"/>
              </w:rPr>
              <w:t>设计批复后至竣工决算。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1.3.3</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质量标准</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cs="宋体"/>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1.4.1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投标人资质条件、能力、信誉</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（1）资质要求：详见公告。</w:t>
            </w:r>
          </w:p>
          <w:p>
            <w:pPr>
              <w:spacing w:line="360" w:lineRule="auto"/>
              <w:rPr>
                <w:rFonts w:ascii="宋体" w:hAnsi="宋体"/>
                <w:highlight w:val="none"/>
              </w:rPr>
            </w:pPr>
            <w:r>
              <w:rPr>
                <w:rFonts w:hint="eastAsia" w:ascii="宋体" w:hAnsi="宋体"/>
                <w:highlight w:val="none"/>
              </w:rPr>
              <w:t>（2）财务要求：/</w:t>
            </w:r>
          </w:p>
          <w:p>
            <w:pPr>
              <w:spacing w:line="360" w:lineRule="auto"/>
              <w:rPr>
                <w:rFonts w:ascii="宋体" w:hAnsi="宋体"/>
                <w:highlight w:val="none"/>
              </w:rPr>
            </w:pPr>
            <w:r>
              <w:rPr>
                <w:rFonts w:hint="eastAsia" w:ascii="宋体" w:hAnsi="宋体"/>
                <w:highlight w:val="none"/>
              </w:rPr>
              <w:t>（3）业绩要求：</w:t>
            </w:r>
            <w:r>
              <w:rPr>
                <w:rFonts w:hint="eastAsia" w:ascii="宋体" w:hAnsi="宋体"/>
                <w:highlight w:val="none"/>
                <w:lang w:val="en-US" w:eastAsia="zh-CN"/>
              </w:rPr>
              <w:t>/</w:t>
            </w:r>
            <w:r>
              <w:rPr>
                <w:rFonts w:hint="eastAsia" w:ascii="宋体" w:hAnsi="宋体"/>
                <w:highlight w:val="none"/>
              </w:rPr>
              <w:t>。</w:t>
            </w:r>
          </w:p>
          <w:p>
            <w:pPr>
              <w:spacing w:line="360" w:lineRule="auto"/>
              <w:rPr>
                <w:rFonts w:ascii="宋体" w:hAnsi="宋体"/>
                <w:highlight w:val="none"/>
              </w:rPr>
            </w:pPr>
            <w:r>
              <w:rPr>
                <w:rFonts w:hint="eastAsia" w:ascii="宋体" w:hAnsi="宋体"/>
                <w:highlight w:val="none"/>
              </w:rPr>
              <w:t>（4）信誉要求：/</w:t>
            </w:r>
          </w:p>
          <w:p>
            <w:pPr>
              <w:spacing w:line="360" w:lineRule="auto"/>
              <w:rPr>
                <w:rFonts w:ascii="宋体" w:hAnsi="宋体"/>
                <w:highlight w:val="none"/>
                <w:u w:val="single"/>
              </w:rPr>
            </w:pPr>
            <w:r>
              <w:rPr>
                <w:rFonts w:hint="eastAsia" w:ascii="宋体" w:hAnsi="宋体"/>
                <w:highlight w:val="none"/>
              </w:rPr>
              <w:t>（5）</w:t>
            </w:r>
            <w:r>
              <w:rPr>
                <w:rFonts w:hint="eastAsia"/>
                <w:highlight w:val="none"/>
              </w:rPr>
              <w:t>项目负责人</w:t>
            </w:r>
            <w:r>
              <w:rPr>
                <w:rFonts w:hint="eastAsia" w:ascii="宋体" w:hAnsi="宋体"/>
                <w:highlight w:val="none"/>
              </w:rPr>
              <w:t>的资格要求：详见公告。</w:t>
            </w:r>
          </w:p>
          <w:p>
            <w:pPr>
              <w:spacing w:line="360" w:lineRule="auto"/>
              <w:rPr>
                <w:rFonts w:ascii="宋体" w:hAnsi="宋体"/>
                <w:highlight w:val="none"/>
              </w:rPr>
            </w:pPr>
            <w:r>
              <w:rPr>
                <w:rFonts w:hint="eastAsia" w:ascii="宋体" w:hAnsi="宋体"/>
                <w:highlight w:val="none"/>
              </w:rPr>
              <w:t>（6）其他主要人员要求：/</w:t>
            </w:r>
          </w:p>
          <w:p>
            <w:pPr>
              <w:spacing w:line="360" w:lineRule="auto"/>
              <w:rPr>
                <w:rFonts w:ascii="宋体" w:hAnsi="宋体"/>
                <w:highlight w:val="none"/>
              </w:rPr>
            </w:pPr>
            <w:r>
              <w:rPr>
                <w:rFonts w:hint="eastAsia" w:ascii="宋体" w:hAnsi="宋体"/>
                <w:highlight w:val="none"/>
              </w:rPr>
              <w:t>（7）试验检测仪器设备要求：/</w:t>
            </w:r>
          </w:p>
          <w:p>
            <w:pPr>
              <w:spacing w:line="360" w:lineRule="auto"/>
              <w:rPr>
                <w:rFonts w:ascii="宋体" w:hAnsi="宋体"/>
                <w:highlight w:val="none"/>
                <w:u w:val="single"/>
              </w:rPr>
            </w:pPr>
            <w:r>
              <w:rPr>
                <w:rFonts w:hint="eastAsia" w:ascii="宋体" w:hAnsi="宋体"/>
                <w:highlight w:val="none"/>
              </w:rPr>
              <w:t>（8）其他要求：详</w:t>
            </w:r>
            <w:r>
              <w:rPr>
                <w:rFonts w:hint="eastAsia" w:ascii="宋体" w:hAnsi="宋体"/>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1.4.2</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是否接受联合体投标</w:t>
            </w:r>
          </w:p>
        </w:tc>
        <w:tc>
          <w:tcPr>
            <w:tcW w:w="6111" w:type="dxa"/>
            <w:tcBorders>
              <w:top w:val="single" w:color="auto" w:sz="4" w:space="0"/>
              <w:left w:val="nil"/>
              <w:bottom w:val="single" w:color="auto" w:sz="4" w:space="0"/>
              <w:right w:val="single" w:color="auto" w:sz="4" w:space="0"/>
            </w:tcBorders>
            <w:vAlign w:val="center"/>
          </w:tcPr>
          <w:p>
            <w:pPr>
              <w:spacing w:line="360" w:lineRule="auto"/>
              <w:ind w:left="108" w:right="174" w:rightChars="83"/>
              <w:rPr>
                <w:rFonts w:ascii="宋体" w:hAnsi="宋体" w:cs="宋体"/>
                <w:highlight w:val="none"/>
              </w:rPr>
            </w:pPr>
            <w:r>
              <w:rPr>
                <w:rFonts w:hint="eastAsia" w:ascii="宋体" w:hAnsi="宋体"/>
                <w:highlight w:val="none"/>
              </w:rPr>
              <w:t>■</w:t>
            </w:r>
            <w:r>
              <w:rPr>
                <w:rFonts w:hint="eastAsia" w:ascii="宋体" w:hAnsi="宋体" w:cs="宋体"/>
                <w:position w:val="3"/>
                <w:highlight w:val="none"/>
              </w:rPr>
              <w:t>不接受</w:t>
            </w:r>
          </w:p>
          <w:p>
            <w:pPr>
              <w:spacing w:line="360" w:lineRule="auto"/>
              <w:ind w:left="90"/>
              <w:rPr>
                <w:rFonts w:ascii="宋体" w:hAnsi="宋体"/>
                <w:highlight w:val="none"/>
              </w:rPr>
            </w:pPr>
            <w:r>
              <w:rPr>
                <w:rFonts w:ascii="宋体" w:hAnsi="宋体"/>
                <w:highlight w:val="none"/>
              </w:rPr>
              <w:t>□</w:t>
            </w:r>
            <w:r>
              <w:rPr>
                <w:rFonts w:hint="eastAsia" w:ascii="宋体" w:hAnsi="宋体" w:cs="宋体"/>
                <w:highlight w:val="none"/>
              </w:rPr>
              <w:t>接受，应满足下列要求：详见公告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1.4.3</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投标人不得存在的其他情形</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在近三年内投标人或其法定代表人、拟委任的项目负责人有行贿犯罪行为的。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1.9.1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踏勘现场</w:t>
            </w:r>
          </w:p>
        </w:tc>
        <w:tc>
          <w:tcPr>
            <w:tcW w:w="6111" w:type="dxa"/>
            <w:tcBorders>
              <w:top w:val="single" w:color="auto" w:sz="4" w:space="0"/>
              <w:left w:val="nil"/>
              <w:bottom w:val="single" w:color="auto" w:sz="4" w:space="0"/>
              <w:right w:val="single" w:color="auto" w:sz="4" w:space="0"/>
            </w:tcBorders>
            <w:vAlign w:val="center"/>
          </w:tcPr>
          <w:p>
            <w:pPr>
              <w:topLinePunct/>
              <w:spacing w:line="360" w:lineRule="auto"/>
              <w:rPr>
                <w:rFonts w:ascii="宋体" w:hAnsi="宋体"/>
                <w:highlight w:val="none"/>
              </w:rPr>
            </w:pPr>
            <w:r>
              <w:rPr>
                <w:rFonts w:hint="eastAsia" w:ascii="宋体" w:hAnsi="宋体"/>
                <w:highlight w:val="none"/>
              </w:rPr>
              <w:t>■</w:t>
            </w:r>
            <w:r>
              <w:rPr>
                <w:rFonts w:ascii="宋体" w:hAnsi="宋体"/>
                <w:highlight w:val="none"/>
              </w:rPr>
              <w:t>不组织</w:t>
            </w:r>
            <w:r>
              <w:rPr>
                <w:rFonts w:hint="eastAsia" w:ascii="宋体" w:hAnsi="宋体"/>
                <w:highlight w:val="none"/>
              </w:rPr>
              <w:t>，</w:t>
            </w:r>
            <w:r>
              <w:rPr>
                <w:rFonts w:hint="eastAsia" w:ascii="宋体" w:hAnsi="宋体"/>
                <w:highlight w:val="none"/>
                <w:u w:val="single"/>
              </w:rPr>
              <w:t>由投标人自行现场考察。</w:t>
            </w:r>
          </w:p>
          <w:p>
            <w:pPr>
              <w:topLinePunct/>
              <w:spacing w:line="360" w:lineRule="auto"/>
              <w:rPr>
                <w:rFonts w:ascii="宋体" w:hAnsi="宋体"/>
                <w:highlight w:val="none"/>
              </w:rPr>
            </w:pPr>
            <w:r>
              <w:rPr>
                <w:rFonts w:ascii="宋体" w:hAnsi="宋体"/>
                <w:highlight w:val="none"/>
              </w:rPr>
              <w:t>□组织，踏勘时间：</w:t>
            </w:r>
            <w:r>
              <w:rPr>
                <w:rFonts w:hint="eastAsia" w:ascii="宋体" w:hAnsi="宋体"/>
                <w:highlight w:val="none"/>
              </w:rPr>
              <w:t>/</w:t>
            </w:r>
          </w:p>
          <w:p>
            <w:pPr>
              <w:spacing w:line="360" w:lineRule="auto"/>
              <w:rPr>
                <w:rFonts w:ascii="宋体" w:hAnsi="宋体"/>
                <w:highlight w:val="none"/>
              </w:rPr>
            </w:pPr>
            <w:r>
              <w:rPr>
                <w:rFonts w:ascii="宋体" w:hAnsi="宋体"/>
                <w:highlight w:val="none"/>
              </w:rPr>
              <w:t>踏勘集中地点：</w:t>
            </w:r>
            <w:r>
              <w:rPr>
                <w:rFonts w:hint="eastAsia" w:ascii="宋体"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1.10.1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投标预备会</w:t>
            </w:r>
          </w:p>
        </w:tc>
        <w:tc>
          <w:tcPr>
            <w:tcW w:w="6111" w:type="dxa"/>
            <w:tcBorders>
              <w:top w:val="single" w:color="auto" w:sz="4" w:space="0"/>
              <w:left w:val="nil"/>
              <w:bottom w:val="single" w:color="auto" w:sz="4" w:space="0"/>
              <w:right w:val="single" w:color="auto" w:sz="4" w:space="0"/>
            </w:tcBorders>
            <w:vAlign w:val="center"/>
          </w:tcPr>
          <w:p>
            <w:pPr>
              <w:topLinePunct/>
              <w:spacing w:line="360" w:lineRule="auto"/>
              <w:rPr>
                <w:rFonts w:ascii="宋体" w:hAnsi="宋体"/>
                <w:highlight w:val="none"/>
              </w:rPr>
            </w:pPr>
            <w:r>
              <w:rPr>
                <w:rFonts w:hint="eastAsia" w:ascii="宋体" w:hAnsi="宋体"/>
                <w:highlight w:val="none"/>
              </w:rPr>
              <w:t>■</w:t>
            </w:r>
            <w:r>
              <w:rPr>
                <w:rFonts w:ascii="宋体" w:hAnsi="宋体"/>
                <w:highlight w:val="none"/>
              </w:rPr>
              <w:t>不召开</w:t>
            </w:r>
          </w:p>
          <w:p>
            <w:pPr>
              <w:spacing w:line="360" w:lineRule="auto"/>
              <w:rPr>
                <w:rFonts w:ascii="宋体" w:hAnsi="宋体"/>
                <w:highlight w:val="none"/>
              </w:rPr>
            </w:pPr>
            <w:r>
              <w:rPr>
                <w:rFonts w:ascii="宋体" w:hAnsi="宋体"/>
                <w:highlight w:val="none"/>
              </w:rPr>
              <w:t>□召开，召开时间：</w:t>
            </w:r>
            <w:r>
              <w:rPr>
                <w:rFonts w:hint="eastAsia" w:ascii="宋体" w:hAnsi="宋体"/>
                <w:highlight w:val="none"/>
              </w:rPr>
              <w:t>/</w:t>
            </w:r>
          </w:p>
          <w:p>
            <w:pPr>
              <w:spacing w:line="360" w:lineRule="auto"/>
              <w:rPr>
                <w:rFonts w:ascii="宋体" w:hAnsi="宋体"/>
                <w:highlight w:val="none"/>
              </w:rPr>
            </w:pPr>
            <w:r>
              <w:rPr>
                <w:rFonts w:ascii="宋体" w:hAnsi="宋体"/>
                <w:highlight w:val="none"/>
              </w:rPr>
              <w:t>召开地点：</w:t>
            </w:r>
            <w:r>
              <w:rPr>
                <w:rFonts w:hint="eastAsia" w:ascii="宋体"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1.10.2</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投标人在投标预备会前提出问题</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u w:val="single"/>
              </w:rPr>
              <w:t>本项目不召开投标预备会</w:t>
            </w:r>
            <w:r>
              <w:rPr>
                <w:rFonts w:hint="eastAsia" w:ascii="宋体"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1.10.3</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招标文件澄清发出的形式</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在广州公共资源交易中心网站“招标答疑”专区发布，一经在发布，视作已发放给所有投标人。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1.12.1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实质性要求和条件</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见第三章评审标准。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1.12.3</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偏差</w:t>
            </w:r>
          </w:p>
        </w:tc>
        <w:tc>
          <w:tcPr>
            <w:tcW w:w="6111" w:type="dxa"/>
            <w:tcBorders>
              <w:top w:val="single" w:color="auto" w:sz="4" w:space="0"/>
              <w:left w:val="nil"/>
              <w:bottom w:val="single" w:color="auto" w:sz="4" w:space="0"/>
              <w:right w:val="single" w:color="auto" w:sz="4" w:space="0"/>
            </w:tcBorders>
            <w:vAlign w:val="center"/>
          </w:tcPr>
          <w:p>
            <w:pPr>
              <w:spacing w:line="360" w:lineRule="auto"/>
              <w:ind w:right="174" w:rightChars="83"/>
              <w:rPr>
                <w:rFonts w:ascii="宋体" w:hAnsi="宋体" w:cs="宋体"/>
                <w:highlight w:val="none"/>
              </w:rPr>
            </w:pPr>
            <w:r>
              <w:rPr>
                <w:rFonts w:hint="eastAsia" w:ascii="宋体" w:hAnsi="宋体"/>
                <w:highlight w:val="none"/>
              </w:rPr>
              <w:t>■</w:t>
            </w:r>
            <w:r>
              <w:rPr>
                <w:rFonts w:hint="eastAsia" w:ascii="宋体" w:hAnsi="宋体" w:cs="宋体"/>
                <w:highlight w:val="none"/>
              </w:rPr>
              <w:t>不允许</w:t>
            </w:r>
          </w:p>
          <w:p>
            <w:pPr>
              <w:spacing w:line="360" w:lineRule="auto"/>
              <w:rPr>
                <w:rFonts w:ascii="宋体" w:hAnsi="宋体"/>
                <w:highlight w:val="none"/>
              </w:rPr>
            </w:pPr>
            <w:r>
              <w:rPr>
                <w:rFonts w:hint="eastAsia" w:ascii="宋体" w:hAnsi="宋体" w:cs="宋体"/>
                <w:highlight w:val="none"/>
              </w:rPr>
              <w:t>□ 允许，偏差范围：，偏差幅度：。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2.1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构成招标文件的其他资料</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19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2.2.1</w:t>
            </w:r>
          </w:p>
        </w:tc>
        <w:tc>
          <w:tcPr>
            <w:tcW w:w="2423" w:type="dxa"/>
            <w:vMerge w:val="restart"/>
            <w:tcBorders>
              <w:top w:val="single" w:color="auto" w:sz="4" w:space="0"/>
              <w:left w:val="nil"/>
              <w:right w:val="single" w:color="auto" w:sz="4" w:space="0"/>
            </w:tcBorders>
            <w:vAlign w:val="center"/>
          </w:tcPr>
          <w:p>
            <w:pPr>
              <w:spacing w:line="360" w:lineRule="auto"/>
              <w:rPr>
                <w:rFonts w:ascii="宋体" w:hAnsi="宋体"/>
                <w:highlight w:val="none"/>
              </w:rPr>
            </w:pPr>
            <w:r>
              <w:rPr>
                <w:rFonts w:hint="eastAsia" w:ascii="宋体" w:hAnsi="宋体"/>
                <w:highlight w:val="none"/>
              </w:rPr>
              <w:t>投标人要求澄清招标文件</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ascii="宋体" w:hAnsi="宋体"/>
                <w:highlight w:val="none"/>
              </w:rPr>
              <w:t>时间：</w:t>
            </w:r>
            <w:r>
              <w:rPr>
                <w:rFonts w:hint="eastAsia" w:ascii="宋体" w:hAnsi="宋体"/>
                <w:highlight w:val="none"/>
                <w:u w:val="single"/>
              </w:rPr>
              <w:t>在投标截止日期前18日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97"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p>
        </w:tc>
        <w:tc>
          <w:tcPr>
            <w:tcW w:w="2423" w:type="dxa"/>
            <w:vMerge w:val="continue"/>
            <w:tcBorders>
              <w:left w:val="nil"/>
              <w:bottom w:val="single" w:color="auto" w:sz="4" w:space="0"/>
              <w:right w:val="single" w:color="auto" w:sz="4" w:space="0"/>
            </w:tcBorders>
            <w:vAlign w:val="center"/>
          </w:tcPr>
          <w:p>
            <w:pPr>
              <w:spacing w:line="360" w:lineRule="auto"/>
              <w:rPr>
                <w:rFonts w:ascii="宋体" w:hAnsi="宋体"/>
                <w:highlight w:val="none"/>
              </w:rPr>
            </w:pPr>
          </w:p>
        </w:tc>
        <w:tc>
          <w:tcPr>
            <w:tcW w:w="6111" w:type="dxa"/>
            <w:tcBorders>
              <w:top w:val="single" w:color="auto" w:sz="4" w:space="0"/>
              <w:left w:val="nil"/>
              <w:bottom w:val="single" w:color="auto" w:sz="4" w:space="0"/>
              <w:right w:val="single" w:color="auto" w:sz="4" w:space="0"/>
            </w:tcBorders>
            <w:vAlign w:val="center"/>
          </w:tcPr>
          <w:p>
            <w:pPr>
              <w:spacing w:line="360" w:lineRule="auto"/>
              <w:ind w:right="174" w:rightChars="83"/>
              <w:rPr>
                <w:rFonts w:ascii="宋体" w:hAnsi="宋体"/>
                <w:highlight w:val="none"/>
              </w:rPr>
            </w:pPr>
            <w:r>
              <w:rPr>
                <w:rFonts w:hint="eastAsia" w:ascii="宋体" w:hAnsi="宋体"/>
                <w:highlight w:val="none"/>
              </w:rPr>
              <w:t>形式：</w:t>
            </w:r>
            <w:r>
              <w:rPr>
                <w:rFonts w:hint="eastAsia" w:ascii="宋体" w:hAnsi="宋体"/>
                <w:highlight w:val="none"/>
                <w:u w:val="single"/>
              </w:rPr>
              <w:t>投标人疑问通过网上提交。具体操作方法详见《房建市政全流程电子化项目操作专章》。提问一律不得署名。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2.2.2</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招标文件澄清发出的形式</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u w:val="single"/>
              </w:rPr>
              <w:t>在广州公共资源交易中心网站通过项目答疑专区网上公开发布</w:t>
            </w:r>
            <w:r>
              <w:rPr>
                <w:rFonts w:hint="eastAsia" w:ascii="宋体"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19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2.2.3</w:t>
            </w:r>
          </w:p>
        </w:tc>
        <w:tc>
          <w:tcPr>
            <w:tcW w:w="2423" w:type="dxa"/>
            <w:vMerge w:val="restart"/>
            <w:tcBorders>
              <w:top w:val="single" w:color="auto" w:sz="4" w:space="0"/>
              <w:left w:val="nil"/>
              <w:right w:val="single" w:color="auto" w:sz="4" w:space="0"/>
            </w:tcBorders>
            <w:vAlign w:val="center"/>
          </w:tcPr>
          <w:p>
            <w:pPr>
              <w:spacing w:line="360" w:lineRule="auto"/>
              <w:rPr>
                <w:rFonts w:ascii="宋体" w:hAnsi="宋体"/>
                <w:highlight w:val="none"/>
              </w:rPr>
            </w:pPr>
            <w:r>
              <w:rPr>
                <w:rFonts w:hint="eastAsia" w:ascii="宋体" w:hAnsi="宋体"/>
                <w:highlight w:val="none"/>
              </w:rPr>
              <w:t>投标人确认收到招标文件澄清</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ascii="宋体" w:hAnsi="宋体"/>
                <w:highlight w:val="none"/>
              </w:rPr>
              <w:t>时间：</w:t>
            </w:r>
            <w:r>
              <w:rPr>
                <w:rFonts w:hint="eastAsia" w:ascii="宋体" w:hAnsi="宋体"/>
                <w:highlight w:val="none"/>
              </w:rPr>
              <w:t>招标文件澄清一经在广州公共资源交易中心网站发布，视作已发放给所有投标人。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197"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p>
        </w:tc>
        <w:tc>
          <w:tcPr>
            <w:tcW w:w="2423" w:type="dxa"/>
            <w:vMerge w:val="continue"/>
            <w:tcBorders>
              <w:left w:val="nil"/>
              <w:bottom w:val="single" w:color="auto" w:sz="4" w:space="0"/>
              <w:right w:val="single" w:color="auto" w:sz="4" w:space="0"/>
            </w:tcBorders>
            <w:vAlign w:val="center"/>
          </w:tcPr>
          <w:p>
            <w:pPr>
              <w:spacing w:line="360" w:lineRule="auto"/>
              <w:rPr>
                <w:rFonts w:ascii="宋体" w:hAnsi="宋体"/>
                <w:highlight w:val="none"/>
              </w:rPr>
            </w:pP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ascii="宋体" w:hAnsi="宋体"/>
                <w:highlight w:val="none"/>
              </w:rPr>
              <w:t>形式：</w:t>
            </w:r>
            <w:r>
              <w:rPr>
                <w:rFonts w:hint="eastAsia" w:ascii="宋体" w:hAnsi="宋体"/>
                <w:highlight w:val="none"/>
              </w:rPr>
              <w:t>网上答疑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2.3.1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招标文件修改发出的形式</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在广州公共资源交易中心网站项目答疑专区或以补充公告形式发布。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2.3.2</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投标人确认收到招标文件修改</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招标文件修改一经在广州公共资源交易中心网站发布，视作已发放给所有投标人。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3.1.1（</w:t>
            </w:r>
            <w:r>
              <w:rPr>
                <w:rFonts w:ascii="宋体" w:hAnsi="宋体"/>
                <w:highlight w:val="none"/>
              </w:rPr>
              <w:t>6</w:t>
            </w:r>
            <w:r>
              <w:rPr>
                <w:rFonts w:hint="eastAsia" w:ascii="宋体" w:hAnsi="宋体"/>
                <w:highlight w:val="none"/>
              </w:rPr>
              <w:t>）</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构成投标文件的其他资料</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ascii="宋体" w:hAnsi="宋体"/>
                <w:highlight w:val="none"/>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3.2.1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增值税税金的计算方法</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一般计税方法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3.2.3</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报价方式</w:t>
            </w:r>
          </w:p>
        </w:tc>
        <w:tc>
          <w:tcPr>
            <w:tcW w:w="6111" w:type="dxa"/>
            <w:tcBorders>
              <w:top w:val="single" w:color="auto" w:sz="4" w:space="0"/>
              <w:left w:val="nil"/>
              <w:bottom w:val="single" w:color="auto" w:sz="4" w:space="0"/>
              <w:right w:val="single" w:color="auto" w:sz="4" w:space="0"/>
            </w:tcBorders>
            <w:vAlign w:val="center"/>
          </w:tcPr>
          <w:p>
            <w:pPr>
              <w:widowControl/>
              <w:adjustRightInd w:val="0"/>
              <w:spacing w:line="360" w:lineRule="auto"/>
              <w:ind w:firstLine="420" w:firstLineChars="200"/>
              <w:jc w:val="left"/>
              <w:rPr>
                <w:rFonts w:ascii="宋体" w:hAnsi="宋体"/>
                <w:highlight w:val="none"/>
              </w:rPr>
            </w:pPr>
            <w:bookmarkStart w:id="47" w:name="_Toc383441808"/>
            <w:r>
              <w:rPr>
                <w:rFonts w:hint="eastAsia"/>
                <w:highlight w:val="none"/>
              </w:rPr>
              <w:t>本招标项目技术服务费采用固定总价报价方式报价（</w:t>
            </w:r>
            <w:r>
              <w:rPr>
                <w:rFonts w:hint="eastAsia" w:ascii="宋体" w:hAnsi="宋体"/>
                <w:highlight w:val="none"/>
              </w:rPr>
              <w:t>以元为单位，精确到小数位后2位）。</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3.2.4</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最高投标限价</w:t>
            </w:r>
          </w:p>
        </w:tc>
        <w:tc>
          <w:tcPr>
            <w:tcW w:w="6111" w:type="dxa"/>
            <w:tcBorders>
              <w:top w:val="single" w:color="auto" w:sz="4" w:space="0"/>
              <w:left w:val="nil"/>
              <w:bottom w:val="single" w:color="auto" w:sz="4" w:space="0"/>
              <w:right w:val="single" w:color="auto" w:sz="4" w:space="0"/>
            </w:tcBorders>
            <w:vAlign w:val="center"/>
          </w:tcPr>
          <w:p>
            <w:pPr>
              <w:widowControl/>
              <w:adjustRightInd w:val="0"/>
              <w:spacing w:line="360" w:lineRule="auto"/>
              <w:ind w:firstLine="420" w:firstLineChars="200"/>
              <w:jc w:val="left"/>
              <w:rPr>
                <w:rFonts w:ascii="宋体" w:hAnsi="宋体"/>
                <w:highlight w:val="none"/>
              </w:rPr>
            </w:pPr>
            <w:r>
              <w:rPr>
                <w:rFonts w:ascii="宋体" w:hAnsi="宋体"/>
                <w:highlight w:val="none"/>
              </w:rPr>
              <w:t>□无</w:t>
            </w:r>
          </w:p>
          <w:p>
            <w:pPr>
              <w:widowControl/>
              <w:adjustRightInd w:val="0"/>
              <w:spacing w:line="360" w:lineRule="auto"/>
              <w:ind w:firstLine="420" w:firstLineChars="200"/>
              <w:jc w:val="left"/>
              <w:rPr>
                <w:rFonts w:ascii="宋体" w:hAnsi="宋体"/>
                <w:highlight w:val="none"/>
                <w:u w:val="single"/>
              </w:rPr>
            </w:pPr>
            <w:r>
              <w:rPr>
                <w:rFonts w:hint="eastAsia" w:ascii="宋体" w:hAnsi="宋体"/>
                <w:highlight w:val="none"/>
              </w:rPr>
              <w:t>■</w:t>
            </w:r>
            <w:r>
              <w:rPr>
                <w:rFonts w:ascii="宋体" w:hAnsi="宋体"/>
                <w:highlight w:val="none"/>
              </w:rPr>
              <w:t>有，最高投标限价</w:t>
            </w:r>
            <w:r>
              <w:rPr>
                <w:rFonts w:hint="eastAsia" w:ascii="宋体" w:hAnsi="宋体"/>
                <w:highlight w:val="none"/>
              </w:rPr>
              <w:t>（总价）</w:t>
            </w:r>
            <w:r>
              <w:rPr>
                <w:rFonts w:ascii="宋体" w:hAnsi="宋体"/>
                <w:highlight w:val="none"/>
              </w:rPr>
              <w:t>：</w:t>
            </w:r>
            <w:r>
              <w:rPr>
                <w:rFonts w:hint="eastAsia" w:ascii="宋体" w:hAnsi="宋体"/>
                <w:highlight w:val="none"/>
                <w:u w:val="single"/>
              </w:rPr>
              <w:t>¥105.02万元</w:t>
            </w:r>
          </w:p>
          <w:p>
            <w:pPr>
              <w:widowControl/>
              <w:adjustRightInd w:val="0"/>
              <w:spacing w:line="360" w:lineRule="auto"/>
              <w:ind w:firstLine="420" w:firstLineChars="200"/>
              <w:jc w:val="left"/>
              <w:rPr>
                <w:rFonts w:ascii="宋体" w:hAnsi="宋体"/>
                <w:highlight w:val="none"/>
                <w:u w:val="single"/>
              </w:rPr>
            </w:pPr>
            <w:r>
              <w:rPr>
                <w:rFonts w:hint="eastAsia" w:ascii="宋体" w:hAnsi="宋体"/>
                <w:highlight w:val="none"/>
                <w:u w:val="single"/>
              </w:rPr>
              <w:t>注：结算以主管部门批复的工程概算批复中的建设单位管理费为计费基价乘以85%并按报价下浮率计算最终结算价。）</w:t>
            </w:r>
          </w:p>
          <w:p>
            <w:pPr>
              <w:widowControl/>
              <w:adjustRightInd w:val="0"/>
              <w:spacing w:line="360" w:lineRule="auto"/>
              <w:ind w:firstLine="420" w:firstLineChars="200"/>
              <w:jc w:val="left"/>
              <w:rPr>
                <w:rFonts w:ascii="宋体" w:hAnsi="宋体"/>
                <w:highlight w:val="none"/>
              </w:rPr>
            </w:pPr>
            <w:r>
              <w:rPr>
                <w:rFonts w:hint="eastAsia" w:ascii="宋体" w:hAnsi="宋体"/>
                <w:highlight w:val="none"/>
                <w:u w:val="single"/>
              </w:rPr>
              <w:t>各投标人在招标控制价基础上、自行填报下浮率后进行投标报价。下浮率应≥0%，不在此范围投标无效,投标文件将被拒绝（小数点后保留二位小数，第三位小数四舍五入）。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3.2.5</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投标报价的其他要求</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3.3.1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投标有效期</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u w:val="single"/>
              </w:rPr>
              <w:t>90</w:t>
            </w:r>
            <w:r>
              <w:rPr>
                <w:rFonts w:hint="eastAsia" w:ascii="宋体" w:hAnsi="宋体"/>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3.4.1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投标保证金</w:t>
            </w:r>
          </w:p>
        </w:tc>
        <w:tc>
          <w:tcPr>
            <w:tcW w:w="6111" w:type="dxa"/>
            <w:tcBorders>
              <w:top w:val="single" w:color="auto" w:sz="4" w:space="0"/>
              <w:left w:val="nil"/>
              <w:bottom w:val="single" w:color="auto" w:sz="4" w:space="0"/>
              <w:right w:val="single" w:color="auto" w:sz="4" w:space="0"/>
            </w:tcBorders>
            <w:vAlign w:val="center"/>
          </w:tcPr>
          <w:p>
            <w:pPr>
              <w:pStyle w:val="9"/>
              <w:topLinePunct/>
              <w:snapToGrid w:val="0"/>
              <w:rPr>
                <w:rFonts w:hAnsi="宋体"/>
                <w:sz w:val="21"/>
                <w:szCs w:val="21"/>
                <w:highlight w:val="none"/>
              </w:rPr>
            </w:pPr>
            <w:r>
              <w:rPr>
                <w:rFonts w:hAnsi="宋体"/>
                <w:sz w:val="21"/>
                <w:szCs w:val="21"/>
                <w:highlight w:val="none"/>
              </w:rPr>
              <w:t>是否要求投标人递交投标保证金：</w:t>
            </w:r>
          </w:p>
          <w:p>
            <w:pPr>
              <w:pStyle w:val="9"/>
              <w:topLinePunct/>
              <w:snapToGrid w:val="0"/>
              <w:rPr>
                <w:rFonts w:hAnsi="宋体"/>
                <w:sz w:val="21"/>
                <w:szCs w:val="21"/>
                <w:highlight w:val="none"/>
              </w:rPr>
            </w:pPr>
            <w:r>
              <w:rPr>
                <w:rFonts w:hint="eastAsia"/>
                <w:sz w:val="21"/>
                <w:szCs w:val="21"/>
                <w:highlight w:val="none"/>
              </w:rPr>
              <w:t>■</w:t>
            </w:r>
            <w:r>
              <w:rPr>
                <w:rFonts w:hAnsi="宋体"/>
                <w:sz w:val="21"/>
                <w:szCs w:val="21"/>
                <w:highlight w:val="none"/>
              </w:rPr>
              <w:t>要求，投标保证金的形式：</w:t>
            </w:r>
            <w:r>
              <w:rPr>
                <w:rFonts w:hint="eastAsia" w:hAnsi="宋体"/>
                <w:sz w:val="21"/>
                <w:szCs w:val="21"/>
                <w:highlight w:val="none"/>
              </w:rPr>
              <w:t>投标保证金可采用现金、支票、投标保函、投标保证保险的形式，须在递交投标文件截止时间前完成缴纳。</w:t>
            </w:r>
          </w:p>
          <w:p>
            <w:pPr>
              <w:pStyle w:val="9"/>
              <w:topLinePunct/>
              <w:snapToGrid w:val="0"/>
              <w:rPr>
                <w:rFonts w:hAnsi="宋体"/>
                <w:sz w:val="21"/>
                <w:szCs w:val="21"/>
                <w:highlight w:val="none"/>
              </w:rPr>
            </w:pPr>
            <w:r>
              <w:rPr>
                <w:rFonts w:hint="eastAsia" w:hAnsi="宋体"/>
                <w:sz w:val="21"/>
                <w:szCs w:val="21"/>
                <w:highlight w:val="none"/>
              </w:rPr>
              <w:t>1、投标担保额度：人民币1万元。</w:t>
            </w:r>
          </w:p>
          <w:p>
            <w:pPr>
              <w:pStyle w:val="9"/>
              <w:topLinePunct/>
              <w:snapToGrid w:val="0"/>
              <w:rPr>
                <w:rFonts w:hAnsi="宋体"/>
                <w:sz w:val="21"/>
                <w:szCs w:val="21"/>
                <w:highlight w:val="none"/>
              </w:rPr>
            </w:pPr>
            <w:r>
              <w:rPr>
                <w:rFonts w:hint="eastAsia" w:hAnsi="宋体"/>
                <w:sz w:val="21"/>
                <w:szCs w:val="21"/>
                <w:highlight w:val="none"/>
              </w:rPr>
              <w:t xml:space="preserve">   投标保证金有效期：</w:t>
            </w:r>
            <w:r>
              <w:rPr>
                <w:rFonts w:hint="eastAsia" w:hAnsi="宋体"/>
                <w:sz w:val="21"/>
                <w:szCs w:val="21"/>
                <w:highlight w:val="none"/>
                <w:lang w:val="en-US" w:eastAsia="zh-CN"/>
              </w:rPr>
              <w:t>大</w:t>
            </w:r>
            <w:r>
              <w:rPr>
                <w:rFonts w:hint="eastAsia" w:hAnsi="宋体"/>
                <w:sz w:val="21"/>
                <w:szCs w:val="21"/>
                <w:highlight w:val="none"/>
              </w:rPr>
              <w:t>于或等于投标有效期。</w:t>
            </w:r>
          </w:p>
          <w:p>
            <w:pPr>
              <w:pStyle w:val="9"/>
              <w:topLinePunct/>
              <w:snapToGrid w:val="0"/>
              <w:rPr>
                <w:rFonts w:hAnsi="宋体"/>
                <w:sz w:val="21"/>
                <w:szCs w:val="21"/>
                <w:highlight w:val="none"/>
              </w:rPr>
            </w:pPr>
            <w:r>
              <w:rPr>
                <w:rFonts w:hint="eastAsia" w:hAnsi="宋体"/>
                <w:sz w:val="21"/>
                <w:szCs w:val="21"/>
                <w:highlight w:val="none"/>
              </w:rPr>
              <w:t xml:space="preserve">   联合体投标的，其投标保证金由联合体牵头人递交。</w:t>
            </w:r>
          </w:p>
          <w:p>
            <w:pPr>
              <w:pStyle w:val="9"/>
              <w:topLinePunct/>
              <w:snapToGrid w:val="0"/>
              <w:rPr>
                <w:rFonts w:hAnsi="宋体"/>
                <w:sz w:val="21"/>
                <w:szCs w:val="21"/>
                <w:highlight w:val="none"/>
              </w:rPr>
            </w:pPr>
            <w:r>
              <w:rPr>
                <w:rFonts w:hint="eastAsia" w:hAnsi="宋体"/>
                <w:sz w:val="21"/>
                <w:szCs w:val="21"/>
                <w:highlight w:val="none"/>
              </w:rPr>
              <w:t>2、收取方式：</w:t>
            </w:r>
          </w:p>
          <w:p>
            <w:pPr>
              <w:pStyle w:val="9"/>
              <w:topLinePunct/>
              <w:snapToGrid w:val="0"/>
              <w:rPr>
                <w:rFonts w:hAnsi="宋体"/>
                <w:sz w:val="21"/>
                <w:szCs w:val="21"/>
                <w:highlight w:val="none"/>
              </w:rPr>
            </w:pPr>
            <w:r>
              <w:rPr>
                <w:rFonts w:hint="eastAsia" w:hAnsi="宋体"/>
                <w:sz w:val="21"/>
                <w:szCs w:val="21"/>
                <w:highlight w:val="none"/>
              </w:rPr>
              <w:t>（1）如采用现金、支票或汇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pStyle w:val="9"/>
              <w:topLinePunct/>
              <w:snapToGrid w:val="0"/>
              <w:rPr>
                <w:rFonts w:hAnsi="宋体"/>
                <w:sz w:val="21"/>
                <w:szCs w:val="21"/>
                <w:highlight w:val="none"/>
              </w:rPr>
            </w:pPr>
            <w:r>
              <w:rPr>
                <w:rFonts w:hint="eastAsia" w:hAnsi="宋体"/>
                <w:sz w:val="21"/>
                <w:szCs w:val="21"/>
                <w:highlight w:val="none"/>
              </w:rPr>
              <w:t>（2）如采用保函或保险等形式提交的，银行保函需开具给招标人。保证保险需开具给招标人（受益人也必须是招标人）。须在投标截止时间前将原件单独密封递交至开标室（时间及地点同投标文件递交时间及地点），并在封口处加盖投标人单位公章。以原件提交至开标室的时间为准，逾期或未在指定地点递交的，视为未递交投标保证金。若以交易系统支持的电子保函或电子投标保证保险递交的，到账情况以开标时广州公共资源交易中心数据库查询信息为准。</w:t>
            </w:r>
          </w:p>
          <w:p>
            <w:pPr>
              <w:spacing w:line="360" w:lineRule="auto"/>
              <w:rPr>
                <w:rFonts w:ascii="宋体" w:hAnsi="宋体"/>
                <w:highlight w:val="none"/>
              </w:rPr>
            </w:pPr>
            <w:r>
              <w:rPr>
                <w:rFonts w:hAnsi="宋体"/>
                <w:highlight w:val="none"/>
              </w:rPr>
              <w:sym w:font="Wingdings 2" w:char="00A3"/>
            </w:r>
            <w:r>
              <w:rPr>
                <w:rFonts w:hAnsi="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3.4.4</w:t>
            </w:r>
          </w:p>
        </w:tc>
        <w:tc>
          <w:tcPr>
            <w:tcW w:w="2423" w:type="dxa"/>
            <w:tcBorders>
              <w:top w:val="single" w:color="auto" w:sz="4" w:space="0"/>
              <w:left w:val="nil"/>
              <w:bottom w:val="single" w:color="auto" w:sz="4" w:space="0"/>
              <w:right w:val="single" w:color="auto" w:sz="4" w:space="0"/>
            </w:tcBorders>
            <w:vAlign w:val="center"/>
          </w:tcPr>
          <w:p>
            <w:pPr>
              <w:spacing w:line="276" w:lineRule="auto"/>
              <w:rPr>
                <w:rFonts w:ascii="宋体" w:hAnsi="宋体"/>
                <w:highlight w:val="none"/>
              </w:rPr>
            </w:pPr>
            <w:r>
              <w:rPr>
                <w:rFonts w:hint="eastAsia" w:ascii="宋体" w:hAnsi="宋体"/>
                <w:highlight w:val="none"/>
              </w:rPr>
              <w:t>其他可以不予退还投标保证金的情形</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3.5</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资格审查资料的特殊要求</w:t>
            </w:r>
          </w:p>
        </w:tc>
        <w:tc>
          <w:tcPr>
            <w:tcW w:w="6111" w:type="dxa"/>
            <w:tcBorders>
              <w:top w:val="single" w:color="auto" w:sz="4" w:space="0"/>
              <w:left w:val="nil"/>
              <w:bottom w:val="single" w:color="auto" w:sz="4" w:space="0"/>
              <w:right w:val="single" w:color="auto" w:sz="4" w:space="0"/>
            </w:tcBorders>
            <w:vAlign w:val="center"/>
          </w:tcPr>
          <w:p>
            <w:pPr>
              <w:widowControl/>
              <w:spacing w:line="360" w:lineRule="auto"/>
              <w:ind w:firstLine="210" w:firstLineChars="100"/>
              <w:jc w:val="left"/>
              <w:rPr>
                <w:rFonts w:ascii="宋体" w:hAnsi="宋体"/>
                <w:highlight w:val="none"/>
              </w:rPr>
            </w:pPr>
            <w:r>
              <w:rPr>
                <w:rFonts w:ascii="宋体" w:hAnsi="宋体"/>
                <w:highlight w:val="none"/>
              </w:rPr>
              <w:t>□</w:t>
            </w:r>
            <w:r>
              <w:rPr>
                <w:rFonts w:hint="eastAsia" w:ascii="宋体" w:hAnsi="宋体"/>
                <w:highlight w:val="none"/>
              </w:rPr>
              <w:t>无</w:t>
            </w:r>
          </w:p>
          <w:p>
            <w:pPr>
              <w:pStyle w:val="19"/>
              <w:topLinePunct/>
              <w:snapToGrid w:val="0"/>
              <w:spacing w:line="360" w:lineRule="auto"/>
              <w:ind w:left="0" w:leftChars="0" w:firstLine="210" w:firstLineChars="100"/>
              <w:rPr>
                <w:rFonts w:ascii="宋体" w:hAnsi="宋体"/>
                <w:sz w:val="21"/>
                <w:szCs w:val="21"/>
                <w:highlight w:val="none"/>
              </w:rPr>
            </w:pPr>
            <w:r>
              <w:rPr>
                <w:rFonts w:hint="eastAsia" w:ascii="宋体" w:hAnsi="宋体"/>
                <w:sz w:val="21"/>
                <w:szCs w:val="21"/>
                <w:highlight w:val="none"/>
              </w:rPr>
              <w:t>■有，具体要求：详见招标公告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3.5.</w:t>
            </w:r>
            <w:r>
              <w:rPr>
                <w:rFonts w:ascii="宋体" w:hAnsi="宋体"/>
                <w:highlight w:val="none"/>
              </w:rPr>
              <w:t>4</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拟委任的人员要求</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u w:val="single"/>
              </w:rPr>
              <w:t>除项目负责人外，其它主要人员</w:t>
            </w:r>
            <w:r>
              <w:rPr>
                <w:rFonts w:hint="eastAsia" w:ascii="宋体" w:hAnsi="宋体"/>
                <w:highlight w:val="none"/>
              </w:rPr>
              <w:t>资格审查不要求。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3.5.</w:t>
            </w:r>
            <w:r>
              <w:rPr>
                <w:rFonts w:ascii="宋体" w:hAnsi="宋体"/>
                <w:highlight w:val="none"/>
              </w:rPr>
              <w:t>5</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关于联合体投标</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■不接受</w:t>
            </w:r>
          </w:p>
          <w:p>
            <w:pPr>
              <w:spacing w:line="360" w:lineRule="auto"/>
              <w:rPr>
                <w:rFonts w:ascii="宋体" w:hAnsi="宋体"/>
                <w:highlight w:val="none"/>
              </w:rPr>
            </w:pPr>
            <w:r>
              <w:rPr>
                <w:rFonts w:hint="eastAsia" w:ascii="宋体" w:hAnsi="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3.6.1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是否允许递交备选投标方案</w:t>
            </w:r>
          </w:p>
        </w:tc>
        <w:tc>
          <w:tcPr>
            <w:tcW w:w="6111" w:type="dxa"/>
            <w:tcBorders>
              <w:top w:val="single" w:color="auto" w:sz="4" w:space="0"/>
              <w:left w:val="nil"/>
              <w:bottom w:val="single" w:color="auto" w:sz="4" w:space="0"/>
              <w:right w:val="single" w:color="auto" w:sz="4" w:space="0"/>
            </w:tcBorders>
            <w:vAlign w:val="center"/>
          </w:tcPr>
          <w:p>
            <w:pPr>
              <w:rPr>
                <w:rFonts w:ascii="宋体" w:hAnsi="宋体"/>
                <w:highlight w:val="none"/>
              </w:rPr>
            </w:pPr>
            <w:r>
              <w:rPr>
                <w:rFonts w:hint="eastAsia" w:ascii="宋体" w:hAnsi="宋体"/>
                <w:sz w:val="24"/>
                <w:highlight w:val="none"/>
              </w:rPr>
              <w:t>■</w:t>
            </w:r>
            <w:r>
              <w:rPr>
                <w:rFonts w:hint="eastAsia" w:ascii="宋体" w:hAnsi="宋体"/>
                <w:highlight w:val="none"/>
              </w:rPr>
              <w:t>不允许</w:t>
            </w:r>
          </w:p>
          <w:p>
            <w:pPr>
              <w:spacing w:line="360" w:lineRule="auto"/>
              <w:rPr>
                <w:rFonts w:ascii="宋体" w:hAnsi="宋体"/>
                <w:highlight w:val="none"/>
              </w:rPr>
            </w:pPr>
            <w:r>
              <w:rPr>
                <w:rFonts w:hint="eastAsia" w:ascii="宋体" w:hAnsi="宋体"/>
                <w:highlight w:val="none"/>
              </w:rPr>
              <w:t>□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3.7.3A（2）</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投标文件副本份数及其他要求</w:t>
            </w:r>
          </w:p>
        </w:tc>
        <w:tc>
          <w:tcPr>
            <w:tcW w:w="6111" w:type="dxa"/>
            <w:tcBorders>
              <w:top w:val="single" w:color="auto" w:sz="4" w:space="0"/>
              <w:left w:val="nil"/>
              <w:bottom w:val="single" w:color="auto" w:sz="4" w:space="0"/>
              <w:right w:val="single" w:color="auto" w:sz="4" w:space="0"/>
            </w:tcBorders>
            <w:vAlign w:val="center"/>
          </w:tcPr>
          <w:p>
            <w:pPr>
              <w:spacing w:line="360" w:lineRule="auto"/>
              <w:ind w:right="270"/>
              <w:rPr>
                <w:rFonts w:ascii="宋体" w:hAnsi="宋体"/>
                <w:highlight w:val="none"/>
              </w:rPr>
            </w:pPr>
            <w:r>
              <w:rPr>
                <w:rFonts w:hint="eastAsia" w:ascii="宋体" w:hAnsi="宋体"/>
                <w:szCs w:val="22"/>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3.7.3A（3）</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投标文件是否需分册装订</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szCs w:val="22"/>
                <w:highlight w:val="none"/>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3.7.3 (B)</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投标文件所附证书证件要求</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szCs w:val="22"/>
                <w:highlight w:val="none"/>
                <w:u w:val="single"/>
              </w:rPr>
              <w:t>证书证件需为原件清晰扫描件或复印件，并采用单位数字证书，按照招标文件要求在相应位置加盖电子印章。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3.7.3 (B)</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 xml:space="preserve">投标文件签字或盖章要求 </w:t>
            </w:r>
          </w:p>
        </w:tc>
        <w:tc>
          <w:tcPr>
            <w:tcW w:w="6111"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kern w:val="0"/>
                <w:highlight w:val="none"/>
              </w:rPr>
            </w:pPr>
            <w:r>
              <w:rPr>
                <w:rFonts w:hint="eastAsia" w:ascii="宋体" w:hAnsi="宋体" w:cs="仿宋_GB2312"/>
                <w:kern w:val="0"/>
                <w:highlight w:val="none"/>
              </w:rPr>
              <w:t>投标文件全部采用电子文档，投标文件所附证书证件均为原件扫描件，并采用单位数字证书，按招标文件要求在相应位置加盖电子印章。投标文件中需个人签字或盖章的，应手签后扫描上传。具体操作详见广州公共资源交易中心网站发布的《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4.1.1（B）</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投标文件加密要求</w:t>
            </w:r>
          </w:p>
        </w:tc>
        <w:tc>
          <w:tcPr>
            <w:tcW w:w="6111" w:type="dxa"/>
            <w:tcBorders>
              <w:top w:val="single" w:color="auto" w:sz="4" w:space="0"/>
              <w:left w:val="nil"/>
              <w:bottom w:val="single" w:color="auto" w:sz="4" w:space="0"/>
              <w:right w:val="single" w:color="auto" w:sz="4" w:space="0"/>
            </w:tcBorders>
            <w:vAlign w:val="center"/>
          </w:tcPr>
          <w:p>
            <w:pPr>
              <w:rPr>
                <w:rFonts w:ascii="宋体" w:hAnsi="宋体"/>
                <w:highlight w:val="none"/>
              </w:rPr>
            </w:pPr>
            <w:r>
              <w:rPr>
                <w:rFonts w:ascii="宋体" w:hAnsi="宋体"/>
                <w:highlight w:val="none"/>
              </w:rPr>
              <w:t>1.</w:t>
            </w:r>
            <w:r>
              <w:rPr>
                <w:rFonts w:hint="eastAsia" w:ascii="宋体" w:hAnsi="宋体"/>
                <w:highlight w:val="none"/>
              </w:rPr>
              <w:t>网上递交的电子投标文件须进行加密。具体操作详见广州公共资源交易中心网站发布的《房屋建筑和市政基础设施工程全流程电子化项目专章》。</w:t>
            </w:r>
          </w:p>
          <w:p>
            <w:pPr>
              <w:spacing w:line="360" w:lineRule="auto"/>
              <w:rPr>
                <w:rFonts w:ascii="宋体" w:hAnsi="宋体"/>
                <w:highlight w:val="none"/>
              </w:rPr>
            </w:pPr>
            <w:r>
              <w:rPr>
                <w:rFonts w:ascii="宋体" w:hAnsi="宋体"/>
                <w:highlight w:val="none"/>
              </w:rPr>
              <w:t xml:space="preserve">2. </w:t>
            </w:r>
            <w:r>
              <w:rPr>
                <w:rFonts w:hint="eastAsia" w:ascii="宋体" w:hAnsi="宋体"/>
                <w:highlight w:val="none"/>
              </w:rPr>
              <w:t>未按要求密封的投标文件，招标人将予以拒收。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4.1.2</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封套上应载明的信息</w:t>
            </w:r>
          </w:p>
        </w:tc>
        <w:tc>
          <w:tcPr>
            <w:tcW w:w="6111" w:type="dxa"/>
            <w:tcBorders>
              <w:top w:val="single" w:color="auto" w:sz="4" w:space="0"/>
              <w:left w:val="nil"/>
              <w:bottom w:val="single" w:color="auto" w:sz="4" w:space="0"/>
              <w:right w:val="single" w:color="auto" w:sz="4" w:space="0"/>
            </w:tcBorders>
            <w:vAlign w:val="center"/>
          </w:tcPr>
          <w:p>
            <w:pPr>
              <w:pStyle w:val="9"/>
              <w:topLinePunct/>
              <w:spacing w:line="360" w:lineRule="auto"/>
              <w:contextualSpacing/>
              <w:rPr>
                <w:rFonts w:hAnsi="宋体"/>
                <w:sz w:val="21"/>
                <w:szCs w:val="21"/>
                <w:highlight w:val="none"/>
              </w:rPr>
            </w:pPr>
            <w:r>
              <w:rPr>
                <w:rFonts w:hint="eastAsia" w:hAnsi="宋体"/>
                <w:sz w:val="21"/>
                <w:szCs w:val="21"/>
                <w:highlight w:val="none"/>
              </w:rPr>
              <w:t>如有提交投标文件光盘备用，封套上应注明如下信息：</w:t>
            </w:r>
          </w:p>
          <w:p>
            <w:pPr>
              <w:pStyle w:val="9"/>
              <w:topLinePunct/>
              <w:spacing w:line="360" w:lineRule="auto"/>
              <w:contextualSpacing/>
              <w:rPr>
                <w:rFonts w:hAnsi="宋体"/>
                <w:sz w:val="21"/>
                <w:szCs w:val="21"/>
                <w:highlight w:val="none"/>
                <w:u w:val="single"/>
              </w:rPr>
            </w:pPr>
            <w:r>
              <w:rPr>
                <w:rFonts w:hint="eastAsia" w:hAnsi="宋体"/>
                <w:sz w:val="21"/>
                <w:szCs w:val="21"/>
                <w:highlight w:val="none"/>
              </w:rPr>
              <w:t>招标人名称：</w:t>
            </w:r>
            <w:r>
              <w:rPr>
                <w:rFonts w:hint="eastAsia" w:hAnsi="宋体"/>
                <w:sz w:val="21"/>
                <w:szCs w:val="21"/>
                <w:highlight w:val="none"/>
                <w:u w:val="single"/>
              </w:rPr>
              <w:t>广州市荔湾区水务工程建设管理中心</w:t>
            </w:r>
          </w:p>
          <w:p>
            <w:pPr>
              <w:pStyle w:val="9"/>
              <w:topLinePunct/>
              <w:spacing w:line="360" w:lineRule="auto"/>
              <w:contextualSpacing/>
              <w:rPr>
                <w:rFonts w:hAnsi="宋体"/>
                <w:sz w:val="21"/>
                <w:szCs w:val="21"/>
                <w:highlight w:val="none"/>
              </w:rPr>
            </w:pPr>
            <w:r>
              <w:rPr>
                <w:rFonts w:hint="eastAsia" w:hAnsi="宋体"/>
                <w:sz w:val="21"/>
                <w:szCs w:val="21"/>
                <w:highlight w:val="none"/>
              </w:rPr>
              <w:t>招标人地址：</w:t>
            </w:r>
            <w:r>
              <w:rPr>
                <w:rFonts w:hint="eastAsia" w:hAnsi="宋体"/>
                <w:sz w:val="21"/>
                <w:szCs w:val="21"/>
                <w:highlight w:val="none"/>
                <w:u w:val="single"/>
              </w:rPr>
              <w:t>广州市荔湾区东漖大街120号三防仓库五楼</w:t>
            </w:r>
          </w:p>
          <w:p>
            <w:pPr>
              <w:pStyle w:val="9"/>
              <w:topLinePunct/>
              <w:spacing w:line="360" w:lineRule="auto"/>
              <w:contextualSpacing/>
              <w:rPr>
                <w:rFonts w:hAnsi="宋体"/>
                <w:sz w:val="21"/>
                <w:szCs w:val="21"/>
                <w:highlight w:val="none"/>
              </w:rPr>
            </w:pPr>
            <w:r>
              <w:rPr>
                <w:rFonts w:hint="eastAsia" w:hAnsi="宋体"/>
                <w:sz w:val="21"/>
                <w:szCs w:val="21"/>
                <w:highlight w:val="none"/>
                <w:u w:val="single"/>
              </w:rPr>
              <w:t>老旧小区排水单元达标创建工程(荔湾北片区)技术服务</w:t>
            </w:r>
            <w:r>
              <w:rPr>
                <w:rFonts w:hint="eastAsia" w:hAnsi="宋体"/>
                <w:sz w:val="21"/>
                <w:szCs w:val="21"/>
                <w:highlight w:val="none"/>
              </w:rPr>
              <w:t>投标文件</w:t>
            </w:r>
          </w:p>
          <w:p>
            <w:pPr>
              <w:pStyle w:val="9"/>
              <w:topLinePunct/>
              <w:spacing w:line="360" w:lineRule="auto"/>
              <w:contextualSpacing/>
              <w:rPr>
                <w:rFonts w:hAnsi="宋体"/>
                <w:sz w:val="21"/>
                <w:szCs w:val="21"/>
                <w:highlight w:val="none"/>
              </w:rPr>
            </w:pPr>
            <w:r>
              <w:rPr>
                <w:rFonts w:hint="eastAsia" w:hAnsi="宋体"/>
                <w:sz w:val="21"/>
                <w:szCs w:val="21"/>
                <w:highlight w:val="none"/>
              </w:rPr>
              <w:t>招标项目编号：</w:t>
            </w:r>
          </w:p>
          <w:p>
            <w:pPr>
              <w:pStyle w:val="9"/>
              <w:topLinePunct/>
              <w:spacing w:line="360" w:lineRule="auto"/>
              <w:contextualSpacing/>
              <w:rPr>
                <w:rFonts w:hAnsi="宋体"/>
                <w:sz w:val="21"/>
                <w:szCs w:val="21"/>
                <w:highlight w:val="none"/>
              </w:rPr>
            </w:pPr>
            <w:r>
              <w:rPr>
                <w:rFonts w:hint="eastAsia" w:hAnsi="宋体"/>
                <w:sz w:val="21"/>
                <w:szCs w:val="21"/>
                <w:highlight w:val="none"/>
              </w:rPr>
              <w:t xml:space="preserve">投标人名称：                   </w:t>
            </w:r>
          </w:p>
          <w:p>
            <w:pPr>
              <w:pStyle w:val="9"/>
              <w:topLinePunct/>
              <w:spacing w:line="360" w:lineRule="auto"/>
              <w:contextualSpacing/>
              <w:rPr>
                <w:rFonts w:hAnsi="宋体"/>
                <w:sz w:val="21"/>
                <w:szCs w:val="21"/>
                <w:highlight w:val="none"/>
              </w:rPr>
            </w:pPr>
            <w:r>
              <w:rPr>
                <w:rFonts w:hint="eastAsia" w:hAnsi="宋体"/>
                <w:sz w:val="21"/>
                <w:szCs w:val="21"/>
                <w:highlight w:val="none"/>
              </w:rPr>
              <w:t xml:space="preserve">投标人地址：                   </w:t>
            </w:r>
          </w:p>
          <w:p>
            <w:pPr>
              <w:spacing w:line="360" w:lineRule="auto"/>
              <w:rPr>
                <w:rFonts w:ascii="宋体" w:hAnsi="宋体"/>
                <w:szCs w:val="22"/>
                <w:highlight w:val="none"/>
                <w:u w:val="single"/>
              </w:rPr>
            </w:pPr>
            <w:r>
              <w:rPr>
                <w:rFonts w:hint="eastAsia" w:hAnsi="宋体"/>
                <w:highlight w:val="none"/>
              </w:rPr>
              <w:t>(在  年  月  日时前不得开启）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4.2.1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投标截止时间</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cs="宋体"/>
                <w:highlight w:val="none"/>
              </w:rPr>
              <w:t>具体时间以广州公共资源交易中心公布的为准。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ascii="宋体" w:hAnsi="宋体"/>
                <w:highlight w:val="none"/>
              </w:rPr>
              <w:t>4.2.2（</w:t>
            </w:r>
            <w:r>
              <w:rPr>
                <w:rFonts w:hint="eastAsia" w:ascii="宋体" w:hAnsi="宋体"/>
                <w:highlight w:val="none"/>
              </w:rPr>
              <w:t>B</w:t>
            </w:r>
            <w:r>
              <w:rPr>
                <w:rFonts w:ascii="宋体" w:hAnsi="宋体"/>
                <w:highlight w:val="none"/>
              </w:rPr>
              <w:t>）</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ascii="宋体" w:hAnsi="宋体"/>
                <w:highlight w:val="none"/>
              </w:rPr>
              <w:t>递交投标文件地点</w:t>
            </w:r>
          </w:p>
        </w:tc>
        <w:tc>
          <w:tcPr>
            <w:tcW w:w="6111" w:type="dxa"/>
            <w:tcBorders>
              <w:top w:val="single" w:color="auto" w:sz="4" w:space="0"/>
              <w:left w:val="nil"/>
              <w:bottom w:val="single" w:color="auto" w:sz="4" w:space="0"/>
              <w:right w:val="single" w:color="auto" w:sz="4" w:space="0"/>
            </w:tcBorders>
            <w:vAlign w:val="center"/>
          </w:tcPr>
          <w:p>
            <w:pPr>
              <w:spacing w:line="360" w:lineRule="auto"/>
              <w:contextualSpacing/>
              <w:rPr>
                <w:rFonts w:ascii="宋体" w:hAnsi="宋体"/>
                <w:highlight w:val="none"/>
                <w:u w:val="single"/>
              </w:rPr>
            </w:pPr>
            <w:r>
              <w:rPr>
                <w:rFonts w:hint="eastAsia" w:ascii="宋体" w:hAnsi="宋体"/>
                <w:highlight w:val="none"/>
                <w:u w:val="single"/>
              </w:rPr>
              <w:t>1.递交方式：网上递交投标文件，</w:t>
            </w:r>
            <w:r>
              <w:rPr>
                <w:rFonts w:hint="eastAsia" w:ascii="宋体" w:hAnsi="宋体"/>
                <w:kern w:val="0"/>
                <w:highlight w:val="none"/>
              </w:rPr>
              <w:t>若以联合体参与投标的，则由联合体牵头人</w:t>
            </w:r>
            <w:r>
              <w:rPr>
                <w:rFonts w:hint="eastAsia" w:ascii="宋体" w:hAnsi="宋体"/>
                <w:highlight w:val="none"/>
                <w:u w:val="single"/>
              </w:rPr>
              <w:t>网上递交投标文件。</w:t>
            </w:r>
          </w:p>
          <w:p>
            <w:pPr>
              <w:spacing w:line="360" w:lineRule="auto"/>
              <w:contextualSpacing/>
              <w:rPr>
                <w:rFonts w:ascii="宋体" w:hAnsi="宋体"/>
                <w:highlight w:val="none"/>
                <w:u w:val="single"/>
              </w:rPr>
            </w:pPr>
            <w:r>
              <w:rPr>
                <w:rFonts w:hint="eastAsia" w:ascii="宋体" w:hAnsi="宋体"/>
                <w:highlight w:val="none"/>
                <w:u w:val="single"/>
              </w:rPr>
              <w:t>2.递交投标文件的起始时间：具体时间以广州公共资源交易中心公布的为准。</w:t>
            </w:r>
          </w:p>
          <w:p>
            <w:pPr>
              <w:spacing w:line="360" w:lineRule="auto"/>
              <w:contextualSpacing/>
              <w:rPr>
                <w:rFonts w:ascii="宋体" w:hAnsi="宋体"/>
                <w:highlight w:val="none"/>
                <w:u w:val="single"/>
              </w:rPr>
            </w:pPr>
            <w:r>
              <w:rPr>
                <w:rFonts w:hint="eastAsia" w:ascii="宋体" w:hAnsi="宋体"/>
                <w:highlight w:val="none"/>
                <w:u w:val="single"/>
              </w:rPr>
              <w:t xml:space="preserve">3.地点：广州公共资源交易中心网站。 </w:t>
            </w:r>
          </w:p>
          <w:p>
            <w:pPr>
              <w:spacing w:line="360" w:lineRule="auto"/>
              <w:rPr>
                <w:rFonts w:ascii="宋体" w:hAnsi="宋体"/>
                <w:highlight w:val="none"/>
              </w:rPr>
            </w:pPr>
            <w:r>
              <w:rPr>
                <w:rFonts w:hint="eastAsia" w:ascii="宋体" w:hAnsi="宋体"/>
                <w:highlight w:val="none"/>
                <w:u w:val="single"/>
              </w:rPr>
              <w:t>4.上述时间及地点是否有改变， 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4.2.3</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投标文件是否退还</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sz w:val="24"/>
                <w:highlight w:val="none"/>
              </w:rPr>
              <w:t>■</w:t>
            </w:r>
            <w:r>
              <w:rPr>
                <w:rFonts w:hint="eastAsia" w:ascii="宋体" w:hAnsi="宋体"/>
                <w:highlight w:val="none"/>
              </w:rPr>
              <w:t>否</w:t>
            </w:r>
          </w:p>
          <w:p>
            <w:pPr>
              <w:spacing w:line="360" w:lineRule="auto"/>
              <w:rPr>
                <w:rFonts w:ascii="宋体" w:hAnsi="宋体"/>
                <w:highlight w:val="none"/>
              </w:rPr>
            </w:pPr>
            <w:r>
              <w:rPr>
                <w:rFonts w:hint="eastAsia" w:ascii="宋体" w:hAnsi="宋体"/>
                <w:highlight w:val="none"/>
              </w:rPr>
              <w:t>□  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5.1（B）</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开标时间和地点</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（技术标和经济标同时开标）</w:t>
            </w:r>
          </w:p>
          <w:p>
            <w:pPr>
              <w:spacing w:line="360" w:lineRule="auto"/>
              <w:rPr>
                <w:rFonts w:ascii="宋体" w:hAnsi="宋体"/>
                <w:highlight w:val="none"/>
              </w:rPr>
            </w:pPr>
            <w:r>
              <w:rPr>
                <w:rFonts w:hint="eastAsia" w:ascii="宋体" w:hAnsi="宋体"/>
                <w:highlight w:val="none"/>
              </w:rPr>
              <w:t>1、开标开始时间：</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r>
              <w:rPr>
                <w:rFonts w:hint="eastAsia" w:ascii="宋体" w:hAnsi="宋体"/>
                <w:highlight w:val="none"/>
                <w:u w:val="single"/>
              </w:rPr>
              <w:t xml:space="preserve">     </w:t>
            </w:r>
            <w:r>
              <w:rPr>
                <w:rFonts w:hint="eastAsia" w:ascii="宋体" w:hAnsi="宋体"/>
                <w:highlight w:val="none"/>
              </w:rPr>
              <w:t>时</w:t>
            </w:r>
            <w:r>
              <w:rPr>
                <w:rFonts w:hint="eastAsia" w:ascii="宋体" w:hAnsi="宋体"/>
                <w:highlight w:val="none"/>
                <w:u w:val="single"/>
              </w:rPr>
              <w:t xml:space="preserve">   </w:t>
            </w:r>
            <w:r>
              <w:rPr>
                <w:rFonts w:hint="eastAsia" w:ascii="宋体" w:hAnsi="宋体"/>
                <w:highlight w:val="none"/>
              </w:rPr>
              <w:t>分（与投标截止时间为同一时间），开标地点：</w:t>
            </w:r>
            <w:r>
              <w:rPr>
                <w:rFonts w:hint="eastAsia" w:ascii="宋体" w:hAnsi="宋体"/>
                <w:highlight w:val="none"/>
                <w:u w:val="single"/>
              </w:rPr>
              <w:t>广州公共资源交易中心</w:t>
            </w:r>
            <w:r>
              <w:rPr>
                <w:rFonts w:hint="eastAsia" w:ascii="宋体" w:hAnsi="宋体"/>
                <w:highlight w:val="none"/>
              </w:rPr>
              <w:t>注：投标文件解密问题。投标人只用执行一次解密，招标人执行解密次数根据招标文件开标次数确定。</w:t>
            </w:r>
          </w:p>
          <w:p>
            <w:pPr>
              <w:spacing w:line="360" w:lineRule="auto"/>
              <w:rPr>
                <w:rFonts w:ascii="宋体" w:hAnsi="宋体"/>
                <w:highlight w:val="none"/>
              </w:rPr>
            </w:pPr>
            <w:r>
              <w:rPr>
                <w:rFonts w:hint="eastAsia" w:ascii="宋体" w:hAnsi="宋体"/>
                <w:highlight w:val="none"/>
              </w:rPr>
              <w:t>2、递交投标文件备用光盘时间：</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r>
              <w:rPr>
                <w:rFonts w:hint="eastAsia" w:ascii="宋体" w:hAnsi="宋体"/>
                <w:highlight w:val="none"/>
                <w:u w:val="single"/>
              </w:rPr>
              <w:t xml:space="preserve">   </w:t>
            </w:r>
            <w:r>
              <w:rPr>
                <w:rFonts w:hint="eastAsia" w:ascii="宋体" w:hAnsi="宋体"/>
                <w:highlight w:val="none"/>
              </w:rPr>
              <w:t>时</w:t>
            </w:r>
            <w:r>
              <w:rPr>
                <w:rFonts w:hint="eastAsia" w:ascii="宋体" w:hAnsi="宋体"/>
                <w:highlight w:val="none"/>
                <w:u w:val="single"/>
              </w:rPr>
              <w:t xml:space="preserve">    </w:t>
            </w:r>
            <w:r>
              <w:rPr>
                <w:rFonts w:hint="eastAsia" w:ascii="宋体" w:hAnsi="宋体"/>
                <w:highlight w:val="none"/>
              </w:rPr>
              <w:t>分至</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r>
              <w:rPr>
                <w:rFonts w:hint="eastAsia" w:ascii="宋体" w:hAnsi="宋体"/>
                <w:highlight w:val="none"/>
                <w:u w:val="single"/>
              </w:rPr>
              <w:t xml:space="preserve">   </w:t>
            </w:r>
            <w:r>
              <w:rPr>
                <w:rFonts w:hint="eastAsia" w:ascii="宋体" w:hAnsi="宋体"/>
                <w:highlight w:val="none"/>
              </w:rPr>
              <w:t>时</w:t>
            </w:r>
            <w:r>
              <w:rPr>
                <w:rFonts w:hint="eastAsia" w:ascii="宋体" w:hAnsi="宋体"/>
                <w:highlight w:val="none"/>
                <w:u w:val="single"/>
              </w:rPr>
              <w:t xml:space="preserve">   </w:t>
            </w:r>
            <w:r>
              <w:rPr>
                <w:rFonts w:hint="eastAsia" w:ascii="宋体" w:hAnsi="宋体"/>
                <w:highlight w:val="none"/>
              </w:rPr>
              <w:t>分；递交地点：</w:t>
            </w:r>
            <w:r>
              <w:rPr>
                <w:rFonts w:hint="eastAsia" w:ascii="宋体" w:hAnsi="宋体"/>
                <w:highlight w:val="none"/>
                <w:u w:val="single"/>
              </w:rPr>
              <w:t xml:space="preserve">广州公共资源交易中心 </w:t>
            </w:r>
            <w:r>
              <w:rPr>
                <w:rFonts w:hint="eastAsia" w:ascii="宋体" w:hAnsi="宋体"/>
                <w:highlight w:val="none"/>
              </w:rPr>
              <w:t>。(建议安排在投标文件截止时间前15分钟至投标文件截止时间）</w:t>
            </w:r>
          </w:p>
          <w:p>
            <w:pPr>
              <w:spacing w:line="360" w:lineRule="auto"/>
              <w:rPr>
                <w:rFonts w:ascii="宋体" w:hAnsi="宋体"/>
                <w:highlight w:val="none"/>
              </w:rPr>
            </w:pPr>
            <w:r>
              <w:rPr>
                <w:rFonts w:hint="eastAsia" w:ascii="宋体" w:hAnsi="宋体"/>
                <w:highlight w:val="none"/>
              </w:rPr>
              <w:t>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5.2</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开标程序</w:t>
            </w:r>
          </w:p>
        </w:tc>
        <w:tc>
          <w:tcPr>
            <w:tcW w:w="6111" w:type="dxa"/>
            <w:tcBorders>
              <w:top w:val="single" w:color="auto" w:sz="4" w:space="0"/>
              <w:left w:val="nil"/>
              <w:bottom w:val="single" w:color="auto" w:sz="4" w:space="0"/>
              <w:right w:val="single" w:color="auto" w:sz="4" w:space="0"/>
            </w:tcBorders>
            <w:vAlign w:val="center"/>
          </w:tcPr>
          <w:p>
            <w:pPr>
              <w:rPr>
                <w:rFonts w:ascii="宋体" w:hAnsi="宋体" w:cs="仿宋_GB2312"/>
                <w:kern w:val="0"/>
                <w:highlight w:val="none"/>
              </w:rPr>
            </w:pPr>
            <w:r>
              <w:rPr>
                <w:rFonts w:hint="eastAsia" w:ascii="宋体" w:hAnsi="宋体" w:cs="仿宋_GB2312"/>
                <w:kern w:val="0"/>
                <w:highlight w:val="none"/>
              </w:rPr>
              <w:t>电子招投标项目开标按下列程序进行：</w:t>
            </w:r>
          </w:p>
          <w:p>
            <w:pPr>
              <w:rPr>
                <w:rFonts w:ascii="宋体" w:hAnsi="宋体" w:cs="仿宋_GB2312"/>
                <w:kern w:val="0"/>
                <w:highlight w:val="none"/>
              </w:rPr>
            </w:pPr>
            <w:r>
              <w:rPr>
                <w:rFonts w:hint="eastAsia" w:ascii="宋体" w:hAnsi="宋体" w:cs="仿宋_GB2312"/>
                <w:kern w:val="0"/>
                <w:highlight w:val="none"/>
              </w:rPr>
              <w:t>5.2.</w:t>
            </w:r>
            <w:r>
              <w:rPr>
                <w:rFonts w:ascii="宋体" w:hAnsi="宋体" w:cs="仿宋_GB2312"/>
                <w:kern w:val="0"/>
                <w:highlight w:val="none"/>
              </w:rPr>
              <w:t>1</w:t>
            </w:r>
            <w:r>
              <w:rPr>
                <w:rFonts w:hint="eastAsia" w:ascii="宋体" w:hAnsi="宋体" w:cs="仿宋_GB2312"/>
                <w:kern w:val="0"/>
                <w:highlight w:val="none"/>
              </w:rPr>
              <w:t>主持人按下列程序进行开标：</w:t>
            </w:r>
          </w:p>
          <w:p>
            <w:pPr>
              <w:rPr>
                <w:rFonts w:ascii="宋体" w:hAnsi="宋体" w:cs="仿宋_GB2312"/>
                <w:kern w:val="0"/>
                <w:highlight w:val="none"/>
              </w:rPr>
            </w:pPr>
            <w:r>
              <w:rPr>
                <w:rFonts w:hint="eastAsia" w:ascii="宋体" w:hAnsi="宋体" w:cs="仿宋_GB2312"/>
                <w:kern w:val="0"/>
                <w:highlight w:val="none"/>
              </w:rPr>
              <w:t>（</w:t>
            </w:r>
            <w:r>
              <w:rPr>
                <w:rFonts w:ascii="宋体" w:hAnsi="宋体" w:cs="仿宋_GB2312"/>
                <w:kern w:val="0"/>
                <w:highlight w:val="none"/>
              </w:rPr>
              <w:t>1</w:t>
            </w:r>
            <w:r>
              <w:rPr>
                <w:rFonts w:hint="eastAsia" w:ascii="宋体" w:hAnsi="宋体" w:cs="仿宋_GB2312"/>
                <w:kern w:val="0"/>
                <w:highlight w:val="none"/>
              </w:rPr>
              <w:t>）宣布开标纪律；</w:t>
            </w:r>
          </w:p>
          <w:p>
            <w:pPr>
              <w:rPr>
                <w:rFonts w:ascii="宋体" w:hAnsi="宋体" w:cs="仿宋_GB2312"/>
                <w:kern w:val="0"/>
                <w:highlight w:val="none"/>
              </w:rPr>
            </w:pPr>
            <w:r>
              <w:rPr>
                <w:rFonts w:hint="eastAsia" w:ascii="宋体" w:hAnsi="宋体" w:cs="仿宋_GB2312"/>
                <w:kern w:val="0"/>
                <w:highlight w:val="none"/>
              </w:rPr>
              <w:t>（</w:t>
            </w:r>
            <w:r>
              <w:rPr>
                <w:rFonts w:ascii="宋体" w:hAnsi="宋体" w:cs="仿宋_GB2312"/>
                <w:kern w:val="0"/>
                <w:highlight w:val="none"/>
              </w:rPr>
              <w:t>2</w:t>
            </w:r>
            <w:r>
              <w:rPr>
                <w:rFonts w:hint="eastAsia" w:ascii="宋体" w:hAnsi="宋体" w:cs="仿宋_GB2312"/>
                <w:kern w:val="0"/>
                <w:highlight w:val="none"/>
              </w:rPr>
              <w:t>）公布在投标截止时间前递交投标文件的投标人名称；</w:t>
            </w:r>
          </w:p>
          <w:p>
            <w:pPr>
              <w:rPr>
                <w:rFonts w:ascii="宋体" w:hAnsi="宋体" w:cs="仿宋_GB2312"/>
                <w:kern w:val="0"/>
                <w:highlight w:val="none"/>
              </w:rPr>
            </w:pPr>
            <w:r>
              <w:rPr>
                <w:rFonts w:hint="eastAsia" w:ascii="宋体" w:hAnsi="宋体" w:cs="仿宋_GB2312"/>
                <w:kern w:val="0"/>
                <w:highlight w:val="none"/>
              </w:rPr>
              <w:t>（</w:t>
            </w:r>
            <w:r>
              <w:rPr>
                <w:rFonts w:ascii="宋体" w:hAnsi="宋体" w:cs="仿宋_GB2312"/>
                <w:kern w:val="0"/>
                <w:highlight w:val="none"/>
              </w:rPr>
              <w:t>3</w:t>
            </w:r>
            <w:r>
              <w:rPr>
                <w:rFonts w:hint="eastAsia" w:ascii="宋体" w:hAnsi="宋体" w:cs="仿宋_GB2312"/>
                <w:kern w:val="0"/>
                <w:highlight w:val="none"/>
              </w:rPr>
              <w:t>）宣布开标人、唱标人、记录人、监标人等有关人员姓名；</w:t>
            </w:r>
          </w:p>
          <w:p>
            <w:pPr>
              <w:rPr>
                <w:rFonts w:ascii="宋体" w:hAnsi="宋体" w:cs="仿宋_GB2312"/>
                <w:kern w:val="0"/>
                <w:highlight w:val="none"/>
              </w:rPr>
            </w:pPr>
            <w:r>
              <w:rPr>
                <w:rFonts w:hint="eastAsia" w:ascii="宋体" w:hAnsi="宋体" w:cs="仿宋_GB2312"/>
                <w:kern w:val="0"/>
                <w:highlight w:val="none"/>
              </w:rPr>
              <w:t>（</w:t>
            </w:r>
            <w:r>
              <w:rPr>
                <w:rFonts w:ascii="宋体" w:hAnsi="宋体" w:cs="仿宋_GB2312"/>
                <w:kern w:val="0"/>
                <w:highlight w:val="none"/>
              </w:rPr>
              <w:t>4</w:t>
            </w:r>
            <w:r>
              <w:rPr>
                <w:rFonts w:hint="eastAsia" w:ascii="宋体" w:hAnsi="宋体" w:cs="仿宋_GB2312"/>
                <w:kern w:val="0"/>
                <w:highlight w:val="none"/>
              </w:rPr>
              <w:t>）（B）投标人通过电子招标投标交易平台对已递交的电子投标文件进行解密，公布招标项目名称、投标人名称、投标保证金的递交情况、投标报价、服务期限及其他内容，并记录在案；</w:t>
            </w:r>
          </w:p>
          <w:p>
            <w:pPr>
              <w:rPr>
                <w:rFonts w:ascii="宋体" w:hAnsi="宋体" w:cs="仿宋_GB2312"/>
                <w:kern w:val="0"/>
                <w:highlight w:val="none"/>
              </w:rPr>
            </w:pPr>
            <w:r>
              <w:rPr>
                <w:rFonts w:hint="eastAsia" w:ascii="宋体" w:hAnsi="宋体" w:cs="仿宋_GB2312"/>
                <w:kern w:val="0"/>
                <w:highlight w:val="none"/>
              </w:rPr>
              <w:t>（</w:t>
            </w:r>
            <w:r>
              <w:rPr>
                <w:rFonts w:ascii="宋体" w:hAnsi="宋体" w:cs="仿宋_GB2312"/>
                <w:kern w:val="0"/>
                <w:highlight w:val="none"/>
              </w:rPr>
              <w:t>5</w:t>
            </w:r>
            <w:r>
              <w:rPr>
                <w:rFonts w:hint="eastAsia" w:ascii="宋体" w:hAnsi="宋体" w:cs="仿宋_GB2312"/>
                <w:kern w:val="0"/>
                <w:highlight w:val="none"/>
              </w:rPr>
              <w:t>）（B）投标人代表、招标人代表、监标人、记录人等有关人员在开标记录上签字确认；若有关人员不签字的，不影响开标程序；</w:t>
            </w:r>
          </w:p>
          <w:p>
            <w:pPr>
              <w:rPr>
                <w:rFonts w:ascii="宋体" w:hAnsi="宋体" w:cs="仿宋_GB2312"/>
                <w:kern w:val="0"/>
                <w:highlight w:val="none"/>
              </w:rPr>
            </w:pPr>
            <w:r>
              <w:rPr>
                <w:rFonts w:hint="eastAsia" w:ascii="宋体" w:hAnsi="宋体" w:cs="仿宋_GB2312"/>
                <w:kern w:val="0"/>
                <w:highlight w:val="none"/>
              </w:rPr>
              <w:t>（</w:t>
            </w:r>
            <w:r>
              <w:rPr>
                <w:rFonts w:ascii="宋体" w:hAnsi="宋体" w:cs="仿宋_GB2312"/>
                <w:kern w:val="0"/>
                <w:highlight w:val="none"/>
              </w:rPr>
              <w:t>6</w:t>
            </w:r>
            <w:r>
              <w:rPr>
                <w:rFonts w:hint="eastAsia" w:ascii="宋体" w:hAnsi="宋体" w:cs="仿宋_GB2312"/>
                <w:kern w:val="0"/>
                <w:highlight w:val="none"/>
              </w:rPr>
              <w:t>）开标结束。</w:t>
            </w:r>
          </w:p>
          <w:p>
            <w:pPr>
              <w:rPr>
                <w:rFonts w:ascii="宋体" w:hAnsi="宋体" w:cs="仿宋_GB2312"/>
                <w:kern w:val="0"/>
                <w:highlight w:val="none"/>
              </w:rPr>
            </w:pPr>
            <w:r>
              <w:rPr>
                <w:rFonts w:hint="eastAsia" w:ascii="宋体" w:hAnsi="宋体" w:cs="仿宋_GB2312"/>
                <w:kern w:val="0"/>
                <w:highlight w:val="none"/>
              </w:rPr>
              <w:t>5.</w:t>
            </w:r>
            <w:r>
              <w:rPr>
                <w:rFonts w:ascii="宋体" w:hAnsi="宋体" w:cs="仿宋_GB2312"/>
                <w:kern w:val="0"/>
                <w:highlight w:val="none"/>
              </w:rPr>
              <w:t>2.</w:t>
            </w:r>
            <w:r>
              <w:rPr>
                <w:rFonts w:hint="eastAsia" w:ascii="宋体" w:hAnsi="宋体" w:cs="仿宋_GB2312"/>
                <w:kern w:val="0"/>
                <w:highlight w:val="none"/>
              </w:rPr>
              <w:t>2投标截止时间前未完成投标文件传输的或因投标人之外的原因造成投标文件未解密的或未在投标截止时间后半小时内解密的，视为投标人其撤回投标文件。因投标人原因造成投标文件未解密的，视为撤销其投标文件。。</w:t>
            </w:r>
          </w:p>
          <w:p>
            <w:pPr>
              <w:spacing w:line="360" w:lineRule="auto"/>
              <w:rPr>
                <w:rFonts w:ascii="宋体" w:hAnsi="宋体"/>
                <w:highlight w:val="none"/>
              </w:rPr>
            </w:pPr>
            <w:r>
              <w:rPr>
                <w:rFonts w:hint="eastAsia" w:ascii="宋体" w:hAnsi="宋体" w:cs="仿宋_GB2312"/>
                <w:kern w:val="0"/>
                <w:highlight w:val="none"/>
              </w:rPr>
              <w:t>5.2.</w:t>
            </w:r>
            <w:r>
              <w:rPr>
                <w:rFonts w:ascii="宋体" w:hAnsi="宋体" w:cs="仿宋_GB2312"/>
                <w:kern w:val="0"/>
                <w:highlight w:val="none"/>
              </w:rPr>
              <w:t>3</w:t>
            </w:r>
            <w:r>
              <w:rPr>
                <w:rFonts w:hint="eastAsia" w:ascii="宋体" w:hAnsi="宋体" w:cs="仿宋_GB2312"/>
                <w:kern w:val="0"/>
                <w:highlight w:val="none"/>
              </w:rPr>
              <w:t>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6.1.1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评标委员会的组建</w:t>
            </w:r>
          </w:p>
        </w:tc>
        <w:tc>
          <w:tcPr>
            <w:tcW w:w="6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highlight w:val="none"/>
                <w:u w:val="single"/>
              </w:rPr>
            </w:pPr>
            <w:r>
              <w:rPr>
                <w:rFonts w:hint="eastAsia" w:ascii="宋体" w:hAnsi="宋体"/>
                <w:highlight w:val="none"/>
              </w:rPr>
              <w:t>评标委员会构成：</w:t>
            </w:r>
            <w:r>
              <w:rPr>
                <w:rFonts w:hint="eastAsia" w:ascii="宋体" w:hAnsi="宋体"/>
                <w:highlight w:val="none"/>
                <w:u w:val="single"/>
              </w:rPr>
              <w:t xml:space="preserve"> 5 </w:t>
            </w:r>
            <w:r>
              <w:rPr>
                <w:rFonts w:hint="eastAsia" w:ascii="宋体" w:hAnsi="宋体"/>
                <w:highlight w:val="none"/>
              </w:rPr>
              <w:t>人。</w:t>
            </w:r>
          </w:p>
          <w:p>
            <w:pPr>
              <w:spacing w:line="360" w:lineRule="auto"/>
              <w:rPr>
                <w:rFonts w:ascii="宋体" w:hAnsi="宋体"/>
                <w:highlight w:val="none"/>
              </w:rPr>
            </w:pPr>
            <w:r>
              <w:rPr>
                <w:rFonts w:hint="eastAsia" w:ascii="宋体" w:hAnsi="宋体"/>
                <w:highlight w:val="none"/>
              </w:rPr>
              <w:t>评标专家确定方式：</w:t>
            </w:r>
            <w:bookmarkStart w:id="48" w:name="OLE_LINK30"/>
            <w:r>
              <w:rPr>
                <w:rFonts w:hint="eastAsia" w:ascii="宋体" w:hAnsi="宋体"/>
                <w:highlight w:val="none"/>
                <w:u w:val="single"/>
              </w:rPr>
              <w:t>由招标人在开标前按照有关规定依法组建评标委员会。</w:t>
            </w:r>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6.3.2</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评标委员会推荐中标候选人的人数</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推荐的中标候选人数：</w:t>
            </w:r>
            <w:r>
              <w:rPr>
                <w:rFonts w:hint="eastAsia" w:ascii="宋体" w:hAnsi="宋体"/>
                <w:highlight w:val="none"/>
                <w:u w:val="single"/>
              </w:rPr>
              <w:t xml:space="preserve"> 3 </w:t>
            </w:r>
            <w:r>
              <w:rPr>
                <w:rFonts w:hint="eastAsia" w:ascii="宋体" w:hAnsi="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7.1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中标候选人公示媒介及期限</w:t>
            </w:r>
          </w:p>
        </w:tc>
        <w:tc>
          <w:tcPr>
            <w:tcW w:w="611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highlight w:val="none"/>
              </w:rPr>
            </w:pPr>
            <w:r>
              <w:rPr>
                <w:rFonts w:hint="eastAsia" w:ascii="宋体" w:hAnsi="宋体"/>
                <w:highlight w:val="none"/>
              </w:rPr>
              <w:t>公示媒介：</w:t>
            </w:r>
            <w:r>
              <w:rPr>
                <w:rFonts w:hint="eastAsia" w:ascii="宋体" w:hAnsi="宋体"/>
                <w:highlight w:val="none"/>
                <w:u w:val="single"/>
              </w:rPr>
              <w:t>中国招标投标公共服务平台、广东省招标投标监管网、广州公共资源交易网</w:t>
            </w:r>
            <w:r>
              <w:rPr>
                <w:rFonts w:hint="eastAsia" w:ascii="宋体" w:hAnsi="宋体"/>
                <w:highlight w:val="none"/>
              </w:rPr>
              <w:t>。</w:t>
            </w:r>
          </w:p>
          <w:p>
            <w:pPr>
              <w:spacing w:line="360" w:lineRule="auto"/>
              <w:rPr>
                <w:rFonts w:ascii="宋体" w:hAnsi="宋体"/>
                <w:highlight w:val="none"/>
              </w:rPr>
            </w:pPr>
            <w:r>
              <w:rPr>
                <w:rFonts w:hint="eastAsia" w:ascii="宋体" w:hAnsi="宋体"/>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7.4</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是否授权评标委员会确定中标人</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□是</w:t>
            </w:r>
          </w:p>
          <w:p>
            <w:pPr>
              <w:spacing w:line="360" w:lineRule="auto"/>
              <w:rPr>
                <w:rFonts w:ascii="宋体" w:hAnsi="宋体"/>
                <w:highlight w:val="none"/>
              </w:rPr>
            </w:pPr>
            <w:r>
              <w:rPr>
                <w:rFonts w:hint="eastAsia" w:ascii="宋体" w:hAnsi="宋体"/>
                <w:sz w:val="24"/>
                <w:highlight w:val="none"/>
              </w:rPr>
              <w:t>■</w:t>
            </w:r>
            <w:r>
              <w:rPr>
                <w:rFonts w:hint="eastAsia" w:ascii="宋体" w:hAnsi="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7.6.1</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履约保证金</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是否要求中标人提交履约保证金：</w:t>
            </w:r>
          </w:p>
          <w:p>
            <w:pPr>
              <w:spacing w:line="360" w:lineRule="auto"/>
              <w:ind w:right="174" w:rightChars="83"/>
              <w:rPr>
                <w:rFonts w:hAnsi="宋体" w:cs="宋体"/>
                <w:highlight w:val="none"/>
              </w:rPr>
            </w:pPr>
            <w:r>
              <w:rPr>
                <w:rFonts w:hint="eastAsia" w:ascii="宋体" w:hAnsi="宋体"/>
                <w:highlight w:val="none"/>
              </w:rPr>
              <w:t>□要求，</w:t>
            </w:r>
            <w:r>
              <w:rPr>
                <w:rFonts w:hint="eastAsia" w:hAnsi="宋体" w:cs="宋体"/>
                <w:highlight w:val="none"/>
              </w:rPr>
              <w:t>履约保证金的形式：/</w:t>
            </w:r>
          </w:p>
          <w:p>
            <w:pPr>
              <w:topLinePunct/>
              <w:spacing w:line="360" w:lineRule="auto"/>
              <w:ind w:right="174" w:rightChars="83"/>
              <w:rPr>
                <w:rFonts w:ascii="宋体" w:hAnsi="宋体"/>
                <w:highlight w:val="none"/>
              </w:rPr>
            </w:pPr>
            <w:r>
              <w:rPr>
                <w:rFonts w:hint="eastAsia" w:ascii="宋体" w:hAnsi="宋体" w:cs="宋体"/>
                <w:highlight w:val="none"/>
              </w:rPr>
              <w:t>履约保证金的金额：/</w:t>
            </w:r>
          </w:p>
          <w:p>
            <w:pPr>
              <w:spacing w:line="360" w:lineRule="auto"/>
              <w:rPr>
                <w:rFonts w:ascii="宋体" w:hAnsi="宋体"/>
                <w:highlight w:val="none"/>
              </w:rPr>
            </w:pPr>
            <w:r>
              <w:rPr>
                <w:rFonts w:hint="eastAsia" w:ascii="宋体" w:hAnsi="宋体"/>
                <w:sz w:val="24"/>
                <w:highlight w:val="none"/>
              </w:rPr>
              <w:t>■</w:t>
            </w:r>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9</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是否采用电子招标投标</w:t>
            </w:r>
          </w:p>
        </w:tc>
        <w:tc>
          <w:tcPr>
            <w:tcW w:w="6111"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□否</w:t>
            </w:r>
          </w:p>
          <w:p>
            <w:pPr>
              <w:spacing w:line="360" w:lineRule="auto"/>
              <w:rPr>
                <w:rFonts w:ascii="宋体" w:hAnsi="宋体"/>
                <w:highlight w:val="none"/>
              </w:rPr>
            </w:pPr>
            <w:r>
              <w:rPr>
                <w:rFonts w:hint="eastAsia" w:ascii="宋体" w:hAnsi="宋体"/>
                <w:sz w:val="24"/>
                <w:highlight w:val="none"/>
              </w:rPr>
              <w:t>■</w:t>
            </w:r>
            <w:r>
              <w:rPr>
                <w:rFonts w:hint="eastAsia" w:ascii="宋体" w:hAnsi="宋体" w:cs="宋体"/>
                <w:highlight w:val="none"/>
              </w:rPr>
              <w:t>是，具体要求：</w:t>
            </w:r>
            <w:r>
              <w:rPr>
                <w:rFonts w:hint="eastAsia" w:ascii="宋体" w:hAnsi="宋体"/>
                <w:highlight w:val="none"/>
              </w:rPr>
              <w:t>1、具体操作详见广州公共资源交易中心网站发布的《房屋建筑和市政基础设施工程全流程电子化项目专章》。</w:t>
            </w:r>
          </w:p>
          <w:p>
            <w:pPr>
              <w:spacing w:line="360" w:lineRule="auto"/>
              <w:rPr>
                <w:rFonts w:ascii="宋体" w:hAnsi="宋体"/>
                <w:highlight w:val="none"/>
              </w:rPr>
            </w:pPr>
            <w:r>
              <w:rPr>
                <w:rFonts w:hint="eastAsia" w:ascii="宋体" w:hAnsi="宋体"/>
                <w:highlight w:val="none"/>
              </w:rPr>
              <w:t>2、现场提交投标文件光盘备用</w:t>
            </w:r>
          </w:p>
          <w:p>
            <w:pPr>
              <w:spacing w:line="360" w:lineRule="auto"/>
              <w:rPr>
                <w:rFonts w:ascii="宋体" w:hAnsi="宋体"/>
                <w:highlight w:val="none"/>
              </w:rPr>
            </w:pPr>
            <w:r>
              <w:rPr>
                <w:rFonts w:hint="eastAsia" w:ascii="宋体" w:hAnsi="宋体"/>
                <w:highlight w:val="none"/>
              </w:rPr>
              <w:t>投标人将按《房屋建筑和市政基础设施工程全流程电子化项目专章》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r>
              <w:rPr>
                <w:rFonts w:hint="eastAsia" w:ascii="宋体" w:hAnsi="宋体"/>
                <w:b/>
                <w:highlight w:val="none"/>
                <w:u w:val="single"/>
              </w:rPr>
              <w:t>备用光盘中包括一套完整的投标文件扫描件和一套用于中标候选人公示的资料电子版(商务部分的人员、业绩、奖项等)，请注意删除涉及商业秘密的内容(如报价清单、方案等)，并隐去涉及个人隐私信息的内容(如身份证号码、手机号码等）。</w:t>
            </w:r>
          </w:p>
          <w:p>
            <w:pPr>
              <w:spacing w:line="360" w:lineRule="auto"/>
              <w:rPr>
                <w:rFonts w:ascii="宋体" w:hAnsi="宋体"/>
                <w:highlight w:val="none"/>
              </w:rPr>
            </w:pPr>
            <w:r>
              <w:rPr>
                <w:rFonts w:hint="eastAsia" w:ascii="宋体" w:hAnsi="宋体"/>
                <w:highlight w:val="none"/>
              </w:rPr>
              <w:t>3、补救方案</w:t>
            </w:r>
          </w:p>
          <w:p>
            <w:pPr>
              <w:spacing w:line="360" w:lineRule="auto"/>
              <w:rPr>
                <w:rFonts w:ascii="宋体" w:hAnsi="宋体"/>
                <w:highlight w:val="none"/>
              </w:rPr>
            </w:pPr>
            <w:r>
              <w:rPr>
                <w:rFonts w:hint="eastAsia" w:ascii="宋体" w:hAnsi="宋体"/>
                <w:highlight w:val="none"/>
              </w:rPr>
              <w:t>（1）投标文件解密失败的补救方案：</w:t>
            </w:r>
          </w:p>
          <w:p>
            <w:pPr>
              <w:spacing w:line="360" w:lineRule="auto"/>
              <w:rPr>
                <w:rFonts w:ascii="宋体" w:hAnsi="宋体"/>
                <w:highlight w:val="none"/>
              </w:rPr>
            </w:pPr>
            <w:r>
              <w:rPr>
                <w:rFonts w:hint="eastAsia" w:ascii="宋体" w:hAnsi="宋体"/>
                <w:highlight w:val="none"/>
              </w:rPr>
              <w:t>在规定时间内，因投标人之外原因导致的电子投标文件解密失败，在开标现场读取光盘内容，继续开标程序。评标委员会对其投标文件的评审以光盘内容为准。</w:t>
            </w:r>
          </w:p>
          <w:p>
            <w:pPr>
              <w:spacing w:line="360" w:lineRule="auto"/>
              <w:rPr>
                <w:rFonts w:ascii="宋体" w:hAnsi="宋体"/>
                <w:highlight w:val="none"/>
              </w:rPr>
            </w:pPr>
            <w:r>
              <w:rPr>
                <w:rFonts w:hint="eastAsia" w:ascii="宋体" w:hAnsi="宋体"/>
                <w:highlight w:val="none"/>
              </w:rPr>
              <w:t>（2）评标时突发情况的补救方案</w:t>
            </w:r>
          </w:p>
          <w:p>
            <w:pPr>
              <w:spacing w:line="360" w:lineRule="auto"/>
              <w:rPr>
                <w:rFonts w:ascii="宋体" w:hAnsi="宋体"/>
                <w:highlight w:val="none"/>
              </w:rPr>
            </w:pPr>
            <w:r>
              <w:rPr>
                <w:rFonts w:hint="eastAsia" w:ascii="宋体" w:hAnsi="宋体"/>
                <w:highlight w:val="none"/>
              </w:rPr>
              <w:t>若遇不可抗力发生（如：网络瘫痪、服务器损坏、交易系统故障短期无法恢复等因素），由评标委员会开启现场递交的全部投标文件光盘，并按光盘内容进行评审。</w:t>
            </w:r>
          </w:p>
          <w:p>
            <w:pPr>
              <w:spacing w:line="360" w:lineRule="auto"/>
              <w:rPr>
                <w:rFonts w:ascii="宋体" w:hAnsi="宋体"/>
                <w:highlight w:val="none"/>
              </w:rPr>
            </w:pPr>
            <w:r>
              <w:rPr>
                <w:rFonts w:hint="eastAsia" w:ascii="宋体" w:hAnsi="宋体"/>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10</w:t>
            </w:r>
          </w:p>
        </w:tc>
        <w:tc>
          <w:tcPr>
            <w:tcW w:w="2423"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中标服务费及招标代理费</w:t>
            </w:r>
          </w:p>
        </w:tc>
        <w:tc>
          <w:tcPr>
            <w:tcW w:w="6111" w:type="dxa"/>
            <w:tcBorders>
              <w:top w:val="single" w:color="auto" w:sz="4" w:space="0"/>
              <w:left w:val="nil"/>
              <w:bottom w:val="single" w:color="auto" w:sz="4" w:space="0"/>
              <w:right w:val="single" w:color="auto" w:sz="4" w:space="0"/>
            </w:tcBorders>
            <w:vAlign w:val="center"/>
          </w:tcPr>
          <w:p>
            <w:pPr>
              <w:spacing w:before="120" w:beforeLines="50" w:line="360" w:lineRule="auto"/>
              <w:jc w:val="left"/>
              <w:rPr>
                <w:rFonts w:ascii="宋体" w:hAnsi="宋体"/>
                <w:highlight w:val="none"/>
              </w:rPr>
            </w:pPr>
            <w:r>
              <w:rPr>
                <w:rFonts w:hint="eastAsia" w:cs="宋体"/>
                <w:kern w:val="1"/>
                <w:highlight w:val="none"/>
              </w:rPr>
              <w:t>中标服务费和招标代理费均由中标人支付，中标服务费按广州公共资源交易中心出具的收费标准缴费至平台，招标代理费按招标代理合同执行，由中标人在领取中标通知书前一次性支付给招标代理。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11</w:t>
            </w:r>
          </w:p>
        </w:tc>
        <w:tc>
          <w:tcPr>
            <w:tcW w:w="8534"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招标失败的情形</w:t>
            </w:r>
          </w:p>
        </w:tc>
        <w:tc>
          <w:tcPr>
            <w:tcW w:w="8534"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r>
              <w:rPr>
                <w:rFonts w:ascii="宋体" w:hAnsi="宋体"/>
                <w:highlight w:val="none"/>
              </w:rPr>
              <w:t xml:space="preserve">本项目采用资格后审方式，满足资格审查合格条件或通过初步评审的投标申请人不足3名时为招标失败。招标人分析招标失败原因，修正招标方案，报有关管理部门核准后，重新组织招标。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pPr>
              <w:pStyle w:val="68"/>
              <w:snapToGrid w:val="0"/>
              <w:spacing w:line="360" w:lineRule="auto"/>
              <w:jc w:val="center"/>
              <w:rPr>
                <w:rFonts w:cs="Times New Roman"/>
                <w:highlight w:val="none"/>
              </w:rPr>
            </w:pPr>
            <w:bookmarkStart w:id="49" w:name="_Toc184635071"/>
            <w:r>
              <w:rPr>
                <w:rFonts w:hint="eastAsia" w:cs="Times New Roman"/>
                <w:highlight w:val="none"/>
              </w:rPr>
              <w:t>其他</w:t>
            </w:r>
            <w:bookmarkEnd w:id="49"/>
          </w:p>
        </w:tc>
        <w:tc>
          <w:tcPr>
            <w:tcW w:w="8534" w:type="dxa"/>
            <w:gridSpan w:val="2"/>
            <w:tcBorders>
              <w:top w:val="single" w:color="auto" w:sz="4" w:space="0"/>
              <w:left w:val="nil"/>
              <w:bottom w:val="single" w:color="auto" w:sz="4" w:space="0"/>
              <w:right w:val="single" w:color="auto" w:sz="4" w:space="0"/>
            </w:tcBorders>
            <w:vAlign w:val="center"/>
          </w:tcPr>
          <w:p>
            <w:pPr>
              <w:pStyle w:val="68"/>
              <w:snapToGrid w:val="0"/>
              <w:spacing w:line="360" w:lineRule="auto"/>
              <w:rPr>
                <w:rFonts w:cs="Times New Roman"/>
                <w:highlight w:val="none"/>
              </w:rPr>
            </w:pPr>
            <w:r>
              <w:rPr>
                <w:rFonts w:hint="eastAsia" w:cs="Times New Roman"/>
                <w:highlight w:val="none"/>
              </w:rPr>
              <w:t>1、</w:t>
            </w:r>
            <w:r>
              <w:rPr>
                <w:rFonts w:hint="eastAsia"/>
                <w:highlight w:val="none"/>
                <w:u w:val="single"/>
              </w:rPr>
              <w:t>中标单位与招标人签订合同后须安排项目负责人及拟投入本项目的专业技术人员尽快驻场</w:t>
            </w:r>
            <w:r>
              <w:rPr>
                <w:rFonts w:hint="eastAsia" w:cs="Times New Roman"/>
                <w:highlight w:val="none"/>
              </w:rPr>
              <w:t>，并按招标人要求开展工作。</w:t>
            </w:r>
          </w:p>
          <w:p>
            <w:pPr>
              <w:pStyle w:val="68"/>
              <w:snapToGrid w:val="0"/>
              <w:spacing w:line="360" w:lineRule="auto"/>
              <w:rPr>
                <w:rFonts w:cs="Times New Roman"/>
                <w:highlight w:val="none"/>
              </w:rPr>
            </w:pPr>
            <w:r>
              <w:rPr>
                <w:rFonts w:hint="eastAsia"/>
                <w:kern w:val="0"/>
                <w:highlight w:val="none"/>
              </w:rPr>
              <w:t>2、在产生中标候选人后，招标人将中标候选人的投标文件商务部分的电子版（报价清单、方案等涉及商业秘密的内容除外）在广州公共资源交易中心网站公开</w:t>
            </w:r>
            <w:r>
              <w:rPr>
                <w:rFonts w:hint="eastAsia" w:cs="Times New Roman"/>
                <w:highlight w:val="none"/>
              </w:rPr>
              <w:t>。</w:t>
            </w:r>
          </w:p>
          <w:p>
            <w:pPr>
              <w:spacing w:line="360" w:lineRule="auto"/>
              <w:rPr>
                <w:rFonts w:ascii="宋体" w:hAnsi="宋体"/>
                <w:highlight w:val="none"/>
                <w:u w:val="single"/>
              </w:rPr>
            </w:pPr>
            <w:r>
              <w:rPr>
                <w:rFonts w:hint="eastAsia" w:ascii="宋体" w:hAnsi="宋体"/>
                <w:highlight w:val="none"/>
              </w:rPr>
              <w:t>3、</w:t>
            </w:r>
            <w:r>
              <w:rPr>
                <w:rFonts w:hint="eastAsia" w:ascii="宋体" w:hAnsi="宋体"/>
                <w:highlight w:val="none"/>
                <w:u w:val="single"/>
              </w:rPr>
              <w:t>中标人应向广州公共资源交易中心交纳公共资源交易服务费。</w:t>
            </w:r>
          </w:p>
          <w:p>
            <w:pPr>
              <w:spacing w:line="360" w:lineRule="auto"/>
              <w:rPr>
                <w:rFonts w:ascii="宋体" w:hAnsi="宋体"/>
                <w:highlight w:val="none"/>
                <w:u w:val="single"/>
              </w:rPr>
            </w:pPr>
            <w:r>
              <w:rPr>
                <w:rFonts w:hint="eastAsia"/>
                <w:highlight w:val="none"/>
              </w:rPr>
              <w:t>4、中标单位在中标候选人公示后3个工作日内，补送一正四副正式书面投标文件（加盖公章）及电子文件光盘给招标人。</w:t>
            </w:r>
          </w:p>
        </w:tc>
      </w:tr>
    </w:tbl>
    <w:p>
      <w:pPr>
        <w:spacing w:line="540" w:lineRule="exact"/>
        <w:rPr>
          <w:rFonts w:ascii="宋体" w:hAnsi="宋体"/>
          <w:color w:val="000000"/>
          <w:sz w:val="32"/>
          <w:szCs w:val="32"/>
        </w:rPr>
      </w:pPr>
      <w:r>
        <w:rPr>
          <w:rFonts w:hint="eastAsia" w:ascii="宋体" w:hAnsi="宋体"/>
          <w:color w:val="000000"/>
          <w:sz w:val="24"/>
          <w:szCs w:val="24"/>
        </w:rPr>
        <w:br w:type="page"/>
      </w:r>
      <w:bookmarkStart w:id="50" w:name="_Toc13444"/>
      <w:bookmarkEnd w:id="50"/>
      <w:bookmarkStart w:id="51" w:name="_Toc30533"/>
      <w:bookmarkEnd w:id="51"/>
      <w:bookmarkStart w:id="52" w:name="_Toc20776"/>
      <w:bookmarkEnd w:id="52"/>
      <w:bookmarkStart w:id="53" w:name="_Toc514170121"/>
      <w:bookmarkEnd w:id="53"/>
      <w:bookmarkStart w:id="54" w:name="_Toc25165"/>
      <w:bookmarkEnd w:id="54"/>
      <w:bookmarkStart w:id="55" w:name="_Toc9855"/>
      <w:bookmarkEnd w:id="55"/>
      <w:bookmarkStart w:id="56" w:name="_Toc7526"/>
      <w:r>
        <w:rPr>
          <w:rFonts w:hint="eastAsia" w:ascii="宋体" w:hAnsi="宋体"/>
          <w:b/>
          <w:bCs/>
          <w:color w:val="000000"/>
          <w:sz w:val="32"/>
          <w:szCs w:val="32"/>
        </w:rPr>
        <w:t xml:space="preserve">1. </w:t>
      </w:r>
      <w:bookmarkEnd w:id="56"/>
      <w:r>
        <w:rPr>
          <w:rFonts w:hint="eastAsia" w:ascii="宋体" w:hAnsi="宋体"/>
          <w:color w:val="000000"/>
          <w:sz w:val="32"/>
          <w:szCs w:val="32"/>
        </w:rPr>
        <w:t>总则</w:t>
      </w:r>
    </w:p>
    <w:p>
      <w:pPr>
        <w:spacing w:line="200" w:lineRule="exact"/>
        <w:jc w:val="left"/>
        <w:rPr>
          <w:rFonts w:ascii="宋体" w:hAnsi="宋体"/>
          <w:color w:val="000000"/>
          <w:sz w:val="20"/>
          <w:szCs w:val="20"/>
        </w:rPr>
      </w:pPr>
    </w:p>
    <w:p>
      <w:pPr>
        <w:spacing w:before="19" w:line="220" w:lineRule="exact"/>
        <w:jc w:val="left"/>
        <w:rPr>
          <w:rFonts w:ascii="宋体" w:hAnsi="宋体"/>
          <w:color w:val="000000"/>
          <w:sz w:val="22"/>
          <w:szCs w:val="22"/>
        </w:rPr>
      </w:pPr>
    </w:p>
    <w:p>
      <w:pPr>
        <w:ind w:left="237" w:right="-20"/>
        <w:jc w:val="left"/>
        <w:rPr>
          <w:rFonts w:ascii="宋体" w:hAnsi="宋体"/>
          <w:color w:val="000000"/>
          <w:sz w:val="28"/>
          <w:szCs w:val="28"/>
        </w:rPr>
      </w:pPr>
      <w:r>
        <w:rPr>
          <w:rFonts w:hint="eastAsia" w:ascii="宋体" w:hAnsi="宋体"/>
          <w:color w:val="000000"/>
          <w:sz w:val="28"/>
          <w:szCs w:val="28"/>
        </w:rPr>
        <w:t>1.1 招标项目概况</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1.1.1 根据《中华人民共和国招标投标法》、《中华人民共和国招标投标法实施条例》等有关法律、法规和规章的规定，本招标项目已具备招标条件，现对</w:t>
      </w:r>
      <w:r>
        <w:rPr>
          <w:rFonts w:hint="eastAsia" w:ascii="宋体" w:hAnsi="宋体"/>
          <w:color w:val="000000"/>
          <w:u w:val="single"/>
        </w:rPr>
        <w:t>施工期技术服务</w:t>
      </w:r>
      <w:r>
        <w:rPr>
          <w:rFonts w:hint="eastAsia" w:ascii="宋体" w:hAnsi="宋体"/>
          <w:color w:val="000000"/>
        </w:rPr>
        <w:t>进行招标。</w:t>
      </w:r>
    </w:p>
    <w:p>
      <w:pPr>
        <w:autoSpaceDE w:val="0"/>
        <w:spacing w:line="312" w:lineRule="auto"/>
        <w:ind w:firstLine="420" w:firstLineChars="200"/>
        <w:jc w:val="left"/>
        <w:rPr>
          <w:rFonts w:ascii="宋体" w:hAnsi="宋体"/>
          <w:color w:val="000000"/>
        </w:rPr>
      </w:pPr>
      <w:r>
        <w:rPr>
          <w:rFonts w:hint="eastAsia" w:ascii="宋体" w:hAnsi="宋体"/>
          <w:color w:val="000000"/>
        </w:rPr>
        <w:t>1.1.2 招标人：见投标人须知前附表。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1.1.3 招标代理机构：见投标人须知前附表。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1.1.4 招标项目名称：见投标人须知前附表。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1.1.5 项目建设地点：见投标人须知前附表。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1.1.6 项目建设规模：见投标人须知前附表。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1.1.7</w:t>
      </w:r>
      <w:r>
        <w:rPr>
          <w:rFonts w:hint="eastAsia" w:ascii="宋体" w:hAnsi="宋体" w:cs="宋体"/>
          <w:color w:val="000000"/>
          <w:u w:val="single"/>
        </w:rPr>
        <w:t>工程项目施工预计开工日期</w:t>
      </w:r>
      <w:r>
        <w:rPr>
          <w:rFonts w:hint="eastAsia" w:ascii="宋体" w:hAnsi="宋体"/>
          <w:color w:val="000000"/>
        </w:rPr>
        <w:t>：见投标人须知前附表。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1.1.8 项目投资估算：见投标人须知前附表。</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1.2 招标项目的资金来源和落实情况</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1.2.1 资金来源及比例：见投标人须知前附表。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1.2.2 资金落实情况：见投标人须知前附表。</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1.3 招标范围、</w:t>
      </w:r>
      <w:r>
        <w:rPr>
          <w:rFonts w:hint="eastAsia" w:ascii="宋体" w:hAnsi="宋体"/>
          <w:color w:val="000000"/>
          <w:sz w:val="28"/>
          <w:szCs w:val="28"/>
          <w:u w:val="single"/>
        </w:rPr>
        <w:t>服务期</w:t>
      </w:r>
      <w:r>
        <w:rPr>
          <w:rFonts w:hint="eastAsia" w:ascii="宋体" w:hAnsi="宋体"/>
          <w:color w:val="000000"/>
          <w:sz w:val="28"/>
          <w:szCs w:val="28"/>
        </w:rPr>
        <w:t>、质量标准</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1.3.1 招标范围：见投标人须知前附表。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1.3.2</w:t>
      </w:r>
      <w:r>
        <w:rPr>
          <w:rFonts w:hint="eastAsia" w:ascii="宋体" w:hAnsi="宋体"/>
          <w:color w:val="000000"/>
          <w:u w:val="single"/>
        </w:rPr>
        <w:t>服务期</w:t>
      </w:r>
      <w:r>
        <w:rPr>
          <w:rFonts w:hint="eastAsia" w:ascii="宋体" w:hAnsi="宋体"/>
          <w:color w:val="000000"/>
        </w:rPr>
        <w:t>：见投标人须知前附表。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1.3.3 质量标准：见投标人须知前附表。</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1.4 投标人资格要求</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1.4.1 投标人应具备承担本招标项目资质条件、能力和信誉：</w:t>
      </w:r>
    </w:p>
    <w:p>
      <w:pPr>
        <w:autoSpaceDE w:val="0"/>
        <w:spacing w:before="39" w:line="312" w:lineRule="auto"/>
        <w:ind w:firstLine="420" w:firstLineChars="200"/>
        <w:rPr>
          <w:rFonts w:ascii="宋体" w:hAnsi="宋体"/>
          <w:color w:val="000000"/>
        </w:rPr>
      </w:pPr>
      <w:r>
        <w:rPr>
          <w:rFonts w:hint="eastAsia" w:ascii="宋体" w:hAnsi="宋体"/>
          <w:color w:val="000000"/>
        </w:rPr>
        <w:t>（1）资质要求：见投标人须知前附表；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（2）财务要求：见投标人须知前附表；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（3）业绩要求：见投标人须知前附表；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（4）信誉要求：见投标人须知前附表；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（5）</w:t>
      </w:r>
      <w:r>
        <w:rPr>
          <w:rFonts w:hint="eastAsia"/>
          <w:color w:val="000000"/>
        </w:rPr>
        <w:t>项目负责人</w:t>
      </w:r>
      <w:r>
        <w:rPr>
          <w:rFonts w:hint="eastAsia" w:ascii="宋体" w:hAnsi="宋体"/>
          <w:color w:val="000000"/>
        </w:rPr>
        <w:t>的资格要求：</w:t>
      </w:r>
      <w:r>
        <w:rPr>
          <w:rFonts w:hint="eastAsia" w:ascii="宋体" w:hAnsi="宋体"/>
          <w:color w:val="000000"/>
          <w:u w:val="single"/>
        </w:rPr>
        <w:t>具体要求见投标人须知前附表；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（6）其他主要人员要求：见投标人须知前附表。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（7）试验检测仪器设备要求：见投标人须知前附表。</w:t>
      </w:r>
    </w:p>
    <w:p>
      <w:pPr>
        <w:autoSpaceDE w:val="0"/>
        <w:spacing w:before="39" w:line="312" w:lineRule="auto"/>
        <w:ind w:firstLine="420" w:firstLineChars="200"/>
        <w:rPr>
          <w:rFonts w:ascii="宋体" w:hAnsi="宋体"/>
          <w:color w:val="000000"/>
        </w:rPr>
      </w:pPr>
      <w:r>
        <w:rPr>
          <w:rFonts w:hint="eastAsia" w:ascii="宋体" w:hAnsi="宋体"/>
          <w:color w:val="000000"/>
        </w:rPr>
        <w:t>（8）其他要求：见投标人须知前附表。需要提交的相关证明材料见本章第 3.5 款的规定。</w:t>
      </w:r>
    </w:p>
    <w:p>
      <w:pPr>
        <w:autoSpaceDE w:val="0"/>
        <w:spacing w:before="39" w:line="312" w:lineRule="auto"/>
        <w:ind w:firstLine="420" w:firstLineChars="200"/>
        <w:rPr>
          <w:rFonts w:ascii="宋体" w:hAnsi="宋体"/>
          <w:color w:val="000000"/>
        </w:rPr>
      </w:pPr>
      <w:r>
        <w:rPr>
          <w:rFonts w:hint="eastAsia" w:ascii="宋体" w:hAnsi="宋体"/>
          <w:color w:val="000000"/>
        </w:rPr>
        <w:t>1.4.2 投标人须知前附表规定接受联合体投标的，联合体除应符合本章第 1.4.1 项和投标人须知前附表的要求外，还应遵守以下规定：</w:t>
      </w:r>
    </w:p>
    <w:p>
      <w:pPr>
        <w:autoSpaceDE w:val="0"/>
        <w:spacing w:before="11" w:line="312" w:lineRule="auto"/>
        <w:ind w:left="100" w:right="43" w:firstLine="314"/>
        <w:jc w:val="left"/>
        <w:rPr>
          <w:rFonts w:ascii="宋体" w:hAnsi="宋体"/>
          <w:color w:val="000000"/>
        </w:rPr>
      </w:pPr>
      <w:r>
        <w:rPr>
          <w:rFonts w:hint="eastAsia" w:ascii="宋体" w:hAnsi="宋体"/>
          <w:color w:val="000000"/>
        </w:rPr>
        <w:t>（1）联合体各方应按招标文件提供的格式签订联合体协议书，明确联合体牵头人和各方权利义务，并承诺就中标项目向招标人承担连带责任；</w:t>
      </w:r>
    </w:p>
    <w:p>
      <w:pPr>
        <w:autoSpaceDE w:val="0"/>
        <w:spacing w:before="6" w:line="312" w:lineRule="auto"/>
        <w:ind w:left="415" w:right="-20"/>
        <w:jc w:val="left"/>
        <w:rPr>
          <w:rFonts w:ascii="宋体" w:hAnsi="宋体"/>
          <w:color w:val="000000"/>
        </w:rPr>
      </w:pPr>
      <w:r>
        <w:rPr>
          <w:rFonts w:hint="eastAsia" w:ascii="宋体" w:hAnsi="宋体"/>
          <w:color w:val="000000"/>
        </w:rPr>
        <w:t>（2）由同一专业的单位组成的联合体，按照资质等级较低的单位确定资质等级；</w:t>
      </w:r>
    </w:p>
    <w:p>
      <w:pPr>
        <w:autoSpaceDE w:val="0"/>
        <w:spacing w:before="39" w:line="312" w:lineRule="auto"/>
        <w:ind w:left="100" w:right="43" w:firstLine="314"/>
        <w:jc w:val="left"/>
        <w:rPr>
          <w:rFonts w:ascii="宋体" w:hAnsi="宋体"/>
          <w:color w:val="000000"/>
        </w:rPr>
      </w:pPr>
      <w:r>
        <w:rPr>
          <w:rFonts w:hint="eastAsia" w:ascii="宋体" w:hAnsi="宋体"/>
          <w:color w:val="000000"/>
        </w:rPr>
        <w:t>（3）联合体各方不得再以自己名义单独或参加其他联合体在本招标项目中投标，否则各相关投标均无效。</w:t>
      </w:r>
    </w:p>
    <w:p>
      <w:pPr>
        <w:autoSpaceDE w:val="0"/>
        <w:spacing w:before="6" w:line="312" w:lineRule="auto"/>
        <w:ind w:left="520" w:right="-20"/>
        <w:jc w:val="left"/>
        <w:rPr>
          <w:rFonts w:ascii="宋体" w:hAnsi="宋体"/>
          <w:color w:val="000000"/>
        </w:rPr>
      </w:pPr>
      <w:r>
        <w:rPr>
          <w:rFonts w:hint="eastAsia" w:ascii="宋体" w:hAnsi="宋体"/>
          <w:color w:val="000000"/>
        </w:rPr>
        <w:t>1.4.3 投标人不得存在下列情形之一：</w:t>
      </w:r>
    </w:p>
    <w:p>
      <w:pPr>
        <w:autoSpaceDE w:val="0"/>
        <w:spacing w:before="39" w:line="312" w:lineRule="auto"/>
        <w:ind w:left="520" w:right="-20"/>
        <w:jc w:val="left"/>
        <w:rPr>
          <w:rFonts w:ascii="宋体" w:hAnsi="宋体"/>
          <w:color w:val="000000"/>
        </w:rPr>
      </w:pPr>
      <w:r>
        <w:rPr>
          <w:rFonts w:hint="eastAsia" w:ascii="宋体" w:hAnsi="宋体"/>
          <w:color w:val="000000"/>
        </w:rPr>
        <w:t>（1）为招标人不具有独立法人资格的附属机构（单位）；</w:t>
      </w:r>
    </w:p>
    <w:p>
      <w:pPr>
        <w:autoSpaceDE w:val="0"/>
        <w:spacing w:before="39" w:line="312" w:lineRule="auto"/>
        <w:ind w:left="520" w:right="-20"/>
        <w:jc w:val="left"/>
        <w:rPr>
          <w:rFonts w:ascii="宋体" w:hAnsi="宋体"/>
          <w:color w:val="000000"/>
        </w:rPr>
      </w:pPr>
      <w:r>
        <w:rPr>
          <w:rFonts w:hint="eastAsia" w:ascii="宋体" w:hAnsi="宋体"/>
          <w:color w:val="000000"/>
        </w:rPr>
        <w:t>（2）与招标人存在利害关系且可能影响招标公正性；</w:t>
      </w:r>
    </w:p>
    <w:p>
      <w:pPr>
        <w:autoSpaceDE w:val="0"/>
        <w:spacing w:before="37" w:line="312" w:lineRule="auto"/>
        <w:ind w:left="520" w:right="-20"/>
        <w:jc w:val="left"/>
        <w:rPr>
          <w:rFonts w:ascii="宋体" w:hAnsi="宋体"/>
          <w:color w:val="000000"/>
        </w:rPr>
      </w:pPr>
      <w:r>
        <w:rPr>
          <w:rFonts w:hint="eastAsia" w:ascii="宋体" w:hAnsi="宋体"/>
          <w:color w:val="000000"/>
        </w:rPr>
        <w:t>（3）与本招标项目的其他投标人为同一个单位负责人；</w:t>
      </w:r>
    </w:p>
    <w:p>
      <w:pPr>
        <w:autoSpaceDE w:val="0"/>
        <w:spacing w:before="40" w:line="312" w:lineRule="auto"/>
        <w:ind w:left="520" w:right="-20"/>
        <w:jc w:val="left"/>
        <w:rPr>
          <w:rFonts w:ascii="宋体" w:hAnsi="宋体"/>
          <w:color w:val="000000"/>
        </w:rPr>
      </w:pPr>
      <w:r>
        <w:rPr>
          <w:rFonts w:hint="eastAsia" w:ascii="宋体" w:hAnsi="宋体"/>
          <w:color w:val="000000"/>
        </w:rPr>
        <w:t>（4）与本招标项目的其他投标人存在控股、管理关系；</w:t>
      </w:r>
    </w:p>
    <w:p>
      <w:pPr>
        <w:autoSpaceDE w:val="0"/>
        <w:spacing w:before="39" w:line="312" w:lineRule="auto"/>
        <w:ind w:left="520" w:right="-20"/>
        <w:jc w:val="left"/>
        <w:rPr>
          <w:rFonts w:ascii="宋体" w:hAnsi="宋体"/>
          <w:color w:val="000000"/>
        </w:rPr>
      </w:pPr>
      <w:r>
        <w:rPr>
          <w:rFonts w:hint="eastAsia" w:ascii="宋体" w:hAnsi="宋体"/>
          <w:color w:val="000000"/>
        </w:rPr>
        <w:t>（5）为本招标项目的代建人；</w:t>
      </w:r>
    </w:p>
    <w:p>
      <w:pPr>
        <w:autoSpaceDE w:val="0"/>
        <w:spacing w:before="37" w:line="312" w:lineRule="auto"/>
        <w:ind w:left="520" w:right="-20"/>
        <w:jc w:val="left"/>
        <w:rPr>
          <w:rFonts w:ascii="宋体" w:hAnsi="宋体"/>
          <w:color w:val="000000"/>
        </w:rPr>
      </w:pPr>
      <w:r>
        <w:rPr>
          <w:rFonts w:hint="eastAsia" w:ascii="宋体" w:hAnsi="宋体"/>
          <w:color w:val="000000"/>
        </w:rPr>
        <w:t>（6）为本招标项目的招标代理机构；</w:t>
      </w:r>
    </w:p>
    <w:p>
      <w:pPr>
        <w:autoSpaceDE w:val="0"/>
        <w:spacing w:before="39" w:line="312" w:lineRule="auto"/>
        <w:ind w:left="520" w:right="-20"/>
        <w:jc w:val="left"/>
        <w:rPr>
          <w:rFonts w:ascii="宋体" w:hAnsi="宋体"/>
          <w:color w:val="000000"/>
        </w:rPr>
      </w:pPr>
      <w:r>
        <w:rPr>
          <w:rFonts w:hint="eastAsia" w:ascii="宋体" w:hAnsi="宋体"/>
          <w:color w:val="000000"/>
        </w:rPr>
        <w:t>（7）与本招标项目的招标代理机构同为一个法定代表人；</w:t>
      </w:r>
    </w:p>
    <w:p>
      <w:pPr>
        <w:autoSpaceDE w:val="0"/>
        <w:spacing w:before="39" w:line="312" w:lineRule="auto"/>
        <w:ind w:left="520" w:right="-20"/>
        <w:jc w:val="left"/>
        <w:rPr>
          <w:rFonts w:ascii="宋体" w:hAnsi="宋体"/>
          <w:color w:val="000000"/>
        </w:rPr>
      </w:pPr>
      <w:r>
        <w:rPr>
          <w:rFonts w:hint="eastAsia" w:ascii="宋体" w:hAnsi="宋体"/>
          <w:color w:val="000000"/>
        </w:rPr>
        <w:t>（8）与本招标项目的招标代理机构存在控股或参股关系；</w:t>
      </w:r>
    </w:p>
    <w:p>
      <w:pPr>
        <w:autoSpaceDE w:val="0"/>
        <w:spacing w:before="37" w:line="312" w:lineRule="auto"/>
        <w:ind w:left="100" w:right="39" w:firstLine="420"/>
        <w:jc w:val="left"/>
        <w:rPr>
          <w:rFonts w:ascii="宋体" w:hAnsi="宋体"/>
          <w:color w:val="000000"/>
        </w:rPr>
      </w:pPr>
      <w:r>
        <w:rPr>
          <w:rFonts w:hint="eastAsia" w:ascii="宋体" w:hAnsi="宋体"/>
          <w:color w:val="000000"/>
        </w:rPr>
        <w:t>（9）与本招标项目的施工承包人以及建筑材料、建筑构配件和设备供应商有隶属关系或者其他利害关系；</w:t>
      </w:r>
    </w:p>
    <w:p>
      <w:pPr>
        <w:autoSpaceDE w:val="0"/>
        <w:spacing w:before="9" w:line="312" w:lineRule="auto"/>
        <w:ind w:left="520" w:right="-20"/>
        <w:jc w:val="left"/>
        <w:rPr>
          <w:rFonts w:ascii="宋体" w:hAnsi="宋体"/>
          <w:color w:val="000000"/>
        </w:rPr>
      </w:pPr>
      <w:r>
        <w:rPr>
          <w:rFonts w:hint="eastAsia" w:ascii="宋体" w:hAnsi="宋体"/>
          <w:color w:val="000000"/>
        </w:rPr>
        <w:t>（10）被依法暂停或者取消投标资格；</w:t>
      </w:r>
    </w:p>
    <w:p>
      <w:pPr>
        <w:autoSpaceDE w:val="0"/>
        <w:spacing w:before="37" w:line="312" w:lineRule="auto"/>
        <w:ind w:left="520" w:right="-20"/>
        <w:jc w:val="left"/>
        <w:rPr>
          <w:rFonts w:ascii="宋体" w:hAnsi="宋体"/>
          <w:color w:val="000000"/>
        </w:rPr>
      </w:pPr>
      <w:r>
        <w:rPr>
          <w:rFonts w:hint="eastAsia" w:ascii="宋体" w:hAnsi="宋体"/>
          <w:color w:val="000000"/>
        </w:rPr>
        <w:t>（11）被责令停产停业、暂扣或者吊销许可证、暂扣或者吊销执照；</w:t>
      </w:r>
    </w:p>
    <w:p>
      <w:pPr>
        <w:autoSpaceDE w:val="0"/>
        <w:spacing w:before="39" w:line="312" w:lineRule="auto"/>
        <w:ind w:left="520" w:right="-20"/>
        <w:jc w:val="left"/>
        <w:rPr>
          <w:rFonts w:ascii="宋体" w:hAnsi="宋体"/>
          <w:color w:val="000000"/>
        </w:rPr>
      </w:pPr>
      <w:r>
        <w:rPr>
          <w:rFonts w:hint="eastAsia" w:ascii="宋体" w:hAnsi="宋体"/>
          <w:color w:val="000000"/>
        </w:rPr>
        <w:t>（12）进入清算程序，或被宣告破产，或其他丧失履约能力的情形；</w:t>
      </w:r>
    </w:p>
    <w:p>
      <w:pPr>
        <w:autoSpaceDE w:val="0"/>
        <w:spacing w:before="39" w:line="312" w:lineRule="auto"/>
        <w:ind w:left="100" w:right="42" w:firstLine="420"/>
        <w:jc w:val="left"/>
        <w:rPr>
          <w:rFonts w:ascii="宋体" w:hAnsi="宋体"/>
          <w:color w:val="000000"/>
        </w:rPr>
      </w:pPr>
      <w:r>
        <w:rPr>
          <w:rFonts w:hint="eastAsia" w:ascii="宋体" w:hAnsi="宋体"/>
          <w:color w:val="000000"/>
        </w:rPr>
        <w:t>（13）在最近三年内发生重大质量问题（以相关行业主管部门的行政处罚决定或司法机关出具的有关法律文书为准）；</w:t>
      </w:r>
    </w:p>
    <w:p>
      <w:pPr>
        <w:autoSpaceDE w:val="0"/>
        <w:spacing w:before="11" w:line="312" w:lineRule="auto"/>
        <w:ind w:left="520" w:right="-20"/>
        <w:jc w:val="left"/>
        <w:rPr>
          <w:rFonts w:ascii="宋体" w:hAnsi="宋体"/>
          <w:color w:val="000000"/>
        </w:rPr>
      </w:pPr>
      <w:r>
        <w:rPr>
          <w:rFonts w:hint="eastAsia" w:ascii="宋体" w:hAnsi="宋体"/>
          <w:color w:val="000000"/>
        </w:rPr>
        <w:t>（14）被工商行政管理机关在全国企业信用信息公示系统中列入严重违法失信企业名单；</w:t>
      </w:r>
    </w:p>
    <w:p>
      <w:pPr>
        <w:autoSpaceDE w:val="0"/>
        <w:spacing w:before="39" w:line="312" w:lineRule="auto"/>
        <w:ind w:left="100" w:right="39" w:firstLine="420"/>
        <w:jc w:val="left"/>
        <w:rPr>
          <w:rFonts w:ascii="宋体" w:hAnsi="宋体"/>
          <w:color w:val="000000"/>
        </w:rPr>
      </w:pPr>
      <w:r>
        <w:rPr>
          <w:rFonts w:hint="eastAsia" w:ascii="宋体" w:hAnsi="宋体"/>
          <w:color w:val="000000"/>
        </w:rPr>
        <w:t>（15）被最高人民法院在“信用中国”网站（www.creditchina.gov.cn）或各级信用信息共享平台中列入失信被执行人名单；</w:t>
      </w:r>
    </w:p>
    <w:p>
      <w:pPr>
        <w:autoSpaceDE w:val="0"/>
        <w:spacing w:line="312" w:lineRule="auto"/>
        <w:ind w:left="520" w:right="-20"/>
        <w:jc w:val="left"/>
        <w:rPr>
          <w:rFonts w:ascii="宋体" w:hAnsi="宋体"/>
          <w:color w:val="000000"/>
        </w:rPr>
      </w:pPr>
      <w:r>
        <w:rPr>
          <w:rFonts w:hint="eastAsia" w:ascii="宋体" w:hAnsi="宋体"/>
          <w:color w:val="000000"/>
        </w:rPr>
        <w:t>（16）法律法规或投标人须知前附表规定的其他情形。</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1.5 费用承担</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投标人准备和参加投标活动发生的费用自理。</w:t>
      </w:r>
      <w:r>
        <w:rPr>
          <w:rFonts w:hint="eastAsia" w:ascii="宋体" w:hAnsi="宋体" w:cs="宋体"/>
          <w:kern w:val="10"/>
        </w:rPr>
        <w:t>招标代理服务费</w:t>
      </w:r>
      <w:r>
        <w:rPr>
          <w:rFonts w:hint="eastAsia"/>
          <w:snapToGrid w:val="0"/>
          <w:color w:val="000000"/>
          <w:kern w:val="0"/>
          <w:szCs w:val="28"/>
        </w:rPr>
        <w:t>及评标专家酬劳</w:t>
      </w:r>
      <w:r>
        <w:rPr>
          <w:rFonts w:hint="eastAsia" w:ascii="宋体" w:hAnsi="宋体" w:cs="宋体"/>
          <w:kern w:val="10"/>
        </w:rPr>
        <w:t>由中标单位支付，计算方法：按差额定率累进法分段计算；收费依据：以中标价为计费基数按国家计委颁布的《招标代理服务收费管理暂行办法》（计价格[2002]1980号）招标代理服务费收费标准执行（服务类）。</w:t>
      </w:r>
      <w:r>
        <w:rPr>
          <w:rFonts w:hint="eastAsia"/>
          <w:snapToGrid w:val="0"/>
          <w:color w:val="000000"/>
          <w:kern w:val="0"/>
          <w:szCs w:val="28"/>
        </w:rPr>
        <w:t>评标专家酬劳先由招标代理垫付，以评标结束当日的评标专家酬劳签收表总额为准。该费用不再另行报价，由投标人在投标报价时综合考虑在内。</w:t>
      </w:r>
    </w:p>
    <w:p>
      <w:pPr>
        <w:spacing w:before="5"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1.6 保密</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s="宋体"/>
          <w:kern w:val="10"/>
        </w:rPr>
      </w:pPr>
      <w:r>
        <w:rPr>
          <w:rFonts w:hint="eastAsia" w:ascii="宋体" w:hAnsi="宋体" w:cs="宋体"/>
          <w:kern w:val="10"/>
        </w:rPr>
        <w:t>参与招标投标活动的各方应对招标文件和投标文件中的商业和技术等秘密保密，否则应承担相应的法律责任。</w:t>
      </w:r>
    </w:p>
    <w:p>
      <w:pPr>
        <w:spacing w:before="7"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1.7 语言文字</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招标投标文件使用的语言文字为中文。专用术语使用外文的，应附有中文注释。</w:t>
      </w:r>
    </w:p>
    <w:p>
      <w:pPr>
        <w:spacing w:before="5"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1.8 计量单位</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所有计量均采用中华人民共和国法定计量单位。</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1.9 踏勘现场</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1.9.1 投标人须知前附表规定组织踏勘现场的，招标人按投标人须知前附表规定的时间、地点组织投标人踏勘项目现场。部分投标人未按时参加踏勘现场的，不影响踏勘现场的正常进行。</w:t>
      </w:r>
    </w:p>
    <w:p>
      <w:pPr>
        <w:autoSpaceDE w:val="0"/>
        <w:spacing w:line="312" w:lineRule="auto"/>
        <w:ind w:firstLine="420" w:firstLineChars="200"/>
        <w:jc w:val="left"/>
        <w:rPr>
          <w:rFonts w:ascii="宋体" w:hAnsi="宋体"/>
          <w:color w:val="000000"/>
        </w:rPr>
      </w:pPr>
      <w:r>
        <w:rPr>
          <w:rFonts w:hint="eastAsia" w:ascii="宋体" w:hAnsi="宋体"/>
          <w:color w:val="000000"/>
        </w:rPr>
        <w:t>1.9.2 投标人踏勘现场发生的费用自理。</w:t>
      </w:r>
    </w:p>
    <w:p>
      <w:pPr>
        <w:autoSpaceDE w:val="0"/>
        <w:spacing w:line="312" w:lineRule="auto"/>
        <w:ind w:firstLine="420" w:firstLineChars="200"/>
        <w:jc w:val="left"/>
        <w:rPr>
          <w:rFonts w:ascii="宋体" w:hAnsi="宋体"/>
          <w:color w:val="000000"/>
        </w:rPr>
      </w:pPr>
      <w:r>
        <w:rPr>
          <w:rFonts w:hint="eastAsia" w:ascii="宋体" w:hAnsi="宋体"/>
          <w:color w:val="000000"/>
        </w:rPr>
        <w:t>1.9.3 除招标人的原因外，投标人自行负责在踏勘现场中所发生的人员伤亡和财产损失。</w:t>
      </w:r>
    </w:p>
    <w:p>
      <w:pPr>
        <w:autoSpaceDE w:val="0"/>
        <w:spacing w:line="312" w:lineRule="auto"/>
        <w:ind w:firstLine="420" w:firstLineChars="200"/>
        <w:jc w:val="left"/>
        <w:rPr>
          <w:rFonts w:ascii="宋体" w:hAnsi="宋体"/>
          <w:color w:val="000000"/>
        </w:rPr>
      </w:pPr>
      <w:r>
        <w:rPr>
          <w:rFonts w:hint="eastAsia" w:ascii="宋体" w:hAnsi="宋体"/>
          <w:color w:val="000000"/>
        </w:rPr>
        <w:t>1.9.4 招标人在踏勘现场中介绍的工程场地和相关的周边环境情况，供投标人在编制投标文件时参考，招标人不对投标人据此作出的判断和决策负责。</w:t>
      </w:r>
    </w:p>
    <w:p>
      <w:pPr>
        <w:spacing w:before="9"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1.10 投标预备会</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1.10.1 投标人须知前附表规定召开投标预备会的，招标人按投标人须知前附表规定的时间和地点召开投标预备会，澄清投标人提出的问题。</w:t>
      </w:r>
    </w:p>
    <w:p>
      <w:pPr>
        <w:autoSpaceDE w:val="0"/>
        <w:spacing w:line="312" w:lineRule="auto"/>
        <w:ind w:firstLine="420" w:firstLineChars="200"/>
        <w:jc w:val="left"/>
        <w:rPr>
          <w:rFonts w:ascii="宋体" w:hAnsi="宋体"/>
          <w:color w:val="000000"/>
        </w:rPr>
      </w:pPr>
      <w:r>
        <w:rPr>
          <w:rFonts w:hint="eastAsia" w:ascii="宋体" w:hAnsi="宋体"/>
          <w:color w:val="000000"/>
        </w:rPr>
        <w:t>1.10.2 投标人应按投标人须知前附表规定的时间和形式将提出的问题送达招标人，以便招标人在会议期间澄清。</w:t>
      </w:r>
    </w:p>
    <w:p>
      <w:pPr>
        <w:autoSpaceDE w:val="0"/>
        <w:spacing w:line="312" w:lineRule="auto"/>
        <w:ind w:firstLine="420" w:firstLineChars="200"/>
        <w:jc w:val="left"/>
        <w:rPr>
          <w:rFonts w:ascii="宋体" w:hAnsi="宋体"/>
          <w:color w:val="000000"/>
        </w:rPr>
      </w:pPr>
      <w:r>
        <w:rPr>
          <w:rFonts w:hint="eastAsia" w:ascii="宋体" w:hAnsi="宋体"/>
          <w:color w:val="000000"/>
        </w:rPr>
        <w:t>1.10.3 投标预备会后，招标人将对投标人所提问题的澄清，以投标人须知前附表规定的形式通知所有购买招标文件的投标人。该澄清内容为招标文件的组成部分。</w:t>
      </w:r>
    </w:p>
    <w:p>
      <w:pPr>
        <w:ind w:left="237" w:right="-20"/>
        <w:jc w:val="left"/>
        <w:rPr>
          <w:rFonts w:ascii="宋体" w:hAnsi="宋体"/>
          <w:color w:val="000000"/>
          <w:sz w:val="28"/>
          <w:szCs w:val="28"/>
        </w:rPr>
      </w:pPr>
      <w:r>
        <w:rPr>
          <w:rFonts w:hint="eastAsia" w:ascii="宋体" w:hAnsi="宋体"/>
          <w:color w:val="000000"/>
          <w:sz w:val="28"/>
          <w:szCs w:val="28"/>
        </w:rPr>
        <w:t>1.11 分包</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本项目严禁分包。</w:t>
      </w:r>
    </w:p>
    <w:p>
      <w:pPr>
        <w:spacing w:before="5"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1.12 响应和偏差</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1.12.1 投标文件应当对招标文件的实质性要求和条件作出满足性或更有利于招标人的响应，否则，投标人的投标将被否决。实质性要求和条件见投标人须知前附表。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1.12.2 投标人应根据招标文件的要求提供投标</w:t>
      </w:r>
      <w:r>
        <w:rPr>
          <w:rFonts w:hint="eastAsia" w:ascii="宋体" w:hAnsi="宋体"/>
          <w:color w:val="000000"/>
          <w:u w:val="single"/>
        </w:rPr>
        <w:t>服务大纲</w:t>
      </w:r>
      <w:r>
        <w:rPr>
          <w:rFonts w:hint="eastAsia" w:ascii="宋体" w:hAnsi="宋体"/>
          <w:color w:val="000000"/>
        </w:rPr>
        <w:t>等内容以对招标文件作出响应。</w:t>
      </w:r>
    </w:p>
    <w:p>
      <w:pPr>
        <w:autoSpaceDE w:val="0"/>
        <w:spacing w:line="312" w:lineRule="auto"/>
        <w:ind w:firstLine="420" w:firstLineChars="200"/>
        <w:jc w:val="left"/>
        <w:rPr>
          <w:rFonts w:ascii="宋体" w:hAnsi="宋体"/>
          <w:color w:val="000000"/>
        </w:rPr>
      </w:pPr>
      <w:r>
        <w:rPr>
          <w:rFonts w:hint="eastAsia" w:ascii="宋体" w:hAnsi="宋体"/>
          <w:color w:val="000000"/>
        </w:rPr>
        <w:t>1.12.3 投标人须知前附表允许投标文件偏离招标文件某些要求的，偏差应当符合招标文件规定的偏差范围和幅度。</w:t>
      </w:r>
    </w:p>
    <w:p>
      <w:pPr>
        <w:spacing w:before="9" w:line="100" w:lineRule="exact"/>
        <w:jc w:val="left"/>
        <w:rPr>
          <w:rFonts w:ascii="宋体" w:hAnsi="宋体"/>
          <w:color w:val="000000"/>
          <w:sz w:val="10"/>
          <w:szCs w:val="10"/>
        </w:rPr>
      </w:pP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2. </w:t>
      </w:r>
      <w:r>
        <w:rPr>
          <w:rFonts w:hint="eastAsia" w:ascii="宋体" w:hAnsi="宋体"/>
          <w:color w:val="000000"/>
          <w:sz w:val="32"/>
          <w:szCs w:val="32"/>
        </w:rPr>
        <w:t>招标文件</w:t>
      </w:r>
    </w:p>
    <w:p>
      <w:pPr>
        <w:spacing w:line="200" w:lineRule="exact"/>
        <w:jc w:val="left"/>
        <w:rPr>
          <w:rFonts w:ascii="宋体" w:hAnsi="宋体"/>
          <w:color w:val="000000"/>
          <w:sz w:val="20"/>
          <w:szCs w:val="20"/>
        </w:rPr>
      </w:pPr>
    </w:p>
    <w:p>
      <w:pPr>
        <w:spacing w:before="19" w:line="220" w:lineRule="exact"/>
        <w:jc w:val="left"/>
        <w:rPr>
          <w:rFonts w:ascii="宋体" w:hAnsi="宋体"/>
          <w:color w:val="000000"/>
          <w:sz w:val="22"/>
          <w:szCs w:val="22"/>
        </w:rPr>
      </w:pPr>
    </w:p>
    <w:p>
      <w:pPr>
        <w:ind w:left="237" w:right="-20"/>
        <w:jc w:val="left"/>
        <w:rPr>
          <w:rFonts w:ascii="宋体" w:hAnsi="宋体"/>
          <w:color w:val="000000"/>
          <w:sz w:val="28"/>
          <w:szCs w:val="28"/>
        </w:rPr>
      </w:pPr>
      <w:r>
        <w:rPr>
          <w:rFonts w:hint="eastAsia" w:ascii="宋体" w:hAnsi="宋体"/>
          <w:color w:val="000000"/>
          <w:sz w:val="28"/>
          <w:szCs w:val="28"/>
        </w:rPr>
        <w:t>2.1 招标文件的组成</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本招标文件包括：</w:t>
      </w:r>
    </w:p>
    <w:p>
      <w:pPr>
        <w:autoSpaceDE w:val="0"/>
        <w:spacing w:line="312" w:lineRule="auto"/>
        <w:ind w:firstLine="420" w:firstLineChars="200"/>
        <w:jc w:val="left"/>
        <w:rPr>
          <w:rFonts w:ascii="宋体" w:hAnsi="宋体"/>
          <w:color w:val="000000"/>
        </w:rPr>
      </w:pPr>
      <w:r>
        <w:rPr>
          <w:rFonts w:hint="eastAsia" w:ascii="宋体" w:hAnsi="宋体"/>
          <w:color w:val="000000"/>
        </w:rPr>
        <w:t>（1）招标公告（或投标邀请书）；</w:t>
      </w:r>
    </w:p>
    <w:p>
      <w:pPr>
        <w:autoSpaceDE w:val="0"/>
        <w:spacing w:line="312" w:lineRule="auto"/>
        <w:ind w:firstLine="420" w:firstLineChars="200"/>
        <w:jc w:val="left"/>
        <w:rPr>
          <w:rFonts w:ascii="宋体" w:hAnsi="宋体"/>
          <w:color w:val="000000"/>
        </w:rPr>
      </w:pPr>
      <w:r>
        <w:rPr>
          <w:rFonts w:hint="eastAsia" w:ascii="宋体" w:hAnsi="宋体"/>
          <w:color w:val="000000"/>
        </w:rPr>
        <w:t>（2）投标人须知；</w:t>
      </w:r>
    </w:p>
    <w:p>
      <w:pPr>
        <w:autoSpaceDE w:val="0"/>
        <w:spacing w:line="312" w:lineRule="auto"/>
        <w:ind w:firstLine="420" w:firstLineChars="200"/>
        <w:jc w:val="left"/>
        <w:rPr>
          <w:rFonts w:ascii="宋体" w:hAnsi="宋体"/>
          <w:color w:val="000000"/>
        </w:rPr>
      </w:pPr>
      <w:r>
        <w:rPr>
          <w:rFonts w:hint="eastAsia" w:ascii="宋体" w:hAnsi="宋体"/>
          <w:color w:val="000000"/>
        </w:rPr>
        <w:t>（3）评标办法；</w:t>
      </w:r>
    </w:p>
    <w:p>
      <w:pPr>
        <w:autoSpaceDE w:val="0"/>
        <w:spacing w:line="312" w:lineRule="auto"/>
        <w:ind w:firstLine="420" w:firstLineChars="200"/>
        <w:jc w:val="left"/>
        <w:rPr>
          <w:rFonts w:ascii="宋体" w:hAnsi="宋体"/>
          <w:color w:val="000000"/>
        </w:rPr>
      </w:pPr>
      <w:r>
        <w:rPr>
          <w:rFonts w:hint="eastAsia" w:ascii="宋体" w:hAnsi="宋体"/>
          <w:color w:val="000000"/>
        </w:rPr>
        <w:t>（4）合同条款及格式；</w:t>
      </w:r>
    </w:p>
    <w:p>
      <w:pPr>
        <w:autoSpaceDE w:val="0"/>
        <w:spacing w:line="312" w:lineRule="auto"/>
        <w:ind w:firstLine="420" w:firstLineChars="200"/>
        <w:jc w:val="left"/>
        <w:rPr>
          <w:rFonts w:ascii="宋体" w:hAnsi="宋体"/>
          <w:color w:val="000000"/>
        </w:rPr>
      </w:pPr>
      <w:r>
        <w:rPr>
          <w:rFonts w:hint="eastAsia" w:ascii="宋体" w:hAnsi="宋体"/>
          <w:color w:val="000000"/>
        </w:rPr>
        <w:t>（5）委托人要求；</w:t>
      </w:r>
    </w:p>
    <w:p>
      <w:pPr>
        <w:autoSpaceDE w:val="0"/>
        <w:spacing w:line="312" w:lineRule="auto"/>
        <w:ind w:firstLine="420" w:firstLineChars="200"/>
        <w:jc w:val="left"/>
        <w:rPr>
          <w:rFonts w:ascii="宋体" w:hAnsi="宋体"/>
          <w:color w:val="000000"/>
        </w:rPr>
      </w:pPr>
      <w:r>
        <w:rPr>
          <w:rFonts w:hint="eastAsia" w:ascii="宋体" w:hAnsi="宋体"/>
          <w:color w:val="000000"/>
        </w:rPr>
        <w:t>（6）投标文件格式；</w:t>
      </w:r>
    </w:p>
    <w:p>
      <w:pPr>
        <w:autoSpaceDE w:val="0"/>
        <w:spacing w:line="312" w:lineRule="auto"/>
        <w:ind w:firstLine="420" w:firstLineChars="200"/>
        <w:jc w:val="left"/>
        <w:rPr>
          <w:rFonts w:ascii="宋体" w:hAnsi="宋体"/>
          <w:color w:val="000000"/>
        </w:rPr>
      </w:pPr>
      <w:r>
        <w:rPr>
          <w:rFonts w:hint="eastAsia" w:ascii="宋体" w:hAnsi="宋体"/>
          <w:color w:val="000000"/>
        </w:rPr>
        <w:t>（7）投标人须知前附表规定的其他资料。</w:t>
      </w:r>
    </w:p>
    <w:p>
      <w:pPr>
        <w:autoSpaceDE w:val="0"/>
        <w:spacing w:line="312" w:lineRule="auto"/>
        <w:ind w:firstLine="420" w:firstLineChars="200"/>
        <w:jc w:val="left"/>
        <w:rPr>
          <w:rFonts w:ascii="宋体" w:hAnsi="宋体"/>
          <w:color w:val="000000"/>
        </w:rPr>
      </w:pPr>
      <w:r>
        <w:rPr>
          <w:rFonts w:hint="eastAsia" w:ascii="宋体" w:hAnsi="宋体"/>
          <w:color w:val="000000"/>
        </w:rPr>
        <w:t>根据本章第1.10款、第2.2款和第2.3款对招标文件所作的澄清、修改，构成招标文件的组成部分。</w:t>
      </w:r>
    </w:p>
    <w:p>
      <w:pPr>
        <w:spacing w:before="5"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2.2 招标文件的澄清</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spacing w:line="312" w:lineRule="auto"/>
        <w:ind w:firstLine="420" w:firstLineChars="200"/>
        <w:jc w:val="left"/>
        <w:rPr>
          <w:rFonts w:ascii="宋体" w:hAnsi="宋体"/>
          <w:color w:val="000000"/>
        </w:rPr>
      </w:pPr>
      <w:r>
        <w:rPr>
          <w:rFonts w:hint="eastAsia" w:ascii="宋体" w:hAnsi="宋体"/>
          <w:color w:val="000000"/>
        </w:rPr>
        <w:t>2.2.2 招标文件的澄清以投标人须知前附表规定的形式发给所有购买招标文件的投标人，但不指明澄清问题的来源。澄清发出的时间距本章第 4.2.1 项规定的投标截止时间不足 15日的，并且澄清内容可能影响投标文件编制的，将相应延长投标截止时间。</w:t>
      </w:r>
    </w:p>
    <w:p>
      <w:pPr>
        <w:autoSpaceDE w:val="0"/>
        <w:spacing w:line="312" w:lineRule="auto"/>
        <w:ind w:firstLine="420" w:firstLineChars="200"/>
        <w:jc w:val="left"/>
        <w:rPr>
          <w:rFonts w:ascii="宋体" w:hAnsi="宋体"/>
          <w:color w:val="000000"/>
        </w:rPr>
      </w:pPr>
      <w:r>
        <w:rPr>
          <w:rFonts w:hint="eastAsia" w:ascii="宋体" w:hAnsi="宋体"/>
          <w:color w:val="000000"/>
        </w:rPr>
        <w:t>2.2.3 投标人在收到澄清后，应按投标人须知前附表规定的时间和形式通知招标人，确认已收到该澄清。</w:t>
      </w:r>
    </w:p>
    <w:p>
      <w:pPr>
        <w:autoSpaceDE w:val="0"/>
        <w:spacing w:line="312" w:lineRule="auto"/>
        <w:ind w:firstLine="420" w:firstLineChars="200"/>
        <w:jc w:val="left"/>
        <w:rPr>
          <w:rFonts w:ascii="宋体" w:hAnsi="宋体"/>
          <w:color w:val="000000"/>
        </w:rPr>
      </w:pPr>
      <w:r>
        <w:rPr>
          <w:rFonts w:hint="eastAsia" w:ascii="宋体" w:hAnsi="宋体"/>
          <w:color w:val="000000"/>
        </w:rPr>
        <w:t>2.2.4 除非招标人认为确有必要答复，否则，招标人有权拒绝回复投标人在本章第 2.2.1 项规定的时间后的任何澄清要求。</w:t>
      </w:r>
    </w:p>
    <w:p>
      <w:pPr>
        <w:spacing w:before="5"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2.3 招标文件的修改</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spacing w:before="7"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2.4 招标文件的异议</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投标人或者其他利害关系人对招标文件有异议的，应当在投标截止时间 10 日前以书面形式提出。招标人将在收到异议之日起 3 日内作出答复；作出答复前，将暂停招标投标活动。</w:t>
      </w:r>
    </w:p>
    <w:p>
      <w:pPr>
        <w:spacing w:before="1" w:line="110" w:lineRule="exact"/>
        <w:jc w:val="left"/>
        <w:rPr>
          <w:rFonts w:ascii="宋体" w:hAnsi="宋体"/>
          <w:color w:val="000000"/>
          <w:sz w:val="11"/>
          <w:szCs w:val="11"/>
        </w:rPr>
      </w:pP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3. </w:t>
      </w:r>
      <w:r>
        <w:rPr>
          <w:rFonts w:hint="eastAsia" w:ascii="宋体" w:hAnsi="宋体"/>
          <w:color w:val="000000"/>
          <w:sz w:val="32"/>
          <w:szCs w:val="32"/>
        </w:rPr>
        <w:t>投标文件</w:t>
      </w:r>
    </w:p>
    <w:p>
      <w:pPr>
        <w:spacing w:line="200" w:lineRule="exact"/>
        <w:jc w:val="left"/>
        <w:rPr>
          <w:rFonts w:ascii="宋体" w:hAnsi="宋体"/>
          <w:color w:val="000000"/>
          <w:sz w:val="20"/>
          <w:szCs w:val="20"/>
        </w:rPr>
      </w:pPr>
    </w:p>
    <w:p>
      <w:pPr>
        <w:spacing w:before="19" w:line="220" w:lineRule="exact"/>
        <w:jc w:val="left"/>
        <w:rPr>
          <w:rFonts w:ascii="宋体" w:hAnsi="宋体"/>
          <w:color w:val="000000"/>
          <w:sz w:val="22"/>
          <w:szCs w:val="22"/>
        </w:rPr>
      </w:pPr>
    </w:p>
    <w:p>
      <w:pPr>
        <w:ind w:left="237" w:right="-20"/>
        <w:jc w:val="left"/>
        <w:rPr>
          <w:rFonts w:ascii="宋体" w:hAnsi="宋体"/>
          <w:color w:val="000000"/>
          <w:sz w:val="28"/>
          <w:szCs w:val="28"/>
        </w:rPr>
      </w:pPr>
      <w:r>
        <w:rPr>
          <w:rFonts w:hint="eastAsia" w:ascii="宋体" w:hAnsi="宋体"/>
          <w:color w:val="000000"/>
          <w:sz w:val="28"/>
          <w:szCs w:val="28"/>
        </w:rPr>
        <w:t>3.1 投标文件的组成</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3.1.1 投标文件应包括下列内容：</w:t>
      </w:r>
    </w:p>
    <w:p>
      <w:pPr>
        <w:autoSpaceDE w:val="0"/>
        <w:spacing w:line="312" w:lineRule="auto"/>
        <w:ind w:firstLine="420" w:firstLineChars="200"/>
        <w:jc w:val="left"/>
        <w:rPr>
          <w:rFonts w:ascii="宋体" w:hAnsi="宋体"/>
          <w:color w:val="000000"/>
        </w:rPr>
      </w:pPr>
      <w:r>
        <w:rPr>
          <w:rFonts w:hint="eastAsia" w:ascii="宋体" w:hAnsi="宋体"/>
          <w:color w:val="000000"/>
        </w:rPr>
        <w:t>（1）投标函及投标函附录；</w:t>
      </w:r>
    </w:p>
    <w:p>
      <w:pPr>
        <w:autoSpaceDE w:val="0"/>
        <w:spacing w:line="312" w:lineRule="auto"/>
        <w:ind w:firstLine="420" w:firstLineChars="200"/>
        <w:jc w:val="left"/>
        <w:rPr>
          <w:rFonts w:ascii="宋体" w:hAnsi="宋体"/>
          <w:color w:val="000000"/>
        </w:rPr>
      </w:pPr>
      <w:r>
        <w:rPr>
          <w:rFonts w:hint="eastAsia" w:ascii="宋体" w:hAnsi="宋体"/>
          <w:color w:val="000000"/>
        </w:rPr>
        <w:t>（2）法定代表人证明书、授权委托书；</w:t>
      </w:r>
    </w:p>
    <w:p>
      <w:pPr>
        <w:autoSpaceDE w:val="0"/>
        <w:spacing w:line="312" w:lineRule="auto"/>
        <w:ind w:firstLine="420" w:firstLineChars="200"/>
        <w:jc w:val="left"/>
        <w:rPr>
          <w:rFonts w:ascii="宋体" w:hAnsi="宋体"/>
          <w:color w:val="000000"/>
        </w:rPr>
      </w:pPr>
      <w:r>
        <w:rPr>
          <w:rFonts w:hint="eastAsia" w:ascii="宋体" w:hAnsi="宋体"/>
          <w:color w:val="000000"/>
        </w:rPr>
        <w:t>（3）资格审查资料；</w:t>
      </w:r>
    </w:p>
    <w:p>
      <w:pPr>
        <w:autoSpaceDE w:val="0"/>
        <w:spacing w:line="312" w:lineRule="auto"/>
        <w:ind w:firstLine="420" w:firstLineChars="200"/>
        <w:jc w:val="left"/>
        <w:rPr>
          <w:rFonts w:ascii="宋体" w:hAnsi="宋体"/>
          <w:color w:val="000000"/>
        </w:rPr>
      </w:pPr>
      <w:r>
        <w:rPr>
          <w:rFonts w:hint="eastAsia" w:ascii="宋体" w:hAnsi="宋体"/>
          <w:color w:val="000000"/>
        </w:rPr>
        <w:t>（4）资信业绩部分；</w:t>
      </w:r>
    </w:p>
    <w:p>
      <w:pPr>
        <w:autoSpaceDE w:val="0"/>
        <w:spacing w:line="312" w:lineRule="auto"/>
        <w:ind w:firstLine="420" w:firstLineChars="200"/>
        <w:jc w:val="left"/>
        <w:rPr>
          <w:rFonts w:ascii="宋体" w:hAnsi="宋体"/>
          <w:color w:val="000000"/>
        </w:rPr>
      </w:pPr>
      <w:r>
        <w:rPr>
          <w:rFonts w:hint="eastAsia" w:ascii="宋体" w:hAnsi="宋体"/>
          <w:color w:val="000000"/>
        </w:rPr>
        <w:t>（5）技术部分；</w:t>
      </w:r>
    </w:p>
    <w:p>
      <w:pPr>
        <w:autoSpaceDE w:val="0"/>
        <w:spacing w:line="312" w:lineRule="auto"/>
        <w:ind w:firstLine="420" w:firstLineChars="200"/>
        <w:jc w:val="left"/>
        <w:rPr>
          <w:rFonts w:ascii="宋体" w:hAnsi="宋体"/>
          <w:color w:val="000000"/>
        </w:rPr>
      </w:pPr>
      <w:r>
        <w:rPr>
          <w:rFonts w:hint="eastAsia" w:ascii="宋体" w:hAnsi="宋体"/>
          <w:color w:val="000000"/>
        </w:rPr>
        <w:t>（6）其他资料。</w:t>
      </w:r>
    </w:p>
    <w:p>
      <w:pPr>
        <w:autoSpaceDE w:val="0"/>
        <w:spacing w:line="312" w:lineRule="auto"/>
        <w:ind w:firstLine="420" w:firstLineChars="200"/>
        <w:jc w:val="left"/>
        <w:rPr>
          <w:rFonts w:ascii="宋体" w:hAnsi="宋体"/>
          <w:color w:val="000000"/>
        </w:rPr>
      </w:pPr>
      <w:r>
        <w:rPr>
          <w:rFonts w:hint="eastAsia" w:ascii="宋体" w:hAnsi="宋体"/>
          <w:color w:val="000000"/>
        </w:rPr>
        <w:t>投标人在评标过程中作出的符合法律法规和招标文件规定的澄清确认，构成投标文件的组成部分。</w:t>
      </w:r>
    </w:p>
    <w:p>
      <w:pPr>
        <w:autoSpaceDE w:val="0"/>
        <w:spacing w:line="312" w:lineRule="auto"/>
        <w:ind w:firstLine="420" w:firstLineChars="200"/>
        <w:jc w:val="left"/>
        <w:rPr>
          <w:rFonts w:ascii="宋体" w:hAnsi="宋体"/>
          <w:color w:val="000000"/>
        </w:rPr>
      </w:pPr>
      <w:r>
        <w:rPr>
          <w:rFonts w:hint="eastAsia" w:ascii="宋体" w:hAnsi="宋体"/>
          <w:color w:val="000000"/>
        </w:rPr>
        <w:t>3.1.2 投标人须知前附表未要求提交投标保证金的，投标文件不包括本章第 3.1.1（4）目所指的投标保证金。</w:t>
      </w:r>
    </w:p>
    <w:p>
      <w:pPr>
        <w:spacing w:before="7"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3.2 投标报价</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3.2.1 投标报价应包括国家规定的增值税税金，除投标人须知前附表另有规定外，增值税税金按一般计税方法计算。投标人应按第六章“投标文件格式”的要求在投标函中进行报价。</w:t>
      </w:r>
    </w:p>
    <w:p>
      <w:pPr>
        <w:autoSpaceDE w:val="0"/>
        <w:spacing w:line="312" w:lineRule="auto"/>
        <w:ind w:firstLine="420" w:firstLineChars="200"/>
        <w:jc w:val="left"/>
        <w:rPr>
          <w:rFonts w:ascii="宋体" w:hAnsi="宋体"/>
          <w:color w:val="000000"/>
        </w:rPr>
      </w:pPr>
      <w:r>
        <w:rPr>
          <w:rFonts w:hint="eastAsia" w:ascii="宋体" w:hAnsi="宋体"/>
          <w:color w:val="000000"/>
        </w:rPr>
        <w:t>3.2.2 投标人应充分了解该项目的总体情况以及影响投标报价的其他要素。</w:t>
      </w:r>
    </w:p>
    <w:p>
      <w:pPr>
        <w:autoSpaceDE w:val="0"/>
        <w:spacing w:line="312" w:lineRule="auto"/>
        <w:ind w:firstLine="420" w:firstLineChars="200"/>
        <w:jc w:val="left"/>
        <w:rPr>
          <w:rFonts w:ascii="宋体" w:hAnsi="宋体"/>
          <w:color w:val="000000"/>
        </w:rPr>
      </w:pPr>
      <w:r>
        <w:rPr>
          <w:rFonts w:hint="eastAsia" w:ascii="宋体" w:hAnsi="宋体"/>
          <w:color w:val="000000"/>
        </w:rPr>
        <w:t>3.2.3 本项目的报价方式见投标人须知前附表。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3.2.4 招标人设有最高投标限价的，投标人的投标报价不得超过最高投标限价，最高投标限价在投标人须知前附表中载明。</w:t>
      </w:r>
    </w:p>
    <w:p>
      <w:pPr>
        <w:autoSpaceDE w:val="0"/>
        <w:spacing w:line="312" w:lineRule="auto"/>
        <w:ind w:firstLine="420" w:firstLineChars="200"/>
        <w:jc w:val="left"/>
        <w:rPr>
          <w:rFonts w:ascii="宋体" w:hAnsi="宋体"/>
          <w:color w:val="000000"/>
        </w:rPr>
      </w:pPr>
      <w:r>
        <w:rPr>
          <w:rFonts w:hint="eastAsia" w:ascii="宋体" w:hAnsi="宋体"/>
          <w:color w:val="000000"/>
        </w:rPr>
        <w:t>3.2.5 投标报价的其他要求见投标人须知前附表。</w:t>
      </w:r>
    </w:p>
    <w:p>
      <w:pPr>
        <w:spacing w:before="5"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3.3 投标有效期</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3.3.1 除投标人须知前附表另有规定外，投标有效期为 90 天。</w:t>
      </w:r>
    </w:p>
    <w:p>
      <w:pPr>
        <w:autoSpaceDE w:val="0"/>
        <w:spacing w:line="312" w:lineRule="auto"/>
        <w:ind w:firstLine="420" w:firstLineChars="200"/>
        <w:jc w:val="left"/>
        <w:rPr>
          <w:rFonts w:ascii="宋体" w:hAnsi="宋体"/>
          <w:color w:val="000000"/>
        </w:rPr>
      </w:pPr>
      <w:r>
        <w:rPr>
          <w:rFonts w:hint="eastAsia" w:ascii="宋体" w:hAnsi="宋体"/>
          <w:color w:val="000000"/>
        </w:rPr>
        <w:t>3.3.2 在投标有效期内，投标人撤销投标文件的，应承担招标文件和法律规定的责任。</w:t>
      </w:r>
    </w:p>
    <w:p>
      <w:pPr>
        <w:autoSpaceDE w:val="0"/>
        <w:spacing w:line="312" w:lineRule="auto"/>
        <w:ind w:firstLine="420" w:firstLineChars="200"/>
        <w:jc w:val="left"/>
        <w:rPr>
          <w:rFonts w:ascii="宋体" w:hAnsi="宋体"/>
          <w:color w:val="000000"/>
        </w:rPr>
      </w:pPr>
      <w:r>
        <w:rPr>
          <w:rFonts w:hint="eastAsia" w:ascii="宋体" w:hAnsi="宋体"/>
          <w:color w:val="000000"/>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 及以现金或者支票形式递交的投标保证金的银行同期存款利息。</w:t>
      </w:r>
    </w:p>
    <w:p>
      <w:pPr>
        <w:spacing w:before="5"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3.4 投标保证金</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autoSpaceDE w:val="0"/>
        <w:spacing w:line="312" w:lineRule="auto"/>
        <w:ind w:firstLine="420" w:firstLineChars="200"/>
        <w:jc w:val="left"/>
        <w:rPr>
          <w:rFonts w:ascii="宋体" w:hAnsi="宋体"/>
          <w:color w:val="000000"/>
        </w:rPr>
      </w:pPr>
      <w:r>
        <w:rPr>
          <w:rFonts w:hint="eastAsia" w:ascii="宋体" w:hAnsi="宋体"/>
          <w:color w:val="000000"/>
        </w:rPr>
        <w:t>3.4.2 投标人不按本章第 3.4.1 项要求提交投标保证金的，评标委员会将否决其投标。</w:t>
      </w:r>
    </w:p>
    <w:p>
      <w:pPr>
        <w:autoSpaceDE w:val="0"/>
        <w:spacing w:line="312" w:lineRule="auto"/>
        <w:ind w:firstLine="420" w:firstLineChars="200"/>
        <w:jc w:val="left"/>
        <w:rPr>
          <w:rFonts w:ascii="宋体" w:hAnsi="宋体"/>
          <w:color w:val="000000"/>
        </w:rPr>
      </w:pPr>
      <w:r>
        <w:rPr>
          <w:rFonts w:hint="eastAsia" w:ascii="宋体" w:hAnsi="宋体"/>
          <w:color w:val="000000"/>
        </w:rPr>
        <w:t>3.4.3 招标人最迟将在与中标人签订合同后 5 日内，向未中标的投标人和中标人退还投标保证金。投标保证金以现金或者支票形式递交的，还应退还银行同期存款利息。</w:t>
      </w:r>
    </w:p>
    <w:p>
      <w:pPr>
        <w:autoSpaceDE w:val="0"/>
        <w:spacing w:line="312" w:lineRule="auto"/>
        <w:ind w:firstLine="420" w:firstLineChars="200"/>
        <w:jc w:val="left"/>
        <w:rPr>
          <w:rFonts w:ascii="宋体" w:hAnsi="宋体"/>
          <w:color w:val="000000"/>
        </w:rPr>
      </w:pPr>
      <w:r>
        <w:rPr>
          <w:rFonts w:hint="eastAsia" w:ascii="宋体" w:hAnsi="宋体"/>
          <w:color w:val="000000"/>
        </w:rPr>
        <w:t>3.4.4 有下列情形之一的，投标保证金将不予退还：</w:t>
      </w:r>
    </w:p>
    <w:p>
      <w:pPr>
        <w:autoSpaceDE w:val="0"/>
        <w:spacing w:line="312" w:lineRule="auto"/>
        <w:ind w:firstLine="420" w:firstLineChars="200"/>
        <w:jc w:val="left"/>
        <w:rPr>
          <w:rFonts w:ascii="宋体" w:hAnsi="宋体"/>
          <w:color w:val="000000"/>
        </w:rPr>
      </w:pPr>
      <w:r>
        <w:rPr>
          <w:rFonts w:hint="eastAsia" w:ascii="宋体" w:hAnsi="宋体"/>
          <w:color w:val="000000"/>
        </w:rPr>
        <w:t>（1）投标人在投标有效期内撤销投标文件；</w:t>
      </w:r>
    </w:p>
    <w:p>
      <w:pPr>
        <w:autoSpaceDE w:val="0"/>
        <w:spacing w:line="312" w:lineRule="auto"/>
        <w:ind w:firstLine="420" w:firstLineChars="200"/>
        <w:jc w:val="left"/>
        <w:rPr>
          <w:rFonts w:ascii="宋体" w:hAnsi="宋体"/>
          <w:color w:val="000000"/>
        </w:rPr>
      </w:pPr>
      <w:r>
        <w:rPr>
          <w:rFonts w:hint="eastAsia" w:ascii="宋体" w:hAnsi="宋体"/>
          <w:color w:val="000000"/>
        </w:rPr>
        <w:t>（2）中标人在收到中标通知书后，无正当理由不与招标人订立合同，在签订合同时向招标人提出附加条件，或者不按照招标文件要求提交履约保证金；</w:t>
      </w:r>
    </w:p>
    <w:p>
      <w:pPr>
        <w:autoSpaceDE w:val="0"/>
        <w:spacing w:line="312" w:lineRule="auto"/>
        <w:ind w:firstLine="420" w:firstLineChars="200"/>
        <w:jc w:val="left"/>
        <w:rPr>
          <w:rFonts w:ascii="宋体" w:hAnsi="宋体"/>
          <w:color w:val="000000"/>
        </w:rPr>
      </w:pPr>
      <w:r>
        <w:rPr>
          <w:rFonts w:hint="eastAsia" w:ascii="宋体" w:hAnsi="宋体"/>
          <w:color w:val="000000"/>
        </w:rPr>
        <w:t>（3）发生投标人须知前附表规定的其他可以不予退还投标保证金的情形。</w:t>
      </w:r>
    </w:p>
    <w:p>
      <w:pPr>
        <w:spacing w:before="5" w:line="150" w:lineRule="exact"/>
        <w:jc w:val="left"/>
        <w:rPr>
          <w:rFonts w:ascii="宋体" w:hAnsi="宋体"/>
          <w:color w:val="000000"/>
          <w:sz w:val="15"/>
          <w:szCs w:val="15"/>
        </w:rPr>
      </w:pPr>
    </w:p>
    <w:p>
      <w:pPr>
        <w:spacing w:before="5"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3.5 资格审查资料（适用于未进行资格预审的）</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除投标人须知前附表另有规定外，投标人应按下列规定提供资格审查资料，以证明其满足本章第 1.4 款规定的资质、财务、业绩、信誉等要求。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3.5.1投标人参加投标的意思表达清楚，投标人代表被授权有效。</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3.5.2投标人均具有独立法人资格，按国家法律经营，持有工商行政管理部门核发的法人营业执照。 </w:t>
      </w:r>
    </w:p>
    <w:p>
      <w:pPr>
        <w:spacing w:line="360" w:lineRule="auto"/>
        <w:ind w:firstLine="537" w:firstLineChars="224"/>
        <w:rPr>
          <w:rFonts w:ascii="宋体" w:hAnsi="宋体" w:cs="宋体"/>
          <w:color w:val="000000"/>
          <w:kern w:val="0"/>
          <w:sz w:val="24"/>
        </w:rPr>
      </w:pPr>
      <w:r>
        <w:rPr>
          <w:rFonts w:hint="eastAsia" w:ascii="宋体" w:hAnsi="宋体" w:cs="宋体"/>
          <w:color w:val="000000"/>
          <w:sz w:val="24"/>
        </w:rPr>
        <w:t>3.5.3</w:t>
      </w:r>
      <w:r>
        <w:rPr>
          <w:rFonts w:hint="eastAsia" w:ascii="宋体" w:hAnsi="宋体" w:cs="宋体"/>
          <w:color w:val="000000"/>
          <w:sz w:val="24"/>
          <w:szCs w:val="24"/>
        </w:rPr>
        <w:t>投标人须具有资质：见招标公告。</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3.5.4</w:t>
      </w:r>
      <w:r>
        <w:rPr>
          <w:rFonts w:hint="eastAsia" w:ascii="宋体" w:hAnsi="宋体" w:cs="宋体"/>
          <w:sz w:val="24"/>
          <w:szCs w:val="24"/>
        </w:rPr>
        <w:t>主要管理人员要求</w:t>
      </w:r>
      <w:r>
        <w:rPr>
          <w:rFonts w:hint="eastAsia" w:ascii="宋体" w:hAnsi="宋体" w:cs="宋体"/>
          <w:color w:val="000000"/>
          <w:sz w:val="24"/>
          <w:szCs w:val="24"/>
        </w:rPr>
        <w:t>：见招标公告。</w:t>
      </w:r>
    </w:p>
    <w:p>
      <w:pPr>
        <w:spacing w:line="360" w:lineRule="auto"/>
        <w:ind w:firstLine="480" w:firstLineChars="200"/>
        <w:rPr>
          <w:rFonts w:ascii="宋体" w:hAnsi="宋体" w:cs="宋体"/>
          <w:color w:val="000000"/>
          <w:sz w:val="24"/>
        </w:rPr>
      </w:pPr>
      <w:r>
        <w:rPr>
          <w:rFonts w:hint="eastAsia" w:ascii="宋体" w:hAnsi="宋体" w:cs="宋体"/>
          <w:color w:val="000000"/>
          <w:sz w:val="24"/>
        </w:rPr>
        <w:t>3.5.5 本次招标</w:t>
      </w:r>
      <w:r>
        <w:rPr>
          <w:rFonts w:hint="eastAsia" w:ascii="宋体" w:hAnsi="宋体" w:cs="宋体"/>
          <w:color w:val="000000"/>
          <w:sz w:val="24"/>
          <w:u w:val="single"/>
        </w:rPr>
        <w:t>不接受</w:t>
      </w:r>
      <w:r>
        <w:rPr>
          <w:rFonts w:hint="eastAsia" w:ascii="宋体" w:hAnsi="宋体" w:cs="宋体"/>
          <w:color w:val="000000"/>
          <w:sz w:val="24"/>
        </w:rPr>
        <w:t>联合体投标。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3.5.6</w:t>
      </w:r>
      <w:r>
        <w:rPr>
          <w:rFonts w:hint="eastAsia" w:ascii="宋体" w:hAnsi="宋体" w:cs="宋体"/>
          <w:color w:val="000000"/>
          <w:sz w:val="24"/>
          <w:u w:val="single"/>
        </w:rPr>
        <w:t>资格审查前</w:t>
      </w:r>
      <w:r>
        <w:rPr>
          <w:rFonts w:hint="eastAsia" w:ascii="宋体" w:hAnsi="宋体" w:cs="宋体"/>
          <w:color w:val="000000"/>
          <w:sz w:val="24"/>
        </w:rPr>
        <w:t>，投标人须在广州公共资源交易中心办理企业信息登记，拟担任本工程</w:t>
      </w:r>
      <w:r>
        <w:rPr>
          <w:rFonts w:hint="eastAsia" w:ascii="宋体" w:hAnsi="宋体" w:cs="宋体"/>
          <w:color w:val="000000"/>
          <w:sz w:val="24"/>
          <w:u w:val="single"/>
        </w:rPr>
        <w:t>项目负责人</w:t>
      </w:r>
      <w:r>
        <w:rPr>
          <w:rFonts w:hint="eastAsia" w:ascii="宋体" w:hAnsi="宋体" w:cs="宋体"/>
          <w:color w:val="000000"/>
          <w:sz w:val="24"/>
        </w:rPr>
        <w:t>为本企业诚信档案中的在册人员。</w:t>
      </w:r>
    </w:p>
    <w:p>
      <w:pPr>
        <w:spacing w:line="360" w:lineRule="auto"/>
        <w:ind w:firstLine="480" w:firstLineChars="200"/>
        <w:rPr>
          <w:rFonts w:ascii="宋体" w:hAnsi="宋体" w:cs="宋体"/>
          <w:color w:val="000000"/>
          <w:sz w:val="24"/>
        </w:rPr>
      </w:pPr>
      <w:r>
        <w:rPr>
          <w:rFonts w:hint="eastAsia" w:ascii="宋体" w:hAnsi="宋体" w:cs="宋体"/>
          <w:color w:val="000000"/>
          <w:sz w:val="24"/>
        </w:rPr>
        <w:t>3.5.7投标人已出具按照附件一的内容签署盖章的投标申请人声明。</w:t>
      </w:r>
    </w:p>
    <w:p>
      <w:pPr>
        <w:spacing w:before="9"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3.6 备选投标方案</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3.6.1 除投标人须知前附表规定允许外，投标人不得递交备选投标方案，否则其投标将被否决。</w:t>
      </w:r>
    </w:p>
    <w:p>
      <w:pPr>
        <w:autoSpaceDE w:val="0"/>
        <w:spacing w:line="312" w:lineRule="auto"/>
        <w:ind w:firstLine="420" w:firstLineChars="200"/>
        <w:jc w:val="left"/>
        <w:rPr>
          <w:rFonts w:ascii="宋体" w:hAnsi="宋体"/>
          <w:color w:val="000000"/>
        </w:rPr>
      </w:pPr>
      <w:r>
        <w:rPr>
          <w:rFonts w:hint="eastAsia" w:ascii="宋体" w:hAnsi="宋体"/>
          <w:color w:val="000000"/>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spacing w:line="312" w:lineRule="auto"/>
        <w:ind w:firstLine="420" w:firstLineChars="200"/>
        <w:jc w:val="left"/>
        <w:rPr>
          <w:rFonts w:ascii="宋体" w:hAnsi="宋体"/>
          <w:color w:val="000000"/>
        </w:rPr>
      </w:pPr>
      <w:r>
        <w:rPr>
          <w:rFonts w:hint="eastAsia" w:ascii="宋体" w:hAnsi="宋体"/>
          <w:color w:val="000000"/>
        </w:rPr>
        <w:t>3.6.3 投标人提供两个或两个以上投标报价，或者在投标文件中提供一个报价，但同时提供两个或两个以上</w:t>
      </w:r>
      <w:r>
        <w:rPr>
          <w:rFonts w:hint="eastAsia" w:ascii="宋体" w:hAnsi="宋体"/>
          <w:color w:val="000000"/>
          <w:u w:val="single"/>
        </w:rPr>
        <w:t>服务方案</w:t>
      </w:r>
      <w:r>
        <w:rPr>
          <w:rFonts w:hint="eastAsia" w:ascii="宋体" w:hAnsi="宋体"/>
          <w:color w:val="000000"/>
        </w:rPr>
        <w:t>的，视为提供备选方案。</w:t>
      </w:r>
    </w:p>
    <w:p>
      <w:pPr>
        <w:spacing w:before="8"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3.7 投标文件的编制</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3.7.1 投标文件应按第六章“投标文件格式”进行编写，如有必要，可以增加附页，作为投标文件的组成部分。其中，投标函附录在满足招标文件实质性要求的基础上，可以提出比招标文 件要求更有利于招标人的承诺。</w:t>
      </w:r>
    </w:p>
    <w:p>
      <w:pPr>
        <w:autoSpaceDE w:val="0"/>
        <w:spacing w:line="312" w:lineRule="auto"/>
        <w:ind w:firstLine="420" w:firstLineChars="200"/>
        <w:jc w:val="left"/>
        <w:rPr>
          <w:rFonts w:ascii="宋体" w:hAnsi="宋体"/>
          <w:color w:val="000000"/>
        </w:rPr>
      </w:pPr>
      <w:r>
        <w:rPr>
          <w:rFonts w:hint="eastAsia" w:ascii="宋体" w:hAnsi="宋体"/>
          <w:color w:val="000000"/>
        </w:rPr>
        <w:t>3.7.2 投标文件应当对招标文件有关</w:t>
      </w:r>
      <w:r>
        <w:rPr>
          <w:rFonts w:hint="eastAsia" w:ascii="宋体" w:hAnsi="宋体"/>
          <w:color w:val="000000"/>
          <w:u w:val="single"/>
        </w:rPr>
        <w:t>服务期</w:t>
      </w:r>
      <w:r>
        <w:rPr>
          <w:rFonts w:hint="eastAsia" w:ascii="宋体" w:hAnsi="宋体"/>
          <w:color w:val="000000"/>
        </w:rPr>
        <w:t>、投标有效期、委托人要求、招标范围等实质性内容作出响应。</w:t>
      </w:r>
    </w:p>
    <w:p>
      <w:pPr>
        <w:autoSpaceDE w:val="0"/>
        <w:spacing w:line="312" w:lineRule="auto"/>
        <w:ind w:firstLine="420" w:firstLineChars="200"/>
        <w:jc w:val="left"/>
        <w:rPr>
          <w:rFonts w:ascii="宋体" w:hAnsi="宋体"/>
          <w:color w:val="000000"/>
        </w:rPr>
      </w:pPr>
      <w:r>
        <w:rPr>
          <w:rFonts w:hint="eastAsia" w:ascii="宋体" w:hAnsi="宋体"/>
          <w:color w:val="000000"/>
        </w:rPr>
        <w:t>3.7.3（B）投标文件全部采用电子文档，除投标人须知前附表另有规定外，投标文件所附证书证件均为原件扫描件</w:t>
      </w:r>
      <w:r>
        <w:rPr>
          <w:rFonts w:hint="eastAsia" w:ascii="宋体" w:hAnsi="宋体"/>
          <w:color w:val="000000"/>
          <w:u w:val="single"/>
        </w:rPr>
        <w:t>或复印件</w:t>
      </w:r>
      <w:r>
        <w:rPr>
          <w:rFonts w:hint="eastAsia" w:ascii="宋体" w:hAnsi="宋体"/>
          <w:color w:val="000000"/>
        </w:rPr>
        <w:t>，并采用单位和个人数字证书，按招标文件要求在相应位置加盖电子印章。</w:t>
      </w:r>
      <w:r>
        <w:rPr>
          <w:rFonts w:hint="eastAsia" w:ascii="宋体" w:hAnsi="宋体" w:cs="仿宋_GB2312"/>
          <w:color w:val="000000"/>
          <w:kern w:val="0"/>
          <w:u w:val="single"/>
        </w:rPr>
        <w:t>投标文件中需个人签字或盖章的，应手签后扫描上传。</w:t>
      </w:r>
      <w:r>
        <w:rPr>
          <w:rFonts w:hint="eastAsia" w:ascii="宋体" w:hAnsi="宋体"/>
          <w:color w:val="000000"/>
        </w:rPr>
        <w:t>签字或盖章的具体要求见投标人须知前附表。</w:t>
      </w: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4. </w:t>
      </w:r>
      <w:r>
        <w:rPr>
          <w:rFonts w:hint="eastAsia" w:ascii="宋体" w:hAnsi="宋体"/>
          <w:color w:val="000000"/>
          <w:sz w:val="32"/>
          <w:szCs w:val="32"/>
        </w:rPr>
        <w:t>投标</w:t>
      </w:r>
    </w:p>
    <w:p>
      <w:pPr>
        <w:spacing w:before="19" w:line="220" w:lineRule="exact"/>
        <w:jc w:val="left"/>
        <w:rPr>
          <w:rFonts w:ascii="宋体" w:hAnsi="宋体"/>
          <w:color w:val="000000"/>
          <w:sz w:val="22"/>
          <w:szCs w:val="22"/>
        </w:rPr>
      </w:pPr>
    </w:p>
    <w:p>
      <w:pPr>
        <w:ind w:left="237" w:right="-20"/>
        <w:jc w:val="left"/>
        <w:rPr>
          <w:rFonts w:ascii="宋体" w:hAnsi="宋体"/>
          <w:color w:val="000000"/>
          <w:sz w:val="28"/>
          <w:szCs w:val="28"/>
        </w:rPr>
      </w:pPr>
      <w:r>
        <w:rPr>
          <w:rFonts w:hint="eastAsia" w:ascii="宋体" w:hAnsi="宋体"/>
          <w:color w:val="000000"/>
          <w:sz w:val="28"/>
          <w:szCs w:val="28"/>
        </w:rPr>
        <w:t>4.1 投标文件的密封和标记</w:t>
      </w:r>
    </w:p>
    <w:p>
      <w:pPr>
        <w:autoSpaceDE w:val="0"/>
        <w:spacing w:line="312" w:lineRule="auto"/>
        <w:ind w:firstLine="420" w:firstLineChars="200"/>
        <w:jc w:val="left"/>
        <w:rPr>
          <w:rFonts w:ascii="宋体" w:hAnsi="宋体"/>
          <w:color w:val="000000"/>
        </w:rPr>
      </w:pPr>
      <w:r>
        <w:rPr>
          <w:rFonts w:hint="eastAsia" w:ascii="宋体" w:hAnsi="宋体"/>
          <w:color w:val="000000"/>
        </w:rPr>
        <w:t>4.1.1 （B）投标人应当按照招标文件和电子招标投标交易平台的要求加密投标文件，具体要求见投标人须知前附表。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4.1.2 投标文件封套上应写明的内容见投标人须知前附表。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4.1.3 未按本章第 4.1.1 项要求密封的投标文件，招标人将予以拒收。</w:t>
      </w:r>
    </w:p>
    <w:p>
      <w:pPr>
        <w:ind w:left="237" w:right="-20"/>
        <w:jc w:val="left"/>
        <w:rPr>
          <w:rFonts w:ascii="宋体" w:hAnsi="宋体"/>
          <w:color w:val="000000"/>
          <w:sz w:val="28"/>
          <w:szCs w:val="28"/>
        </w:rPr>
      </w:pPr>
      <w:r>
        <w:rPr>
          <w:rFonts w:hint="eastAsia" w:ascii="宋体" w:hAnsi="宋体"/>
          <w:color w:val="000000"/>
          <w:sz w:val="28"/>
          <w:szCs w:val="28"/>
        </w:rPr>
        <w:t>4.2 投标文件的递交</w:t>
      </w:r>
    </w:p>
    <w:p>
      <w:pPr>
        <w:autoSpaceDE w:val="0"/>
        <w:spacing w:line="312" w:lineRule="auto"/>
        <w:ind w:firstLine="420" w:firstLineChars="200"/>
        <w:jc w:val="left"/>
        <w:rPr>
          <w:rFonts w:ascii="宋体" w:hAnsi="宋体"/>
          <w:color w:val="000000"/>
        </w:rPr>
      </w:pPr>
      <w:r>
        <w:rPr>
          <w:rFonts w:hint="eastAsia" w:ascii="宋体" w:hAnsi="宋体"/>
          <w:color w:val="000000"/>
        </w:rPr>
        <w:t>4.2.1 投标人应在投标人须知前附表规定的投标截止时间前递交投标文件。</w:t>
      </w:r>
      <w:r>
        <w:rPr>
          <w:rFonts w:hint="eastAsia" w:ascii="宋体" w:hAnsi="宋体"/>
          <w:color w:val="000000"/>
          <w:u w:val="single"/>
        </w:rPr>
        <w:t>投标人应在上传电子投标文件前将投标人的相关信息在广州公共资源交易中心信息系统中录入完毕。到投标截止时间止，招标人收到的投标文件少于三家的，招标人将依法重新组织招标。</w:t>
      </w:r>
    </w:p>
    <w:p>
      <w:pPr>
        <w:autoSpaceDE w:val="0"/>
        <w:spacing w:line="312" w:lineRule="auto"/>
        <w:ind w:firstLine="420" w:firstLineChars="200"/>
        <w:jc w:val="left"/>
        <w:rPr>
          <w:rFonts w:ascii="宋体" w:hAnsi="宋体"/>
          <w:color w:val="000000"/>
        </w:rPr>
      </w:pPr>
      <w:r>
        <w:rPr>
          <w:rFonts w:hint="eastAsia" w:ascii="宋体" w:hAnsi="宋体"/>
          <w:color w:val="000000"/>
        </w:rPr>
        <w:t>4.2.2 （B）</w:t>
      </w:r>
      <w:r>
        <w:rPr>
          <w:rFonts w:hint="eastAsia" w:ascii="宋体" w:hAnsi="宋体"/>
          <w:color w:val="000000"/>
          <w:u w:val="single"/>
        </w:rPr>
        <w:t>投标人通过下载招标文件的电子招标投标交易平台（即广州公共资源交易中心网，下同）递交电子投标文件。</w:t>
      </w:r>
    </w:p>
    <w:p>
      <w:pPr>
        <w:autoSpaceDE w:val="0"/>
        <w:spacing w:line="312" w:lineRule="auto"/>
        <w:ind w:firstLine="420" w:firstLineChars="200"/>
        <w:jc w:val="left"/>
        <w:rPr>
          <w:rFonts w:ascii="宋体" w:hAnsi="宋体"/>
          <w:color w:val="000000"/>
        </w:rPr>
      </w:pPr>
      <w:r>
        <w:rPr>
          <w:rFonts w:hint="eastAsia" w:ascii="宋体" w:hAnsi="宋体"/>
          <w:color w:val="000000"/>
        </w:rPr>
        <w:t>4.2.3 除投标人须知前附表另有规定外，投标人所递交的投标文件不予退还。</w:t>
      </w:r>
    </w:p>
    <w:p>
      <w:pPr>
        <w:autoSpaceDE w:val="0"/>
        <w:spacing w:line="312" w:lineRule="auto"/>
        <w:ind w:firstLine="420" w:firstLineChars="200"/>
        <w:jc w:val="left"/>
        <w:rPr>
          <w:rFonts w:ascii="宋体" w:hAnsi="宋体"/>
          <w:color w:val="000000"/>
        </w:rPr>
      </w:pPr>
      <w:r>
        <w:rPr>
          <w:rFonts w:hint="eastAsia" w:ascii="宋体" w:hAnsi="宋体"/>
          <w:color w:val="000000"/>
        </w:rPr>
        <w:t>4.2.4 （B）投标人完成电子投标文件上传后，电子招标投标交易平台即时向投标人发出递交回执通知。递交时间以递交回执通知载明的传输完成时间为准。</w:t>
      </w:r>
    </w:p>
    <w:p>
      <w:pPr>
        <w:autoSpaceDE w:val="0"/>
        <w:spacing w:line="312" w:lineRule="auto"/>
        <w:ind w:firstLine="420" w:firstLineChars="200"/>
        <w:jc w:val="left"/>
        <w:rPr>
          <w:rFonts w:ascii="宋体" w:hAnsi="宋体"/>
          <w:color w:val="000000"/>
        </w:rPr>
      </w:pPr>
      <w:r>
        <w:rPr>
          <w:rFonts w:hint="eastAsia" w:ascii="宋体" w:hAnsi="宋体"/>
          <w:color w:val="000000"/>
        </w:rPr>
        <w:t>4.2.5 （B）逾期送达的投标文件，电子招标投标交易平台将予以拒收。</w:t>
      </w:r>
    </w:p>
    <w:p>
      <w:pPr>
        <w:ind w:left="237" w:right="-20"/>
        <w:jc w:val="left"/>
        <w:rPr>
          <w:rFonts w:ascii="宋体" w:hAnsi="宋体"/>
          <w:color w:val="000000"/>
          <w:sz w:val="28"/>
          <w:szCs w:val="28"/>
        </w:rPr>
      </w:pPr>
      <w:r>
        <w:rPr>
          <w:rFonts w:hint="eastAsia" w:ascii="宋体" w:hAnsi="宋体"/>
          <w:color w:val="000000"/>
          <w:sz w:val="28"/>
          <w:szCs w:val="28"/>
        </w:rPr>
        <w:t>4.3 投标文件的修改与撤回</w:t>
      </w:r>
    </w:p>
    <w:p>
      <w:pPr>
        <w:autoSpaceDE w:val="0"/>
        <w:spacing w:line="312" w:lineRule="auto"/>
        <w:ind w:firstLine="420" w:firstLineChars="200"/>
        <w:jc w:val="left"/>
        <w:rPr>
          <w:rFonts w:ascii="宋体" w:hAnsi="宋体"/>
          <w:color w:val="000000"/>
        </w:rPr>
      </w:pPr>
      <w:r>
        <w:rPr>
          <w:rFonts w:hint="eastAsia" w:ascii="宋体" w:hAnsi="宋体"/>
          <w:color w:val="000000"/>
        </w:rPr>
        <w:t>4.3.1</w:t>
      </w:r>
      <w:r>
        <w:rPr>
          <w:rFonts w:hint="eastAsia" w:ascii="宋体" w:hAnsi="宋体"/>
          <w:color w:val="000000"/>
          <w:u w:val="single"/>
        </w:rPr>
        <w:t xml:space="preserve"> 在本章第 4.2.1 项规定的投标截止时间前，投标人可以修改或撤回已递交的投标文件。</w:t>
      </w:r>
      <w:r>
        <w:rPr>
          <w:rFonts w:hint="eastAsia" w:ascii="宋体" w:hAnsi="宋体"/>
          <w:color w:val="000000"/>
        </w:rPr>
        <w:t xml:space="preserve"> </w:t>
      </w:r>
    </w:p>
    <w:p>
      <w:pPr>
        <w:autoSpaceDE w:val="0"/>
        <w:spacing w:line="312" w:lineRule="auto"/>
        <w:ind w:firstLine="420" w:firstLineChars="200"/>
        <w:jc w:val="left"/>
        <w:rPr>
          <w:rFonts w:ascii="宋体" w:hAnsi="宋体"/>
          <w:color w:val="000000"/>
        </w:rPr>
      </w:pPr>
      <w:r>
        <w:rPr>
          <w:rFonts w:hint="eastAsia" w:ascii="宋体" w:hAnsi="宋体"/>
          <w:color w:val="000000"/>
        </w:rPr>
        <w:t>4.3.2 （B）投标人修改或撤回已递交投标文件的通知，应按照本章第 3.7.3（B）项的要求加盖电子印章。电子招标投标交易平台收到通知后，即时向投标人发出确认回执通知。</w:t>
      </w:r>
    </w:p>
    <w:p>
      <w:pPr>
        <w:autoSpaceDE w:val="0"/>
        <w:spacing w:line="312" w:lineRule="auto"/>
        <w:ind w:firstLine="420" w:firstLineChars="200"/>
        <w:jc w:val="left"/>
        <w:rPr>
          <w:rFonts w:ascii="宋体" w:hAnsi="宋体"/>
          <w:color w:val="000000"/>
        </w:rPr>
      </w:pPr>
      <w:r>
        <w:rPr>
          <w:rFonts w:hint="eastAsia" w:ascii="宋体" w:hAnsi="宋体"/>
          <w:color w:val="000000"/>
        </w:rPr>
        <w:t>4.3.3 投标人撤回投标文件的，招标人自</w:t>
      </w:r>
      <w:r>
        <w:rPr>
          <w:rFonts w:hint="eastAsia" w:ascii="宋体" w:hAnsi="宋体"/>
          <w:color w:val="000000"/>
          <w:u w:val="single"/>
        </w:rPr>
        <w:t>中标候选人公示结束</w:t>
      </w:r>
      <w:r>
        <w:rPr>
          <w:rFonts w:hint="eastAsia" w:ascii="宋体" w:hAnsi="宋体"/>
          <w:color w:val="000000"/>
        </w:rPr>
        <w:t>之日起 5日内退还已收取的投标保证金。</w:t>
      </w:r>
    </w:p>
    <w:p>
      <w:pPr>
        <w:autoSpaceDE w:val="0"/>
        <w:spacing w:line="312" w:lineRule="auto"/>
        <w:ind w:firstLine="420" w:firstLineChars="200"/>
        <w:jc w:val="left"/>
        <w:rPr>
          <w:rFonts w:ascii="宋体" w:hAnsi="宋体"/>
          <w:color w:val="000000"/>
          <w:u w:val="single"/>
        </w:rPr>
      </w:pPr>
      <w:r>
        <w:rPr>
          <w:rFonts w:hint="eastAsia" w:ascii="宋体" w:hAnsi="宋体"/>
          <w:color w:val="000000"/>
        </w:rPr>
        <w:t>4.3.4 修改的内容为投标文件的组成部分。</w:t>
      </w:r>
      <w:r>
        <w:rPr>
          <w:rFonts w:hint="eastAsia" w:ascii="宋体" w:hAnsi="宋体"/>
          <w:color w:val="000000"/>
          <w:u w:val="single"/>
        </w:rPr>
        <w:t>修改的投标文件应按照本章第 3 条、第 4 条的规定进行编制和递交。</w:t>
      </w:r>
    </w:p>
    <w:p>
      <w:pPr>
        <w:autoSpaceDE w:val="0"/>
        <w:spacing w:line="312" w:lineRule="auto"/>
        <w:ind w:firstLine="420" w:firstLineChars="200"/>
        <w:jc w:val="left"/>
        <w:rPr>
          <w:rFonts w:ascii="宋体" w:hAnsi="宋体"/>
          <w:color w:val="000000"/>
          <w:sz w:val="10"/>
          <w:szCs w:val="10"/>
        </w:rPr>
      </w:pPr>
      <w:r>
        <w:rPr>
          <w:rFonts w:ascii="宋体" w:hAnsi="宋体"/>
          <w:color w:val="000000"/>
          <w:u w:val="single"/>
        </w:rPr>
        <w:t>4.3.5</w:t>
      </w:r>
      <w:r>
        <w:rPr>
          <w:rFonts w:hint="eastAsia" w:ascii="宋体" w:hAnsi="宋体"/>
          <w:color w:val="000000"/>
          <w:u w:val="single"/>
        </w:rPr>
        <w:t>在投标截止后，投标人在投标文件中填报的投标有效期终止日前，投标人不能撤回投标文件，否则其投标保证金（即投标担保）将被没收，且招标人有权就其撤回行为报告政府主管部门载入不良信用记录。</w:t>
      </w:r>
    </w:p>
    <w:p>
      <w:pPr>
        <w:spacing w:before="7" w:line="100" w:lineRule="exact"/>
        <w:jc w:val="left"/>
        <w:rPr>
          <w:rFonts w:ascii="宋体" w:hAnsi="宋体"/>
          <w:color w:val="000000"/>
          <w:sz w:val="10"/>
          <w:szCs w:val="10"/>
        </w:rPr>
      </w:pP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5. </w:t>
      </w:r>
      <w:r>
        <w:rPr>
          <w:rFonts w:hint="eastAsia" w:ascii="宋体" w:hAnsi="宋体"/>
          <w:color w:val="000000"/>
          <w:sz w:val="32"/>
          <w:szCs w:val="32"/>
        </w:rPr>
        <w:t>开标</w:t>
      </w:r>
    </w:p>
    <w:p>
      <w:pPr>
        <w:spacing w:line="200" w:lineRule="exact"/>
        <w:jc w:val="left"/>
        <w:rPr>
          <w:rFonts w:ascii="宋体" w:hAnsi="宋体"/>
          <w:color w:val="000000"/>
          <w:sz w:val="20"/>
          <w:szCs w:val="20"/>
        </w:rPr>
      </w:pPr>
    </w:p>
    <w:p>
      <w:pPr>
        <w:spacing w:before="2" w:line="240" w:lineRule="exact"/>
        <w:jc w:val="left"/>
        <w:rPr>
          <w:rFonts w:ascii="宋体" w:hAnsi="宋体"/>
          <w:color w:val="000000"/>
          <w:sz w:val="24"/>
          <w:szCs w:val="24"/>
        </w:rPr>
      </w:pPr>
    </w:p>
    <w:p>
      <w:pPr>
        <w:spacing w:before="7"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5.1 开标时间和地点（B）</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招标人在本章第 4.2.1 项规定的投标截止时间（开标时间）,通过电子招标投标交易平台公开开标，</w:t>
      </w:r>
      <w:r>
        <w:rPr>
          <w:rFonts w:hint="eastAsia"/>
          <w:color w:val="000000"/>
          <w:u w:val="single"/>
        </w:rPr>
        <w:t>开标时，投标人代表有权出席开标会，也可以自主决定不参加开标会，若投标人代表对开标过程提出异议，该投标人代表须同时出示本人身份证原件。</w:t>
      </w:r>
    </w:p>
    <w:p>
      <w:pPr>
        <w:spacing w:before="10"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5.2 开标程序</w:t>
      </w:r>
    </w:p>
    <w:p>
      <w:pPr>
        <w:spacing w:before="3" w:line="280" w:lineRule="exact"/>
        <w:jc w:val="left"/>
        <w:rPr>
          <w:rFonts w:ascii="宋体" w:hAnsi="宋体"/>
          <w:color w:val="000000"/>
          <w:sz w:val="28"/>
          <w:szCs w:val="28"/>
        </w:rPr>
      </w:pPr>
    </w:p>
    <w:p>
      <w:pPr>
        <w:spacing w:line="360" w:lineRule="auto"/>
        <w:ind w:firstLine="420" w:firstLineChars="200"/>
        <w:rPr>
          <w:rFonts w:ascii="宋体" w:hAnsi="宋体"/>
          <w:color w:val="000000"/>
          <w:u w:val="single"/>
        </w:rPr>
      </w:pPr>
      <w:r>
        <w:rPr>
          <w:rFonts w:hint="eastAsia" w:ascii="宋体" w:hAnsi="宋体"/>
          <w:color w:val="000000"/>
          <w:u w:val="single"/>
        </w:rPr>
        <w:t>电子招投标项目开标按下列程序进行：</w:t>
      </w:r>
    </w:p>
    <w:p>
      <w:pPr>
        <w:spacing w:line="360" w:lineRule="auto"/>
        <w:ind w:firstLine="420" w:firstLineChars="200"/>
        <w:rPr>
          <w:rFonts w:ascii="宋体" w:hAnsi="宋体"/>
          <w:color w:val="000000"/>
          <w:u w:val="single"/>
        </w:rPr>
      </w:pPr>
      <w:r>
        <w:rPr>
          <w:rFonts w:ascii="宋体" w:hAnsi="宋体"/>
          <w:color w:val="000000"/>
          <w:u w:val="single"/>
        </w:rPr>
        <w:t>5.2.1</w:t>
      </w:r>
      <w:r>
        <w:rPr>
          <w:rFonts w:hint="eastAsia" w:ascii="宋体" w:hAnsi="宋体"/>
          <w:color w:val="000000"/>
          <w:u w:val="single"/>
        </w:rPr>
        <w:t>主持人按下列程序进行开标：</w:t>
      </w:r>
    </w:p>
    <w:p>
      <w:pPr>
        <w:spacing w:line="360" w:lineRule="auto"/>
        <w:ind w:firstLine="420" w:firstLineChars="200"/>
        <w:rPr>
          <w:rFonts w:ascii="宋体" w:hAnsi="宋体"/>
          <w:color w:val="000000"/>
          <w:u w:val="single"/>
        </w:rPr>
      </w:pPr>
      <w:r>
        <w:rPr>
          <w:rFonts w:hint="eastAsia" w:ascii="宋体" w:hAnsi="宋体"/>
          <w:color w:val="000000"/>
          <w:u w:val="single"/>
        </w:rPr>
        <w:t>（</w:t>
      </w:r>
      <w:r>
        <w:rPr>
          <w:rFonts w:ascii="宋体" w:hAnsi="宋体"/>
          <w:color w:val="000000"/>
          <w:u w:val="single"/>
        </w:rPr>
        <w:t>1</w:t>
      </w:r>
      <w:r>
        <w:rPr>
          <w:rFonts w:hint="eastAsia" w:ascii="宋体" w:hAnsi="宋体"/>
          <w:color w:val="000000"/>
          <w:u w:val="single"/>
        </w:rPr>
        <w:t>）宣布开标纪律；</w:t>
      </w:r>
    </w:p>
    <w:p>
      <w:pPr>
        <w:spacing w:line="360" w:lineRule="auto"/>
        <w:ind w:firstLine="420" w:firstLineChars="200"/>
        <w:rPr>
          <w:rFonts w:ascii="宋体" w:hAnsi="宋体"/>
          <w:color w:val="000000"/>
          <w:u w:val="single"/>
        </w:rPr>
      </w:pPr>
      <w:r>
        <w:rPr>
          <w:rFonts w:hint="eastAsia" w:ascii="宋体" w:hAnsi="宋体"/>
          <w:color w:val="000000"/>
          <w:u w:val="single"/>
        </w:rPr>
        <w:t>（</w:t>
      </w:r>
      <w:r>
        <w:rPr>
          <w:rFonts w:ascii="宋体" w:hAnsi="宋体"/>
          <w:color w:val="000000"/>
          <w:u w:val="single"/>
        </w:rPr>
        <w:t>2</w:t>
      </w:r>
      <w:r>
        <w:rPr>
          <w:rFonts w:hint="eastAsia" w:ascii="宋体" w:hAnsi="宋体"/>
          <w:color w:val="000000"/>
          <w:u w:val="single"/>
        </w:rPr>
        <w:t>）公布在投标截止时间前递交投标文件的投标人名称；</w:t>
      </w:r>
    </w:p>
    <w:p>
      <w:pPr>
        <w:spacing w:line="360" w:lineRule="auto"/>
        <w:ind w:firstLine="420" w:firstLineChars="200"/>
        <w:rPr>
          <w:rFonts w:ascii="宋体" w:hAnsi="宋体"/>
          <w:color w:val="000000"/>
          <w:u w:val="single"/>
        </w:rPr>
      </w:pPr>
      <w:r>
        <w:rPr>
          <w:rFonts w:hint="eastAsia" w:ascii="宋体" w:hAnsi="宋体"/>
          <w:color w:val="000000"/>
          <w:u w:val="single"/>
        </w:rPr>
        <w:t>（</w:t>
      </w:r>
      <w:r>
        <w:rPr>
          <w:rFonts w:ascii="宋体" w:hAnsi="宋体"/>
          <w:color w:val="000000"/>
          <w:u w:val="single"/>
        </w:rPr>
        <w:t>3</w:t>
      </w:r>
      <w:r>
        <w:rPr>
          <w:rFonts w:hint="eastAsia" w:ascii="宋体" w:hAnsi="宋体"/>
          <w:color w:val="000000"/>
          <w:u w:val="single"/>
        </w:rPr>
        <w:t>）宣布开标人、唱标人、记录人、监标人等有关人员姓名；</w:t>
      </w:r>
    </w:p>
    <w:p>
      <w:pPr>
        <w:spacing w:line="360" w:lineRule="auto"/>
        <w:ind w:firstLine="420" w:firstLineChars="200"/>
        <w:rPr>
          <w:rFonts w:ascii="宋体" w:hAnsi="宋体"/>
          <w:color w:val="000000"/>
          <w:u w:val="single"/>
        </w:rPr>
      </w:pPr>
      <w:r>
        <w:rPr>
          <w:rFonts w:hint="eastAsia" w:ascii="宋体" w:hAnsi="宋体"/>
          <w:color w:val="000000"/>
          <w:u w:val="single"/>
        </w:rPr>
        <w:t>（</w:t>
      </w:r>
      <w:r>
        <w:rPr>
          <w:rFonts w:ascii="宋体" w:hAnsi="宋体"/>
          <w:color w:val="000000"/>
          <w:u w:val="single"/>
        </w:rPr>
        <w:t>4</w:t>
      </w:r>
      <w:r>
        <w:rPr>
          <w:rFonts w:hint="eastAsia" w:ascii="宋体" w:hAnsi="宋体"/>
          <w:color w:val="000000"/>
          <w:u w:val="single"/>
        </w:rPr>
        <w:t>）（</w:t>
      </w:r>
      <w:r>
        <w:rPr>
          <w:rFonts w:ascii="宋体" w:hAnsi="宋体"/>
          <w:color w:val="000000"/>
          <w:u w:val="single"/>
        </w:rPr>
        <w:t>B</w:t>
      </w:r>
      <w:r>
        <w:rPr>
          <w:rFonts w:hint="eastAsia" w:ascii="宋体" w:hAnsi="宋体"/>
          <w:color w:val="000000"/>
          <w:u w:val="single"/>
        </w:rPr>
        <w:t>）投标人通过电子招标投标交易平台对已递交的电子投标文件进行解密，公布招标项目名称、投标人名称、投标保证金的递交情况、投标报价、服务期及其他内容，并记录在案；</w:t>
      </w:r>
    </w:p>
    <w:p>
      <w:pPr>
        <w:spacing w:line="360" w:lineRule="auto"/>
        <w:ind w:firstLine="420" w:firstLineChars="200"/>
        <w:rPr>
          <w:rFonts w:ascii="宋体" w:hAnsi="宋体"/>
          <w:color w:val="000000"/>
          <w:u w:val="single"/>
        </w:rPr>
      </w:pPr>
      <w:r>
        <w:rPr>
          <w:rFonts w:hint="eastAsia" w:ascii="宋体" w:hAnsi="宋体"/>
          <w:color w:val="000000"/>
          <w:u w:val="single"/>
        </w:rPr>
        <w:t>（</w:t>
      </w:r>
      <w:r>
        <w:rPr>
          <w:rFonts w:ascii="宋体" w:hAnsi="宋体"/>
          <w:color w:val="000000"/>
          <w:u w:val="single"/>
        </w:rPr>
        <w:t>5</w:t>
      </w:r>
      <w:r>
        <w:rPr>
          <w:rFonts w:hint="eastAsia" w:ascii="宋体" w:hAnsi="宋体"/>
          <w:color w:val="000000"/>
          <w:u w:val="single"/>
        </w:rPr>
        <w:t>）（</w:t>
      </w:r>
      <w:r>
        <w:rPr>
          <w:rFonts w:ascii="宋体" w:hAnsi="宋体"/>
          <w:color w:val="000000"/>
          <w:u w:val="single"/>
        </w:rPr>
        <w:t>B</w:t>
      </w:r>
      <w:r>
        <w:rPr>
          <w:rFonts w:hint="eastAsia" w:ascii="宋体" w:hAnsi="宋体"/>
          <w:color w:val="000000"/>
          <w:u w:val="single"/>
        </w:rPr>
        <w:t>）投标人代表、招标人代表、监标人、记录人等有关人员在开标记录上签字确认；若有关人员不签字的，不影响开标程序；</w:t>
      </w:r>
    </w:p>
    <w:p>
      <w:pPr>
        <w:autoSpaceDE w:val="0"/>
        <w:spacing w:line="312" w:lineRule="auto"/>
        <w:ind w:firstLine="420" w:firstLineChars="200"/>
        <w:jc w:val="left"/>
        <w:rPr>
          <w:rFonts w:ascii="宋体" w:hAnsi="宋体"/>
          <w:color w:val="000000"/>
        </w:rPr>
      </w:pPr>
      <w:r>
        <w:rPr>
          <w:rFonts w:hint="eastAsia" w:ascii="宋体" w:hAnsi="宋体"/>
          <w:color w:val="000000"/>
          <w:u w:val="single"/>
        </w:rPr>
        <w:t>（</w:t>
      </w:r>
      <w:r>
        <w:rPr>
          <w:rFonts w:ascii="宋体" w:hAnsi="宋体"/>
          <w:color w:val="000000"/>
          <w:u w:val="single"/>
        </w:rPr>
        <w:t>6</w:t>
      </w:r>
      <w:r>
        <w:rPr>
          <w:rFonts w:hint="eastAsia" w:ascii="宋体" w:hAnsi="宋体"/>
          <w:color w:val="000000"/>
          <w:u w:val="single"/>
        </w:rPr>
        <w:t>）开标结束。</w:t>
      </w:r>
    </w:p>
    <w:p>
      <w:pPr>
        <w:autoSpaceDE w:val="0"/>
        <w:spacing w:line="312" w:lineRule="auto"/>
        <w:ind w:firstLine="420" w:firstLineChars="200"/>
        <w:jc w:val="left"/>
        <w:rPr>
          <w:rFonts w:ascii="宋体" w:hAnsi="宋体"/>
          <w:color w:val="000000"/>
        </w:rPr>
      </w:pPr>
      <w:r>
        <w:rPr>
          <w:rFonts w:hint="eastAsia" w:ascii="宋体" w:hAnsi="宋体"/>
          <w:color w:val="000000"/>
        </w:rPr>
        <w:t>5.2.2</w:t>
      </w:r>
      <w:r>
        <w:rPr>
          <w:rFonts w:hint="eastAsia" w:ascii="宋体" w:hAnsi="宋体"/>
          <w:color w:val="000000"/>
          <w:u w:val="single"/>
        </w:rPr>
        <w:t>投标截止时间前未完成投标文件传输的或因投标人之外的原因造成投标文件未解密的，视为投标人撤回其投标文件。因投标人原因造成投标文件未解密的或未在投标截止时间后半小时解密的，视为撤销其投标文件</w:t>
      </w:r>
      <w:r>
        <w:rPr>
          <w:rFonts w:hint="eastAsia" w:ascii="宋体" w:hAnsi="宋体"/>
          <w:color w:val="000000"/>
        </w:rPr>
        <w:t>。</w:t>
      </w:r>
    </w:p>
    <w:p>
      <w:pPr>
        <w:autoSpaceDE w:val="0"/>
        <w:spacing w:line="312" w:lineRule="auto"/>
        <w:ind w:firstLine="420" w:firstLineChars="200"/>
        <w:jc w:val="left"/>
        <w:rPr>
          <w:rFonts w:ascii="宋体" w:hAnsi="宋体"/>
          <w:color w:val="000000"/>
        </w:rPr>
      </w:pPr>
      <w:r>
        <w:rPr>
          <w:rFonts w:hint="eastAsia" w:ascii="宋体" w:hAnsi="宋体"/>
          <w:color w:val="000000"/>
        </w:rPr>
        <w:t>5.2.3</w:t>
      </w:r>
      <w:r>
        <w:rPr>
          <w:rFonts w:hint="eastAsia" w:ascii="宋体" w:hAnsi="宋体"/>
          <w:color w:val="000000"/>
          <w:u w:val="single"/>
        </w:rPr>
        <w:t>开标时，两个（含两个）以上的投标人加密打包投标文件电脑机器特征码一致的，不参与下一程序，并由评标委员会否决其投标</w:t>
      </w:r>
      <w:r>
        <w:rPr>
          <w:rFonts w:hint="eastAsia" w:ascii="宋体" w:hAnsi="宋体"/>
          <w:color w:val="000000"/>
        </w:rPr>
        <w:t>。</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5.3 开标异议</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u w:val="single"/>
        </w:rPr>
      </w:pPr>
      <w:r>
        <w:rPr>
          <w:rFonts w:hint="eastAsia" w:ascii="宋体" w:hAnsi="宋体"/>
          <w:color w:val="000000"/>
          <w:u w:val="single"/>
        </w:rPr>
        <w:t>开标时，投标人代表有权出席开标会，也可以自主决定不参加开标会，若投标人代表对开标过程提出异议，应当在开标现场提出，该投标人代表须同时出示本人身份证原件，招标人当场作出答复，并制作记录。</w:t>
      </w: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6. </w:t>
      </w:r>
      <w:r>
        <w:rPr>
          <w:rFonts w:hint="eastAsia" w:ascii="宋体" w:hAnsi="宋体"/>
          <w:color w:val="000000"/>
          <w:sz w:val="32"/>
          <w:szCs w:val="32"/>
        </w:rPr>
        <w:t>评标</w:t>
      </w:r>
    </w:p>
    <w:p>
      <w:pPr>
        <w:spacing w:before="2" w:line="240" w:lineRule="exact"/>
        <w:jc w:val="left"/>
        <w:rPr>
          <w:rFonts w:ascii="宋体" w:hAnsi="宋体"/>
          <w:color w:val="000000"/>
          <w:sz w:val="24"/>
          <w:szCs w:val="24"/>
        </w:rPr>
      </w:pPr>
    </w:p>
    <w:p>
      <w:pPr>
        <w:ind w:left="237" w:right="-20"/>
        <w:jc w:val="left"/>
        <w:rPr>
          <w:rFonts w:ascii="宋体" w:hAnsi="宋体"/>
          <w:color w:val="000000"/>
          <w:sz w:val="28"/>
          <w:szCs w:val="28"/>
        </w:rPr>
      </w:pPr>
      <w:r>
        <w:rPr>
          <w:rFonts w:hint="eastAsia" w:ascii="宋体" w:hAnsi="宋体"/>
          <w:color w:val="000000"/>
          <w:sz w:val="28"/>
          <w:szCs w:val="28"/>
        </w:rPr>
        <w:t>6.1 评标委员会</w:t>
      </w:r>
    </w:p>
    <w:p>
      <w:pPr>
        <w:spacing w:before="1"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6.1.1 评标由招标人依法组建的评标委员会负责。评标委员会组成详见投标人须知前附表。</w:t>
      </w:r>
    </w:p>
    <w:p>
      <w:pPr>
        <w:autoSpaceDE w:val="0"/>
        <w:spacing w:line="312" w:lineRule="auto"/>
        <w:ind w:firstLine="420" w:firstLineChars="200"/>
        <w:jc w:val="left"/>
        <w:rPr>
          <w:rFonts w:ascii="宋体" w:hAnsi="宋体"/>
          <w:color w:val="000000"/>
        </w:rPr>
      </w:pPr>
      <w:r>
        <w:rPr>
          <w:rFonts w:hint="eastAsia" w:ascii="宋体" w:hAnsi="宋体"/>
          <w:color w:val="000000"/>
        </w:rPr>
        <w:t>6.1.2 评标委员会成员有下列情形之一的，应当回避：</w:t>
      </w:r>
    </w:p>
    <w:p>
      <w:pPr>
        <w:autoSpaceDE w:val="0"/>
        <w:spacing w:line="312" w:lineRule="auto"/>
        <w:ind w:firstLine="420" w:firstLineChars="200"/>
        <w:jc w:val="left"/>
        <w:rPr>
          <w:rFonts w:ascii="宋体" w:hAnsi="宋体"/>
          <w:color w:val="000000"/>
        </w:rPr>
      </w:pPr>
      <w:r>
        <w:rPr>
          <w:rFonts w:hint="eastAsia" w:ascii="宋体" w:hAnsi="宋体"/>
          <w:color w:val="000000"/>
        </w:rPr>
        <w:t>（1）投标人或投标人主要负责人的近亲属；</w:t>
      </w:r>
    </w:p>
    <w:p>
      <w:pPr>
        <w:autoSpaceDE w:val="0"/>
        <w:spacing w:line="312" w:lineRule="auto"/>
        <w:ind w:firstLine="420" w:firstLineChars="200"/>
        <w:jc w:val="left"/>
        <w:rPr>
          <w:rFonts w:ascii="宋体" w:hAnsi="宋体"/>
          <w:color w:val="000000"/>
        </w:rPr>
      </w:pPr>
      <w:r>
        <w:rPr>
          <w:rFonts w:hint="eastAsia" w:ascii="宋体" w:hAnsi="宋体"/>
          <w:color w:val="000000"/>
        </w:rPr>
        <w:t>（2）项目主管部门或者行政监督部门的人员；</w:t>
      </w:r>
    </w:p>
    <w:p>
      <w:pPr>
        <w:autoSpaceDE w:val="0"/>
        <w:spacing w:line="312" w:lineRule="auto"/>
        <w:ind w:firstLine="420" w:firstLineChars="200"/>
        <w:jc w:val="left"/>
        <w:rPr>
          <w:rFonts w:ascii="宋体" w:hAnsi="宋体"/>
          <w:color w:val="000000"/>
        </w:rPr>
      </w:pPr>
      <w:r>
        <w:rPr>
          <w:rFonts w:hint="eastAsia" w:ascii="宋体" w:hAnsi="宋体"/>
          <w:color w:val="000000"/>
        </w:rPr>
        <w:t>（3）与投标人有经济利益关系，可能影响对投标公正评审的；</w:t>
      </w:r>
    </w:p>
    <w:p>
      <w:pPr>
        <w:autoSpaceDE w:val="0"/>
        <w:spacing w:line="312" w:lineRule="auto"/>
        <w:ind w:firstLine="420" w:firstLineChars="200"/>
        <w:jc w:val="left"/>
        <w:rPr>
          <w:rFonts w:ascii="宋体" w:hAnsi="宋体"/>
          <w:color w:val="000000"/>
        </w:rPr>
      </w:pPr>
      <w:r>
        <w:rPr>
          <w:rFonts w:hint="eastAsia" w:ascii="宋体" w:hAnsi="宋体"/>
          <w:color w:val="000000"/>
        </w:rPr>
        <w:t>（4）曾因在招标、评标以及其他与招标投标有关活动中从事违法行为而受过行政处罚或刑事处罚的；</w:t>
      </w:r>
    </w:p>
    <w:p>
      <w:pPr>
        <w:autoSpaceDE w:val="0"/>
        <w:spacing w:line="312" w:lineRule="auto"/>
        <w:ind w:firstLine="420" w:firstLineChars="200"/>
        <w:jc w:val="left"/>
        <w:rPr>
          <w:rFonts w:ascii="宋体" w:hAnsi="宋体"/>
          <w:color w:val="000000"/>
        </w:rPr>
      </w:pPr>
      <w:r>
        <w:rPr>
          <w:rFonts w:hint="eastAsia" w:ascii="宋体" w:hAnsi="宋体"/>
          <w:color w:val="000000"/>
        </w:rPr>
        <w:t>（5）与投标人有其他利害关系。</w:t>
      </w:r>
    </w:p>
    <w:p>
      <w:pPr>
        <w:autoSpaceDE w:val="0"/>
        <w:spacing w:line="312" w:lineRule="auto"/>
        <w:ind w:firstLine="420" w:firstLineChars="200"/>
        <w:jc w:val="left"/>
        <w:rPr>
          <w:rFonts w:ascii="宋体" w:hAnsi="宋体"/>
          <w:color w:val="000000"/>
        </w:rPr>
      </w:pPr>
      <w:r>
        <w:rPr>
          <w:rFonts w:hint="eastAsia" w:ascii="宋体" w:hAnsi="宋体"/>
          <w:color w:val="000000"/>
        </w:rPr>
        <w:t>6.1.3 评标过程中，评标委员会成员有回避事由、擅离职守或者因健康等原因不能继续评标的，招标人有权更换。被更换的评标委员会成员作出的评审结论无效，由更换后的评标委员会 成员重新进行评审。</w:t>
      </w:r>
    </w:p>
    <w:p>
      <w:pPr>
        <w:autoSpaceDE w:val="0"/>
        <w:spacing w:before="8" w:line="312" w:lineRule="auto"/>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6.2 评标原则</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评标活动遵循公平、公正、科学和择优的原则。</w:t>
      </w:r>
    </w:p>
    <w:p>
      <w:pPr>
        <w:ind w:left="237" w:right="-20"/>
        <w:jc w:val="left"/>
        <w:rPr>
          <w:rFonts w:ascii="宋体" w:hAnsi="宋体"/>
          <w:color w:val="000000"/>
          <w:sz w:val="28"/>
          <w:szCs w:val="28"/>
        </w:rPr>
      </w:pPr>
      <w:r>
        <w:rPr>
          <w:rFonts w:hint="eastAsia" w:ascii="宋体" w:hAnsi="宋体"/>
          <w:color w:val="000000"/>
          <w:sz w:val="28"/>
          <w:szCs w:val="28"/>
        </w:rPr>
        <w:t>6.3 评标</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6.3.1 评标委员会按照第三章“评标办法”规定的方法、评审因素、标准和程序对投标文件进行评审。第三章“评标办法”没有规定的方法、评审因素和标准，不作为评标依据。</w:t>
      </w:r>
    </w:p>
    <w:p>
      <w:pPr>
        <w:autoSpaceDE w:val="0"/>
        <w:spacing w:line="312" w:lineRule="auto"/>
        <w:ind w:firstLine="420" w:firstLineChars="200"/>
        <w:jc w:val="left"/>
        <w:rPr>
          <w:rFonts w:ascii="宋体" w:hAnsi="宋体"/>
          <w:color w:val="000000"/>
        </w:rPr>
      </w:pPr>
      <w:r>
        <w:rPr>
          <w:rFonts w:hint="eastAsia" w:ascii="宋体" w:hAnsi="宋体"/>
          <w:color w:val="000000"/>
        </w:rPr>
        <w:t>6.3.2 评标完成后，评标委员会应当向招标人提交书面评标报告和中标候选人名单。评标委员会推荐中标候选人的人数见投标人须知前附表。</w:t>
      </w:r>
    </w:p>
    <w:p>
      <w:pPr>
        <w:spacing w:before="7" w:line="100" w:lineRule="exact"/>
        <w:jc w:val="left"/>
        <w:rPr>
          <w:rFonts w:ascii="宋体" w:hAnsi="宋体"/>
          <w:color w:val="000000"/>
          <w:sz w:val="10"/>
          <w:szCs w:val="10"/>
        </w:rPr>
      </w:pP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7. </w:t>
      </w:r>
      <w:r>
        <w:rPr>
          <w:rFonts w:hint="eastAsia" w:ascii="宋体" w:hAnsi="宋体"/>
          <w:color w:val="000000"/>
          <w:sz w:val="32"/>
          <w:szCs w:val="32"/>
        </w:rPr>
        <w:t>合同授予</w:t>
      </w:r>
    </w:p>
    <w:p>
      <w:pPr>
        <w:spacing w:line="200" w:lineRule="exact"/>
        <w:jc w:val="left"/>
        <w:rPr>
          <w:rFonts w:ascii="宋体" w:hAnsi="宋体"/>
          <w:color w:val="000000"/>
          <w:sz w:val="20"/>
          <w:szCs w:val="20"/>
        </w:rPr>
      </w:pPr>
    </w:p>
    <w:p>
      <w:pPr>
        <w:spacing w:before="2" w:line="240" w:lineRule="exact"/>
        <w:jc w:val="left"/>
        <w:rPr>
          <w:rFonts w:ascii="宋体" w:hAnsi="宋体"/>
          <w:color w:val="000000"/>
          <w:sz w:val="24"/>
          <w:szCs w:val="24"/>
        </w:rPr>
      </w:pPr>
    </w:p>
    <w:p>
      <w:pPr>
        <w:ind w:left="237" w:right="-20"/>
        <w:jc w:val="left"/>
        <w:rPr>
          <w:rFonts w:ascii="宋体" w:hAnsi="宋体"/>
          <w:color w:val="000000"/>
          <w:sz w:val="28"/>
          <w:szCs w:val="28"/>
        </w:rPr>
      </w:pPr>
      <w:r>
        <w:rPr>
          <w:rFonts w:hint="eastAsia" w:ascii="宋体" w:hAnsi="宋体"/>
          <w:color w:val="000000"/>
          <w:sz w:val="28"/>
          <w:szCs w:val="28"/>
        </w:rPr>
        <w:t>7.1 中标候选人公示</w:t>
      </w:r>
    </w:p>
    <w:p>
      <w:pPr>
        <w:spacing w:before="1"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招标人在收到评标报告之日起 3 日内，按照投标人须知前附表规定的公示媒介和期限公示中标候选人，公示期不得少于 3 天。</w:t>
      </w:r>
    </w:p>
    <w:p>
      <w:pPr>
        <w:spacing w:before="7"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7.2 评标结果异议</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投标人或者其他利害关系人对评标结果有异议的，应当在中标候选人公示期间提出。招标人将在收到异议之日起 3 日内作出答复；作出答复前，将暂停招标投标活动。</w:t>
      </w:r>
    </w:p>
    <w:p>
      <w:pPr>
        <w:spacing w:before="9"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7.3 中标候选人履约能力审查</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中标候选人的经营、财务状况发生较大变化或存在违法行为，招标人认为可能影响其履约能力的，将在发出中标通知书前提请原评标委员会按照招标文件规定的标准和方法进行审查确认。</w:t>
      </w:r>
    </w:p>
    <w:p>
      <w:pPr>
        <w:spacing w:before="9"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7.4 定标</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按照投标人须知前附表的规定，</w:t>
      </w:r>
      <w:r>
        <w:rPr>
          <w:rFonts w:hint="eastAsia" w:ascii="宋体" w:hAnsi="宋体"/>
          <w:color w:val="000000"/>
          <w:u w:val="single"/>
        </w:rPr>
        <w:t>招标人依法确定中标人。依法必须进行公开招标的项目，招标人应当确定排名第一的中标候选人为中标人。排名第一的中标候选人放弃中标、或被取消中标资格，或因不可抗力提出不能履行合同，或者招标文件规定应当提交履约担保而在规定的期限内未能提交的，招标人可以按照中标候选人顺序依次上升替补定标，以此类推。若本项目所有中标候选人都不能成为中标人，则本项目招标失败，招标人依法重新招标。</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7.5 中标通知</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在本章第 3.3 款规定的投标有效期内，</w:t>
      </w:r>
      <w:r>
        <w:rPr>
          <w:rFonts w:hint="eastAsia" w:ascii="宋体" w:hAnsi="宋体"/>
          <w:color w:val="000000"/>
          <w:u w:val="single"/>
        </w:rPr>
        <w:t>招标人以书面形式向中标人发出中标通知书。中标通知书由招标人颁发，并经广州公共资源交易中心确认。</w:t>
      </w:r>
    </w:p>
    <w:p>
      <w:pPr>
        <w:spacing w:before="9"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7.6 履约保证金</w:t>
      </w:r>
    </w:p>
    <w:p>
      <w:pPr>
        <w:autoSpaceDE w:val="0"/>
        <w:spacing w:line="312" w:lineRule="auto"/>
        <w:ind w:firstLine="420" w:firstLineChars="200"/>
        <w:jc w:val="left"/>
        <w:rPr>
          <w:rFonts w:ascii="宋体" w:hAnsi="宋体"/>
          <w:color w:val="000000"/>
          <w:u w:val="single"/>
        </w:rPr>
      </w:pPr>
    </w:p>
    <w:p>
      <w:pPr>
        <w:autoSpaceDE w:val="0"/>
        <w:spacing w:line="312" w:lineRule="auto"/>
        <w:ind w:firstLine="420" w:firstLineChars="200"/>
        <w:jc w:val="left"/>
        <w:rPr>
          <w:rFonts w:ascii="宋体" w:hAnsi="宋体"/>
          <w:color w:val="000000"/>
          <w:u w:val="single"/>
        </w:rPr>
      </w:pPr>
      <w:r>
        <w:rPr>
          <w:rFonts w:hint="eastAsia" w:ascii="宋体" w:hAnsi="宋体"/>
          <w:color w:val="000000"/>
          <w:u w:val="single"/>
        </w:rPr>
        <w:t>本项目不要求递交履约保证金。</w:t>
      </w:r>
    </w:p>
    <w:p>
      <w:pPr>
        <w:ind w:left="237" w:right="-20"/>
        <w:jc w:val="left"/>
        <w:rPr>
          <w:rFonts w:ascii="宋体" w:hAnsi="宋体"/>
          <w:color w:val="000000"/>
          <w:sz w:val="28"/>
          <w:szCs w:val="28"/>
        </w:rPr>
      </w:pPr>
      <w:r>
        <w:rPr>
          <w:rFonts w:hint="eastAsia" w:ascii="宋体" w:hAnsi="宋体"/>
          <w:color w:val="000000"/>
          <w:sz w:val="28"/>
          <w:szCs w:val="28"/>
        </w:rPr>
        <w:t>7.7 签订合同</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spacing w:line="312" w:lineRule="auto"/>
        <w:ind w:firstLine="420" w:firstLineChars="200"/>
        <w:jc w:val="left"/>
        <w:rPr>
          <w:rFonts w:ascii="宋体" w:hAnsi="宋体"/>
          <w:color w:val="000000"/>
        </w:rPr>
      </w:pPr>
      <w:r>
        <w:rPr>
          <w:rFonts w:hint="eastAsia" w:ascii="宋体" w:hAnsi="宋体"/>
          <w:color w:val="000000"/>
        </w:rPr>
        <w:t>7.7.2 发出中标通知书后，招标人无正当理由拒签合同，或者在签订合同时向中标人提出附加条件的，招标人向中标人退还投标保证金；给中标人造成损失的，还应当赔偿损失。</w:t>
      </w:r>
    </w:p>
    <w:p>
      <w:pPr>
        <w:autoSpaceDE w:val="0"/>
        <w:spacing w:line="312" w:lineRule="auto"/>
        <w:ind w:firstLine="420" w:firstLineChars="200"/>
        <w:jc w:val="left"/>
        <w:rPr>
          <w:rFonts w:ascii="宋体" w:hAnsi="宋体"/>
          <w:color w:val="000000"/>
          <w:u w:val="single"/>
        </w:rPr>
      </w:pPr>
      <w:r>
        <w:rPr>
          <w:rFonts w:hint="eastAsia" w:ascii="宋体" w:hAnsi="宋体"/>
          <w:color w:val="000000"/>
          <w:u w:val="single"/>
        </w:rPr>
        <w:t>7.7.3合同履行期间，因中标人未完全履行合同导致合同解除，招标人有权选择第二中标候选人继续本招标文件规定的审查工作，合同另行签署；如果第二中标候选人放弃本招标范围内的工作，招标人有权选择第三中标候选人继续本招标文件规定的审查工作，合同另行签署。</w:t>
      </w:r>
    </w:p>
    <w:p>
      <w:pPr>
        <w:autoSpaceDE w:val="0"/>
        <w:spacing w:line="312" w:lineRule="auto"/>
        <w:ind w:firstLine="420" w:firstLineChars="200"/>
        <w:jc w:val="left"/>
        <w:rPr>
          <w:rFonts w:ascii="宋体" w:hAnsi="宋体"/>
          <w:color w:val="000000"/>
          <w:u w:val="single"/>
        </w:rPr>
      </w:pPr>
      <w:r>
        <w:rPr>
          <w:rFonts w:hint="eastAsia" w:ascii="宋体" w:hAnsi="宋体"/>
          <w:color w:val="000000"/>
          <w:u w:val="single"/>
        </w:rPr>
        <w:t>7.7.4合同履行期间，中标人应当根据设计进度和招标人要求，分阶段分专业提交技术服务文件，以满足工程进展需要。</w:t>
      </w: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8.</w:t>
      </w:r>
      <w:r>
        <w:rPr>
          <w:rFonts w:hint="eastAsia" w:ascii="宋体" w:hAnsi="宋体"/>
          <w:color w:val="000000"/>
          <w:sz w:val="32"/>
          <w:szCs w:val="32"/>
        </w:rPr>
        <w:t>纪律和监督</w:t>
      </w:r>
    </w:p>
    <w:p>
      <w:pPr>
        <w:spacing w:line="200" w:lineRule="exact"/>
        <w:jc w:val="left"/>
        <w:rPr>
          <w:rFonts w:ascii="宋体" w:hAnsi="宋体"/>
          <w:color w:val="000000"/>
          <w:sz w:val="20"/>
          <w:szCs w:val="20"/>
        </w:rPr>
      </w:pPr>
    </w:p>
    <w:p>
      <w:pPr>
        <w:spacing w:before="19" w:line="220" w:lineRule="exact"/>
        <w:jc w:val="left"/>
        <w:rPr>
          <w:rFonts w:ascii="宋体" w:hAnsi="宋体"/>
          <w:color w:val="000000"/>
          <w:sz w:val="22"/>
          <w:szCs w:val="22"/>
        </w:rPr>
      </w:pPr>
    </w:p>
    <w:p>
      <w:pPr>
        <w:ind w:left="237" w:right="-20"/>
        <w:jc w:val="left"/>
        <w:rPr>
          <w:rFonts w:ascii="宋体" w:hAnsi="宋体"/>
          <w:color w:val="000000"/>
          <w:sz w:val="28"/>
          <w:szCs w:val="28"/>
        </w:rPr>
      </w:pPr>
      <w:r>
        <w:rPr>
          <w:rFonts w:hint="eastAsia" w:ascii="宋体" w:hAnsi="宋体"/>
          <w:color w:val="000000"/>
          <w:sz w:val="28"/>
          <w:szCs w:val="28"/>
        </w:rPr>
        <w:t>8.1 对招标人的纪律要求</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招标人不得泄露招标投标活动中应当保密的情况和资料，不得与投标人串通损害国家利益、 社会公共利益或者他人合法权益。</w:t>
      </w:r>
    </w:p>
    <w:p>
      <w:pPr>
        <w:spacing w:before="10"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8.2 对投标人的纪律要求</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before="8"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8.3 对评标委员会成员的纪律要求</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before="8"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8.4 对与评标活动有关的工作人员的纪律要求</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before="8"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8.5 投诉</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8.5.1 投标人或者其他利害关系人认为招标投标活动不符合法律、行政法规规定的，可以自知道或者应当知道之日起 10 日内向有关行政监督部门投诉。投诉应当有明确的请求和必要的证明材料。</w:t>
      </w:r>
    </w:p>
    <w:p>
      <w:pPr>
        <w:autoSpaceDE w:val="0"/>
        <w:spacing w:line="312" w:lineRule="auto"/>
        <w:ind w:firstLine="420" w:firstLineChars="200"/>
        <w:jc w:val="left"/>
        <w:rPr>
          <w:rFonts w:ascii="宋体" w:hAnsi="宋体"/>
          <w:color w:val="000000"/>
        </w:rPr>
      </w:pPr>
      <w:r>
        <w:rPr>
          <w:rFonts w:hint="eastAsia" w:ascii="宋体" w:hAnsi="宋体"/>
          <w:color w:val="000000"/>
        </w:rPr>
        <w:t>8.5.2 投标人或者其他利害关系人对招标文件、开标和评标结果提出投诉的，应当按照投标人须知第 2.4 款、第 5.3 款和第 7.2 款的规定先向招标人提出异议。异议答复期间不计算在第 8.5.1 项规定的期限内。</w:t>
      </w:r>
    </w:p>
    <w:p>
      <w:pPr>
        <w:spacing w:before="1" w:line="110" w:lineRule="exact"/>
        <w:jc w:val="left"/>
        <w:rPr>
          <w:rFonts w:ascii="宋体" w:hAnsi="宋体"/>
          <w:color w:val="000000"/>
          <w:sz w:val="11"/>
          <w:szCs w:val="11"/>
        </w:rPr>
      </w:pP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9. </w:t>
      </w:r>
      <w:r>
        <w:rPr>
          <w:rFonts w:hint="eastAsia" w:ascii="宋体" w:hAnsi="宋体"/>
          <w:sz w:val="32"/>
          <w:szCs w:val="32"/>
        </w:rPr>
        <w:t>是否采用电子招标投标</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本招标项目是否采用电子招标投标方式，见投标人须知前附表。</w:t>
      </w:r>
    </w:p>
    <w:p>
      <w:pPr>
        <w:spacing w:line="140" w:lineRule="exact"/>
        <w:jc w:val="left"/>
        <w:rPr>
          <w:rFonts w:ascii="宋体" w:hAnsi="宋体"/>
          <w:color w:val="000000"/>
          <w:sz w:val="14"/>
          <w:szCs w:val="14"/>
        </w:rPr>
      </w:pPr>
    </w:p>
    <w:p>
      <w:pPr>
        <w:spacing w:line="463" w:lineRule="exact"/>
        <w:ind w:left="100" w:right="-20"/>
        <w:jc w:val="left"/>
        <w:rPr>
          <w:rFonts w:ascii="宋体" w:hAnsi="宋体"/>
          <w:sz w:val="32"/>
          <w:szCs w:val="32"/>
        </w:rPr>
      </w:pPr>
      <w:r>
        <w:rPr>
          <w:rFonts w:hint="eastAsia" w:ascii="宋体" w:hAnsi="宋体"/>
          <w:sz w:val="32"/>
          <w:szCs w:val="32"/>
        </w:rPr>
        <w:t>10</w:t>
      </w:r>
      <w:r>
        <w:rPr>
          <w:rFonts w:hint="eastAsia" w:ascii="宋体" w:hAnsi="宋体"/>
          <w:b/>
          <w:bCs/>
          <w:sz w:val="32"/>
          <w:szCs w:val="32"/>
        </w:rPr>
        <w:t xml:space="preserve">. </w:t>
      </w:r>
      <w:r>
        <w:rPr>
          <w:rFonts w:hint="eastAsia" w:ascii="宋体" w:hAnsi="宋体"/>
          <w:sz w:val="32"/>
          <w:szCs w:val="32"/>
        </w:rPr>
        <w:t>需要补充的其他内容</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需要补充的其他内容：见投标人须知前附表。</w:t>
      </w:r>
    </w:p>
    <w:p>
      <w:pPr>
        <w:widowControl/>
        <w:spacing w:beforeAutospacing="1" w:afterAutospacing="1" w:line="312" w:lineRule="auto"/>
        <w:jc w:val="left"/>
        <w:rPr>
          <w:rFonts w:ascii="宋体" w:hAnsi="宋体" w:cs="宋体"/>
          <w:color w:val="000000"/>
          <w:sz w:val="28"/>
          <w:szCs w:val="28"/>
        </w:rPr>
        <w:sectPr>
          <w:pgSz w:w="11907" w:h="16840"/>
          <w:pgMar w:top="1134" w:right="1134" w:bottom="1134" w:left="1134" w:header="720" w:footer="720" w:gutter="0"/>
          <w:cols w:space="720" w:num="1"/>
          <w:docGrid w:linePitch="286" w:charSpace="0"/>
        </w:sectPr>
      </w:pPr>
    </w:p>
    <w:p>
      <w:pPr>
        <w:spacing w:line="383" w:lineRule="exact"/>
        <w:ind w:left="357" w:right="-20"/>
        <w:jc w:val="left"/>
        <w:rPr>
          <w:rFonts w:ascii="宋体" w:hAnsi="宋体"/>
          <w:color w:val="000000"/>
          <w:sz w:val="28"/>
          <w:szCs w:val="28"/>
        </w:rPr>
      </w:pPr>
      <w:r>
        <w:rPr>
          <w:rFonts w:hint="eastAsia" w:ascii="宋体" w:hAnsi="宋体"/>
          <w:color w:val="000000"/>
          <w:sz w:val="28"/>
          <w:szCs w:val="28"/>
        </w:rPr>
        <w:t>附件一：开标记录表</w:t>
      </w: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before="12" w:line="200" w:lineRule="exact"/>
        <w:jc w:val="left"/>
        <w:rPr>
          <w:rFonts w:ascii="宋体" w:hAnsi="宋体"/>
          <w:color w:val="000000"/>
          <w:sz w:val="20"/>
          <w:szCs w:val="20"/>
        </w:rPr>
      </w:pPr>
    </w:p>
    <w:p>
      <w:pPr>
        <w:spacing w:line="373" w:lineRule="exact"/>
        <w:ind w:left="3799" w:right="3400"/>
        <w:jc w:val="center"/>
        <w:rPr>
          <w:rFonts w:ascii="宋体" w:hAnsi="宋体"/>
          <w:color w:val="000000"/>
          <w:sz w:val="28"/>
          <w:szCs w:val="28"/>
        </w:rPr>
      </w:pPr>
      <w:r>
        <w:rPr>
          <w:rFonts w:hint="eastAsia" w:ascii="宋体" w:hAnsi="宋体"/>
          <w:color w:val="000000"/>
          <w:sz w:val="28"/>
          <w:szCs w:val="28"/>
        </w:rPr>
        <w:t>开标记录表</w:t>
      </w:r>
    </w:p>
    <w:p>
      <w:pPr>
        <w:spacing w:before="7" w:line="140" w:lineRule="exact"/>
        <w:jc w:val="left"/>
        <w:rPr>
          <w:rFonts w:ascii="宋体" w:hAnsi="宋体"/>
          <w:color w:val="000000"/>
          <w:sz w:val="14"/>
          <w:szCs w:val="14"/>
        </w:rPr>
      </w:pPr>
    </w:p>
    <w:p>
      <w:pPr>
        <w:spacing w:line="337" w:lineRule="exact"/>
        <w:ind w:left="1617" w:right="-20"/>
        <w:jc w:val="left"/>
        <w:rPr>
          <w:rFonts w:ascii="宋体" w:hAnsi="宋体"/>
          <w:color w:val="000000"/>
        </w:rPr>
      </w:pPr>
      <w:r>
        <w:rPr>
          <w:rFonts w:hint="eastAsia" w:ascii="宋体" w:hAnsi="宋体"/>
          <w:color w:val="000000"/>
        </w:rPr>
        <w:t>开标时间：</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日</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时</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分</w:t>
      </w:r>
    </w:p>
    <w:p>
      <w:pPr>
        <w:spacing w:before="1" w:line="170" w:lineRule="exact"/>
        <w:jc w:val="left"/>
        <w:rPr>
          <w:rFonts w:ascii="宋体" w:hAnsi="宋体"/>
          <w:color w:val="000000"/>
          <w:sz w:val="17"/>
          <w:szCs w:val="17"/>
        </w:rPr>
      </w:pPr>
      <w:r>
        <w:rPr>
          <w:rFonts w:hint="eastAsia" w:ascii="宋体" w:hAnsi="宋体"/>
          <w:color w:val="000000"/>
          <w:sz w:val="17"/>
          <w:szCs w:val="17"/>
        </w:rPr>
        <w:t xml:space="preserve"> </w:t>
      </w:r>
    </w:p>
    <w:tbl>
      <w:tblPr>
        <w:tblStyle w:val="24"/>
        <w:tblW w:w="8869" w:type="dxa"/>
        <w:tblInd w:w="0" w:type="dxa"/>
        <w:tblLayout w:type="fixed"/>
        <w:tblCellMar>
          <w:top w:w="0" w:type="dxa"/>
          <w:left w:w="108" w:type="dxa"/>
          <w:bottom w:w="0" w:type="dxa"/>
          <w:right w:w="108" w:type="dxa"/>
        </w:tblCellMar>
      </w:tblPr>
      <w:tblGrid>
        <w:gridCol w:w="525"/>
        <w:gridCol w:w="945"/>
        <w:gridCol w:w="840"/>
        <w:gridCol w:w="784"/>
        <w:gridCol w:w="1229"/>
        <w:gridCol w:w="661"/>
        <w:gridCol w:w="840"/>
        <w:gridCol w:w="1050"/>
        <w:gridCol w:w="851"/>
        <w:gridCol w:w="1144"/>
      </w:tblGrid>
      <w:tr>
        <w:tblPrEx>
          <w:tblCellMar>
            <w:top w:w="0" w:type="dxa"/>
            <w:left w:w="108" w:type="dxa"/>
            <w:bottom w:w="0" w:type="dxa"/>
            <w:right w:w="108" w:type="dxa"/>
          </w:tblCellMar>
        </w:tblPrEx>
        <w:trPr>
          <w:trHeight w:val="1010" w:hRule="atLeast"/>
        </w:trPr>
        <w:tc>
          <w:tcPr>
            <w:tcW w:w="525" w:type="dxa"/>
            <w:tcBorders>
              <w:top w:val="single" w:color="000000" w:sz="4" w:space="0"/>
              <w:left w:val="single" w:color="000000" w:sz="4" w:space="0"/>
              <w:bottom w:val="single" w:color="000000" w:sz="4" w:space="0"/>
              <w:right w:val="single" w:color="000000" w:sz="4" w:space="0"/>
            </w:tcBorders>
            <w:vAlign w:val="center"/>
          </w:tcPr>
          <w:p>
            <w:pPr>
              <w:ind w:left="138" w:right="-20"/>
              <w:rPr>
                <w:rFonts w:ascii="宋体" w:hAnsi="宋体"/>
                <w:color w:val="000000"/>
                <w:sz w:val="24"/>
                <w:szCs w:val="24"/>
              </w:rPr>
            </w:pPr>
            <w:r>
              <w:rPr>
                <w:rFonts w:hint="eastAsia" w:ascii="宋体" w:hAnsi="宋体"/>
                <w:color w:val="000000"/>
                <w:sz w:val="18"/>
                <w:szCs w:val="18"/>
              </w:rPr>
              <w:t>序号</w:t>
            </w:r>
          </w:p>
        </w:tc>
        <w:tc>
          <w:tcPr>
            <w:tcW w:w="945" w:type="dxa"/>
            <w:tcBorders>
              <w:top w:val="single" w:color="000000" w:sz="4" w:space="0"/>
              <w:left w:val="nil"/>
              <w:bottom w:val="single" w:color="000000" w:sz="4" w:space="0"/>
              <w:right w:val="single" w:color="auto" w:sz="4" w:space="0"/>
            </w:tcBorders>
            <w:vAlign w:val="center"/>
          </w:tcPr>
          <w:p>
            <w:pPr>
              <w:ind w:right="-20"/>
              <w:jc w:val="center"/>
              <w:rPr>
                <w:rFonts w:ascii="宋体" w:hAnsi="宋体"/>
                <w:color w:val="000000"/>
                <w:sz w:val="24"/>
                <w:szCs w:val="24"/>
              </w:rPr>
            </w:pPr>
            <w:r>
              <w:rPr>
                <w:rFonts w:hint="eastAsia" w:ascii="宋体" w:hAnsi="宋体"/>
                <w:color w:val="000000"/>
                <w:sz w:val="18"/>
                <w:szCs w:val="18"/>
              </w:rPr>
              <w:t>投标人</w:t>
            </w:r>
          </w:p>
        </w:tc>
        <w:tc>
          <w:tcPr>
            <w:tcW w:w="840" w:type="dxa"/>
            <w:tcBorders>
              <w:top w:val="single" w:color="auto" w:sz="4" w:space="0"/>
              <w:left w:val="single" w:color="auto" w:sz="4" w:space="0"/>
              <w:bottom w:val="single" w:color="auto" w:sz="4" w:space="0"/>
              <w:right w:val="single" w:color="auto" w:sz="4" w:space="0"/>
            </w:tcBorders>
            <w:vAlign w:val="center"/>
          </w:tcPr>
          <w:p>
            <w:pPr>
              <w:ind w:right="-20"/>
              <w:rPr>
                <w:rFonts w:ascii="宋体" w:hAnsi="宋体"/>
                <w:color w:val="000000"/>
                <w:sz w:val="24"/>
                <w:szCs w:val="24"/>
              </w:rPr>
            </w:pPr>
            <w:r>
              <w:rPr>
                <w:rFonts w:hint="eastAsia" w:ascii="宋体" w:hAnsi="宋体" w:cs="宋体"/>
                <w:color w:val="000000"/>
                <w:sz w:val="18"/>
                <w:szCs w:val="18"/>
              </w:rPr>
              <w:t>机器码是否与其它投标人相同</w:t>
            </w:r>
          </w:p>
        </w:tc>
        <w:tc>
          <w:tcPr>
            <w:tcW w:w="784" w:type="dxa"/>
            <w:tcBorders>
              <w:top w:val="single" w:color="auto" w:sz="4" w:space="0"/>
              <w:left w:val="single" w:color="auto" w:sz="4" w:space="0"/>
              <w:bottom w:val="single" w:color="auto" w:sz="4" w:space="0"/>
              <w:right w:val="single" w:color="auto" w:sz="4" w:space="0"/>
            </w:tcBorders>
            <w:vAlign w:val="center"/>
          </w:tcPr>
          <w:p>
            <w:pPr>
              <w:ind w:right="-20"/>
              <w:jc w:val="center"/>
              <w:rPr>
                <w:rFonts w:ascii="宋体" w:hAnsi="宋体"/>
                <w:color w:val="000000"/>
                <w:sz w:val="24"/>
                <w:szCs w:val="24"/>
              </w:rPr>
            </w:pPr>
            <w:r>
              <w:rPr>
                <w:rFonts w:hint="eastAsia" w:ascii="宋体" w:hAnsi="宋体" w:cs="宋体"/>
                <w:color w:val="000000"/>
                <w:sz w:val="18"/>
                <w:szCs w:val="18"/>
              </w:rPr>
              <w:t>投标保证金</w:t>
            </w:r>
          </w:p>
        </w:tc>
        <w:tc>
          <w:tcPr>
            <w:tcW w:w="1229" w:type="dxa"/>
            <w:tcBorders>
              <w:top w:val="single" w:color="000000" w:sz="4" w:space="0"/>
              <w:left w:val="single" w:color="auto" w:sz="4" w:space="0"/>
              <w:bottom w:val="single" w:color="000000" w:sz="4" w:space="0"/>
              <w:right w:val="single" w:color="000000" w:sz="4" w:space="0"/>
            </w:tcBorders>
            <w:vAlign w:val="center"/>
          </w:tcPr>
          <w:p>
            <w:pPr>
              <w:pStyle w:val="65"/>
              <w:kinsoku w:val="0"/>
              <w:overflowPunct w:val="0"/>
              <w:jc w:val="center"/>
              <w:rPr>
                <w:rFonts w:ascii="宋体"/>
                <w:color w:val="000000"/>
              </w:rPr>
            </w:pPr>
            <w:r>
              <w:rPr>
                <w:rFonts w:hint="eastAsia" w:ascii="宋体" w:hAnsi="宋体" w:cs="宋体"/>
                <w:color w:val="000000"/>
                <w:sz w:val="18"/>
                <w:szCs w:val="18"/>
              </w:rPr>
              <w:t>投标</w:t>
            </w:r>
            <w:r>
              <w:rPr>
                <w:rFonts w:hint="eastAsia" w:ascii="宋体" w:hAnsi="宋体" w:cs="宋体"/>
                <w:color w:val="000000"/>
                <w:sz w:val="18"/>
                <w:szCs w:val="18"/>
              </w:rPr>
              <w:t>总</w:t>
            </w:r>
            <w:r>
              <w:rPr>
                <w:rFonts w:hint="eastAsia" w:ascii="宋体" w:hAnsi="宋体" w:cs="宋体"/>
                <w:color w:val="000000"/>
                <w:sz w:val="18"/>
                <w:szCs w:val="18"/>
              </w:rPr>
              <w:t>报价</w:t>
            </w:r>
          </w:p>
          <w:p>
            <w:pPr>
              <w:ind w:right="-20"/>
              <w:jc w:val="center"/>
              <w:rPr>
                <w:rFonts w:ascii="宋体" w:hAnsi="宋体"/>
                <w:color w:val="000000"/>
                <w:sz w:val="24"/>
                <w:szCs w:val="24"/>
              </w:rPr>
            </w:pPr>
            <w:r>
              <w:rPr>
                <w:rFonts w:hint="eastAsia" w:ascii="宋体" w:hAnsi="宋体" w:cs="宋体"/>
                <w:color w:val="000000"/>
                <w:sz w:val="18"/>
                <w:szCs w:val="18"/>
              </w:rPr>
              <w:t>（元）</w:t>
            </w:r>
          </w:p>
        </w:tc>
        <w:tc>
          <w:tcPr>
            <w:tcW w:w="661" w:type="dxa"/>
            <w:tcBorders>
              <w:top w:val="single" w:color="000000" w:sz="4" w:space="0"/>
              <w:left w:val="nil"/>
              <w:bottom w:val="single" w:color="000000" w:sz="4" w:space="0"/>
              <w:right w:val="single" w:color="auto" w:sz="4" w:space="0"/>
            </w:tcBorders>
            <w:vAlign w:val="center"/>
          </w:tcPr>
          <w:p>
            <w:pPr>
              <w:ind w:right="-20"/>
              <w:jc w:val="center"/>
              <w:rPr>
                <w:rFonts w:ascii="宋体" w:hAnsi="宋体" w:cs="宋体"/>
                <w:color w:val="000000"/>
                <w:sz w:val="18"/>
                <w:szCs w:val="18"/>
              </w:rPr>
            </w:pPr>
            <w:r>
              <w:rPr>
                <w:rFonts w:hint="eastAsia" w:ascii="宋体" w:hAnsi="宋体" w:cs="宋体"/>
                <w:color w:val="000000"/>
                <w:sz w:val="18"/>
                <w:szCs w:val="18"/>
              </w:rPr>
              <w:t>下浮率（%）</w:t>
            </w:r>
          </w:p>
        </w:tc>
        <w:tc>
          <w:tcPr>
            <w:tcW w:w="840" w:type="dxa"/>
            <w:tcBorders>
              <w:top w:val="single" w:color="000000" w:sz="4" w:space="0"/>
              <w:left w:val="single" w:color="auto" w:sz="4" w:space="0"/>
              <w:bottom w:val="single" w:color="000000" w:sz="4" w:space="0"/>
              <w:right w:val="single" w:color="000000" w:sz="4" w:space="0"/>
            </w:tcBorders>
            <w:vAlign w:val="center"/>
          </w:tcPr>
          <w:p>
            <w:pPr>
              <w:ind w:right="-20"/>
              <w:jc w:val="center"/>
              <w:rPr>
                <w:rFonts w:ascii="宋体" w:hAnsi="宋体"/>
                <w:color w:val="000000"/>
                <w:sz w:val="18"/>
                <w:szCs w:val="18"/>
              </w:rPr>
            </w:pPr>
            <w:r>
              <w:rPr>
                <w:rFonts w:hint="eastAsia" w:ascii="宋体" w:hAnsi="宋体" w:cs="宋体"/>
                <w:color w:val="000000"/>
                <w:sz w:val="18"/>
                <w:szCs w:val="18"/>
              </w:rPr>
              <w:t>项目负责人</w:t>
            </w:r>
          </w:p>
        </w:tc>
        <w:tc>
          <w:tcPr>
            <w:tcW w:w="1050"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u w:val="single"/>
              </w:rPr>
            </w:pPr>
            <w:r>
              <w:rPr>
                <w:rFonts w:hint="eastAsia" w:ascii="宋体" w:hAnsi="宋体" w:cs="宋体"/>
                <w:color w:val="000000"/>
                <w:sz w:val="18"/>
                <w:szCs w:val="18"/>
              </w:rPr>
              <w:t>服务期</w:t>
            </w:r>
          </w:p>
        </w:tc>
        <w:tc>
          <w:tcPr>
            <w:tcW w:w="851"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olor w:val="000000"/>
                <w:sz w:val="24"/>
                <w:szCs w:val="24"/>
              </w:rPr>
            </w:pPr>
            <w:r>
              <w:rPr>
                <w:rFonts w:hint="eastAsia" w:ascii="宋体" w:hAnsi="宋体"/>
                <w:color w:val="000000"/>
                <w:sz w:val="18"/>
                <w:szCs w:val="18"/>
              </w:rPr>
              <w:t>备注</w:t>
            </w:r>
          </w:p>
        </w:tc>
        <w:tc>
          <w:tcPr>
            <w:tcW w:w="1144"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olor w:val="000000"/>
                <w:sz w:val="24"/>
                <w:szCs w:val="24"/>
              </w:rPr>
            </w:pPr>
            <w:r>
              <w:rPr>
                <w:rFonts w:hint="eastAsia" w:ascii="宋体" w:hAnsi="宋体"/>
                <w:color w:val="000000"/>
                <w:sz w:val="18"/>
                <w:szCs w:val="18"/>
              </w:rPr>
              <w:t>投标人代表签名</w:t>
            </w:r>
          </w:p>
        </w:tc>
      </w:tr>
      <w:tr>
        <w:tblPrEx>
          <w:tblCellMar>
            <w:top w:w="0" w:type="dxa"/>
            <w:left w:w="108" w:type="dxa"/>
            <w:bottom w:w="0" w:type="dxa"/>
            <w:right w:w="108" w:type="dxa"/>
          </w:tblCellMar>
        </w:tblPrEx>
        <w:trPr>
          <w:trHeight w:val="509" w:hRule="atLeast"/>
        </w:trPr>
        <w:tc>
          <w:tcPr>
            <w:tcW w:w="525" w:type="dxa"/>
            <w:tcBorders>
              <w:top w:val="single" w:color="000000" w:sz="4" w:space="0"/>
              <w:left w:val="single" w:color="000000" w:sz="4" w:space="0"/>
              <w:bottom w:val="single" w:color="000000" w:sz="4" w:space="0"/>
              <w:right w:val="single" w:color="000000" w:sz="4" w:space="0"/>
            </w:tcBorders>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r>
      <w:tr>
        <w:tblPrEx>
          <w:tblCellMar>
            <w:top w:w="0" w:type="dxa"/>
            <w:left w:w="108" w:type="dxa"/>
            <w:bottom w:w="0" w:type="dxa"/>
            <w:right w:w="108" w:type="dxa"/>
          </w:tblCellMar>
        </w:tblPrEx>
        <w:trPr>
          <w:trHeight w:val="90" w:hRule="atLeast"/>
        </w:trPr>
        <w:tc>
          <w:tcPr>
            <w:tcW w:w="525" w:type="dxa"/>
            <w:tcBorders>
              <w:top w:val="single" w:color="000000" w:sz="4" w:space="0"/>
              <w:left w:val="single" w:color="000000" w:sz="4" w:space="0"/>
              <w:bottom w:val="single" w:color="000000" w:sz="4" w:space="0"/>
              <w:right w:val="single" w:color="000000" w:sz="4" w:space="0"/>
            </w:tcBorders>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r>
      <w:tr>
        <w:tblPrEx>
          <w:tblCellMar>
            <w:top w:w="0" w:type="dxa"/>
            <w:left w:w="108" w:type="dxa"/>
            <w:bottom w:w="0" w:type="dxa"/>
            <w:right w:w="108" w:type="dxa"/>
          </w:tblCellMar>
        </w:tblPrEx>
        <w:trPr>
          <w:trHeight w:val="509" w:hRule="atLeast"/>
        </w:trPr>
        <w:tc>
          <w:tcPr>
            <w:tcW w:w="525" w:type="dxa"/>
            <w:tcBorders>
              <w:top w:val="single" w:color="000000" w:sz="4" w:space="0"/>
              <w:left w:val="single" w:color="000000" w:sz="4" w:space="0"/>
              <w:bottom w:val="single" w:color="000000" w:sz="4" w:space="0"/>
              <w:right w:val="single" w:color="000000" w:sz="4" w:space="0"/>
            </w:tcBorders>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r>
      <w:tr>
        <w:tblPrEx>
          <w:tblCellMar>
            <w:top w:w="0" w:type="dxa"/>
            <w:left w:w="108" w:type="dxa"/>
            <w:bottom w:w="0" w:type="dxa"/>
            <w:right w:w="108" w:type="dxa"/>
          </w:tblCellMar>
        </w:tblPrEx>
        <w:trPr>
          <w:trHeight w:val="511" w:hRule="atLeast"/>
        </w:trPr>
        <w:tc>
          <w:tcPr>
            <w:tcW w:w="525" w:type="dxa"/>
            <w:tcBorders>
              <w:top w:val="single" w:color="000000" w:sz="4" w:space="0"/>
              <w:left w:val="single" w:color="000000" w:sz="4" w:space="0"/>
              <w:bottom w:val="single" w:color="000000" w:sz="4" w:space="0"/>
              <w:right w:val="single" w:color="000000" w:sz="4" w:space="0"/>
            </w:tcBorders>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r>
      <w:tr>
        <w:tblPrEx>
          <w:tblCellMar>
            <w:top w:w="0" w:type="dxa"/>
            <w:left w:w="108" w:type="dxa"/>
            <w:bottom w:w="0" w:type="dxa"/>
            <w:right w:w="108" w:type="dxa"/>
          </w:tblCellMar>
        </w:tblPrEx>
        <w:trPr>
          <w:trHeight w:val="509" w:hRule="atLeast"/>
        </w:trPr>
        <w:tc>
          <w:tcPr>
            <w:tcW w:w="525" w:type="dxa"/>
            <w:tcBorders>
              <w:top w:val="single" w:color="000000" w:sz="4" w:space="0"/>
              <w:left w:val="single" w:color="000000" w:sz="4" w:space="0"/>
              <w:bottom w:val="single" w:color="000000" w:sz="4" w:space="0"/>
              <w:right w:val="single" w:color="000000" w:sz="4" w:space="0"/>
            </w:tcBorders>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r>
      <w:tr>
        <w:tblPrEx>
          <w:tblCellMar>
            <w:top w:w="0" w:type="dxa"/>
            <w:left w:w="108" w:type="dxa"/>
            <w:bottom w:w="0" w:type="dxa"/>
            <w:right w:w="108" w:type="dxa"/>
          </w:tblCellMar>
        </w:tblPrEx>
        <w:trPr>
          <w:trHeight w:val="511" w:hRule="atLeast"/>
        </w:trPr>
        <w:tc>
          <w:tcPr>
            <w:tcW w:w="525" w:type="dxa"/>
            <w:tcBorders>
              <w:top w:val="single" w:color="000000" w:sz="4" w:space="0"/>
              <w:left w:val="single" w:color="000000" w:sz="4" w:space="0"/>
              <w:bottom w:val="single" w:color="000000" w:sz="4" w:space="0"/>
              <w:right w:val="single" w:color="000000" w:sz="4" w:space="0"/>
            </w:tcBorders>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r>
      <w:tr>
        <w:tblPrEx>
          <w:tblCellMar>
            <w:top w:w="0" w:type="dxa"/>
            <w:left w:w="108" w:type="dxa"/>
            <w:bottom w:w="0" w:type="dxa"/>
            <w:right w:w="108" w:type="dxa"/>
          </w:tblCellMar>
        </w:tblPrEx>
        <w:trPr>
          <w:trHeight w:val="509" w:hRule="atLeast"/>
        </w:trPr>
        <w:tc>
          <w:tcPr>
            <w:tcW w:w="525" w:type="dxa"/>
            <w:tcBorders>
              <w:top w:val="single" w:color="000000" w:sz="4" w:space="0"/>
              <w:left w:val="single" w:color="000000" w:sz="4" w:space="0"/>
              <w:bottom w:val="single" w:color="000000" w:sz="4" w:space="0"/>
              <w:right w:val="single" w:color="000000" w:sz="4" w:space="0"/>
            </w:tcBorders>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r>
      <w:tr>
        <w:tblPrEx>
          <w:tblCellMar>
            <w:top w:w="0" w:type="dxa"/>
            <w:left w:w="108" w:type="dxa"/>
            <w:bottom w:w="0" w:type="dxa"/>
            <w:right w:w="108" w:type="dxa"/>
          </w:tblCellMar>
        </w:tblPrEx>
        <w:trPr>
          <w:trHeight w:val="511" w:hRule="atLeast"/>
        </w:trPr>
        <w:tc>
          <w:tcPr>
            <w:tcW w:w="525" w:type="dxa"/>
            <w:tcBorders>
              <w:top w:val="single" w:color="000000" w:sz="4" w:space="0"/>
              <w:left w:val="single" w:color="000000" w:sz="4" w:space="0"/>
              <w:bottom w:val="single" w:color="000000" w:sz="4" w:space="0"/>
              <w:right w:val="single" w:color="000000" w:sz="4" w:space="0"/>
            </w:tcBorders>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r>
      <w:tr>
        <w:tblPrEx>
          <w:tblCellMar>
            <w:top w:w="0" w:type="dxa"/>
            <w:left w:w="108" w:type="dxa"/>
            <w:bottom w:w="0" w:type="dxa"/>
            <w:right w:w="108" w:type="dxa"/>
          </w:tblCellMar>
        </w:tblPrEx>
        <w:trPr>
          <w:trHeight w:val="511" w:hRule="atLeast"/>
        </w:trPr>
        <w:tc>
          <w:tcPr>
            <w:tcW w:w="525" w:type="dxa"/>
            <w:tcBorders>
              <w:top w:val="single" w:color="000000" w:sz="4" w:space="0"/>
              <w:left w:val="single" w:color="000000" w:sz="4" w:space="0"/>
              <w:bottom w:val="single" w:color="000000" w:sz="4" w:space="0"/>
              <w:right w:val="single" w:color="000000" w:sz="4" w:space="0"/>
            </w:tcBorders>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r>
      <w:tr>
        <w:tblPrEx>
          <w:tblCellMar>
            <w:top w:w="0" w:type="dxa"/>
            <w:left w:w="108" w:type="dxa"/>
            <w:bottom w:w="0" w:type="dxa"/>
            <w:right w:w="108" w:type="dxa"/>
          </w:tblCellMar>
        </w:tblPrEx>
        <w:trPr>
          <w:trHeight w:val="511" w:hRule="atLeast"/>
        </w:trPr>
        <w:tc>
          <w:tcPr>
            <w:tcW w:w="525" w:type="dxa"/>
            <w:tcBorders>
              <w:top w:val="single" w:color="000000" w:sz="4" w:space="0"/>
              <w:left w:val="single" w:color="000000" w:sz="4" w:space="0"/>
              <w:bottom w:val="single" w:color="000000" w:sz="4" w:space="0"/>
              <w:right w:val="single" w:color="000000" w:sz="4" w:space="0"/>
            </w:tcBorders>
          </w:tcPr>
          <w:p>
            <w:pPr>
              <w:jc w:val="left"/>
              <w:rPr>
                <w:rFonts w:ascii="宋体" w:hAnsi="宋体"/>
                <w:color w:val="000000"/>
                <w:sz w:val="24"/>
                <w:szCs w:val="24"/>
              </w:rPr>
            </w:pPr>
          </w:p>
        </w:tc>
        <w:tc>
          <w:tcPr>
            <w:tcW w:w="945"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784" w:type="dxa"/>
            <w:tcBorders>
              <w:top w:val="single" w:color="auto" w:sz="4" w:space="0"/>
              <w:left w:val="single" w:color="auto" w:sz="4" w:space="0"/>
              <w:bottom w:val="single" w:color="auto" w:sz="4" w:space="0"/>
              <w:right w:val="single" w:color="auto" w:sz="4" w:space="0"/>
            </w:tcBorders>
          </w:tcPr>
          <w:p>
            <w:pPr>
              <w:jc w:val="left"/>
              <w:rPr>
                <w:rFonts w:ascii="宋体" w:hAnsi="宋体"/>
                <w:color w:val="000000"/>
                <w:sz w:val="24"/>
                <w:szCs w:val="24"/>
              </w:rPr>
            </w:pPr>
          </w:p>
        </w:tc>
        <w:tc>
          <w:tcPr>
            <w:tcW w:w="1229"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661" w:type="dxa"/>
            <w:tcBorders>
              <w:top w:val="single" w:color="000000" w:sz="4" w:space="0"/>
              <w:left w:val="nil"/>
              <w:bottom w:val="single" w:color="000000" w:sz="4" w:space="0"/>
              <w:right w:val="single" w:color="auto" w:sz="4" w:space="0"/>
            </w:tcBorders>
          </w:tcPr>
          <w:p>
            <w:pPr>
              <w:jc w:val="left"/>
              <w:rPr>
                <w:rFonts w:ascii="宋体" w:hAnsi="宋体"/>
                <w:color w:val="000000"/>
                <w:sz w:val="24"/>
                <w:szCs w:val="24"/>
              </w:rPr>
            </w:pPr>
          </w:p>
        </w:tc>
        <w:tc>
          <w:tcPr>
            <w:tcW w:w="840" w:type="dxa"/>
            <w:tcBorders>
              <w:top w:val="single" w:color="000000" w:sz="4" w:space="0"/>
              <w:left w:val="single" w:color="auto" w:sz="4" w:space="0"/>
              <w:bottom w:val="single" w:color="000000" w:sz="4" w:space="0"/>
              <w:right w:val="single" w:color="000000" w:sz="4" w:space="0"/>
            </w:tcBorders>
          </w:tcPr>
          <w:p>
            <w:pPr>
              <w:jc w:val="left"/>
              <w:rPr>
                <w:rFonts w:ascii="宋体" w:hAnsi="宋体"/>
                <w:color w:val="000000"/>
                <w:sz w:val="24"/>
                <w:szCs w:val="24"/>
              </w:rPr>
            </w:pPr>
          </w:p>
        </w:tc>
        <w:tc>
          <w:tcPr>
            <w:tcW w:w="1050"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851"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c>
          <w:tcPr>
            <w:tcW w:w="1144" w:type="dxa"/>
            <w:tcBorders>
              <w:top w:val="single" w:color="000000" w:sz="4" w:space="0"/>
              <w:left w:val="nil"/>
              <w:bottom w:val="single" w:color="000000" w:sz="4" w:space="0"/>
              <w:right w:val="single" w:color="000000" w:sz="4" w:space="0"/>
            </w:tcBorders>
          </w:tcPr>
          <w:p>
            <w:pPr>
              <w:jc w:val="left"/>
              <w:rPr>
                <w:rFonts w:ascii="宋体" w:hAnsi="宋体"/>
                <w:color w:val="000000"/>
                <w:sz w:val="24"/>
                <w:szCs w:val="24"/>
              </w:rPr>
            </w:pPr>
          </w:p>
        </w:tc>
      </w:tr>
      <w:tr>
        <w:tblPrEx>
          <w:tblCellMar>
            <w:top w:w="0" w:type="dxa"/>
            <w:left w:w="108" w:type="dxa"/>
            <w:bottom w:w="0" w:type="dxa"/>
            <w:right w:w="108" w:type="dxa"/>
          </w:tblCellMar>
        </w:tblPrEx>
        <w:trPr>
          <w:trHeight w:val="509" w:hRule="atLeast"/>
        </w:trPr>
        <w:tc>
          <w:tcPr>
            <w:tcW w:w="1470" w:type="dxa"/>
            <w:gridSpan w:val="2"/>
            <w:tcBorders>
              <w:top w:val="single" w:color="000000" w:sz="4" w:space="0"/>
              <w:left w:val="single" w:color="000000" w:sz="4" w:space="0"/>
              <w:bottom w:val="single" w:color="000000" w:sz="4" w:space="0"/>
              <w:right w:val="single" w:color="auto" w:sz="4" w:space="0"/>
            </w:tcBorders>
          </w:tcPr>
          <w:p>
            <w:pPr>
              <w:jc w:val="left"/>
              <w:rPr>
                <w:rFonts w:ascii="宋体" w:hAnsi="宋体"/>
                <w:color w:val="000000"/>
                <w:sz w:val="24"/>
                <w:szCs w:val="24"/>
              </w:rPr>
            </w:pPr>
            <w:r>
              <w:rPr>
                <w:rFonts w:hint="eastAsia" w:ascii="宋体" w:hAnsi="宋体"/>
                <w:color w:val="000000"/>
              </w:rPr>
              <w:t>最高投标限价：</w:t>
            </w:r>
          </w:p>
        </w:tc>
        <w:tc>
          <w:tcPr>
            <w:tcW w:w="7399" w:type="dxa"/>
            <w:gridSpan w:val="8"/>
            <w:tcBorders>
              <w:top w:val="single" w:color="auto" w:sz="4" w:space="0"/>
              <w:left w:val="single" w:color="auto" w:sz="4" w:space="0"/>
              <w:bottom w:val="single" w:color="auto" w:sz="4" w:space="0"/>
              <w:right w:val="single" w:color="000000" w:sz="4" w:space="0"/>
            </w:tcBorders>
          </w:tcPr>
          <w:p>
            <w:pPr>
              <w:jc w:val="left"/>
              <w:rPr>
                <w:rFonts w:ascii="宋体" w:hAnsi="宋体"/>
                <w:color w:val="000000"/>
                <w:sz w:val="24"/>
                <w:szCs w:val="24"/>
              </w:rPr>
            </w:pPr>
          </w:p>
        </w:tc>
      </w:tr>
    </w:tbl>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before="14" w:line="280" w:lineRule="exact"/>
        <w:jc w:val="left"/>
        <w:rPr>
          <w:rFonts w:ascii="宋体" w:hAnsi="宋体"/>
          <w:color w:val="000000"/>
          <w:sz w:val="28"/>
          <w:szCs w:val="28"/>
        </w:rPr>
      </w:pPr>
    </w:p>
    <w:p>
      <w:pPr>
        <w:spacing w:line="271" w:lineRule="exact"/>
        <w:ind w:left="220" w:right="-20"/>
        <w:jc w:val="left"/>
        <w:rPr>
          <w:rFonts w:ascii="宋体" w:hAnsi="宋体"/>
          <w:color w:val="000000"/>
        </w:rPr>
      </w:pPr>
      <w:r>
        <w:rPr>
          <w:rFonts w:hint="eastAsia" w:ascii="宋体" w:hAnsi="宋体"/>
          <w:color w:val="000000"/>
        </w:rPr>
        <w:t>招标人代表：</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ab/>
      </w:r>
      <w:r>
        <w:rPr>
          <w:rFonts w:hint="eastAsia" w:ascii="宋体" w:hAnsi="宋体"/>
          <w:color w:val="000000"/>
        </w:rPr>
        <w:t>记录人：</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ab/>
      </w:r>
      <w:r>
        <w:rPr>
          <w:rFonts w:hint="eastAsia" w:ascii="宋体" w:hAnsi="宋体"/>
          <w:color w:val="000000"/>
        </w:rPr>
        <w:t>监标人：</w:t>
      </w:r>
      <w:r>
        <w:rPr>
          <w:rFonts w:hint="eastAsia" w:ascii="宋体" w:hAnsi="宋体"/>
          <w:color w:val="000000"/>
          <w:u w:val="single"/>
        </w:rPr>
        <w:tab/>
      </w:r>
      <w:r>
        <w:rPr>
          <w:rFonts w:hint="eastAsia" w:ascii="宋体" w:hAnsi="宋体"/>
          <w:color w:val="000000"/>
          <w:u w:val="single"/>
        </w:rPr>
        <w:t xml:space="preserve"> </w:t>
      </w:r>
    </w:p>
    <w:p>
      <w:pPr>
        <w:spacing w:line="150" w:lineRule="exact"/>
        <w:jc w:val="left"/>
        <w:rPr>
          <w:rFonts w:ascii="宋体" w:hAnsi="宋体"/>
          <w:color w:val="000000"/>
          <w:sz w:val="15"/>
          <w:szCs w:val="15"/>
        </w:rPr>
      </w:pPr>
    </w:p>
    <w:p>
      <w:pPr>
        <w:spacing w:line="200" w:lineRule="exact"/>
        <w:jc w:val="left"/>
        <w:rPr>
          <w:rFonts w:ascii="宋体" w:hAnsi="宋体"/>
          <w:color w:val="000000"/>
          <w:sz w:val="20"/>
          <w:szCs w:val="20"/>
        </w:rPr>
      </w:pPr>
    </w:p>
    <w:p>
      <w:pPr>
        <w:wordWrap w:val="0"/>
        <w:spacing w:line="295" w:lineRule="exact"/>
        <w:ind w:right="96"/>
        <w:jc w:val="right"/>
        <w:rPr>
          <w:rFonts w:ascii="宋体" w:hAnsi="宋体"/>
          <w:color w:val="000000"/>
        </w:rPr>
      </w:pPr>
      <w:r>
        <w:rPr>
          <w:rFonts w:hint="eastAsia" w:ascii="宋体" w:hAnsi="宋体"/>
          <w:color w:val="000000"/>
          <w:u w:val="single"/>
        </w:rPr>
        <w:tab/>
      </w:r>
      <w:r>
        <w:rPr>
          <w:rFonts w:hint="eastAsia" w:ascii="宋体" w:hAnsi="宋体"/>
          <w:color w:val="000000"/>
        </w:rPr>
        <w:t>年</w:t>
      </w:r>
      <w:r>
        <w:rPr>
          <w:rFonts w:hint="eastAsia" w:ascii="宋体" w:hAnsi="宋体"/>
          <w:color w:val="000000"/>
          <w:u w:val="single"/>
        </w:rPr>
        <w:tab/>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ab/>
      </w:r>
      <w:r>
        <w:rPr>
          <w:rFonts w:hint="eastAsia" w:ascii="宋体" w:hAnsi="宋体"/>
          <w:color w:val="000000"/>
        </w:rPr>
        <w:t>日</w:t>
      </w:r>
    </w:p>
    <w:p>
      <w:pPr>
        <w:spacing w:line="383" w:lineRule="exact"/>
        <w:ind w:left="237" w:right="-20"/>
        <w:jc w:val="left"/>
        <w:rPr>
          <w:rFonts w:ascii="宋体" w:hAnsi="宋体"/>
          <w:color w:val="000000"/>
          <w:sz w:val="28"/>
          <w:szCs w:val="28"/>
        </w:rPr>
      </w:pPr>
      <w:r>
        <w:rPr>
          <w:rFonts w:hint="eastAsia" w:ascii="宋体" w:hAnsi="宋体"/>
          <w:color w:val="000000"/>
        </w:rPr>
        <w:br w:type="page"/>
      </w:r>
      <w:r>
        <w:rPr>
          <w:rFonts w:hint="eastAsia" w:ascii="宋体" w:hAnsi="宋体"/>
          <w:color w:val="000000"/>
          <w:sz w:val="28"/>
          <w:szCs w:val="28"/>
        </w:rPr>
        <w:t>附件二：问题澄清通知</w:t>
      </w: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before="14"/>
        <w:ind w:right="13"/>
        <w:jc w:val="center"/>
        <w:rPr>
          <w:rFonts w:ascii="宋体" w:cs="宋体"/>
          <w:color w:val="000000"/>
          <w:sz w:val="24"/>
          <w:szCs w:val="24"/>
        </w:rPr>
      </w:pPr>
      <w:r>
        <w:rPr>
          <w:rFonts w:hint="eastAsia" w:ascii="宋体" w:hAnsi="宋体" w:cs="宋体"/>
          <w:color w:val="000000"/>
          <w:sz w:val="24"/>
          <w:szCs w:val="24"/>
        </w:rPr>
        <w:t>问题澄清通知</w:t>
      </w:r>
    </w:p>
    <w:p>
      <w:pPr>
        <w:pStyle w:val="10"/>
        <w:tabs>
          <w:tab w:val="left" w:pos="2937"/>
        </w:tabs>
        <w:spacing w:before="157"/>
        <w:ind w:right="20"/>
        <w:jc w:val="center"/>
        <w:rPr>
          <w:color w:val="000000"/>
          <w:sz w:val="24"/>
          <w:szCs w:val="24"/>
        </w:rPr>
      </w:pPr>
      <w:r>
        <w:rPr>
          <w:rFonts w:hint="eastAsia"/>
          <w:color w:val="000000"/>
          <w:spacing w:val="-1"/>
          <w:sz w:val="24"/>
          <w:szCs w:val="24"/>
        </w:rPr>
        <w:t>（编号：</w:t>
      </w:r>
      <w:r>
        <w:rPr>
          <w:rFonts w:eastAsia="Times New Roman"/>
          <w:color w:val="000000"/>
          <w:spacing w:val="-1"/>
          <w:sz w:val="24"/>
          <w:szCs w:val="24"/>
          <w:u w:val="single" w:color="000000"/>
        </w:rPr>
        <w:tab/>
      </w:r>
      <w:r>
        <w:rPr>
          <w:rFonts w:hint="eastAsia"/>
          <w:color w:val="000000"/>
          <w:sz w:val="24"/>
          <w:szCs w:val="24"/>
        </w:rPr>
        <w:t>）</w:t>
      </w:r>
    </w:p>
    <w:p>
      <w:pPr>
        <w:rPr>
          <w:rFonts w:ascii="宋体" w:cs="宋体"/>
          <w:color w:val="000000"/>
          <w:sz w:val="24"/>
          <w:szCs w:val="24"/>
        </w:rPr>
      </w:pPr>
    </w:p>
    <w:p>
      <w:pPr>
        <w:spacing w:before="5"/>
        <w:rPr>
          <w:rFonts w:ascii="宋体" w:cs="宋体"/>
          <w:color w:val="000000"/>
          <w:sz w:val="24"/>
          <w:szCs w:val="24"/>
        </w:rPr>
      </w:pPr>
    </w:p>
    <w:p>
      <w:pPr>
        <w:pStyle w:val="10"/>
        <w:tabs>
          <w:tab w:val="left" w:pos="2305"/>
        </w:tabs>
        <w:spacing w:before="36"/>
        <w:ind w:left="100" w:right="113"/>
        <w:rPr>
          <w:color w:val="000000"/>
          <w:sz w:val="24"/>
          <w:szCs w:val="24"/>
        </w:rPr>
      </w:pPr>
      <w:r>
        <w:rPr>
          <w:rFonts w:eastAsia="Times New Roman"/>
          <w:color w:val="000000"/>
          <w:sz w:val="24"/>
          <w:szCs w:val="24"/>
          <w:u w:val="single" w:color="000000"/>
        </w:rPr>
        <w:tab/>
      </w:r>
      <w:r>
        <w:rPr>
          <w:rFonts w:hint="eastAsia"/>
          <w:color w:val="000000"/>
          <w:spacing w:val="-15"/>
          <w:sz w:val="24"/>
          <w:szCs w:val="24"/>
        </w:rPr>
        <w:t>（投标人名称）：</w:t>
      </w:r>
    </w:p>
    <w:p>
      <w:pPr>
        <w:rPr>
          <w:rFonts w:ascii="宋体" w:cs="宋体"/>
          <w:color w:val="000000"/>
          <w:sz w:val="24"/>
          <w:szCs w:val="24"/>
        </w:rPr>
      </w:pPr>
    </w:p>
    <w:p>
      <w:pPr>
        <w:spacing w:before="8"/>
        <w:rPr>
          <w:rFonts w:ascii="宋体" w:cs="宋体"/>
          <w:color w:val="000000"/>
          <w:sz w:val="24"/>
          <w:szCs w:val="24"/>
        </w:rPr>
      </w:pPr>
    </w:p>
    <w:p>
      <w:pPr>
        <w:pStyle w:val="10"/>
        <w:spacing w:before="36" w:line="384" w:lineRule="auto"/>
        <w:ind w:left="100" w:right="113" w:firstLine="422"/>
        <w:rPr>
          <w:color w:val="000000"/>
          <w:sz w:val="24"/>
          <w:szCs w:val="24"/>
        </w:rPr>
      </w:pPr>
      <w:r>
        <w:rPr>
          <w:rFonts w:hint="eastAsia"/>
          <w:color w:val="000000"/>
          <w:spacing w:val="-1"/>
          <w:sz w:val="24"/>
          <w:szCs w:val="24"/>
        </w:rPr>
        <w:t>评标委员会对你方的投标文件进行了仔细的审查，现需你方对下列问题以书面形式予以澄</w:t>
      </w:r>
      <w:r>
        <w:rPr>
          <w:rFonts w:hint="eastAsia"/>
          <w:color w:val="000000"/>
          <w:sz w:val="24"/>
          <w:szCs w:val="24"/>
        </w:rPr>
        <w:t>清、说明或补正：</w:t>
      </w:r>
    </w:p>
    <w:p>
      <w:pPr>
        <w:rPr>
          <w:rFonts w:ascii="宋体" w:cs="宋体"/>
          <w:color w:val="000000"/>
          <w:sz w:val="24"/>
          <w:szCs w:val="24"/>
        </w:rPr>
      </w:pPr>
    </w:p>
    <w:p>
      <w:pPr>
        <w:pStyle w:val="10"/>
        <w:ind w:left="522" w:right="113"/>
        <w:rPr>
          <w:rFonts w:eastAsia="Times New Roman"/>
          <w:color w:val="000000"/>
          <w:sz w:val="24"/>
          <w:szCs w:val="24"/>
        </w:rPr>
      </w:pPr>
      <w:r>
        <w:rPr>
          <w:color w:val="000000"/>
          <w:sz w:val="24"/>
          <w:szCs w:val="24"/>
        </w:rPr>
        <w:t>1.</w:t>
      </w:r>
    </w:p>
    <w:p>
      <w:pPr>
        <w:spacing w:before="2"/>
        <w:rPr>
          <w:color w:val="000000"/>
          <w:sz w:val="24"/>
          <w:szCs w:val="24"/>
        </w:rPr>
      </w:pPr>
    </w:p>
    <w:p>
      <w:pPr>
        <w:pStyle w:val="10"/>
        <w:ind w:left="522" w:right="113"/>
        <w:rPr>
          <w:rFonts w:eastAsia="Times New Roman"/>
          <w:color w:val="000000"/>
          <w:sz w:val="24"/>
          <w:szCs w:val="24"/>
        </w:rPr>
      </w:pPr>
      <w:r>
        <w:rPr>
          <w:color w:val="000000"/>
          <w:sz w:val="24"/>
          <w:szCs w:val="24"/>
        </w:rPr>
        <w:t>2.</w:t>
      </w:r>
    </w:p>
    <w:p>
      <w:pPr>
        <w:spacing w:before="5"/>
        <w:rPr>
          <w:color w:val="000000"/>
          <w:sz w:val="24"/>
          <w:szCs w:val="24"/>
        </w:rPr>
      </w:pPr>
    </w:p>
    <w:p>
      <w:pPr>
        <w:pStyle w:val="10"/>
        <w:ind w:left="628" w:right="113"/>
        <w:rPr>
          <w:rFonts w:eastAsia="Times New Roman"/>
          <w:color w:val="000000"/>
          <w:sz w:val="24"/>
          <w:szCs w:val="24"/>
        </w:rPr>
      </w:pPr>
      <w:r>
        <w:rPr>
          <w:color w:val="000000"/>
          <w:sz w:val="24"/>
          <w:szCs w:val="24"/>
        </w:rPr>
        <w:t>......</w:t>
      </w:r>
    </w:p>
    <w:p>
      <w:pPr>
        <w:rPr>
          <w:color w:val="000000"/>
          <w:sz w:val="24"/>
          <w:szCs w:val="24"/>
        </w:rPr>
      </w:pPr>
    </w:p>
    <w:p>
      <w:pPr>
        <w:pStyle w:val="10"/>
        <w:tabs>
          <w:tab w:val="left" w:pos="4603"/>
          <w:tab w:val="left" w:pos="5549"/>
          <w:tab w:val="left" w:pos="6494"/>
          <w:tab w:val="left" w:pos="7438"/>
        </w:tabs>
        <w:spacing w:before="127"/>
        <w:ind w:left="505" w:right="113"/>
        <w:rPr>
          <w:color w:val="000000"/>
          <w:sz w:val="24"/>
          <w:szCs w:val="24"/>
        </w:rPr>
      </w:pPr>
      <w:r>
        <w:rPr>
          <w:rFonts w:hint="eastAsia"/>
          <w:color w:val="000000"/>
          <w:spacing w:val="-2"/>
          <w:sz w:val="24"/>
          <w:szCs w:val="24"/>
        </w:rPr>
        <w:t>请将上述问题的澄清、说明或补正于</w:t>
      </w:r>
      <w:r>
        <w:rPr>
          <w:rFonts w:eastAsia="Times New Roman"/>
          <w:color w:val="000000"/>
          <w:spacing w:val="-2"/>
          <w:sz w:val="24"/>
          <w:szCs w:val="24"/>
          <w:u w:val="single" w:color="000000"/>
        </w:rPr>
        <w:tab/>
      </w:r>
      <w:r>
        <w:rPr>
          <w:rFonts w:hint="eastAsia"/>
          <w:color w:val="000000"/>
          <w:sz w:val="24"/>
          <w:szCs w:val="24"/>
        </w:rPr>
        <w:t>年</w:t>
      </w:r>
      <w:r>
        <w:rPr>
          <w:rFonts w:eastAsia="Times New Roman"/>
          <w:color w:val="000000"/>
          <w:sz w:val="24"/>
          <w:szCs w:val="24"/>
          <w:u w:val="single" w:color="000000"/>
        </w:rPr>
        <w:tab/>
      </w:r>
      <w:r>
        <w:rPr>
          <w:rFonts w:hint="eastAsia"/>
          <w:color w:val="000000"/>
          <w:sz w:val="24"/>
          <w:szCs w:val="24"/>
        </w:rPr>
        <w:t>月</w:t>
      </w:r>
      <w:r>
        <w:rPr>
          <w:rFonts w:eastAsia="Times New Roman"/>
          <w:color w:val="000000"/>
          <w:sz w:val="24"/>
          <w:szCs w:val="24"/>
          <w:u w:val="single" w:color="000000"/>
        </w:rPr>
        <w:tab/>
      </w:r>
      <w:r>
        <w:rPr>
          <w:rFonts w:hint="eastAsia"/>
          <w:color w:val="000000"/>
          <w:spacing w:val="-3"/>
          <w:sz w:val="24"/>
          <w:szCs w:val="24"/>
        </w:rPr>
        <w:t>日</w:t>
      </w:r>
      <w:r>
        <w:rPr>
          <w:rFonts w:eastAsia="Times New Roman"/>
          <w:color w:val="000000"/>
          <w:spacing w:val="-3"/>
          <w:sz w:val="24"/>
          <w:szCs w:val="24"/>
          <w:u w:val="single" w:color="000000"/>
        </w:rPr>
        <w:tab/>
      </w:r>
      <w:r>
        <w:rPr>
          <w:rFonts w:hint="eastAsia"/>
          <w:color w:val="000000"/>
          <w:spacing w:val="-2"/>
          <w:sz w:val="24"/>
          <w:szCs w:val="24"/>
        </w:rPr>
        <w:t>时前递交至</w:t>
      </w:r>
    </w:p>
    <w:p>
      <w:pPr>
        <w:spacing w:before="13"/>
        <w:rPr>
          <w:rFonts w:ascii="宋体" w:cs="宋体"/>
          <w:color w:val="000000"/>
          <w:sz w:val="24"/>
          <w:szCs w:val="24"/>
        </w:rPr>
      </w:pPr>
    </w:p>
    <w:p>
      <w:pPr>
        <w:pStyle w:val="10"/>
        <w:tabs>
          <w:tab w:val="left" w:pos="3040"/>
          <w:tab w:val="left" w:pos="7296"/>
        </w:tabs>
        <w:spacing w:before="36"/>
        <w:ind w:left="100"/>
        <w:rPr>
          <w:color w:val="000000"/>
          <w:sz w:val="24"/>
          <w:szCs w:val="24"/>
        </w:rPr>
      </w:pPr>
      <w:r>
        <w:rPr>
          <w:rFonts w:eastAsia="Times New Roman"/>
          <w:color w:val="000000"/>
          <w:sz w:val="24"/>
          <w:szCs w:val="24"/>
          <w:u w:val="single" w:color="000000"/>
        </w:rPr>
        <w:tab/>
      </w:r>
      <w:r>
        <w:rPr>
          <w:rFonts w:hint="eastAsia"/>
          <w:color w:val="000000"/>
          <w:spacing w:val="-5"/>
          <w:sz w:val="24"/>
          <w:szCs w:val="24"/>
        </w:rPr>
        <w:t>（详细地址）或传真至</w:t>
      </w:r>
      <w:r>
        <w:rPr>
          <w:rFonts w:eastAsia="Times New Roman"/>
          <w:color w:val="000000"/>
          <w:spacing w:val="-5"/>
          <w:sz w:val="24"/>
          <w:szCs w:val="24"/>
          <w:u w:val="single" w:color="000000"/>
        </w:rPr>
        <w:tab/>
      </w:r>
      <w:r>
        <w:rPr>
          <w:rFonts w:hint="eastAsia"/>
          <w:color w:val="000000"/>
          <w:spacing w:val="-5"/>
          <w:sz w:val="24"/>
          <w:szCs w:val="24"/>
        </w:rPr>
        <w:t>（传真号码）或</w:t>
      </w:r>
    </w:p>
    <w:p>
      <w:pPr>
        <w:spacing w:before="10"/>
        <w:rPr>
          <w:rFonts w:ascii="宋体" w:cs="宋体"/>
          <w:color w:val="000000"/>
          <w:sz w:val="24"/>
          <w:szCs w:val="24"/>
        </w:rPr>
      </w:pPr>
    </w:p>
    <w:p>
      <w:pPr>
        <w:pStyle w:val="10"/>
        <w:tabs>
          <w:tab w:val="left" w:pos="7138"/>
          <w:tab w:val="left" w:pos="8084"/>
        </w:tabs>
        <w:spacing w:before="36"/>
        <w:ind w:left="100" w:right="113"/>
        <w:rPr>
          <w:color w:val="000000"/>
          <w:sz w:val="24"/>
          <w:szCs w:val="24"/>
        </w:rPr>
      </w:pPr>
      <w:r>
        <w:rPr>
          <w:rFonts w:hint="eastAsia"/>
          <w:color w:val="000000"/>
          <w:spacing w:val="-2"/>
          <w:sz w:val="24"/>
          <w:szCs w:val="24"/>
        </w:rPr>
        <w:t>通过下载招标文件的电子招标交易平台上传。采用传真方式的，应在</w:t>
      </w:r>
      <w:r>
        <w:rPr>
          <w:rFonts w:eastAsia="Times New Roman"/>
          <w:color w:val="000000"/>
          <w:spacing w:val="-2"/>
          <w:sz w:val="24"/>
          <w:szCs w:val="24"/>
          <w:u w:val="single" w:color="000000"/>
        </w:rPr>
        <w:tab/>
      </w:r>
      <w:r>
        <w:rPr>
          <w:rFonts w:hint="eastAsia"/>
          <w:color w:val="000000"/>
          <w:sz w:val="24"/>
          <w:szCs w:val="24"/>
        </w:rPr>
        <w:t>年</w:t>
      </w:r>
      <w:r>
        <w:rPr>
          <w:rFonts w:eastAsia="Times New Roman"/>
          <w:color w:val="000000"/>
          <w:sz w:val="24"/>
          <w:szCs w:val="24"/>
          <w:u w:val="single" w:color="000000"/>
        </w:rPr>
        <w:tab/>
      </w:r>
      <w:r>
        <w:rPr>
          <w:rFonts w:hint="eastAsia"/>
          <w:color w:val="000000"/>
          <w:sz w:val="24"/>
          <w:szCs w:val="24"/>
        </w:rPr>
        <w:t>月</w:t>
      </w:r>
    </w:p>
    <w:p>
      <w:pPr>
        <w:spacing w:before="10"/>
        <w:rPr>
          <w:rFonts w:ascii="宋体" w:cs="宋体"/>
          <w:color w:val="000000"/>
          <w:sz w:val="24"/>
          <w:szCs w:val="24"/>
        </w:rPr>
      </w:pPr>
    </w:p>
    <w:p>
      <w:pPr>
        <w:pStyle w:val="10"/>
        <w:tabs>
          <w:tab w:val="left" w:pos="837"/>
          <w:tab w:val="left" w:pos="1782"/>
          <w:tab w:val="left" w:pos="5669"/>
        </w:tabs>
        <w:spacing w:before="36"/>
        <w:ind w:left="100" w:right="113"/>
        <w:rPr>
          <w:color w:val="000000"/>
          <w:sz w:val="24"/>
          <w:szCs w:val="24"/>
        </w:rPr>
      </w:pPr>
      <w:r>
        <w:rPr>
          <w:rFonts w:eastAsia="Times New Roman"/>
          <w:color w:val="000000"/>
          <w:sz w:val="24"/>
          <w:szCs w:val="24"/>
          <w:u w:val="single" w:color="000000"/>
        </w:rPr>
        <w:tab/>
      </w:r>
      <w:r>
        <w:rPr>
          <w:rFonts w:hint="eastAsia"/>
          <w:color w:val="000000"/>
          <w:sz w:val="24"/>
          <w:szCs w:val="24"/>
        </w:rPr>
        <w:t>日</w:t>
      </w:r>
      <w:r>
        <w:rPr>
          <w:rFonts w:eastAsia="Times New Roman"/>
          <w:color w:val="000000"/>
          <w:sz w:val="24"/>
          <w:szCs w:val="24"/>
          <w:u w:val="single" w:color="000000"/>
        </w:rPr>
        <w:tab/>
      </w:r>
      <w:r>
        <w:rPr>
          <w:rFonts w:hint="eastAsia"/>
          <w:color w:val="000000"/>
          <w:spacing w:val="-2"/>
          <w:sz w:val="24"/>
          <w:szCs w:val="24"/>
        </w:rPr>
        <w:t>时前将原件递交至</w:t>
      </w:r>
      <w:r>
        <w:rPr>
          <w:rFonts w:eastAsia="Times New Roman"/>
          <w:color w:val="000000"/>
          <w:spacing w:val="-2"/>
          <w:sz w:val="24"/>
          <w:szCs w:val="24"/>
          <w:u w:val="single" w:color="000000"/>
        </w:rPr>
        <w:tab/>
      </w:r>
      <w:r>
        <w:rPr>
          <w:rFonts w:hint="eastAsia"/>
          <w:color w:val="000000"/>
          <w:spacing w:val="-17"/>
          <w:sz w:val="24"/>
          <w:szCs w:val="24"/>
        </w:rPr>
        <w:t>（详细地址）。</w:t>
      </w:r>
    </w:p>
    <w:p>
      <w:pPr>
        <w:rPr>
          <w:rFonts w:ascii="宋体" w:cs="宋体"/>
          <w:color w:val="000000"/>
          <w:sz w:val="24"/>
          <w:szCs w:val="24"/>
        </w:rPr>
      </w:pPr>
    </w:p>
    <w:p>
      <w:pPr>
        <w:spacing w:before="2"/>
        <w:rPr>
          <w:rFonts w:ascii="宋体" w:cs="宋体"/>
          <w:color w:val="000000"/>
          <w:sz w:val="24"/>
          <w:szCs w:val="24"/>
        </w:rPr>
      </w:pPr>
    </w:p>
    <w:p>
      <w:pPr>
        <w:pStyle w:val="10"/>
        <w:tabs>
          <w:tab w:val="left" w:pos="7032"/>
        </w:tabs>
        <w:spacing w:before="36"/>
        <w:ind w:left="2200" w:right="113"/>
        <w:rPr>
          <w:color w:val="000000"/>
          <w:sz w:val="24"/>
          <w:szCs w:val="24"/>
        </w:rPr>
      </w:pPr>
      <w:r>
        <w:rPr>
          <w:rFonts w:hint="eastAsia"/>
          <w:color w:val="000000"/>
          <w:spacing w:val="-2"/>
          <w:sz w:val="24"/>
          <w:szCs w:val="24"/>
        </w:rPr>
        <w:t>评标委员会授权的招标人或招标代理机构：</w:t>
      </w:r>
      <w:r>
        <w:rPr>
          <w:rFonts w:eastAsia="Times New Roman"/>
          <w:color w:val="000000"/>
          <w:spacing w:val="-2"/>
          <w:sz w:val="24"/>
          <w:szCs w:val="24"/>
          <w:u w:val="single" w:color="000000"/>
        </w:rPr>
        <w:tab/>
      </w:r>
      <w:r>
        <w:rPr>
          <w:rFonts w:hint="eastAsia"/>
          <w:color w:val="000000"/>
          <w:spacing w:val="-1"/>
          <w:sz w:val="24"/>
          <w:szCs w:val="24"/>
        </w:rPr>
        <w:t>（签字或盖章）</w:t>
      </w:r>
    </w:p>
    <w:p>
      <w:pPr>
        <w:rPr>
          <w:rFonts w:ascii="宋体" w:cs="宋体"/>
          <w:color w:val="000000"/>
          <w:sz w:val="24"/>
          <w:szCs w:val="24"/>
        </w:rPr>
      </w:pPr>
    </w:p>
    <w:p>
      <w:pPr>
        <w:spacing w:before="7"/>
        <w:rPr>
          <w:rFonts w:ascii="宋体" w:cs="宋体"/>
          <w:color w:val="000000"/>
          <w:sz w:val="24"/>
          <w:szCs w:val="24"/>
        </w:rPr>
      </w:pPr>
    </w:p>
    <w:p>
      <w:pPr>
        <w:pStyle w:val="10"/>
        <w:tabs>
          <w:tab w:val="left" w:pos="5803"/>
          <w:tab w:val="left" w:pos="6746"/>
          <w:tab w:val="left" w:pos="7692"/>
        </w:tabs>
        <w:spacing w:before="36"/>
        <w:ind w:left="4961" w:right="113"/>
        <w:rPr>
          <w:color w:val="000000"/>
          <w:sz w:val="24"/>
          <w:szCs w:val="24"/>
        </w:rPr>
      </w:pPr>
      <w:r>
        <w:rPr>
          <w:rFonts w:eastAsia="Times New Roman"/>
          <w:color w:val="000000"/>
          <w:sz w:val="24"/>
          <w:szCs w:val="24"/>
          <w:u w:val="single" w:color="000000"/>
        </w:rPr>
        <w:tab/>
      </w:r>
      <w:r>
        <w:rPr>
          <w:rFonts w:hint="eastAsia"/>
          <w:color w:val="000000"/>
          <w:spacing w:val="-3"/>
          <w:sz w:val="24"/>
          <w:szCs w:val="24"/>
        </w:rPr>
        <w:t>年</w:t>
      </w:r>
      <w:r>
        <w:rPr>
          <w:rFonts w:eastAsia="Times New Roman"/>
          <w:color w:val="000000"/>
          <w:spacing w:val="-3"/>
          <w:sz w:val="24"/>
          <w:szCs w:val="24"/>
          <w:u w:val="single" w:color="000000"/>
        </w:rPr>
        <w:tab/>
      </w:r>
      <w:r>
        <w:rPr>
          <w:rFonts w:hint="eastAsia"/>
          <w:color w:val="000000"/>
          <w:sz w:val="24"/>
          <w:szCs w:val="24"/>
        </w:rPr>
        <w:t>月</w:t>
      </w:r>
      <w:r>
        <w:rPr>
          <w:rFonts w:eastAsia="Times New Roman"/>
          <w:color w:val="000000"/>
          <w:sz w:val="24"/>
          <w:szCs w:val="24"/>
          <w:u w:val="single" w:color="000000"/>
        </w:rPr>
        <w:tab/>
      </w:r>
      <w:r>
        <w:rPr>
          <w:rFonts w:hint="eastAsia"/>
          <w:color w:val="000000"/>
          <w:sz w:val="24"/>
          <w:szCs w:val="24"/>
        </w:rPr>
        <w:t>日</w:t>
      </w:r>
    </w:p>
    <w:p>
      <w:pPr>
        <w:spacing w:line="383" w:lineRule="exact"/>
        <w:ind w:left="237" w:right="-20"/>
        <w:jc w:val="left"/>
        <w:rPr>
          <w:rFonts w:ascii="宋体" w:hAnsi="宋体"/>
          <w:color w:val="000000"/>
          <w:sz w:val="28"/>
          <w:szCs w:val="28"/>
        </w:rPr>
      </w:pPr>
      <w:r>
        <w:rPr>
          <w:rFonts w:hint="eastAsia"/>
          <w:color w:val="000000"/>
          <w:sz w:val="24"/>
          <w:szCs w:val="24"/>
        </w:rPr>
        <w:br w:type="page"/>
      </w:r>
      <w:r>
        <w:rPr>
          <w:rFonts w:hint="eastAsia" w:ascii="宋体" w:hAnsi="宋体"/>
          <w:color w:val="000000"/>
          <w:sz w:val="28"/>
          <w:szCs w:val="28"/>
        </w:rPr>
        <w:t>附件三：问题的澄清</w:t>
      </w:r>
    </w:p>
    <w:p>
      <w:pPr>
        <w:spacing w:before="9" w:line="170" w:lineRule="exact"/>
        <w:jc w:val="left"/>
        <w:rPr>
          <w:rFonts w:ascii="宋体" w:hAnsi="宋体"/>
          <w:color w:val="000000"/>
          <w:sz w:val="17"/>
          <w:szCs w:val="17"/>
        </w:rPr>
      </w:pPr>
    </w:p>
    <w:p>
      <w:pPr>
        <w:spacing w:line="200" w:lineRule="exact"/>
        <w:jc w:val="left"/>
        <w:rPr>
          <w:rFonts w:ascii="宋体" w:hAnsi="宋体"/>
          <w:color w:val="000000"/>
          <w:sz w:val="20"/>
          <w:szCs w:val="20"/>
        </w:rPr>
      </w:pPr>
    </w:p>
    <w:p>
      <w:pPr>
        <w:spacing w:before="168"/>
        <w:ind w:right="16"/>
        <w:jc w:val="center"/>
        <w:rPr>
          <w:rFonts w:ascii="宋体" w:cs="宋体"/>
          <w:color w:val="000000"/>
          <w:sz w:val="24"/>
          <w:szCs w:val="24"/>
        </w:rPr>
      </w:pPr>
      <w:r>
        <w:rPr>
          <w:rFonts w:hint="eastAsia" w:ascii="宋体" w:hAnsi="宋体" w:cs="宋体"/>
          <w:color w:val="000000"/>
          <w:sz w:val="24"/>
          <w:szCs w:val="24"/>
        </w:rPr>
        <w:t>问题的澄清</w:t>
      </w:r>
    </w:p>
    <w:p>
      <w:pPr>
        <w:pStyle w:val="10"/>
        <w:tabs>
          <w:tab w:val="left" w:pos="5947"/>
        </w:tabs>
        <w:spacing w:before="113"/>
        <w:ind w:left="3566" w:right="113"/>
        <w:rPr>
          <w:color w:val="000000"/>
          <w:sz w:val="24"/>
          <w:szCs w:val="24"/>
        </w:rPr>
      </w:pPr>
      <w:r>
        <w:rPr>
          <w:rFonts w:hint="eastAsia"/>
          <w:color w:val="000000"/>
          <w:spacing w:val="-1"/>
          <w:sz w:val="24"/>
          <w:szCs w:val="24"/>
        </w:rPr>
        <w:t>（编号：</w:t>
      </w:r>
      <w:r>
        <w:rPr>
          <w:rFonts w:eastAsia="Times New Roman"/>
          <w:color w:val="000000"/>
          <w:spacing w:val="-1"/>
          <w:sz w:val="24"/>
          <w:szCs w:val="24"/>
          <w:u w:val="single" w:color="000000"/>
        </w:rPr>
        <w:tab/>
      </w:r>
      <w:r>
        <w:rPr>
          <w:rFonts w:hint="eastAsia"/>
          <w:color w:val="000000"/>
          <w:sz w:val="24"/>
          <w:szCs w:val="24"/>
        </w:rPr>
        <w:t>）</w:t>
      </w:r>
    </w:p>
    <w:p>
      <w:pPr>
        <w:rPr>
          <w:rFonts w:ascii="宋体" w:cs="宋体"/>
          <w:color w:val="000000"/>
          <w:sz w:val="24"/>
          <w:szCs w:val="24"/>
        </w:rPr>
      </w:pPr>
    </w:p>
    <w:p>
      <w:pPr>
        <w:spacing w:before="1"/>
        <w:rPr>
          <w:rFonts w:ascii="宋体" w:cs="宋体"/>
          <w:color w:val="000000"/>
          <w:sz w:val="24"/>
          <w:szCs w:val="24"/>
        </w:rPr>
      </w:pPr>
    </w:p>
    <w:p>
      <w:pPr>
        <w:pStyle w:val="10"/>
        <w:spacing w:before="36"/>
        <w:ind w:left="100" w:right="113"/>
        <w:rPr>
          <w:color w:val="000000"/>
          <w:sz w:val="24"/>
          <w:szCs w:val="24"/>
        </w:rPr>
      </w:pPr>
      <w:r>
        <w:rPr>
          <w:rFonts w:hint="eastAsia"/>
          <w:color w:val="000000"/>
          <w:sz w:val="24"/>
          <w:szCs w:val="24"/>
        </w:rPr>
        <w:t>评标委员会：</w:t>
      </w:r>
    </w:p>
    <w:p>
      <w:pPr>
        <w:rPr>
          <w:rFonts w:ascii="宋体" w:cs="宋体"/>
          <w:color w:val="000000"/>
          <w:sz w:val="24"/>
          <w:szCs w:val="24"/>
        </w:rPr>
      </w:pPr>
    </w:p>
    <w:p>
      <w:pPr>
        <w:spacing w:before="2"/>
        <w:rPr>
          <w:rFonts w:ascii="宋体" w:cs="宋体"/>
          <w:color w:val="000000"/>
          <w:sz w:val="24"/>
          <w:szCs w:val="24"/>
        </w:rPr>
      </w:pPr>
    </w:p>
    <w:p>
      <w:pPr>
        <w:pStyle w:val="10"/>
        <w:tabs>
          <w:tab w:val="left" w:pos="3460"/>
        </w:tabs>
        <w:ind w:left="522" w:right="113"/>
        <w:rPr>
          <w:color w:val="000000"/>
          <w:sz w:val="24"/>
          <w:szCs w:val="24"/>
        </w:rPr>
      </w:pPr>
      <w:r>
        <w:rPr>
          <w:rFonts w:hint="eastAsia"/>
          <w:color w:val="000000"/>
          <w:spacing w:val="-2"/>
          <w:sz w:val="24"/>
          <w:szCs w:val="24"/>
        </w:rPr>
        <w:t>问题澄清通知（编号：</w:t>
      </w:r>
      <w:r>
        <w:rPr>
          <w:rFonts w:eastAsia="Times New Roman"/>
          <w:color w:val="000000"/>
          <w:spacing w:val="-2"/>
          <w:sz w:val="24"/>
          <w:szCs w:val="24"/>
          <w:u w:val="single" w:color="000000"/>
        </w:rPr>
        <w:tab/>
      </w:r>
      <w:r>
        <w:rPr>
          <w:rFonts w:hint="eastAsia"/>
          <w:color w:val="000000"/>
          <w:spacing w:val="-2"/>
          <w:sz w:val="24"/>
          <w:szCs w:val="24"/>
        </w:rPr>
        <w:t>）已收悉，现澄清、说明或补正如下：</w:t>
      </w:r>
    </w:p>
    <w:p>
      <w:pPr>
        <w:spacing w:before="11"/>
        <w:rPr>
          <w:rFonts w:ascii="宋体" w:cs="宋体"/>
          <w:color w:val="000000"/>
          <w:sz w:val="24"/>
          <w:szCs w:val="24"/>
        </w:rPr>
      </w:pPr>
    </w:p>
    <w:p>
      <w:pPr>
        <w:pStyle w:val="10"/>
        <w:spacing w:before="74"/>
        <w:ind w:right="7025"/>
        <w:jc w:val="center"/>
        <w:rPr>
          <w:rFonts w:eastAsia="Times New Roman"/>
          <w:color w:val="000000"/>
          <w:sz w:val="24"/>
          <w:szCs w:val="24"/>
        </w:rPr>
      </w:pPr>
      <w:r>
        <w:rPr>
          <w:color w:val="000000"/>
          <w:sz w:val="24"/>
          <w:szCs w:val="24"/>
        </w:rPr>
        <w:t>1.</w:t>
      </w:r>
    </w:p>
    <w:p>
      <w:pPr>
        <w:spacing w:before="2"/>
        <w:rPr>
          <w:color w:val="000000"/>
          <w:sz w:val="24"/>
          <w:szCs w:val="24"/>
        </w:rPr>
      </w:pPr>
    </w:p>
    <w:p>
      <w:pPr>
        <w:pStyle w:val="10"/>
        <w:ind w:right="7025"/>
        <w:jc w:val="center"/>
        <w:rPr>
          <w:rFonts w:eastAsia="Times New Roman"/>
          <w:color w:val="000000"/>
          <w:sz w:val="24"/>
          <w:szCs w:val="24"/>
        </w:rPr>
      </w:pPr>
      <w:r>
        <w:rPr>
          <w:color w:val="000000"/>
          <w:sz w:val="24"/>
          <w:szCs w:val="24"/>
        </w:rPr>
        <w:t>2.</w:t>
      </w:r>
    </w:p>
    <w:p>
      <w:pPr>
        <w:spacing w:before="2"/>
        <w:rPr>
          <w:color w:val="000000"/>
          <w:sz w:val="24"/>
          <w:szCs w:val="24"/>
        </w:rPr>
      </w:pPr>
    </w:p>
    <w:p>
      <w:pPr>
        <w:pStyle w:val="10"/>
        <w:ind w:right="7130"/>
        <w:jc w:val="center"/>
        <w:rPr>
          <w:rFonts w:eastAsia="Times New Roman"/>
          <w:color w:val="000000"/>
          <w:sz w:val="24"/>
          <w:szCs w:val="24"/>
        </w:rPr>
      </w:pPr>
      <w:r>
        <w:rPr>
          <w:color w:val="000000"/>
          <w:sz w:val="24"/>
          <w:szCs w:val="24"/>
        </w:rPr>
        <w:t>.....</w:t>
      </w: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spacing w:before="11"/>
        <w:rPr>
          <w:color w:val="000000"/>
          <w:sz w:val="24"/>
          <w:szCs w:val="24"/>
        </w:rPr>
      </w:pPr>
    </w:p>
    <w:p>
      <w:pPr>
        <w:pStyle w:val="10"/>
        <w:spacing w:line="384" w:lineRule="auto"/>
        <w:ind w:left="100" w:right="113" w:firstLine="419"/>
        <w:rPr>
          <w:color w:val="000000"/>
          <w:sz w:val="24"/>
          <w:szCs w:val="24"/>
        </w:rPr>
      </w:pPr>
      <w:r>
        <w:rPr>
          <w:rFonts w:hint="eastAsia"/>
          <w:color w:val="000000"/>
          <w:spacing w:val="-1"/>
          <w:sz w:val="24"/>
          <w:szCs w:val="24"/>
        </w:rPr>
        <w:t>上述问题澄清、说明或补正，不改变我方投标文件的实质性内容，构成我方投标文件的组</w:t>
      </w:r>
      <w:r>
        <w:rPr>
          <w:rFonts w:hint="eastAsia"/>
          <w:color w:val="000000"/>
          <w:sz w:val="24"/>
          <w:szCs w:val="24"/>
        </w:rPr>
        <w:t>成部分。</w:t>
      </w:r>
    </w:p>
    <w:p>
      <w:pPr>
        <w:rPr>
          <w:rFonts w:ascii="宋体" w:cs="宋体"/>
          <w:color w:val="000000"/>
          <w:sz w:val="24"/>
          <w:szCs w:val="24"/>
        </w:rPr>
      </w:pPr>
    </w:p>
    <w:p>
      <w:pPr>
        <w:rPr>
          <w:rFonts w:ascii="宋体" w:cs="宋体"/>
          <w:color w:val="000000"/>
          <w:sz w:val="24"/>
          <w:szCs w:val="24"/>
        </w:rPr>
      </w:pPr>
    </w:p>
    <w:p>
      <w:pPr>
        <w:pStyle w:val="10"/>
        <w:tabs>
          <w:tab w:val="left" w:pos="7382"/>
        </w:tabs>
        <w:ind w:right="113"/>
        <w:jc w:val="right"/>
        <w:rPr>
          <w:color w:val="000000"/>
          <w:sz w:val="24"/>
          <w:szCs w:val="24"/>
        </w:rPr>
      </w:pPr>
      <w:r>
        <w:rPr>
          <w:rFonts w:hint="eastAsia"/>
          <w:color w:val="000000"/>
          <w:spacing w:val="-1"/>
          <w:sz w:val="24"/>
          <w:szCs w:val="24"/>
        </w:rPr>
        <w:t>投标人：         （盖单位章）</w:t>
      </w:r>
    </w:p>
    <w:p>
      <w:pPr>
        <w:spacing w:before="11"/>
        <w:rPr>
          <w:rFonts w:ascii="宋体" w:cs="宋体"/>
          <w:color w:val="000000"/>
          <w:sz w:val="24"/>
          <w:szCs w:val="24"/>
        </w:rPr>
      </w:pPr>
    </w:p>
    <w:p>
      <w:pPr>
        <w:pStyle w:val="10"/>
        <w:tabs>
          <w:tab w:val="left" w:pos="6612"/>
        </w:tabs>
        <w:spacing w:before="36"/>
        <w:ind w:left="3041" w:right="113"/>
        <w:jc w:val="right"/>
        <w:rPr>
          <w:color w:val="000000"/>
          <w:sz w:val="24"/>
          <w:szCs w:val="24"/>
        </w:rPr>
      </w:pPr>
      <w:r>
        <w:rPr>
          <w:rFonts w:hint="eastAsia"/>
          <w:color w:val="000000"/>
          <w:spacing w:val="-2"/>
          <w:sz w:val="24"/>
          <w:szCs w:val="24"/>
        </w:rPr>
        <w:t>法定代表人或其委托代理人：</w:t>
      </w:r>
      <w:r>
        <w:rPr>
          <w:rFonts w:eastAsia="Times New Roman"/>
          <w:color w:val="000000"/>
          <w:spacing w:val="-2"/>
          <w:sz w:val="24"/>
          <w:szCs w:val="24"/>
          <w:u w:val="single" w:color="000000"/>
        </w:rPr>
        <w:tab/>
      </w:r>
      <w:r>
        <w:rPr>
          <w:rFonts w:hint="eastAsia"/>
          <w:color w:val="000000"/>
          <w:spacing w:val="-2"/>
          <w:sz w:val="24"/>
          <w:szCs w:val="24"/>
        </w:rPr>
        <w:t>（签字）</w:t>
      </w:r>
    </w:p>
    <w:p>
      <w:pPr>
        <w:rPr>
          <w:rFonts w:ascii="宋体" w:cs="宋体"/>
          <w:color w:val="000000"/>
          <w:sz w:val="24"/>
          <w:szCs w:val="24"/>
        </w:rPr>
      </w:pPr>
    </w:p>
    <w:p>
      <w:pPr>
        <w:rPr>
          <w:rFonts w:ascii="宋体" w:cs="宋体"/>
          <w:color w:val="000000"/>
          <w:sz w:val="24"/>
          <w:szCs w:val="24"/>
        </w:rPr>
      </w:pPr>
    </w:p>
    <w:p>
      <w:pPr>
        <w:spacing w:before="4"/>
        <w:rPr>
          <w:rFonts w:ascii="宋体" w:cs="宋体"/>
          <w:color w:val="000000"/>
          <w:sz w:val="24"/>
          <w:szCs w:val="24"/>
        </w:rPr>
      </w:pPr>
    </w:p>
    <w:p>
      <w:pPr>
        <w:pStyle w:val="10"/>
        <w:tabs>
          <w:tab w:val="left" w:pos="6434"/>
          <w:tab w:val="left" w:pos="7483"/>
          <w:tab w:val="left" w:pos="8533"/>
        </w:tabs>
        <w:spacing w:before="36"/>
        <w:ind w:left="5595"/>
        <w:rPr>
          <w:color w:val="000000"/>
          <w:sz w:val="24"/>
          <w:szCs w:val="24"/>
        </w:rPr>
      </w:pPr>
      <w:r>
        <w:rPr>
          <w:rFonts w:eastAsia="Times New Roman"/>
          <w:color w:val="000000"/>
          <w:sz w:val="24"/>
          <w:szCs w:val="24"/>
          <w:u w:val="single" w:color="000000"/>
        </w:rPr>
        <w:tab/>
      </w:r>
      <w:r>
        <w:rPr>
          <w:rFonts w:hint="eastAsia"/>
          <w:color w:val="000000"/>
          <w:spacing w:val="-3"/>
          <w:sz w:val="24"/>
          <w:szCs w:val="24"/>
        </w:rPr>
        <w:t>年</w:t>
      </w:r>
      <w:r>
        <w:rPr>
          <w:rFonts w:eastAsia="Times New Roman"/>
          <w:color w:val="000000"/>
          <w:spacing w:val="-3"/>
          <w:sz w:val="24"/>
          <w:szCs w:val="24"/>
          <w:u w:val="single" w:color="000000"/>
        </w:rPr>
        <w:tab/>
      </w:r>
      <w:r>
        <w:rPr>
          <w:rFonts w:hint="eastAsia"/>
          <w:color w:val="000000"/>
          <w:sz w:val="24"/>
          <w:szCs w:val="24"/>
        </w:rPr>
        <w:t>月</w:t>
      </w:r>
      <w:r>
        <w:rPr>
          <w:rFonts w:eastAsia="Times New Roman"/>
          <w:color w:val="000000"/>
          <w:sz w:val="24"/>
          <w:szCs w:val="24"/>
          <w:u w:val="single" w:color="000000"/>
        </w:rPr>
        <w:tab/>
      </w:r>
      <w:r>
        <w:rPr>
          <w:rFonts w:hint="eastAsia"/>
          <w:color w:val="000000"/>
          <w:sz w:val="24"/>
          <w:szCs w:val="24"/>
        </w:rPr>
        <w:t>日</w:t>
      </w:r>
    </w:p>
    <w:p>
      <w:pPr>
        <w:pStyle w:val="4"/>
        <w:jc w:val="center"/>
        <w:rPr>
          <w:rFonts w:ascii="宋体" w:hAnsi="宋体" w:eastAsia="宋体"/>
          <w:color w:val="000000"/>
        </w:rPr>
      </w:pPr>
      <w:bookmarkStart w:id="57" w:name="_Toc16484"/>
      <w:bookmarkEnd w:id="57"/>
      <w:bookmarkStart w:id="58" w:name="_Toc393961876"/>
      <w:bookmarkEnd w:id="58"/>
      <w:bookmarkStart w:id="59" w:name="_Toc514170131"/>
      <w:bookmarkEnd w:id="59"/>
      <w:bookmarkStart w:id="60" w:name="_Toc27162"/>
      <w:bookmarkEnd w:id="60"/>
      <w:bookmarkStart w:id="61" w:name="_Toc10286"/>
      <w:bookmarkEnd w:id="61"/>
      <w:bookmarkStart w:id="62" w:name="_Toc10780"/>
      <w:bookmarkEnd w:id="62"/>
      <w:bookmarkStart w:id="63" w:name="_Toc15544"/>
      <w:bookmarkEnd w:id="63"/>
      <w:bookmarkStart w:id="64" w:name="_Toc19513"/>
      <w:bookmarkEnd w:id="64"/>
      <w:bookmarkStart w:id="65" w:name="_Toc43990378"/>
      <w:bookmarkStart w:id="66" w:name="_Toc43989737"/>
      <w:bookmarkStart w:id="67" w:name="_Toc43989934"/>
      <w:bookmarkStart w:id="68" w:name="_Toc179"/>
      <w:r>
        <w:rPr>
          <w:rFonts w:hint="eastAsia" w:ascii="宋体" w:hAnsi="宋体" w:eastAsia="宋体"/>
          <w:color w:val="000000"/>
        </w:rPr>
        <w:t>第三章评标办法（综合评估法）</w:t>
      </w:r>
      <w:bookmarkEnd w:id="65"/>
      <w:bookmarkEnd w:id="66"/>
      <w:bookmarkEnd w:id="67"/>
      <w:bookmarkEnd w:id="68"/>
    </w:p>
    <w:p>
      <w:pPr>
        <w:pStyle w:val="5"/>
        <w:spacing w:line="240" w:lineRule="auto"/>
        <w:jc w:val="center"/>
        <w:rPr>
          <w:rFonts w:ascii="宋体" w:hAnsi="宋体"/>
          <w:color w:val="000000"/>
        </w:rPr>
      </w:pPr>
      <w:bookmarkStart w:id="69" w:name="_Toc393961877"/>
      <w:bookmarkEnd w:id="69"/>
      <w:bookmarkStart w:id="70" w:name="_Toc248"/>
      <w:bookmarkEnd w:id="70"/>
      <w:bookmarkStart w:id="71" w:name="_Toc28666"/>
      <w:bookmarkEnd w:id="71"/>
      <w:bookmarkStart w:id="72" w:name="_Toc514170132"/>
      <w:bookmarkEnd w:id="72"/>
      <w:bookmarkStart w:id="73" w:name="_Toc16683"/>
      <w:bookmarkEnd w:id="73"/>
      <w:bookmarkStart w:id="74" w:name="_Toc24228"/>
      <w:bookmarkEnd w:id="74"/>
      <w:bookmarkStart w:id="75" w:name="_Toc32266"/>
      <w:bookmarkEnd w:id="75"/>
      <w:bookmarkStart w:id="76" w:name="_Toc5818"/>
      <w:bookmarkStart w:id="77" w:name="_Toc43989738"/>
      <w:bookmarkStart w:id="78" w:name="_Toc43989935"/>
      <w:bookmarkStart w:id="79" w:name="_Toc43990379"/>
      <w:r>
        <w:rPr>
          <w:rFonts w:hint="eastAsia" w:ascii="宋体" w:hAnsi="宋体"/>
          <w:color w:val="000000"/>
        </w:rPr>
        <w:t>评标办法前附表</w:t>
      </w:r>
      <w:bookmarkEnd w:id="76"/>
      <w:bookmarkEnd w:id="77"/>
      <w:bookmarkEnd w:id="78"/>
      <w:bookmarkEnd w:id="79"/>
    </w:p>
    <w:tbl>
      <w:tblPr>
        <w:tblStyle w:val="24"/>
        <w:tblW w:w="9693" w:type="dxa"/>
        <w:jc w:val="center"/>
        <w:tblLayout w:type="fixed"/>
        <w:tblCellMar>
          <w:top w:w="0" w:type="dxa"/>
          <w:left w:w="0" w:type="dxa"/>
          <w:bottom w:w="0" w:type="dxa"/>
          <w:right w:w="0" w:type="dxa"/>
        </w:tblCellMar>
      </w:tblPr>
      <w:tblGrid>
        <w:gridCol w:w="684"/>
        <w:gridCol w:w="709"/>
        <w:gridCol w:w="1121"/>
        <w:gridCol w:w="7179"/>
      </w:tblGrid>
      <w:tr>
        <w:tblPrEx>
          <w:tblCellMar>
            <w:top w:w="0" w:type="dxa"/>
            <w:left w:w="0" w:type="dxa"/>
            <w:bottom w:w="0" w:type="dxa"/>
            <w:right w:w="0" w:type="dxa"/>
          </w:tblCellMar>
        </w:tblPrEx>
        <w:trPr>
          <w:trHeight w:val="449" w:hRule="exact"/>
          <w:tblHeader/>
          <w:jc w:val="center"/>
        </w:trPr>
        <w:tc>
          <w:tcPr>
            <w:tcW w:w="1393"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before="44"/>
              <w:ind w:right="116"/>
              <w:jc w:val="center"/>
              <w:rPr>
                <w:rFonts w:ascii="宋体" w:hAnsi="宋体"/>
                <w:b/>
                <w:color w:val="000000"/>
              </w:rPr>
            </w:pPr>
            <w:bookmarkStart w:id="80" w:name="_Toc184635089"/>
            <w:bookmarkEnd w:id="80"/>
            <w:bookmarkStart w:id="81" w:name="_Toc393961878"/>
            <w:r>
              <w:rPr>
                <w:rFonts w:hint="eastAsia" w:ascii="宋体" w:hAnsi="宋体"/>
                <w:b/>
                <w:color w:val="000000"/>
              </w:rPr>
              <w:t>条款号</w:t>
            </w:r>
          </w:p>
        </w:tc>
        <w:tc>
          <w:tcPr>
            <w:tcW w:w="1121" w:type="dxa"/>
            <w:tcBorders>
              <w:top w:val="single" w:color="000000" w:sz="4" w:space="0"/>
              <w:left w:val="single" w:color="000000" w:sz="4" w:space="0"/>
              <w:bottom w:val="single" w:color="000000" w:sz="4" w:space="0"/>
              <w:right w:val="single" w:color="000000" w:sz="4" w:space="0"/>
            </w:tcBorders>
          </w:tcPr>
          <w:p>
            <w:pPr>
              <w:autoSpaceDE w:val="0"/>
              <w:autoSpaceDN w:val="0"/>
              <w:spacing w:before="44"/>
              <w:ind w:right="-20"/>
              <w:jc w:val="center"/>
              <w:rPr>
                <w:rFonts w:ascii="宋体" w:hAnsi="宋体"/>
                <w:b/>
                <w:color w:val="000000"/>
              </w:rPr>
            </w:pPr>
            <w:r>
              <w:rPr>
                <w:rFonts w:hint="eastAsia" w:ascii="宋体" w:hAnsi="宋体"/>
                <w:b/>
                <w:color w:val="000000"/>
              </w:rPr>
              <w:t>评审因素</w:t>
            </w:r>
          </w:p>
        </w:tc>
        <w:tc>
          <w:tcPr>
            <w:tcW w:w="7179" w:type="dxa"/>
            <w:tcBorders>
              <w:top w:val="single" w:color="000000" w:sz="4" w:space="0"/>
              <w:left w:val="single" w:color="000000" w:sz="4" w:space="0"/>
              <w:bottom w:val="single" w:color="000000" w:sz="4" w:space="0"/>
              <w:right w:val="single" w:color="000000" w:sz="4" w:space="0"/>
            </w:tcBorders>
          </w:tcPr>
          <w:p>
            <w:pPr>
              <w:autoSpaceDE w:val="0"/>
              <w:autoSpaceDN w:val="0"/>
              <w:spacing w:before="44"/>
              <w:ind w:right="1857"/>
              <w:jc w:val="center"/>
              <w:rPr>
                <w:rFonts w:ascii="宋体" w:hAnsi="宋体"/>
                <w:b/>
                <w:color w:val="000000"/>
              </w:rPr>
            </w:pPr>
            <w:r>
              <w:rPr>
                <w:rFonts w:hint="eastAsia" w:ascii="宋体" w:hAnsi="宋体"/>
                <w:b/>
                <w:color w:val="000000"/>
              </w:rPr>
              <w:t xml:space="preserve">             评审标准</w:t>
            </w:r>
          </w:p>
        </w:tc>
      </w:tr>
      <w:tr>
        <w:tblPrEx>
          <w:tblCellMar>
            <w:top w:w="0" w:type="dxa"/>
            <w:left w:w="0" w:type="dxa"/>
            <w:bottom w:w="0" w:type="dxa"/>
            <w:right w:w="0" w:type="dxa"/>
          </w:tblCellMar>
        </w:tblPrEx>
        <w:trPr>
          <w:trHeight w:val="2214" w:hRule="exact"/>
          <w:jc w:val="center"/>
        </w:trPr>
        <w:tc>
          <w:tcPr>
            <w:tcW w:w="684"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left="354" w:right="337"/>
              <w:jc w:val="center"/>
              <w:rPr>
                <w:rFonts w:ascii="宋体" w:hAnsi="宋体"/>
                <w:color w:val="000000"/>
              </w:rPr>
            </w:pPr>
            <w:r>
              <w:rPr>
                <w:rFonts w:ascii="宋体" w:hAnsi="宋体"/>
                <w:color w:val="000000"/>
              </w:rPr>
              <w:t>1</w:t>
            </w:r>
          </w:p>
        </w:tc>
        <w:tc>
          <w:tcPr>
            <w:tcW w:w="7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7"/>
              <w:ind w:right="-20"/>
              <w:jc w:val="center"/>
              <w:rPr>
                <w:rFonts w:ascii="宋体" w:hAnsi="宋体"/>
                <w:color w:val="000000"/>
              </w:rPr>
            </w:pPr>
            <w:r>
              <w:rPr>
                <w:rFonts w:hint="eastAsia" w:ascii="宋体" w:hAnsi="宋体"/>
                <w:color w:val="000000"/>
              </w:rPr>
              <w:t>评标</w:t>
            </w:r>
          </w:p>
          <w:p>
            <w:pPr>
              <w:autoSpaceDE w:val="0"/>
              <w:autoSpaceDN w:val="0"/>
              <w:spacing w:before="77"/>
              <w:ind w:right="-20"/>
              <w:jc w:val="center"/>
              <w:rPr>
                <w:rFonts w:ascii="宋体" w:hAnsi="宋体"/>
                <w:color w:val="000000"/>
              </w:rPr>
            </w:pPr>
            <w:r>
              <w:rPr>
                <w:rFonts w:hint="eastAsia" w:ascii="宋体" w:hAnsi="宋体"/>
                <w:color w:val="000000"/>
                <w:spacing w:val="-2"/>
              </w:rPr>
              <w:t>方</w:t>
            </w:r>
            <w:r>
              <w:rPr>
                <w:rFonts w:hint="eastAsia" w:ascii="宋体" w:hAnsi="宋体"/>
                <w:color w:val="000000"/>
              </w:rPr>
              <w:t>法</w:t>
            </w: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7"/>
              <w:ind w:left="-6" w:right="-20"/>
              <w:jc w:val="center"/>
              <w:rPr>
                <w:rFonts w:ascii="宋体" w:hAnsi="宋体"/>
                <w:color w:val="000000"/>
              </w:rPr>
            </w:pPr>
            <w:r>
              <w:rPr>
                <w:rFonts w:hint="eastAsia" w:ascii="宋体" w:hAnsi="宋体"/>
                <w:color w:val="000000"/>
              </w:rPr>
              <w:t>中标</w:t>
            </w:r>
            <w:r>
              <w:rPr>
                <w:rFonts w:hint="eastAsia" w:ascii="宋体" w:hAnsi="宋体"/>
                <w:color w:val="000000"/>
                <w:spacing w:val="-2"/>
              </w:rPr>
              <w:t>候</w:t>
            </w:r>
            <w:r>
              <w:rPr>
                <w:rFonts w:hint="eastAsia" w:ascii="宋体" w:hAnsi="宋体"/>
                <w:color w:val="000000"/>
              </w:rPr>
              <w:t>选</w:t>
            </w:r>
            <w:r>
              <w:rPr>
                <w:rFonts w:hint="eastAsia" w:ascii="宋体" w:hAnsi="宋体"/>
                <w:color w:val="000000"/>
                <w:spacing w:val="-2"/>
              </w:rPr>
              <w:t>人</w:t>
            </w:r>
            <w:r>
              <w:rPr>
                <w:rFonts w:hint="eastAsia" w:ascii="宋体" w:hAnsi="宋体"/>
                <w:color w:val="000000"/>
              </w:rPr>
              <w:t>排</w:t>
            </w:r>
            <w:r>
              <w:rPr>
                <w:rFonts w:hint="eastAsia" w:ascii="宋体" w:hAnsi="宋体"/>
                <w:color w:val="000000"/>
                <w:spacing w:val="-2"/>
              </w:rPr>
              <w:t>序</w:t>
            </w:r>
            <w:r>
              <w:rPr>
                <w:rFonts w:hint="eastAsia" w:ascii="宋体" w:hAnsi="宋体"/>
                <w:color w:val="000000"/>
              </w:rPr>
              <w:t>方法</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left="67" w:leftChars="32"/>
              <w:rPr>
                <w:rFonts w:ascii="宋体" w:hAnsi="宋体"/>
                <w:color w:val="000000"/>
              </w:rPr>
            </w:pPr>
            <w:r>
              <w:rPr>
                <w:rFonts w:hint="eastAsia"/>
                <w:color w:val="000000"/>
              </w:rPr>
              <w:t>本次评标采用综合评估法。评标委员会对满足招标文件实质性要求的投标文件，按照本章第2.2款规定的评分标准进行打分，并推荐满足招标文件要求且总得分排序的名次最高者为第一中标候选人，推荐满足招标文件要求且总得分排序的名次次高者为第二中标候选人，推荐满足招标文件要求且总得分排序第三高者为第三中标候选人，综合评分相等时，以投标报价低的优先；投标报价也相等的，以技术服务方案得分高的优先；如果技术服务方案得分也相等，由评标委员会采用记名投票方式，以得票多的优先。</w:t>
            </w:r>
          </w:p>
        </w:tc>
      </w:tr>
      <w:tr>
        <w:tblPrEx>
          <w:tblCellMar>
            <w:top w:w="0" w:type="dxa"/>
            <w:left w:w="0" w:type="dxa"/>
            <w:bottom w:w="0" w:type="dxa"/>
            <w:right w:w="0" w:type="dxa"/>
          </w:tblCellMar>
        </w:tblPrEx>
        <w:trPr>
          <w:trHeight w:val="426"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ind w:right="-20"/>
              <w:jc w:val="center"/>
              <w:rPr>
                <w:rFonts w:ascii="宋体" w:hAnsi="宋体"/>
                <w:color w:val="000000"/>
              </w:rPr>
            </w:pPr>
            <w:r>
              <w:rPr>
                <w:rFonts w:ascii="宋体" w:hAnsi="宋体"/>
                <w:color w:val="000000"/>
              </w:rPr>
              <w:t>2.1.1</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ind w:right="59"/>
              <w:jc w:val="center"/>
              <w:rPr>
                <w:rFonts w:ascii="宋体" w:hAnsi="宋体"/>
                <w:color w:val="000000"/>
              </w:rPr>
            </w:pPr>
            <w:r>
              <w:rPr>
                <w:rFonts w:hint="eastAsia" w:ascii="宋体" w:hAnsi="宋体"/>
                <w:color w:val="000000"/>
              </w:rPr>
              <w:t>形式</w:t>
            </w:r>
            <w:r>
              <w:rPr>
                <w:rFonts w:hint="eastAsia" w:ascii="宋体" w:hAnsi="宋体"/>
                <w:color w:val="000000"/>
                <w:spacing w:val="-2"/>
              </w:rPr>
              <w:t>评</w:t>
            </w:r>
            <w:r>
              <w:rPr>
                <w:rFonts w:hint="eastAsia" w:ascii="宋体" w:hAnsi="宋体"/>
                <w:color w:val="000000"/>
              </w:rPr>
              <w:t>审标准</w:t>
            </w: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4" w:leftChars="-2" w:right="-20"/>
              <w:jc w:val="center"/>
              <w:rPr>
                <w:rFonts w:ascii="宋体" w:hAnsi="宋体"/>
                <w:color w:val="000000"/>
              </w:rPr>
            </w:pPr>
            <w:r>
              <w:rPr>
                <w:rFonts w:hint="eastAsia" w:ascii="宋体" w:hAnsi="宋体"/>
                <w:color w:val="000000"/>
              </w:rPr>
              <w:t>投标</w:t>
            </w:r>
            <w:r>
              <w:rPr>
                <w:rFonts w:hint="eastAsia" w:ascii="宋体" w:hAnsi="宋体"/>
                <w:color w:val="000000"/>
                <w:spacing w:val="-2"/>
              </w:rPr>
              <w:t>人</w:t>
            </w:r>
            <w:r>
              <w:rPr>
                <w:rFonts w:hint="eastAsia" w:ascii="宋体" w:hAnsi="宋体"/>
                <w:color w:val="000000"/>
              </w:rPr>
              <w:t>名称</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left="102"/>
              <w:rPr>
                <w:rFonts w:ascii="宋体" w:hAnsi="宋体"/>
                <w:color w:val="000000"/>
              </w:rPr>
            </w:pPr>
            <w:r>
              <w:rPr>
                <w:rFonts w:hint="eastAsia" w:ascii="宋体" w:hAnsi="宋体"/>
                <w:color w:val="000000"/>
              </w:rPr>
              <w:t>与营</w:t>
            </w:r>
            <w:r>
              <w:rPr>
                <w:rFonts w:hint="eastAsia" w:ascii="宋体" w:hAnsi="宋体"/>
                <w:color w:val="000000"/>
                <w:spacing w:val="-2"/>
              </w:rPr>
              <w:t>业</w:t>
            </w:r>
            <w:r>
              <w:rPr>
                <w:rFonts w:hint="eastAsia" w:ascii="宋体" w:hAnsi="宋体"/>
                <w:color w:val="000000"/>
              </w:rPr>
              <w:t>执</w:t>
            </w:r>
            <w:r>
              <w:rPr>
                <w:rFonts w:hint="eastAsia" w:ascii="宋体" w:hAnsi="宋体"/>
                <w:color w:val="000000"/>
                <w:spacing w:val="-2"/>
              </w:rPr>
              <w:t>照</w:t>
            </w:r>
            <w:r>
              <w:rPr>
                <w:rFonts w:hint="eastAsia" w:ascii="宋体" w:hAnsi="宋体"/>
                <w:color w:val="000000"/>
              </w:rPr>
              <w:t>、</w:t>
            </w:r>
            <w:r>
              <w:rPr>
                <w:rFonts w:hint="eastAsia" w:ascii="宋体" w:hAnsi="宋体"/>
                <w:color w:val="000000"/>
                <w:spacing w:val="-2"/>
              </w:rPr>
              <w:t>资</w:t>
            </w:r>
            <w:r>
              <w:rPr>
                <w:rFonts w:hint="eastAsia" w:ascii="宋体" w:hAnsi="宋体"/>
                <w:color w:val="000000"/>
              </w:rPr>
              <w:t>质</w:t>
            </w:r>
            <w:r>
              <w:rPr>
                <w:rFonts w:hint="eastAsia" w:ascii="宋体" w:hAnsi="宋体"/>
                <w:color w:val="000000"/>
                <w:spacing w:val="-2"/>
              </w:rPr>
              <w:t>证</w:t>
            </w:r>
            <w:r>
              <w:rPr>
                <w:rFonts w:hint="eastAsia" w:ascii="宋体" w:hAnsi="宋体"/>
                <w:color w:val="000000"/>
              </w:rPr>
              <w:t>书</w:t>
            </w:r>
            <w:r>
              <w:rPr>
                <w:rFonts w:hint="eastAsia" w:ascii="宋体" w:hAnsi="宋体"/>
                <w:color w:val="000000"/>
                <w:spacing w:val="-2"/>
              </w:rPr>
              <w:t>一</w:t>
            </w:r>
            <w:r>
              <w:rPr>
                <w:rFonts w:hint="eastAsia" w:ascii="宋体" w:hAnsi="宋体"/>
                <w:color w:val="000000"/>
              </w:rPr>
              <w:t>致</w:t>
            </w:r>
          </w:p>
        </w:tc>
      </w:tr>
      <w:tr>
        <w:tblPrEx>
          <w:tblCellMar>
            <w:top w:w="0" w:type="dxa"/>
            <w:left w:w="0" w:type="dxa"/>
            <w:bottom w:w="0" w:type="dxa"/>
            <w:right w:w="0" w:type="dxa"/>
          </w:tblCellMar>
        </w:tblPrEx>
        <w:trPr>
          <w:trHeight w:val="1132"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ind w:left="102" w:right="-20"/>
              <w:rPr>
                <w:rFonts w:ascii="宋体" w:hAnsi="宋体"/>
                <w:color w:val="000000"/>
              </w:rPr>
            </w:pPr>
          </w:p>
        </w:tc>
        <w:tc>
          <w:tcPr>
            <w:tcW w:w="70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宋体" w:hAnsi="宋体"/>
                <w:color w:val="000000"/>
              </w:rPr>
            </w:pPr>
            <w:r>
              <w:rPr>
                <w:rFonts w:hint="eastAsia" w:ascii="宋体" w:hAnsi="宋体"/>
                <w:color w:val="000000"/>
              </w:rPr>
              <w:t>投标</w:t>
            </w:r>
            <w:r>
              <w:rPr>
                <w:rFonts w:hint="eastAsia" w:ascii="宋体" w:hAnsi="宋体"/>
                <w:color w:val="000000"/>
                <w:spacing w:val="-2"/>
              </w:rPr>
              <w:t>函</w:t>
            </w:r>
            <w:r>
              <w:rPr>
                <w:rFonts w:hint="eastAsia" w:ascii="宋体" w:hAnsi="宋体"/>
                <w:color w:val="000000"/>
              </w:rPr>
              <w:t>及</w:t>
            </w:r>
            <w:r>
              <w:rPr>
                <w:rFonts w:hint="eastAsia" w:ascii="宋体" w:hAnsi="宋体"/>
                <w:color w:val="000000"/>
                <w:spacing w:val="-2"/>
              </w:rPr>
              <w:t>投</w:t>
            </w:r>
            <w:r>
              <w:rPr>
                <w:rFonts w:hint="eastAsia" w:ascii="宋体" w:hAnsi="宋体"/>
                <w:color w:val="000000"/>
              </w:rPr>
              <w:t>标</w:t>
            </w:r>
            <w:r>
              <w:rPr>
                <w:rFonts w:hint="eastAsia" w:ascii="宋体" w:hAnsi="宋体"/>
                <w:color w:val="000000"/>
                <w:spacing w:val="-2"/>
              </w:rPr>
              <w:t>函</w:t>
            </w:r>
            <w:r>
              <w:rPr>
                <w:rFonts w:hint="eastAsia" w:ascii="宋体" w:hAnsi="宋体"/>
                <w:color w:val="000000"/>
              </w:rPr>
              <w:t>附</w:t>
            </w:r>
            <w:r>
              <w:rPr>
                <w:rFonts w:hint="eastAsia" w:ascii="宋体" w:hAnsi="宋体"/>
                <w:color w:val="000000"/>
                <w:spacing w:val="-3"/>
              </w:rPr>
              <w:t>录</w:t>
            </w:r>
            <w:r>
              <w:rPr>
                <w:rFonts w:hint="eastAsia" w:ascii="宋体" w:hAnsi="宋体"/>
                <w:color w:val="000000"/>
              </w:rPr>
              <w:t>签字盖章</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left="102"/>
              <w:rPr>
                <w:rFonts w:ascii="宋体" w:hAnsi="宋体"/>
                <w:color w:val="000000"/>
              </w:rPr>
            </w:pPr>
            <w:r>
              <w:rPr>
                <w:rFonts w:hint="eastAsia" w:ascii="宋体" w:hAnsi="宋体"/>
                <w:color w:val="000000"/>
              </w:rPr>
              <w:t>有</w:t>
            </w:r>
            <w:r>
              <w:rPr>
                <w:rFonts w:hint="eastAsia" w:ascii="宋体" w:hAnsi="宋体"/>
                <w:color w:val="000000"/>
                <w:spacing w:val="12"/>
              </w:rPr>
              <w:t>法定代</w:t>
            </w:r>
            <w:r>
              <w:rPr>
                <w:rFonts w:hint="eastAsia" w:ascii="宋体" w:hAnsi="宋体"/>
                <w:color w:val="000000"/>
              </w:rPr>
              <w:t>表</w:t>
            </w:r>
            <w:r>
              <w:rPr>
                <w:rFonts w:hint="eastAsia" w:ascii="宋体" w:hAnsi="宋体"/>
                <w:color w:val="000000"/>
                <w:spacing w:val="12"/>
              </w:rPr>
              <w:t>人或</w:t>
            </w:r>
            <w:r>
              <w:rPr>
                <w:rFonts w:hint="eastAsia" w:ascii="宋体" w:hAnsi="宋体"/>
                <w:color w:val="000000"/>
              </w:rPr>
              <w:t>其</w:t>
            </w:r>
            <w:r>
              <w:rPr>
                <w:rFonts w:hint="eastAsia" w:ascii="宋体" w:hAnsi="宋体"/>
                <w:color w:val="000000"/>
                <w:spacing w:val="12"/>
              </w:rPr>
              <w:t>委托</w:t>
            </w:r>
            <w:r>
              <w:rPr>
                <w:rFonts w:hint="eastAsia" w:ascii="宋体" w:hAnsi="宋体"/>
                <w:color w:val="000000"/>
              </w:rPr>
              <w:t>代</w:t>
            </w:r>
            <w:r>
              <w:rPr>
                <w:rFonts w:hint="eastAsia" w:ascii="宋体" w:hAnsi="宋体"/>
                <w:color w:val="000000"/>
                <w:spacing w:val="12"/>
              </w:rPr>
              <w:t>理人签</w:t>
            </w:r>
            <w:r>
              <w:rPr>
                <w:rFonts w:hint="eastAsia" w:ascii="宋体" w:hAnsi="宋体"/>
                <w:color w:val="000000"/>
              </w:rPr>
              <w:t>字</w:t>
            </w:r>
            <w:r>
              <w:rPr>
                <w:rFonts w:hint="eastAsia" w:ascii="宋体" w:hAnsi="宋体"/>
                <w:color w:val="000000"/>
                <w:spacing w:val="12"/>
              </w:rPr>
              <w:t>或加</w:t>
            </w:r>
            <w:r>
              <w:rPr>
                <w:rFonts w:hint="eastAsia" w:ascii="宋体" w:hAnsi="宋体"/>
                <w:color w:val="000000"/>
              </w:rPr>
              <w:t>盖</w:t>
            </w:r>
            <w:r>
              <w:rPr>
                <w:rFonts w:hint="eastAsia" w:ascii="宋体" w:hAnsi="宋体"/>
                <w:color w:val="000000"/>
                <w:spacing w:val="12"/>
              </w:rPr>
              <w:t>单</w:t>
            </w:r>
            <w:r>
              <w:rPr>
                <w:rFonts w:hint="eastAsia" w:ascii="宋体" w:hAnsi="宋体"/>
                <w:color w:val="000000"/>
              </w:rPr>
              <w:t>位</w:t>
            </w:r>
            <w:r>
              <w:rPr>
                <w:rFonts w:hint="eastAsia" w:ascii="宋体" w:hAnsi="宋体"/>
                <w:color w:val="000000"/>
                <w:spacing w:val="2"/>
              </w:rPr>
              <w:t>章。由</w:t>
            </w:r>
            <w:r>
              <w:rPr>
                <w:rFonts w:hint="eastAsia" w:ascii="宋体" w:hAnsi="宋体"/>
                <w:color w:val="000000"/>
              </w:rPr>
              <w:t>法</w:t>
            </w:r>
            <w:r>
              <w:rPr>
                <w:rFonts w:hint="eastAsia" w:ascii="宋体" w:hAnsi="宋体"/>
                <w:color w:val="000000"/>
                <w:spacing w:val="2"/>
              </w:rPr>
              <w:t>定</w:t>
            </w:r>
            <w:r>
              <w:rPr>
                <w:rFonts w:hint="eastAsia" w:ascii="宋体" w:hAnsi="宋体"/>
                <w:color w:val="000000"/>
              </w:rPr>
              <w:t>代</w:t>
            </w:r>
            <w:r>
              <w:rPr>
                <w:rFonts w:hint="eastAsia" w:ascii="宋体" w:hAnsi="宋体"/>
                <w:color w:val="000000"/>
                <w:spacing w:val="2"/>
              </w:rPr>
              <w:t>表人</w:t>
            </w:r>
            <w:r>
              <w:rPr>
                <w:rFonts w:hint="eastAsia" w:ascii="宋体" w:hAnsi="宋体"/>
                <w:color w:val="000000"/>
              </w:rPr>
              <w:t>签</w:t>
            </w:r>
            <w:r>
              <w:rPr>
                <w:rFonts w:hint="eastAsia" w:ascii="宋体" w:hAnsi="宋体"/>
                <w:color w:val="000000"/>
                <w:spacing w:val="2"/>
              </w:rPr>
              <w:t>字</w:t>
            </w:r>
            <w:r>
              <w:rPr>
                <w:rFonts w:hint="eastAsia" w:ascii="宋体" w:hAnsi="宋体"/>
                <w:color w:val="000000"/>
              </w:rPr>
              <w:t>的</w:t>
            </w:r>
            <w:r>
              <w:rPr>
                <w:rFonts w:hint="eastAsia" w:ascii="宋体" w:hAnsi="宋体"/>
                <w:color w:val="000000"/>
                <w:spacing w:val="2"/>
              </w:rPr>
              <w:t>，应附</w:t>
            </w:r>
            <w:r>
              <w:rPr>
                <w:rFonts w:hint="eastAsia" w:ascii="宋体" w:hAnsi="宋体"/>
                <w:color w:val="000000"/>
              </w:rPr>
              <w:t>法</w:t>
            </w:r>
            <w:r>
              <w:rPr>
                <w:rFonts w:hint="eastAsia" w:ascii="宋体" w:hAnsi="宋体"/>
                <w:color w:val="000000"/>
                <w:spacing w:val="2"/>
              </w:rPr>
              <w:t>定</w:t>
            </w:r>
            <w:r>
              <w:rPr>
                <w:rFonts w:hint="eastAsia" w:ascii="宋体" w:hAnsi="宋体"/>
                <w:color w:val="000000"/>
              </w:rPr>
              <w:t>代</w:t>
            </w:r>
            <w:r>
              <w:rPr>
                <w:rFonts w:hint="eastAsia" w:ascii="宋体" w:hAnsi="宋体"/>
                <w:color w:val="000000"/>
                <w:spacing w:val="2"/>
              </w:rPr>
              <w:t>表人</w:t>
            </w:r>
            <w:r>
              <w:rPr>
                <w:rFonts w:hint="eastAsia" w:ascii="宋体" w:hAnsi="宋体"/>
                <w:color w:val="000000"/>
              </w:rPr>
              <w:t>身份</w:t>
            </w:r>
            <w:r>
              <w:rPr>
                <w:rFonts w:hint="eastAsia" w:ascii="宋体" w:hAnsi="宋体"/>
                <w:color w:val="000000"/>
                <w:spacing w:val="2"/>
              </w:rPr>
              <w:t>证明，</w:t>
            </w:r>
            <w:r>
              <w:rPr>
                <w:rFonts w:hint="eastAsia" w:ascii="宋体" w:hAnsi="宋体"/>
                <w:color w:val="000000"/>
              </w:rPr>
              <w:t>由</w:t>
            </w:r>
            <w:r>
              <w:rPr>
                <w:rFonts w:hint="eastAsia" w:ascii="宋体" w:hAnsi="宋体"/>
                <w:color w:val="000000"/>
                <w:spacing w:val="2"/>
              </w:rPr>
              <w:t>代</w:t>
            </w:r>
            <w:r>
              <w:rPr>
                <w:rFonts w:hint="eastAsia" w:ascii="宋体" w:hAnsi="宋体"/>
                <w:color w:val="000000"/>
              </w:rPr>
              <w:t>理</w:t>
            </w:r>
            <w:r>
              <w:rPr>
                <w:rFonts w:hint="eastAsia" w:ascii="宋体" w:hAnsi="宋体"/>
                <w:color w:val="000000"/>
                <w:spacing w:val="2"/>
              </w:rPr>
              <w:t>人签</w:t>
            </w:r>
            <w:r>
              <w:rPr>
                <w:rFonts w:hint="eastAsia" w:ascii="宋体" w:hAnsi="宋体"/>
                <w:color w:val="000000"/>
              </w:rPr>
              <w:t>字</w:t>
            </w:r>
            <w:r>
              <w:rPr>
                <w:rFonts w:hint="eastAsia" w:ascii="宋体" w:hAnsi="宋体"/>
                <w:color w:val="000000"/>
                <w:spacing w:val="2"/>
              </w:rPr>
              <w:t>的</w:t>
            </w:r>
            <w:r>
              <w:rPr>
                <w:rFonts w:hint="eastAsia" w:ascii="宋体" w:hAnsi="宋体"/>
                <w:color w:val="000000"/>
              </w:rPr>
              <w:t>，</w:t>
            </w:r>
            <w:r>
              <w:rPr>
                <w:rFonts w:hint="eastAsia" w:ascii="宋体" w:hAnsi="宋体"/>
                <w:color w:val="000000"/>
                <w:spacing w:val="2"/>
              </w:rPr>
              <w:t>应附授</w:t>
            </w:r>
            <w:r>
              <w:rPr>
                <w:rFonts w:hint="eastAsia" w:ascii="宋体" w:hAnsi="宋体"/>
                <w:color w:val="000000"/>
              </w:rPr>
              <w:t>权</w:t>
            </w:r>
            <w:r>
              <w:rPr>
                <w:rFonts w:hint="eastAsia" w:ascii="宋体" w:hAnsi="宋体"/>
                <w:color w:val="000000"/>
                <w:spacing w:val="2"/>
              </w:rPr>
              <w:t>委</w:t>
            </w:r>
            <w:r>
              <w:rPr>
                <w:rFonts w:hint="eastAsia" w:ascii="宋体" w:hAnsi="宋体"/>
                <w:color w:val="000000"/>
              </w:rPr>
              <w:t>托</w:t>
            </w:r>
            <w:r>
              <w:rPr>
                <w:rFonts w:hint="eastAsia" w:ascii="宋体" w:hAnsi="宋体"/>
                <w:color w:val="000000"/>
                <w:spacing w:val="2"/>
              </w:rPr>
              <w:t>书，</w:t>
            </w:r>
            <w:r>
              <w:rPr>
                <w:rFonts w:hint="eastAsia" w:ascii="宋体" w:hAnsi="宋体"/>
                <w:color w:val="000000"/>
              </w:rPr>
              <w:t>身份</w:t>
            </w:r>
            <w:r>
              <w:rPr>
                <w:rFonts w:hint="eastAsia" w:ascii="宋体" w:hAnsi="宋体"/>
                <w:color w:val="000000"/>
                <w:spacing w:val="2"/>
              </w:rPr>
              <w:t>证明或授权委托书应</w:t>
            </w:r>
            <w:r>
              <w:rPr>
                <w:rFonts w:hint="eastAsia" w:ascii="宋体" w:hAnsi="宋体"/>
                <w:color w:val="000000"/>
                <w:spacing w:val="5"/>
              </w:rPr>
              <w:t>符</w:t>
            </w:r>
            <w:r>
              <w:rPr>
                <w:rFonts w:hint="eastAsia" w:ascii="宋体" w:hAnsi="宋体"/>
                <w:color w:val="000000"/>
                <w:spacing w:val="2"/>
              </w:rPr>
              <w:t>合第六</w:t>
            </w:r>
            <w:r>
              <w:rPr>
                <w:rFonts w:hint="eastAsia" w:ascii="宋体" w:hAnsi="宋体"/>
                <w:color w:val="000000"/>
                <w:spacing w:val="5"/>
              </w:rPr>
              <w:t>章</w:t>
            </w:r>
            <w:r>
              <w:rPr>
                <w:rFonts w:hint="eastAsia" w:ascii="宋体" w:hAnsi="宋体"/>
                <w:color w:val="000000"/>
                <w:spacing w:val="2"/>
              </w:rPr>
              <w:t>“投标文件格</w:t>
            </w:r>
            <w:r>
              <w:rPr>
                <w:rFonts w:hint="eastAsia" w:ascii="宋体" w:hAnsi="宋体"/>
                <w:color w:val="000000"/>
                <w:spacing w:val="5"/>
              </w:rPr>
              <w:t>式</w:t>
            </w:r>
            <w:r>
              <w:rPr>
                <w:rFonts w:hint="eastAsia" w:ascii="宋体" w:hAnsi="宋体"/>
                <w:color w:val="000000"/>
              </w:rPr>
              <w:t>”的规定</w:t>
            </w:r>
          </w:p>
        </w:tc>
      </w:tr>
      <w:tr>
        <w:tblPrEx>
          <w:tblCellMar>
            <w:top w:w="0" w:type="dxa"/>
            <w:left w:w="0" w:type="dxa"/>
            <w:bottom w:w="0" w:type="dxa"/>
            <w:right w:w="0" w:type="dxa"/>
          </w:tblCellMar>
        </w:tblPrEx>
        <w:trPr>
          <w:trHeight w:val="695"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17"/>
              <w:ind w:left="102" w:right="3879"/>
              <w:rPr>
                <w:rFonts w:ascii="宋体" w:hAnsi="宋体"/>
                <w:color w:val="000000"/>
              </w:rPr>
            </w:pPr>
          </w:p>
        </w:tc>
        <w:tc>
          <w:tcPr>
            <w:tcW w:w="70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17"/>
              <w:ind w:left="102" w:right="3879"/>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ind w:left="-6" w:right="-20"/>
              <w:jc w:val="center"/>
              <w:rPr>
                <w:rFonts w:ascii="宋体" w:hAnsi="宋体"/>
                <w:color w:val="000000"/>
              </w:rPr>
            </w:pPr>
            <w:r>
              <w:rPr>
                <w:rFonts w:hint="eastAsia" w:ascii="宋体" w:hAnsi="宋体"/>
                <w:color w:val="000000"/>
              </w:rPr>
              <w:t>投标</w:t>
            </w:r>
            <w:r>
              <w:rPr>
                <w:rFonts w:hint="eastAsia" w:ascii="宋体" w:hAnsi="宋体"/>
                <w:color w:val="000000"/>
                <w:spacing w:val="-2"/>
              </w:rPr>
              <w:t>文</w:t>
            </w:r>
            <w:r>
              <w:rPr>
                <w:rFonts w:hint="eastAsia" w:ascii="宋体" w:hAnsi="宋体"/>
                <w:color w:val="000000"/>
              </w:rPr>
              <w:t>件</w:t>
            </w:r>
            <w:r>
              <w:rPr>
                <w:rFonts w:hint="eastAsia" w:ascii="宋体" w:hAnsi="宋体"/>
                <w:color w:val="000000"/>
                <w:spacing w:val="-2"/>
              </w:rPr>
              <w:t>格</w:t>
            </w:r>
            <w:r>
              <w:rPr>
                <w:rFonts w:hint="eastAsia" w:ascii="宋体" w:hAnsi="宋体"/>
                <w:color w:val="000000"/>
              </w:rPr>
              <w:t>式</w:t>
            </w:r>
          </w:p>
        </w:tc>
        <w:tc>
          <w:tcPr>
            <w:tcW w:w="71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ind w:firstLine="105" w:firstLineChars="50"/>
              <w:rPr>
                <w:rFonts w:ascii="宋体" w:hAnsi="宋体" w:cs="宋体"/>
                <w:color w:val="000000"/>
              </w:rPr>
            </w:pPr>
            <w:r>
              <w:rPr>
                <w:rFonts w:hint="eastAsia" w:ascii="宋体" w:hAnsi="宋体" w:cs="宋体"/>
                <w:color w:val="000000"/>
              </w:rPr>
              <w:t>符合第六章</w:t>
            </w:r>
            <w:r>
              <w:rPr>
                <w:rFonts w:ascii="宋体" w:hAnsi="宋体" w:cs="宋体"/>
                <w:color w:val="000000"/>
              </w:rPr>
              <w:t>“</w:t>
            </w:r>
            <w:r>
              <w:rPr>
                <w:rFonts w:hint="eastAsia" w:ascii="宋体" w:hAnsi="宋体" w:cs="宋体"/>
                <w:color w:val="000000"/>
              </w:rPr>
              <w:t>投标文件格式</w:t>
            </w:r>
            <w:r>
              <w:rPr>
                <w:rFonts w:ascii="宋体" w:hAnsi="宋体" w:cs="宋体"/>
                <w:color w:val="000000"/>
              </w:rPr>
              <w:t>”</w:t>
            </w:r>
            <w:r>
              <w:rPr>
                <w:rFonts w:hint="eastAsia" w:ascii="宋体" w:hAnsi="宋体" w:cs="宋体"/>
                <w:color w:val="000000"/>
              </w:rPr>
              <w:t>的规定</w:t>
            </w:r>
          </w:p>
        </w:tc>
      </w:tr>
      <w:tr>
        <w:tblPrEx>
          <w:tblCellMar>
            <w:top w:w="0" w:type="dxa"/>
            <w:left w:w="0" w:type="dxa"/>
            <w:bottom w:w="0" w:type="dxa"/>
            <w:right w:w="0" w:type="dxa"/>
          </w:tblCellMar>
        </w:tblPrEx>
        <w:trPr>
          <w:trHeight w:val="673"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ind w:left="102" w:right="-20"/>
              <w:rPr>
                <w:rFonts w:ascii="宋体" w:hAnsi="宋体"/>
                <w:color w:val="000000"/>
              </w:rPr>
            </w:pPr>
          </w:p>
        </w:tc>
        <w:tc>
          <w:tcPr>
            <w:tcW w:w="70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left="-6" w:right="-20"/>
              <w:jc w:val="center"/>
              <w:rPr>
                <w:rFonts w:ascii="宋体" w:hAnsi="宋体"/>
                <w:color w:val="000000"/>
              </w:rPr>
            </w:pPr>
            <w:r>
              <w:rPr>
                <w:rFonts w:hint="eastAsia" w:ascii="宋体" w:hAnsi="宋体"/>
                <w:color w:val="000000"/>
              </w:rPr>
              <w:t>联合</w:t>
            </w:r>
            <w:r>
              <w:rPr>
                <w:rFonts w:hint="eastAsia" w:ascii="宋体" w:hAnsi="宋体"/>
                <w:color w:val="000000"/>
                <w:spacing w:val="-2"/>
              </w:rPr>
              <w:t>体</w:t>
            </w:r>
            <w:r>
              <w:rPr>
                <w:rFonts w:hint="eastAsia" w:ascii="宋体" w:hAnsi="宋体"/>
                <w:color w:val="000000"/>
              </w:rPr>
              <w:t>投</w:t>
            </w:r>
            <w:r>
              <w:rPr>
                <w:rFonts w:hint="eastAsia" w:ascii="宋体" w:hAnsi="宋体"/>
                <w:color w:val="000000"/>
                <w:spacing w:val="-2"/>
              </w:rPr>
              <w:t>标</w:t>
            </w:r>
            <w:r>
              <w:rPr>
                <w:rFonts w:hint="eastAsia" w:ascii="宋体" w:hAnsi="宋体"/>
                <w:color w:val="000000"/>
              </w:rPr>
              <w:t>人</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left="102"/>
              <w:rPr>
                <w:rFonts w:ascii="宋体" w:hAnsi="宋体"/>
                <w:color w:val="000000"/>
              </w:rPr>
            </w:pPr>
            <w:r>
              <w:rPr>
                <w:rFonts w:hint="eastAsia" w:ascii="宋体" w:hAnsi="宋体"/>
                <w:color w:val="000000"/>
                <w:spacing w:val="2"/>
              </w:rPr>
              <w:t>不接受</w:t>
            </w:r>
          </w:p>
        </w:tc>
      </w:tr>
      <w:tr>
        <w:tblPrEx>
          <w:tblCellMar>
            <w:top w:w="0" w:type="dxa"/>
            <w:left w:w="0" w:type="dxa"/>
            <w:bottom w:w="0" w:type="dxa"/>
            <w:right w:w="0" w:type="dxa"/>
          </w:tblCellMar>
        </w:tblPrEx>
        <w:trPr>
          <w:trHeight w:val="795"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80"/>
              <w:ind w:left="102" w:right="-20"/>
              <w:rPr>
                <w:rFonts w:ascii="宋体" w:hAnsi="宋体"/>
                <w:color w:val="000000"/>
              </w:rPr>
            </w:pPr>
          </w:p>
        </w:tc>
        <w:tc>
          <w:tcPr>
            <w:tcW w:w="70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80"/>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20"/>
              <w:jc w:val="center"/>
              <w:rPr>
                <w:rFonts w:ascii="宋体" w:hAnsi="宋体"/>
                <w:color w:val="000000"/>
              </w:rPr>
            </w:pPr>
            <w:r>
              <w:rPr>
                <w:rFonts w:hint="eastAsia" w:ascii="宋体" w:hAnsi="宋体"/>
                <w:color w:val="000000"/>
              </w:rPr>
              <w:t>投标人机器码</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left="102"/>
              <w:rPr>
                <w:rFonts w:ascii="宋体" w:hAnsi="宋体"/>
                <w:color w:val="000000"/>
              </w:rPr>
            </w:pPr>
            <w:r>
              <w:rPr>
                <w:rFonts w:hint="eastAsia" w:ascii="宋体" w:hAnsi="宋体"/>
                <w:color w:val="000000"/>
              </w:rPr>
              <w:t>不同投标人机器码相同，视为不合格。</w:t>
            </w:r>
          </w:p>
        </w:tc>
      </w:tr>
      <w:tr>
        <w:tblPrEx>
          <w:tblCellMar>
            <w:top w:w="0" w:type="dxa"/>
            <w:left w:w="0" w:type="dxa"/>
            <w:bottom w:w="0" w:type="dxa"/>
            <w:right w:w="0" w:type="dxa"/>
          </w:tblCellMar>
        </w:tblPrEx>
        <w:trPr>
          <w:trHeight w:val="979" w:hRule="exact"/>
          <w:jc w:val="center"/>
        </w:trPr>
        <w:tc>
          <w:tcPr>
            <w:tcW w:w="684" w:type="dxa"/>
            <w:vMerge w:val="restart"/>
            <w:tcBorders>
              <w:top w:val="single" w:color="000000" w:sz="4" w:space="0"/>
              <w:left w:val="single" w:color="000000" w:sz="4" w:space="0"/>
              <w:right w:val="single" w:color="000000" w:sz="4" w:space="0"/>
            </w:tcBorders>
            <w:vAlign w:val="center"/>
          </w:tcPr>
          <w:p>
            <w:pPr>
              <w:autoSpaceDE w:val="0"/>
              <w:autoSpaceDN w:val="0"/>
              <w:ind w:right="-20"/>
              <w:jc w:val="center"/>
              <w:rPr>
                <w:rFonts w:ascii="宋体" w:hAnsi="宋体"/>
                <w:color w:val="000000"/>
              </w:rPr>
            </w:pPr>
            <w:r>
              <w:rPr>
                <w:rFonts w:ascii="宋体" w:hAnsi="宋体"/>
                <w:color w:val="000000"/>
              </w:rPr>
              <w:t>2.1.2</w:t>
            </w:r>
          </w:p>
        </w:tc>
        <w:tc>
          <w:tcPr>
            <w:tcW w:w="709" w:type="dxa"/>
            <w:vMerge w:val="restart"/>
            <w:tcBorders>
              <w:top w:val="single" w:color="000000" w:sz="4" w:space="0"/>
              <w:left w:val="single" w:color="000000" w:sz="4" w:space="0"/>
              <w:right w:val="single" w:color="000000" w:sz="4" w:space="0"/>
            </w:tcBorders>
            <w:vAlign w:val="center"/>
          </w:tcPr>
          <w:p>
            <w:pPr>
              <w:autoSpaceDE w:val="0"/>
              <w:autoSpaceDN w:val="0"/>
              <w:ind w:right="59"/>
              <w:jc w:val="center"/>
              <w:rPr>
                <w:rFonts w:ascii="宋体" w:hAnsi="宋体"/>
                <w:color w:val="000000"/>
              </w:rPr>
            </w:pPr>
            <w:r>
              <w:rPr>
                <w:rFonts w:hint="eastAsia" w:ascii="宋体" w:hAnsi="宋体"/>
                <w:color w:val="000000"/>
              </w:rPr>
              <w:t>资格</w:t>
            </w:r>
            <w:r>
              <w:rPr>
                <w:rFonts w:hint="eastAsia" w:ascii="宋体" w:hAnsi="宋体"/>
                <w:color w:val="000000"/>
                <w:spacing w:val="-2"/>
              </w:rPr>
              <w:t>评</w:t>
            </w:r>
            <w:r>
              <w:rPr>
                <w:rFonts w:hint="eastAsia" w:ascii="宋体" w:hAnsi="宋体"/>
                <w:color w:val="000000"/>
              </w:rPr>
              <w:t>审标准</w:t>
            </w: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20"/>
              <w:jc w:val="center"/>
              <w:rPr>
                <w:rFonts w:ascii="宋体" w:hAnsi="宋体"/>
                <w:color w:val="000000"/>
              </w:rPr>
            </w:pPr>
            <w:r>
              <w:rPr>
                <w:rFonts w:hint="eastAsia" w:ascii="宋体" w:hAnsi="宋体"/>
                <w:color w:val="000000"/>
              </w:rPr>
              <w:t>营业执照和组织机构代码证</w:t>
            </w:r>
          </w:p>
        </w:tc>
        <w:tc>
          <w:tcPr>
            <w:tcW w:w="7179" w:type="dxa"/>
            <w:tcBorders>
              <w:top w:val="single" w:color="000000" w:sz="4" w:space="0"/>
              <w:left w:val="single" w:color="000000" w:sz="4" w:space="0"/>
              <w:bottom w:val="single" w:color="000000" w:sz="4" w:space="0"/>
              <w:right w:val="single" w:color="000000" w:sz="4" w:space="0"/>
            </w:tcBorders>
            <w:vAlign w:val="center"/>
          </w:tcPr>
          <w:p>
            <w:pPr>
              <w:ind w:left="118" w:leftChars="56"/>
              <w:rPr>
                <w:rFonts w:ascii="宋体" w:hAnsi="宋体"/>
                <w:color w:val="000000"/>
              </w:rPr>
            </w:pPr>
            <w:r>
              <w:rPr>
                <w:rFonts w:hint="eastAsia" w:ascii="宋体" w:hAnsi="宋体" w:cs="宋体"/>
                <w:color w:val="000000"/>
                <w:szCs w:val="22"/>
              </w:rPr>
              <w:t>符合第二章</w:t>
            </w:r>
            <w:r>
              <w:rPr>
                <w:rFonts w:ascii="宋体" w:hAnsi="宋体"/>
                <w:color w:val="000000"/>
                <w:szCs w:val="22"/>
              </w:rPr>
              <w:t>“</w:t>
            </w:r>
            <w:r>
              <w:rPr>
                <w:rFonts w:hint="eastAsia" w:ascii="宋体" w:hAnsi="宋体" w:cs="宋体"/>
                <w:color w:val="000000"/>
                <w:szCs w:val="22"/>
              </w:rPr>
              <w:t>投标人须知</w:t>
            </w:r>
            <w:r>
              <w:rPr>
                <w:rFonts w:ascii="宋体" w:hAnsi="宋体"/>
                <w:color w:val="000000"/>
                <w:szCs w:val="22"/>
              </w:rPr>
              <w:t>”</w:t>
            </w:r>
            <w:r>
              <w:rPr>
                <w:rFonts w:hint="eastAsia" w:ascii="宋体" w:hAnsi="宋体" w:cs="宋体"/>
                <w:color w:val="000000"/>
                <w:szCs w:val="22"/>
              </w:rPr>
              <w:t>第1.4.1项规定。</w:t>
            </w:r>
          </w:p>
        </w:tc>
      </w:tr>
      <w:tr>
        <w:tblPrEx>
          <w:tblCellMar>
            <w:top w:w="0" w:type="dxa"/>
            <w:left w:w="0" w:type="dxa"/>
            <w:bottom w:w="0" w:type="dxa"/>
            <w:right w:w="0" w:type="dxa"/>
          </w:tblCellMar>
        </w:tblPrEx>
        <w:trPr>
          <w:trHeight w:val="558" w:hRule="exact"/>
          <w:jc w:val="center"/>
        </w:trPr>
        <w:tc>
          <w:tcPr>
            <w:tcW w:w="684" w:type="dxa"/>
            <w:vMerge w:val="continue"/>
            <w:tcBorders>
              <w:left w:val="single" w:color="000000" w:sz="4" w:space="0"/>
              <w:right w:val="single" w:color="000000" w:sz="4" w:space="0"/>
            </w:tcBorders>
            <w:vAlign w:val="center"/>
          </w:tcPr>
          <w:p>
            <w:pPr>
              <w:autoSpaceDE w:val="0"/>
              <w:autoSpaceDN w:val="0"/>
              <w:ind w:right="-20"/>
              <w:jc w:val="center"/>
              <w:rPr>
                <w:rFonts w:ascii="宋体" w:hAnsi="宋体"/>
                <w:color w:val="000000"/>
              </w:rPr>
            </w:pPr>
          </w:p>
        </w:tc>
        <w:tc>
          <w:tcPr>
            <w:tcW w:w="709" w:type="dxa"/>
            <w:vMerge w:val="continue"/>
            <w:tcBorders>
              <w:left w:val="single" w:color="000000" w:sz="4" w:space="0"/>
              <w:right w:val="single" w:color="000000" w:sz="4" w:space="0"/>
            </w:tcBorders>
            <w:vAlign w:val="center"/>
          </w:tcPr>
          <w:p>
            <w:pPr>
              <w:autoSpaceDE w:val="0"/>
              <w:autoSpaceDN w:val="0"/>
              <w:ind w:right="59"/>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20"/>
              <w:jc w:val="center"/>
              <w:rPr>
                <w:rFonts w:ascii="宋体" w:hAnsi="宋体"/>
                <w:color w:val="000000"/>
              </w:rPr>
            </w:pPr>
            <w:r>
              <w:rPr>
                <w:rFonts w:hint="eastAsia" w:ascii="宋体" w:hAnsi="宋体"/>
                <w:color w:val="000000"/>
              </w:rPr>
              <w:t>资质要求</w:t>
            </w:r>
          </w:p>
        </w:tc>
        <w:tc>
          <w:tcPr>
            <w:tcW w:w="7179" w:type="dxa"/>
            <w:tcBorders>
              <w:top w:val="single" w:color="000000" w:sz="4" w:space="0"/>
              <w:left w:val="single" w:color="000000" w:sz="4" w:space="0"/>
              <w:bottom w:val="single" w:color="000000" w:sz="4" w:space="0"/>
              <w:right w:val="single" w:color="000000" w:sz="4" w:space="0"/>
            </w:tcBorders>
            <w:vAlign w:val="center"/>
          </w:tcPr>
          <w:p>
            <w:pPr>
              <w:ind w:left="118" w:leftChars="56"/>
              <w:rPr>
                <w:rFonts w:ascii="宋体" w:hAnsi="宋体"/>
                <w:color w:val="000000"/>
              </w:rPr>
            </w:pPr>
            <w:r>
              <w:rPr>
                <w:rFonts w:hint="eastAsia" w:ascii="宋体" w:hAnsi="宋体" w:cs="宋体"/>
                <w:color w:val="000000"/>
                <w:szCs w:val="22"/>
              </w:rPr>
              <w:t>符合第二章</w:t>
            </w:r>
            <w:r>
              <w:rPr>
                <w:rFonts w:ascii="宋体" w:hAnsi="宋体"/>
                <w:color w:val="000000"/>
                <w:szCs w:val="22"/>
              </w:rPr>
              <w:t>“</w:t>
            </w:r>
            <w:r>
              <w:rPr>
                <w:rFonts w:hint="eastAsia" w:ascii="宋体" w:hAnsi="宋体" w:cs="宋体"/>
                <w:color w:val="000000"/>
                <w:szCs w:val="22"/>
              </w:rPr>
              <w:t>投标人须知</w:t>
            </w:r>
            <w:r>
              <w:rPr>
                <w:rFonts w:ascii="宋体" w:hAnsi="宋体"/>
                <w:color w:val="000000"/>
                <w:szCs w:val="22"/>
              </w:rPr>
              <w:t>”</w:t>
            </w:r>
            <w:r>
              <w:rPr>
                <w:rFonts w:hint="eastAsia" w:ascii="宋体" w:hAnsi="宋体" w:cs="宋体"/>
                <w:color w:val="000000"/>
                <w:szCs w:val="22"/>
              </w:rPr>
              <w:t>第</w:t>
            </w:r>
            <w:r>
              <w:rPr>
                <w:rFonts w:ascii="宋体" w:hAnsi="宋体"/>
                <w:color w:val="000000"/>
                <w:szCs w:val="22"/>
              </w:rPr>
              <w:t>1.4.1</w:t>
            </w:r>
            <w:r>
              <w:rPr>
                <w:rFonts w:hint="eastAsia" w:ascii="宋体" w:hAnsi="宋体" w:cs="宋体"/>
                <w:color w:val="000000"/>
                <w:szCs w:val="22"/>
              </w:rPr>
              <w:t>项规定</w:t>
            </w:r>
          </w:p>
        </w:tc>
      </w:tr>
      <w:tr>
        <w:tblPrEx>
          <w:tblCellMar>
            <w:top w:w="0" w:type="dxa"/>
            <w:left w:w="0" w:type="dxa"/>
            <w:bottom w:w="0" w:type="dxa"/>
            <w:right w:w="0" w:type="dxa"/>
          </w:tblCellMar>
        </w:tblPrEx>
        <w:trPr>
          <w:trHeight w:val="558" w:hRule="exact"/>
          <w:jc w:val="center"/>
        </w:trPr>
        <w:tc>
          <w:tcPr>
            <w:tcW w:w="684" w:type="dxa"/>
            <w:vMerge w:val="continue"/>
            <w:tcBorders>
              <w:left w:val="single" w:color="000000" w:sz="4" w:space="0"/>
              <w:right w:val="single" w:color="000000" w:sz="4" w:space="0"/>
            </w:tcBorders>
            <w:vAlign w:val="center"/>
          </w:tcPr>
          <w:p>
            <w:pPr>
              <w:autoSpaceDE w:val="0"/>
              <w:autoSpaceDN w:val="0"/>
              <w:ind w:right="-20"/>
              <w:jc w:val="center"/>
              <w:rPr>
                <w:rFonts w:ascii="宋体" w:hAnsi="宋体"/>
                <w:color w:val="000000"/>
              </w:rPr>
            </w:pPr>
          </w:p>
        </w:tc>
        <w:tc>
          <w:tcPr>
            <w:tcW w:w="709" w:type="dxa"/>
            <w:vMerge w:val="continue"/>
            <w:tcBorders>
              <w:left w:val="single" w:color="000000" w:sz="4" w:space="0"/>
              <w:right w:val="single" w:color="000000" w:sz="4" w:space="0"/>
            </w:tcBorders>
            <w:vAlign w:val="center"/>
          </w:tcPr>
          <w:p>
            <w:pPr>
              <w:autoSpaceDE w:val="0"/>
              <w:autoSpaceDN w:val="0"/>
              <w:ind w:right="59"/>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20"/>
              <w:jc w:val="center"/>
              <w:rPr>
                <w:rFonts w:ascii="宋体" w:hAnsi="宋体"/>
                <w:color w:val="000000"/>
              </w:rPr>
            </w:pPr>
            <w:r>
              <w:rPr>
                <w:rFonts w:hint="eastAsia" w:ascii="宋体" w:hAnsi="宋体"/>
                <w:color w:val="000000"/>
              </w:rPr>
              <w:t>业绩要求</w:t>
            </w:r>
          </w:p>
        </w:tc>
        <w:tc>
          <w:tcPr>
            <w:tcW w:w="7179" w:type="dxa"/>
            <w:tcBorders>
              <w:top w:val="single" w:color="000000" w:sz="4" w:space="0"/>
              <w:left w:val="single" w:color="000000" w:sz="4" w:space="0"/>
              <w:bottom w:val="single" w:color="000000" w:sz="4" w:space="0"/>
              <w:right w:val="single" w:color="000000" w:sz="4" w:space="0"/>
            </w:tcBorders>
            <w:vAlign w:val="center"/>
          </w:tcPr>
          <w:p>
            <w:pPr>
              <w:ind w:left="118" w:leftChars="56"/>
              <w:rPr>
                <w:rFonts w:ascii="宋体" w:hAnsi="宋体"/>
                <w:color w:val="000000"/>
              </w:rPr>
            </w:pPr>
            <w:r>
              <w:rPr>
                <w:rFonts w:hint="eastAsia" w:ascii="宋体" w:hAnsi="宋体" w:cs="宋体"/>
                <w:color w:val="000000"/>
                <w:szCs w:val="22"/>
              </w:rPr>
              <w:t>符合第二章</w:t>
            </w:r>
            <w:r>
              <w:rPr>
                <w:rFonts w:ascii="宋体" w:hAnsi="宋体"/>
                <w:color w:val="000000"/>
                <w:szCs w:val="22"/>
              </w:rPr>
              <w:t>“</w:t>
            </w:r>
            <w:r>
              <w:rPr>
                <w:rFonts w:hint="eastAsia" w:ascii="宋体" w:hAnsi="宋体" w:cs="宋体"/>
                <w:color w:val="000000"/>
                <w:szCs w:val="22"/>
              </w:rPr>
              <w:t>投标人须知</w:t>
            </w:r>
            <w:r>
              <w:rPr>
                <w:rFonts w:ascii="宋体" w:hAnsi="宋体"/>
                <w:color w:val="000000"/>
                <w:szCs w:val="22"/>
              </w:rPr>
              <w:t>”</w:t>
            </w:r>
            <w:r>
              <w:rPr>
                <w:rFonts w:hint="eastAsia" w:ascii="宋体" w:hAnsi="宋体" w:cs="宋体"/>
                <w:color w:val="000000"/>
                <w:szCs w:val="22"/>
              </w:rPr>
              <w:t>第</w:t>
            </w:r>
            <w:r>
              <w:rPr>
                <w:rFonts w:ascii="宋体" w:hAnsi="宋体"/>
                <w:color w:val="000000"/>
                <w:szCs w:val="22"/>
              </w:rPr>
              <w:t>1.4.1</w:t>
            </w:r>
            <w:r>
              <w:rPr>
                <w:rFonts w:hint="eastAsia" w:ascii="宋体" w:hAnsi="宋体" w:cs="宋体"/>
                <w:color w:val="000000"/>
                <w:szCs w:val="22"/>
              </w:rPr>
              <w:t>项规定</w:t>
            </w:r>
          </w:p>
        </w:tc>
      </w:tr>
      <w:tr>
        <w:tblPrEx>
          <w:tblCellMar>
            <w:top w:w="0" w:type="dxa"/>
            <w:left w:w="0" w:type="dxa"/>
            <w:bottom w:w="0" w:type="dxa"/>
            <w:right w:w="0" w:type="dxa"/>
          </w:tblCellMar>
        </w:tblPrEx>
        <w:trPr>
          <w:trHeight w:val="882" w:hRule="exact"/>
          <w:jc w:val="center"/>
        </w:trPr>
        <w:tc>
          <w:tcPr>
            <w:tcW w:w="684" w:type="dxa"/>
            <w:vMerge w:val="continue"/>
            <w:tcBorders>
              <w:left w:val="single" w:color="000000" w:sz="4" w:space="0"/>
              <w:right w:val="single" w:color="000000" w:sz="4" w:space="0"/>
            </w:tcBorders>
            <w:vAlign w:val="center"/>
          </w:tcPr>
          <w:p>
            <w:pPr>
              <w:autoSpaceDE w:val="0"/>
              <w:autoSpaceDN w:val="0"/>
              <w:ind w:right="-20"/>
              <w:jc w:val="center"/>
              <w:rPr>
                <w:rFonts w:ascii="宋体" w:hAnsi="宋体"/>
                <w:color w:val="000000"/>
              </w:rPr>
            </w:pPr>
          </w:p>
        </w:tc>
        <w:tc>
          <w:tcPr>
            <w:tcW w:w="709" w:type="dxa"/>
            <w:vMerge w:val="continue"/>
            <w:tcBorders>
              <w:left w:val="single" w:color="000000" w:sz="4" w:space="0"/>
              <w:right w:val="single" w:color="000000" w:sz="4" w:space="0"/>
            </w:tcBorders>
            <w:vAlign w:val="center"/>
          </w:tcPr>
          <w:p>
            <w:pPr>
              <w:autoSpaceDE w:val="0"/>
              <w:autoSpaceDN w:val="0"/>
              <w:ind w:right="59"/>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20"/>
              <w:jc w:val="center"/>
              <w:rPr>
                <w:rFonts w:ascii="宋体" w:hAnsi="宋体"/>
                <w:color w:val="000000"/>
              </w:rPr>
            </w:pPr>
            <w:r>
              <w:rPr>
                <w:rFonts w:hint="eastAsia"/>
                <w:color w:val="000000"/>
              </w:rPr>
              <w:t>项目负责人</w:t>
            </w:r>
            <w:r>
              <w:rPr>
                <w:rFonts w:hint="eastAsia" w:ascii="宋体" w:hAnsi="宋体"/>
                <w:color w:val="000000"/>
              </w:rPr>
              <w:t>的资格要求</w:t>
            </w:r>
          </w:p>
        </w:tc>
        <w:tc>
          <w:tcPr>
            <w:tcW w:w="7179" w:type="dxa"/>
            <w:tcBorders>
              <w:top w:val="single" w:color="000000" w:sz="4" w:space="0"/>
              <w:left w:val="single" w:color="000000" w:sz="4" w:space="0"/>
              <w:bottom w:val="single" w:color="000000" w:sz="4" w:space="0"/>
              <w:right w:val="single" w:color="000000" w:sz="4" w:space="0"/>
            </w:tcBorders>
            <w:vAlign w:val="center"/>
          </w:tcPr>
          <w:p>
            <w:pPr>
              <w:ind w:left="118" w:leftChars="56"/>
              <w:rPr>
                <w:rFonts w:ascii="宋体" w:hAnsi="宋体"/>
                <w:color w:val="000000"/>
              </w:rPr>
            </w:pPr>
            <w:r>
              <w:rPr>
                <w:rFonts w:hint="eastAsia" w:ascii="宋体" w:hAnsi="宋体" w:cs="宋体"/>
                <w:color w:val="000000"/>
                <w:szCs w:val="22"/>
              </w:rPr>
              <w:t>符合第二章</w:t>
            </w:r>
            <w:r>
              <w:rPr>
                <w:rFonts w:ascii="宋体" w:hAnsi="宋体"/>
                <w:color w:val="000000"/>
                <w:szCs w:val="22"/>
              </w:rPr>
              <w:t>“</w:t>
            </w:r>
            <w:r>
              <w:rPr>
                <w:rFonts w:hint="eastAsia" w:ascii="宋体" w:hAnsi="宋体" w:cs="宋体"/>
                <w:color w:val="000000"/>
                <w:szCs w:val="22"/>
              </w:rPr>
              <w:t>投标人须知</w:t>
            </w:r>
            <w:r>
              <w:rPr>
                <w:rFonts w:ascii="宋体" w:hAnsi="宋体"/>
                <w:color w:val="000000"/>
                <w:szCs w:val="22"/>
              </w:rPr>
              <w:t>”</w:t>
            </w:r>
            <w:r>
              <w:rPr>
                <w:rFonts w:hint="eastAsia" w:ascii="宋体" w:hAnsi="宋体" w:cs="宋体"/>
                <w:color w:val="000000"/>
                <w:szCs w:val="22"/>
              </w:rPr>
              <w:t>第</w:t>
            </w:r>
            <w:r>
              <w:rPr>
                <w:rFonts w:ascii="宋体" w:hAnsi="宋体"/>
                <w:color w:val="000000"/>
                <w:szCs w:val="22"/>
              </w:rPr>
              <w:t>1.4.1</w:t>
            </w:r>
            <w:r>
              <w:rPr>
                <w:rFonts w:hint="eastAsia" w:ascii="宋体" w:hAnsi="宋体" w:cs="宋体"/>
                <w:color w:val="000000"/>
                <w:szCs w:val="22"/>
              </w:rPr>
              <w:t>项规定</w:t>
            </w:r>
          </w:p>
        </w:tc>
      </w:tr>
      <w:tr>
        <w:tblPrEx>
          <w:tblCellMar>
            <w:top w:w="0" w:type="dxa"/>
            <w:left w:w="0" w:type="dxa"/>
            <w:bottom w:w="0" w:type="dxa"/>
            <w:right w:w="0" w:type="dxa"/>
          </w:tblCellMar>
        </w:tblPrEx>
        <w:trPr>
          <w:trHeight w:val="607" w:hRule="exact"/>
          <w:jc w:val="center"/>
        </w:trPr>
        <w:tc>
          <w:tcPr>
            <w:tcW w:w="684" w:type="dxa"/>
            <w:vMerge w:val="continue"/>
            <w:tcBorders>
              <w:left w:val="single" w:color="000000" w:sz="4" w:space="0"/>
              <w:right w:val="single" w:color="000000" w:sz="4" w:space="0"/>
            </w:tcBorders>
            <w:vAlign w:val="center"/>
          </w:tcPr>
          <w:p>
            <w:pPr>
              <w:autoSpaceDE w:val="0"/>
              <w:autoSpaceDN w:val="0"/>
              <w:ind w:right="-20"/>
              <w:jc w:val="center"/>
              <w:rPr>
                <w:rFonts w:ascii="宋体" w:hAnsi="宋体"/>
                <w:color w:val="000000"/>
              </w:rPr>
            </w:pPr>
          </w:p>
        </w:tc>
        <w:tc>
          <w:tcPr>
            <w:tcW w:w="709" w:type="dxa"/>
            <w:vMerge w:val="continue"/>
            <w:tcBorders>
              <w:left w:val="single" w:color="000000" w:sz="4" w:space="0"/>
              <w:right w:val="single" w:color="000000" w:sz="4" w:space="0"/>
            </w:tcBorders>
            <w:vAlign w:val="center"/>
          </w:tcPr>
          <w:p>
            <w:pPr>
              <w:autoSpaceDE w:val="0"/>
              <w:autoSpaceDN w:val="0"/>
              <w:ind w:right="59"/>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rPr>
            </w:pPr>
            <w:r>
              <w:rPr>
                <w:rFonts w:hint="eastAsia" w:ascii="宋体" w:hAnsi="宋体" w:cs="宋体"/>
                <w:color w:val="000000"/>
                <w:szCs w:val="22"/>
              </w:rPr>
              <w:t>其他要求</w:t>
            </w:r>
          </w:p>
        </w:tc>
        <w:tc>
          <w:tcPr>
            <w:tcW w:w="7179" w:type="dxa"/>
            <w:tcBorders>
              <w:top w:val="single" w:color="000000" w:sz="4" w:space="0"/>
              <w:left w:val="single" w:color="000000" w:sz="4" w:space="0"/>
              <w:bottom w:val="single" w:color="000000" w:sz="4" w:space="0"/>
              <w:right w:val="single" w:color="000000" w:sz="4" w:space="0"/>
            </w:tcBorders>
            <w:vAlign w:val="center"/>
          </w:tcPr>
          <w:p>
            <w:pPr>
              <w:ind w:left="118" w:leftChars="56"/>
              <w:rPr>
                <w:rFonts w:ascii="宋体" w:hAnsi="宋体"/>
                <w:color w:val="000000"/>
              </w:rPr>
            </w:pPr>
            <w:r>
              <w:rPr>
                <w:rFonts w:hint="eastAsia" w:ascii="宋体" w:hAnsi="宋体" w:cs="宋体"/>
                <w:color w:val="000000"/>
                <w:szCs w:val="22"/>
              </w:rPr>
              <w:t>符合第二章</w:t>
            </w:r>
            <w:r>
              <w:rPr>
                <w:rFonts w:ascii="宋体" w:hAnsi="宋体"/>
                <w:color w:val="000000"/>
                <w:szCs w:val="22"/>
              </w:rPr>
              <w:t>“</w:t>
            </w:r>
            <w:r>
              <w:rPr>
                <w:rFonts w:hint="eastAsia" w:ascii="宋体" w:hAnsi="宋体" w:cs="宋体"/>
                <w:color w:val="000000"/>
                <w:szCs w:val="22"/>
              </w:rPr>
              <w:t>投标人须知</w:t>
            </w:r>
            <w:r>
              <w:rPr>
                <w:rFonts w:ascii="宋体" w:hAnsi="宋体"/>
                <w:color w:val="000000"/>
                <w:szCs w:val="22"/>
              </w:rPr>
              <w:t>”</w:t>
            </w:r>
            <w:r>
              <w:rPr>
                <w:rFonts w:hint="eastAsia" w:ascii="宋体" w:hAnsi="宋体" w:cs="宋体"/>
                <w:color w:val="000000"/>
                <w:szCs w:val="22"/>
              </w:rPr>
              <w:t>第</w:t>
            </w:r>
            <w:r>
              <w:rPr>
                <w:rFonts w:ascii="宋体" w:hAnsi="宋体"/>
                <w:color w:val="000000"/>
                <w:szCs w:val="22"/>
              </w:rPr>
              <w:t>1.4.1</w:t>
            </w:r>
            <w:r>
              <w:rPr>
                <w:rFonts w:hint="eastAsia" w:ascii="宋体" w:hAnsi="宋体" w:cs="宋体"/>
                <w:color w:val="000000"/>
                <w:szCs w:val="22"/>
              </w:rPr>
              <w:t>项规定</w:t>
            </w:r>
          </w:p>
        </w:tc>
      </w:tr>
      <w:tr>
        <w:tblPrEx>
          <w:tblCellMar>
            <w:top w:w="0" w:type="dxa"/>
            <w:left w:w="0" w:type="dxa"/>
            <w:bottom w:w="0" w:type="dxa"/>
            <w:right w:w="0" w:type="dxa"/>
          </w:tblCellMar>
        </w:tblPrEx>
        <w:trPr>
          <w:trHeight w:val="568" w:hRule="exact"/>
          <w:jc w:val="center"/>
        </w:trPr>
        <w:tc>
          <w:tcPr>
            <w:tcW w:w="684" w:type="dxa"/>
            <w:vMerge w:val="continue"/>
            <w:tcBorders>
              <w:left w:val="single" w:color="000000" w:sz="4" w:space="0"/>
              <w:right w:val="single" w:color="000000" w:sz="4" w:space="0"/>
            </w:tcBorders>
            <w:vAlign w:val="center"/>
          </w:tcPr>
          <w:p>
            <w:pPr>
              <w:autoSpaceDE w:val="0"/>
              <w:autoSpaceDN w:val="0"/>
              <w:ind w:right="-20"/>
              <w:jc w:val="center"/>
              <w:rPr>
                <w:rFonts w:ascii="宋体" w:hAnsi="宋体"/>
                <w:color w:val="000000"/>
              </w:rPr>
            </w:pPr>
          </w:p>
        </w:tc>
        <w:tc>
          <w:tcPr>
            <w:tcW w:w="709" w:type="dxa"/>
            <w:vMerge w:val="continue"/>
            <w:tcBorders>
              <w:left w:val="single" w:color="000000" w:sz="4" w:space="0"/>
              <w:right w:val="single" w:color="000000" w:sz="4" w:space="0"/>
            </w:tcBorders>
            <w:vAlign w:val="center"/>
          </w:tcPr>
          <w:p>
            <w:pPr>
              <w:autoSpaceDE w:val="0"/>
              <w:autoSpaceDN w:val="0"/>
              <w:ind w:right="59"/>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rFonts w:hint="eastAsia" w:cs="宋体"/>
                <w:color w:val="000000"/>
                <w:szCs w:val="22"/>
              </w:rPr>
              <w:t>联合体投标人</w:t>
            </w:r>
          </w:p>
        </w:tc>
        <w:tc>
          <w:tcPr>
            <w:tcW w:w="71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r>
              <w:rPr>
                <w:rFonts w:hint="eastAsia" w:ascii="宋体" w:hAnsi="宋体" w:cs="宋体"/>
                <w:color w:val="000000"/>
                <w:szCs w:val="22"/>
              </w:rPr>
              <w:t xml:space="preserve"> 符合第二章</w:t>
            </w:r>
            <w:r>
              <w:rPr>
                <w:rFonts w:ascii="宋体" w:hAnsi="宋体"/>
                <w:color w:val="000000"/>
                <w:szCs w:val="22"/>
              </w:rPr>
              <w:t>“</w:t>
            </w:r>
            <w:r>
              <w:rPr>
                <w:rFonts w:hint="eastAsia" w:ascii="宋体" w:hAnsi="宋体" w:cs="宋体"/>
                <w:color w:val="000000"/>
                <w:szCs w:val="22"/>
              </w:rPr>
              <w:t>投标人须知</w:t>
            </w:r>
            <w:r>
              <w:rPr>
                <w:rFonts w:ascii="宋体" w:hAnsi="宋体"/>
                <w:color w:val="000000"/>
                <w:szCs w:val="22"/>
              </w:rPr>
              <w:t>”</w:t>
            </w:r>
            <w:r>
              <w:rPr>
                <w:rFonts w:hint="eastAsia" w:ascii="宋体" w:hAnsi="宋体" w:cs="宋体"/>
                <w:color w:val="000000"/>
                <w:szCs w:val="22"/>
              </w:rPr>
              <w:t>第</w:t>
            </w:r>
            <w:r>
              <w:rPr>
                <w:rFonts w:ascii="宋体" w:hAnsi="宋体"/>
                <w:color w:val="000000"/>
                <w:szCs w:val="22"/>
              </w:rPr>
              <w:t xml:space="preserve"> 1.4.2 </w:t>
            </w:r>
            <w:r>
              <w:rPr>
                <w:rFonts w:hint="eastAsia" w:ascii="宋体" w:hAnsi="宋体" w:cs="宋体"/>
                <w:color w:val="000000"/>
                <w:szCs w:val="22"/>
              </w:rPr>
              <w:t>项规定</w:t>
            </w:r>
          </w:p>
        </w:tc>
      </w:tr>
      <w:tr>
        <w:tblPrEx>
          <w:tblCellMar>
            <w:top w:w="0" w:type="dxa"/>
            <w:left w:w="0" w:type="dxa"/>
            <w:bottom w:w="0" w:type="dxa"/>
            <w:right w:w="0" w:type="dxa"/>
          </w:tblCellMar>
        </w:tblPrEx>
        <w:trPr>
          <w:trHeight w:val="558" w:hRule="exact"/>
          <w:jc w:val="center"/>
        </w:trPr>
        <w:tc>
          <w:tcPr>
            <w:tcW w:w="684" w:type="dxa"/>
            <w:vMerge w:val="continue"/>
            <w:tcBorders>
              <w:left w:val="single" w:color="000000" w:sz="4" w:space="0"/>
              <w:bottom w:val="nil"/>
              <w:right w:val="single" w:color="000000" w:sz="4" w:space="0"/>
            </w:tcBorders>
            <w:vAlign w:val="center"/>
          </w:tcPr>
          <w:p>
            <w:pPr>
              <w:autoSpaceDE w:val="0"/>
              <w:autoSpaceDN w:val="0"/>
              <w:ind w:right="-20"/>
              <w:jc w:val="center"/>
              <w:rPr>
                <w:rFonts w:ascii="宋体" w:hAnsi="宋体"/>
                <w:color w:val="000000"/>
              </w:rPr>
            </w:pPr>
          </w:p>
        </w:tc>
        <w:tc>
          <w:tcPr>
            <w:tcW w:w="709" w:type="dxa"/>
            <w:vMerge w:val="continue"/>
            <w:tcBorders>
              <w:left w:val="single" w:color="000000" w:sz="4" w:space="0"/>
              <w:bottom w:val="nil"/>
              <w:right w:val="single" w:color="000000" w:sz="4" w:space="0"/>
            </w:tcBorders>
            <w:vAlign w:val="center"/>
          </w:tcPr>
          <w:p>
            <w:pPr>
              <w:autoSpaceDE w:val="0"/>
              <w:autoSpaceDN w:val="0"/>
              <w:ind w:right="59"/>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color w:val="000000"/>
              </w:rPr>
            </w:pPr>
            <w:r>
              <w:rPr>
                <w:rFonts w:hint="eastAsia" w:cs="宋体"/>
                <w:color w:val="000000"/>
                <w:szCs w:val="22"/>
              </w:rPr>
              <w:t>不存在禁止投标的情形</w:t>
            </w:r>
          </w:p>
        </w:tc>
        <w:tc>
          <w:tcPr>
            <w:tcW w:w="717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olor w:val="000000"/>
              </w:rPr>
            </w:pPr>
            <w:r>
              <w:rPr>
                <w:rFonts w:hint="eastAsia" w:ascii="宋体" w:hAnsi="宋体" w:cs="宋体"/>
                <w:color w:val="000000"/>
                <w:szCs w:val="22"/>
              </w:rPr>
              <w:t>不存在第二章“投标人须知”第1.4.3项规定的任何一种情形。</w:t>
            </w:r>
          </w:p>
        </w:tc>
      </w:tr>
      <w:tr>
        <w:tblPrEx>
          <w:tblCellMar>
            <w:top w:w="0" w:type="dxa"/>
            <w:left w:w="0" w:type="dxa"/>
            <w:bottom w:w="0" w:type="dxa"/>
            <w:right w:w="0" w:type="dxa"/>
          </w:tblCellMar>
        </w:tblPrEx>
        <w:trPr>
          <w:trHeight w:val="566" w:hRule="exact"/>
          <w:jc w:val="center"/>
        </w:trPr>
        <w:tc>
          <w:tcPr>
            <w:tcW w:w="684" w:type="dxa"/>
            <w:vMerge w:val="restart"/>
            <w:tcBorders>
              <w:top w:val="single" w:color="auto" w:sz="4" w:space="0"/>
              <w:left w:val="single" w:color="000000" w:sz="4" w:space="0"/>
              <w:bottom w:val="nil"/>
              <w:right w:val="single" w:color="000000" w:sz="4" w:space="0"/>
            </w:tcBorders>
            <w:vAlign w:val="center"/>
          </w:tcPr>
          <w:p>
            <w:pPr>
              <w:autoSpaceDE w:val="0"/>
              <w:autoSpaceDN w:val="0"/>
              <w:ind w:right="-20"/>
              <w:jc w:val="center"/>
              <w:rPr>
                <w:rFonts w:ascii="宋体" w:hAnsi="宋体"/>
                <w:color w:val="000000"/>
              </w:rPr>
            </w:pPr>
            <w:r>
              <w:rPr>
                <w:rFonts w:ascii="宋体" w:hAnsi="宋体"/>
                <w:color w:val="000000"/>
              </w:rPr>
              <w:t>2.1.3</w:t>
            </w:r>
          </w:p>
        </w:tc>
        <w:tc>
          <w:tcPr>
            <w:tcW w:w="709" w:type="dxa"/>
            <w:vMerge w:val="restart"/>
            <w:tcBorders>
              <w:top w:val="single" w:color="auto" w:sz="4" w:space="0"/>
              <w:left w:val="single" w:color="000000" w:sz="4" w:space="0"/>
              <w:bottom w:val="nil"/>
              <w:right w:val="single" w:color="000000" w:sz="4" w:space="0"/>
            </w:tcBorders>
            <w:vAlign w:val="center"/>
          </w:tcPr>
          <w:p>
            <w:pPr>
              <w:autoSpaceDE w:val="0"/>
              <w:autoSpaceDN w:val="0"/>
              <w:ind w:right="6"/>
              <w:jc w:val="center"/>
              <w:rPr>
                <w:rFonts w:ascii="宋体" w:hAnsi="宋体"/>
                <w:color w:val="000000"/>
              </w:rPr>
            </w:pPr>
            <w:r>
              <w:rPr>
                <w:rFonts w:hint="eastAsia" w:ascii="宋体" w:hAnsi="宋体"/>
                <w:color w:val="000000"/>
              </w:rPr>
              <w:t>响应</w:t>
            </w:r>
            <w:r>
              <w:rPr>
                <w:rFonts w:hint="eastAsia" w:ascii="宋体" w:hAnsi="宋体"/>
                <w:color w:val="000000"/>
                <w:spacing w:val="-2"/>
              </w:rPr>
              <w:t>性</w:t>
            </w:r>
            <w:r>
              <w:rPr>
                <w:rFonts w:hint="eastAsia" w:ascii="宋体" w:hAnsi="宋体"/>
                <w:color w:val="000000"/>
              </w:rPr>
              <w:t>评审标准</w:t>
            </w: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ind w:left="-4" w:leftChars="-2" w:right="-20"/>
              <w:jc w:val="center"/>
              <w:rPr>
                <w:rFonts w:ascii="宋体" w:hAnsi="宋体"/>
                <w:color w:val="000000"/>
              </w:rPr>
            </w:pPr>
            <w:r>
              <w:rPr>
                <w:rFonts w:hint="eastAsia" w:ascii="宋体" w:hAnsi="宋体"/>
                <w:color w:val="000000"/>
              </w:rPr>
              <w:t>报价方式</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符合第二章“投标人须知”第</w:t>
            </w:r>
            <w:r>
              <w:rPr>
                <w:rFonts w:ascii="宋体" w:hAnsi="宋体"/>
                <w:color w:val="000000"/>
              </w:rPr>
              <w:t xml:space="preserve"> 3.2</w:t>
            </w:r>
            <w:r>
              <w:rPr>
                <w:rFonts w:hint="eastAsia" w:ascii="宋体" w:hAnsi="宋体"/>
                <w:color w:val="000000"/>
              </w:rPr>
              <w:t>.3</w:t>
            </w:r>
            <w:r>
              <w:rPr>
                <w:rFonts w:ascii="宋体" w:hAnsi="宋体"/>
                <w:color w:val="000000"/>
              </w:rPr>
              <w:t xml:space="preserve"> </w:t>
            </w:r>
            <w:r>
              <w:rPr>
                <w:rFonts w:hint="eastAsia" w:ascii="宋体" w:hAnsi="宋体"/>
                <w:color w:val="000000"/>
              </w:rPr>
              <w:t>和3.2.4款规定；</w:t>
            </w:r>
          </w:p>
        </w:tc>
      </w:tr>
      <w:tr>
        <w:tblPrEx>
          <w:tblCellMar>
            <w:top w:w="0" w:type="dxa"/>
            <w:left w:w="0" w:type="dxa"/>
            <w:bottom w:w="0" w:type="dxa"/>
            <w:right w:w="0" w:type="dxa"/>
          </w:tblCellMar>
        </w:tblPrEx>
        <w:trPr>
          <w:trHeight w:val="376" w:hRule="exact"/>
          <w:jc w:val="center"/>
        </w:trPr>
        <w:tc>
          <w:tcPr>
            <w:tcW w:w="684" w:type="dxa"/>
            <w:vMerge w:val="continue"/>
            <w:tcBorders>
              <w:top w:val="nil"/>
              <w:left w:val="single" w:color="000000" w:sz="4" w:space="0"/>
              <w:bottom w:val="nil"/>
              <w:right w:val="single" w:color="000000" w:sz="4" w:space="0"/>
            </w:tcBorders>
            <w:vAlign w:val="center"/>
          </w:tcPr>
          <w:p>
            <w:pPr>
              <w:autoSpaceDE w:val="0"/>
              <w:autoSpaceDN w:val="0"/>
              <w:ind w:right="-20"/>
              <w:jc w:val="center"/>
              <w:rPr>
                <w:rFonts w:ascii="宋体" w:hAnsi="宋体"/>
                <w:color w:val="000000"/>
              </w:rPr>
            </w:pPr>
          </w:p>
        </w:tc>
        <w:tc>
          <w:tcPr>
            <w:tcW w:w="709" w:type="dxa"/>
            <w:vMerge w:val="continue"/>
            <w:tcBorders>
              <w:top w:val="nil"/>
              <w:left w:val="single" w:color="000000" w:sz="4" w:space="0"/>
              <w:bottom w:val="nil"/>
              <w:right w:val="single" w:color="000000" w:sz="4" w:space="0"/>
            </w:tcBorders>
            <w:vAlign w:val="center"/>
          </w:tcPr>
          <w:p>
            <w:pPr>
              <w:autoSpaceDE w:val="0"/>
              <w:autoSpaceDN w:val="0"/>
              <w:ind w:right="6"/>
              <w:jc w:val="center"/>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ind w:left="-4" w:leftChars="-2" w:right="-20"/>
              <w:jc w:val="center"/>
              <w:rPr>
                <w:rFonts w:ascii="宋体" w:hAnsi="宋体"/>
                <w:color w:val="000000"/>
              </w:rPr>
            </w:pPr>
            <w:r>
              <w:rPr>
                <w:rFonts w:hint="eastAsia" w:ascii="宋体" w:hAnsi="宋体"/>
                <w:color w:val="000000"/>
              </w:rPr>
              <w:t>投标</w:t>
            </w:r>
            <w:r>
              <w:rPr>
                <w:rFonts w:hint="eastAsia" w:ascii="宋体" w:hAnsi="宋体"/>
                <w:color w:val="000000"/>
                <w:spacing w:val="-2"/>
              </w:rPr>
              <w:t>内</w:t>
            </w:r>
            <w:r>
              <w:rPr>
                <w:rFonts w:hint="eastAsia" w:ascii="宋体" w:hAnsi="宋体"/>
                <w:color w:val="000000"/>
              </w:rPr>
              <w:t>容</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符合</w:t>
            </w:r>
            <w:r>
              <w:rPr>
                <w:rFonts w:hint="eastAsia" w:ascii="宋体" w:hAnsi="宋体"/>
                <w:color w:val="000000"/>
                <w:spacing w:val="-2"/>
              </w:rPr>
              <w:t>第</w:t>
            </w:r>
            <w:r>
              <w:rPr>
                <w:rFonts w:hint="eastAsia" w:ascii="宋体" w:hAnsi="宋体"/>
                <w:color w:val="000000"/>
              </w:rPr>
              <w:t>二</w:t>
            </w:r>
            <w:r>
              <w:rPr>
                <w:rFonts w:hint="eastAsia" w:ascii="宋体" w:hAnsi="宋体"/>
                <w:color w:val="000000"/>
                <w:spacing w:val="-2"/>
              </w:rPr>
              <w:t>章</w:t>
            </w:r>
            <w:r>
              <w:rPr>
                <w:rFonts w:hint="eastAsia" w:ascii="宋体" w:hAnsi="宋体"/>
                <w:color w:val="000000"/>
              </w:rPr>
              <w:t>“</w:t>
            </w:r>
            <w:r>
              <w:rPr>
                <w:rFonts w:hint="eastAsia" w:ascii="宋体" w:hAnsi="宋体"/>
                <w:color w:val="000000"/>
                <w:spacing w:val="-2"/>
              </w:rPr>
              <w:t>投</w:t>
            </w:r>
            <w:r>
              <w:rPr>
                <w:rFonts w:hint="eastAsia" w:ascii="宋体" w:hAnsi="宋体"/>
                <w:color w:val="000000"/>
              </w:rPr>
              <w:t>标</w:t>
            </w:r>
            <w:r>
              <w:rPr>
                <w:rFonts w:hint="eastAsia" w:ascii="宋体" w:hAnsi="宋体"/>
                <w:color w:val="000000"/>
                <w:spacing w:val="-2"/>
              </w:rPr>
              <w:t>人</w:t>
            </w:r>
            <w:r>
              <w:rPr>
                <w:rFonts w:hint="eastAsia" w:ascii="宋体" w:hAnsi="宋体"/>
                <w:color w:val="000000"/>
              </w:rPr>
              <w:t>须知</w:t>
            </w:r>
            <w:r>
              <w:rPr>
                <w:rFonts w:hint="eastAsia" w:ascii="宋体" w:hAnsi="宋体"/>
                <w:color w:val="000000"/>
                <w:spacing w:val="-3"/>
              </w:rPr>
              <w:t>”</w:t>
            </w:r>
            <w:r>
              <w:rPr>
                <w:rFonts w:hint="eastAsia" w:ascii="宋体" w:hAnsi="宋体"/>
                <w:color w:val="000000"/>
              </w:rPr>
              <w:t>第</w:t>
            </w:r>
            <w:r>
              <w:rPr>
                <w:rFonts w:ascii="宋体" w:hAnsi="宋体"/>
                <w:color w:val="000000"/>
              </w:rPr>
              <w:t xml:space="preserve"> 1.3</w:t>
            </w:r>
            <w:r>
              <w:rPr>
                <w:rFonts w:ascii="宋体" w:hAnsi="宋体"/>
                <w:color w:val="000000"/>
                <w:spacing w:val="-2"/>
              </w:rPr>
              <w:t>.</w:t>
            </w:r>
            <w:r>
              <w:rPr>
                <w:rFonts w:ascii="宋体" w:hAnsi="宋体"/>
                <w:color w:val="000000"/>
              </w:rPr>
              <w:t xml:space="preserve">1 </w:t>
            </w:r>
            <w:r>
              <w:rPr>
                <w:rFonts w:hint="eastAsia" w:ascii="宋体" w:hAnsi="宋体"/>
                <w:color w:val="000000"/>
                <w:spacing w:val="-2"/>
              </w:rPr>
              <w:t>项</w:t>
            </w:r>
            <w:r>
              <w:rPr>
                <w:rFonts w:hint="eastAsia" w:ascii="宋体" w:hAnsi="宋体"/>
                <w:color w:val="000000"/>
              </w:rPr>
              <w:t>规定；</w:t>
            </w:r>
          </w:p>
        </w:tc>
      </w:tr>
      <w:bookmarkEnd w:id="81"/>
      <w:tr>
        <w:tblPrEx>
          <w:tblCellMar>
            <w:top w:w="0" w:type="dxa"/>
            <w:left w:w="0" w:type="dxa"/>
            <w:bottom w:w="0" w:type="dxa"/>
            <w:right w:w="0" w:type="dxa"/>
          </w:tblCellMar>
        </w:tblPrEx>
        <w:trPr>
          <w:trHeight w:val="902" w:hRule="exact"/>
          <w:jc w:val="center"/>
        </w:trPr>
        <w:tc>
          <w:tcPr>
            <w:tcW w:w="684" w:type="dxa"/>
            <w:vMerge w:val="continue"/>
            <w:tcBorders>
              <w:top w:val="nil"/>
              <w:left w:val="single" w:color="000000" w:sz="4" w:space="0"/>
              <w:bottom w:val="nil"/>
              <w:right w:val="single" w:color="000000" w:sz="4" w:space="0"/>
            </w:tcBorders>
          </w:tcPr>
          <w:p>
            <w:pPr>
              <w:autoSpaceDE w:val="0"/>
              <w:autoSpaceDN w:val="0"/>
              <w:spacing w:before="44"/>
              <w:ind w:left="102" w:right="-20"/>
              <w:rPr>
                <w:rFonts w:ascii="宋体" w:hAnsi="宋体"/>
                <w:color w:val="000000"/>
              </w:rPr>
            </w:pPr>
          </w:p>
        </w:tc>
        <w:tc>
          <w:tcPr>
            <w:tcW w:w="709" w:type="dxa"/>
            <w:vMerge w:val="continue"/>
            <w:tcBorders>
              <w:top w:val="nil"/>
              <w:left w:val="single" w:color="000000" w:sz="4" w:space="0"/>
              <w:bottom w:val="nil"/>
              <w:right w:val="single" w:color="000000" w:sz="4" w:space="0"/>
            </w:tcBorders>
          </w:tcPr>
          <w:p>
            <w:pPr>
              <w:autoSpaceDE w:val="0"/>
              <w:autoSpaceDN w:val="0"/>
              <w:spacing w:before="44"/>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4" w:leftChars="-2" w:right="-20"/>
              <w:jc w:val="center"/>
              <w:rPr>
                <w:rFonts w:ascii="宋体" w:hAnsi="宋体"/>
                <w:color w:val="000000"/>
              </w:rPr>
            </w:pPr>
            <w:r>
              <w:rPr>
                <w:rFonts w:hint="eastAsia" w:ascii="宋体" w:hAnsi="宋体"/>
                <w:color w:val="000000"/>
                <w:u w:val="single"/>
              </w:rPr>
              <w:t>服务期</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符合</w:t>
            </w:r>
            <w:r>
              <w:rPr>
                <w:rFonts w:hint="eastAsia" w:ascii="宋体" w:hAnsi="宋体"/>
                <w:color w:val="000000"/>
                <w:spacing w:val="-2"/>
              </w:rPr>
              <w:t>第</w:t>
            </w:r>
            <w:r>
              <w:rPr>
                <w:rFonts w:hint="eastAsia" w:ascii="宋体" w:hAnsi="宋体"/>
                <w:color w:val="000000"/>
              </w:rPr>
              <w:t>二</w:t>
            </w:r>
            <w:r>
              <w:rPr>
                <w:rFonts w:hint="eastAsia" w:ascii="宋体" w:hAnsi="宋体"/>
                <w:color w:val="000000"/>
                <w:spacing w:val="-2"/>
              </w:rPr>
              <w:t>章</w:t>
            </w:r>
            <w:r>
              <w:rPr>
                <w:rFonts w:hint="eastAsia" w:ascii="宋体" w:hAnsi="宋体"/>
                <w:color w:val="000000"/>
              </w:rPr>
              <w:t>“</w:t>
            </w:r>
            <w:r>
              <w:rPr>
                <w:rFonts w:hint="eastAsia" w:ascii="宋体" w:hAnsi="宋体"/>
                <w:color w:val="000000"/>
                <w:spacing w:val="-2"/>
              </w:rPr>
              <w:t>投</w:t>
            </w:r>
            <w:r>
              <w:rPr>
                <w:rFonts w:hint="eastAsia" w:ascii="宋体" w:hAnsi="宋体"/>
                <w:color w:val="000000"/>
              </w:rPr>
              <w:t>标</w:t>
            </w:r>
            <w:r>
              <w:rPr>
                <w:rFonts w:hint="eastAsia" w:ascii="宋体" w:hAnsi="宋体"/>
                <w:color w:val="000000"/>
                <w:spacing w:val="-2"/>
              </w:rPr>
              <w:t>人</w:t>
            </w:r>
            <w:r>
              <w:rPr>
                <w:rFonts w:hint="eastAsia" w:ascii="宋体" w:hAnsi="宋体"/>
                <w:color w:val="000000"/>
              </w:rPr>
              <w:t>须知</w:t>
            </w:r>
            <w:r>
              <w:rPr>
                <w:rFonts w:hint="eastAsia" w:ascii="宋体" w:hAnsi="宋体"/>
                <w:color w:val="000000"/>
                <w:spacing w:val="-3"/>
              </w:rPr>
              <w:t>”</w:t>
            </w:r>
            <w:r>
              <w:rPr>
                <w:rFonts w:hint="eastAsia" w:ascii="宋体" w:hAnsi="宋体"/>
                <w:color w:val="000000"/>
              </w:rPr>
              <w:t>第</w:t>
            </w:r>
            <w:r>
              <w:rPr>
                <w:rFonts w:ascii="宋体" w:hAnsi="宋体"/>
                <w:color w:val="000000"/>
              </w:rPr>
              <w:t xml:space="preserve"> 1.3</w:t>
            </w:r>
            <w:r>
              <w:rPr>
                <w:rFonts w:ascii="宋体" w:hAnsi="宋体"/>
                <w:color w:val="000000"/>
                <w:spacing w:val="-2"/>
              </w:rPr>
              <w:t>.</w:t>
            </w:r>
            <w:r>
              <w:rPr>
                <w:rFonts w:ascii="宋体" w:hAnsi="宋体"/>
                <w:color w:val="000000"/>
              </w:rPr>
              <w:t xml:space="preserve">2 </w:t>
            </w:r>
            <w:r>
              <w:rPr>
                <w:rFonts w:hint="eastAsia" w:ascii="宋体" w:hAnsi="宋体"/>
                <w:color w:val="000000"/>
                <w:spacing w:val="-2"/>
              </w:rPr>
              <w:t>项</w:t>
            </w:r>
            <w:r>
              <w:rPr>
                <w:rFonts w:hint="eastAsia" w:ascii="宋体" w:hAnsi="宋体"/>
                <w:color w:val="000000"/>
              </w:rPr>
              <w:t>规定</w:t>
            </w:r>
          </w:p>
        </w:tc>
      </w:tr>
      <w:tr>
        <w:tblPrEx>
          <w:tblCellMar>
            <w:top w:w="0" w:type="dxa"/>
            <w:left w:w="0" w:type="dxa"/>
            <w:bottom w:w="0" w:type="dxa"/>
            <w:right w:w="0" w:type="dxa"/>
          </w:tblCellMar>
        </w:tblPrEx>
        <w:trPr>
          <w:trHeight w:val="1414" w:hRule="exact"/>
          <w:jc w:val="center"/>
        </w:trPr>
        <w:tc>
          <w:tcPr>
            <w:tcW w:w="684" w:type="dxa"/>
            <w:vMerge w:val="continue"/>
            <w:tcBorders>
              <w:top w:val="nil"/>
              <w:left w:val="single" w:color="000000" w:sz="4" w:space="0"/>
              <w:bottom w:val="nil"/>
              <w:right w:val="single" w:color="000000" w:sz="4" w:space="0"/>
            </w:tcBorders>
          </w:tcPr>
          <w:p>
            <w:pPr>
              <w:autoSpaceDE w:val="0"/>
              <w:autoSpaceDN w:val="0"/>
              <w:spacing w:before="46"/>
              <w:ind w:left="102" w:right="-20"/>
              <w:rPr>
                <w:rFonts w:ascii="宋体" w:hAnsi="宋体"/>
                <w:color w:val="000000"/>
              </w:rPr>
            </w:pPr>
          </w:p>
        </w:tc>
        <w:tc>
          <w:tcPr>
            <w:tcW w:w="709" w:type="dxa"/>
            <w:vMerge w:val="continue"/>
            <w:tcBorders>
              <w:top w:val="nil"/>
              <w:left w:val="single" w:color="000000" w:sz="4" w:space="0"/>
              <w:bottom w:val="nil"/>
              <w:right w:val="single" w:color="000000" w:sz="4" w:space="0"/>
            </w:tcBorders>
          </w:tcPr>
          <w:p>
            <w:pPr>
              <w:autoSpaceDE w:val="0"/>
              <w:autoSpaceDN w:val="0"/>
              <w:spacing w:before="46"/>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ind w:left="-4" w:leftChars="-2" w:right="-20"/>
              <w:jc w:val="center"/>
              <w:rPr>
                <w:rFonts w:ascii="宋体" w:hAnsi="宋体"/>
                <w:color w:val="000000"/>
                <w:u w:val="single"/>
              </w:rPr>
            </w:pPr>
            <w:r>
              <w:rPr>
                <w:rFonts w:hint="eastAsia" w:ascii="宋体" w:hAnsi="宋体"/>
                <w:color w:val="000000"/>
              </w:rPr>
              <w:t>质量</w:t>
            </w:r>
            <w:r>
              <w:rPr>
                <w:rFonts w:hint="eastAsia" w:ascii="宋体" w:hAnsi="宋体"/>
                <w:color w:val="000000"/>
                <w:spacing w:val="-2"/>
              </w:rPr>
              <w:t>标</w:t>
            </w:r>
            <w:r>
              <w:rPr>
                <w:rFonts w:hint="eastAsia" w:ascii="宋体" w:hAnsi="宋体"/>
                <w:color w:val="000000"/>
              </w:rPr>
              <w:t>准</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符合</w:t>
            </w:r>
            <w:r>
              <w:rPr>
                <w:rFonts w:hint="eastAsia" w:ascii="宋体" w:hAnsi="宋体"/>
                <w:color w:val="000000"/>
                <w:spacing w:val="-2"/>
              </w:rPr>
              <w:t>第</w:t>
            </w:r>
            <w:r>
              <w:rPr>
                <w:rFonts w:hint="eastAsia" w:ascii="宋体" w:hAnsi="宋体"/>
                <w:color w:val="000000"/>
              </w:rPr>
              <w:t>二</w:t>
            </w:r>
            <w:r>
              <w:rPr>
                <w:rFonts w:hint="eastAsia" w:ascii="宋体" w:hAnsi="宋体"/>
                <w:color w:val="000000"/>
                <w:spacing w:val="-2"/>
              </w:rPr>
              <w:t>章</w:t>
            </w:r>
            <w:r>
              <w:rPr>
                <w:rFonts w:hint="eastAsia" w:ascii="宋体" w:hAnsi="宋体"/>
                <w:color w:val="000000"/>
              </w:rPr>
              <w:t>“</w:t>
            </w:r>
            <w:r>
              <w:rPr>
                <w:rFonts w:hint="eastAsia" w:ascii="宋体" w:hAnsi="宋体"/>
                <w:color w:val="000000"/>
                <w:spacing w:val="-2"/>
              </w:rPr>
              <w:t>投</w:t>
            </w:r>
            <w:r>
              <w:rPr>
                <w:rFonts w:hint="eastAsia" w:ascii="宋体" w:hAnsi="宋体"/>
                <w:color w:val="000000"/>
              </w:rPr>
              <w:t>标</w:t>
            </w:r>
            <w:r>
              <w:rPr>
                <w:rFonts w:hint="eastAsia" w:ascii="宋体" w:hAnsi="宋体"/>
                <w:color w:val="000000"/>
                <w:spacing w:val="-2"/>
              </w:rPr>
              <w:t>人</w:t>
            </w:r>
            <w:r>
              <w:rPr>
                <w:rFonts w:hint="eastAsia" w:ascii="宋体" w:hAnsi="宋体"/>
                <w:color w:val="000000"/>
              </w:rPr>
              <w:t>须知</w:t>
            </w:r>
            <w:r>
              <w:rPr>
                <w:rFonts w:hint="eastAsia" w:ascii="宋体" w:hAnsi="宋体"/>
                <w:color w:val="000000"/>
                <w:spacing w:val="-3"/>
              </w:rPr>
              <w:t>”</w:t>
            </w:r>
            <w:r>
              <w:rPr>
                <w:rFonts w:hint="eastAsia" w:ascii="宋体" w:hAnsi="宋体"/>
                <w:color w:val="000000"/>
              </w:rPr>
              <w:t>第</w:t>
            </w:r>
            <w:r>
              <w:rPr>
                <w:rFonts w:ascii="宋体" w:hAnsi="宋体"/>
                <w:color w:val="000000"/>
              </w:rPr>
              <w:t xml:space="preserve"> 1.3</w:t>
            </w:r>
            <w:r>
              <w:rPr>
                <w:rFonts w:ascii="宋体" w:hAnsi="宋体"/>
                <w:color w:val="000000"/>
                <w:spacing w:val="-2"/>
              </w:rPr>
              <w:t>.</w:t>
            </w:r>
            <w:r>
              <w:rPr>
                <w:rFonts w:ascii="宋体" w:hAnsi="宋体"/>
                <w:color w:val="000000"/>
              </w:rPr>
              <w:t xml:space="preserve">3 </w:t>
            </w:r>
            <w:r>
              <w:rPr>
                <w:rFonts w:hint="eastAsia" w:ascii="宋体" w:hAnsi="宋体"/>
                <w:color w:val="000000"/>
                <w:spacing w:val="-2"/>
              </w:rPr>
              <w:t>项</w:t>
            </w:r>
            <w:r>
              <w:rPr>
                <w:rFonts w:hint="eastAsia" w:ascii="宋体" w:hAnsi="宋体"/>
                <w:color w:val="000000"/>
              </w:rPr>
              <w:t>规定</w:t>
            </w:r>
          </w:p>
        </w:tc>
      </w:tr>
      <w:tr>
        <w:tblPrEx>
          <w:tblCellMar>
            <w:top w:w="0" w:type="dxa"/>
            <w:left w:w="0" w:type="dxa"/>
            <w:bottom w:w="0" w:type="dxa"/>
            <w:right w:w="0" w:type="dxa"/>
          </w:tblCellMar>
        </w:tblPrEx>
        <w:trPr>
          <w:trHeight w:val="431" w:hRule="exact"/>
          <w:jc w:val="center"/>
        </w:trPr>
        <w:tc>
          <w:tcPr>
            <w:tcW w:w="684" w:type="dxa"/>
            <w:vMerge w:val="continue"/>
            <w:tcBorders>
              <w:top w:val="nil"/>
              <w:left w:val="single" w:color="000000" w:sz="4" w:space="0"/>
              <w:bottom w:val="nil"/>
              <w:right w:val="single" w:color="000000" w:sz="4" w:space="0"/>
            </w:tcBorders>
          </w:tcPr>
          <w:p>
            <w:pPr>
              <w:autoSpaceDE w:val="0"/>
              <w:autoSpaceDN w:val="0"/>
              <w:spacing w:before="44"/>
              <w:ind w:left="102" w:right="-20"/>
              <w:rPr>
                <w:rFonts w:ascii="宋体" w:hAnsi="宋体"/>
                <w:color w:val="000000"/>
              </w:rPr>
            </w:pPr>
          </w:p>
        </w:tc>
        <w:tc>
          <w:tcPr>
            <w:tcW w:w="709" w:type="dxa"/>
            <w:vMerge w:val="continue"/>
            <w:tcBorders>
              <w:top w:val="nil"/>
              <w:left w:val="single" w:color="000000" w:sz="4" w:space="0"/>
              <w:bottom w:val="nil"/>
              <w:right w:val="single" w:color="000000" w:sz="4" w:space="0"/>
            </w:tcBorders>
          </w:tcPr>
          <w:p>
            <w:pPr>
              <w:autoSpaceDE w:val="0"/>
              <w:autoSpaceDN w:val="0"/>
              <w:spacing w:before="44"/>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4" w:leftChars="-2" w:right="-20"/>
              <w:jc w:val="center"/>
              <w:rPr>
                <w:rFonts w:ascii="宋体" w:hAnsi="宋体"/>
                <w:color w:val="000000"/>
              </w:rPr>
            </w:pPr>
            <w:r>
              <w:rPr>
                <w:rFonts w:hint="eastAsia" w:ascii="宋体" w:hAnsi="宋体"/>
                <w:color w:val="000000"/>
              </w:rPr>
              <w:t>投标</w:t>
            </w:r>
            <w:r>
              <w:rPr>
                <w:rFonts w:hint="eastAsia" w:ascii="宋体" w:hAnsi="宋体"/>
                <w:color w:val="000000"/>
                <w:spacing w:val="-2"/>
              </w:rPr>
              <w:t>有</w:t>
            </w:r>
            <w:r>
              <w:rPr>
                <w:rFonts w:hint="eastAsia" w:ascii="宋体" w:hAnsi="宋体"/>
                <w:color w:val="000000"/>
              </w:rPr>
              <w:t>效期</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符合</w:t>
            </w:r>
            <w:r>
              <w:rPr>
                <w:rFonts w:hint="eastAsia" w:ascii="宋体" w:hAnsi="宋体"/>
                <w:color w:val="000000"/>
                <w:spacing w:val="-2"/>
              </w:rPr>
              <w:t>第</w:t>
            </w:r>
            <w:r>
              <w:rPr>
                <w:rFonts w:hint="eastAsia" w:ascii="宋体" w:hAnsi="宋体"/>
                <w:color w:val="000000"/>
              </w:rPr>
              <w:t>二</w:t>
            </w:r>
            <w:r>
              <w:rPr>
                <w:rFonts w:hint="eastAsia" w:ascii="宋体" w:hAnsi="宋体"/>
                <w:color w:val="000000"/>
                <w:spacing w:val="-2"/>
              </w:rPr>
              <w:t>章</w:t>
            </w:r>
            <w:r>
              <w:rPr>
                <w:rFonts w:hint="eastAsia" w:ascii="宋体" w:hAnsi="宋体"/>
                <w:color w:val="000000"/>
              </w:rPr>
              <w:t>“</w:t>
            </w:r>
            <w:r>
              <w:rPr>
                <w:rFonts w:hint="eastAsia" w:ascii="宋体" w:hAnsi="宋体"/>
                <w:color w:val="000000"/>
                <w:spacing w:val="-2"/>
              </w:rPr>
              <w:t>投</w:t>
            </w:r>
            <w:r>
              <w:rPr>
                <w:rFonts w:hint="eastAsia" w:ascii="宋体" w:hAnsi="宋体"/>
                <w:color w:val="000000"/>
              </w:rPr>
              <w:t>标</w:t>
            </w:r>
            <w:r>
              <w:rPr>
                <w:rFonts w:hint="eastAsia" w:ascii="宋体" w:hAnsi="宋体"/>
                <w:color w:val="000000"/>
                <w:spacing w:val="-2"/>
              </w:rPr>
              <w:t>人</w:t>
            </w:r>
            <w:r>
              <w:rPr>
                <w:rFonts w:hint="eastAsia" w:ascii="宋体" w:hAnsi="宋体"/>
                <w:color w:val="000000"/>
              </w:rPr>
              <w:t>须知</w:t>
            </w:r>
            <w:r>
              <w:rPr>
                <w:rFonts w:hint="eastAsia" w:ascii="宋体" w:hAnsi="宋体"/>
                <w:color w:val="000000"/>
                <w:spacing w:val="-3"/>
              </w:rPr>
              <w:t>”</w:t>
            </w:r>
            <w:r>
              <w:rPr>
                <w:rFonts w:hint="eastAsia" w:ascii="宋体" w:hAnsi="宋体"/>
                <w:color w:val="000000"/>
              </w:rPr>
              <w:t>第</w:t>
            </w:r>
            <w:r>
              <w:rPr>
                <w:rFonts w:ascii="宋体" w:hAnsi="宋体"/>
                <w:color w:val="000000"/>
              </w:rPr>
              <w:t xml:space="preserve"> 3.3</w:t>
            </w:r>
            <w:r>
              <w:rPr>
                <w:rFonts w:ascii="宋体" w:hAnsi="宋体"/>
                <w:color w:val="000000"/>
                <w:spacing w:val="-2"/>
              </w:rPr>
              <w:t>.</w:t>
            </w:r>
            <w:r>
              <w:rPr>
                <w:rFonts w:ascii="宋体" w:hAnsi="宋体"/>
                <w:color w:val="000000"/>
              </w:rPr>
              <w:t xml:space="preserve">1 </w:t>
            </w:r>
            <w:r>
              <w:rPr>
                <w:rFonts w:hint="eastAsia" w:ascii="宋体" w:hAnsi="宋体"/>
                <w:color w:val="000000"/>
                <w:spacing w:val="-2"/>
              </w:rPr>
              <w:t>项</w:t>
            </w:r>
            <w:r>
              <w:rPr>
                <w:rFonts w:hint="eastAsia" w:ascii="宋体" w:hAnsi="宋体"/>
                <w:color w:val="000000"/>
              </w:rPr>
              <w:t>规定</w:t>
            </w:r>
          </w:p>
        </w:tc>
      </w:tr>
      <w:tr>
        <w:tblPrEx>
          <w:tblCellMar>
            <w:top w:w="0" w:type="dxa"/>
            <w:left w:w="0" w:type="dxa"/>
            <w:bottom w:w="0" w:type="dxa"/>
            <w:right w:w="0" w:type="dxa"/>
          </w:tblCellMar>
        </w:tblPrEx>
        <w:trPr>
          <w:trHeight w:val="679" w:hRule="exact"/>
          <w:jc w:val="center"/>
        </w:trPr>
        <w:tc>
          <w:tcPr>
            <w:tcW w:w="684" w:type="dxa"/>
            <w:vMerge w:val="continue"/>
            <w:tcBorders>
              <w:top w:val="nil"/>
              <w:left w:val="single" w:color="000000" w:sz="4" w:space="0"/>
              <w:bottom w:val="nil"/>
              <w:right w:val="single" w:color="000000" w:sz="4" w:space="0"/>
            </w:tcBorders>
          </w:tcPr>
          <w:p>
            <w:pPr>
              <w:autoSpaceDE w:val="0"/>
              <w:autoSpaceDN w:val="0"/>
              <w:spacing w:before="46"/>
              <w:ind w:left="102" w:right="-20"/>
              <w:rPr>
                <w:rFonts w:ascii="宋体" w:hAnsi="宋体"/>
                <w:color w:val="000000"/>
              </w:rPr>
            </w:pPr>
          </w:p>
        </w:tc>
        <w:tc>
          <w:tcPr>
            <w:tcW w:w="709" w:type="dxa"/>
            <w:vMerge w:val="continue"/>
            <w:tcBorders>
              <w:top w:val="nil"/>
              <w:left w:val="single" w:color="000000" w:sz="4" w:space="0"/>
              <w:bottom w:val="nil"/>
              <w:right w:val="single" w:color="000000" w:sz="4" w:space="0"/>
            </w:tcBorders>
          </w:tcPr>
          <w:p>
            <w:pPr>
              <w:autoSpaceDE w:val="0"/>
              <w:autoSpaceDN w:val="0"/>
              <w:spacing w:before="46"/>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ind w:left="-4" w:leftChars="-2" w:right="-20"/>
              <w:jc w:val="center"/>
              <w:rPr>
                <w:rFonts w:ascii="宋体" w:hAnsi="宋体"/>
                <w:color w:val="000000"/>
              </w:rPr>
            </w:pPr>
            <w:r>
              <w:rPr>
                <w:rFonts w:hint="eastAsia" w:ascii="宋体" w:hAnsi="宋体"/>
                <w:color w:val="000000"/>
              </w:rPr>
              <w:t>投标</w:t>
            </w:r>
            <w:r>
              <w:rPr>
                <w:rFonts w:hint="eastAsia" w:ascii="宋体" w:hAnsi="宋体"/>
                <w:color w:val="000000"/>
                <w:spacing w:val="-2"/>
              </w:rPr>
              <w:t>保</w:t>
            </w:r>
            <w:r>
              <w:rPr>
                <w:rFonts w:hint="eastAsia" w:ascii="宋体" w:hAnsi="宋体"/>
                <w:color w:val="000000"/>
              </w:rPr>
              <w:t>证金</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符合</w:t>
            </w:r>
            <w:r>
              <w:rPr>
                <w:rFonts w:hint="eastAsia" w:ascii="宋体" w:hAnsi="宋体"/>
                <w:color w:val="000000"/>
                <w:spacing w:val="-2"/>
              </w:rPr>
              <w:t>第</w:t>
            </w:r>
            <w:r>
              <w:rPr>
                <w:rFonts w:hint="eastAsia" w:ascii="宋体" w:hAnsi="宋体"/>
                <w:color w:val="000000"/>
              </w:rPr>
              <w:t>二</w:t>
            </w:r>
            <w:r>
              <w:rPr>
                <w:rFonts w:hint="eastAsia" w:ascii="宋体" w:hAnsi="宋体"/>
                <w:color w:val="000000"/>
                <w:spacing w:val="-2"/>
              </w:rPr>
              <w:t>章</w:t>
            </w:r>
            <w:r>
              <w:rPr>
                <w:rFonts w:hint="eastAsia" w:ascii="宋体" w:hAnsi="宋体"/>
                <w:color w:val="000000"/>
              </w:rPr>
              <w:t>“</w:t>
            </w:r>
            <w:r>
              <w:rPr>
                <w:rFonts w:hint="eastAsia" w:ascii="宋体" w:hAnsi="宋体"/>
                <w:color w:val="000000"/>
                <w:spacing w:val="-2"/>
              </w:rPr>
              <w:t>投</w:t>
            </w:r>
            <w:r>
              <w:rPr>
                <w:rFonts w:hint="eastAsia" w:ascii="宋体" w:hAnsi="宋体"/>
                <w:color w:val="000000"/>
              </w:rPr>
              <w:t>标</w:t>
            </w:r>
            <w:r>
              <w:rPr>
                <w:rFonts w:hint="eastAsia" w:ascii="宋体" w:hAnsi="宋体"/>
                <w:color w:val="000000"/>
                <w:spacing w:val="-2"/>
              </w:rPr>
              <w:t>人</w:t>
            </w:r>
            <w:r>
              <w:rPr>
                <w:rFonts w:hint="eastAsia" w:ascii="宋体" w:hAnsi="宋体"/>
                <w:color w:val="000000"/>
              </w:rPr>
              <w:t>须知</w:t>
            </w:r>
            <w:r>
              <w:rPr>
                <w:rFonts w:hint="eastAsia" w:ascii="宋体" w:hAnsi="宋体"/>
                <w:color w:val="000000"/>
                <w:spacing w:val="-3"/>
              </w:rPr>
              <w:t>”</w:t>
            </w:r>
            <w:r>
              <w:rPr>
                <w:rFonts w:hint="eastAsia" w:ascii="宋体" w:hAnsi="宋体"/>
                <w:color w:val="000000"/>
              </w:rPr>
              <w:t>第</w:t>
            </w:r>
            <w:r>
              <w:rPr>
                <w:rFonts w:ascii="宋体" w:hAnsi="宋体"/>
                <w:color w:val="000000"/>
              </w:rPr>
              <w:t xml:space="preserve"> 3.4</w:t>
            </w:r>
            <w:r>
              <w:rPr>
                <w:rFonts w:ascii="宋体" w:hAnsi="宋体"/>
                <w:color w:val="000000"/>
                <w:spacing w:val="-2"/>
              </w:rPr>
              <w:t>.</w:t>
            </w:r>
            <w:r>
              <w:rPr>
                <w:rFonts w:ascii="宋体" w:hAnsi="宋体"/>
                <w:color w:val="000000"/>
              </w:rPr>
              <w:t xml:space="preserve">1 </w:t>
            </w:r>
            <w:r>
              <w:rPr>
                <w:rFonts w:hint="eastAsia" w:ascii="宋体" w:hAnsi="宋体"/>
                <w:color w:val="000000"/>
                <w:spacing w:val="-2"/>
              </w:rPr>
              <w:t>项</w:t>
            </w:r>
            <w:r>
              <w:rPr>
                <w:rFonts w:hint="eastAsia" w:ascii="宋体" w:hAnsi="宋体"/>
                <w:color w:val="000000"/>
              </w:rPr>
              <w:t>规定；其缴纳情况以广州公共资源交易中心数据库记录的信息为准。</w:t>
            </w:r>
          </w:p>
        </w:tc>
      </w:tr>
      <w:tr>
        <w:trPr>
          <w:trHeight w:val="598" w:hRule="exact"/>
          <w:jc w:val="center"/>
        </w:trPr>
        <w:tc>
          <w:tcPr>
            <w:tcW w:w="684" w:type="dxa"/>
            <w:vMerge w:val="continue"/>
            <w:tcBorders>
              <w:top w:val="nil"/>
              <w:left w:val="single" w:color="000000" w:sz="4" w:space="0"/>
              <w:bottom w:val="nil"/>
              <w:right w:val="single" w:color="000000" w:sz="4" w:space="0"/>
            </w:tcBorders>
          </w:tcPr>
          <w:p>
            <w:pPr>
              <w:autoSpaceDE w:val="0"/>
              <w:autoSpaceDN w:val="0"/>
              <w:spacing w:before="44"/>
              <w:ind w:left="102" w:right="-20"/>
              <w:rPr>
                <w:rFonts w:ascii="宋体" w:hAnsi="宋体"/>
                <w:color w:val="000000"/>
              </w:rPr>
            </w:pPr>
          </w:p>
        </w:tc>
        <w:tc>
          <w:tcPr>
            <w:tcW w:w="709" w:type="dxa"/>
            <w:vMerge w:val="continue"/>
            <w:tcBorders>
              <w:top w:val="nil"/>
              <w:left w:val="single" w:color="000000" w:sz="4" w:space="0"/>
              <w:bottom w:val="nil"/>
              <w:right w:val="single" w:color="000000" w:sz="4" w:space="0"/>
            </w:tcBorders>
          </w:tcPr>
          <w:p>
            <w:pPr>
              <w:autoSpaceDE w:val="0"/>
              <w:autoSpaceDN w:val="0"/>
              <w:spacing w:before="44"/>
              <w:ind w:left="102" w:right="-20"/>
              <w:rPr>
                <w:rFonts w:ascii="宋体" w:hAnsi="宋体"/>
                <w:color w:val="000000"/>
              </w:rPr>
            </w:pPr>
          </w:p>
        </w:tc>
        <w:tc>
          <w:tcPr>
            <w:tcW w:w="11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4" w:leftChars="-2" w:right="-20"/>
              <w:jc w:val="center"/>
              <w:rPr>
                <w:rFonts w:ascii="宋体" w:hAnsi="宋体"/>
                <w:color w:val="000000"/>
              </w:rPr>
            </w:pPr>
            <w:r>
              <w:rPr>
                <w:rFonts w:hint="eastAsia" w:ascii="宋体" w:hAnsi="宋体"/>
                <w:color w:val="000000"/>
              </w:rPr>
              <w:t>串通投标情形</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left="102"/>
              <w:jc w:val="left"/>
              <w:rPr>
                <w:rFonts w:ascii="宋体" w:hAnsi="宋体"/>
                <w:color w:val="000000"/>
              </w:rPr>
            </w:pPr>
            <w:r>
              <w:rPr>
                <w:rFonts w:hint="eastAsia" w:ascii="宋体" w:hAnsi="宋体"/>
                <w:color w:val="000000"/>
              </w:rPr>
              <w:t>不存在串通投标情形（串通投标情形以《中华人民共和国招标投标法实施条例》的规定为准）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300" w:type="dxa"/>
          <w:trHeight w:val="100" w:hRule="atLeast"/>
          <w:jc w:val="center"/>
        </w:trPr>
        <w:tc>
          <w:tcPr>
            <w:tcW w:w="1393" w:type="dxa"/>
            <w:gridSpan w:val="2"/>
            <w:tcBorders>
              <w:top w:val="single" w:color="auto" w:sz="4" w:space="0"/>
            </w:tcBorders>
          </w:tcPr>
          <w:p>
            <w:pPr>
              <w:snapToGrid w:val="0"/>
              <w:rPr>
                <w:rFonts w:ascii="宋体" w:hAnsi="宋体"/>
                <w:color w:val="000000"/>
              </w:rPr>
            </w:pPr>
          </w:p>
        </w:tc>
      </w:tr>
    </w:tbl>
    <w:p>
      <w:pPr>
        <w:snapToGrid w:val="0"/>
        <w:ind w:firstLine="420" w:firstLineChars="200"/>
        <w:rPr>
          <w:rFonts w:ascii="宋体" w:hAnsi="宋体"/>
          <w:color w:val="000000"/>
        </w:rPr>
      </w:pPr>
    </w:p>
    <w:p>
      <w:pPr>
        <w:snapToGrid w:val="0"/>
        <w:ind w:firstLine="420" w:firstLineChars="200"/>
        <w:rPr>
          <w:rFonts w:ascii="宋体" w:hAnsi="宋体"/>
          <w:color w:val="000000"/>
        </w:rPr>
      </w:pPr>
    </w:p>
    <w:tbl>
      <w:tblPr>
        <w:tblStyle w:val="24"/>
        <w:tblW w:w="9977" w:type="dxa"/>
        <w:jc w:val="center"/>
        <w:tblLayout w:type="fixed"/>
        <w:tblCellMar>
          <w:top w:w="0" w:type="dxa"/>
          <w:left w:w="0" w:type="dxa"/>
          <w:bottom w:w="0" w:type="dxa"/>
          <w:right w:w="0" w:type="dxa"/>
        </w:tblCellMar>
      </w:tblPr>
      <w:tblGrid>
        <w:gridCol w:w="1637"/>
        <w:gridCol w:w="1161"/>
        <w:gridCol w:w="7179"/>
      </w:tblGrid>
      <w:tr>
        <w:tblPrEx>
          <w:tblCellMar>
            <w:top w:w="0" w:type="dxa"/>
            <w:left w:w="0" w:type="dxa"/>
            <w:bottom w:w="0" w:type="dxa"/>
            <w:right w:w="0" w:type="dxa"/>
          </w:tblCellMar>
        </w:tblPrEx>
        <w:trPr>
          <w:trHeight w:val="552" w:hRule="exact"/>
          <w:jc w:val="center"/>
        </w:trPr>
        <w:tc>
          <w:tcPr>
            <w:tcW w:w="16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6"/>
              <w:jc w:val="center"/>
              <w:rPr>
                <w:rFonts w:ascii="宋体" w:hAnsi="宋体"/>
                <w:b/>
              </w:rPr>
            </w:pPr>
            <w:r>
              <w:rPr>
                <w:rFonts w:hint="eastAsia" w:ascii="宋体" w:hAnsi="宋体"/>
                <w:b/>
              </w:rPr>
              <w:t>条款号</w:t>
            </w:r>
          </w:p>
        </w:tc>
        <w:tc>
          <w:tcPr>
            <w:tcW w:w="1161" w:type="dxa"/>
            <w:tcBorders>
              <w:top w:val="single" w:color="000000" w:sz="4" w:space="0"/>
              <w:left w:val="single" w:color="000000" w:sz="4" w:space="0"/>
              <w:bottom w:val="single" w:color="000000" w:sz="4" w:space="0"/>
              <w:right w:val="single" w:color="000000" w:sz="4" w:space="0"/>
            </w:tcBorders>
            <w:vAlign w:val="center"/>
          </w:tcPr>
          <w:p>
            <w:pPr>
              <w:tabs>
                <w:tab w:val="left" w:pos="2403"/>
              </w:tabs>
              <w:autoSpaceDE w:val="0"/>
              <w:autoSpaceDN w:val="0"/>
              <w:spacing w:before="78"/>
              <w:ind w:left="-6"/>
              <w:jc w:val="center"/>
              <w:rPr>
                <w:rFonts w:ascii="宋体" w:hAnsi="宋体"/>
                <w:b/>
              </w:rPr>
            </w:pPr>
            <w:r>
              <w:rPr>
                <w:rFonts w:hint="eastAsia" w:ascii="宋体" w:hAnsi="宋体"/>
                <w:b/>
              </w:rPr>
              <w:t>条款内容</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left="67" w:leftChars="32" w:right="76" w:rightChars="36"/>
              <w:jc w:val="center"/>
              <w:rPr>
                <w:rFonts w:ascii="宋体" w:hAnsi="宋体"/>
                <w:b/>
              </w:rPr>
            </w:pPr>
            <w:r>
              <w:rPr>
                <w:rFonts w:hint="eastAsia" w:ascii="宋体" w:hAnsi="宋体"/>
                <w:b/>
              </w:rPr>
              <w:t>编列内容</w:t>
            </w:r>
          </w:p>
        </w:tc>
      </w:tr>
      <w:tr>
        <w:tblPrEx>
          <w:tblCellMar>
            <w:top w:w="0" w:type="dxa"/>
            <w:left w:w="0" w:type="dxa"/>
            <w:bottom w:w="0" w:type="dxa"/>
            <w:right w:w="0" w:type="dxa"/>
          </w:tblCellMar>
        </w:tblPrEx>
        <w:trPr>
          <w:trHeight w:val="1991" w:hRule="exact"/>
          <w:jc w:val="center"/>
        </w:trPr>
        <w:tc>
          <w:tcPr>
            <w:tcW w:w="16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right="6"/>
              <w:jc w:val="center"/>
              <w:rPr>
                <w:rFonts w:ascii="宋体" w:hAnsi="宋体"/>
              </w:rPr>
            </w:pPr>
            <w:r>
              <w:rPr>
                <w:rFonts w:ascii="宋体" w:hAnsi="宋体"/>
              </w:rPr>
              <w:t>2.2.1</w:t>
            </w:r>
          </w:p>
        </w:tc>
        <w:tc>
          <w:tcPr>
            <w:tcW w:w="1161" w:type="dxa"/>
            <w:tcBorders>
              <w:top w:val="single" w:color="000000" w:sz="4" w:space="0"/>
              <w:left w:val="single" w:color="000000" w:sz="4" w:space="0"/>
              <w:bottom w:val="single" w:color="000000" w:sz="4" w:space="0"/>
              <w:right w:val="single" w:color="000000" w:sz="4" w:space="0"/>
            </w:tcBorders>
            <w:vAlign w:val="center"/>
          </w:tcPr>
          <w:p>
            <w:pPr>
              <w:tabs>
                <w:tab w:val="left" w:pos="2403"/>
              </w:tabs>
              <w:autoSpaceDE w:val="0"/>
              <w:autoSpaceDN w:val="0"/>
              <w:jc w:val="center"/>
              <w:rPr>
                <w:rFonts w:ascii="宋体" w:hAnsi="宋体"/>
              </w:rPr>
            </w:pPr>
            <w:r>
              <w:rPr>
                <w:rFonts w:hint="eastAsia" w:ascii="宋体" w:hAnsi="宋体"/>
              </w:rPr>
              <w:t>分值</w:t>
            </w:r>
            <w:r>
              <w:rPr>
                <w:rFonts w:hint="eastAsia" w:ascii="宋体" w:hAnsi="宋体"/>
                <w:spacing w:val="-2"/>
              </w:rPr>
              <w:t>构</w:t>
            </w:r>
            <w:r>
              <w:rPr>
                <w:rFonts w:hint="eastAsia" w:ascii="宋体" w:hAnsi="宋体"/>
              </w:rPr>
              <w:t>成</w:t>
            </w:r>
          </w:p>
          <w:p>
            <w:pPr>
              <w:tabs>
                <w:tab w:val="left" w:pos="2403"/>
              </w:tabs>
              <w:autoSpaceDE w:val="0"/>
              <w:autoSpaceDN w:val="0"/>
              <w:spacing w:before="78"/>
              <w:ind w:left="-6"/>
              <w:jc w:val="center"/>
              <w:rPr>
                <w:rFonts w:ascii="宋体" w:hAnsi="宋体"/>
              </w:rPr>
            </w:pPr>
            <w:r>
              <w:rPr>
                <w:rFonts w:ascii="宋体" w:hAnsi="宋体"/>
                <w:spacing w:val="-1"/>
              </w:rPr>
              <w:t>(</w:t>
            </w:r>
            <w:r>
              <w:rPr>
                <w:rFonts w:hint="eastAsia" w:ascii="宋体" w:hAnsi="宋体"/>
              </w:rPr>
              <w:t>总分</w:t>
            </w:r>
            <w:r>
              <w:rPr>
                <w:rFonts w:ascii="宋体" w:hAnsi="宋体"/>
              </w:rPr>
              <w:t xml:space="preserve"> 1</w:t>
            </w:r>
            <w:r>
              <w:rPr>
                <w:rFonts w:ascii="宋体" w:hAnsi="宋体"/>
                <w:spacing w:val="-2"/>
              </w:rPr>
              <w:t>0</w:t>
            </w:r>
            <w:r>
              <w:rPr>
                <w:rFonts w:ascii="宋体" w:hAnsi="宋体"/>
              </w:rPr>
              <w:t xml:space="preserve">0 </w:t>
            </w:r>
            <w:r>
              <w:rPr>
                <w:rFonts w:hint="eastAsia" w:ascii="宋体" w:hAnsi="宋体"/>
              </w:rPr>
              <w:t>分</w:t>
            </w:r>
            <w:r>
              <w:rPr>
                <w:rFonts w:ascii="宋体" w:hAnsi="宋体"/>
              </w:rPr>
              <w:t>)</w:t>
            </w:r>
          </w:p>
        </w:tc>
        <w:tc>
          <w:tcPr>
            <w:tcW w:w="7179"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left="67" w:leftChars="32" w:right="76" w:rightChars="36"/>
              <w:rPr>
                <w:rFonts w:ascii="宋体" w:hAnsi="宋体"/>
                <w:u w:val="single"/>
              </w:rPr>
            </w:pPr>
            <w:r>
              <w:rPr>
                <w:rFonts w:hint="eastAsia" w:ascii="宋体" w:hAnsi="宋体"/>
                <w:u w:val="single"/>
              </w:rPr>
              <w:t>投标人总得分</w:t>
            </w:r>
            <w:r>
              <w:rPr>
                <w:rFonts w:ascii="宋体" w:hAnsi="宋体"/>
                <w:u w:val="single"/>
              </w:rPr>
              <w:t>=</w:t>
            </w:r>
            <w:r>
              <w:rPr>
                <w:rFonts w:hint="eastAsia" w:ascii="宋体" w:hAnsi="宋体" w:cs="宋体"/>
                <w:u w:val="single"/>
              </w:rPr>
              <w:t>资信</w:t>
            </w:r>
            <w:r>
              <w:rPr>
                <w:rFonts w:hint="eastAsia" w:ascii="宋体" w:hAnsi="宋体" w:cs="宋体"/>
                <w:spacing w:val="-2"/>
                <w:u w:val="single"/>
              </w:rPr>
              <w:t>业</w:t>
            </w:r>
            <w:r>
              <w:rPr>
                <w:rFonts w:hint="eastAsia" w:ascii="宋体" w:hAnsi="宋体" w:cs="宋体"/>
                <w:u w:val="single"/>
              </w:rPr>
              <w:t>绩</w:t>
            </w:r>
            <w:r>
              <w:rPr>
                <w:rFonts w:hint="eastAsia" w:ascii="宋体" w:hAnsi="宋体" w:cs="宋体"/>
                <w:spacing w:val="-2"/>
                <w:u w:val="single"/>
              </w:rPr>
              <w:t>部</w:t>
            </w:r>
            <w:r>
              <w:rPr>
                <w:rFonts w:hint="eastAsia" w:ascii="宋体" w:hAnsi="宋体" w:cs="宋体"/>
                <w:u w:val="single"/>
              </w:rPr>
              <w:t>分+技术</w:t>
            </w:r>
            <w:r>
              <w:rPr>
                <w:rFonts w:hint="eastAsia" w:ascii="宋体" w:hAnsi="宋体" w:cs="宋体"/>
                <w:spacing w:val="-2"/>
                <w:u w:val="single"/>
              </w:rPr>
              <w:t>部</w:t>
            </w:r>
            <w:r>
              <w:rPr>
                <w:rFonts w:hint="eastAsia" w:ascii="宋体" w:hAnsi="宋体" w:cs="宋体"/>
                <w:u w:val="single"/>
              </w:rPr>
              <w:t>分+投标</w:t>
            </w:r>
            <w:r>
              <w:rPr>
                <w:rFonts w:hint="eastAsia" w:ascii="宋体" w:hAnsi="宋体" w:cs="宋体"/>
                <w:spacing w:val="-2"/>
                <w:u w:val="single"/>
              </w:rPr>
              <w:t>报</w:t>
            </w:r>
            <w:r>
              <w:rPr>
                <w:rFonts w:hint="eastAsia" w:ascii="宋体" w:hAnsi="宋体" w:cs="宋体"/>
                <w:u w:val="single"/>
              </w:rPr>
              <w:t>价</w:t>
            </w:r>
            <w:r>
              <w:rPr>
                <w:rFonts w:hint="eastAsia" w:ascii="宋体" w:hAnsi="宋体"/>
              </w:rPr>
              <w:t>；</w:t>
            </w:r>
          </w:p>
          <w:p>
            <w:pPr>
              <w:autoSpaceDE w:val="0"/>
              <w:autoSpaceDN w:val="0"/>
              <w:ind w:left="67" w:leftChars="32" w:right="76" w:rightChars="36"/>
              <w:rPr>
                <w:rFonts w:ascii="宋体" w:hAnsi="宋体"/>
              </w:rPr>
            </w:pPr>
            <w:r>
              <w:rPr>
                <w:rFonts w:hint="eastAsia" w:ascii="宋体" w:hAnsi="宋体"/>
              </w:rPr>
              <w:t>其中</w:t>
            </w:r>
            <w:r>
              <w:rPr>
                <w:rFonts w:hint="eastAsia" w:ascii="宋体" w:hAnsi="宋体" w:cs="宋体"/>
              </w:rPr>
              <w:t>综合得分采用百分制评分法</w:t>
            </w:r>
            <w:r>
              <w:rPr>
                <w:rFonts w:hint="eastAsia" w:ascii="宋体" w:hAnsi="宋体"/>
              </w:rPr>
              <w:t>，主要对投标人的以下方面进行评议：</w:t>
            </w:r>
          </w:p>
          <w:p>
            <w:pPr>
              <w:autoSpaceDE w:val="0"/>
              <w:autoSpaceDN w:val="0"/>
              <w:ind w:left="67" w:leftChars="32" w:right="76" w:rightChars="36"/>
              <w:rPr>
                <w:rFonts w:ascii="宋体" w:hAnsi="宋体"/>
              </w:rPr>
            </w:pPr>
            <w:r>
              <w:rPr>
                <w:rFonts w:hint="eastAsia" w:ascii="宋体" w:hAnsi="宋体" w:cs="宋体"/>
              </w:rPr>
              <w:t>资信</w:t>
            </w:r>
            <w:r>
              <w:rPr>
                <w:rFonts w:hint="eastAsia" w:ascii="宋体" w:hAnsi="宋体" w:cs="宋体"/>
                <w:spacing w:val="-2"/>
              </w:rPr>
              <w:t>业</w:t>
            </w:r>
            <w:r>
              <w:rPr>
                <w:rFonts w:hint="eastAsia" w:ascii="宋体" w:hAnsi="宋体" w:cs="宋体"/>
              </w:rPr>
              <w:t>绩</w:t>
            </w:r>
            <w:r>
              <w:rPr>
                <w:rFonts w:hint="eastAsia" w:ascii="宋体" w:hAnsi="宋体" w:cs="宋体"/>
                <w:spacing w:val="-2"/>
              </w:rPr>
              <w:t>部</w:t>
            </w:r>
            <w:r>
              <w:rPr>
                <w:rFonts w:hint="eastAsia" w:ascii="宋体" w:hAnsi="宋体" w:cs="宋体"/>
              </w:rPr>
              <w:t>分</w:t>
            </w:r>
            <w:r>
              <w:rPr>
                <w:rFonts w:hint="eastAsia" w:ascii="宋体" w:hAnsi="宋体"/>
                <w:spacing w:val="-2"/>
              </w:rPr>
              <w:t>：</w:t>
            </w:r>
            <w:r>
              <w:rPr>
                <w:rFonts w:hint="eastAsia" w:ascii="宋体" w:hAnsi="宋体"/>
                <w:spacing w:val="-2"/>
                <w:u w:val="single"/>
              </w:rPr>
              <w:t>6</w:t>
            </w:r>
            <w:r>
              <w:rPr>
                <w:rFonts w:hint="eastAsia" w:ascii="宋体" w:hAnsi="宋体"/>
                <w:spacing w:val="-2"/>
                <w:u w:val="single"/>
                <w:lang w:val="en-US" w:eastAsia="zh-CN"/>
              </w:rPr>
              <w:t>0</w:t>
            </w:r>
            <w:r>
              <w:rPr>
                <w:rFonts w:hint="eastAsia" w:ascii="宋体" w:hAnsi="宋体"/>
              </w:rPr>
              <w:t>分</w:t>
            </w:r>
          </w:p>
          <w:p>
            <w:pPr>
              <w:autoSpaceDE w:val="0"/>
              <w:autoSpaceDN w:val="0"/>
              <w:ind w:left="67" w:leftChars="32" w:right="76" w:rightChars="36"/>
              <w:rPr>
                <w:rFonts w:ascii="宋体" w:hAnsi="宋体"/>
              </w:rPr>
            </w:pPr>
            <w:r>
              <w:rPr>
                <w:rFonts w:hint="eastAsia" w:ascii="宋体" w:hAnsi="宋体" w:cs="宋体"/>
              </w:rPr>
              <w:t>技术</w:t>
            </w:r>
            <w:r>
              <w:rPr>
                <w:rFonts w:hint="eastAsia" w:ascii="宋体" w:hAnsi="宋体" w:cs="宋体"/>
                <w:spacing w:val="-2"/>
              </w:rPr>
              <w:t>部</w:t>
            </w:r>
            <w:r>
              <w:rPr>
                <w:rFonts w:hint="eastAsia" w:ascii="宋体" w:hAnsi="宋体" w:cs="宋体"/>
              </w:rPr>
              <w:t>分</w:t>
            </w:r>
            <w:r>
              <w:rPr>
                <w:rFonts w:hint="eastAsia" w:ascii="宋体" w:hAnsi="宋体"/>
                <w:spacing w:val="-2"/>
              </w:rPr>
              <w:t>：</w:t>
            </w:r>
            <w:r>
              <w:rPr>
                <w:rFonts w:hint="eastAsia" w:ascii="宋体" w:hAnsi="宋体"/>
                <w:u w:val="single"/>
                <w:lang w:val="en-US" w:eastAsia="zh-CN"/>
              </w:rPr>
              <w:t>30</w:t>
            </w:r>
            <w:r>
              <w:rPr>
                <w:rFonts w:hint="eastAsia" w:ascii="宋体" w:hAnsi="宋体"/>
              </w:rPr>
              <w:t>分</w:t>
            </w:r>
          </w:p>
          <w:p>
            <w:pPr>
              <w:autoSpaceDE w:val="0"/>
              <w:autoSpaceDN w:val="0"/>
              <w:ind w:left="67" w:leftChars="32" w:right="76" w:rightChars="36"/>
              <w:rPr>
                <w:rFonts w:ascii="宋体" w:hAnsi="宋体"/>
              </w:rPr>
            </w:pPr>
            <w:r>
              <w:rPr>
                <w:rFonts w:hint="eastAsia" w:ascii="宋体" w:hAnsi="宋体" w:cs="宋体"/>
              </w:rPr>
              <w:t>投标</w:t>
            </w:r>
            <w:r>
              <w:rPr>
                <w:rFonts w:hint="eastAsia" w:ascii="宋体" w:hAnsi="宋体" w:cs="宋体"/>
                <w:spacing w:val="-2"/>
              </w:rPr>
              <w:t>报</w:t>
            </w:r>
            <w:r>
              <w:rPr>
                <w:rFonts w:hint="eastAsia" w:ascii="宋体" w:hAnsi="宋体" w:cs="宋体"/>
              </w:rPr>
              <w:t>价</w:t>
            </w:r>
            <w:r>
              <w:rPr>
                <w:rFonts w:hint="eastAsia" w:ascii="宋体" w:hAnsi="宋体"/>
                <w:spacing w:val="-2"/>
              </w:rPr>
              <w:t>：</w:t>
            </w:r>
            <w:r>
              <w:rPr>
                <w:rFonts w:hint="eastAsia" w:ascii="宋体" w:hAnsi="宋体"/>
                <w:u w:val="single"/>
              </w:rPr>
              <w:t>10</w:t>
            </w:r>
            <w:r>
              <w:rPr>
                <w:rFonts w:hint="eastAsia" w:ascii="宋体" w:hAnsi="宋体"/>
              </w:rPr>
              <w:t>分</w:t>
            </w:r>
          </w:p>
        </w:tc>
      </w:tr>
      <w:tr>
        <w:tblPrEx>
          <w:tblCellMar>
            <w:top w:w="0" w:type="dxa"/>
            <w:left w:w="0" w:type="dxa"/>
            <w:bottom w:w="0" w:type="dxa"/>
            <w:right w:w="0" w:type="dxa"/>
          </w:tblCellMar>
        </w:tblPrEx>
        <w:trPr>
          <w:trHeight w:val="2511" w:hRule="exact"/>
          <w:jc w:val="center"/>
        </w:trPr>
        <w:tc>
          <w:tcPr>
            <w:tcW w:w="16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2" w:leftChars="20" w:right="42" w:rightChars="20"/>
              <w:jc w:val="center"/>
              <w:rPr>
                <w:rFonts w:hAnsi="宋体" w:cs="宋体"/>
                <w:w w:val="99"/>
              </w:rPr>
            </w:pPr>
            <w:r>
              <w:rPr>
                <w:rFonts w:hint="eastAsia" w:hAnsi="宋体" w:cs="宋体"/>
                <w:w w:val="99"/>
              </w:rPr>
              <w:t>2.2.2</w:t>
            </w:r>
          </w:p>
        </w:tc>
        <w:tc>
          <w:tcPr>
            <w:tcW w:w="11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2" w:leftChars="20" w:right="42" w:rightChars="20"/>
              <w:jc w:val="center"/>
              <w:rPr>
                <w:rFonts w:hAnsi="宋体" w:cs="宋体"/>
              </w:rPr>
            </w:pPr>
            <w:r>
              <w:rPr>
                <w:rFonts w:hint="eastAsia" w:hAnsi="宋体" w:cs="宋体"/>
              </w:rPr>
              <w:t>评标基准价计算方法</w:t>
            </w:r>
          </w:p>
        </w:tc>
        <w:tc>
          <w:tcPr>
            <w:tcW w:w="7179" w:type="dxa"/>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2" w:leftChars="20" w:right="42" w:rightChars="20"/>
              <w:rPr>
                <w:rFonts w:hAnsi="宋体" w:cs="宋体"/>
              </w:rPr>
            </w:pPr>
            <w:r>
              <w:rPr>
                <w:rFonts w:hint="eastAsia" w:hAnsi="宋体" w:cs="宋体"/>
              </w:rPr>
              <w:t>当通过初步评审在位于[最高投标限价×</w:t>
            </w:r>
            <w:r>
              <w:rPr>
                <w:rFonts w:hAnsi="宋体" w:cs="宋体"/>
              </w:rPr>
              <w:t>90</w:t>
            </w:r>
            <w:r>
              <w:rPr>
                <w:rFonts w:hint="eastAsia" w:hAnsi="宋体" w:cs="宋体"/>
              </w:rPr>
              <w:t>%，最高投标限价]区间的投标价中的有效投标人大于或等于5名时，所有入围的有效投标价中去掉一个最高价和一个最低价，取余下有效投标价的算术平均值的作为评标参考价。当通过初步评审在位于[最高投标限价×</w:t>
            </w:r>
            <w:r>
              <w:rPr>
                <w:rFonts w:hAnsi="宋体" w:cs="宋体"/>
              </w:rPr>
              <w:t>90</w:t>
            </w:r>
            <w:r>
              <w:rPr>
                <w:rFonts w:hint="eastAsia" w:hAnsi="宋体" w:cs="宋体"/>
              </w:rPr>
              <w:t>%，最高投标限价]区间的投标价中的有效投标人小于5名时，取所有入围的有效投标价的算术平均值的作为评标参考价。若当通过初步评审没有投标价位于[最高投标限价×</w:t>
            </w:r>
            <w:r>
              <w:rPr>
                <w:rFonts w:hAnsi="宋体" w:cs="宋体"/>
              </w:rPr>
              <w:t>90</w:t>
            </w:r>
            <w:r>
              <w:rPr>
                <w:rFonts w:hint="eastAsia" w:hAnsi="宋体" w:cs="宋体"/>
              </w:rPr>
              <w:t>%，最高投标限价]区间的有效投标人，所有投标人的报价得分为0分。</w:t>
            </w:r>
          </w:p>
        </w:tc>
      </w:tr>
      <w:tr>
        <w:tblPrEx>
          <w:tblCellMar>
            <w:top w:w="0" w:type="dxa"/>
            <w:left w:w="0" w:type="dxa"/>
            <w:bottom w:w="0" w:type="dxa"/>
            <w:right w:w="0" w:type="dxa"/>
          </w:tblCellMar>
        </w:tblPrEx>
        <w:trPr>
          <w:trHeight w:val="1991" w:hRule="exact"/>
          <w:jc w:val="center"/>
        </w:trPr>
        <w:tc>
          <w:tcPr>
            <w:tcW w:w="16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2" w:leftChars="20" w:right="42" w:rightChars="20"/>
              <w:jc w:val="center"/>
              <w:rPr>
                <w:rFonts w:hAnsi="宋体" w:cs="宋体"/>
                <w:w w:val="99"/>
              </w:rPr>
            </w:pPr>
            <w:r>
              <w:rPr>
                <w:rFonts w:hint="eastAsia" w:hAnsi="宋体" w:cs="宋体"/>
                <w:w w:val="99"/>
              </w:rPr>
              <w:t>2.2.3</w:t>
            </w:r>
          </w:p>
        </w:tc>
        <w:tc>
          <w:tcPr>
            <w:tcW w:w="11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auto"/>
              <w:ind w:left="42" w:leftChars="20" w:right="42" w:rightChars="20"/>
              <w:jc w:val="center"/>
              <w:rPr>
                <w:rFonts w:hAnsi="宋体" w:cs="宋体"/>
              </w:rPr>
            </w:pPr>
            <w:r>
              <w:rPr>
                <w:rFonts w:hint="eastAsia" w:hAnsi="宋体" w:cs="宋体"/>
              </w:rPr>
              <w:t>投标报价的偏差率计算公式</w:t>
            </w:r>
          </w:p>
        </w:tc>
        <w:tc>
          <w:tcPr>
            <w:tcW w:w="7179" w:type="dxa"/>
            <w:tcBorders>
              <w:top w:val="single" w:color="000000" w:sz="4" w:space="0"/>
              <w:left w:val="single" w:color="000000" w:sz="4" w:space="0"/>
              <w:bottom w:val="single" w:color="000000" w:sz="4" w:space="0"/>
              <w:right w:val="single" w:color="000000" w:sz="4" w:space="0"/>
            </w:tcBorders>
            <w:vAlign w:val="bottom"/>
          </w:tcPr>
          <w:p>
            <w:pPr>
              <w:adjustRightInd w:val="0"/>
              <w:snapToGrid w:val="0"/>
              <w:spacing w:line="300" w:lineRule="auto"/>
              <w:ind w:left="42" w:leftChars="20" w:right="42" w:rightChars="20"/>
              <w:rPr>
                <w:rFonts w:hAnsi="宋体" w:cs="宋体"/>
              </w:rPr>
            </w:pPr>
            <w:r>
              <w:rPr>
                <w:rFonts w:hint="eastAsia" w:hAnsi="宋体" w:cs="宋体"/>
              </w:rPr>
              <w:t>偏差率=100 × ︱（有效投标报价 -评标基准价）︱/评标基准价</w:t>
            </w:r>
          </w:p>
          <w:p>
            <w:pPr>
              <w:adjustRightInd w:val="0"/>
              <w:snapToGrid w:val="0"/>
              <w:spacing w:line="300" w:lineRule="auto"/>
              <w:ind w:left="42" w:leftChars="20" w:right="42" w:rightChars="20"/>
              <w:rPr>
                <w:rFonts w:hAnsi="宋体" w:cs="宋体"/>
              </w:rPr>
            </w:pPr>
            <w:r>
              <w:rPr>
                <w:rFonts w:hint="eastAsia" w:hAnsi="宋体" w:cs="宋体"/>
              </w:rPr>
              <w:t>（偏差率四舍五入保留2位小数，报价偏差率不足1%的，按直线内插法计算投标报价得分）</w:t>
            </w:r>
          </w:p>
          <w:p>
            <w:pPr>
              <w:adjustRightInd w:val="0"/>
              <w:snapToGrid w:val="0"/>
              <w:spacing w:line="300" w:lineRule="auto"/>
              <w:ind w:left="42" w:leftChars="20" w:right="42" w:rightChars="20"/>
              <w:rPr>
                <w:rFonts w:hAnsi="宋体" w:cs="宋体"/>
              </w:rPr>
            </w:pPr>
            <w:r>
              <w:rPr>
                <w:rFonts w:hint="eastAsia" w:hAnsi="宋体" w:cs="宋体"/>
              </w:rPr>
              <w:t>注：有效投标报价为通过初步评审经算术错误修正后的核准报价（投标总报价）。</w:t>
            </w:r>
          </w:p>
        </w:tc>
      </w:tr>
    </w:tbl>
    <w:p>
      <w:pPr>
        <w:snapToGrid w:val="0"/>
        <w:ind w:firstLine="420" w:firstLineChars="200"/>
        <w:rPr>
          <w:rFonts w:ascii="宋体" w:hAnsi="宋体"/>
          <w:color w:val="000000"/>
        </w:rPr>
      </w:pPr>
    </w:p>
    <w:p>
      <w:pPr>
        <w:snapToGrid w:val="0"/>
        <w:ind w:firstLine="420" w:firstLineChars="200"/>
        <w:rPr>
          <w:rFonts w:ascii="宋体" w:hAnsi="宋体"/>
          <w:color w:val="000000"/>
        </w:rPr>
        <w:sectPr>
          <w:pgSz w:w="11907" w:h="16840"/>
          <w:pgMar w:top="1134" w:right="1134" w:bottom="1134" w:left="1134" w:header="720" w:footer="720" w:gutter="0"/>
          <w:cols w:space="720" w:num="1"/>
        </w:sectPr>
      </w:pPr>
    </w:p>
    <w:p>
      <w:pPr>
        <w:snapToGrid w:val="0"/>
        <w:ind w:firstLine="420" w:firstLineChars="200"/>
        <w:rPr>
          <w:rFonts w:ascii="宋体" w:hAnsi="宋体"/>
          <w:color w:val="000000"/>
        </w:rPr>
      </w:pPr>
    </w:p>
    <w:tbl>
      <w:tblPr>
        <w:tblStyle w:val="24"/>
        <w:tblW w:w="9882"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3"/>
        <w:gridCol w:w="25"/>
        <w:gridCol w:w="1018"/>
        <w:gridCol w:w="567"/>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trPr>
        <w:tc>
          <w:tcPr>
            <w:tcW w:w="993" w:type="dxa"/>
            <w:vMerge w:val="restart"/>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Arial" w:hAnsi="Arial" w:cs="Arial"/>
                <w:b/>
                <w:bCs/>
                <w:color w:val="000000"/>
              </w:rPr>
            </w:pPr>
            <w:r>
              <w:rPr>
                <w:rFonts w:hint="eastAsia" w:ascii="Arial" w:hAnsi="宋体" w:cs="宋体"/>
                <w:b/>
                <w:bCs/>
                <w:color w:val="000000"/>
              </w:rPr>
              <w:t>条款号及评审内容</w:t>
            </w:r>
          </w:p>
        </w:tc>
        <w:tc>
          <w:tcPr>
            <w:tcW w:w="1043" w:type="dxa"/>
            <w:gridSpan w:val="2"/>
            <w:vMerge w:val="restart"/>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Arial" w:hAnsi="Arial" w:cs="Arial"/>
                <w:b/>
                <w:bCs/>
                <w:color w:val="000000"/>
              </w:rPr>
            </w:pPr>
            <w:r>
              <w:rPr>
                <w:rFonts w:hint="eastAsia" w:ascii="Arial" w:hAnsi="宋体" w:cs="宋体"/>
                <w:b/>
                <w:bCs/>
                <w:color w:val="000000"/>
              </w:rPr>
              <w:t>评审项目</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bCs/>
                <w:color w:val="000000"/>
              </w:rPr>
            </w:pPr>
            <w:r>
              <w:rPr>
                <w:rFonts w:hint="eastAsia" w:ascii="Arial" w:hAnsi="宋体" w:cs="宋体"/>
                <w:b/>
                <w:bCs/>
                <w:color w:val="000000"/>
              </w:rPr>
              <w:t>分数</w:t>
            </w:r>
          </w:p>
        </w:tc>
        <w:tc>
          <w:tcPr>
            <w:tcW w:w="7279" w:type="dxa"/>
            <w:vMerge w:val="restart"/>
            <w:tcBorders>
              <w:top w:val="single" w:color="auto" w:sz="4" w:space="0"/>
              <w:left w:val="single" w:color="auto" w:sz="4" w:space="0"/>
              <w:bottom w:val="single" w:color="auto" w:sz="4" w:space="0"/>
              <w:right w:val="single" w:color="auto" w:sz="4" w:space="0"/>
            </w:tcBorders>
            <w:vAlign w:val="center"/>
          </w:tcPr>
          <w:p>
            <w:pPr>
              <w:ind w:left="42" w:leftChars="20" w:right="42" w:rightChars="20"/>
              <w:jc w:val="center"/>
              <w:rPr>
                <w:rFonts w:ascii="Arial" w:hAnsi="Arial" w:cs="Arial"/>
                <w:b/>
                <w:bCs/>
                <w:color w:val="000000"/>
              </w:rPr>
            </w:pPr>
            <w:r>
              <w:rPr>
                <w:rFonts w:hint="eastAsia" w:ascii="Arial" w:hAnsi="宋体" w:cs="宋体"/>
                <w:b/>
                <w:bCs/>
                <w:color w:val="000000"/>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trPr>
        <w:tc>
          <w:tcPr>
            <w:tcW w:w="993" w:type="dxa"/>
            <w:vMerge w:val="continue"/>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Arial" w:hAnsi="宋体" w:cs="宋体"/>
                <w:b/>
                <w:bCs/>
                <w:color w:val="000000"/>
              </w:rPr>
            </w:pPr>
          </w:p>
        </w:tc>
        <w:tc>
          <w:tcPr>
            <w:tcW w:w="1043" w:type="dxa"/>
            <w:gridSpan w:val="2"/>
            <w:vMerge w:val="continue"/>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Arial" w:hAnsi="宋体" w:cs="宋体"/>
                <w:b/>
                <w:bCs/>
                <w:color w:val="00000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Arial" w:hAnsi="宋体" w:cs="宋体"/>
                <w:b/>
                <w:bCs/>
                <w:color w:val="000000"/>
              </w:rPr>
            </w:pPr>
          </w:p>
        </w:tc>
        <w:tc>
          <w:tcPr>
            <w:tcW w:w="7279" w:type="dxa"/>
            <w:vMerge w:val="continue"/>
            <w:tcBorders>
              <w:top w:val="single" w:color="auto" w:sz="4" w:space="0"/>
              <w:left w:val="single" w:color="auto" w:sz="4" w:space="0"/>
              <w:bottom w:val="single" w:color="auto" w:sz="4" w:space="0"/>
              <w:right w:val="single" w:color="auto" w:sz="4" w:space="0"/>
            </w:tcBorders>
            <w:vAlign w:val="center"/>
          </w:tcPr>
          <w:p>
            <w:pPr>
              <w:ind w:left="42" w:leftChars="20" w:right="42" w:rightChars="20"/>
              <w:jc w:val="left"/>
              <w:rPr>
                <w:rFonts w:ascii="Arial" w:hAnsi="宋体" w:cs="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b/>
                <w:bCs/>
                <w:color w:val="000000"/>
              </w:rPr>
            </w:pPr>
          </w:p>
        </w:tc>
        <w:tc>
          <w:tcPr>
            <w:tcW w:w="10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b/>
                <w:bCs/>
                <w:color w:val="00000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b/>
                <w:bCs/>
                <w:color w:val="000000"/>
              </w:rPr>
            </w:pPr>
          </w:p>
        </w:tc>
        <w:tc>
          <w:tcPr>
            <w:tcW w:w="7279" w:type="dxa"/>
            <w:vMerge w:val="continue"/>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jc w:val="left"/>
              <w:rPr>
                <w:rFonts w:ascii="Arial" w:hAnsi="Arial" w:cs="Arial"/>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78" w:hRule="atLeast"/>
        </w:trPr>
        <w:tc>
          <w:tcPr>
            <w:tcW w:w="993" w:type="dxa"/>
            <w:vMerge w:val="restart"/>
            <w:tcBorders>
              <w:top w:val="single" w:color="auto" w:sz="4" w:space="0"/>
              <w:left w:val="single" w:color="auto" w:sz="4" w:space="0"/>
              <w:right w:val="single" w:color="auto" w:sz="4" w:space="0"/>
            </w:tcBorders>
            <w:vAlign w:val="center"/>
          </w:tcPr>
          <w:p>
            <w:pPr>
              <w:ind w:right="27" w:rightChars="13"/>
              <w:jc w:val="center"/>
              <w:rPr>
                <w:rFonts w:ascii="宋体" w:hAnsi="宋体" w:cs="宋体"/>
                <w:color w:val="000000"/>
              </w:rPr>
            </w:pPr>
            <w:r>
              <w:rPr>
                <w:rFonts w:hint="eastAsia" w:ascii="宋体" w:hAnsi="宋体" w:cs="宋体"/>
                <w:color w:val="000000"/>
              </w:rPr>
              <w:t>2.2.2</w:t>
            </w:r>
          </w:p>
          <w:p>
            <w:pPr>
              <w:ind w:right="27" w:rightChars="13"/>
              <w:jc w:val="center"/>
              <w:rPr>
                <w:rFonts w:ascii="宋体" w:hAnsi="宋体" w:cs="宋体"/>
                <w:color w:val="000000"/>
              </w:rPr>
            </w:pPr>
            <w:r>
              <w:rPr>
                <w:rFonts w:hint="eastAsia" w:ascii="宋体" w:hAnsi="宋体" w:cs="宋体"/>
                <w:color w:val="000000"/>
              </w:rPr>
              <w:t>资信业绩部分（6</w:t>
            </w:r>
            <w:r>
              <w:rPr>
                <w:rFonts w:hint="eastAsia" w:ascii="宋体" w:hAnsi="宋体" w:cs="宋体"/>
                <w:color w:val="000000"/>
                <w:lang w:val="en-US" w:eastAsia="zh-CN"/>
              </w:rPr>
              <w:t>0</w:t>
            </w:r>
            <w:r>
              <w:rPr>
                <w:rFonts w:hint="eastAsia" w:ascii="宋体" w:hAnsi="宋体" w:cs="宋体"/>
                <w:color w:val="000000"/>
              </w:rPr>
              <w:t>分）</w:t>
            </w:r>
          </w:p>
          <w:p>
            <w:pPr>
              <w:ind w:right="233" w:rightChars="111"/>
              <w:jc w:val="center"/>
              <w:rPr>
                <w:rFonts w:ascii="宋体" w:hAnsi="宋体" w:cs="宋体"/>
                <w:color w:val="000000"/>
              </w:rPr>
            </w:pPr>
          </w:p>
        </w:tc>
        <w:tc>
          <w:tcPr>
            <w:tcW w:w="1043" w:type="dxa"/>
            <w:gridSpan w:val="2"/>
            <w:tcBorders>
              <w:top w:val="single" w:color="auto" w:sz="4" w:space="0"/>
              <w:left w:val="single" w:color="auto" w:sz="4" w:space="0"/>
              <w:right w:val="single" w:color="auto" w:sz="4" w:space="0"/>
            </w:tcBorders>
            <w:vAlign w:val="center"/>
          </w:tcPr>
          <w:p>
            <w:pPr>
              <w:ind w:left="147" w:leftChars="70" w:right="78" w:rightChars="37"/>
              <w:jc w:val="center"/>
              <w:rPr>
                <w:rFonts w:ascii="宋体" w:hAnsi="宋体" w:cs="宋体"/>
                <w:color w:val="000000"/>
              </w:rPr>
            </w:pPr>
            <w:r>
              <w:rPr>
                <w:rFonts w:hint="eastAsia" w:ascii="宋体" w:hAnsi="宋体"/>
              </w:rPr>
              <w:t>1.投标人类似项目业绩</w:t>
            </w:r>
          </w:p>
        </w:tc>
        <w:tc>
          <w:tcPr>
            <w:tcW w:w="567" w:type="dxa"/>
            <w:tcBorders>
              <w:top w:val="single" w:color="auto" w:sz="4" w:space="0"/>
              <w:left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12分</w:t>
            </w:r>
          </w:p>
        </w:tc>
        <w:tc>
          <w:tcPr>
            <w:tcW w:w="7279" w:type="dxa"/>
            <w:tcBorders>
              <w:top w:val="single" w:color="auto" w:sz="4" w:space="0"/>
              <w:left w:val="single" w:color="auto" w:sz="4" w:space="0"/>
              <w:right w:val="single" w:color="auto" w:sz="4" w:space="0"/>
            </w:tcBorders>
            <w:vAlign w:val="center"/>
          </w:tcPr>
          <w:p>
            <w:pPr>
              <w:snapToGrid w:val="0"/>
              <w:ind w:left="42" w:leftChars="20" w:right="42" w:rightChars="20" w:firstLine="25" w:firstLineChars="12"/>
              <w:rPr>
                <w:rFonts w:ascii="宋体" w:hAnsi="宋体"/>
              </w:rPr>
            </w:pPr>
            <w:r>
              <w:rPr>
                <w:rFonts w:hint="eastAsia" w:ascii="宋体" w:hAnsi="宋体"/>
              </w:rPr>
              <w:t>自2020年1月1日以来独立完成的</w:t>
            </w:r>
          </w:p>
          <w:p>
            <w:pPr>
              <w:snapToGrid w:val="0"/>
              <w:ind w:left="42" w:leftChars="20" w:right="42" w:rightChars="20" w:firstLine="25" w:firstLineChars="12"/>
              <w:rPr>
                <w:rFonts w:ascii="宋体" w:hAnsi="宋体"/>
              </w:rPr>
            </w:pPr>
            <w:r>
              <w:rPr>
                <w:rFonts w:hint="eastAsia" w:ascii="宋体" w:hAnsi="宋体"/>
              </w:rPr>
              <w:t>（1）代建或项目管理工程业绩每一项得2分；最高得6分。</w:t>
            </w:r>
          </w:p>
          <w:p>
            <w:pPr>
              <w:snapToGrid w:val="0"/>
              <w:ind w:left="42" w:leftChars="20" w:right="42" w:rightChars="20" w:firstLine="25" w:firstLineChars="12"/>
              <w:rPr>
                <w:rFonts w:ascii="宋体" w:hAnsi="宋体"/>
              </w:rPr>
            </w:pPr>
            <w:r>
              <w:rPr>
                <w:rFonts w:hint="eastAsia" w:ascii="宋体" w:hAnsi="宋体"/>
              </w:rPr>
              <w:t>（2）全过程咨询工程业绩每一项得2分，最高得6分。</w:t>
            </w:r>
          </w:p>
          <w:p>
            <w:pPr>
              <w:snapToGrid w:val="0"/>
              <w:ind w:left="42" w:leftChars="20" w:right="42" w:rightChars="20" w:firstLine="25" w:firstLineChars="12"/>
              <w:rPr>
                <w:rFonts w:ascii="宋体" w:hAnsi="宋体"/>
              </w:rPr>
            </w:pPr>
            <w:r>
              <w:rPr>
                <w:rFonts w:hint="eastAsia" w:ascii="宋体" w:hAnsi="宋体"/>
              </w:rPr>
              <w:t>注：需提供业绩合同关健页及竣工验收报告或完工验收证明（需有参建各方盖章），时间以竣工验收报告或完工验收证明落款日期为准。同一个项目不重复计分。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42" w:hRule="atLeast"/>
        </w:trPr>
        <w:tc>
          <w:tcPr>
            <w:tcW w:w="993" w:type="dxa"/>
            <w:vMerge w:val="continue"/>
            <w:tcBorders>
              <w:left w:val="single" w:color="auto" w:sz="4" w:space="0"/>
              <w:right w:val="single" w:color="auto" w:sz="4" w:space="0"/>
            </w:tcBorders>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ind w:left="147" w:leftChars="70"/>
              <w:jc w:val="center"/>
              <w:rPr>
                <w:rFonts w:ascii="宋体" w:hAnsi="宋体" w:cs="宋体"/>
                <w:color w:val="000000"/>
              </w:rPr>
            </w:pPr>
            <w:r>
              <w:rPr>
                <w:rFonts w:hint="eastAsia" w:ascii="宋体" w:hAnsi="宋体"/>
              </w:rPr>
              <w:t>2.投标人获奖业绩</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lang w:val="en-US" w:eastAsia="zh-CN"/>
              </w:rPr>
              <w:t>7</w:t>
            </w:r>
            <w:r>
              <w:rPr>
                <w:rFonts w:hint="eastAsia" w:ascii="宋体" w:hAnsi="宋体" w:cs="宋体"/>
                <w:color w:val="000000"/>
              </w:rPr>
              <w:t>分</w:t>
            </w:r>
          </w:p>
        </w:tc>
        <w:tc>
          <w:tcPr>
            <w:tcW w:w="7279" w:type="dxa"/>
            <w:tcBorders>
              <w:top w:val="single" w:color="auto" w:sz="4" w:space="0"/>
              <w:left w:val="single" w:color="auto" w:sz="4" w:space="0"/>
              <w:bottom w:val="single" w:color="auto" w:sz="4" w:space="0"/>
              <w:right w:val="single" w:color="auto" w:sz="4" w:space="0"/>
            </w:tcBorders>
            <w:vAlign w:val="center"/>
          </w:tcPr>
          <w:p>
            <w:pPr>
              <w:snapToGrid w:val="0"/>
              <w:ind w:left="42" w:leftChars="20" w:right="42" w:rightChars="20"/>
              <w:jc w:val="left"/>
              <w:rPr>
                <w:rFonts w:ascii="宋体" w:hAnsi="宋体"/>
                <w:highlight w:val="none"/>
              </w:rPr>
            </w:pPr>
            <w:r>
              <w:rPr>
                <w:rFonts w:hint="eastAsia" w:ascii="宋体" w:hAnsi="宋体"/>
                <w:highlight w:val="none"/>
              </w:rPr>
              <w:t>自2020年1月1日以来独立完成的工程项目获得国家级奖项，每一项得3分；获得省级奖项，每一项得2分；获得市级奖项，每一项得1分，其他的不得分。本项最高得</w:t>
            </w:r>
            <w:r>
              <w:rPr>
                <w:rFonts w:hint="eastAsia" w:ascii="宋体" w:hAnsi="宋体"/>
                <w:highlight w:val="none"/>
                <w:lang w:val="en-US" w:eastAsia="zh-CN"/>
              </w:rPr>
              <w:t>7</w:t>
            </w:r>
            <w:r>
              <w:rPr>
                <w:rFonts w:hint="eastAsia" w:ascii="宋体" w:hAnsi="宋体"/>
                <w:highlight w:val="none"/>
              </w:rPr>
              <w:t>分。</w:t>
            </w:r>
          </w:p>
          <w:p>
            <w:pPr>
              <w:snapToGrid w:val="0"/>
              <w:ind w:left="42" w:leftChars="20" w:right="42" w:rightChars="20"/>
              <w:jc w:val="left"/>
              <w:rPr>
                <w:rFonts w:ascii="宋体" w:hAnsi="宋体"/>
                <w:highlight w:val="none"/>
              </w:rPr>
            </w:pPr>
            <w:r>
              <w:rPr>
                <w:rFonts w:hint="eastAsia" w:ascii="宋体" w:hAnsi="宋体"/>
                <w:highlight w:val="none"/>
              </w:rPr>
              <w:t>注：同一工程获得多个奖项只按最高得分计算一次，不累计，需提供获奖证书和竣工验收报告或完工验收证明（需有参建各方盖章），否则不得分，时间以获奖证书落款日期为准。</w:t>
            </w:r>
            <w:r>
              <w:rPr>
                <w:rFonts w:hint="eastAsia" w:ascii="宋体" w:hAnsi="宋体" w:cs="宋体"/>
                <w:highlight w:val="none"/>
              </w:rPr>
              <w:t>若颁奖单位为协会的，还需提供该组织在“中国社会组织政务服务平台”的已合法登记且状态正常截图，不提供不得分。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28" w:hRule="atLeast"/>
        </w:trPr>
        <w:tc>
          <w:tcPr>
            <w:tcW w:w="993" w:type="dxa"/>
            <w:vMerge w:val="continue"/>
            <w:tcBorders>
              <w:left w:val="single" w:color="auto" w:sz="4" w:space="0"/>
              <w:right w:val="single" w:color="auto" w:sz="4" w:space="0"/>
            </w:tcBorders>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ind w:left="147" w:leftChars="70"/>
              <w:jc w:val="center"/>
              <w:rPr>
                <w:rFonts w:ascii="宋体" w:hAnsi="宋体"/>
              </w:rPr>
            </w:pPr>
            <w:r>
              <w:rPr>
                <w:rFonts w:hint="eastAsia" w:ascii="宋体" w:hAnsi="宋体"/>
              </w:rPr>
              <w:t>3.</w:t>
            </w:r>
            <w:r>
              <w:rPr>
                <w:rFonts w:hint="eastAsia" w:ascii="宋体" w:hAnsi="宋体" w:cs="宋体"/>
              </w:rPr>
              <w:t>体系认证情况</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3分</w:t>
            </w:r>
          </w:p>
        </w:tc>
        <w:tc>
          <w:tcPr>
            <w:tcW w:w="7279" w:type="dxa"/>
            <w:tcBorders>
              <w:top w:val="single" w:color="auto" w:sz="4" w:space="0"/>
              <w:left w:val="single" w:color="auto" w:sz="4" w:space="0"/>
              <w:bottom w:val="single" w:color="auto" w:sz="4" w:space="0"/>
              <w:right w:val="single" w:color="auto" w:sz="4" w:space="0"/>
            </w:tcBorders>
            <w:vAlign w:val="center"/>
          </w:tcPr>
          <w:p>
            <w:pPr>
              <w:snapToGrid w:val="0"/>
              <w:ind w:left="42" w:leftChars="20" w:right="42" w:rightChars="20"/>
              <w:jc w:val="left"/>
              <w:rPr>
                <w:rFonts w:ascii="宋体" w:hAnsi="宋体" w:cs="宋体"/>
              </w:rPr>
            </w:pPr>
            <w:r>
              <w:rPr>
                <w:rFonts w:hint="eastAsia" w:ascii="宋体" w:hAnsi="宋体" w:cs="宋体"/>
              </w:rPr>
              <w:t>投标人同时具有有效期内的质量管理体系认证证书、环境管理体系认证证书、职业健康安全管理体系认证证书，得3分。</w:t>
            </w:r>
          </w:p>
          <w:p>
            <w:pPr>
              <w:snapToGrid w:val="0"/>
              <w:ind w:left="42" w:leftChars="20" w:right="42" w:rightChars="20"/>
              <w:jc w:val="left"/>
              <w:rPr>
                <w:rFonts w:ascii="宋体" w:hAnsi="宋体"/>
              </w:rPr>
            </w:pPr>
            <w:r>
              <w:rPr>
                <w:rFonts w:hint="eastAsia" w:ascii="宋体" w:hAnsi="宋体" w:cs="宋体"/>
              </w:rPr>
              <w:t>注：投标人须提交企业通过认证体系的证书扫描件及在中国国家认证认可监督管理委员会官方网站（www.cnca.gov.cn）上查询页的截图，并加盖投标单位公章，认证证书必须在有效期内。不按要求提供的不计分。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43" w:hRule="atLeast"/>
        </w:trPr>
        <w:tc>
          <w:tcPr>
            <w:tcW w:w="993" w:type="dxa"/>
            <w:vMerge w:val="continue"/>
            <w:tcBorders>
              <w:left w:val="single" w:color="auto" w:sz="4" w:space="0"/>
              <w:right w:val="single" w:color="auto" w:sz="4" w:space="0"/>
            </w:tcBorders>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ind w:left="147" w:leftChars="70"/>
              <w:jc w:val="center"/>
              <w:rPr>
                <w:rFonts w:ascii="宋体" w:hAnsi="宋体" w:cs="宋体"/>
                <w:color w:val="000000"/>
              </w:rPr>
            </w:pPr>
            <w:r>
              <w:rPr>
                <w:rFonts w:hint="eastAsia" w:ascii="宋体" w:hAnsi="宋体"/>
              </w:rPr>
              <w:t>4.</w:t>
            </w:r>
            <w:r>
              <w:rPr>
                <w:rFonts w:hint="eastAsia" w:ascii="宋体" w:hAnsi="宋体" w:cs="宋体"/>
              </w:rPr>
              <w:t>纳税信用等级</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6分</w:t>
            </w:r>
          </w:p>
        </w:tc>
        <w:tc>
          <w:tcPr>
            <w:tcW w:w="7279"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left"/>
            </w:pPr>
            <w:r>
              <w:rPr>
                <w:rFonts w:hint="eastAsia"/>
              </w:rPr>
              <w:t>投标人连续5年（需含2022年）获得纳税信用A级荣誉证书的得4分，每再增加1年加1分，最多得6分。</w:t>
            </w:r>
          </w:p>
          <w:p>
            <w:pPr>
              <w:widowControl/>
              <w:ind w:left="42" w:leftChars="20" w:right="42" w:rightChars="20"/>
              <w:jc w:val="left"/>
              <w:rPr>
                <w:rFonts w:eastAsia="黑体"/>
              </w:rPr>
            </w:pPr>
            <w:r>
              <w:rPr>
                <w:rFonts w:hint="eastAsia" w:ascii="宋体" w:hAnsi="宋体" w:cs="宋体"/>
              </w:rPr>
              <w:t>注：投标人提供国家税务总局网站（http://hd.chinatax.gov.cn/nszx/InitCredit.html）“纳税信用A级纳税人名单公布栏”查询网页相关信息截图或税务局颁发的纳税信用等级证书扫描件。被评价单位必须为投标单位，关联公司（含上级公司、子公司、分公司、控股及管理关系）的评价结果不予认可。不符合条件或未提供查询结果网页截图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0" w:hRule="atLeast"/>
        </w:trPr>
        <w:tc>
          <w:tcPr>
            <w:tcW w:w="993" w:type="dxa"/>
            <w:vMerge w:val="continue"/>
            <w:tcBorders>
              <w:left w:val="single" w:color="auto" w:sz="4" w:space="0"/>
              <w:right w:val="single" w:color="auto" w:sz="4" w:space="0"/>
            </w:tcBorders>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ind w:left="147" w:leftChars="70"/>
              <w:jc w:val="center"/>
              <w:rPr>
                <w:rFonts w:ascii="宋体" w:hAnsi="宋体"/>
              </w:rPr>
            </w:pPr>
            <w:r>
              <w:rPr>
                <w:rFonts w:hint="eastAsia" w:ascii="宋体" w:hAnsi="宋体"/>
              </w:rPr>
              <w:t>5.</w:t>
            </w:r>
            <w:r>
              <w:rPr>
                <w:rFonts w:hint="eastAsia" w:ascii="宋体" w:hAnsi="宋体" w:cs="宋体"/>
              </w:rPr>
              <w:t>建设行业先进企业</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6分</w:t>
            </w:r>
          </w:p>
        </w:tc>
        <w:tc>
          <w:tcPr>
            <w:tcW w:w="727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highlight w:val="none"/>
              </w:rPr>
            </w:pPr>
            <w:r>
              <w:rPr>
                <w:rFonts w:hint="eastAsia" w:ascii="宋体" w:hAnsi="宋体" w:cs="宋体"/>
                <w:highlight w:val="none"/>
              </w:rPr>
              <w:t>投标人连续3年（需含2022年）被评为市级或以上“先进或优秀类企业”的得3分；</w:t>
            </w:r>
            <w:r>
              <w:rPr>
                <w:rFonts w:hint="eastAsia"/>
                <w:highlight w:val="none"/>
              </w:rPr>
              <w:t>每再增加1年加1分，最多得6分。</w:t>
            </w:r>
          </w:p>
          <w:p>
            <w:pPr>
              <w:widowControl/>
              <w:ind w:left="42" w:leftChars="20" w:right="42" w:rightChars="20"/>
              <w:jc w:val="left"/>
              <w:rPr>
                <w:rFonts w:ascii="宋体" w:hAnsi="宋体" w:cs="宋体"/>
                <w:highlight w:val="none"/>
              </w:rPr>
            </w:pPr>
            <w:r>
              <w:rPr>
                <w:rFonts w:hint="eastAsia" w:ascii="宋体" w:hAnsi="宋体" w:cs="宋体"/>
                <w:highlight w:val="none"/>
              </w:rPr>
              <w:t>注：提供获奖证书扫描件及获奖文件扫描件或获奖文件网页载图，若颁奖单位为协会的，还需提供该组织在“中国社会组织政务服务平台”的已合法登记且状态正常截图，不提供不得分。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0" w:hRule="atLeast"/>
        </w:trPr>
        <w:tc>
          <w:tcPr>
            <w:tcW w:w="993" w:type="dxa"/>
            <w:vMerge w:val="continue"/>
            <w:tcBorders>
              <w:left w:val="single" w:color="auto" w:sz="4" w:space="0"/>
              <w:right w:val="single" w:color="auto" w:sz="4" w:space="0"/>
            </w:tcBorders>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ind w:left="147" w:leftChars="70"/>
              <w:jc w:val="center"/>
              <w:rPr>
                <w:rFonts w:ascii="宋体" w:hAnsi="宋体"/>
              </w:rPr>
            </w:pPr>
            <w:r>
              <w:rPr>
                <w:rFonts w:hint="eastAsia" w:ascii="宋体" w:hAnsi="宋体"/>
              </w:rPr>
              <w:t>6.投资控制能力</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4分</w:t>
            </w:r>
          </w:p>
        </w:tc>
        <w:tc>
          <w:tcPr>
            <w:tcW w:w="7279" w:type="dxa"/>
            <w:tcBorders>
              <w:top w:val="single" w:color="auto" w:sz="4" w:space="0"/>
              <w:left w:val="single" w:color="auto" w:sz="4" w:space="0"/>
              <w:bottom w:val="single" w:color="auto" w:sz="4" w:space="0"/>
              <w:right w:val="single" w:color="auto" w:sz="4" w:space="0"/>
            </w:tcBorders>
            <w:vAlign w:val="center"/>
          </w:tcPr>
          <w:p>
            <w:pPr>
              <w:widowControl/>
              <w:ind w:left="42" w:leftChars="20" w:right="42" w:rightChars="20"/>
              <w:jc w:val="left"/>
              <w:rPr>
                <w:highlight w:val="none"/>
              </w:rPr>
            </w:pPr>
            <w:r>
              <w:rPr>
                <w:rFonts w:hint="eastAsia"/>
                <w:highlight w:val="none"/>
              </w:rPr>
              <w:t>投标人具有工程造价咨询企业信用AAA等级的得4分，AA级的得2分，A级的得1分。其它不得分。</w:t>
            </w:r>
          </w:p>
          <w:p>
            <w:pPr>
              <w:pStyle w:val="23"/>
              <w:ind w:firstLine="0" w:firstLineChars="0"/>
              <w:rPr>
                <w:rFonts w:ascii="Times New Roman" w:hAnsi="Times New Roman"/>
                <w:highlight w:val="none"/>
              </w:rPr>
            </w:pPr>
            <w:r>
              <w:rPr>
                <w:rFonts w:hint="eastAsia" w:ascii="Times New Roman" w:hAnsi="Times New Roman"/>
                <w:highlight w:val="none"/>
              </w:rPr>
              <w:t>注：需提供信用等级证书</w:t>
            </w:r>
            <w:r>
              <w:rPr>
                <w:rFonts w:hint="eastAsia" w:ascii="Times New Roman" w:hAnsi="Times New Roman"/>
                <w:highlight w:val="none"/>
                <w:lang w:val="en-US" w:eastAsia="zh-CN"/>
              </w:rPr>
              <w:t>扫描件并加盖公章，否则不得分</w:t>
            </w:r>
            <w:r>
              <w:rPr>
                <w:rFonts w:hint="eastAsia" w:ascii="Times New Roman" w:hAnsi="Times New Roman"/>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0" w:hRule="atLeast"/>
        </w:trPr>
        <w:tc>
          <w:tcPr>
            <w:tcW w:w="993" w:type="dxa"/>
            <w:vMerge w:val="continue"/>
            <w:tcBorders>
              <w:left w:val="single" w:color="auto" w:sz="4" w:space="0"/>
              <w:right w:val="single" w:color="auto" w:sz="4" w:space="0"/>
            </w:tcBorders>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ind w:left="147" w:leftChars="70" w:right="78" w:rightChars="37"/>
              <w:jc w:val="center"/>
              <w:rPr>
                <w:rFonts w:ascii="宋体" w:hAnsi="宋体"/>
              </w:rPr>
            </w:pPr>
            <w:r>
              <w:rPr>
                <w:rFonts w:hint="eastAsia" w:ascii="宋体" w:hAnsi="宋体" w:cs="宋体"/>
              </w:rPr>
              <w:t>项目负责人资历</w:t>
            </w:r>
          </w:p>
        </w:tc>
        <w:tc>
          <w:tcPr>
            <w:tcW w:w="567" w:type="dxa"/>
            <w:tcBorders>
              <w:top w:val="single" w:color="auto" w:sz="4" w:space="0"/>
              <w:left w:val="single" w:color="auto" w:sz="4" w:space="0"/>
              <w:bottom w:val="single" w:color="auto" w:sz="4" w:space="0"/>
              <w:right w:val="single" w:color="auto" w:sz="4" w:space="0"/>
            </w:tcBorders>
            <w:vAlign w:val="center"/>
          </w:tcPr>
          <w:p>
            <w:pPr>
              <w:ind w:right="78" w:rightChars="37"/>
              <w:jc w:val="center"/>
              <w:rPr>
                <w:rFonts w:ascii="宋体" w:hAnsi="宋体"/>
              </w:rPr>
            </w:pPr>
            <w:r>
              <w:rPr>
                <w:rFonts w:hint="eastAsia" w:ascii="宋体" w:hAnsi="宋体"/>
              </w:rPr>
              <w:t>10分</w:t>
            </w:r>
          </w:p>
        </w:tc>
        <w:tc>
          <w:tcPr>
            <w:tcW w:w="7279" w:type="dxa"/>
            <w:tcBorders>
              <w:top w:val="single" w:color="auto" w:sz="4" w:space="0"/>
              <w:left w:val="single" w:color="auto" w:sz="4" w:space="0"/>
              <w:bottom w:val="single" w:color="auto" w:sz="4" w:space="0"/>
              <w:right w:val="single" w:color="auto" w:sz="4" w:space="0"/>
            </w:tcBorders>
            <w:vAlign w:val="center"/>
          </w:tcPr>
          <w:p>
            <w:pPr>
              <w:numPr>
                <w:ilvl w:val="0"/>
                <w:numId w:val="1"/>
              </w:numPr>
              <w:snapToGrid w:val="0"/>
              <w:ind w:left="0" w:right="42" w:rightChars="20"/>
              <w:jc w:val="left"/>
              <w:rPr>
                <w:rFonts w:ascii="宋体" w:hAnsi="宋体" w:cs="宋体"/>
                <w:highlight w:val="none"/>
              </w:rPr>
            </w:pPr>
            <w:bookmarkStart w:id="157" w:name="_GoBack"/>
            <w:r>
              <w:rPr>
                <w:rFonts w:hint="eastAsia" w:ascii="宋体" w:hAnsi="宋体" w:cs="宋体"/>
                <w:highlight w:val="none"/>
              </w:rPr>
              <w:t>项目负责人具有工程类专业全日制本科（或以上）学历且取得高级工程师（或以上）职称5年或以上（从证书批准日期起计至投标截止日）的得2分；</w:t>
            </w:r>
          </w:p>
          <w:p>
            <w:pPr>
              <w:numPr>
                <w:ilvl w:val="0"/>
                <w:numId w:val="1"/>
              </w:numPr>
              <w:snapToGrid w:val="0"/>
              <w:ind w:left="0" w:right="42" w:rightChars="20"/>
              <w:jc w:val="left"/>
              <w:rPr>
                <w:rFonts w:ascii="宋体" w:hAnsi="宋体"/>
                <w:highlight w:val="none"/>
              </w:rPr>
            </w:pPr>
            <w:r>
              <w:rPr>
                <w:rFonts w:hint="eastAsia" w:ascii="宋体" w:hAnsi="宋体" w:cs="宋体"/>
                <w:highlight w:val="none"/>
              </w:rPr>
              <w:t>项目负责人同时具有以下任意两项（或以上）证书的得2分：注册监理工程师、注册一级建造师、注册一级建筑师、注册一级结构师、注册咨询工程师、注册一级造价工程师。</w:t>
            </w:r>
          </w:p>
          <w:p>
            <w:pPr>
              <w:numPr>
                <w:ilvl w:val="0"/>
                <w:numId w:val="1"/>
              </w:numPr>
              <w:snapToGrid w:val="0"/>
              <w:ind w:left="0" w:right="42" w:rightChars="20"/>
              <w:jc w:val="left"/>
              <w:rPr>
                <w:rFonts w:ascii="宋体" w:hAnsi="宋体"/>
                <w:highlight w:val="none"/>
              </w:rPr>
            </w:pPr>
            <w:r>
              <w:rPr>
                <w:rFonts w:hint="eastAsia" w:ascii="宋体" w:hAnsi="宋体" w:cs="宋体"/>
                <w:highlight w:val="none"/>
              </w:rPr>
              <w:t>项目负责人获得省级或以上建设行业优秀个人荣誉证书的每次得2分，最多得6分。</w:t>
            </w:r>
          </w:p>
          <w:p>
            <w:pPr>
              <w:snapToGrid w:val="0"/>
              <w:ind w:right="42" w:rightChars="20"/>
              <w:jc w:val="left"/>
              <w:rPr>
                <w:rFonts w:ascii="宋体" w:hAnsi="宋体"/>
                <w:highlight w:val="none"/>
              </w:rPr>
            </w:pPr>
            <w:r>
              <w:rPr>
                <w:rFonts w:hint="eastAsia" w:ascii="宋体" w:hAnsi="宋体" w:cs="宋体"/>
                <w:highlight w:val="none"/>
              </w:rPr>
              <w:t>注：须提供有效的相关证书扫描件，获奖的需提供荣誉证书和获奖文件扫描件或获奖文件网页载图，若颁奖单位为协会的，还需提供该组织在“中国社会组织政务服务平台”的已合法登记且状态正常截图，不提供不得分。同一项目获得多个奖项的，该项目获奖只按其中一个奖项所在最高级别计算一次分数，不得重复计算。</w:t>
            </w:r>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0" w:hRule="atLeast"/>
        </w:trPr>
        <w:tc>
          <w:tcPr>
            <w:tcW w:w="993" w:type="dxa"/>
            <w:vMerge w:val="continue"/>
            <w:tcBorders>
              <w:left w:val="single" w:color="auto" w:sz="4" w:space="0"/>
              <w:right w:val="single" w:color="auto" w:sz="4" w:space="0"/>
            </w:tcBorders>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ind w:left="147" w:leftChars="70" w:right="78" w:rightChars="37"/>
              <w:jc w:val="center"/>
              <w:rPr>
                <w:rFonts w:ascii="宋体" w:hAnsi="宋体"/>
              </w:rPr>
            </w:pPr>
            <w:r>
              <w:rPr>
                <w:rFonts w:hint="eastAsia" w:ascii="宋体" w:hAnsi="宋体" w:cs="宋体"/>
              </w:rPr>
              <w:t>技术负责人资历</w:t>
            </w:r>
          </w:p>
        </w:tc>
        <w:tc>
          <w:tcPr>
            <w:tcW w:w="567" w:type="dxa"/>
            <w:tcBorders>
              <w:top w:val="single" w:color="auto" w:sz="4" w:space="0"/>
              <w:left w:val="single" w:color="auto" w:sz="4" w:space="0"/>
              <w:bottom w:val="single" w:color="auto" w:sz="4" w:space="0"/>
              <w:right w:val="single" w:color="auto" w:sz="4" w:space="0"/>
            </w:tcBorders>
            <w:vAlign w:val="center"/>
          </w:tcPr>
          <w:p>
            <w:pPr>
              <w:ind w:left="147" w:leftChars="70" w:right="78" w:rightChars="37"/>
              <w:jc w:val="center"/>
              <w:rPr>
                <w:rFonts w:ascii="宋体" w:hAnsi="宋体"/>
              </w:rPr>
            </w:pPr>
            <w:r>
              <w:rPr>
                <w:rFonts w:hint="eastAsia" w:ascii="宋体" w:hAnsi="宋体"/>
              </w:rPr>
              <w:t>4分</w:t>
            </w:r>
          </w:p>
        </w:tc>
        <w:tc>
          <w:tcPr>
            <w:tcW w:w="7279" w:type="dxa"/>
            <w:tcBorders>
              <w:top w:val="single" w:color="auto" w:sz="4" w:space="0"/>
              <w:left w:val="single" w:color="auto" w:sz="4" w:space="0"/>
              <w:bottom w:val="single" w:color="auto" w:sz="4" w:space="0"/>
              <w:right w:val="single" w:color="auto" w:sz="4" w:space="0"/>
            </w:tcBorders>
            <w:vAlign w:val="center"/>
          </w:tcPr>
          <w:p>
            <w:pPr>
              <w:numPr>
                <w:ilvl w:val="0"/>
                <w:numId w:val="2"/>
              </w:numPr>
              <w:snapToGrid w:val="0"/>
              <w:ind w:left="0" w:right="42" w:rightChars="20"/>
              <w:jc w:val="left"/>
              <w:rPr>
                <w:rFonts w:ascii="宋体" w:hAnsi="宋体" w:cs="宋体"/>
              </w:rPr>
            </w:pPr>
            <w:r>
              <w:rPr>
                <w:rFonts w:hint="eastAsia" w:ascii="宋体" w:hAnsi="宋体" w:cs="宋体"/>
              </w:rPr>
              <w:t>技术负责人具有工程类专业全日制本科（或以上）学历且取得高级工程师（或以上）职称5年或以上（从证书批准日期起计至投标截止日）的得2分；</w:t>
            </w:r>
          </w:p>
          <w:p>
            <w:pPr>
              <w:numPr>
                <w:ilvl w:val="0"/>
                <w:numId w:val="2"/>
              </w:numPr>
              <w:snapToGrid w:val="0"/>
              <w:ind w:left="0" w:right="42" w:rightChars="20"/>
              <w:jc w:val="left"/>
              <w:rPr>
                <w:rFonts w:ascii="宋体" w:hAnsi="宋体" w:cs="宋体"/>
              </w:rPr>
            </w:pPr>
            <w:r>
              <w:rPr>
                <w:rFonts w:hint="eastAsia" w:ascii="宋体" w:hAnsi="宋体" w:cs="宋体"/>
              </w:rPr>
              <w:t>同时具有以下任意两项（或以上）证书得2分：注册监理工程师、注册一级建造师、注册一级建筑师、注册一级结构师、注册咨询工程师、注册一级造价工程师。</w:t>
            </w:r>
          </w:p>
          <w:p>
            <w:pPr>
              <w:snapToGrid w:val="0"/>
              <w:ind w:left="42" w:leftChars="20" w:right="42" w:rightChars="20"/>
              <w:jc w:val="left"/>
              <w:rPr>
                <w:rFonts w:ascii="宋体" w:hAnsi="宋体"/>
              </w:rPr>
            </w:pPr>
            <w:r>
              <w:rPr>
                <w:rFonts w:hint="eastAsia" w:ascii="宋体" w:hAnsi="宋体" w:cs="宋体"/>
              </w:rPr>
              <w:t>注：须提供有效的相关证书扫描件，不提供不得分。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0" w:hRule="atLeast"/>
        </w:trPr>
        <w:tc>
          <w:tcPr>
            <w:tcW w:w="993" w:type="dxa"/>
            <w:vMerge w:val="continue"/>
            <w:tcBorders>
              <w:left w:val="single" w:color="auto" w:sz="4" w:space="0"/>
              <w:right w:val="single" w:color="auto" w:sz="4" w:space="0"/>
            </w:tcBorders>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ind w:left="147" w:leftChars="70" w:right="78" w:rightChars="37"/>
              <w:jc w:val="center"/>
              <w:rPr>
                <w:rFonts w:ascii="宋体" w:hAnsi="宋体"/>
              </w:rPr>
            </w:pPr>
            <w:r>
              <w:rPr>
                <w:rFonts w:hint="eastAsia" w:ascii="宋体" w:hAnsi="宋体" w:cs="宋体"/>
              </w:rPr>
              <w:t>技术服务项目组织机构其他人员</w:t>
            </w:r>
          </w:p>
        </w:tc>
        <w:tc>
          <w:tcPr>
            <w:tcW w:w="567" w:type="dxa"/>
            <w:tcBorders>
              <w:top w:val="single" w:color="auto" w:sz="4" w:space="0"/>
              <w:left w:val="single" w:color="auto" w:sz="4" w:space="0"/>
              <w:bottom w:val="single" w:color="auto" w:sz="4" w:space="0"/>
              <w:right w:val="single" w:color="auto" w:sz="4" w:space="0"/>
            </w:tcBorders>
            <w:vAlign w:val="center"/>
          </w:tcPr>
          <w:p>
            <w:pPr>
              <w:ind w:right="78" w:rightChars="37"/>
              <w:jc w:val="center"/>
              <w:rPr>
                <w:rFonts w:ascii="宋体" w:hAnsi="宋体"/>
              </w:rPr>
            </w:pPr>
            <w:r>
              <w:rPr>
                <w:rFonts w:hint="eastAsia" w:ascii="宋体" w:hAnsi="宋体"/>
                <w:lang w:val="en-US" w:eastAsia="zh-CN"/>
              </w:rPr>
              <w:t>8</w:t>
            </w:r>
            <w:r>
              <w:rPr>
                <w:rFonts w:hint="eastAsia" w:ascii="宋体" w:hAnsi="宋体"/>
              </w:rPr>
              <w:t>分</w:t>
            </w:r>
          </w:p>
        </w:tc>
        <w:tc>
          <w:tcPr>
            <w:tcW w:w="7279" w:type="dxa"/>
            <w:tcBorders>
              <w:top w:val="single" w:color="auto" w:sz="4" w:space="0"/>
              <w:left w:val="single" w:color="auto" w:sz="4" w:space="0"/>
              <w:bottom w:val="single" w:color="auto" w:sz="4" w:space="0"/>
              <w:right w:val="single" w:color="auto" w:sz="4" w:space="0"/>
            </w:tcBorders>
            <w:vAlign w:val="center"/>
          </w:tcPr>
          <w:p>
            <w:pPr>
              <w:snapToGrid w:val="0"/>
              <w:ind w:left="42" w:leftChars="20" w:right="42" w:rightChars="20"/>
              <w:jc w:val="left"/>
            </w:pPr>
            <w:r>
              <w:rPr>
                <w:rFonts w:hint="eastAsia" w:ascii="宋体" w:hAnsi="宋体" w:cs="宋体"/>
              </w:rPr>
              <w:t>项目管理组织机构其他人员（项目负责人、技术负责人除外）</w:t>
            </w:r>
            <w:r>
              <w:rPr>
                <w:rFonts w:hint="eastAsia"/>
              </w:rPr>
              <w:t>须包括以下专业人员至少1名或以上：市政、给排水、水土保持、环境保护、造价（专业以职称证或资格证或注册证为准）；</w:t>
            </w:r>
          </w:p>
          <w:p>
            <w:pPr>
              <w:snapToGrid w:val="0"/>
              <w:ind w:left="42" w:leftChars="20" w:right="42" w:rightChars="20"/>
              <w:jc w:val="left"/>
            </w:pPr>
            <w:r>
              <w:rPr>
                <w:rFonts w:hint="eastAsia"/>
              </w:rPr>
              <w:t>1）满足以上要求的，得</w:t>
            </w:r>
            <w:r>
              <w:rPr>
                <w:rFonts w:hint="eastAsia"/>
                <w:lang w:val="en-US" w:eastAsia="zh-CN"/>
              </w:rPr>
              <w:t>3</w:t>
            </w:r>
            <w:r>
              <w:rPr>
                <w:rFonts w:hint="eastAsia"/>
              </w:rPr>
              <w:t>分；</w:t>
            </w:r>
          </w:p>
          <w:p>
            <w:pPr>
              <w:snapToGrid w:val="0"/>
              <w:ind w:left="42" w:leftChars="20" w:right="42" w:rightChars="20"/>
              <w:jc w:val="left"/>
            </w:pPr>
            <w:r>
              <w:rPr>
                <w:rFonts w:hint="eastAsia"/>
              </w:rPr>
              <w:t>2）以上专业人员具有工程师或以上职称的，每人得1分，最多得5分。</w:t>
            </w:r>
          </w:p>
          <w:p>
            <w:pPr>
              <w:pStyle w:val="23"/>
              <w:spacing w:after="0"/>
              <w:ind w:firstLine="0" w:firstLineChars="0"/>
              <w:rPr>
                <w:rFonts w:ascii="Times New Roman" w:hAnsi="Times New Roman"/>
              </w:rPr>
            </w:pPr>
            <w:r>
              <w:rPr>
                <w:rFonts w:hint="eastAsia" w:cs="宋体"/>
              </w:rPr>
              <w:t>注：须提供有效的相关证书扫描件，不提供不得分。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1" w:hRule="atLeast"/>
        </w:trPr>
        <w:tc>
          <w:tcPr>
            <w:tcW w:w="993"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2.2.3</w:t>
            </w:r>
          </w:p>
          <w:p>
            <w:pPr>
              <w:jc w:val="center"/>
              <w:rPr>
                <w:rFonts w:ascii="宋体" w:hAnsi="宋体" w:cs="宋体"/>
                <w:color w:val="000000"/>
              </w:rPr>
            </w:pPr>
            <w:r>
              <w:rPr>
                <w:rFonts w:hint="eastAsia" w:ascii="宋体" w:hAnsi="宋体" w:cs="宋体"/>
                <w:color w:val="000000"/>
              </w:rPr>
              <w:t>技术部分</w:t>
            </w:r>
          </w:p>
          <w:p>
            <w:pPr>
              <w:rPr>
                <w:rFonts w:ascii="宋体" w:hAnsi="宋体" w:cs="宋体"/>
                <w:color w:val="000000"/>
              </w:rPr>
            </w:pPr>
            <w:r>
              <w:rPr>
                <w:rFonts w:hint="eastAsia" w:ascii="宋体" w:hAnsi="宋体" w:cs="宋体"/>
                <w:color w:val="000000"/>
              </w:rPr>
              <w:t>（</w:t>
            </w:r>
            <w:r>
              <w:rPr>
                <w:rFonts w:hint="eastAsia" w:ascii="宋体" w:hAnsi="宋体" w:cs="宋体"/>
                <w:color w:val="000000"/>
                <w:lang w:val="en-US" w:eastAsia="zh-CN"/>
              </w:rPr>
              <w:t>30</w:t>
            </w:r>
            <w:r>
              <w:rPr>
                <w:rFonts w:hint="eastAsia" w:ascii="宋体" w:hAnsi="宋体" w:cs="宋体"/>
                <w:color w:val="000000"/>
              </w:rPr>
              <w:t>分）</w:t>
            </w:r>
          </w:p>
        </w:tc>
        <w:tc>
          <w:tcPr>
            <w:tcW w:w="1043" w:type="dxa"/>
            <w:gridSpan w:val="2"/>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ind w:left="147" w:leftChars="70" w:right="78" w:rightChars="37"/>
              <w:jc w:val="center"/>
              <w:rPr>
                <w:rFonts w:ascii="宋体" w:hAnsi="宋体"/>
              </w:rPr>
            </w:pPr>
            <w:r>
              <w:rPr>
                <w:rFonts w:hint="eastAsia" w:ascii="宋体" w:hAnsi="宋体"/>
              </w:rPr>
              <w:t>项目总体策划</w:t>
            </w:r>
          </w:p>
        </w:tc>
        <w:tc>
          <w:tcPr>
            <w:tcW w:w="567" w:type="dxa"/>
            <w:tcBorders>
              <w:top w:val="single" w:color="auto" w:sz="4" w:space="0"/>
              <w:left w:val="single" w:color="auto" w:sz="4" w:space="0"/>
              <w:right w:val="single" w:color="auto" w:sz="4" w:space="0"/>
            </w:tcBorders>
            <w:vAlign w:val="center"/>
          </w:tcPr>
          <w:p>
            <w:pPr>
              <w:ind w:right="78" w:rightChars="37"/>
              <w:jc w:val="center"/>
              <w:rPr>
                <w:rFonts w:ascii="宋体" w:hAnsi="宋体"/>
              </w:rPr>
            </w:pPr>
            <w:r>
              <w:rPr>
                <w:rFonts w:hint="eastAsia" w:ascii="宋体" w:hAnsi="宋体"/>
                <w:lang w:val="en-US" w:eastAsia="zh-CN"/>
              </w:rPr>
              <w:t>4</w:t>
            </w:r>
            <w:r>
              <w:rPr>
                <w:rFonts w:hint="eastAsia" w:ascii="宋体" w:hAnsi="宋体"/>
              </w:rPr>
              <w:t>分</w:t>
            </w:r>
          </w:p>
        </w:tc>
        <w:tc>
          <w:tcPr>
            <w:tcW w:w="7279" w:type="dxa"/>
            <w:tcBorders>
              <w:top w:val="single" w:color="auto" w:sz="4" w:space="0"/>
              <w:left w:val="single" w:color="auto" w:sz="4" w:space="0"/>
              <w:right w:val="single" w:color="auto" w:sz="4" w:space="0"/>
            </w:tcBorders>
            <w:vAlign w:val="center"/>
          </w:tcPr>
          <w:p>
            <w:pPr>
              <w:snapToGrid w:val="0"/>
              <w:spacing w:line="360" w:lineRule="auto"/>
              <w:ind w:left="42" w:leftChars="20" w:right="42" w:rightChars="20"/>
              <w:jc w:val="left"/>
              <w:rPr>
                <w:rFonts w:ascii="宋体" w:hAnsi="宋体" w:cs="宋体"/>
              </w:rPr>
            </w:pPr>
            <w:r>
              <w:rPr>
                <w:rFonts w:hint="eastAsia" w:ascii="宋体" w:hAnsi="宋体" w:cs="宋体"/>
              </w:rPr>
              <w:t>对项目总体策划分析到位、切实可行；（</w:t>
            </w:r>
            <w:r>
              <w:rPr>
                <w:rFonts w:hint="eastAsia" w:ascii="宋体" w:hAnsi="宋体" w:cs="宋体"/>
                <w:lang w:val="en-US" w:eastAsia="zh-CN"/>
              </w:rPr>
              <w:t>4</w:t>
            </w:r>
            <w:r>
              <w:rPr>
                <w:rFonts w:hint="eastAsia" w:ascii="宋体" w:hAnsi="宋体" w:cs="宋体"/>
              </w:rPr>
              <w:t>分）</w:t>
            </w:r>
          </w:p>
          <w:p>
            <w:pPr>
              <w:snapToGrid w:val="0"/>
              <w:spacing w:line="360" w:lineRule="auto"/>
              <w:ind w:left="42" w:leftChars="20" w:right="42" w:rightChars="20"/>
              <w:jc w:val="left"/>
              <w:rPr>
                <w:rFonts w:ascii="宋体" w:hAnsi="宋体" w:cs="宋体"/>
              </w:rPr>
            </w:pPr>
            <w:r>
              <w:rPr>
                <w:rFonts w:hint="eastAsia" w:ascii="宋体" w:hAnsi="宋体" w:cs="宋体"/>
              </w:rPr>
              <w:t>对项目总体策划分析基本到位、基本可行；（</w:t>
            </w:r>
            <w:r>
              <w:rPr>
                <w:rFonts w:hint="eastAsia" w:ascii="宋体" w:hAnsi="宋体" w:cs="宋体"/>
                <w:lang w:val="en-US" w:eastAsia="zh-CN"/>
              </w:rPr>
              <w:t>3</w:t>
            </w:r>
            <w:r>
              <w:rPr>
                <w:rFonts w:hint="eastAsia" w:ascii="宋体" w:hAnsi="宋体" w:cs="宋体"/>
              </w:rPr>
              <w:t>分）</w:t>
            </w:r>
          </w:p>
          <w:p>
            <w:pPr>
              <w:ind w:left="42" w:leftChars="20" w:right="42" w:rightChars="20"/>
              <w:jc w:val="left"/>
              <w:rPr>
                <w:rFonts w:ascii="宋体" w:hAnsi="宋体"/>
              </w:rPr>
            </w:pPr>
            <w:r>
              <w:rPr>
                <w:rFonts w:hint="eastAsia" w:ascii="宋体" w:hAnsi="宋体" w:cs="宋体"/>
              </w:rPr>
              <w:t>对项目总体策划分析较差、不可行。（</w:t>
            </w:r>
            <w:r>
              <w:rPr>
                <w:rFonts w:hint="eastAsia" w:ascii="宋体" w:hAnsi="宋体" w:cs="宋体"/>
                <w:lang w:val="en-US" w:eastAsia="zh-CN"/>
              </w:rPr>
              <w:t>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02" w:hRule="atLeast"/>
        </w:trPr>
        <w:tc>
          <w:tcPr>
            <w:tcW w:w="993" w:type="dxa"/>
            <w:vMerge w:val="continue"/>
            <w:tcBorders>
              <w:left w:val="single" w:color="auto" w:sz="4" w:space="0"/>
              <w:right w:val="single" w:color="auto" w:sz="4" w:space="0"/>
            </w:tcBorders>
            <w:vAlign w:val="center"/>
          </w:tcPr>
          <w:p>
            <w:pPr>
              <w:ind w:right="233" w:rightChars="111"/>
              <w:jc w:val="center"/>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ind w:left="147" w:leftChars="70" w:right="78" w:rightChars="37"/>
              <w:jc w:val="center"/>
              <w:rPr>
                <w:rFonts w:ascii="宋体" w:hAnsi="宋体"/>
              </w:rPr>
            </w:pPr>
            <w:r>
              <w:rPr>
                <w:rFonts w:hint="eastAsia" w:ascii="宋体" w:hAnsi="宋体"/>
              </w:rPr>
              <w:t>项目建设管理程序及工作制度</w:t>
            </w:r>
          </w:p>
        </w:tc>
        <w:tc>
          <w:tcPr>
            <w:tcW w:w="567" w:type="dxa"/>
            <w:tcBorders>
              <w:top w:val="single" w:color="auto" w:sz="4" w:space="0"/>
              <w:left w:val="single" w:color="auto" w:sz="4" w:space="0"/>
              <w:right w:val="single" w:color="auto" w:sz="4" w:space="0"/>
            </w:tcBorders>
            <w:vAlign w:val="center"/>
          </w:tcPr>
          <w:p>
            <w:pPr>
              <w:ind w:right="78" w:rightChars="37"/>
              <w:jc w:val="center"/>
              <w:rPr>
                <w:rFonts w:ascii="宋体" w:hAnsi="宋体"/>
              </w:rPr>
            </w:pPr>
            <w:r>
              <w:rPr>
                <w:rFonts w:hint="eastAsia" w:ascii="宋体" w:hAnsi="宋体"/>
                <w:lang w:val="en-US" w:eastAsia="zh-CN"/>
              </w:rPr>
              <w:t>4</w:t>
            </w:r>
            <w:r>
              <w:rPr>
                <w:rFonts w:hint="eastAsia" w:ascii="宋体" w:hAnsi="宋体"/>
              </w:rPr>
              <w:t>分</w:t>
            </w:r>
          </w:p>
        </w:tc>
        <w:tc>
          <w:tcPr>
            <w:tcW w:w="7279" w:type="dxa"/>
            <w:tcBorders>
              <w:top w:val="single" w:color="auto" w:sz="4" w:space="0"/>
              <w:left w:val="single" w:color="auto" w:sz="4" w:space="0"/>
              <w:right w:val="single" w:color="auto" w:sz="4" w:space="0"/>
            </w:tcBorders>
            <w:vAlign w:val="center"/>
          </w:tcPr>
          <w:p>
            <w:pPr>
              <w:snapToGrid w:val="0"/>
              <w:spacing w:line="360" w:lineRule="auto"/>
              <w:ind w:left="42" w:leftChars="20" w:right="42" w:rightChars="20"/>
              <w:jc w:val="left"/>
              <w:rPr>
                <w:rFonts w:ascii="宋体" w:hAnsi="宋体" w:cs="宋体"/>
              </w:rPr>
            </w:pPr>
            <w:r>
              <w:rPr>
                <w:rFonts w:hint="eastAsia" w:ascii="宋体" w:hAnsi="宋体" w:cs="宋体"/>
              </w:rPr>
              <w:t>项目建设管理程序内容全面，各项工作制度明确具体，切实可行；（</w:t>
            </w:r>
            <w:r>
              <w:rPr>
                <w:rFonts w:hint="eastAsia" w:ascii="宋体" w:hAnsi="宋体" w:cs="宋体"/>
                <w:lang w:val="en-US" w:eastAsia="zh-CN"/>
              </w:rPr>
              <w:t>4</w:t>
            </w:r>
            <w:r>
              <w:rPr>
                <w:rFonts w:hint="eastAsia" w:ascii="宋体" w:hAnsi="宋体" w:cs="宋体"/>
              </w:rPr>
              <w:t>分）</w:t>
            </w:r>
          </w:p>
          <w:p>
            <w:pPr>
              <w:snapToGrid w:val="0"/>
              <w:spacing w:line="360" w:lineRule="auto"/>
              <w:ind w:left="42" w:leftChars="20" w:right="42" w:rightChars="20"/>
              <w:jc w:val="left"/>
              <w:rPr>
                <w:rFonts w:ascii="宋体" w:hAnsi="宋体" w:cs="宋体"/>
              </w:rPr>
            </w:pPr>
            <w:r>
              <w:rPr>
                <w:rFonts w:hint="eastAsia" w:ascii="宋体" w:hAnsi="宋体" w:cs="宋体"/>
              </w:rPr>
              <w:t>项目建设管理程序内容较全面，各项工作制度基本明确具体，基本可行；（</w:t>
            </w:r>
            <w:r>
              <w:rPr>
                <w:rFonts w:hint="eastAsia" w:ascii="宋体" w:hAnsi="宋体" w:cs="宋体"/>
                <w:lang w:val="en-US" w:eastAsia="zh-CN"/>
              </w:rPr>
              <w:t>3</w:t>
            </w:r>
            <w:r>
              <w:rPr>
                <w:rFonts w:hint="eastAsia" w:ascii="宋体" w:hAnsi="宋体" w:cs="宋体"/>
              </w:rPr>
              <w:t>分）</w:t>
            </w:r>
          </w:p>
          <w:p>
            <w:pPr>
              <w:tabs>
                <w:tab w:val="left" w:pos="6930"/>
              </w:tabs>
              <w:snapToGrid w:val="0"/>
              <w:ind w:left="42" w:leftChars="20" w:right="42" w:rightChars="20"/>
              <w:jc w:val="left"/>
              <w:rPr>
                <w:rFonts w:ascii="宋体" w:hAnsi="宋体"/>
              </w:rPr>
            </w:pPr>
            <w:r>
              <w:rPr>
                <w:rFonts w:hint="eastAsia" w:ascii="宋体" w:hAnsi="宋体" w:cs="宋体"/>
              </w:rPr>
              <w:t>项目建设管理程序内容不全面，各项工作制度不够明确具体，可行性差；（</w:t>
            </w:r>
            <w:r>
              <w:rPr>
                <w:rFonts w:hint="eastAsia" w:ascii="宋体" w:hAnsi="宋体" w:cs="宋体"/>
                <w:lang w:val="en-US" w:eastAsia="zh-CN"/>
              </w:rPr>
              <w:t>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75" w:hRule="atLeast"/>
        </w:trPr>
        <w:tc>
          <w:tcPr>
            <w:tcW w:w="993" w:type="dxa"/>
            <w:vMerge w:val="continue"/>
            <w:tcBorders>
              <w:left w:val="single" w:color="auto" w:sz="4" w:space="0"/>
              <w:right w:val="single" w:color="auto" w:sz="4" w:space="0"/>
            </w:tcBorders>
            <w:vAlign w:val="center"/>
          </w:tcPr>
          <w:p>
            <w:pPr>
              <w:ind w:right="233" w:rightChars="111"/>
              <w:jc w:val="center"/>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ind w:left="147" w:leftChars="70" w:right="78" w:rightChars="37"/>
              <w:jc w:val="center"/>
              <w:rPr>
                <w:rFonts w:ascii="宋体" w:hAnsi="宋体"/>
              </w:rPr>
            </w:pPr>
            <w:r>
              <w:rPr>
                <w:rFonts w:hint="eastAsia" w:ascii="宋体" w:hAnsi="宋体"/>
              </w:rPr>
              <w:t>项目前期管理工作</w:t>
            </w:r>
          </w:p>
        </w:tc>
        <w:tc>
          <w:tcPr>
            <w:tcW w:w="567" w:type="dxa"/>
            <w:tcBorders>
              <w:top w:val="single" w:color="auto" w:sz="4" w:space="0"/>
              <w:left w:val="single" w:color="auto" w:sz="4" w:space="0"/>
              <w:right w:val="single" w:color="auto" w:sz="4" w:space="0"/>
            </w:tcBorders>
            <w:vAlign w:val="center"/>
          </w:tcPr>
          <w:p>
            <w:pPr>
              <w:ind w:right="78" w:rightChars="37"/>
              <w:jc w:val="center"/>
              <w:rPr>
                <w:rFonts w:ascii="宋体" w:hAnsi="宋体"/>
              </w:rPr>
            </w:pPr>
            <w:r>
              <w:rPr>
                <w:rFonts w:hint="eastAsia" w:ascii="宋体" w:hAnsi="宋体"/>
                <w:lang w:val="en-US" w:eastAsia="zh-CN"/>
              </w:rPr>
              <w:t>4</w:t>
            </w:r>
            <w:r>
              <w:rPr>
                <w:rFonts w:hint="eastAsia" w:ascii="宋体" w:hAnsi="宋体"/>
              </w:rPr>
              <w:t>分</w:t>
            </w:r>
          </w:p>
        </w:tc>
        <w:tc>
          <w:tcPr>
            <w:tcW w:w="7279" w:type="dxa"/>
            <w:tcBorders>
              <w:top w:val="single" w:color="auto" w:sz="4" w:space="0"/>
              <w:left w:val="single" w:color="auto" w:sz="4" w:space="0"/>
              <w:right w:val="single" w:color="auto" w:sz="4" w:space="0"/>
            </w:tcBorders>
            <w:vAlign w:val="center"/>
          </w:tcPr>
          <w:p>
            <w:pPr>
              <w:snapToGrid w:val="0"/>
              <w:spacing w:line="360" w:lineRule="auto"/>
              <w:ind w:left="42" w:leftChars="20" w:right="42" w:rightChars="20"/>
              <w:jc w:val="left"/>
              <w:rPr>
                <w:rFonts w:ascii="宋体" w:hAnsi="宋体" w:cs="宋体"/>
              </w:rPr>
            </w:pPr>
            <w:r>
              <w:rPr>
                <w:rFonts w:hint="eastAsia" w:ascii="宋体" w:hAnsi="宋体" w:cs="宋体"/>
              </w:rPr>
              <w:t>对工程建设的程序和协调理解透彻，各项报批、报建工作顺利推进的清晰、操作性强；招标程序清晰、方案可行；（</w:t>
            </w:r>
            <w:r>
              <w:rPr>
                <w:rFonts w:hint="eastAsia" w:ascii="宋体" w:hAnsi="宋体" w:cs="宋体"/>
                <w:lang w:val="en-US" w:eastAsia="zh-CN"/>
              </w:rPr>
              <w:t>4</w:t>
            </w:r>
            <w:r>
              <w:rPr>
                <w:rFonts w:hint="eastAsia" w:ascii="宋体" w:hAnsi="宋体" w:cs="宋体"/>
              </w:rPr>
              <w:t>分）</w:t>
            </w:r>
          </w:p>
          <w:p>
            <w:pPr>
              <w:snapToGrid w:val="0"/>
              <w:spacing w:line="360" w:lineRule="auto"/>
              <w:ind w:left="42" w:leftChars="20" w:right="42" w:rightChars="20"/>
              <w:jc w:val="left"/>
              <w:rPr>
                <w:rFonts w:ascii="宋体" w:hAnsi="宋体" w:cs="宋体"/>
              </w:rPr>
            </w:pPr>
            <w:r>
              <w:rPr>
                <w:rFonts w:hint="eastAsia" w:ascii="宋体" w:hAnsi="宋体" w:cs="宋体"/>
              </w:rPr>
              <w:t>对工程建设的程序和协调理解较透彻，各项报批、报建工作顺利推进的较清晰、操作性一般；招标程序较清晰、方案基本可行；（</w:t>
            </w:r>
            <w:r>
              <w:rPr>
                <w:rFonts w:hint="eastAsia" w:ascii="宋体" w:hAnsi="宋体" w:cs="宋体"/>
                <w:lang w:val="en-US" w:eastAsia="zh-CN"/>
              </w:rPr>
              <w:t>3</w:t>
            </w:r>
            <w:r>
              <w:rPr>
                <w:rFonts w:hint="eastAsia" w:ascii="宋体" w:hAnsi="宋体" w:cs="宋体"/>
              </w:rPr>
              <w:t>分）</w:t>
            </w:r>
          </w:p>
          <w:p>
            <w:pPr>
              <w:snapToGrid w:val="0"/>
              <w:ind w:left="42" w:leftChars="20" w:right="42" w:rightChars="20"/>
              <w:jc w:val="left"/>
              <w:rPr>
                <w:rFonts w:ascii="宋体" w:hAnsi="宋体"/>
              </w:rPr>
            </w:pPr>
            <w:r>
              <w:rPr>
                <w:rFonts w:hint="eastAsia" w:ascii="宋体" w:hAnsi="宋体" w:cs="宋体"/>
              </w:rPr>
              <w:t>对工程建设的程序和协调理解不透彻，各项报批、报建工作顺利推进的差；招标程序不清晰、方案不可行； （</w:t>
            </w:r>
            <w:r>
              <w:rPr>
                <w:rFonts w:hint="eastAsia" w:ascii="宋体" w:hAnsi="宋体" w:cs="宋体"/>
                <w:lang w:val="en-US" w:eastAsia="zh-CN"/>
              </w:rPr>
              <w:t>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4" w:hRule="atLeast"/>
        </w:trPr>
        <w:tc>
          <w:tcPr>
            <w:tcW w:w="993" w:type="dxa"/>
            <w:vMerge w:val="continue"/>
            <w:tcBorders>
              <w:left w:val="single" w:color="auto" w:sz="4" w:space="0"/>
              <w:right w:val="single" w:color="auto" w:sz="4" w:space="0"/>
            </w:tcBorders>
            <w:vAlign w:val="center"/>
          </w:tcPr>
          <w:p>
            <w:pPr>
              <w:ind w:right="233" w:rightChars="111"/>
              <w:rPr>
                <w:rFonts w:ascii="宋体" w:hAnsi="宋体" w:cs="宋体"/>
                <w:color w:val="000000"/>
              </w:rPr>
            </w:pPr>
          </w:p>
        </w:tc>
        <w:tc>
          <w:tcPr>
            <w:tcW w:w="1043" w:type="dxa"/>
            <w:gridSpan w:val="2"/>
            <w:tcBorders>
              <w:top w:val="single" w:color="auto" w:sz="4" w:space="0"/>
              <w:left w:val="single" w:color="auto" w:sz="4" w:space="0"/>
              <w:right w:val="single" w:color="auto" w:sz="4" w:space="0"/>
            </w:tcBorders>
            <w:tcMar>
              <w:top w:w="17" w:type="dxa"/>
              <w:left w:w="17" w:type="dxa"/>
              <w:bottom w:w="0" w:type="dxa"/>
              <w:right w:w="17" w:type="dxa"/>
            </w:tcMar>
            <w:vAlign w:val="center"/>
          </w:tcPr>
          <w:p>
            <w:pPr>
              <w:ind w:left="147" w:leftChars="70" w:right="78" w:rightChars="37"/>
              <w:jc w:val="center"/>
              <w:rPr>
                <w:rFonts w:ascii="宋体" w:hAnsi="宋体"/>
              </w:rPr>
            </w:pPr>
            <w:r>
              <w:rPr>
                <w:rFonts w:hint="eastAsia" w:ascii="宋体" w:hAnsi="宋体"/>
              </w:rPr>
              <w:t>项目设计工作管理</w:t>
            </w:r>
          </w:p>
        </w:tc>
        <w:tc>
          <w:tcPr>
            <w:tcW w:w="567" w:type="dxa"/>
            <w:tcBorders>
              <w:top w:val="single" w:color="auto" w:sz="4" w:space="0"/>
              <w:left w:val="single" w:color="auto" w:sz="4" w:space="0"/>
              <w:right w:val="single" w:color="auto" w:sz="4" w:space="0"/>
            </w:tcBorders>
            <w:vAlign w:val="center"/>
          </w:tcPr>
          <w:p>
            <w:pPr>
              <w:ind w:right="78" w:rightChars="37"/>
              <w:jc w:val="center"/>
              <w:rPr>
                <w:rFonts w:ascii="宋体" w:hAnsi="宋体"/>
              </w:rPr>
            </w:pPr>
            <w:r>
              <w:rPr>
                <w:rFonts w:hint="eastAsia" w:ascii="宋体" w:hAnsi="宋体"/>
              </w:rPr>
              <w:t>3分</w:t>
            </w:r>
          </w:p>
        </w:tc>
        <w:tc>
          <w:tcPr>
            <w:tcW w:w="7279" w:type="dxa"/>
            <w:tcBorders>
              <w:top w:val="single" w:color="auto" w:sz="4" w:space="0"/>
              <w:left w:val="single" w:color="auto" w:sz="4" w:space="0"/>
              <w:right w:val="single" w:color="auto" w:sz="4" w:space="0"/>
            </w:tcBorders>
            <w:vAlign w:val="center"/>
          </w:tcPr>
          <w:p>
            <w:pPr>
              <w:snapToGrid w:val="0"/>
              <w:spacing w:line="360" w:lineRule="auto"/>
              <w:ind w:left="42" w:leftChars="20" w:right="42" w:rightChars="20"/>
              <w:jc w:val="left"/>
              <w:rPr>
                <w:rFonts w:ascii="宋体" w:hAnsi="宋体" w:cs="宋体"/>
              </w:rPr>
            </w:pPr>
            <w:r>
              <w:rPr>
                <w:rFonts w:hint="eastAsia" w:ascii="宋体" w:hAnsi="宋体" w:cs="宋体"/>
              </w:rPr>
              <w:t>设计管理重点明确、各项措施可行；（3分）</w:t>
            </w:r>
          </w:p>
          <w:p>
            <w:pPr>
              <w:snapToGrid w:val="0"/>
              <w:spacing w:line="360" w:lineRule="auto"/>
              <w:ind w:left="42" w:leftChars="20" w:right="42" w:rightChars="20"/>
              <w:jc w:val="left"/>
              <w:rPr>
                <w:rFonts w:ascii="宋体" w:hAnsi="宋体" w:cs="宋体"/>
              </w:rPr>
            </w:pPr>
            <w:r>
              <w:rPr>
                <w:rFonts w:hint="eastAsia" w:ascii="宋体" w:hAnsi="宋体" w:cs="宋体"/>
              </w:rPr>
              <w:t>设计管理重点较明确、各项措施基本可行；（2分）</w:t>
            </w:r>
          </w:p>
          <w:p>
            <w:pPr>
              <w:snapToGrid w:val="0"/>
              <w:ind w:left="42" w:leftChars="20" w:right="42" w:rightChars="20"/>
              <w:jc w:val="left"/>
              <w:rPr>
                <w:rFonts w:ascii="宋体" w:hAnsi="宋体"/>
              </w:rPr>
            </w:pPr>
            <w:r>
              <w:rPr>
                <w:rFonts w:hint="eastAsia" w:ascii="宋体" w:hAnsi="宋体" w:cs="宋体"/>
              </w:rPr>
              <w:t>设计管理重点不明确、各项措施不可行；（</w:t>
            </w:r>
            <w:r>
              <w:rPr>
                <w:rFonts w:hint="eastAsia" w:ascii="宋体" w:hAnsi="宋体" w:cs="宋体"/>
                <w:lang w:val="en-US" w:eastAsia="zh-CN"/>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5" w:hRule="atLeast"/>
        </w:trPr>
        <w:tc>
          <w:tcPr>
            <w:tcW w:w="993" w:type="dxa"/>
            <w:vMerge w:val="continue"/>
            <w:tcBorders>
              <w:left w:val="single" w:color="auto" w:sz="4" w:space="0"/>
              <w:right w:val="single" w:color="auto" w:sz="4" w:space="0"/>
            </w:tcBorders>
            <w:vAlign w:val="center"/>
          </w:tcPr>
          <w:p>
            <w:pPr>
              <w:ind w:right="233" w:rightChars="111"/>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vAlign w:val="center"/>
          </w:tcPr>
          <w:p>
            <w:pPr>
              <w:ind w:left="147" w:leftChars="70" w:right="78" w:rightChars="37"/>
              <w:jc w:val="center"/>
              <w:rPr>
                <w:rFonts w:ascii="宋体" w:hAnsi="宋体"/>
              </w:rPr>
            </w:pPr>
            <w:r>
              <w:rPr>
                <w:rFonts w:hint="eastAsia" w:ascii="宋体" w:hAnsi="宋体"/>
              </w:rPr>
              <w:t>项目进度管理</w:t>
            </w:r>
          </w:p>
        </w:tc>
        <w:tc>
          <w:tcPr>
            <w:tcW w:w="567" w:type="dxa"/>
            <w:tcBorders>
              <w:top w:val="single" w:color="auto" w:sz="4" w:space="0"/>
              <w:left w:val="single" w:color="auto" w:sz="4" w:space="0"/>
              <w:bottom w:val="single" w:color="auto" w:sz="4" w:space="0"/>
              <w:right w:val="single" w:color="auto" w:sz="4" w:space="0"/>
            </w:tcBorders>
            <w:vAlign w:val="center"/>
          </w:tcPr>
          <w:p>
            <w:pPr>
              <w:ind w:right="78" w:rightChars="37"/>
              <w:jc w:val="center"/>
              <w:rPr>
                <w:rFonts w:ascii="宋体" w:hAnsi="宋体"/>
              </w:rPr>
            </w:pPr>
            <w:r>
              <w:rPr>
                <w:rFonts w:hint="eastAsia" w:ascii="宋体" w:hAnsi="宋体"/>
              </w:rPr>
              <w:t>3分</w:t>
            </w:r>
          </w:p>
        </w:tc>
        <w:tc>
          <w:tcPr>
            <w:tcW w:w="7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 w:leftChars="20" w:right="42" w:rightChars="20"/>
              <w:jc w:val="left"/>
              <w:rPr>
                <w:rFonts w:ascii="宋体" w:hAnsi="宋体" w:cs="宋体"/>
              </w:rPr>
            </w:pPr>
            <w:r>
              <w:rPr>
                <w:rFonts w:hint="eastAsia" w:ascii="宋体" w:hAnsi="宋体" w:cs="宋体"/>
              </w:rPr>
              <w:t>具有完整的项目进度管理方法，方法合理准确；项目工期管控措施有力；（3分）</w:t>
            </w:r>
          </w:p>
          <w:p>
            <w:pPr>
              <w:snapToGrid w:val="0"/>
              <w:spacing w:line="360" w:lineRule="auto"/>
              <w:ind w:left="42" w:leftChars="20" w:right="42" w:rightChars="20"/>
              <w:jc w:val="left"/>
              <w:rPr>
                <w:rFonts w:ascii="宋体" w:hAnsi="宋体" w:cs="宋体"/>
              </w:rPr>
            </w:pPr>
            <w:r>
              <w:rPr>
                <w:rFonts w:hint="eastAsia" w:ascii="宋体" w:hAnsi="宋体" w:cs="宋体"/>
              </w:rPr>
              <w:t>具有项目进度管理方法，方法相对合理准确；项目工期管控措施一般；（2分）</w:t>
            </w:r>
          </w:p>
          <w:p>
            <w:pPr>
              <w:snapToGrid w:val="0"/>
              <w:ind w:left="42" w:leftChars="20" w:right="42" w:rightChars="20"/>
              <w:jc w:val="left"/>
              <w:rPr>
                <w:rFonts w:ascii="宋体" w:hAnsi="宋体"/>
              </w:rPr>
            </w:pPr>
            <w:r>
              <w:rPr>
                <w:rFonts w:hint="eastAsia" w:ascii="宋体" w:hAnsi="宋体" w:cs="宋体"/>
              </w:rPr>
              <w:t>具有项目进度管理方法，但方法不尽合理；项目工期管控措施操作性差；（</w:t>
            </w:r>
            <w:r>
              <w:rPr>
                <w:rFonts w:hint="eastAsia" w:ascii="宋体" w:hAnsi="宋体" w:cs="宋体"/>
                <w:lang w:val="en-US" w:eastAsia="zh-CN"/>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9" w:hRule="atLeast"/>
        </w:trPr>
        <w:tc>
          <w:tcPr>
            <w:tcW w:w="993" w:type="dxa"/>
            <w:vMerge w:val="continue"/>
            <w:tcBorders>
              <w:left w:val="single" w:color="auto" w:sz="4" w:space="0"/>
              <w:right w:val="single" w:color="auto" w:sz="4" w:space="0"/>
            </w:tcBorders>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right w:val="single" w:color="auto" w:sz="4" w:space="0"/>
            </w:tcBorders>
            <w:vAlign w:val="center"/>
          </w:tcPr>
          <w:p>
            <w:pPr>
              <w:ind w:left="147" w:leftChars="70" w:right="78" w:rightChars="37"/>
              <w:jc w:val="center"/>
              <w:rPr>
                <w:rFonts w:ascii="宋体" w:hAnsi="宋体"/>
              </w:rPr>
            </w:pPr>
            <w:r>
              <w:rPr>
                <w:rFonts w:hint="eastAsia" w:ascii="宋体" w:hAnsi="宋体" w:cs="宋体"/>
              </w:rPr>
              <w:t>项目质量管理</w:t>
            </w:r>
          </w:p>
        </w:tc>
        <w:tc>
          <w:tcPr>
            <w:tcW w:w="567" w:type="dxa"/>
            <w:tcBorders>
              <w:top w:val="single" w:color="auto" w:sz="4" w:space="0"/>
              <w:left w:val="single" w:color="auto" w:sz="4" w:space="0"/>
              <w:right w:val="single" w:color="auto" w:sz="4" w:space="0"/>
            </w:tcBorders>
            <w:vAlign w:val="center"/>
          </w:tcPr>
          <w:p>
            <w:pPr>
              <w:ind w:right="78" w:rightChars="37"/>
              <w:jc w:val="center"/>
              <w:rPr>
                <w:rFonts w:ascii="宋体" w:hAnsi="宋体"/>
              </w:rPr>
            </w:pPr>
            <w:r>
              <w:rPr>
                <w:rFonts w:hint="eastAsia" w:ascii="宋体" w:hAnsi="宋体"/>
              </w:rPr>
              <w:t>3分</w:t>
            </w:r>
          </w:p>
        </w:tc>
        <w:tc>
          <w:tcPr>
            <w:tcW w:w="7279" w:type="dxa"/>
            <w:tcBorders>
              <w:top w:val="single" w:color="auto" w:sz="4" w:space="0"/>
              <w:left w:val="single" w:color="auto" w:sz="4" w:space="0"/>
              <w:right w:val="single" w:color="auto" w:sz="4" w:space="0"/>
            </w:tcBorders>
            <w:vAlign w:val="center"/>
          </w:tcPr>
          <w:p>
            <w:pPr>
              <w:snapToGrid w:val="0"/>
              <w:spacing w:line="360" w:lineRule="auto"/>
              <w:ind w:left="42" w:leftChars="20" w:right="42" w:rightChars="20"/>
              <w:jc w:val="left"/>
              <w:rPr>
                <w:rFonts w:ascii="宋体" w:hAnsi="宋体" w:cs="宋体"/>
              </w:rPr>
            </w:pPr>
            <w:r>
              <w:rPr>
                <w:rFonts w:hint="eastAsia" w:ascii="宋体" w:hAnsi="宋体" w:cs="宋体"/>
              </w:rPr>
              <w:t>质量管理方法、措施明确具体，切实可行；（3分）</w:t>
            </w:r>
          </w:p>
          <w:p>
            <w:pPr>
              <w:snapToGrid w:val="0"/>
              <w:spacing w:line="360" w:lineRule="auto"/>
              <w:ind w:left="42" w:leftChars="20" w:right="42" w:rightChars="20"/>
              <w:jc w:val="left"/>
              <w:rPr>
                <w:rFonts w:ascii="宋体" w:hAnsi="宋体" w:cs="宋体"/>
              </w:rPr>
            </w:pPr>
            <w:r>
              <w:rPr>
                <w:rFonts w:hint="eastAsia" w:ascii="宋体" w:hAnsi="宋体" w:cs="宋体"/>
              </w:rPr>
              <w:t>质量管理方法、措施较具体，基本可行；（2分）</w:t>
            </w:r>
          </w:p>
          <w:p>
            <w:pPr>
              <w:tabs>
                <w:tab w:val="left" w:pos="6011"/>
              </w:tabs>
              <w:ind w:left="42" w:leftChars="20" w:right="42" w:rightChars="20"/>
              <w:jc w:val="left"/>
              <w:rPr>
                <w:rFonts w:ascii="宋体" w:hAnsi="宋体"/>
              </w:rPr>
            </w:pPr>
            <w:r>
              <w:rPr>
                <w:rFonts w:hint="eastAsia" w:ascii="宋体" w:hAnsi="宋体" w:cs="宋体"/>
              </w:rPr>
              <w:t>质量管理方法、措施不够具体，可行性差；（</w:t>
            </w:r>
            <w:r>
              <w:rPr>
                <w:rFonts w:hint="eastAsia" w:ascii="宋体" w:hAnsi="宋体" w:cs="宋体"/>
                <w:lang w:val="en-US" w:eastAsia="zh-CN"/>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4" w:hRule="atLeast"/>
        </w:trPr>
        <w:tc>
          <w:tcPr>
            <w:tcW w:w="993" w:type="dxa"/>
            <w:vMerge w:val="continue"/>
            <w:tcBorders>
              <w:left w:val="single" w:color="auto" w:sz="4" w:space="0"/>
              <w:right w:val="single" w:color="auto" w:sz="4" w:space="0"/>
            </w:tcBorders>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bottom w:val="single" w:color="auto" w:sz="4" w:space="0"/>
              <w:right w:val="single" w:color="auto" w:sz="4" w:space="0"/>
            </w:tcBorders>
            <w:vAlign w:val="center"/>
          </w:tcPr>
          <w:p>
            <w:pPr>
              <w:ind w:left="147" w:leftChars="70" w:right="78" w:rightChars="37"/>
              <w:jc w:val="center"/>
              <w:rPr>
                <w:rFonts w:ascii="宋体" w:hAnsi="宋体"/>
              </w:rPr>
            </w:pPr>
            <w:r>
              <w:rPr>
                <w:rFonts w:hint="eastAsia" w:ascii="宋体" w:hAnsi="宋体" w:cs="宋体"/>
              </w:rPr>
              <w:t>项目投资控制管理</w:t>
            </w:r>
          </w:p>
        </w:tc>
        <w:tc>
          <w:tcPr>
            <w:tcW w:w="567" w:type="dxa"/>
            <w:tcBorders>
              <w:top w:val="single" w:color="auto" w:sz="4" w:space="0"/>
              <w:left w:val="single" w:color="auto" w:sz="4" w:space="0"/>
              <w:bottom w:val="single" w:color="auto" w:sz="4" w:space="0"/>
              <w:right w:val="single" w:color="auto" w:sz="4" w:space="0"/>
            </w:tcBorders>
            <w:vAlign w:val="center"/>
          </w:tcPr>
          <w:p>
            <w:pPr>
              <w:ind w:right="78" w:rightChars="37"/>
              <w:jc w:val="center"/>
              <w:rPr>
                <w:rFonts w:ascii="宋体" w:hAnsi="宋体"/>
              </w:rPr>
            </w:pPr>
            <w:r>
              <w:rPr>
                <w:rFonts w:hint="eastAsia" w:ascii="宋体" w:hAnsi="宋体"/>
              </w:rPr>
              <w:t>3分</w:t>
            </w:r>
          </w:p>
        </w:tc>
        <w:tc>
          <w:tcPr>
            <w:tcW w:w="7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 w:leftChars="20" w:right="42" w:rightChars="20"/>
              <w:jc w:val="left"/>
              <w:rPr>
                <w:rFonts w:ascii="宋体" w:hAnsi="宋体" w:cs="宋体"/>
              </w:rPr>
            </w:pPr>
            <w:r>
              <w:rPr>
                <w:rFonts w:hint="eastAsia" w:ascii="宋体" w:hAnsi="宋体" w:cs="宋体"/>
              </w:rPr>
              <w:t>投资管理方案可行，措施具体、完善；（3分）</w:t>
            </w:r>
          </w:p>
          <w:p>
            <w:pPr>
              <w:snapToGrid w:val="0"/>
              <w:spacing w:line="360" w:lineRule="auto"/>
              <w:ind w:left="42" w:leftChars="20" w:right="42" w:rightChars="20"/>
              <w:jc w:val="left"/>
              <w:rPr>
                <w:rFonts w:ascii="宋体" w:hAnsi="宋体" w:cs="宋体"/>
              </w:rPr>
            </w:pPr>
            <w:r>
              <w:rPr>
                <w:rFonts w:hint="eastAsia" w:ascii="宋体" w:hAnsi="宋体" w:cs="宋体"/>
              </w:rPr>
              <w:t>投资管理方案较可行，措施一般；（2分）</w:t>
            </w:r>
          </w:p>
          <w:p>
            <w:pPr>
              <w:snapToGrid w:val="0"/>
              <w:ind w:left="42" w:leftChars="20" w:right="42" w:rightChars="20"/>
              <w:jc w:val="left"/>
              <w:rPr>
                <w:rFonts w:ascii="宋体" w:hAnsi="宋体"/>
              </w:rPr>
            </w:pPr>
            <w:r>
              <w:rPr>
                <w:rFonts w:hint="eastAsia" w:ascii="宋体" w:hAnsi="宋体" w:cs="宋体"/>
              </w:rPr>
              <w:t>投资管理方案较可行性，措施不具体；（</w:t>
            </w:r>
            <w:r>
              <w:rPr>
                <w:rFonts w:hint="eastAsia" w:ascii="宋体" w:hAnsi="宋体" w:cs="宋体"/>
                <w:lang w:val="en-US" w:eastAsia="zh-CN"/>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69" w:hRule="atLeast"/>
        </w:trPr>
        <w:tc>
          <w:tcPr>
            <w:tcW w:w="993" w:type="dxa"/>
            <w:vMerge w:val="continue"/>
            <w:tcBorders>
              <w:left w:val="single" w:color="auto" w:sz="4" w:space="0"/>
              <w:right w:val="single" w:color="auto" w:sz="4" w:space="0"/>
            </w:tcBorders>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right w:val="single" w:color="auto" w:sz="4" w:space="0"/>
            </w:tcBorders>
            <w:vAlign w:val="center"/>
          </w:tcPr>
          <w:p>
            <w:pPr>
              <w:ind w:left="147" w:leftChars="70" w:right="78" w:rightChars="37"/>
              <w:jc w:val="center"/>
              <w:rPr>
                <w:rFonts w:ascii="宋体" w:hAnsi="宋体"/>
              </w:rPr>
            </w:pPr>
            <w:r>
              <w:rPr>
                <w:rFonts w:hint="eastAsia" w:ascii="宋体" w:hAnsi="宋体" w:cs="宋体"/>
              </w:rPr>
              <w:t>项目安全文明施工管理</w:t>
            </w:r>
          </w:p>
        </w:tc>
        <w:tc>
          <w:tcPr>
            <w:tcW w:w="567" w:type="dxa"/>
            <w:tcBorders>
              <w:top w:val="single" w:color="auto" w:sz="4" w:space="0"/>
              <w:left w:val="single" w:color="auto" w:sz="4" w:space="0"/>
              <w:right w:val="single" w:color="auto" w:sz="4" w:space="0"/>
            </w:tcBorders>
            <w:vAlign w:val="center"/>
          </w:tcPr>
          <w:p>
            <w:pPr>
              <w:ind w:left="147" w:leftChars="70" w:right="78" w:rightChars="37"/>
              <w:jc w:val="center"/>
              <w:rPr>
                <w:rFonts w:ascii="宋体" w:hAnsi="宋体"/>
              </w:rPr>
            </w:pPr>
            <w:r>
              <w:rPr>
                <w:rFonts w:hint="eastAsia" w:ascii="宋体" w:hAnsi="宋体" w:cs="宋体"/>
                <w:lang w:val="en-US" w:eastAsia="zh-CN"/>
              </w:rPr>
              <w:t>3</w:t>
            </w:r>
            <w:r>
              <w:rPr>
                <w:rFonts w:hint="eastAsia" w:ascii="宋体" w:hAnsi="宋体" w:cs="宋体"/>
              </w:rPr>
              <w:t>分</w:t>
            </w:r>
          </w:p>
        </w:tc>
        <w:tc>
          <w:tcPr>
            <w:tcW w:w="7279" w:type="dxa"/>
            <w:tcBorders>
              <w:top w:val="single" w:color="auto" w:sz="4" w:space="0"/>
              <w:left w:val="single" w:color="auto" w:sz="4" w:space="0"/>
              <w:right w:val="single" w:color="auto" w:sz="4" w:space="0"/>
            </w:tcBorders>
            <w:vAlign w:val="center"/>
          </w:tcPr>
          <w:p>
            <w:pPr>
              <w:snapToGrid w:val="0"/>
              <w:spacing w:line="360" w:lineRule="auto"/>
              <w:ind w:left="42" w:leftChars="20" w:right="42" w:rightChars="20"/>
              <w:jc w:val="left"/>
              <w:rPr>
                <w:rFonts w:ascii="宋体" w:hAnsi="宋体" w:cs="宋体"/>
              </w:rPr>
            </w:pPr>
            <w:r>
              <w:rPr>
                <w:rFonts w:hint="eastAsia" w:ascii="宋体" w:hAnsi="宋体" w:cs="宋体"/>
              </w:rPr>
              <w:t>安全文明施工管理方案内容全面，各项措施明确具体，切实可行；（</w:t>
            </w:r>
            <w:r>
              <w:rPr>
                <w:rFonts w:hint="eastAsia" w:ascii="宋体" w:hAnsi="宋体" w:cs="宋体"/>
                <w:lang w:val="en-US" w:eastAsia="zh-CN"/>
              </w:rPr>
              <w:t>3</w:t>
            </w:r>
            <w:r>
              <w:rPr>
                <w:rFonts w:hint="eastAsia" w:ascii="宋体" w:hAnsi="宋体" w:cs="宋体"/>
              </w:rPr>
              <w:t>分）</w:t>
            </w:r>
          </w:p>
          <w:p>
            <w:pPr>
              <w:snapToGrid w:val="0"/>
              <w:spacing w:line="360" w:lineRule="auto"/>
              <w:ind w:left="42" w:leftChars="20" w:right="42" w:rightChars="20"/>
              <w:jc w:val="left"/>
              <w:rPr>
                <w:rFonts w:ascii="宋体" w:hAnsi="宋体" w:cs="宋体"/>
              </w:rPr>
            </w:pPr>
            <w:r>
              <w:rPr>
                <w:rFonts w:hint="eastAsia" w:ascii="宋体" w:hAnsi="宋体" w:cs="宋体"/>
              </w:rPr>
              <w:t>安全文明施工管理方案内容较全面，各项措施较具体，基本可行；（</w:t>
            </w:r>
            <w:r>
              <w:rPr>
                <w:rFonts w:hint="eastAsia" w:ascii="宋体" w:hAnsi="宋体" w:cs="宋体"/>
                <w:lang w:val="en-US" w:eastAsia="zh-CN"/>
              </w:rPr>
              <w:t>2</w:t>
            </w:r>
            <w:r>
              <w:rPr>
                <w:rFonts w:hint="eastAsia" w:ascii="宋体" w:hAnsi="宋体" w:cs="宋体"/>
              </w:rPr>
              <w:t>分）</w:t>
            </w:r>
          </w:p>
          <w:p>
            <w:pPr>
              <w:ind w:left="42" w:leftChars="20" w:right="42" w:rightChars="20"/>
              <w:jc w:val="left"/>
            </w:pPr>
            <w:r>
              <w:rPr>
                <w:rFonts w:hint="eastAsia" w:ascii="宋体" w:hAnsi="宋体" w:cs="宋体"/>
              </w:rPr>
              <w:t>安全文明施工管理方案内容不够全面，各项措施不够具体，可行性差；（</w:t>
            </w:r>
            <w:r>
              <w:rPr>
                <w:rFonts w:hint="eastAsia" w:ascii="宋体" w:hAnsi="宋体" w:cs="宋体"/>
                <w:lang w:val="en-US" w:eastAsia="zh-CN"/>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96" w:hRule="atLeast"/>
        </w:trPr>
        <w:tc>
          <w:tcPr>
            <w:tcW w:w="993" w:type="dxa"/>
            <w:vMerge w:val="continue"/>
            <w:tcBorders>
              <w:left w:val="single" w:color="auto" w:sz="4" w:space="0"/>
              <w:right w:val="single" w:color="auto" w:sz="4" w:space="0"/>
            </w:tcBorders>
            <w:vAlign w:val="center"/>
          </w:tcPr>
          <w:p>
            <w:pPr>
              <w:widowControl/>
              <w:jc w:val="left"/>
              <w:rPr>
                <w:rFonts w:ascii="宋体" w:hAnsi="宋体" w:cs="宋体"/>
                <w:color w:val="000000"/>
              </w:rPr>
            </w:pPr>
          </w:p>
        </w:tc>
        <w:tc>
          <w:tcPr>
            <w:tcW w:w="1043" w:type="dxa"/>
            <w:gridSpan w:val="2"/>
            <w:tcBorders>
              <w:top w:val="single" w:color="auto" w:sz="4" w:space="0"/>
              <w:left w:val="single" w:color="auto" w:sz="4" w:space="0"/>
              <w:right w:val="single" w:color="auto" w:sz="4" w:space="0"/>
            </w:tcBorders>
            <w:vAlign w:val="center"/>
          </w:tcPr>
          <w:p>
            <w:pPr>
              <w:ind w:left="147" w:leftChars="70" w:right="78" w:rightChars="37"/>
              <w:jc w:val="center"/>
              <w:rPr>
                <w:rFonts w:ascii="宋体" w:hAnsi="宋体" w:cs="宋体"/>
              </w:rPr>
            </w:pPr>
            <w:r>
              <w:rPr>
                <w:rFonts w:hint="eastAsia" w:ascii="宋体" w:hAnsi="宋体" w:cs="宋体"/>
              </w:rPr>
              <w:t>竣工验收、工程结算和决算管理</w:t>
            </w:r>
          </w:p>
        </w:tc>
        <w:tc>
          <w:tcPr>
            <w:tcW w:w="567" w:type="dxa"/>
            <w:tcBorders>
              <w:top w:val="single" w:color="auto" w:sz="4" w:space="0"/>
              <w:left w:val="single" w:color="auto" w:sz="4" w:space="0"/>
              <w:right w:val="single" w:color="auto" w:sz="4" w:space="0"/>
            </w:tcBorders>
            <w:vAlign w:val="center"/>
          </w:tcPr>
          <w:p>
            <w:pPr>
              <w:ind w:left="147" w:leftChars="70" w:right="78" w:rightChars="37"/>
              <w:jc w:val="center"/>
              <w:rPr>
                <w:rFonts w:ascii="宋体" w:hAnsi="宋体"/>
              </w:rPr>
            </w:pPr>
            <w:r>
              <w:rPr>
                <w:rFonts w:hint="eastAsia" w:ascii="宋体" w:hAnsi="宋体" w:cs="宋体"/>
                <w:lang w:val="en-US" w:eastAsia="zh-CN"/>
              </w:rPr>
              <w:t>3</w:t>
            </w:r>
            <w:r>
              <w:rPr>
                <w:rFonts w:hint="eastAsia" w:ascii="宋体" w:hAnsi="宋体" w:cs="宋体"/>
              </w:rPr>
              <w:t>分</w:t>
            </w:r>
          </w:p>
        </w:tc>
        <w:tc>
          <w:tcPr>
            <w:tcW w:w="7279" w:type="dxa"/>
            <w:tcBorders>
              <w:top w:val="single" w:color="auto" w:sz="4" w:space="0"/>
              <w:left w:val="single" w:color="auto" w:sz="4" w:space="0"/>
              <w:right w:val="single" w:color="auto" w:sz="4" w:space="0"/>
            </w:tcBorders>
            <w:vAlign w:val="center"/>
          </w:tcPr>
          <w:p>
            <w:pPr>
              <w:snapToGrid w:val="0"/>
              <w:spacing w:line="360" w:lineRule="auto"/>
              <w:ind w:left="42" w:leftChars="20" w:right="42" w:rightChars="20"/>
              <w:jc w:val="left"/>
              <w:rPr>
                <w:rFonts w:ascii="宋体" w:hAnsi="宋体" w:cs="宋体"/>
              </w:rPr>
            </w:pPr>
            <w:r>
              <w:rPr>
                <w:rFonts w:hint="eastAsia" w:ascii="宋体" w:hAnsi="宋体" w:cs="宋体"/>
              </w:rPr>
              <w:t>竣工验收、工程结算和决算的工作计划安排能够做到筹划有序，措施得当；（</w:t>
            </w:r>
            <w:r>
              <w:rPr>
                <w:rFonts w:hint="eastAsia" w:ascii="宋体" w:hAnsi="宋体" w:cs="宋体"/>
                <w:lang w:val="en-US" w:eastAsia="zh-CN"/>
              </w:rPr>
              <w:t>3</w:t>
            </w:r>
            <w:r>
              <w:rPr>
                <w:rFonts w:hint="eastAsia" w:ascii="宋体" w:hAnsi="宋体" w:cs="宋体"/>
              </w:rPr>
              <w:t>分）</w:t>
            </w:r>
          </w:p>
          <w:p>
            <w:pPr>
              <w:snapToGrid w:val="0"/>
              <w:spacing w:line="360" w:lineRule="auto"/>
              <w:ind w:left="42" w:leftChars="20" w:right="42" w:rightChars="20"/>
              <w:jc w:val="left"/>
              <w:rPr>
                <w:rFonts w:ascii="宋体" w:hAnsi="宋体" w:cs="宋体"/>
              </w:rPr>
            </w:pPr>
            <w:r>
              <w:rPr>
                <w:rFonts w:hint="eastAsia" w:ascii="宋体" w:hAnsi="宋体" w:cs="宋体"/>
              </w:rPr>
              <w:t>竣工验收、工程结算和决算的工作计划安排能够做到筹划较有序，措施较得当；（</w:t>
            </w:r>
            <w:r>
              <w:rPr>
                <w:rFonts w:hint="eastAsia" w:ascii="宋体" w:hAnsi="宋体" w:cs="宋体"/>
                <w:lang w:val="en-US" w:eastAsia="zh-CN"/>
              </w:rPr>
              <w:t>2</w:t>
            </w:r>
            <w:r>
              <w:rPr>
                <w:rFonts w:hint="eastAsia" w:ascii="宋体" w:hAnsi="宋体" w:cs="宋体"/>
              </w:rPr>
              <w:t>分）</w:t>
            </w:r>
          </w:p>
          <w:p>
            <w:pPr>
              <w:ind w:left="42" w:leftChars="20" w:right="42" w:rightChars="20"/>
              <w:jc w:val="left"/>
              <w:rPr>
                <w:rFonts w:ascii="宋体" w:hAnsi="宋体" w:cs="宋体"/>
              </w:rPr>
            </w:pPr>
            <w:r>
              <w:rPr>
                <w:rFonts w:hint="eastAsia" w:ascii="宋体" w:hAnsi="宋体" w:cs="宋体"/>
              </w:rPr>
              <w:t>竣工验收、工程结算和决算的工作计划安排较差，措施不得当；（</w:t>
            </w:r>
            <w:r>
              <w:rPr>
                <w:rFonts w:hint="eastAsia" w:ascii="宋体" w:hAnsi="宋体" w:cs="宋体"/>
                <w:lang w:val="en-US" w:eastAsia="zh-CN"/>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trPr>
        <w:tc>
          <w:tcPr>
            <w:tcW w:w="1018" w:type="dxa"/>
            <w:gridSpan w:val="2"/>
            <w:tcBorders>
              <w:top w:val="single" w:color="auto" w:sz="4" w:space="0"/>
              <w:left w:val="single" w:color="auto" w:sz="4" w:space="0"/>
              <w:bottom w:val="single" w:color="auto" w:sz="4" w:space="0"/>
              <w:right w:val="single" w:color="auto" w:sz="4" w:space="0"/>
            </w:tcBorders>
            <w:vAlign w:val="center"/>
          </w:tcPr>
          <w:p>
            <w:pPr>
              <w:ind w:right="63" w:rightChars="30"/>
              <w:jc w:val="center"/>
              <w:rPr>
                <w:rFonts w:ascii="宋体" w:hAnsi="宋体" w:cs="宋体"/>
                <w:color w:val="000000"/>
              </w:rPr>
            </w:pPr>
            <w:r>
              <w:rPr>
                <w:rFonts w:hint="eastAsia" w:ascii="宋体" w:hAnsi="宋体" w:cs="宋体"/>
                <w:color w:val="000000"/>
              </w:rPr>
              <w:t>价格部分</w:t>
            </w:r>
          </w:p>
          <w:p>
            <w:pPr>
              <w:ind w:left="147" w:leftChars="70" w:right="359" w:rightChars="171"/>
              <w:jc w:val="center"/>
              <w:rPr>
                <w:rFonts w:ascii="宋体" w:hAnsi="宋体" w:cs="宋体"/>
                <w:color w:val="000000"/>
              </w:rPr>
            </w:pPr>
            <w:r>
              <w:rPr>
                <w:rFonts w:hint="eastAsia" w:ascii="宋体" w:hAnsi="宋体" w:cs="宋体"/>
                <w:color w:val="000000"/>
              </w:rPr>
              <w:t>（</w:t>
            </w:r>
            <w:r>
              <w:rPr>
                <w:rFonts w:ascii="宋体" w:hAnsi="宋体" w:cs="宋体"/>
                <w:color w:val="000000"/>
              </w:rPr>
              <w:t>10</w:t>
            </w:r>
            <w:r>
              <w:rPr>
                <w:rFonts w:hint="eastAsia" w:ascii="宋体" w:hAnsi="宋体" w:cs="宋体"/>
                <w:color w:val="000000"/>
              </w:rPr>
              <w:t>分）</w:t>
            </w:r>
          </w:p>
        </w:tc>
        <w:tc>
          <w:tcPr>
            <w:tcW w:w="1018" w:type="dxa"/>
            <w:tcBorders>
              <w:top w:val="single" w:color="auto" w:sz="4" w:space="0"/>
              <w:left w:val="single" w:color="auto" w:sz="4" w:space="0"/>
              <w:bottom w:val="single" w:color="auto" w:sz="4" w:space="0"/>
              <w:right w:val="single" w:color="auto" w:sz="4" w:space="0"/>
            </w:tcBorders>
            <w:vAlign w:val="center"/>
          </w:tcPr>
          <w:p>
            <w:pPr>
              <w:ind w:left="147" w:leftChars="70" w:right="359" w:rightChars="171"/>
              <w:jc w:val="center"/>
              <w:rPr>
                <w:rFonts w:ascii="宋体" w:hAnsi="宋体" w:cs="宋体"/>
                <w:color w:val="000000"/>
              </w:rPr>
            </w:pPr>
            <w:r>
              <w:rPr>
                <w:rFonts w:hint="eastAsia" w:ascii="宋体" w:hAnsi="宋体" w:cs="宋体"/>
              </w:rPr>
              <w:t>报价评分</w:t>
            </w:r>
          </w:p>
        </w:tc>
        <w:tc>
          <w:tcPr>
            <w:tcW w:w="567" w:type="dxa"/>
            <w:tcBorders>
              <w:top w:val="single" w:color="auto" w:sz="4" w:space="0"/>
              <w:left w:val="single" w:color="auto" w:sz="4" w:space="0"/>
              <w:bottom w:val="single" w:color="auto" w:sz="4" w:space="0"/>
              <w:right w:val="single" w:color="auto" w:sz="4" w:space="0"/>
            </w:tcBorders>
            <w:vAlign w:val="center"/>
          </w:tcPr>
          <w:p>
            <w:pPr>
              <w:ind w:right="113" w:rightChars="54"/>
              <w:jc w:val="center"/>
              <w:rPr>
                <w:rFonts w:ascii="宋体" w:hAnsi="宋体" w:cs="宋体"/>
                <w:color w:val="000000"/>
              </w:rPr>
            </w:pPr>
            <w:r>
              <w:rPr>
                <w:rFonts w:hint="eastAsia" w:ascii="宋体" w:hAnsi="宋体"/>
              </w:rPr>
              <w:t>10分</w:t>
            </w:r>
          </w:p>
        </w:tc>
        <w:tc>
          <w:tcPr>
            <w:tcW w:w="7279"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left"/>
              <w:rPr>
                <w:rFonts w:ascii="宋体" w:hAnsi="宋体" w:cs="宋体"/>
                <w:color w:val="000000"/>
              </w:rPr>
            </w:pPr>
            <w:r>
              <w:rPr>
                <w:rFonts w:hint="eastAsia" w:ascii="宋体" w:hAnsi="宋体"/>
              </w:rPr>
              <w:t>以评标基准价作为计算各有效投标价得分的基础，当有效投标报价等于评标基准价时得10分，投标报价每高于评标基准价1%，扣0.</w:t>
            </w:r>
            <w:r>
              <w:rPr>
                <w:rFonts w:hint="eastAsia" w:ascii="宋体" w:hAnsi="宋体"/>
                <w:lang w:val="en-US" w:eastAsia="zh-CN"/>
              </w:rPr>
              <w:t>5</w:t>
            </w:r>
            <w:r>
              <w:rPr>
                <w:rFonts w:hint="eastAsia" w:ascii="宋体" w:hAnsi="宋体"/>
              </w:rPr>
              <w:t>分，每低于评标基准价1%，扣0.</w:t>
            </w:r>
            <w:r>
              <w:rPr>
                <w:rFonts w:hint="eastAsia" w:ascii="宋体" w:hAnsi="宋体"/>
                <w:lang w:val="en-US" w:eastAsia="zh-CN"/>
              </w:rPr>
              <w:t>3</w:t>
            </w:r>
            <w:r>
              <w:rPr>
                <w:rFonts w:hint="eastAsia" w:ascii="宋体" w:hAnsi="宋体"/>
              </w:rPr>
              <w:t>分，最多扣10分，得出投标报价得分，精确到小数点后两位。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2" w:hRule="atLeast"/>
        </w:trPr>
        <w:tc>
          <w:tcPr>
            <w:tcW w:w="2036" w:type="dxa"/>
            <w:gridSpan w:val="3"/>
            <w:tcBorders>
              <w:top w:val="single" w:color="auto" w:sz="4" w:space="0"/>
              <w:left w:val="single" w:color="auto" w:sz="4" w:space="0"/>
              <w:bottom w:val="single" w:color="auto" w:sz="4" w:space="0"/>
              <w:right w:val="single" w:color="auto" w:sz="4" w:space="0"/>
            </w:tcBorders>
            <w:vAlign w:val="center"/>
          </w:tcPr>
          <w:p>
            <w:pPr>
              <w:ind w:left="147" w:leftChars="70" w:right="359" w:rightChars="171"/>
              <w:jc w:val="center"/>
              <w:rPr>
                <w:rFonts w:ascii="宋体" w:hAnsi="宋体" w:cs="宋体"/>
                <w:color w:val="000000"/>
              </w:rPr>
            </w:pPr>
            <w:r>
              <w:rPr>
                <w:rFonts w:hint="eastAsia" w:ascii="宋体" w:hAnsi="宋体" w:cs="宋体"/>
                <w:color w:val="000000"/>
              </w:rPr>
              <w:t>合计</w:t>
            </w:r>
          </w:p>
        </w:tc>
        <w:tc>
          <w:tcPr>
            <w:tcW w:w="567" w:type="dxa"/>
            <w:tcBorders>
              <w:top w:val="single" w:color="auto" w:sz="4" w:space="0"/>
              <w:left w:val="single" w:color="auto" w:sz="4" w:space="0"/>
              <w:bottom w:val="single" w:color="auto" w:sz="4" w:space="0"/>
              <w:right w:val="single" w:color="auto" w:sz="4" w:space="0"/>
            </w:tcBorders>
            <w:vAlign w:val="center"/>
          </w:tcPr>
          <w:p>
            <w:pPr>
              <w:ind w:right="113" w:rightChars="54"/>
              <w:jc w:val="center"/>
              <w:rPr>
                <w:rFonts w:ascii="宋体" w:hAnsi="宋体" w:cs="宋体"/>
                <w:color w:val="000000"/>
              </w:rPr>
            </w:pPr>
            <w:r>
              <w:rPr>
                <w:rFonts w:ascii="宋体" w:hAnsi="宋体" w:cs="宋体"/>
                <w:color w:val="000000"/>
              </w:rPr>
              <w:t>100</w:t>
            </w:r>
            <w:r>
              <w:rPr>
                <w:rFonts w:hint="eastAsia" w:ascii="宋体" w:hAnsi="宋体" w:cs="宋体"/>
                <w:color w:val="000000"/>
              </w:rPr>
              <w:t>分</w:t>
            </w:r>
          </w:p>
        </w:tc>
        <w:tc>
          <w:tcPr>
            <w:tcW w:w="7279"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jc w:val="left"/>
              <w:rPr>
                <w:rFonts w:ascii="宋体" w:hAnsi="宋体" w:cs="宋体"/>
                <w:color w:val="000000"/>
              </w:rPr>
            </w:pPr>
          </w:p>
        </w:tc>
      </w:tr>
    </w:tbl>
    <w:p>
      <w:pPr>
        <w:snapToGrid w:val="0"/>
        <w:ind w:firstLine="420" w:firstLineChars="200"/>
        <w:rPr>
          <w:rFonts w:ascii="宋体" w:hAnsi="宋体"/>
          <w:color w:val="000000"/>
        </w:rPr>
      </w:pPr>
    </w:p>
    <w:p>
      <w:pPr>
        <w:spacing w:line="463" w:lineRule="exact"/>
        <w:ind w:left="100" w:right="-20"/>
        <w:jc w:val="left"/>
        <w:rPr>
          <w:rFonts w:ascii="宋体" w:hAnsi="宋体"/>
          <w:color w:val="000000"/>
        </w:rPr>
      </w:pPr>
      <w:bookmarkStart w:id="82" w:name="_Toc12886"/>
      <w:bookmarkEnd w:id="82"/>
      <w:bookmarkStart w:id="83" w:name="_Toc514170133"/>
      <w:bookmarkEnd w:id="83"/>
      <w:bookmarkStart w:id="84" w:name="_Toc13470"/>
      <w:bookmarkEnd w:id="84"/>
      <w:bookmarkStart w:id="85" w:name="_Toc22155"/>
      <w:bookmarkEnd w:id="85"/>
      <w:bookmarkStart w:id="86" w:name="_Toc24248"/>
      <w:bookmarkEnd w:id="86"/>
      <w:bookmarkStart w:id="87" w:name="_Toc19290"/>
      <w:bookmarkEnd w:id="87"/>
      <w:bookmarkStart w:id="88" w:name="_Toc2468"/>
      <w:r>
        <w:rPr>
          <w:rFonts w:hint="eastAsia" w:ascii="宋体" w:hAnsi="宋体"/>
          <w:color w:val="000000"/>
        </w:rPr>
        <w:t>注：1、本评分表满分100分。</w:t>
      </w:r>
    </w:p>
    <w:p>
      <w:pPr>
        <w:spacing w:line="463" w:lineRule="exact"/>
        <w:ind w:left="100" w:right="-20"/>
        <w:jc w:val="left"/>
        <w:rPr>
          <w:rFonts w:ascii="宋体" w:hAnsi="宋体"/>
          <w:color w:val="000000"/>
        </w:rPr>
      </w:pPr>
      <w:r>
        <w:rPr>
          <w:rFonts w:hint="eastAsia" w:ascii="宋体" w:hAnsi="宋体"/>
          <w:color w:val="000000"/>
        </w:rPr>
        <w:t>2、以上各分项内容不能重复计分。</w:t>
      </w:r>
    </w:p>
    <w:p>
      <w:pPr>
        <w:spacing w:line="463" w:lineRule="exact"/>
        <w:ind w:left="100" w:right="-20"/>
        <w:jc w:val="left"/>
        <w:rPr>
          <w:rFonts w:ascii="宋体" w:hAnsi="宋体"/>
          <w:color w:val="000000"/>
        </w:rPr>
      </w:pPr>
      <w:r>
        <w:rPr>
          <w:rFonts w:hint="eastAsia" w:ascii="宋体" w:hAnsi="宋体"/>
          <w:color w:val="000000"/>
        </w:rPr>
        <w:t>3、投标人在投标文件中的人员资格、业绩和企业信誉方面内容必须提供相应的证明材料，拟投入人员需提供自投标截止日前在投标人本单位连续缴纳满半年或以上的社保证明(社保证明需能反映参保人在该投标单位缴纳社保)，若为退休人员需提供退休证和返聘证明，否则视为非投入人员，且不计算得分。</w:t>
      </w:r>
    </w:p>
    <w:p>
      <w:pPr>
        <w:spacing w:line="463" w:lineRule="exact"/>
        <w:ind w:left="100" w:right="-20"/>
        <w:jc w:val="left"/>
        <w:rPr>
          <w:rFonts w:ascii="宋体" w:hAnsi="宋体"/>
          <w:color w:val="000000"/>
        </w:rPr>
      </w:pPr>
      <w:r>
        <w:rPr>
          <w:rFonts w:hint="eastAsia" w:ascii="宋体" w:hAnsi="宋体"/>
          <w:color w:val="000000"/>
        </w:rPr>
        <w:t>4、各评委评出各有效投标文件的资信业绩部分得分、技术部分得分后，投标人的得分为各评委的评分去掉一个最高分和一个最低分后计取的算术平均分（分数出现小数点时，保留小数点后二位，第三位小数四舍五入），作为该投标单位的最后资信业绩部分得分、技术部分得分；</w:t>
      </w:r>
    </w:p>
    <w:p>
      <w:pPr>
        <w:spacing w:line="463" w:lineRule="exact"/>
        <w:ind w:left="100" w:right="-20"/>
        <w:jc w:val="left"/>
        <w:rPr>
          <w:rFonts w:ascii="宋体" w:hAnsi="宋体"/>
          <w:color w:val="000000"/>
        </w:rPr>
      </w:pPr>
      <w:r>
        <w:rPr>
          <w:rFonts w:hint="eastAsia" w:ascii="宋体" w:hAnsi="宋体"/>
          <w:color w:val="000000"/>
        </w:rPr>
        <w:t>5、评分如出现小数点，则保留小数点后两位，第三位四舍五入。</w:t>
      </w: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1</w:t>
      </w:r>
      <w:bookmarkEnd w:id="88"/>
      <w:r>
        <w:rPr>
          <w:rFonts w:hint="eastAsia" w:ascii="宋体" w:hAnsi="宋体"/>
          <w:b/>
          <w:bCs/>
          <w:color w:val="000000"/>
          <w:sz w:val="32"/>
          <w:szCs w:val="32"/>
        </w:rPr>
        <w:t xml:space="preserve">. </w:t>
      </w:r>
      <w:r>
        <w:rPr>
          <w:rFonts w:hint="eastAsia" w:ascii="宋体" w:hAnsi="宋体"/>
          <w:color w:val="000000"/>
          <w:sz w:val="32"/>
          <w:szCs w:val="32"/>
        </w:rPr>
        <w:t>评标方法</w:t>
      </w:r>
    </w:p>
    <w:p>
      <w:pPr>
        <w:spacing w:line="200" w:lineRule="exact"/>
        <w:jc w:val="left"/>
        <w:rPr>
          <w:rFonts w:ascii="宋体" w:hAnsi="宋体"/>
          <w:color w:val="000000"/>
          <w:sz w:val="20"/>
          <w:szCs w:val="20"/>
        </w:rPr>
      </w:pPr>
    </w:p>
    <w:p>
      <w:pPr>
        <w:spacing w:line="360" w:lineRule="auto"/>
        <w:ind w:firstLine="424" w:firstLineChars="202"/>
        <w:rPr>
          <w:rFonts w:ascii="宋体" w:hAnsi="宋体"/>
          <w:color w:val="000000"/>
        </w:rPr>
      </w:pPr>
      <w:r>
        <w:rPr>
          <w:rFonts w:hint="eastAsia" w:ascii="宋体" w:hAnsi="宋体"/>
          <w:color w:val="000000"/>
        </w:rPr>
        <w:t>本次评标采用综合评估法。评标委员会对满足招标文件实质性要求的投标文件，按照本章第2.2款规定的评分标准进行打分，并推荐满足招标文件要求且总得分排序的名次最高者为第一中标候选人，推荐满足招标文件要求且总得分排序的名次次高者为第二中标候选人，推荐满足招标文件要求且总得分排序第三高者为第三中标候选人，综合评分相等时，以投标报价低的优先；投标报价也相等的，以技术服务方案得分高的优先；如果技术服务方案得分也相等，由评标委员会采用记名投票方式，以得票多的优先。</w:t>
      </w:r>
    </w:p>
    <w:p>
      <w:pPr>
        <w:spacing w:line="463" w:lineRule="exact"/>
        <w:ind w:left="100" w:right="-20"/>
        <w:jc w:val="left"/>
        <w:rPr>
          <w:rFonts w:ascii="宋体" w:hAnsi="宋体"/>
          <w:color w:val="000000"/>
          <w:sz w:val="32"/>
          <w:szCs w:val="32"/>
        </w:rPr>
      </w:pPr>
    </w:p>
    <w:p>
      <w:pPr>
        <w:spacing w:line="463" w:lineRule="exact"/>
        <w:ind w:left="100" w:right="-20"/>
        <w:jc w:val="left"/>
        <w:rPr>
          <w:rFonts w:ascii="宋体" w:hAnsi="宋体"/>
          <w:color w:val="000000"/>
          <w:sz w:val="32"/>
          <w:szCs w:val="32"/>
        </w:rPr>
      </w:pPr>
      <w:r>
        <w:rPr>
          <w:rFonts w:hint="eastAsia" w:ascii="宋体" w:hAnsi="宋体"/>
          <w:color w:val="000000"/>
          <w:sz w:val="32"/>
          <w:szCs w:val="32"/>
        </w:rPr>
        <w:t>2. 评审标准</w:t>
      </w:r>
    </w:p>
    <w:p>
      <w:pPr>
        <w:spacing w:line="200" w:lineRule="exact"/>
        <w:jc w:val="left"/>
        <w:rPr>
          <w:rFonts w:ascii="宋体" w:hAnsi="宋体"/>
          <w:color w:val="000000"/>
          <w:sz w:val="20"/>
          <w:szCs w:val="20"/>
        </w:rPr>
      </w:pPr>
    </w:p>
    <w:p>
      <w:pPr>
        <w:ind w:left="237" w:right="-20"/>
        <w:jc w:val="left"/>
        <w:rPr>
          <w:rFonts w:ascii="宋体" w:hAnsi="宋体"/>
          <w:color w:val="000000"/>
          <w:sz w:val="28"/>
          <w:szCs w:val="28"/>
        </w:rPr>
      </w:pPr>
      <w:r>
        <w:rPr>
          <w:rFonts w:hint="eastAsia" w:ascii="宋体" w:hAnsi="宋体"/>
          <w:color w:val="000000"/>
          <w:sz w:val="28"/>
          <w:szCs w:val="28"/>
        </w:rPr>
        <w:t>2.1 初步评审标准</w:t>
      </w:r>
    </w:p>
    <w:p>
      <w:pPr>
        <w:spacing w:before="1"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2.1.1 形式评审标准：见评标办法前附表。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2.1.2 资格评审标准：见评标办法前附表。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2.1.3 响应性评审标准：见评标办法前附表。</w:t>
      </w:r>
    </w:p>
    <w:p>
      <w:pPr>
        <w:spacing w:before="6" w:line="150" w:lineRule="exact"/>
        <w:jc w:val="left"/>
        <w:rPr>
          <w:rFonts w:ascii="宋体" w:hAnsi="宋体"/>
          <w:color w:val="000000"/>
          <w:sz w:val="15"/>
          <w:szCs w:val="15"/>
        </w:rPr>
      </w:pPr>
    </w:p>
    <w:p>
      <w:pPr>
        <w:ind w:left="237" w:right="-20"/>
        <w:jc w:val="left"/>
        <w:rPr>
          <w:rFonts w:ascii="宋体" w:hAnsi="宋体"/>
          <w:color w:val="000000"/>
          <w:sz w:val="28"/>
          <w:szCs w:val="28"/>
        </w:rPr>
      </w:pPr>
      <w:r>
        <w:rPr>
          <w:rFonts w:hint="eastAsia" w:ascii="宋体" w:hAnsi="宋体"/>
          <w:color w:val="000000"/>
          <w:sz w:val="28"/>
          <w:szCs w:val="28"/>
        </w:rPr>
        <w:t>2.2 分值构成与评分标准</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2.2.1 分值构成</w:t>
      </w:r>
    </w:p>
    <w:p>
      <w:pPr>
        <w:autoSpaceDE w:val="0"/>
        <w:spacing w:line="312" w:lineRule="auto"/>
        <w:ind w:firstLine="420" w:firstLineChars="200"/>
        <w:jc w:val="left"/>
        <w:rPr>
          <w:rFonts w:ascii="宋体" w:hAnsi="宋体"/>
          <w:color w:val="000000"/>
        </w:rPr>
      </w:pPr>
      <w:r>
        <w:rPr>
          <w:rFonts w:hint="eastAsia" w:ascii="宋体" w:hAnsi="宋体"/>
          <w:color w:val="000000"/>
        </w:rPr>
        <w:t>（1）资信业绩部分：见评标办法前附表；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w:t>
      </w:r>
      <w:r>
        <w:rPr>
          <w:rFonts w:hint="eastAsia" w:ascii="宋体" w:hAnsi="宋体"/>
          <w:color w:val="000000"/>
          <w:u w:val="single"/>
        </w:rPr>
        <w:t>技术</w:t>
      </w:r>
      <w:r>
        <w:rPr>
          <w:rFonts w:hint="eastAsia" w:ascii="宋体" w:hAnsi="宋体"/>
          <w:color w:val="000000"/>
        </w:rPr>
        <w:t>部分：见评标办法前附表；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（3）投标报价：见评标办法前附表；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2.2.2 评标基准价计算 评标基准价计算方法：见评标办法前附表。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2.2.3 投标报价的偏差率计算 投标报价的偏差率计算公式：见评标办法前附表。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2.2.4 评分标准</w:t>
      </w:r>
    </w:p>
    <w:p>
      <w:pPr>
        <w:autoSpaceDE w:val="0"/>
        <w:spacing w:line="312" w:lineRule="auto"/>
        <w:ind w:firstLine="420" w:firstLineChars="200"/>
        <w:jc w:val="left"/>
        <w:rPr>
          <w:rFonts w:ascii="宋体" w:hAnsi="宋体"/>
          <w:color w:val="000000"/>
        </w:rPr>
      </w:pPr>
      <w:r>
        <w:rPr>
          <w:rFonts w:hint="eastAsia" w:ascii="宋体" w:hAnsi="宋体"/>
          <w:color w:val="000000"/>
        </w:rPr>
        <w:t>（1）资信业绩评分标准：见评标办法前附表；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（2）</w:t>
      </w:r>
      <w:r>
        <w:rPr>
          <w:rFonts w:hint="eastAsia" w:ascii="宋体" w:hAnsi="宋体"/>
          <w:color w:val="000000"/>
          <w:u w:val="single"/>
        </w:rPr>
        <w:t>技术部分</w:t>
      </w:r>
      <w:r>
        <w:rPr>
          <w:rFonts w:hint="eastAsia" w:ascii="宋体" w:hAnsi="宋体"/>
          <w:color w:val="000000"/>
        </w:rPr>
        <w:t>评分标准：见评标办法前附表；</w:t>
      </w:r>
    </w:p>
    <w:p>
      <w:pPr>
        <w:autoSpaceDE w:val="0"/>
        <w:spacing w:line="312" w:lineRule="auto"/>
        <w:ind w:firstLine="420" w:firstLineChars="200"/>
        <w:jc w:val="left"/>
        <w:rPr>
          <w:rFonts w:ascii="宋体" w:hAnsi="宋体"/>
          <w:color w:val="000000"/>
        </w:rPr>
      </w:pPr>
      <w:r>
        <w:rPr>
          <w:rFonts w:hint="eastAsia" w:ascii="宋体" w:hAnsi="宋体"/>
          <w:color w:val="000000"/>
        </w:rPr>
        <w:t>（3）投标报价评分标准：见评标办法前附表；</w:t>
      </w:r>
    </w:p>
    <w:p>
      <w:pPr>
        <w:spacing w:line="463" w:lineRule="exact"/>
        <w:ind w:left="100" w:right="-20"/>
        <w:jc w:val="left"/>
        <w:rPr>
          <w:rFonts w:ascii="宋体" w:hAnsi="宋体"/>
          <w:color w:val="000000"/>
          <w:sz w:val="32"/>
          <w:szCs w:val="32"/>
        </w:rPr>
      </w:pPr>
      <w:r>
        <w:rPr>
          <w:rFonts w:hint="eastAsia" w:ascii="宋体" w:hAnsi="宋体"/>
          <w:b/>
          <w:bCs/>
          <w:color w:val="000000"/>
          <w:sz w:val="32"/>
          <w:szCs w:val="32"/>
        </w:rPr>
        <w:t xml:space="preserve">3. </w:t>
      </w:r>
      <w:r>
        <w:rPr>
          <w:rFonts w:hint="eastAsia" w:ascii="宋体" w:hAnsi="宋体"/>
          <w:color w:val="000000"/>
          <w:sz w:val="32"/>
          <w:szCs w:val="32"/>
        </w:rPr>
        <w:t>评标程序</w:t>
      </w:r>
    </w:p>
    <w:p>
      <w:pPr>
        <w:spacing w:line="200" w:lineRule="exact"/>
        <w:jc w:val="left"/>
        <w:rPr>
          <w:rFonts w:ascii="宋体" w:hAnsi="宋体"/>
          <w:color w:val="000000"/>
          <w:sz w:val="20"/>
          <w:szCs w:val="20"/>
        </w:rPr>
      </w:pPr>
    </w:p>
    <w:p>
      <w:pPr>
        <w:spacing w:before="19" w:line="220" w:lineRule="exact"/>
        <w:jc w:val="left"/>
        <w:rPr>
          <w:rFonts w:ascii="宋体" w:hAnsi="宋体"/>
          <w:color w:val="000000"/>
          <w:sz w:val="22"/>
          <w:szCs w:val="22"/>
        </w:rPr>
      </w:pPr>
    </w:p>
    <w:p>
      <w:pPr>
        <w:ind w:left="237" w:right="-20"/>
        <w:jc w:val="left"/>
        <w:rPr>
          <w:rFonts w:ascii="宋体" w:hAnsi="宋体"/>
          <w:color w:val="000000"/>
          <w:sz w:val="28"/>
          <w:szCs w:val="28"/>
        </w:rPr>
      </w:pPr>
      <w:r>
        <w:rPr>
          <w:rFonts w:hint="eastAsia" w:ascii="宋体" w:hAnsi="宋体"/>
          <w:color w:val="000000"/>
          <w:sz w:val="28"/>
          <w:szCs w:val="28"/>
        </w:rPr>
        <w:t>3.1 初步评审</w:t>
      </w:r>
    </w:p>
    <w:p>
      <w:pPr>
        <w:ind w:left="237" w:right="-20"/>
        <w:jc w:val="left"/>
        <w:rPr>
          <w:rFonts w:ascii="宋体" w:hAnsi="宋体"/>
          <w:color w:val="000000"/>
          <w:sz w:val="28"/>
          <w:szCs w:val="28"/>
        </w:rPr>
      </w:pPr>
    </w:p>
    <w:p>
      <w:pPr>
        <w:autoSpaceDE w:val="0"/>
        <w:spacing w:line="312" w:lineRule="auto"/>
        <w:ind w:firstLine="420" w:firstLineChars="200"/>
        <w:jc w:val="left"/>
        <w:rPr>
          <w:rFonts w:ascii="宋体" w:hAnsi="宋体"/>
          <w:color w:val="000000"/>
          <w:u w:val="single"/>
        </w:rPr>
      </w:pPr>
      <w:r>
        <w:rPr>
          <w:rFonts w:hint="eastAsia" w:ascii="宋体" w:hAnsi="宋体"/>
          <w:color w:val="000000"/>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r>
        <w:rPr>
          <w:rFonts w:hint="eastAsia" w:ascii="宋体" w:hAnsi="宋体"/>
          <w:color w:val="000000"/>
          <w:u w:val="single"/>
        </w:rPr>
        <w:t>评标委员会完成资格评审后，汇总审查情况，确定通过资格评审的投标人名单，向招标人提交书面资格审查报告。通过资格评审的有效投标人不足三名时，招标人应当依法重新组织招标。只有通过初步评审的投标人才能进入下一阶段详细评审。通过初步评审的有效投标人不足三名时，招标人应当依法重新组织招标。</w:t>
      </w:r>
    </w:p>
    <w:p>
      <w:pPr>
        <w:autoSpaceDE w:val="0"/>
        <w:spacing w:line="312" w:lineRule="auto"/>
        <w:ind w:firstLine="420" w:firstLineChars="200"/>
        <w:jc w:val="left"/>
        <w:rPr>
          <w:rFonts w:ascii="宋体" w:hAnsi="宋体"/>
          <w:color w:val="000000"/>
        </w:rPr>
      </w:pPr>
      <w:r>
        <w:rPr>
          <w:rFonts w:hint="eastAsia" w:ascii="宋体" w:hAnsi="宋体"/>
          <w:color w:val="000000"/>
        </w:rPr>
        <w:t>3.1.2 投标人有以下情形之一的，评标委员会应当否决其投标：</w:t>
      </w:r>
    </w:p>
    <w:p>
      <w:pPr>
        <w:autoSpaceDE w:val="0"/>
        <w:spacing w:line="312" w:lineRule="auto"/>
        <w:ind w:firstLine="420" w:firstLineChars="200"/>
        <w:jc w:val="left"/>
        <w:rPr>
          <w:rFonts w:ascii="宋体" w:hAnsi="宋体"/>
          <w:color w:val="000000"/>
        </w:rPr>
      </w:pPr>
      <w:r>
        <w:rPr>
          <w:rFonts w:hint="eastAsia" w:ascii="宋体" w:hAnsi="宋体"/>
          <w:color w:val="000000"/>
        </w:rPr>
        <w:t>（1）投标文件没有对招标文件的实质性要求和条件作出响应，或者对招标文件的偏差超出招标文件规定的偏差范围或最高项数；</w:t>
      </w:r>
    </w:p>
    <w:p>
      <w:pPr>
        <w:autoSpaceDE w:val="0"/>
        <w:spacing w:line="312" w:lineRule="auto"/>
        <w:ind w:firstLine="420" w:firstLineChars="200"/>
        <w:jc w:val="left"/>
        <w:rPr>
          <w:rFonts w:ascii="宋体" w:hAnsi="宋体"/>
          <w:color w:val="000000"/>
        </w:rPr>
      </w:pPr>
      <w:r>
        <w:rPr>
          <w:rFonts w:hint="eastAsia" w:ascii="宋体" w:hAnsi="宋体"/>
          <w:color w:val="000000"/>
        </w:rPr>
        <w:t>（2）有串通投标、弄虚作假、行贿等违法行为。</w:t>
      </w:r>
    </w:p>
    <w:p>
      <w:pPr>
        <w:autoSpaceDE w:val="0"/>
        <w:spacing w:line="312" w:lineRule="auto"/>
        <w:ind w:firstLine="420" w:firstLineChars="200"/>
        <w:jc w:val="left"/>
        <w:rPr>
          <w:rFonts w:ascii="宋体" w:hAnsi="宋体"/>
          <w:color w:val="000000"/>
        </w:rPr>
      </w:pPr>
      <w:r>
        <w:rPr>
          <w:rFonts w:hint="eastAsia" w:ascii="宋体" w:hAnsi="宋体"/>
          <w:color w:val="000000"/>
        </w:rPr>
        <w:t>3.1.3 投标报价有算术错误及其他错误的</w:t>
      </w:r>
      <w:r>
        <w:rPr>
          <w:rFonts w:hint="eastAsia" w:ascii="宋体" w:hAnsi="宋体"/>
          <w:color w:val="000000"/>
          <w:u w:val="single"/>
        </w:rPr>
        <w:t>应在初步审查后对确定为实质上响应招标文件要求的投标文件中的投标报价进行复核。</w:t>
      </w:r>
      <w:r>
        <w:rPr>
          <w:rFonts w:hint="eastAsia" w:ascii="宋体" w:hAnsi="宋体"/>
          <w:color w:val="000000"/>
        </w:rPr>
        <w:t>评标委员会按以下原则要求投标人对投标报价进行修正，并要求投标人书面澄清确认。投标人拒不澄清确认的，评标委员会应当否决其投标：</w:t>
      </w:r>
    </w:p>
    <w:p>
      <w:pPr>
        <w:autoSpaceDE w:val="0"/>
        <w:spacing w:line="312" w:lineRule="auto"/>
        <w:ind w:firstLine="420" w:firstLineChars="200"/>
        <w:jc w:val="left"/>
        <w:rPr>
          <w:rFonts w:ascii="宋体" w:hAnsi="宋体"/>
          <w:color w:val="000000"/>
        </w:rPr>
      </w:pPr>
      <w:r>
        <w:rPr>
          <w:rFonts w:hint="eastAsia" w:ascii="宋体" w:hAnsi="宋体"/>
          <w:color w:val="000000"/>
        </w:rPr>
        <w:t>（1）投标文件中的大写金额与小写金额不一致的，以大写金额为准；</w:t>
      </w:r>
    </w:p>
    <w:p>
      <w:pPr>
        <w:autoSpaceDE w:val="0"/>
        <w:spacing w:line="312" w:lineRule="auto"/>
        <w:ind w:firstLine="420" w:firstLineChars="200"/>
        <w:jc w:val="left"/>
        <w:rPr>
          <w:rFonts w:ascii="宋体" w:hAnsi="宋体"/>
          <w:color w:val="000000"/>
        </w:rPr>
      </w:pPr>
      <w:r>
        <w:rPr>
          <w:rFonts w:hint="eastAsia" w:ascii="宋体" w:hAnsi="宋体"/>
          <w:color w:val="000000"/>
        </w:rPr>
        <w:t>（2）总价金额与单价金额不一致的，以单价金额为准，但单价金额小数点有明显错误的除外。</w:t>
      </w:r>
    </w:p>
    <w:p>
      <w:pPr>
        <w:spacing w:before="7"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3.2 详细评审</w:t>
      </w:r>
    </w:p>
    <w:p>
      <w:pPr>
        <w:spacing w:before="3"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3.2.1 评标委员会按本章第 2.2 款规定的量化因素和分值进行打分，并计算出综合评估得分。</w:t>
      </w:r>
    </w:p>
    <w:p>
      <w:pPr>
        <w:autoSpaceDE w:val="0"/>
        <w:spacing w:line="312" w:lineRule="auto"/>
        <w:ind w:firstLine="420" w:firstLineChars="200"/>
        <w:jc w:val="left"/>
        <w:rPr>
          <w:rFonts w:ascii="宋体" w:hAnsi="宋体"/>
          <w:color w:val="000000"/>
        </w:rPr>
      </w:pPr>
      <w:r>
        <w:rPr>
          <w:rFonts w:hint="eastAsia" w:ascii="宋体" w:hAnsi="宋体"/>
          <w:color w:val="000000"/>
        </w:rPr>
        <w:t>（1）按本章第 2.2.4（1）目规定的评审因素和分值对资信业绩部分计算出得分 A；</w:t>
      </w:r>
    </w:p>
    <w:p>
      <w:pPr>
        <w:autoSpaceDE w:val="0"/>
        <w:spacing w:line="312" w:lineRule="auto"/>
        <w:ind w:firstLine="420" w:firstLineChars="200"/>
        <w:jc w:val="left"/>
        <w:rPr>
          <w:rFonts w:ascii="宋体" w:hAnsi="宋体"/>
          <w:color w:val="000000"/>
        </w:rPr>
      </w:pPr>
      <w:r>
        <w:rPr>
          <w:rFonts w:hint="eastAsia" w:ascii="宋体" w:hAnsi="宋体"/>
          <w:color w:val="000000"/>
        </w:rPr>
        <w:t>（2）按本章第 2.2.4（2）目规定的评审因素和分值对</w:t>
      </w:r>
      <w:r>
        <w:rPr>
          <w:rFonts w:hint="eastAsia" w:ascii="宋体" w:hAnsi="宋体"/>
          <w:color w:val="000000"/>
          <w:u w:val="single"/>
        </w:rPr>
        <w:t>技术部分</w:t>
      </w:r>
      <w:r>
        <w:rPr>
          <w:rFonts w:hint="eastAsia" w:ascii="宋体" w:hAnsi="宋体"/>
          <w:color w:val="000000"/>
        </w:rPr>
        <w:t>部分计算出得分 B；</w:t>
      </w:r>
    </w:p>
    <w:p>
      <w:pPr>
        <w:autoSpaceDE w:val="0"/>
        <w:spacing w:line="312" w:lineRule="auto"/>
        <w:ind w:firstLine="420" w:firstLineChars="200"/>
        <w:jc w:val="left"/>
        <w:rPr>
          <w:rFonts w:ascii="宋体" w:hAnsi="宋体"/>
          <w:color w:val="000000"/>
        </w:rPr>
      </w:pPr>
      <w:r>
        <w:rPr>
          <w:rFonts w:hint="eastAsia" w:ascii="宋体" w:hAnsi="宋体"/>
          <w:color w:val="000000"/>
        </w:rPr>
        <w:t>（3）按本章第 2.2.4（3）目规定的评审因素和分值对投标报价计算出得分 C；</w:t>
      </w:r>
    </w:p>
    <w:p>
      <w:pPr>
        <w:autoSpaceDE w:val="0"/>
        <w:spacing w:line="312" w:lineRule="auto"/>
        <w:ind w:firstLine="420" w:firstLineChars="200"/>
        <w:jc w:val="left"/>
        <w:rPr>
          <w:rFonts w:ascii="宋体" w:hAnsi="宋体"/>
          <w:color w:val="000000"/>
        </w:rPr>
      </w:pPr>
      <w:r>
        <w:rPr>
          <w:rFonts w:hint="eastAsia" w:ascii="宋体" w:hAnsi="宋体"/>
          <w:color w:val="000000"/>
        </w:rPr>
        <w:t>3.2.2各评委评出各有效投标文件的资信业绩部分得分、技术部分得分后，投标人的得分为各评委的评分去掉一个最高分和一个最低分后计取的算术平均分，作为该投标单位的最后资信业绩部分得分、技术部分得分；评分分值计算保留小数点后两位，小数点后第三位“四舍五入”。</w:t>
      </w:r>
    </w:p>
    <w:p>
      <w:pPr>
        <w:autoSpaceDE w:val="0"/>
        <w:spacing w:line="312" w:lineRule="auto"/>
        <w:ind w:firstLine="420" w:firstLineChars="200"/>
        <w:jc w:val="left"/>
        <w:rPr>
          <w:rFonts w:ascii="宋体" w:hAnsi="宋体"/>
          <w:color w:val="000000"/>
        </w:rPr>
      </w:pPr>
      <w:r>
        <w:rPr>
          <w:rFonts w:hint="eastAsia" w:ascii="宋体" w:hAnsi="宋体"/>
          <w:color w:val="000000"/>
        </w:rPr>
        <w:t>3.2.3 投标人得分=A+B+C。</w:t>
      </w:r>
    </w:p>
    <w:p>
      <w:pPr>
        <w:autoSpaceDE w:val="0"/>
        <w:spacing w:line="312" w:lineRule="auto"/>
        <w:ind w:firstLine="420" w:firstLineChars="200"/>
        <w:jc w:val="left"/>
        <w:rPr>
          <w:rFonts w:ascii="宋体" w:hAnsi="宋体"/>
          <w:color w:val="000000"/>
        </w:rPr>
      </w:pPr>
      <w:r>
        <w:rPr>
          <w:rFonts w:hint="eastAsia" w:ascii="宋体" w:hAnsi="宋体"/>
          <w:color w:val="000000"/>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before="5"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3.3 投标文件的澄清</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autoSpaceDE w:val="0"/>
        <w:spacing w:line="312" w:lineRule="auto"/>
        <w:ind w:firstLine="420" w:firstLineChars="200"/>
        <w:jc w:val="left"/>
        <w:rPr>
          <w:rFonts w:ascii="宋体" w:hAnsi="宋体"/>
          <w:color w:val="000000"/>
        </w:rPr>
      </w:pPr>
      <w:r>
        <w:rPr>
          <w:rFonts w:hint="eastAsia" w:ascii="宋体" w:hAnsi="宋体"/>
          <w:color w:val="000000"/>
        </w:rPr>
        <w:t>3.3.2 澄清、说明或补正不得超出投标文件的范围且不得改变投标文件的实质性内容，并构成投标文件的组成部分。</w:t>
      </w:r>
    </w:p>
    <w:p>
      <w:pPr>
        <w:autoSpaceDE w:val="0"/>
        <w:spacing w:line="312" w:lineRule="auto"/>
        <w:ind w:firstLine="420" w:firstLineChars="200"/>
        <w:jc w:val="left"/>
        <w:rPr>
          <w:rFonts w:ascii="宋体" w:hAnsi="宋体"/>
          <w:color w:val="000000"/>
        </w:rPr>
      </w:pPr>
      <w:r>
        <w:rPr>
          <w:rFonts w:hint="eastAsia" w:ascii="宋体" w:hAnsi="宋体"/>
          <w:color w:val="000000"/>
        </w:rPr>
        <w:t>3.3.3 评标委员会对投标人提交的澄清、说明或补正有疑问的，可以要求投标人进一步澄清、说明或补正，直至满足评标委员会的要求。</w:t>
      </w:r>
    </w:p>
    <w:p>
      <w:pPr>
        <w:spacing w:before="9" w:line="120" w:lineRule="exact"/>
        <w:jc w:val="left"/>
        <w:rPr>
          <w:rFonts w:ascii="宋体" w:hAnsi="宋体"/>
          <w:color w:val="000000"/>
          <w:sz w:val="12"/>
          <w:szCs w:val="12"/>
        </w:rPr>
      </w:pPr>
    </w:p>
    <w:p>
      <w:pPr>
        <w:ind w:left="237" w:right="-20"/>
        <w:jc w:val="left"/>
        <w:rPr>
          <w:rFonts w:ascii="宋体" w:hAnsi="宋体"/>
          <w:color w:val="000000"/>
          <w:sz w:val="28"/>
          <w:szCs w:val="28"/>
        </w:rPr>
      </w:pPr>
      <w:r>
        <w:rPr>
          <w:rFonts w:hint="eastAsia" w:ascii="宋体" w:hAnsi="宋体"/>
          <w:color w:val="000000"/>
          <w:sz w:val="28"/>
          <w:szCs w:val="28"/>
        </w:rPr>
        <w:t>3.4 评标结果</w:t>
      </w:r>
    </w:p>
    <w:p>
      <w:pPr>
        <w:spacing w:before="4" w:line="280" w:lineRule="exact"/>
        <w:jc w:val="left"/>
        <w:rPr>
          <w:rFonts w:ascii="宋体" w:hAnsi="宋体"/>
          <w:color w:val="000000"/>
          <w:sz w:val="28"/>
          <w:szCs w:val="28"/>
        </w:rPr>
      </w:pPr>
    </w:p>
    <w:p>
      <w:pPr>
        <w:autoSpaceDE w:val="0"/>
        <w:spacing w:line="312" w:lineRule="auto"/>
        <w:ind w:firstLine="420" w:firstLineChars="200"/>
        <w:jc w:val="left"/>
        <w:rPr>
          <w:rFonts w:ascii="宋体" w:hAnsi="宋体"/>
          <w:color w:val="000000"/>
        </w:rPr>
      </w:pPr>
      <w:r>
        <w:rPr>
          <w:rFonts w:hint="eastAsia" w:ascii="宋体" w:hAnsi="宋体"/>
          <w:color w:val="000000"/>
        </w:rPr>
        <w:t>3.4.1 除第二章“投标人须知”前附表授权直接确定中标人外，评标委员会按照得分由高到低的顺序推荐中标候选人，并标明排序。</w:t>
      </w:r>
    </w:p>
    <w:p>
      <w:pPr>
        <w:autoSpaceDE w:val="0"/>
        <w:spacing w:line="312" w:lineRule="auto"/>
        <w:ind w:firstLine="420" w:firstLineChars="200"/>
        <w:jc w:val="left"/>
        <w:rPr>
          <w:rFonts w:ascii="宋体" w:hAnsi="宋体"/>
          <w:color w:val="000000"/>
        </w:rPr>
      </w:pPr>
      <w:r>
        <w:rPr>
          <w:rFonts w:hint="eastAsia" w:ascii="宋体" w:hAnsi="宋体"/>
          <w:color w:val="000000"/>
        </w:rPr>
        <w:t>3.4.2 评标委员会完成评标后，应当向招标人提交书面评标报告和中标候选人名单。</w:t>
      </w:r>
    </w:p>
    <w:p>
      <w:pPr>
        <w:rPr>
          <w:rFonts w:ascii="宋体" w:hAnsi="宋体"/>
          <w:color w:val="000000"/>
        </w:rPr>
      </w:pPr>
      <w:bookmarkStart w:id="89" w:name="_Toc28889"/>
      <w:bookmarkEnd w:id="89"/>
      <w:bookmarkStart w:id="90" w:name="_Toc10735"/>
      <w:bookmarkEnd w:id="90"/>
    </w:p>
    <w:p>
      <w:pPr>
        <w:rPr>
          <w:rFonts w:ascii="宋体" w:hAnsi="宋体"/>
          <w:color w:val="000000"/>
        </w:rPr>
      </w:pPr>
    </w:p>
    <w:p>
      <w:pPr>
        <w:pStyle w:val="4"/>
        <w:numPr>
          <w:ilvl w:val="0"/>
          <w:numId w:val="3"/>
        </w:numPr>
        <w:jc w:val="center"/>
        <w:rPr>
          <w:color w:val="000000"/>
        </w:rPr>
      </w:pPr>
      <w:r>
        <w:rPr>
          <w:rFonts w:hint="eastAsia" w:ascii="宋体" w:hAnsi="宋体" w:eastAsia="宋体"/>
          <w:color w:val="000000"/>
          <w:sz w:val="24"/>
          <w:szCs w:val="24"/>
        </w:rPr>
        <w:br w:type="page"/>
      </w:r>
      <w:bookmarkStart w:id="91" w:name="_Toc28296"/>
      <w:bookmarkEnd w:id="91"/>
      <w:bookmarkStart w:id="92" w:name="_Toc27723"/>
      <w:bookmarkEnd w:id="92"/>
      <w:bookmarkStart w:id="93" w:name="_Toc21368"/>
      <w:bookmarkEnd w:id="93"/>
      <w:bookmarkStart w:id="94" w:name="_Toc43989739"/>
      <w:bookmarkStart w:id="95" w:name="_Toc8500"/>
      <w:bookmarkStart w:id="96" w:name="_Toc43990380"/>
      <w:bookmarkStart w:id="97" w:name="_Toc43989936"/>
      <w:r>
        <w:rPr>
          <w:rFonts w:hint="eastAsia" w:ascii="宋体" w:hAnsi="宋体" w:eastAsia="宋体"/>
          <w:color w:val="000000"/>
        </w:rPr>
        <w:t>合同条款及格式</w:t>
      </w:r>
      <w:bookmarkEnd w:id="94"/>
      <w:bookmarkEnd w:id="95"/>
      <w:bookmarkEnd w:id="96"/>
      <w:bookmarkEnd w:id="97"/>
    </w:p>
    <w:p>
      <w:pPr>
        <w:jc w:val="center"/>
        <w:rPr>
          <w:b/>
          <w:bCs/>
          <w:color w:val="000000"/>
          <w:sz w:val="28"/>
          <w:szCs w:val="28"/>
        </w:rPr>
      </w:pPr>
      <w:r>
        <w:rPr>
          <w:rFonts w:hint="eastAsia" w:ascii="宋体" w:hAnsi="宋体"/>
          <w:b/>
          <w:bCs/>
          <w:color w:val="000000"/>
          <w:sz w:val="28"/>
          <w:szCs w:val="28"/>
        </w:rPr>
        <w:t>（另册）</w:t>
      </w:r>
    </w:p>
    <w:p>
      <w:pPr>
        <w:pStyle w:val="2"/>
        <w:snapToGrid w:val="0"/>
        <w:spacing w:line="360" w:lineRule="auto"/>
        <w:ind w:right="84" w:rightChars="40" w:firstLine="0" w:firstLineChars="0"/>
        <w:jc w:val="center"/>
        <w:rPr>
          <w:rFonts w:ascii="仿宋_GB2312" w:eastAsia="仿宋_GB2312"/>
          <w:b/>
          <w:color w:val="000000"/>
          <w:sz w:val="36"/>
          <w:szCs w:val="36"/>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2"/>
        <w:spacing w:line="480" w:lineRule="exact"/>
        <w:ind w:right="84" w:rightChars="40" w:firstLine="3640" w:firstLineChars="1300"/>
        <w:rPr>
          <w:rFonts w:ascii="仿宋_GB2312" w:eastAsia="仿宋_GB2312"/>
          <w:color w:val="000000"/>
          <w:szCs w:val="28"/>
        </w:rPr>
      </w:pPr>
    </w:p>
    <w:p>
      <w:pPr>
        <w:pStyle w:val="4"/>
        <w:spacing w:line="360" w:lineRule="auto"/>
        <w:jc w:val="center"/>
        <w:rPr>
          <w:rFonts w:ascii="宋体" w:hAnsi="宋体" w:eastAsia="宋体" w:cs="宋体"/>
          <w:b w:val="0"/>
          <w:bCs w:val="0"/>
          <w:color w:val="000000"/>
          <w:sz w:val="21"/>
          <w:szCs w:val="21"/>
        </w:rPr>
      </w:pPr>
      <w:bookmarkStart w:id="98" w:name="_Toc1562"/>
      <w:bookmarkEnd w:id="98"/>
      <w:bookmarkStart w:id="99" w:name="_Toc8835"/>
      <w:bookmarkEnd w:id="99"/>
      <w:bookmarkStart w:id="100" w:name="_Toc19059"/>
      <w:bookmarkEnd w:id="100"/>
    </w:p>
    <w:p>
      <w:pPr>
        <w:pStyle w:val="4"/>
        <w:spacing w:line="360" w:lineRule="auto"/>
        <w:jc w:val="center"/>
        <w:rPr>
          <w:rFonts w:ascii="宋体" w:hAnsi="宋体" w:eastAsia="宋体"/>
          <w:b w:val="0"/>
          <w:bCs w:val="0"/>
          <w:color w:val="000000"/>
        </w:rPr>
      </w:pPr>
    </w:p>
    <w:p>
      <w:pPr>
        <w:pStyle w:val="4"/>
        <w:spacing w:line="360" w:lineRule="auto"/>
        <w:jc w:val="center"/>
        <w:rPr>
          <w:rFonts w:ascii="宋体" w:hAnsi="宋体" w:eastAsia="宋体"/>
          <w:b w:val="0"/>
          <w:bCs w:val="0"/>
          <w:color w:val="000000"/>
        </w:rPr>
      </w:pPr>
    </w:p>
    <w:p>
      <w:pPr>
        <w:pStyle w:val="4"/>
        <w:spacing w:line="360" w:lineRule="auto"/>
        <w:jc w:val="center"/>
        <w:rPr>
          <w:rFonts w:ascii="宋体" w:hAnsi="宋体" w:eastAsia="宋体"/>
          <w:b w:val="0"/>
          <w:bCs w:val="0"/>
          <w:color w:val="000000"/>
        </w:rPr>
      </w:pPr>
    </w:p>
    <w:p>
      <w:pPr>
        <w:pStyle w:val="4"/>
        <w:spacing w:line="360" w:lineRule="auto"/>
        <w:jc w:val="center"/>
        <w:rPr>
          <w:rFonts w:ascii="宋体" w:hAnsi="宋体" w:eastAsia="宋体"/>
          <w:color w:val="000000"/>
          <w:sz w:val="36"/>
          <w:szCs w:val="36"/>
        </w:rPr>
      </w:pPr>
      <w:bookmarkStart w:id="101" w:name="_Toc43989937"/>
      <w:bookmarkStart w:id="102" w:name="_Toc43989740"/>
      <w:bookmarkStart w:id="103" w:name="_Toc43990381"/>
      <w:r>
        <w:rPr>
          <w:rFonts w:hint="eastAsia" w:ascii="宋体" w:hAnsi="宋体" w:eastAsia="宋体"/>
          <w:color w:val="000000"/>
          <w:kern w:val="2"/>
          <w:sz w:val="52"/>
          <w:szCs w:val="52"/>
        </w:rPr>
        <w:t>第二卷</w:t>
      </w:r>
      <w:r>
        <w:rPr>
          <w:rFonts w:hint="eastAsia" w:ascii="宋体" w:hAnsi="宋体" w:eastAsia="宋体"/>
          <w:b w:val="0"/>
          <w:bCs w:val="0"/>
          <w:color w:val="000000"/>
        </w:rPr>
        <w:br w:type="page"/>
      </w:r>
      <w:r>
        <w:rPr>
          <w:rFonts w:hint="eastAsia" w:ascii="宋体" w:hAnsi="宋体" w:eastAsia="宋体"/>
          <w:color w:val="000000"/>
          <w:sz w:val="36"/>
          <w:szCs w:val="36"/>
        </w:rPr>
        <w:t>第五章委托人要求</w:t>
      </w:r>
      <w:bookmarkEnd w:id="101"/>
      <w:bookmarkEnd w:id="102"/>
      <w:bookmarkEnd w:id="103"/>
    </w:p>
    <w:p>
      <w:bookmarkStart w:id="104" w:name="_Toc32612"/>
      <w:bookmarkEnd w:id="104"/>
      <w:bookmarkStart w:id="105" w:name="_Toc18043"/>
      <w:bookmarkEnd w:id="105"/>
      <w:bookmarkStart w:id="106" w:name="_Toc32471"/>
      <w:bookmarkEnd w:id="106"/>
      <w:bookmarkStart w:id="107" w:name="_Toc32030"/>
      <w:bookmarkEnd w:id="107"/>
      <w:bookmarkStart w:id="108" w:name="_Toc28976"/>
      <w:bookmarkEnd w:id="108"/>
      <w:bookmarkStart w:id="109" w:name="_Toc2044"/>
      <w:bookmarkEnd w:id="109"/>
      <w:bookmarkStart w:id="110" w:name="_Toc514170140"/>
      <w:bookmarkEnd w:id="110"/>
      <w:bookmarkStart w:id="111" w:name="_Toc12619"/>
      <w:bookmarkEnd w:id="111"/>
    </w:p>
    <w:p>
      <w:pPr>
        <w:pStyle w:val="4"/>
        <w:jc w:val="center"/>
        <w:rPr>
          <w:rFonts w:ascii="宋体" w:hAnsi="宋体" w:eastAsia="宋体"/>
          <w:color w:val="000000"/>
        </w:rPr>
      </w:pPr>
      <w:r>
        <w:rPr>
          <w:rFonts w:hint="eastAsia" w:ascii="宋体" w:hAnsi="宋体" w:eastAsia="宋体"/>
          <w:color w:val="000000"/>
        </w:rPr>
        <w:t>无</w:t>
      </w:r>
    </w:p>
    <w:p>
      <w:pPr>
        <w:pStyle w:val="4"/>
        <w:jc w:val="center"/>
        <w:rPr>
          <w:rFonts w:ascii="宋体" w:hAnsi="宋体" w:eastAsia="宋体"/>
          <w:color w:val="000000"/>
        </w:rPr>
      </w:pPr>
    </w:p>
    <w:p/>
    <w:p/>
    <w:p/>
    <w:p/>
    <w:p>
      <w:pPr>
        <w:pStyle w:val="4"/>
        <w:jc w:val="center"/>
        <w:rPr>
          <w:rFonts w:ascii="宋体" w:hAnsi="宋体" w:eastAsia="宋体"/>
          <w:color w:val="000000"/>
        </w:rPr>
      </w:pPr>
      <w:bookmarkStart w:id="112" w:name="_Toc43989741"/>
      <w:bookmarkStart w:id="113" w:name="_Toc43989938"/>
      <w:bookmarkStart w:id="114" w:name="_Toc43990382"/>
      <w:r>
        <w:rPr>
          <w:rFonts w:hint="eastAsia" w:ascii="宋体" w:hAnsi="宋体" w:eastAsia="宋体"/>
          <w:color w:val="000000"/>
          <w:sz w:val="52"/>
          <w:szCs w:val="52"/>
        </w:rPr>
        <w:br w:type="page"/>
      </w:r>
      <w:r>
        <w:rPr>
          <w:rFonts w:hint="eastAsia" w:ascii="宋体" w:hAnsi="宋体" w:eastAsia="宋体"/>
          <w:color w:val="000000"/>
          <w:sz w:val="52"/>
          <w:szCs w:val="52"/>
        </w:rPr>
        <w:t>第三卷</w:t>
      </w:r>
      <w:r>
        <w:rPr>
          <w:rFonts w:hint="eastAsia" w:ascii="宋体" w:hAnsi="宋体" w:eastAsia="宋体"/>
          <w:color w:val="000000"/>
        </w:rPr>
        <w:br w:type="page"/>
      </w:r>
      <w:r>
        <w:rPr>
          <w:rFonts w:hint="eastAsia" w:ascii="宋体" w:hAnsi="宋体" w:eastAsia="宋体"/>
          <w:color w:val="000000"/>
        </w:rPr>
        <w:t>第六章投标文件格式</w:t>
      </w:r>
      <w:bookmarkEnd w:id="112"/>
      <w:bookmarkEnd w:id="113"/>
      <w:bookmarkEnd w:id="114"/>
    </w:p>
    <w:p>
      <w:pPr>
        <w:rPr>
          <w:rFonts w:ascii="宋体" w:hAnsi="宋体"/>
          <w:color w:val="000000"/>
        </w:rPr>
      </w:pPr>
    </w:p>
    <w:p>
      <w:pPr>
        <w:spacing w:line="200" w:lineRule="exact"/>
        <w:jc w:val="left"/>
        <w:rPr>
          <w:rFonts w:ascii="宋体" w:hAnsi="宋体"/>
          <w:color w:val="000000"/>
          <w:sz w:val="20"/>
          <w:szCs w:val="20"/>
        </w:rPr>
      </w:pPr>
      <w:r>
        <w:rPr>
          <w:rFonts w:hint="eastAsia" w:ascii="宋体" w:hAnsi="宋体"/>
          <w:color w:val="000000"/>
        </w:rPr>
        <w:br w:type="page"/>
      </w:r>
    </w:p>
    <w:p>
      <w:pPr>
        <w:spacing w:line="341" w:lineRule="exact"/>
        <w:ind w:right="-20"/>
        <w:jc w:val="center"/>
        <w:rPr>
          <w:rFonts w:ascii="宋体" w:hAnsi="宋体"/>
          <w:b/>
          <w:bCs/>
          <w:color w:val="000000"/>
          <w:sz w:val="32"/>
          <w:szCs w:val="32"/>
        </w:rPr>
      </w:pPr>
    </w:p>
    <w:p>
      <w:pPr>
        <w:ind w:right="-23"/>
        <w:jc w:val="center"/>
        <w:rPr>
          <w:rFonts w:ascii="宋体" w:hAnsi="宋体"/>
          <w:b/>
          <w:bCs/>
          <w:color w:val="000000"/>
          <w:sz w:val="44"/>
          <w:szCs w:val="44"/>
        </w:rPr>
      </w:pPr>
      <w:r>
        <w:rPr>
          <w:rFonts w:hint="eastAsia" w:ascii="宋体" w:hAnsi="宋体"/>
          <w:b/>
          <w:bCs/>
          <w:color w:val="000000"/>
          <w:sz w:val="44"/>
          <w:szCs w:val="44"/>
        </w:rPr>
        <w:t>老旧小区排水单元达标创建工程(荔湾北片区)</w:t>
      </w:r>
    </w:p>
    <w:p>
      <w:pPr>
        <w:ind w:right="-23"/>
        <w:jc w:val="center"/>
        <w:rPr>
          <w:rFonts w:ascii="宋体" w:hAnsi="宋体"/>
          <w:b/>
          <w:bCs/>
          <w:color w:val="000000"/>
          <w:sz w:val="32"/>
          <w:szCs w:val="32"/>
        </w:rPr>
      </w:pPr>
      <w:r>
        <w:rPr>
          <w:rFonts w:hint="eastAsia" w:ascii="宋体" w:hAnsi="宋体"/>
          <w:b/>
          <w:bCs/>
          <w:color w:val="000000"/>
          <w:sz w:val="44"/>
          <w:szCs w:val="44"/>
        </w:rPr>
        <w:t>技术服务</w:t>
      </w:r>
    </w:p>
    <w:p>
      <w:pPr>
        <w:spacing w:before="7" w:line="100" w:lineRule="exact"/>
        <w:jc w:val="left"/>
        <w:rPr>
          <w:rFonts w:ascii="宋体" w:hAnsi="宋体"/>
          <w:color w:val="000000"/>
          <w:sz w:val="10"/>
          <w:szCs w:val="1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549" w:lineRule="exact"/>
        <w:ind w:left="3138" w:right="3116"/>
        <w:jc w:val="center"/>
        <w:rPr>
          <w:rFonts w:ascii="宋体" w:hAnsi="宋体"/>
          <w:b/>
          <w:color w:val="000000"/>
          <w:sz w:val="52"/>
          <w:szCs w:val="52"/>
        </w:rPr>
      </w:pPr>
      <w:r>
        <w:rPr>
          <w:rFonts w:hint="eastAsia" w:ascii="宋体" w:hAnsi="宋体"/>
          <w:b/>
          <w:color w:val="000000"/>
          <w:sz w:val="52"/>
          <w:szCs w:val="52"/>
        </w:rPr>
        <w:t>投</w:t>
      </w:r>
      <w:r>
        <w:rPr>
          <w:rFonts w:hint="eastAsia" w:ascii="宋体" w:hAnsi="宋体"/>
          <w:b/>
          <w:color w:val="000000"/>
          <w:sz w:val="52"/>
          <w:szCs w:val="52"/>
        </w:rPr>
        <w:tab/>
      </w:r>
      <w:r>
        <w:rPr>
          <w:rFonts w:hint="eastAsia" w:ascii="宋体" w:hAnsi="宋体"/>
          <w:b/>
          <w:color w:val="000000"/>
          <w:sz w:val="52"/>
          <w:szCs w:val="52"/>
        </w:rPr>
        <w:t xml:space="preserve"> 标</w:t>
      </w:r>
      <w:r>
        <w:rPr>
          <w:rFonts w:hint="eastAsia" w:ascii="宋体" w:hAnsi="宋体"/>
          <w:b/>
          <w:color w:val="000000"/>
          <w:sz w:val="52"/>
          <w:szCs w:val="52"/>
        </w:rPr>
        <w:tab/>
      </w:r>
      <w:r>
        <w:rPr>
          <w:rFonts w:hint="eastAsia" w:ascii="宋体" w:hAnsi="宋体"/>
          <w:b/>
          <w:color w:val="000000"/>
          <w:sz w:val="52"/>
          <w:szCs w:val="52"/>
        </w:rPr>
        <w:t xml:space="preserve"> 文 </w:t>
      </w:r>
      <w:r>
        <w:rPr>
          <w:rFonts w:hint="eastAsia" w:ascii="宋体" w:hAnsi="宋体"/>
          <w:b/>
          <w:color w:val="000000"/>
          <w:sz w:val="52"/>
          <w:szCs w:val="52"/>
        </w:rPr>
        <w:tab/>
      </w:r>
      <w:r>
        <w:rPr>
          <w:rFonts w:hint="eastAsia" w:ascii="宋体" w:hAnsi="宋体"/>
          <w:b/>
          <w:color w:val="000000"/>
          <w:sz w:val="52"/>
          <w:szCs w:val="52"/>
        </w:rPr>
        <w:t>件</w:t>
      </w:r>
    </w:p>
    <w:p>
      <w:pPr>
        <w:spacing w:line="200" w:lineRule="exact"/>
        <w:jc w:val="left"/>
        <w:rPr>
          <w:rFonts w:ascii="宋体" w:hAnsi="宋体"/>
          <w:color w:val="000000"/>
          <w:sz w:val="52"/>
          <w:szCs w:val="52"/>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before="17" w:line="240" w:lineRule="exact"/>
        <w:jc w:val="left"/>
        <w:rPr>
          <w:rFonts w:ascii="宋体" w:hAnsi="宋体"/>
          <w:color w:val="000000"/>
          <w:sz w:val="24"/>
          <w:szCs w:val="24"/>
        </w:rPr>
      </w:pPr>
    </w:p>
    <w:p>
      <w:pPr>
        <w:spacing w:line="540" w:lineRule="atLeast"/>
        <w:ind w:left="1" w:right="85"/>
        <w:jc w:val="center"/>
        <w:rPr>
          <w:rFonts w:ascii="宋体" w:hAnsi="宋体"/>
          <w:color w:val="000000"/>
          <w:sz w:val="28"/>
          <w:szCs w:val="28"/>
        </w:rPr>
      </w:pPr>
      <w:r>
        <w:rPr>
          <w:rFonts w:hint="eastAsia" w:ascii="宋体" w:hAnsi="宋体"/>
          <w:color w:val="000000"/>
          <w:sz w:val="28"/>
          <w:szCs w:val="28"/>
        </w:rPr>
        <w:t>投标人：</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rPr>
        <w:t>（盖单位章）</w:t>
      </w:r>
    </w:p>
    <w:p>
      <w:pPr>
        <w:spacing w:line="540" w:lineRule="atLeast"/>
        <w:ind w:right="85"/>
        <w:jc w:val="center"/>
        <w:rPr>
          <w:rFonts w:ascii="宋体" w:hAnsi="宋体"/>
          <w:color w:val="000000"/>
          <w:sz w:val="28"/>
          <w:szCs w:val="28"/>
        </w:rPr>
      </w:pPr>
      <w:r>
        <w:rPr>
          <w:rFonts w:hint="eastAsia" w:ascii="宋体" w:hAnsi="宋体"/>
          <w:color w:val="000000"/>
          <w:sz w:val="28"/>
          <w:szCs w:val="28"/>
        </w:rPr>
        <w:t>法定代表人或其委托代理人：</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rPr>
        <w:t>（签字）</w:t>
      </w:r>
    </w:p>
    <w:p>
      <w:pPr>
        <w:spacing w:line="373" w:lineRule="exact"/>
        <w:ind w:left="1" w:right="-20"/>
        <w:jc w:val="center"/>
        <w:rPr>
          <w:rFonts w:ascii="宋体" w:hAnsi="宋体"/>
          <w:color w:val="000000"/>
        </w:rPr>
      </w:pP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rPr>
        <w:t>日</w:t>
      </w:r>
    </w:p>
    <w:p>
      <w:pPr>
        <w:widowControl/>
        <w:spacing w:beforeAutospacing="1" w:afterAutospacing="1"/>
        <w:jc w:val="left"/>
        <w:rPr>
          <w:rFonts w:ascii="宋体" w:hAnsi="宋体" w:cs="宋体"/>
          <w:color w:val="000000"/>
          <w:sz w:val="32"/>
          <w:szCs w:val="32"/>
        </w:rPr>
        <w:sectPr>
          <w:pgSz w:w="11907" w:h="16840"/>
          <w:pgMar w:top="1134" w:right="992" w:bottom="1134" w:left="1134" w:header="720" w:footer="720" w:gutter="0"/>
          <w:cols w:space="720" w:num="1"/>
        </w:sectPr>
      </w:pPr>
    </w:p>
    <w:p>
      <w:pPr>
        <w:spacing w:line="427" w:lineRule="exact"/>
        <w:jc w:val="center"/>
        <w:rPr>
          <w:rFonts w:ascii="宋体" w:hAnsi="宋体"/>
          <w:color w:val="000000"/>
          <w:sz w:val="32"/>
          <w:szCs w:val="32"/>
        </w:rPr>
      </w:pPr>
      <w:r>
        <w:rPr>
          <w:rFonts w:hint="eastAsia" w:ascii="宋体" w:hAnsi="宋体"/>
          <w:color w:val="000000"/>
          <w:sz w:val="32"/>
          <w:szCs w:val="32"/>
        </w:rPr>
        <w:t>目录</w:t>
      </w:r>
    </w:p>
    <w:p>
      <w:pPr>
        <w:spacing w:before="6" w:line="130" w:lineRule="exact"/>
        <w:jc w:val="left"/>
        <w:rPr>
          <w:rFonts w:ascii="宋体" w:hAnsi="宋体"/>
          <w:color w:val="000000"/>
          <w:sz w:val="13"/>
          <w:szCs w:val="13"/>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00" w:lineRule="exact"/>
        <w:jc w:val="left"/>
        <w:rPr>
          <w:rFonts w:ascii="宋体" w:hAnsi="宋体"/>
          <w:color w:val="000000"/>
          <w:sz w:val="20"/>
          <w:szCs w:val="20"/>
        </w:rPr>
      </w:pPr>
    </w:p>
    <w:p>
      <w:pPr>
        <w:spacing w:line="295" w:lineRule="exact"/>
        <w:ind w:right="-20"/>
        <w:jc w:val="left"/>
        <w:rPr>
          <w:rFonts w:ascii="宋体" w:hAnsi="宋体"/>
          <w:color w:val="000000"/>
        </w:rPr>
      </w:pPr>
      <w:r>
        <w:rPr>
          <w:rFonts w:hint="eastAsia" w:ascii="宋体" w:hAnsi="宋体"/>
          <w:color w:val="000000"/>
        </w:rPr>
        <w:t>一、投标函及投标函附录</w:t>
      </w:r>
    </w:p>
    <w:p>
      <w:pPr>
        <w:spacing w:before="9" w:line="170" w:lineRule="exact"/>
        <w:jc w:val="left"/>
        <w:rPr>
          <w:rFonts w:ascii="宋体" w:hAnsi="宋体"/>
          <w:color w:val="000000"/>
          <w:sz w:val="17"/>
          <w:szCs w:val="17"/>
        </w:rPr>
      </w:pPr>
    </w:p>
    <w:p>
      <w:pPr>
        <w:spacing w:line="357" w:lineRule="auto"/>
        <w:ind w:right="3389"/>
        <w:jc w:val="left"/>
        <w:rPr>
          <w:rFonts w:ascii="宋体" w:hAnsi="宋体"/>
          <w:color w:val="000000"/>
        </w:rPr>
      </w:pPr>
      <w:r>
        <w:rPr>
          <w:rFonts w:hint="eastAsia" w:ascii="宋体" w:hAnsi="宋体"/>
          <w:color w:val="000000"/>
        </w:rPr>
        <w:t xml:space="preserve">二、法定代表人证明书、授权委托书 </w:t>
      </w:r>
    </w:p>
    <w:p>
      <w:pPr>
        <w:spacing w:line="357" w:lineRule="auto"/>
        <w:ind w:right="3389"/>
        <w:jc w:val="left"/>
        <w:rPr>
          <w:rFonts w:ascii="宋体" w:hAnsi="宋体"/>
          <w:color w:val="000000"/>
        </w:rPr>
      </w:pPr>
      <w:r>
        <w:rPr>
          <w:rFonts w:hint="eastAsia" w:ascii="宋体" w:hAnsi="宋体"/>
          <w:color w:val="000000"/>
        </w:rPr>
        <w:t>三、资格审查资料</w:t>
      </w:r>
    </w:p>
    <w:p>
      <w:pPr>
        <w:spacing w:line="357" w:lineRule="auto"/>
        <w:ind w:right="3389"/>
        <w:jc w:val="left"/>
        <w:rPr>
          <w:rFonts w:ascii="宋体" w:hAnsi="宋体"/>
          <w:color w:val="000000"/>
        </w:rPr>
      </w:pPr>
      <w:r>
        <w:rPr>
          <w:rFonts w:hint="eastAsia" w:ascii="宋体" w:hAnsi="宋体"/>
          <w:color w:val="000000"/>
        </w:rPr>
        <w:t>四、资信业绩部分</w:t>
      </w:r>
    </w:p>
    <w:p>
      <w:pPr>
        <w:spacing w:line="357" w:lineRule="auto"/>
        <w:ind w:right="3389"/>
        <w:jc w:val="left"/>
        <w:rPr>
          <w:rFonts w:ascii="宋体" w:hAnsi="宋体"/>
          <w:color w:val="000000"/>
        </w:rPr>
      </w:pPr>
      <w:r>
        <w:rPr>
          <w:rFonts w:hint="eastAsia" w:ascii="宋体" w:hAnsi="宋体"/>
          <w:color w:val="000000"/>
        </w:rPr>
        <w:t>五、技术部分</w:t>
      </w:r>
    </w:p>
    <w:p>
      <w:pPr>
        <w:spacing w:line="357" w:lineRule="auto"/>
        <w:ind w:right="3389"/>
        <w:jc w:val="left"/>
        <w:rPr>
          <w:rFonts w:ascii="宋体" w:hAnsi="宋体"/>
          <w:color w:val="000000"/>
        </w:rPr>
      </w:pPr>
      <w:r>
        <w:rPr>
          <w:rFonts w:hint="eastAsia" w:ascii="宋体" w:hAnsi="宋体"/>
          <w:color w:val="000000"/>
        </w:rPr>
        <w:t>六、其他资料</w:t>
      </w:r>
    </w:p>
    <w:p>
      <w:pPr>
        <w:widowControl/>
        <w:spacing w:beforeAutospacing="1" w:afterAutospacing="1" w:line="357" w:lineRule="auto"/>
        <w:jc w:val="left"/>
        <w:rPr>
          <w:rFonts w:ascii="宋体" w:hAnsi="宋体" w:cs="宋体"/>
          <w:color w:val="000000"/>
          <w:sz w:val="32"/>
          <w:szCs w:val="32"/>
        </w:rPr>
        <w:sectPr>
          <w:pgSz w:w="11907" w:h="16840"/>
          <w:pgMar w:top="1134" w:right="1134" w:bottom="1134" w:left="1134" w:header="720" w:footer="720" w:gutter="0"/>
          <w:cols w:space="720" w:num="1"/>
        </w:sectPr>
      </w:pPr>
    </w:p>
    <w:p>
      <w:pPr>
        <w:spacing w:line="427" w:lineRule="exact"/>
        <w:ind w:left="2654" w:right="-23"/>
        <w:jc w:val="left"/>
        <w:outlineLvl w:val="1"/>
        <w:rPr>
          <w:rFonts w:ascii="宋体" w:hAnsi="宋体"/>
          <w:color w:val="000000"/>
          <w:sz w:val="32"/>
          <w:szCs w:val="32"/>
        </w:rPr>
      </w:pPr>
      <w:bookmarkStart w:id="115" w:name="_Toc43990383"/>
      <w:r>
        <w:rPr>
          <w:rFonts w:hint="eastAsia" w:ascii="宋体" w:hAnsi="宋体"/>
          <w:color w:val="000000"/>
          <w:sz w:val="32"/>
          <w:szCs w:val="32"/>
        </w:rPr>
        <w:t>一、投标函及投标函附录</w:t>
      </w:r>
      <w:bookmarkEnd w:id="115"/>
    </w:p>
    <w:p>
      <w:pPr>
        <w:spacing w:before="7" w:line="180" w:lineRule="exact"/>
        <w:jc w:val="left"/>
        <w:rPr>
          <w:rFonts w:ascii="宋体" w:hAnsi="宋体"/>
          <w:color w:val="000000"/>
          <w:sz w:val="18"/>
          <w:szCs w:val="18"/>
        </w:rPr>
      </w:pPr>
    </w:p>
    <w:p>
      <w:pPr>
        <w:spacing w:line="200" w:lineRule="exact"/>
        <w:jc w:val="left"/>
        <w:rPr>
          <w:rFonts w:ascii="宋体" w:hAnsi="宋体"/>
          <w:color w:val="000000"/>
          <w:sz w:val="20"/>
          <w:szCs w:val="20"/>
        </w:rPr>
      </w:pPr>
    </w:p>
    <w:p>
      <w:pPr>
        <w:spacing w:line="200" w:lineRule="exact"/>
        <w:ind w:firstLine="420"/>
        <w:jc w:val="left"/>
        <w:rPr>
          <w:rFonts w:ascii="宋体" w:hAnsi="宋体"/>
          <w:color w:val="000000"/>
          <w:sz w:val="20"/>
          <w:szCs w:val="20"/>
        </w:rPr>
      </w:pPr>
    </w:p>
    <w:p>
      <w:pPr>
        <w:pStyle w:val="5"/>
        <w:jc w:val="center"/>
        <w:rPr>
          <w:rFonts w:ascii="宋体" w:hAnsi="宋体"/>
          <w:color w:val="000000"/>
          <w:sz w:val="30"/>
          <w:szCs w:val="30"/>
        </w:rPr>
      </w:pPr>
      <w:bookmarkStart w:id="116" w:name="_Toc43990384"/>
      <w:bookmarkStart w:id="117" w:name="_Toc43989939"/>
      <w:r>
        <w:rPr>
          <w:rFonts w:hint="eastAsia" w:ascii="宋体" w:hAnsi="宋体"/>
          <w:color w:val="000000"/>
          <w:sz w:val="30"/>
          <w:szCs w:val="30"/>
        </w:rPr>
        <w:t>（一）投标函</w:t>
      </w:r>
      <w:bookmarkEnd w:id="116"/>
      <w:bookmarkEnd w:id="117"/>
    </w:p>
    <w:p>
      <w:pPr>
        <w:pStyle w:val="5"/>
        <w:jc w:val="center"/>
        <w:rPr>
          <w:rFonts w:ascii="宋体" w:hAnsi="宋体"/>
          <w:color w:val="000000"/>
        </w:rPr>
      </w:pPr>
    </w:p>
    <w:p>
      <w:pPr>
        <w:autoSpaceDE w:val="0"/>
        <w:autoSpaceDN w:val="0"/>
        <w:adjustRightInd w:val="0"/>
        <w:spacing w:line="360" w:lineRule="auto"/>
        <w:jc w:val="left"/>
        <w:rPr>
          <w:rFonts w:ascii="宋体" w:hAnsi="宋体"/>
          <w:color w:val="000000"/>
          <w:kern w:val="0"/>
        </w:rPr>
      </w:pPr>
      <w:r>
        <w:rPr>
          <w:rFonts w:hint="eastAsia" w:ascii="宋体" w:hAnsi="宋体"/>
          <w:color w:val="000000"/>
          <w:kern w:val="0"/>
        </w:rPr>
        <w:t>致</w:t>
      </w:r>
      <w:r>
        <w:rPr>
          <w:rFonts w:hint="eastAsia" w:ascii="宋体" w:hAnsi="宋体"/>
          <w:color w:val="000000"/>
          <w:kern w:val="0"/>
          <w:u w:val="single"/>
        </w:rPr>
        <w:t xml:space="preserve">            </w:t>
      </w:r>
      <w:r>
        <w:rPr>
          <w:rFonts w:hint="eastAsia" w:ascii="宋体" w:hAnsi="宋体"/>
          <w:color w:val="000000"/>
          <w:kern w:val="0"/>
        </w:rPr>
        <w:t>（招标人）：</w:t>
      </w:r>
    </w:p>
    <w:p>
      <w:pPr>
        <w:autoSpaceDE w:val="0"/>
        <w:autoSpaceDN w:val="0"/>
        <w:adjustRightInd w:val="0"/>
        <w:spacing w:line="360" w:lineRule="auto"/>
        <w:ind w:firstLine="480"/>
        <w:jc w:val="left"/>
        <w:rPr>
          <w:rFonts w:ascii="宋体" w:hAnsi="宋体"/>
          <w:color w:val="000000"/>
          <w:kern w:val="0"/>
        </w:rPr>
      </w:pPr>
      <w:r>
        <w:rPr>
          <w:rFonts w:hint="eastAsia" w:ascii="宋体" w:hAnsi="宋体"/>
          <w:color w:val="000000"/>
          <w:kern w:val="0"/>
        </w:rPr>
        <w:t>1．我方已仔细研究了（项目名称）招标项目招标文件的全部内容，愿意以人民币（大写）</w:t>
      </w:r>
      <w:r>
        <w:rPr>
          <w:rFonts w:hint="eastAsia" w:ascii="宋体" w:hAnsi="宋体"/>
          <w:color w:val="000000"/>
          <w:kern w:val="0"/>
          <w:u w:val="single"/>
        </w:rPr>
        <w:t xml:space="preserve">    </w:t>
      </w:r>
      <w:r>
        <w:rPr>
          <w:rFonts w:hint="eastAsia" w:ascii="宋体" w:hAnsi="宋体"/>
          <w:color w:val="000000"/>
          <w:kern w:val="0"/>
        </w:rPr>
        <w:t>（¥</w:t>
      </w:r>
      <w:r>
        <w:rPr>
          <w:rFonts w:hint="eastAsia" w:ascii="宋体" w:hAnsi="宋体"/>
          <w:color w:val="000000"/>
          <w:kern w:val="0"/>
          <w:u w:val="single"/>
        </w:rPr>
        <w:t xml:space="preserve">    </w:t>
      </w:r>
      <w:r>
        <w:rPr>
          <w:rFonts w:hint="eastAsia" w:ascii="宋体" w:hAnsi="宋体"/>
          <w:color w:val="000000"/>
          <w:kern w:val="0"/>
        </w:rPr>
        <w:t>万元）的投标总报价投标（此报价包括但不限于</w:t>
      </w:r>
      <w:r>
        <w:rPr>
          <w:rFonts w:hint="eastAsia" w:ascii="宋体" w:hAnsi="宋体"/>
          <w:color w:val="000000"/>
          <w:kern w:val="0"/>
          <w:u w:val="single"/>
        </w:rPr>
        <w:t>设备</w:t>
      </w:r>
      <w:r>
        <w:rPr>
          <w:rFonts w:hint="eastAsia" w:ascii="宋体" w:hAnsi="宋体"/>
          <w:color w:val="000000"/>
          <w:kern w:val="0"/>
        </w:rPr>
        <w:t>、劳务、管理、交通、维护、保险、利润、税金、政策性文件规定及合同包含的所有风险、责任等各项所有费用），服务期：</w:t>
      </w:r>
      <w:r>
        <w:rPr>
          <w:rFonts w:hint="eastAsia" w:ascii="宋体" w:hAnsi="宋体"/>
          <w:color w:val="000000"/>
          <w:kern w:val="0"/>
          <w:u w:val="single"/>
        </w:rPr>
        <w:t>按招标文件要求</w:t>
      </w:r>
      <w:r>
        <w:rPr>
          <w:rFonts w:hint="eastAsia" w:ascii="宋体" w:hAnsi="宋体"/>
          <w:color w:val="000000"/>
          <w:kern w:val="0"/>
        </w:rPr>
        <w:t>。按合同约定完成</w:t>
      </w:r>
      <w:r>
        <w:rPr>
          <w:rFonts w:hint="eastAsia" w:ascii="宋体" w:hAnsi="宋体"/>
          <w:color w:val="000000"/>
          <w:kern w:val="0"/>
          <w:u w:val="single"/>
        </w:rPr>
        <w:t>技术服务</w:t>
      </w:r>
      <w:r>
        <w:rPr>
          <w:rFonts w:hint="eastAsia" w:ascii="宋体" w:hAnsi="宋体"/>
          <w:color w:val="000000"/>
          <w:kern w:val="0"/>
        </w:rPr>
        <w:t>工作。</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2．我方的投标文件包括下列内容：</w:t>
      </w:r>
    </w:p>
    <w:p>
      <w:pPr>
        <w:spacing w:line="295" w:lineRule="exact"/>
        <w:ind w:left="99" w:leftChars="47" w:right="-20" w:firstLine="319" w:firstLineChars="152"/>
        <w:jc w:val="left"/>
        <w:rPr>
          <w:rFonts w:ascii="宋体" w:hAnsi="宋体"/>
          <w:color w:val="000000"/>
        </w:rPr>
      </w:pPr>
      <w:r>
        <w:rPr>
          <w:rFonts w:hint="eastAsia" w:ascii="宋体" w:hAnsi="宋体"/>
          <w:color w:val="000000"/>
          <w:kern w:val="0"/>
        </w:rPr>
        <w:t>（1）</w:t>
      </w:r>
      <w:r>
        <w:rPr>
          <w:rFonts w:hint="eastAsia" w:ascii="宋体" w:hAnsi="宋体"/>
          <w:color w:val="000000"/>
        </w:rPr>
        <w:t>投标函及投标函附录</w:t>
      </w:r>
    </w:p>
    <w:p>
      <w:pPr>
        <w:spacing w:before="9" w:line="170" w:lineRule="exact"/>
        <w:ind w:left="99" w:leftChars="47" w:firstLine="258" w:firstLineChars="152"/>
        <w:jc w:val="left"/>
        <w:rPr>
          <w:rFonts w:ascii="宋体" w:hAnsi="宋体"/>
          <w:color w:val="000000"/>
          <w:sz w:val="17"/>
          <w:szCs w:val="17"/>
        </w:rPr>
      </w:pPr>
    </w:p>
    <w:p>
      <w:pPr>
        <w:spacing w:line="357" w:lineRule="auto"/>
        <w:ind w:left="99" w:leftChars="47" w:right="3389" w:firstLine="319" w:firstLineChars="152"/>
        <w:jc w:val="left"/>
        <w:rPr>
          <w:rFonts w:ascii="宋体" w:hAnsi="宋体"/>
          <w:color w:val="000000"/>
        </w:rPr>
      </w:pPr>
      <w:r>
        <w:rPr>
          <w:rFonts w:hint="eastAsia" w:ascii="宋体" w:hAnsi="宋体"/>
          <w:color w:val="000000"/>
        </w:rPr>
        <w:t xml:space="preserve">（2）法定代表人身份证明、授权委托书 </w:t>
      </w:r>
    </w:p>
    <w:p>
      <w:pPr>
        <w:spacing w:line="357" w:lineRule="auto"/>
        <w:ind w:left="99" w:leftChars="47" w:right="3389" w:firstLine="319" w:firstLineChars="152"/>
        <w:jc w:val="left"/>
        <w:rPr>
          <w:rFonts w:ascii="宋体" w:hAnsi="宋体"/>
          <w:color w:val="000000"/>
        </w:rPr>
      </w:pPr>
      <w:r>
        <w:rPr>
          <w:rFonts w:hint="eastAsia" w:ascii="宋体" w:hAnsi="宋体"/>
          <w:color w:val="000000"/>
        </w:rPr>
        <w:t xml:space="preserve">（3）投标保证金 </w:t>
      </w:r>
    </w:p>
    <w:p>
      <w:pPr>
        <w:spacing w:line="357" w:lineRule="auto"/>
        <w:ind w:left="99" w:leftChars="47" w:right="3389" w:firstLine="319" w:firstLineChars="152"/>
        <w:jc w:val="left"/>
        <w:rPr>
          <w:rFonts w:ascii="宋体" w:hAnsi="宋体"/>
          <w:color w:val="000000"/>
        </w:rPr>
      </w:pPr>
      <w:r>
        <w:rPr>
          <w:rFonts w:hint="eastAsia" w:ascii="宋体" w:hAnsi="宋体"/>
          <w:color w:val="000000"/>
        </w:rPr>
        <w:t xml:space="preserve">（4）资格审查资料 </w:t>
      </w:r>
    </w:p>
    <w:p>
      <w:pPr>
        <w:spacing w:line="357" w:lineRule="auto"/>
        <w:ind w:left="99" w:leftChars="47" w:right="3389" w:firstLine="319" w:firstLineChars="152"/>
        <w:jc w:val="left"/>
        <w:rPr>
          <w:rFonts w:ascii="宋体" w:hAnsi="宋体"/>
          <w:color w:val="000000"/>
        </w:rPr>
      </w:pPr>
      <w:r>
        <w:rPr>
          <w:rFonts w:hint="eastAsia" w:ascii="宋体" w:hAnsi="宋体"/>
          <w:color w:val="000000"/>
        </w:rPr>
        <w:t>（5）技术部分</w:t>
      </w:r>
    </w:p>
    <w:p>
      <w:pPr>
        <w:spacing w:line="357" w:lineRule="auto"/>
        <w:ind w:left="99" w:leftChars="47" w:right="3389" w:firstLine="319" w:firstLineChars="152"/>
        <w:jc w:val="left"/>
        <w:rPr>
          <w:rFonts w:ascii="宋体" w:hAnsi="宋体"/>
          <w:color w:val="000000"/>
          <w:kern w:val="0"/>
        </w:rPr>
      </w:pPr>
      <w:r>
        <w:rPr>
          <w:rFonts w:hint="eastAsia" w:ascii="宋体" w:hAnsi="宋体"/>
          <w:color w:val="000000"/>
          <w:kern w:val="0"/>
        </w:rPr>
        <w:t>（6）</w:t>
      </w:r>
      <w:r>
        <w:rPr>
          <w:rFonts w:hint="eastAsia" w:ascii="宋体" w:hAnsi="宋体"/>
          <w:color w:val="000000"/>
        </w:rPr>
        <w:t>其他资料</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投标文件的上述组成部分如存在内容不一致的，以投标函为准。</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3．我方承诺在招标文件规定的投标有效期内不撤销投标文件。</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4．如我方中标，我方承诺：</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（1）在收到中标通知书后，在中标通知书规定的期限内与你方签订合同；</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（2）在签订合同时不向你方提出附加条件；</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（3）在合同约定的期限内完成合同规定的全部义务。</w:t>
      </w:r>
    </w:p>
    <w:p>
      <w:pPr>
        <w:autoSpaceDE w:val="0"/>
        <w:autoSpaceDN w:val="0"/>
        <w:adjustRightInd w:val="0"/>
        <w:spacing w:line="360" w:lineRule="auto"/>
        <w:ind w:firstLine="420" w:firstLineChars="200"/>
        <w:rPr>
          <w:rFonts w:ascii="宋体" w:hAnsi="宋体"/>
          <w:color w:val="000000"/>
          <w:kern w:val="0"/>
        </w:rPr>
      </w:pPr>
      <w:r>
        <w:rPr>
          <w:rFonts w:hint="eastAsia" w:ascii="宋体" w:hAnsi="宋体"/>
          <w:color w:val="000000"/>
          <w:kern w:val="0"/>
        </w:rPr>
        <w:t>5．我方在此声明，所递交的投标文件及有关资料内容完整、真实和准确，且不存在第二章“投标人须知”第 1.4.3 项规定的任何一种情形。</w:t>
      </w:r>
    </w:p>
    <w:p>
      <w:pPr>
        <w:autoSpaceDE w:val="0"/>
        <w:autoSpaceDN w:val="0"/>
        <w:adjustRightInd w:val="0"/>
        <w:spacing w:line="360" w:lineRule="auto"/>
        <w:ind w:firstLine="2100" w:firstLineChars="1000"/>
        <w:rPr>
          <w:rFonts w:ascii="宋体" w:hAnsi="宋体"/>
          <w:color w:val="000000"/>
          <w:kern w:val="0"/>
        </w:rPr>
      </w:pPr>
    </w:p>
    <w:p>
      <w:pPr>
        <w:autoSpaceDE w:val="0"/>
        <w:autoSpaceDN w:val="0"/>
        <w:adjustRightInd w:val="0"/>
        <w:spacing w:line="360" w:lineRule="auto"/>
        <w:ind w:firstLine="4200" w:firstLineChars="2000"/>
        <w:jc w:val="left"/>
        <w:rPr>
          <w:rFonts w:ascii="宋体" w:hAnsi="宋体"/>
          <w:color w:val="000000"/>
          <w:kern w:val="0"/>
        </w:rPr>
      </w:pPr>
      <w:r>
        <w:rPr>
          <w:rFonts w:hint="eastAsia" w:ascii="宋体" w:hAnsi="宋体"/>
          <w:color w:val="000000"/>
          <w:kern w:val="0"/>
        </w:rPr>
        <w:t>投标人： （盖单位公章）</w:t>
      </w:r>
    </w:p>
    <w:p>
      <w:pPr>
        <w:autoSpaceDE w:val="0"/>
        <w:autoSpaceDN w:val="0"/>
        <w:adjustRightInd w:val="0"/>
        <w:spacing w:line="360" w:lineRule="auto"/>
        <w:ind w:firstLine="4200" w:firstLineChars="2000"/>
        <w:jc w:val="left"/>
        <w:rPr>
          <w:rFonts w:ascii="宋体" w:hAnsi="宋体"/>
          <w:color w:val="000000"/>
          <w:kern w:val="0"/>
          <w:u w:val="single"/>
        </w:rPr>
      </w:pPr>
      <w:r>
        <w:rPr>
          <w:rFonts w:hint="eastAsia" w:ascii="宋体" w:hAnsi="宋体"/>
          <w:color w:val="000000"/>
          <w:kern w:val="0"/>
        </w:rPr>
        <w:t>单位地址：</w:t>
      </w:r>
    </w:p>
    <w:p>
      <w:pPr>
        <w:autoSpaceDE w:val="0"/>
        <w:autoSpaceDN w:val="0"/>
        <w:adjustRightInd w:val="0"/>
        <w:spacing w:line="360" w:lineRule="auto"/>
        <w:ind w:firstLine="4200" w:firstLineChars="2000"/>
        <w:jc w:val="left"/>
        <w:rPr>
          <w:rFonts w:ascii="宋体" w:hAnsi="宋体"/>
          <w:color w:val="000000"/>
          <w:kern w:val="0"/>
          <w:u w:val="single"/>
        </w:rPr>
      </w:pPr>
      <w:r>
        <w:rPr>
          <w:rFonts w:hint="eastAsia" w:ascii="宋体" w:hAnsi="宋体"/>
          <w:color w:val="000000"/>
          <w:kern w:val="0"/>
        </w:rPr>
        <w:t>法定代表人或其委托代理人：（签字）</w:t>
      </w:r>
    </w:p>
    <w:p>
      <w:pPr>
        <w:autoSpaceDE w:val="0"/>
        <w:autoSpaceDN w:val="0"/>
        <w:adjustRightInd w:val="0"/>
        <w:spacing w:line="360" w:lineRule="auto"/>
        <w:ind w:firstLine="4200" w:firstLineChars="2000"/>
        <w:jc w:val="left"/>
        <w:rPr>
          <w:rFonts w:ascii="宋体" w:hAnsi="宋体"/>
          <w:color w:val="000000"/>
          <w:kern w:val="0"/>
        </w:rPr>
      </w:pPr>
      <w:r>
        <w:rPr>
          <w:rFonts w:hint="eastAsia" w:ascii="宋体" w:hAnsi="宋体"/>
          <w:color w:val="000000"/>
          <w:kern w:val="0"/>
        </w:rPr>
        <w:t>邮政编码：</w:t>
      </w:r>
    </w:p>
    <w:p>
      <w:pPr>
        <w:autoSpaceDE w:val="0"/>
        <w:autoSpaceDN w:val="0"/>
        <w:adjustRightInd w:val="0"/>
        <w:spacing w:line="360" w:lineRule="auto"/>
        <w:ind w:firstLine="4200" w:firstLineChars="2000"/>
        <w:jc w:val="left"/>
        <w:rPr>
          <w:rFonts w:ascii="宋体" w:hAnsi="宋体"/>
          <w:color w:val="000000"/>
          <w:kern w:val="0"/>
        </w:rPr>
      </w:pPr>
      <w:r>
        <w:rPr>
          <w:rFonts w:hint="eastAsia" w:ascii="宋体" w:hAnsi="宋体"/>
          <w:color w:val="000000"/>
          <w:kern w:val="0"/>
        </w:rPr>
        <w:t>电话：</w:t>
      </w:r>
    </w:p>
    <w:p>
      <w:pPr>
        <w:autoSpaceDE w:val="0"/>
        <w:autoSpaceDN w:val="0"/>
        <w:adjustRightInd w:val="0"/>
        <w:spacing w:line="360" w:lineRule="auto"/>
        <w:ind w:firstLine="4200" w:firstLineChars="2000"/>
        <w:jc w:val="left"/>
        <w:rPr>
          <w:rFonts w:ascii="宋体" w:hAnsi="宋体"/>
          <w:color w:val="000000"/>
          <w:kern w:val="0"/>
          <w:u w:val="single"/>
        </w:rPr>
      </w:pPr>
      <w:r>
        <w:rPr>
          <w:rFonts w:hint="eastAsia" w:ascii="宋体" w:hAnsi="宋体"/>
          <w:color w:val="000000"/>
          <w:kern w:val="0"/>
        </w:rPr>
        <w:t>传真：</w:t>
      </w:r>
    </w:p>
    <w:p>
      <w:pPr>
        <w:autoSpaceDE w:val="0"/>
        <w:autoSpaceDN w:val="0"/>
        <w:adjustRightInd w:val="0"/>
        <w:spacing w:line="360" w:lineRule="auto"/>
        <w:ind w:firstLine="4200" w:firstLineChars="2000"/>
        <w:jc w:val="left"/>
        <w:rPr>
          <w:rFonts w:ascii="宋体" w:hAnsi="宋体"/>
          <w:color w:val="000000"/>
          <w:kern w:val="0"/>
          <w:u w:val="single"/>
        </w:rPr>
      </w:pPr>
      <w:r>
        <w:rPr>
          <w:rFonts w:hint="eastAsia" w:ascii="宋体" w:hAnsi="宋体"/>
          <w:color w:val="000000"/>
          <w:kern w:val="0"/>
        </w:rPr>
        <w:t>开户银行名称：</w:t>
      </w:r>
    </w:p>
    <w:p>
      <w:pPr>
        <w:autoSpaceDE w:val="0"/>
        <w:autoSpaceDN w:val="0"/>
        <w:adjustRightInd w:val="0"/>
        <w:spacing w:line="360" w:lineRule="auto"/>
        <w:ind w:firstLine="4200" w:firstLineChars="2000"/>
        <w:jc w:val="left"/>
        <w:rPr>
          <w:rFonts w:ascii="宋体" w:hAnsi="宋体"/>
          <w:color w:val="000000"/>
          <w:kern w:val="0"/>
        </w:rPr>
      </w:pPr>
      <w:r>
        <w:rPr>
          <w:rFonts w:hint="eastAsia" w:ascii="宋体" w:hAnsi="宋体"/>
          <w:color w:val="000000"/>
          <w:kern w:val="0"/>
        </w:rPr>
        <w:t>开户银行帐号：</w:t>
      </w:r>
    </w:p>
    <w:p>
      <w:pPr>
        <w:spacing w:line="360" w:lineRule="auto"/>
        <w:ind w:firstLine="4200" w:firstLineChars="2000"/>
        <w:jc w:val="left"/>
        <w:rPr>
          <w:rFonts w:ascii="宋体" w:hAnsi="宋体"/>
          <w:color w:val="000000"/>
          <w:kern w:val="0"/>
        </w:rPr>
      </w:pPr>
      <w:r>
        <w:rPr>
          <w:rFonts w:hint="eastAsia" w:ascii="宋体" w:hAnsi="宋体"/>
          <w:color w:val="000000"/>
          <w:kern w:val="0"/>
        </w:rPr>
        <w:t>日        期：  年  月  日</w:t>
      </w:r>
    </w:p>
    <w:p>
      <w:pPr>
        <w:pStyle w:val="5"/>
        <w:jc w:val="center"/>
        <w:rPr>
          <w:rFonts w:ascii="宋体" w:hAnsi="宋体"/>
          <w:b w:val="0"/>
          <w:bCs w:val="0"/>
          <w:color w:val="000000"/>
          <w:sz w:val="30"/>
          <w:szCs w:val="30"/>
        </w:rPr>
      </w:pPr>
      <w:bookmarkStart w:id="118" w:name="_Toc26354"/>
      <w:bookmarkEnd w:id="118"/>
      <w:bookmarkStart w:id="119" w:name="_Toc504"/>
      <w:bookmarkEnd w:id="119"/>
      <w:bookmarkStart w:id="120" w:name="_Toc514170142"/>
      <w:bookmarkEnd w:id="120"/>
      <w:bookmarkStart w:id="121" w:name="_Toc23223"/>
      <w:bookmarkEnd w:id="121"/>
      <w:bookmarkStart w:id="122" w:name="_Toc24851"/>
      <w:bookmarkEnd w:id="122"/>
      <w:bookmarkStart w:id="123" w:name="_Toc29486"/>
      <w:bookmarkEnd w:id="123"/>
      <w:bookmarkStart w:id="124" w:name="_Toc10542"/>
      <w:bookmarkStart w:id="125" w:name="_Toc43989940"/>
      <w:bookmarkStart w:id="126" w:name="_Toc43990385"/>
      <w:bookmarkStart w:id="127" w:name="_Toc43989742"/>
      <w:r>
        <w:rPr>
          <w:rFonts w:hint="eastAsia" w:ascii="宋体" w:hAnsi="宋体"/>
          <w:color w:val="000000"/>
          <w:sz w:val="30"/>
          <w:szCs w:val="30"/>
        </w:rPr>
        <w:t>（二）投标函附录</w:t>
      </w:r>
      <w:bookmarkEnd w:id="124"/>
      <w:bookmarkEnd w:id="125"/>
      <w:bookmarkEnd w:id="126"/>
      <w:bookmarkEnd w:id="127"/>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66"/>
        <w:gridCol w:w="4355"/>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rPr>
            </w:pPr>
            <w:r>
              <w:rPr>
                <w:rFonts w:hint="eastAsia" w:ascii="宋体" w:hAnsi="宋体"/>
                <w:b/>
                <w:bCs/>
                <w:color w:val="000000"/>
              </w:rPr>
              <w:t>序号</w:t>
            </w:r>
          </w:p>
        </w:tc>
        <w:tc>
          <w:tcPr>
            <w:tcW w:w="1766"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rPr>
            </w:pPr>
            <w:r>
              <w:rPr>
                <w:rFonts w:hint="eastAsia" w:ascii="宋体" w:hAnsi="宋体"/>
                <w:b/>
                <w:bCs/>
                <w:color w:val="000000"/>
              </w:rPr>
              <w:t>条款名称</w:t>
            </w:r>
          </w:p>
        </w:tc>
        <w:tc>
          <w:tcPr>
            <w:tcW w:w="4355"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rPr>
            </w:pPr>
            <w:r>
              <w:rPr>
                <w:rFonts w:hint="eastAsia" w:ascii="宋体" w:hAnsi="宋体"/>
                <w:b/>
                <w:bCs/>
                <w:color w:val="000000"/>
              </w:rPr>
              <w:t>约定内容</w:t>
            </w:r>
          </w:p>
        </w:tc>
        <w:tc>
          <w:tcPr>
            <w:tcW w:w="1551"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rPr>
            </w:pPr>
            <w:r>
              <w:rPr>
                <w:rFonts w:hint="eastAsia" w:ascii="宋体" w:hAnsi="宋体"/>
                <w:b/>
                <w:bCs/>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1</w:t>
            </w:r>
          </w:p>
        </w:tc>
        <w:tc>
          <w:tcPr>
            <w:tcW w:w="1766"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sz w:val="24"/>
              </w:rPr>
              <w:t>最高限价（招标控制价）</w:t>
            </w:r>
          </w:p>
        </w:tc>
        <w:tc>
          <w:tcPr>
            <w:tcW w:w="435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sz w:val="24"/>
              </w:rPr>
              <w:t xml:space="preserve"> 元</w:t>
            </w:r>
          </w:p>
        </w:tc>
        <w:tc>
          <w:tcPr>
            <w:tcW w:w="1551"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2</w:t>
            </w:r>
          </w:p>
        </w:tc>
        <w:tc>
          <w:tcPr>
            <w:tcW w:w="1766"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szCs w:val="24"/>
              </w:rPr>
            </w:pPr>
            <w:r>
              <w:rPr>
                <w:rFonts w:ascii="宋体" w:hAnsi="宋体"/>
                <w:color w:val="000000"/>
                <w:sz w:val="24"/>
                <w:szCs w:val="24"/>
              </w:rPr>
              <w:t>投标总报价</w:t>
            </w:r>
          </w:p>
        </w:tc>
        <w:tc>
          <w:tcPr>
            <w:tcW w:w="43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rPr>
              <w:t>（元）</w:t>
            </w:r>
          </w:p>
        </w:tc>
        <w:tc>
          <w:tcPr>
            <w:tcW w:w="1551"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3</w:t>
            </w:r>
          </w:p>
        </w:tc>
        <w:tc>
          <w:tcPr>
            <w:tcW w:w="1766"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szCs w:val="24"/>
                <w:u w:val="single"/>
              </w:rPr>
            </w:pPr>
            <w:r>
              <w:rPr>
                <w:rFonts w:hint="eastAsia" w:ascii="宋体" w:hAnsi="宋体"/>
                <w:color w:val="000000"/>
                <w:sz w:val="24"/>
                <w:szCs w:val="24"/>
              </w:rPr>
              <w:t>下浮率</w:t>
            </w:r>
          </w:p>
        </w:tc>
        <w:tc>
          <w:tcPr>
            <w:tcW w:w="43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szCs w:val="24"/>
                <w:u w:val="single"/>
              </w:rPr>
              <w:t xml:space="preserve">      </w:t>
            </w:r>
            <w:r>
              <w:rPr>
                <w:rFonts w:hint="eastAsia" w:ascii="宋体" w:hAnsi="宋体"/>
                <w:color w:val="000000"/>
                <w:sz w:val="24"/>
                <w:szCs w:val="24"/>
              </w:rPr>
              <w:t>（％）</w:t>
            </w:r>
          </w:p>
        </w:tc>
        <w:tc>
          <w:tcPr>
            <w:tcW w:w="1551"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4</w:t>
            </w:r>
          </w:p>
        </w:tc>
        <w:tc>
          <w:tcPr>
            <w:tcW w:w="1766"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项目负责人</w:t>
            </w:r>
          </w:p>
        </w:tc>
        <w:tc>
          <w:tcPr>
            <w:tcW w:w="4355" w:type="dxa"/>
            <w:tcBorders>
              <w:top w:val="single" w:color="auto" w:sz="4" w:space="0"/>
              <w:left w:val="nil"/>
              <w:bottom w:val="single" w:color="auto" w:sz="4" w:space="0"/>
              <w:right w:val="single" w:color="auto" w:sz="4" w:space="0"/>
            </w:tcBorders>
            <w:vAlign w:val="center"/>
          </w:tcPr>
          <w:p>
            <w:pPr>
              <w:jc w:val="left"/>
              <w:rPr>
                <w:rFonts w:ascii="宋体" w:hAnsi="宋体"/>
                <w:color w:val="000000"/>
                <w:sz w:val="24"/>
                <w:szCs w:val="24"/>
                <w:u w:val="single"/>
              </w:rPr>
            </w:pPr>
            <w:r>
              <w:rPr>
                <w:rFonts w:hint="eastAsia" w:ascii="宋体" w:hAnsi="宋体"/>
                <w:color w:val="000000"/>
                <w:sz w:val="24"/>
                <w:szCs w:val="24"/>
              </w:rPr>
              <w:t>姓名：</w:t>
            </w:r>
          </w:p>
          <w:p>
            <w:pPr>
              <w:jc w:val="left"/>
              <w:rPr>
                <w:rFonts w:ascii="宋体" w:hAnsi="宋体"/>
                <w:color w:val="000000"/>
                <w:sz w:val="24"/>
                <w:szCs w:val="24"/>
              </w:rPr>
            </w:pPr>
            <w:r>
              <w:rPr>
                <w:rFonts w:hint="eastAsia" w:ascii="宋体" w:hAnsi="宋体"/>
                <w:color w:val="000000"/>
                <w:sz w:val="24"/>
                <w:szCs w:val="24"/>
              </w:rPr>
              <w:t>技术职称：</w:t>
            </w:r>
          </w:p>
          <w:p>
            <w:pPr>
              <w:jc w:val="left"/>
              <w:rPr>
                <w:rFonts w:ascii="宋体" w:hAnsi="宋体"/>
                <w:color w:val="000000"/>
                <w:sz w:val="24"/>
                <w:szCs w:val="24"/>
              </w:rPr>
            </w:pPr>
            <w:r>
              <w:rPr>
                <w:rFonts w:hint="eastAsia" w:ascii="宋体" w:hAnsi="宋体"/>
                <w:color w:val="000000"/>
                <w:sz w:val="24"/>
                <w:szCs w:val="24"/>
              </w:rPr>
              <w:t>职称证号：</w:t>
            </w:r>
          </w:p>
        </w:tc>
        <w:tc>
          <w:tcPr>
            <w:tcW w:w="1551"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5</w:t>
            </w:r>
          </w:p>
        </w:tc>
        <w:tc>
          <w:tcPr>
            <w:tcW w:w="1766"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服务期</w:t>
            </w:r>
          </w:p>
        </w:tc>
        <w:tc>
          <w:tcPr>
            <w:tcW w:w="435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按招标文件要求</w:t>
            </w:r>
          </w:p>
        </w:tc>
        <w:tc>
          <w:tcPr>
            <w:tcW w:w="1551" w:type="dxa"/>
            <w:tcBorders>
              <w:top w:val="single" w:color="auto" w:sz="4" w:space="0"/>
              <w:left w:val="nil"/>
              <w:bottom w:val="single" w:color="auto" w:sz="4" w:space="0"/>
              <w:right w:val="single" w:color="auto" w:sz="4" w:space="0"/>
            </w:tcBorders>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101" w:type="dxa"/>
            <w:tcBorders>
              <w:top w:val="nil"/>
              <w:left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6</w:t>
            </w:r>
          </w:p>
        </w:tc>
        <w:tc>
          <w:tcPr>
            <w:tcW w:w="1766" w:type="dxa"/>
            <w:tcBorders>
              <w:top w:val="nil"/>
              <w:left w:val="nil"/>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合同价款确定方式</w:t>
            </w:r>
          </w:p>
        </w:tc>
        <w:tc>
          <w:tcPr>
            <w:tcW w:w="435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按招标文件要求</w:t>
            </w:r>
          </w:p>
        </w:tc>
        <w:tc>
          <w:tcPr>
            <w:tcW w:w="1551" w:type="dxa"/>
            <w:tcBorders>
              <w:top w:val="nil"/>
              <w:left w:val="nil"/>
              <w:right w:val="single" w:color="auto" w:sz="4" w:space="0"/>
            </w:tcBorders>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01" w:type="dxa"/>
            <w:tcBorders>
              <w:top w:val="nil"/>
              <w:left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7</w:t>
            </w:r>
          </w:p>
        </w:tc>
        <w:tc>
          <w:tcPr>
            <w:tcW w:w="1766" w:type="dxa"/>
            <w:tcBorders>
              <w:top w:val="nil"/>
              <w:left w:val="nil"/>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质量标准</w:t>
            </w:r>
          </w:p>
        </w:tc>
        <w:tc>
          <w:tcPr>
            <w:tcW w:w="4355" w:type="dxa"/>
            <w:tcBorders>
              <w:top w:val="single" w:color="auto" w:sz="4" w:space="0"/>
              <w:left w:val="nil"/>
              <w:bottom w:val="single" w:color="auto" w:sz="4" w:space="0"/>
              <w:right w:val="single" w:color="auto" w:sz="4" w:space="0"/>
            </w:tcBorders>
            <w:vAlign w:val="center"/>
          </w:tcPr>
          <w:p>
            <w:pPr>
              <w:jc w:val="center"/>
              <w:rPr>
                <w:rFonts w:ascii="宋体" w:hAnsi="宋体"/>
                <w:color w:val="000000"/>
                <w:sz w:val="24"/>
                <w:szCs w:val="24"/>
              </w:rPr>
            </w:pPr>
            <w:r>
              <w:rPr>
                <w:rFonts w:hint="eastAsia" w:ascii="宋体" w:hAnsi="宋体"/>
                <w:color w:val="000000"/>
                <w:sz w:val="24"/>
                <w:szCs w:val="24"/>
              </w:rPr>
              <w:t>合格</w:t>
            </w:r>
          </w:p>
        </w:tc>
        <w:tc>
          <w:tcPr>
            <w:tcW w:w="1551" w:type="dxa"/>
            <w:tcBorders>
              <w:top w:val="nil"/>
              <w:left w:val="nil"/>
              <w:right w:val="single" w:color="auto" w:sz="4" w:space="0"/>
            </w:tcBorders>
            <w:vAlign w:val="center"/>
          </w:tcPr>
          <w:p>
            <w:pPr>
              <w:jc w:val="center"/>
              <w:rPr>
                <w:rFonts w:ascii="宋体" w:hAnsi="宋体"/>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000000"/>
                <w:sz w:val="24"/>
                <w:szCs w:val="24"/>
              </w:rPr>
            </w:pPr>
            <w:r>
              <w:rPr>
                <w:rFonts w:hint="eastAsia" w:ascii="宋体" w:hAnsi="宋体"/>
                <w:color w:val="000000"/>
                <w:sz w:val="24"/>
                <w:szCs w:val="24"/>
              </w:rPr>
              <w:t>8</w:t>
            </w:r>
          </w:p>
        </w:tc>
        <w:tc>
          <w:tcPr>
            <w:tcW w:w="1766" w:type="dxa"/>
            <w:tcBorders>
              <w:top w:val="single" w:color="auto" w:sz="4" w:space="0"/>
              <w:left w:val="nil"/>
              <w:bottom w:val="single" w:color="auto" w:sz="4" w:space="0"/>
              <w:right w:val="single" w:color="auto" w:sz="4" w:space="0"/>
            </w:tcBorders>
            <w:vAlign w:val="center"/>
          </w:tcPr>
          <w:p>
            <w:pPr>
              <w:spacing w:line="480" w:lineRule="exact"/>
              <w:ind w:firstLine="240" w:firstLineChars="100"/>
              <w:rPr>
                <w:rFonts w:ascii="宋体" w:hAnsi="宋体"/>
                <w:color w:val="000000"/>
                <w:sz w:val="24"/>
                <w:szCs w:val="24"/>
              </w:rPr>
            </w:pPr>
            <w:r>
              <w:rPr>
                <w:rFonts w:hint="eastAsia" w:ascii="宋体" w:hAnsi="宋体"/>
                <w:color w:val="000000"/>
                <w:sz w:val="24"/>
                <w:szCs w:val="24"/>
              </w:rPr>
              <w:t>投标有效期</w:t>
            </w:r>
          </w:p>
        </w:tc>
        <w:tc>
          <w:tcPr>
            <w:tcW w:w="435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color w:val="000000"/>
                <w:sz w:val="24"/>
                <w:szCs w:val="24"/>
              </w:rPr>
            </w:pPr>
            <w:r>
              <w:rPr>
                <w:rFonts w:hint="eastAsia" w:ascii="宋体" w:hAnsi="宋体"/>
                <w:color w:val="000000"/>
                <w:sz w:val="24"/>
                <w:szCs w:val="24"/>
              </w:rPr>
              <w:t>按招标文件要求</w:t>
            </w:r>
          </w:p>
        </w:tc>
        <w:tc>
          <w:tcPr>
            <w:tcW w:w="1551"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b/>
                <w:bCs/>
                <w:color w:val="000000"/>
              </w:rPr>
            </w:pPr>
          </w:p>
        </w:tc>
      </w:tr>
    </w:tbl>
    <w:p>
      <w:pPr>
        <w:spacing w:line="400" w:lineRule="exact"/>
        <w:ind w:right="-13" w:rightChars="-6"/>
        <w:rPr>
          <w:rFonts w:ascii="宋体" w:hAnsi="宋体"/>
          <w:color w:val="000000"/>
        </w:rPr>
      </w:pPr>
      <w:r>
        <w:rPr>
          <w:rFonts w:hint="eastAsia" w:ascii="宋体" w:hAnsi="宋体"/>
          <w:color w:val="000000"/>
        </w:rPr>
        <w:t>注：1、投标下浮率应填写正数百分比，表示下浮，投标报价高于招标控制价的投标文件将被拒绝。小数点后保留两位小数，第三位四舍五入。</w:t>
      </w:r>
    </w:p>
    <w:p>
      <w:pPr>
        <w:pStyle w:val="23"/>
        <w:snapToGrid w:val="0"/>
        <w:spacing w:line="400" w:lineRule="exact"/>
        <w:ind w:right="-13" w:rightChars="-6" w:firstLine="0" w:firstLineChars="0"/>
        <w:rPr>
          <w:rFonts w:cs="宋体"/>
          <w:bCs/>
        </w:rPr>
      </w:pPr>
      <w:r>
        <w:rPr>
          <w:rFonts w:cs="宋体"/>
          <w:bCs/>
        </w:rPr>
        <w:t>2</w:t>
      </w:r>
      <w:r>
        <w:rPr>
          <w:rFonts w:hint="eastAsia" w:cs="宋体"/>
          <w:bCs/>
        </w:rPr>
        <w:t>、投标报价已包括但不限于技术服务过程中所有办公费、人工费、交通费、资料文件费、风险费、管理费、驻场生活费、利润、税金等所有的一切相关费用。</w:t>
      </w:r>
    </w:p>
    <w:p>
      <w:pPr>
        <w:spacing w:line="400" w:lineRule="exact"/>
        <w:ind w:right="-13" w:rightChars="-6"/>
        <w:rPr>
          <w:rFonts w:ascii="宋体"/>
        </w:rPr>
      </w:pPr>
      <w:r>
        <w:rPr>
          <w:rFonts w:ascii="宋体" w:hAnsi="宋体" w:cs="宋体"/>
        </w:rPr>
        <w:t>3</w:t>
      </w:r>
      <w:r>
        <w:rPr>
          <w:rFonts w:hint="eastAsia" w:ascii="宋体" w:hAnsi="宋体" w:cs="宋体"/>
        </w:rPr>
        <w:t>、投标下浮率（技术服务费下浮率）在技术服务合同执行过程中是固定的，不因情况变化而调整。</w:t>
      </w:r>
    </w:p>
    <w:p>
      <w:pPr>
        <w:spacing w:line="400" w:lineRule="exact"/>
        <w:ind w:right="-13" w:rightChars="-6"/>
        <w:rPr>
          <w:rFonts w:ascii="宋体" w:hAnsi="宋体"/>
          <w:color w:val="000000"/>
        </w:rPr>
      </w:pPr>
      <w:r>
        <w:rPr>
          <w:rFonts w:ascii="宋体" w:hAnsi="宋体" w:cs="宋体"/>
        </w:rPr>
        <w:t>4</w:t>
      </w:r>
      <w:r>
        <w:rPr>
          <w:rFonts w:hint="eastAsia" w:ascii="宋体" w:hAnsi="宋体" w:cs="宋体"/>
        </w:rPr>
        <w:t>、当投标报价和投标下浮率不一致时，以投标下浮率为准。</w:t>
      </w:r>
    </w:p>
    <w:p>
      <w:pPr>
        <w:spacing w:line="480" w:lineRule="exact"/>
        <w:ind w:firstLine="3675" w:firstLineChars="1750"/>
        <w:rPr>
          <w:rFonts w:ascii="宋体" w:hAnsi="宋体"/>
          <w:color w:val="000000"/>
        </w:rPr>
      </w:pPr>
    </w:p>
    <w:p>
      <w:pPr>
        <w:spacing w:line="480" w:lineRule="exact"/>
        <w:ind w:firstLine="3675" w:firstLineChars="1750"/>
        <w:rPr>
          <w:rFonts w:ascii="宋体" w:hAnsi="宋体"/>
          <w:color w:val="000000"/>
          <w:u w:val="single"/>
        </w:rPr>
      </w:pPr>
      <w:r>
        <w:rPr>
          <w:rFonts w:hint="eastAsia" w:ascii="宋体" w:hAnsi="宋体"/>
          <w:color w:val="000000"/>
        </w:rPr>
        <w:t xml:space="preserve">投标人名称：（盖单位公章） </w:t>
      </w:r>
    </w:p>
    <w:p>
      <w:pPr>
        <w:spacing w:line="480" w:lineRule="exact"/>
        <w:ind w:right="178" w:rightChars="85" w:firstLine="3675" w:firstLineChars="1750"/>
        <w:jc w:val="left"/>
        <w:rPr>
          <w:rFonts w:ascii="宋体" w:hAnsi="宋体"/>
          <w:color w:val="000000"/>
          <w:u w:val="single"/>
        </w:rPr>
      </w:pPr>
      <w:r>
        <w:rPr>
          <w:rFonts w:hint="eastAsia" w:ascii="宋体" w:hAnsi="宋体"/>
          <w:color w:val="000000"/>
        </w:rPr>
        <w:t>法定代表人或委托代理人：（签字）</w:t>
      </w:r>
    </w:p>
    <w:p>
      <w:pPr>
        <w:spacing w:line="480" w:lineRule="exact"/>
        <w:ind w:firstLine="3675" w:firstLineChars="1750"/>
        <w:rPr>
          <w:rFonts w:ascii="宋体" w:hAnsi="宋体"/>
          <w:color w:val="000000"/>
          <w:kern w:val="0"/>
        </w:rPr>
      </w:pPr>
      <w:r>
        <w:rPr>
          <w:rFonts w:hint="eastAsia" w:ascii="宋体" w:hAnsi="宋体"/>
          <w:color w:val="000000"/>
        </w:rPr>
        <w:t xml:space="preserve">日    期：      </w:t>
      </w:r>
      <w:r>
        <w:rPr>
          <w:rFonts w:hint="eastAsia" w:ascii="宋体" w:hAnsi="宋体"/>
          <w:color w:val="000000"/>
          <w:kern w:val="0"/>
        </w:rPr>
        <w:t>年    月    日</w:t>
      </w:r>
    </w:p>
    <w:p>
      <w:pPr>
        <w:spacing w:line="360" w:lineRule="auto"/>
        <w:jc w:val="left"/>
        <w:rPr>
          <w:rFonts w:ascii="宋体" w:hAnsi="宋体"/>
          <w:color w:val="000000"/>
          <w:kern w:val="0"/>
        </w:rPr>
      </w:pPr>
    </w:p>
    <w:p>
      <w:pPr>
        <w:jc w:val="center"/>
        <w:outlineLvl w:val="1"/>
        <w:rPr>
          <w:rFonts w:ascii="宋体" w:hAnsi="宋体"/>
          <w:b/>
          <w:bCs/>
          <w:color w:val="000000"/>
          <w:sz w:val="30"/>
          <w:szCs w:val="30"/>
        </w:rPr>
        <w:sectPr>
          <w:headerReference r:id="rId9" w:type="default"/>
          <w:pgSz w:w="11907" w:h="16840"/>
          <w:pgMar w:top="1134" w:right="1134" w:bottom="1134" w:left="1134" w:header="720" w:footer="720" w:gutter="0"/>
          <w:cols w:space="720" w:num="1"/>
          <w:docGrid w:linePitch="312" w:charSpace="0"/>
        </w:sectPr>
      </w:pPr>
      <w:bookmarkStart w:id="128" w:name="_Toc12136"/>
      <w:bookmarkEnd w:id="128"/>
      <w:bookmarkStart w:id="129" w:name="_Toc32367"/>
      <w:bookmarkEnd w:id="129"/>
      <w:bookmarkStart w:id="130" w:name="_Toc31636"/>
      <w:bookmarkEnd w:id="130"/>
      <w:bookmarkStart w:id="131" w:name="_Toc28648"/>
      <w:bookmarkEnd w:id="131"/>
      <w:bookmarkStart w:id="132" w:name="_Toc514170143"/>
      <w:bookmarkEnd w:id="132"/>
      <w:bookmarkStart w:id="133" w:name="_Toc16396"/>
      <w:bookmarkEnd w:id="133"/>
      <w:bookmarkStart w:id="134" w:name="_Toc25010"/>
      <w:bookmarkStart w:id="135" w:name="_Toc43990386"/>
    </w:p>
    <w:p>
      <w:pPr>
        <w:jc w:val="center"/>
        <w:outlineLvl w:val="1"/>
        <w:rPr>
          <w:rFonts w:ascii="宋体" w:hAnsi="宋体"/>
          <w:b/>
          <w:bCs/>
          <w:color w:val="000000"/>
          <w:sz w:val="30"/>
          <w:szCs w:val="30"/>
        </w:rPr>
      </w:pPr>
      <w:r>
        <w:rPr>
          <w:rFonts w:hint="eastAsia" w:ascii="宋体" w:hAnsi="宋体"/>
          <w:b/>
          <w:bCs/>
          <w:color w:val="000000"/>
          <w:sz w:val="30"/>
          <w:szCs w:val="30"/>
        </w:rPr>
        <w:t>二、法定代表人证明</w:t>
      </w:r>
      <w:bookmarkEnd w:id="134"/>
      <w:r>
        <w:rPr>
          <w:rFonts w:hint="eastAsia" w:ascii="宋体" w:hAnsi="宋体"/>
          <w:b/>
          <w:bCs/>
          <w:color w:val="000000"/>
          <w:sz w:val="30"/>
          <w:szCs w:val="30"/>
        </w:rPr>
        <w:t>书</w:t>
      </w:r>
      <w:bookmarkEnd w:id="135"/>
      <w:r>
        <w:rPr>
          <w:rFonts w:hint="eastAsia" w:ascii="宋体" w:hAnsi="宋体"/>
          <w:b/>
          <w:bCs/>
          <w:color w:val="000000"/>
          <w:sz w:val="30"/>
          <w:szCs w:val="30"/>
        </w:rPr>
        <w:t>、授权委托书</w:t>
      </w:r>
    </w:p>
    <w:p>
      <w:pPr>
        <w:autoSpaceDE w:val="0"/>
        <w:autoSpaceDN w:val="0"/>
        <w:adjustRightInd w:val="0"/>
        <w:spacing w:line="480" w:lineRule="exact"/>
        <w:rPr>
          <w:rFonts w:ascii="宋体" w:hAnsi="宋体"/>
          <w:color w:val="000000"/>
          <w:kern w:val="0"/>
          <w:sz w:val="32"/>
          <w:szCs w:val="32"/>
        </w:rPr>
      </w:pPr>
    </w:p>
    <w:p>
      <w:pPr>
        <w:jc w:val="center"/>
        <w:rPr>
          <w:rFonts w:ascii="宋体"/>
          <w:b/>
          <w:bCs/>
          <w:sz w:val="32"/>
          <w:szCs w:val="32"/>
        </w:rPr>
      </w:pPr>
      <w:r>
        <w:rPr>
          <w:rFonts w:hint="eastAsia" w:ascii="宋体" w:hAnsi="宋体" w:cs="宋体"/>
          <w:b/>
          <w:bCs/>
          <w:sz w:val="32"/>
          <w:szCs w:val="32"/>
        </w:rPr>
        <w:t>法定代表人证明书</w:t>
      </w:r>
    </w:p>
    <w:p>
      <w:pPr>
        <w:jc w:val="right"/>
        <w:rPr>
          <w:rFonts w:ascii="宋体"/>
          <w:sz w:val="24"/>
          <w:szCs w:val="24"/>
        </w:rPr>
      </w:pPr>
    </w:p>
    <w:p>
      <w:pPr>
        <w:rPr>
          <w:rFonts w:ascii="宋体"/>
          <w:sz w:val="30"/>
          <w:szCs w:val="30"/>
        </w:rPr>
      </w:pPr>
      <w:r>
        <w:rPr>
          <w:rFonts w:ascii="宋体"/>
          <w:sz w:val="24"/>
          <w:szCs w:val="24"/>
        </w:rPr>
        <mc:AlternateContent>
          <mc:Choice Requires="wpg">
            <w:drawing>
              <wp:inline distT="0" distB="0" distL="114300" distR="114300">
                <wp:extent cx="5800725" cy="2995930"/>
                <wp:effectExtent l="4445" t="4445" r="5080" b="9525"/>
                <wp:docPr id="6" name="组合 2"/>
                <wp:cNvGraphicFramePr/>
                <a:graphic xmlns:a="http://schemas.openxmlformats.org/drawingml/2006/main">
                  <a:graphicData uri="http://schemas.microsoft.com/office/word/2010/wordprocessingGroup">
                    <wpg:wgp>
                      <wpg:cNvGrpSpPr>
                        <a:grpSpLocks noRot="1"/>
                      </wpg:cNvGrpSpPr>
                      <wpg:grpSpPr>
                        <a:xfrm>
                          <a:off x="0" y="0"/>
                          <a:ext cx="5800725" cy="2995930"/>
                          <a:chOff x="0" y="0"/>
                          <a:chExt cx="7140" cy="3468"/>
                        </a:xfrm>
                      </wpg:grpSpPr>
                      <wps:wsp>
                        <wps:cNvPr id="4" name="Picture 3"/>
                        <wps:cNvSpPr>
                          <a:spLocks noChangeAspect="1" noTextEdit="1"/>
                        </wps:cNvSpPr>
                        <wps:spPr>
                          <a:xfrm>
                            <a:off x="0" y="0"/>
                            <a:ext cx="7140" cy="3468"/>
                          </a:xfrm>
                          <a:prstGeom prst="rect">
                            <a:avLst/>
                          </a:prstGeom>
                          <a:noFill/>
                          <a:ln>
                            <a:noFill/>
                          </a:ln>
                        </wps:spPr>
                        <wps:bodyPr wrap="square" upright="1"/>
                      </wps:wsp>
                      <wps:wsp>
                        <wps:cNvPr id="5" name="Text Box 4"/>
                        <wps:cNvSpPr txBox="1"/>
                        <wps:spPr>
                          <a:xfrm>
                            <a:off x="0" y="0"/>
                            <a:ext cx="7140" cy="3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20" w:beforeLines="50" w:line="360" w:lineRule="auto"/>
                                <w:rPr>
                                  <w:sz w:val="24"/>
                                  <w:szCs w:val="24"/>
                                </w:rPr>
                              </w:pPr>
                              <w:r>
                                <w:rPr>
                                  <w:rFonts w:hint="eastAsia" w:cs="宋体"/>
                                  <w:sz w:val="28"/>
                                  <w:szCs w:val="28"/>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360" w:lineRule="auto"/>
                                <w:rPr>
                                  <w:sz w:val="24"/>
                                  <w:szCs w:val="24"/>
                                </w:rPr>
                              </w:pPr>
                              <w:r>
                                <w:rPr>
                                  <w:rFonts w:hint="eastAsia" w:cs="宋体"/>
                                  <w:sz w:val="24"/>
                                  <w:szCs w:val="24"/>
                                </w:rPr>
                                <w:t>特此证明。</w:t>
                              </w:r>
                            </w:p>
                            <w:p>
                              <w:pPr>
                                <w:snapToGrid w:val="0"/>
                                <w:spacing w:line="360" w:lineRule="auto"/>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360" w:lineRule="auto"/>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360" w:lineRule="auto"/>
                                <w:ind w:firstLine="570"/>
                                <w:rPr>
                                  <w:sz w:val="24"/>
                                  <w:szCs w:val="24"/>
                                  <w:u w:val="single"/>
                                </w:rPr>
                              </w:pPr>
                              <w:r>
                                <w:rPr>
                                  <w:rFonts w:hint="eastAsia" w:cs="宋体"/>
                                  <w:sz w:val="24"/>
                                  <w:szCs w:val="24"/>
                                </w:rPr>
                                <w:t>注册号码：</w:t>
                              </w:r>
                              <w:r>
                                <w:rPr>
                                  <w:rFonts w:hint="eastAsia" w:cs="宋体"/>
                                  <w:sz w:val="24"/>
                                  <w:szCs w:val="24"/>
                                  <w:u w:val="single"/>
                                </w:rPr>
                                <w:t>　　　　　</w:t>
                              </w:r>
                              <w:r>
                                <w:rPr>
                                  <w:sz w:val="24"/>
                                  <w:szCs w:val="24"/>
                                  <w:u w:val="single"/>
                                </w:rPr>
                                <w:t xml:space="preserve">   </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360" w:lineRule="auto"/>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360" w:lineRule="auto"/>
                                <w:ind w:firstLine="570"/>
                                <w:rPr>
                                  <w:sz w:val="24"/>
                                  <w:szCs w:val="24"/>
                                  <w:u w:val="single"/>
                                </w:rPr>
                              </w:pPr>
                              <w:r>
                                <w:rPr>
                                  <w:rFonts w:hint="eastAsia" w:cs="宋体"/>
                                  <w:sz w:val="24"/>
                                  <w:szCs w:val="24"/>
                                  <w:u w:val="single"/>
                                </w:rPr>
                                <w:t>　　　　　　　　　　　　　　　　</w:t>
                              </w:r>
                              <w:r>
                                <w:rPr>
                                  <w:sz w:val="24"/>
                                  <w:szCs w:val="24"/>
                                  <w:u w:val="single"/>
                                </w:rPr>
                                <w:t xml:space="preserve">       </w:t>
                              </w:r>
                            </w:p>
                            <w:p>
                              <w:pPr>
                                <w:snapToGrid w:val="0"/>
                                <w:spacing w:line="360" w:lineRule="auto"/>
                                <w:ind w:firstLine="570"/>
                                <w:jc w:val="right"/>
                                <w:rPr>
                                  <w:rFonts w:cs="宋体"/>
                                  <w:sz w:val="24"/>
                                  <w:szCs w:val="24"/>
                                </w:rPr>
                              </w:pPr>
                            </w:p>
                            <w:p>
                              <w:pPr>
                                <w:snapToGrid w:val="0"/>
                                <w:spacing w:line="360" w:lineRule="auto"/>
                                <w:ind w:firstLine="570"/>
                                <w:jc w:val="right"/>
                                <w:rPr>
                                  <w:sz w:val="24"/>
                                  <w:szCs w:val="24"/>
                                </w:rPr>
                              </w:pPr>
                              <w:r>
                                <w:rPr>
                                  <w:rFonts w:hint="eastAsia" w:cs="宋体"/>
                                  <w:sz w:val="24"/>
                                  <w:szCs w:val="24"/>
                                </w:rPr>
                                <w:t>单位：</w:t>
                              </w:r>
                              <w:r>
                                <w:rPr>
                                  <w:rFonts w:hint="eastAsia" w:cs="宋体"/>
                                  <w:sz w:val="24"/>
                                  <w:szCs w:val="24"/>
                                  <w:u w:val="single"/>
                                </w:rPr>
                                <w:t>　　　　　　</w:t>
                              </w:r>
                              <w:r>
                                <w:rPr>
                                  <w:rFonts w:hint="eastAsia" w:cs="宋体"/>
                                  <w:sz w:val="24"/>
                                  <w:szCs w:val="24"/>
                                </w:rPr>
                                <w:t>（盖章）</w:t>
                              </w:r>
                            </w:p>
                            <w:p>
                              <w:pPr>
                                <w:snapToGrid w:val="0"/>
                                <w:spacing w:after="100" w:afterAutospacing="1" w:line="360" w:lineRule="auto"/>
                                <w:ind w:firstLine="573"/>
                                <w:jc w:val="right"/>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wrap="square" upright="1"/>
                      </wps:wsp>
                    </wpg:wgp>
                  </a:graphicData>
                </a:graphic>
              </wp:inline>
            </w:drawing>
          </mc:Choice>
          <mc:Fallback>
            <w:pict>
              <v:group id="组合 2" o:spid="_x0000_s1026" o:spt="203" style="height:235.9pt;width:456.75pt;" coordsize="7140,3468" o:gfxdata="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F3cDc1wAAAAUBAAAPAAAAAAAAAAEA&#10;IAAAACIAAABkcnMvZG93bnJldi54bWxQSwECFAAUAAAACACHTuJAQLVDU7sCAAAvBwAADgAAAAAA&#10;AAABACAAAAAmAQAAZHJzL2Uyb0RvYy54bWxQSwUGAAAAAAYABgBZAQAAUwYAAAAA&#10;">
                <o:lock v:ext="edit" rotation="t" aspectratio="f"/>
                <v:rect id="Picture 3"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Text Box 4"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before="120" w:beforeLines="50" w:line="360" w:lineRule="auto"/>
                          <w:rPr>
                            <w:sz w:val="24"/>
                            <w:szCs w:val="24"/>
                          </w:rPr>
                        </w:pPr>
                        <w:r>
                          <w:rPr>
                            <w:rFonts w:hint="eastAsia" w:cs="宋体"/>
                            <w:sz w:val="28"/>
                            <w:szCs w:val="28"/>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360" w:lineRule="auto"/>
                          <w:rPr>
                            <w:sz w:val="24"/>
                            <w:szCs w:val="24"/>
                          </w:rPr>
                        </w:pPr>
                        <w:r>
                          <w:rPr>
                            <w:rFonts w:hint="eastAsia" w:cs="宋体"/>
                            <w:sz w:val="24"/>
                            <w:szCs w:val="24"/>
                          </w:rPr>
                          <w:t>特此证明。</w:t>
                        </w:r>
                      </w:p>
                      <w:p>
                        <w:pPr>
                          <w:snapToGrid w:val="0"/>
                          <w:spacing w:line="360" w:lineRule="auto"/>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360" w:lineRule="auto"/>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360" w:lineRule="auto"/>
                          <w:ind w:firstLine="570"/>
                          <w:rPr>
                            <w:sz w:val="24"/>
                            <w:szCs w:val="24"/>
                            <w:u w:val="single"/>
                          </w:rPr>
                        </w:pPr>
                        <w:r>
                          <w:rPr>
                            <w:rFonts w:hint="eastAsia" w:cs="宋体"/>
                            <w:sz w:val="24"/>
                            <w:szCs w:val="24"/>
                          </w:rPr>
                          <w:t>注册号码：</w:t>
                        </w:r>
                        <w:r>
                          <w:rPr>
                            <w:rFonts w:hint="eastAsia" w:cs="宋体"/>
                            <w:sz w:val="24"/>
                            <w:szCs w:val="24"/>
                            <w:u w:val="single"/>
                          </w:rPr>
                          <w:t>　　　　　</w:t>
                        </w:r>
                        <w:r>
                          <w:rPr>
                            <w:sz w:val="24"/>
                            <w:szCs w:val="24"/>
                            <w:u w:val="single"/>
                          </w:rPr>
                          <w:t xml:space="preserve">   </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360" w:lineRule="auto"/>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360" w:lineRule="auto"/>
                          <w:ind w:firstLine="570"/>
                          <w:rPr>
                            <w:sz w:val="24"/>
                            <w:szCs w:val="24"/>
                            <w:u w:val="single"/>
                          </w:rPr>
                        </w:pPr>
                        <w:r>
                          <w:rPr>
                            <w:rFonts w:hint="eastAsia" w:cs="宋体"/>
                            <w:sz w:val="24"/>
                            <w:szCs w:val="24"/>
                            <w:u w:val="single"/>
                          </w:rPr>
                          <w:t>　　　　　　　　　　　　　　　　</w:t>
                        </w:r>
                        <w:r>
                          <w:rPr>
                            <w:sz w:val="24"/>
                            <w:szCs w:val="24"/>
                            <w:u w:val="single"/>
                          </w:rPr>
                          <w:t xml:space="preserve">       </w:t>
                        </w:r>
                      </w:p>
                      <w:p>
                        <w:pPr>
                          <w:snapToGrid w:val="0"/>
                          <w:spacing w:line="360" w:lineRule="auto"/>
                          <w:ind w:firstLine="570"/>
                          <w:jc w:val="right"/>
                          <w:rPr>
                            <w:rFonts w:cs="宋体"/>
                            <w:sz w:val="24"/>
                            <w:szCs w:val="24"/>
                          </w:rPr>
                        </w:pPr>
                      </w:p>
                      <w:p>
                        <w:pPr>
                          <w:snapToGrid w:val="0"/>
                          <w:spacing w:line="360" w:lineRule="auto"/>
                          <w:ind w:firstLine="570"/>
                          <w:jc w:val="right"/>
                          <w:rPr>
                            <w:sz w:val="24"/>
                            <w:szCs w:val="24"/>
                          </w:rPr>
                        </w:pPr>
                        <w:r>
                          <w:rPr>
                            <w:rFonts w:hint="eastAsia" w:cs="宋体"/>
                            <w:sz w:val="24"/>
                            <w:szCs w:val="24"/>
                          </w:rPr>
                          <w:t>单位：</w:t>
                        </w:r>
                        <w:r>
                          <w:rPr>
                            <w:rFonts w:hint="eastAsia" w:cs="宋体"/>
                            <w:sz w:val="24"/>
                            <w:szCs w:val="24"/>
                            <w:u w:val="single"/>
                          </w:rPr>
                          <w:t>　　　　　　</w:t>
                        </w:r>
                        <w:r>
                          <w:rPr>
                            <w:rFonts w:hint="eastAsia" w:cs="宋体"/>
                            <w:sz w:val="24"/>
                            <w:szCs w:val="24"/>
                          </w:rPr>
                          <w:t>（盖章）</w:t>
                        </w:r>
                      </w:p>
                      <w:p>
                        <w:pPr>
                          <w:snapToGrid w:val="0"/>
                          <w:spacing w:after="100" w:afterAutospacing="1" w:line="360" w:lineRule="auto"/>
                          <w:ind w:firstLine="573"/>
                          <w:jc w:val="right"/>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pPr>
        <w:rPr>
          <w:rFonts w:ascii="宋体"/>
          <w:sz w:val="24"/>
          <w:szCs w:val="24"/>
        </w:rPr>
      </w:pPr>
      <w:r>
        <w:rPr>
          <w:rFonts w:hint="eastAsia" w:ascii="宋体" w:hAnsi="宋体" w:cs="宋体"/>
          <w:sz w:val="24"/>
          <w:szCs w:val="24"/>
        </w:rPr>
        <w:t>注：按提供的该格式或使用从工商管理部门购买的法定代表人证明书及授权委托证明书版本填写。</w:t>
      </w:r>
    </w:p>
    <w:p>
      <w:pPr>
        <w:rPr>
          <w:rFonts w:ascii="宋体"/>
          <w:sz w:val="24"/>
          <w:szCs w:val="24"/>
        </w:rPr>
      </w:pPr>
    </w:p>
    <w:p>
      <w:pPr>
        <w:rPr>
          <w:rFonts w:ascii="宋体" w:hAnsi="宋体"/>
          <w:b/>
          <w:bCs/>
          <w:color w:val="000000"/>
          <w:sz w:val="30"/>
          <w:szCs w:val="30"/>
        </w:rPr>
      </w:pPr>
    </w:p>
    <w:p>
      <w:pPr>
        <w:jc w:val="center"/>
        <w:rPr>
          <w:rFonts w:ascii="宋体" w:hAnsi="宋体"/>
          <w:b/>
          <w:bCs/>
          <w:color w:val="000000"/>
          <w:sz w:val="30"/>
          <w:szCs w:val="30"/>
        </w:rPr>
      </w:pPr>
    </w:p>
    <w:p>
      <w:pPr>
        <w:spacing w:line="463" w:lineRule="exact"/>
        <w:ind w:left="3251" w:right="3251"/>
        <w:jc w:val="center"/>
        <w:rPr>
          <w:rFonts w:ascii="宋体" w:hAnsi="宋体"/>
          <w:color w:val="000000"/>
          <w:sz w:val="20"/>
          <w:szCs w:val="20"/>
        </w:rPr>
      </w:pPr>
      <w:bookmarkStart w:id="136" w:name="_Toc23382"/>
      <w:bookmarkEnd w:id="136"/>
      <w:bookmarkStart w:id="137" w:name="_Toc7629"/>
      <w:bookmarkEnd w:id="137"/>
      <w:bookmarkStart w:id="138" w:name="_Toc32660"/>
      <w:bookmarkEnd w:id="138"/>
      <w:bookmarkStart w:id="139" w:name="_Toc16423"/>
      <w:r>
        <w:rPr>
          <w:rFonts w:ascii="宋体" w:hAnsi="宋体"/>
          <w:b/>
          <w:bCs/>
          <w:color w:val="000000"/>
          <w:sz w:val="30"/>
          <w:szCs w:val="30"/>
        </w:rPr>
        <w:br w:type="page"/>
      </w:r>
    </w:p>
    <w:p>
      <w:pPr>
        <w:spacing w:before="16" w:line="240" w:lineRule="exact"/>
        <w:jc w:val="left"/>
        <w:rPr>
          <w:rFonts w:ascii="宋体" w:hAnsi="宋体"/>
          <w:color w:val="000000"/>
          <w:sz w:val="24"/>
          <w:szCs w:val="24"/>
        </w:rPr>
      </w:pPr>
    </w:p>
    <w:p>
      <w:pPr>
        <w:jc w:val="center"/>
        <w:rPr>
          <w:rFonts w:ascii="宋体"/>
          <w:b/>
          <w:bCs/>
          <w:sz w:val="30"/>
          <w:szCs w:val="30"/>
        </w:rPr>
      </w:pPr>
      <w:r>
        <w:rPr>
          <w:rFonts w:hint="eastAsia" w:ascii="宋体" w:hAnsi="宋体" w:cs="宋体"/>
          <w:b/>
          <w:bCs/>
          <w:sz w:val="30"/>
          <w:szCs w:val="30"/>
        </w:rPr>
        <w:t>授权委托证明书</w:t>
      </w:r>
    </w:p>
    <w:p>
      <w:pPr>
        <w:jc w:val="right"/>
        <w:rPr>
          <w:rFonts w:ascii="宋体"/>
          <w:sz w:val="30"/>
          <w:szCs w:val="30"/>
        </w:rPr>
      </w:pPr>
    </w:p>
    <w:p>
      <w:pPr>
        <w:rPr>
          <w:rFonts w:ascii="宋体"/>
          <w:sz w:val="30"/>
          <w:szCs w:val="30"/>
        </w:rPr>
      </w:pPr>
      <w:r>
        <w:rPr>
          <w:rFonts w:ascii="宋体"/>
          <w:sz w:val="30"/>
          <w:szCs w:val="30"/>
        </w:rPr>
        <mc:AlternateContent>
          <mc:Choice Requires="wpg">
            <w:drawing>
              <wp:inline distT="0" distB="0" distL="114300" distR="114300">
                <wp:extent cx="5800725" cy="3026410"/>
                <wp:effectExtent l="4445" t="0" r="5080" b="21590"/>
                <wp:docPr id="3" name="组合 5"/>
                <wp:cNvGraphicFramePr/>
                <a:graphic xmlns:a="http://schemas.openxmlformats.org/drawingml/2006/main">
                  <a:graphicData uri="http://schemas.microsoft.com/office/word/2010/wordprocessingGroup">
                    <wpg:wgp>
                      <wpg:cNvGrpSpPr>
                        <a:grpSpLocks noRot="1"/>
                      </wpg:cNvGrpSpPr>
                      <wpg:grpSpPr>
                        <a:xfrm>
                          <a:off x="0" y="0"/>
                          <a:ext cx="5800725" cy="3026410"/>
                          <a:chOff x="0" y="0"/>
                          <a:chExt cx="7140" cy="4088"/>
                        </a:xfrm>
                      </wpg:grpSpPr>
                      <wps:wsp>
                        <wps:cNvPr id="1" name="Picture 6"/>
                        <wps:cNvSpPr>
                          <a:spLocks noChangeAspect="1" noTextEdit="1"/>
                        </wps:cNvSpPr>
                        <wps:spPr>
                          <a:xfrm>
                            <a:off x="0" y="0"/>
                            <a:ext cx="7140" cy="4088"/>
                          </a:xfrm>
                          <a:prstGeom prst="rect">
                            <a:avLst/>
                          </a:prstGeom>
                          <a:noFill/>
                          <a:ln>
                            <a:noFill/>
                          </a:ln>
                        </wps:spPr>
                        <wps:bodyPr wrap="square" upright="1"/>
                      </wps:wsp>
                      <wps:wsp>
                        <wps:cNvPr id="2" name="Text Box 7"/>
                        <wps:cNvSpPr txBox="1"/>
                        <wps:spPr>
                          <a:xfrm>
                            <a:off x="0" y="124"/>
                            <a:ext cx="7140" cy="396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20"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sz w:val="24"/>
                                  <w:szCs w:val="24"/>
                                  <w:u w:val="single"/>
                                </w:rPr>
                                <w:t xml:space="preserve">    </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（签名或盖章）</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年   　月　　日</w:t>
                              </w:r>
                            </w:p>
                          </w:txbxContent>
                        </wps:txbx>
                        <wps:bodyPr wrap="square" upright="1"/>
                      </wps:wsp>
                    </wpg:wgp>
                  </a:graphicData>
                </a:graphic>
              </wp:inline>
            </w:drawing>
          </mc:Choice>
          <mc:Fallback>
            <w:pict>
              <v:group id="组合 5" o:spid="_x0000_s1026" o:spt="203" style="height:238.3pt;width:456.75pt;" coordsize="7140,4088" o:gfxdata="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wG35qdcA&#10;AAAFAQAADwAAAAAAAAABACAAAAAiAAAAZHJzL2Rvd25yZXYueG1sUEsBAhQAFAAAAAgAh07iQOgc&#10;7rnLAgAAMQcAAA4AAAAAAAAAAQAgAAAAJgEAAGRycy9lMm9Eb2MueG1sUEsFBgAAAAAGAAYAWQEA&#10;AGMGAAAAAA==&#10;">
                <o:lock v:ext="edit" rotation="t" aspectratio="f"/>
                <v:rect id="Picture 6" o:spid="_x0000_s1026" o:spt="1" style="position:absolute;left:0;top:0;height:4088;width:714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shape id="Text Box 7" o:spid="_x0000_s1026" o:spt="202" type="#_x0000_t202" style="position:absolute;left:0;top:124;height:3964;width:7140;"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before="120"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sz w:val="24"/>
                            <w:szCs w:val="24"/>
                            <w:u w:val="single"/>
                          </w:rPr>
                          <w:t xml:space="preserve">    </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（签名或盖章）</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年   　月　　日</w:t>
                        </w:r>
                      </w:p>
                    </w:txbxContent>
                  </v:textbox>
                </v:shape>
                <w10:wrap type="none"/>
                <w10:anchorlock/>
              </v:group>
            </w:pict>
          </mc:Fallback>
        </mc:AlternateContent>
      </w:r>
    </w:p>
    <w:p>
      <w:pPr>
        <w:rPr>
          <w:rFonts w:ascii="宋体"/>
          <w:sz w:val="24"/>
          <w:szCs w:val="24"/>
        </w:rPr>
      </w:pPr>
      <w:r>
        <w:rPr>
          <w:rFonts w:hint="eastAsia" w:ascii="宋体" w:hAnsi="宋体" w:cs="宋体"/>
          <w:sz w:val="24"/>
          <w:szCs w:val="24"/>
        </w:rPr>
        <w:t>注：按提供的该格式或使用从工商管理部门购买的法定代表人证明书及授权委托证明书版本填写。</w:t>
      </w:r>
    </w:p>
    <w:p>
      <w:pPr>
        <w:spacing w:line="360" w:lineRule="auto"/>
        <w:rPr>
          <w:rFonts w:ascii="宋体" w:hAnsi="宋体"/>
          <w:color w:val="000000"/>
          <w:kern w:val="0"/>
        </w:rPr>
      </w:pPr>
    </w:p>
    <w:p>
      <w:pPr>
        <w:widowControl/>
        <w:jc w:val="left"/>
        <w:rPr>
          <w:rFonts w:ascii="宋体" w:hAnsi="宋体"/>
          <w:b/>
          <w:bCs/>
          <w:color w:val="000000"/>
          <w:sz w:val="30"/>
          <w:szCs w:val="30"/>
        </w:rPr>
      </w:pPr>
      <w:r>
        <w:rPr>
          <w:rFonts w:ascii="宋体" w:hAnsi="宋体"/>
          <w:b/>
          <w:bCs/>
          <w:color w:val="000000"/>
          <w:sz w:val="30"/>
          <w:szCs w:val="30"/>
        </w:rPr>
        <w:br w:type="page"/>
      </w:r>
    </w:p>
    <w:p>
      <w:pPr>
        <w:spacing w:line="360" w:lineRule="auto"/>
        <w:jc w:val="center"/>
        <w:outlineLvl w:val="1"/>
        <w:rPr>
          <w:rFonts w:ascii="宋体" w:hAnsi="宋体" w:cs="MS Shell Dlg"/>
          <w:color w:val="000000"/>
          <w:sz w:val="31"/>
        </w:rPr>
      </w:pPr>
      <w:bookmarkStart w:id="140" w:name="_Toc43990387"/>
      <w:r>
        <w:rPr>
          <w:rFonts w:hint="eastAsia" w:ascii="宋体" w:hAnsi="宋体"/>
          <w:b/>
          <w:bCs/>
          <w:color w:val="000000"/>
          <w:sz w:val="30"/>
          <w:szCs w:val="30"/>
        </w:rPr>
        <w:t>三、</w:t>
      </w:r>
      <w:bookmarkEnd w:id="139"/>
      <w:bookmarkEnd w:id="140"/>
      <w:bookmarkStart w:id="141" w:name="_Toc25721"/>
      <w:bookmarkEnd w:id="141"/>
      <w:bookmarkStart w:id="142" w:name="_Toc13068"/>
      <w:bookmarkEnd w:id="142"/>
      <w:bookmarkStart w:id="143" w:name="_Toc1871"/>
      <w:bookmarkEnd w:id="143"/>
      <w:bookmarkStart w:id="144" w:name="_Toc43990389"/>
      <w:bookmarkStart w:id="145" w:name="_Toc511383990"/>
      <w:r>
        <w:rPr>
          <w:rFonts w:ascii="宋体" w:hAnsi="宋体" w:cs="MS Shell Dlg"/>
          <w:b/>
          <w:color w:val="000000"/>
          <w:sz w:val="31"/>
        </w:rPr>
        <w:t>资格审查资料</w:t>
      </w:r>
      <w:bookmarkEnd w:id="144"/>
    </w:p>
    <w:p>
      <w:pPr>
        <w:jc w:val="center"/>
        <w:rPr>
          <w:b/>
          <w:sz w:val="32"/>
          <w:szCs w:val="32"/>
        </w:rPr>
      </w:pPr>
    </w:p>
    <w:p>
      <w:pPr>
        <w:jc w:val="center"/>
        <w:rPr>
          <w:b/>
          <w:sz w:val="32"/>
          <w:szCs w:val="32"/>
        </w:rPr>
      </w:pPr>
      <w:r>
        <w:rPr>
          <w:b/>
          <w:sz w:val="32"/>
          <w:szCs w:val="32"/>
        </w:rPr>
        <w:t>基本情况表</w:t>
      </w:r>
    </w:p>
    <w:p>
      <w:pPr>
        <w:spacing w:line="448" w:lineRule="exact"/>
        <w:ind w:left="855"/>
        <w:rPr>
          <w:rFonts w:ascii="宋体" w:hAnsi="宋体" w:cs="宋体"/>
          <w:color w:val="000000"/>
          <w:sz w:val="28"/>
        </w:rPr>
      </w:pPr>
    </w:p>
    <w:tbl>
      <w:tblPr>
        <w:tblStyle w:val="2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870"/>
        <w:gridCol w:w="1065"/>
        <w:gridCol w:w="1222"/>
        <w:gridCol w:w="645"/>
        <w:gridCol w:w="631"/>
        <w:gridCol w:w="1134"/>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26" w:type="dxa"/>
            <w:vAlign w:val="center"/>
          </w:tcPr>
          <w:p>
            <w:pPr>
              <w:rPr>
                <w:rFonts w:ascii="宋体" w:hAnsi="宋体" w:cs="宋体"/>
                <w:color w:val="000000"/>
                <w:sz w:val="28"/>
              </w:rPr>
            </w:pPr>
            <w:r>
              <w:rPr>
                <w:rFonts w:ascii="宋体" w:hAnsi="宋体" w:cs="宋体"/>
                <w:color w:val="000000"/>
                <w:spacing w:val="-7"/>
              </w:rPr>
              <w:t>投标人名称</w:t>
            </w:r>
          </w:p>
        </w:tc>
        <w:tc>
          <w:tcPr>
            <w:tcW w:w="7199" w:type="dxa"/>
            <w:gridSpan w:val="7"/>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26" w:type="dxa"/>
            <w:vAlign w:val="center"/>
          </w:tcPr>
          <w:p>
            <w:pPr>
              <w:rPr>
                <w:rFonts w:ascii="宋体" w:hAnsi="宋体" w:cs="宋体"/>
                <w:color w:val="000000"/>
                <w:sz w:val="28"/>
              </w:rPr>
            </w:pPr>
            <w:r>
              <w:rPr>
                <w:rFonts w:ascii="宋体" w:hAnsi="宋体" w:cs="宋体"/>
                <w:color w:val="000000"/>
                <w:spacing w:val="-7"/>
              </w:rPr>
              <w:t>注册地址</w:t>
            </w:r>
          </w:p>
        </w:tc>
        <w:tc>
          <w:tcPr>
            <w:tcW w:w="3157" w:type="dxa"/>
            <w:gridSpan w:val="3"/>
            <w:vAlign w:val="center"/>
          </w:tcPr>
          <w:p>
            <w:pPr>
              <w:rPr>
                <w:rFonts w:ascii="宋体" w:hAnsi="宋体" w:cs="宋体"/>
                <w:color w:val="000000"/>
                <w:sz w:val="28"/>
              </w:rPr>
            </w:pPr>
          </w:p>
        </w:tc>
        <w:tc>
          <w:tcPr>
            <w:tcW w:w="1276" w:type="dxa"/>
            <w:gridSpan w:val="2"/>
            <w:vAlign w:val="center"/>
          </w:tcPr>
          <w:p>
            <w:pPr>
              <w:rPr>
                <w:rFonts w:ascii="宋体" w:hAnsi="宋体" w:cs="宋体"/>
                <w:color w:val="000000"/>
                <w:spacing w:val="-2"/>
              </w:rPr>
            </w:pPr>
            <w:r>
              <w:rPr>
                <w:rFonts w:hint="eastAsia" w:ascii="宋体" w:hAnsi="宋体" w:cs="宋体"/>
                <w:color w:val="000000"/>
                <w:spacing w:val="-2"/>
              </w:rPr>
              <w:t>邮政编码</w:t>
            </w:r>
          </w:p>
        </w:tc>
        <w:tc>
          <w:tcPr>
            <w:tcW w:w="2766" w:type="dxa"/>
            <w:gridSpan w:val="2"/>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26" w:type="dxa"/>
            <w:vMerge w:val="restart"/>
            <w:vAlign w:val="center"/>
          </w:tcPr>
          <w:p>
            <w:pPr>
              <w:rPr>
                <w:rFonts w:ascii="宋体" w:hAnsi="宋体" w:cs="宋体"/>
                <w:color w:val="000000"/>
                <w:sz w:val="28"/>
              </w:rPr>
            </w:pPr>
            <w:r>
              <w:rPr>
                <w:rFonts w:ascii="宋体" w:hAnsi="宋体" w:cs="宋体"/>
                <w:color w:val="000000"/>
                <w:spacing w:val="-7"/>
              </w:rPr>
              <w:t>联系方式</w:t>
            </w:r>
          </w:p>
        </w:tc>
        <w:tc>
          <w:tcPr>
            <w:tcW w:w="870" w:type="dxa"/>
            <w:vAlign w:val="center"/>
          </w:tcPr>
          <w:p>
            <w:pPr>
              <w:rPr>
                <w:rFonts w:ascii="宋体" w:hAnsi="宋体" w:cs="宋体"/>
                <w:color w:val="000000"/>
                <w:sz w:val="28"/>
              </w:rPr>
            </w:pPr>
            <w:r>
              <w:rPr>
                <w:rFonts w:ascii="宋体" w:hAnsi="宋体" w:cs="宋体"/>
                <w:color w:val="000000"/>
                <w:spacing w:val="-2"/>
              </w:rPr>
              <w:t>联系人</w:t>
            </w:r>
          </w:p>
        </w:tc>
        <w:tc>
          <w:tcPr>
            <w:tcW w:w="2287" w:type="dxa"/>
            <w:gridSpan w:val="2"/>
            <w:vAlign w:val="center"/>
          </w:tcPr>
          <w:p>
            <w:pPr>
              <w:rPr>
                <w:rFonts w:ascii="宋体" w:hAnsi="宋体" w:cs="宋体"/>
                <w:color w:val="000000"/>
                <w:sz w:val="28"/>
              </w:rPr>
            </w:pPr>
          </w:p>
        </w:tc>
        <w:tc>
          <w:tcPr>
            <w:tcW w:w="1276" w:type="dxa"/>
            <w:gridSpan w:val="2"/>
            <w:vAlign w:val="center"/>
          </w:tcPr>
          <w:p>
            <w:pPr>
              <w:rPr>
                <w:rFonts w:ascii="宋体" w:hAnsi="宋体" w:cs="宋体"/>
                <w:color w:val="000000"/>
                <w:sz w:val="28"/>
              </w:rPr>
            </w:pPr>
            <w:r>
              <w:rPr>
                <w:rFonts w:ascii="宋体" w:hAnsi="宋体" w:cs="宋体"/>
                <w:color w:val="000000"/>
                <w:spacing w:val="-2"/>
              </w:rPr>
              <w:t>电</w:t>
            </w:r>
            <w:r>
              <w:rPr>
                <w:rFonts w:ascii="宋体" w:hAnsi="宋体" w:cs="Calibri"/>
                <w:color w:val="000000"/>
              </w:rPr>
              <w:t>  </w:t>
            </w:r>
            <w:r>
              <w:rPr>
                <w:rFonts w:ascii="宋体" w:hAnsi="宋体" w:cs="宋体"/>
                <w:color w:val="000000"/>
                <w:spacing w:val="-2"/>
              </w:rPr>
              <w:t>话</w:t>
            </w:r>
          </w:p>
        </w:tc>
        <w:tc>
          <w:tcPr>
            <w:tcW w:w="2766" w:type="dxa"/>
            <w:gridSpan w:val="2"/>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6" w:type="dxa"/>
            <w:vMerge w:val="continue"/>
            <w:vAlign w:val="center"/>
          </w:tcPr>
          <w:p>
            <w:pPr>
              <w:rPr>
                <w:rFonts w:ascii="宋体" w:hAnsi="宋体" w:cs="宋体"/>
                <w:color w:val="000000"/>
                <w:sz w:val="28"/>
              </w:rPr>
            </w:pPr>
          </w:p>
        </w:tc>
        <w:tc>
          <w:tcPr>
            <w:tcW w:w="870" w:type="dxa"/>
            <w:vAlign w:val="center"/>
          </w:tcPr>
          <w:p>
            <w:pPr>
              <w:rPr>
                <w:rFonts w:ascii="宋体" w:hAnsi="宋体" w:cs="宋体"/>
                <w:color w:val="000000"/>
                <w:sz w:val="28"/>
              </w:rPr>
            </w:pPr>
            <w:r>
              <w:rPr>
                <w:rFonts w:ascii="宋体" w:hAnsi="宋体" w:cs="宋体"/>
                <w:color w:val="000000"/>
                <w:spacing w:val="-2"/>
              </w:rPr>
              <w:t>传</w:t>
            </w:r>
            <w:r>
              <w:rPr>
                <w:rFonts w:hint="eastAsia" w:ascii="宋体" w:hAnsi="宋体" w:cs="Calibri"/>
                <w:color w:val="000000"/>
              </w:rPr>
              <w:t>真</w:t>
            </w:r>
          </w:p>
        </w:tc>
        <w:tc>
          <w:tcPr>
            <w:tcW w:w="2287" w:type="dxa"/>
            <w:gridSpan w:val="2"/>
            <w:vAlign w:val="center"/>
          </w:tcPr>
          <w:p>
            <w:pPr>
              <w:rPr>
                <w:rFonts w:ascii="宋体" w:hAnsi="宋体" w:cs="宋体"/>
                <w:color w:val="000000"/>
                <w:sz w:val="28"/>
              </w:rPr>
            </w:pPr>
          </w:p>
        </w:tc>
        <w:tc>
          <w:tcPr>
            <w:tcW w:w="1276" w:type="dxa"/>
            <w:gridSpan w:val="2"/>
            <w:vAlign w:val="center"/>
          </w:tcPr>
          <w:p>
            <w:pPr>
              <w:rPr>
                <w:rFonts w:ascii="宋体" w:hAnsi="宋体" w:cs="宋体"/>
                <w:color w:val="000000"/>
                <w:sz w:val="28"/>
              </w:rPr>
            </w:pPr>
            <w:r>
              <w:rPr>
                <w:rFonts w:ascii="宋体" w:hAnsi="宋体" w:cs="宋体"/>
                <w:color w:val="000000"/>
                <w:spacing w:val="-2"/>
              </w:rPr>
              <w:t>网</w:t>
            </w:r>
            <w:r>
              <w:rPr>
                <w:rFonts w:ascii="宋体" w:hAnsi="宋体" w:cs="Calibri"/>
                <w:color w:val="000000"/>
              </w:rPr>
              <w:t>  </w:t>
            </w:r>
            <w:r>
              <w:rPr>
                <w:rFonts w:ascii="宋体" w:hAnsi="宋体" w:cs="宋体"/>
                <w:color w:val="000000"/>
                <w:spacing w:val="-2"/>
              </w:rPr>
              <w:t>址</w:t>
            </w:r>
          </w:p>
        </w:tc>
        <w:tc>
          <w:tcPr>
            <w:tcW w:w="2766" w:type="dxa"/>
            <w:gridSpan w:val="2"/>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126" w:type="dxa"/>
            <w:vAlign w:val="center"/>
          </w:tcPr>
          <w:p>
            <w:pPr>
              <w:rPr>
                <w:rFonts w:ascii="宋体" w:hAnsi="宋体" w:cs="宋体"/>
                <w:color w:val="000000"/>
                <w:sz w:val="28"/>
              </w:rPr>
            </w:pPr>
            <w:r>
              <w:rPr>
                <w:rFonts w:ascii="宋体" w:hAnsi="宋体" w:cs="宋体"/>
                <w:color w:val="000000"/>
                <w:spacing w:val="-7"/>
              </w:rPr>
              <w:t>法定代表人</w:t>
            </w:r>
          </w:p>
        </w:tc>
        <w:tc>
          <w:tcPr>
            <w:tcW w:w="870" w:type="dxa"/>
            <w:vAlign w:val="center"/>
          </w:tcPr>
          <w:p>
            <w:pPr>
              <w:rPr>
                <w:rFonts w:ascii="宋体" w:hAnsi="宋体" w:cs="宋体"/>
                <w:color w:val="000000"/>
                <w:sz w:val="28"/>
              </w:rPr>
            </w:pPr>
            <w:r>
              <w:rPr>
                <w:rFonts w:ascii="宋体" w:hAnsi="宋体" w:cs="宋体"/>
                <w:color w:val="000000"/>
                <w:spacing w:val="-2"/>
              </w:rPr>
              <w:t>姓名</w:t>
            </w:r>
          </w:p>
        </w:tc>
        <w:tc>
          <w:tcPr>
            <w:tcW w:w="1065" w:type="dxa"/>
            <w:vAlign w:val="center"/>
          </w:tcPr>
          <w:p>
            <w:pPr>
              <w:rPr>
                <w:rFonts w:ascii="宋体" w:hAnsi="宋体" w:cs="宋体"/>
                <w:color w:val="000000"/>
                <w:sz w:val="28"/>
              </w:rPr>
            </w:pPr>
          </w:p>
        </w:tc>
        <w:tc>
          <w:tcPr>
            <w:tcW w:w="1222" w:type="dxa"/>
            <w:vAlign w:val="center"/>
          </w:tcPr>
          <w:p>
            <w:pPr>
              <w:rPr>
                <w:rFonts w:ascii="宋体" w:hAnsi="宋体" w:cs="宋体"/>
                <w:color w:val="000000"/>
                <w:sz w:val="28"/>
              </w:rPr>
            </w:pPr>
            <w:r>
              <w:rPr>
                <w:rFonts w:ascii="宋体" w:hAnsi="宋体" w:cs="宋体"/>
                <w:color w:val="000000"/>
                <w:spacing w:val="-7"/>
              </w:rPr>
              <w:t>技术职称</w:t>
            </w:r>
          </w:p>
        </w:tc>
        <w:tc>
          <w:tcPr>
            <w:tcW w:w="1276" w:type="dxa"/>
            <w:gridSpan w:val="2"/>
            <w:vAlign w:val="center"/>
          </w:tcPr>
          <w:p>
            <w:pPr>
              <w:rPr>
                <w:rFonts w:ascii="宋体" w:hAnsi="宋体" w:cs="宋体"/>
                <w:color w:val="000000"/>
                <w:sz w:val="28"/>
              </w:rPr>
            </w:pPr>
          </w:p>
        </w:tc>
        <w:tc>
          <w:tcPr>
            <w:tcW w:w="1134" w:type="dxa"/>
            <w:vAlign w:val="center"/>
          </w:tcPr>
          <w:p>
            <w:pPr>
              <w:rPr>
                <w:rFonts w:ascii="宋体" w:hAnsi="宋体" w:cs="宋体"/>
                <w:color w:val="000000"/>
                <w:sz w:val="28"/>
              </w:rPr>
            </w:pPr>
            <w:r>
              <w:rPr>
                <w:rFonts w:ascii="宋体" w:hAnsi="宋体" w:cs="宋体"/>
                <w:color w:val="000000"/>
                <w:spacing w:val="-2"/>
              </w:rPr>
              <w:t>电话</w:t>
            </w:r>
          </w:p>
        </w:tc>
        <w:tc>
          <w:tcPr>
            <w:tcW w:w="1632" w:type="dxa"/>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126" w:type="dxa"/>
            <w:vAlign w:val="center"/>
          </w:tcPr>
          <w:p>
            <w:pPr>
              <w:rPr>
                <w:rFonts w:ascii="宋体" w:hAnsi="宋体" w:cs="宋体"/>
                <w:color w:val="000000"/>
                <w:sz w:val="28"/>
              </w:rPr>
            </w:pPr>
            <w:r>
              <w:rPr>
                <w:rFonts w:ascii="宋体" w:hAnsi="宋体" w:cs="宋体"/>
                <w:color w:val="000000"/>
                <w:spacing w:val="-7"/>
              </w:rPr>
              <w:t>技术负责人</w:t>
            </w:r>
          </w:p>
        </w:tc>
        <w:tc>
          <w:tcPr>
            <w:tcW w:w="870" w:type="dxa"/>
            <w:vAlign w:val="center"/>
          </w:tcPr>
          <w:p>
            <w:pPr>
              <w:rPr>
                <w:rFonts w:ascii="宋体" w:hAnsi="宋体" w:cs="宋体"/>
                <w:color w:val="000000"/>
                <w:sz w:val="28"/>
              </w:rPr>
            </w:pPr>
            <w:r>
              <w:rPr>
                <w:rFonts w:ascii="宋体" w:hAnsi="宋体" w:cs="宋体"/>
                <w:color w:val="000000"/>
                <w:spacing w:val="-2"/>
              </w:rPr>
              <w:t>姓名</w:t>
            </w:r>
          </w:p>
        </w:tc>
        <w:tc>
          <w:tcPr>
            <w:tcW w:w="1065" w:type="dxa"/>
            <w:vAlign w:val="center"/>
          </w:tcPr>
          <w:p>
            <w:pPr>
              <w:rPr>
                <w:rFonts w:ascii="宋体" w:hAnsi="宋体" w:cs="宋体"/>
                <w:color w:val="000000"/>
                <w:sz w:val="28"/>
              </w:rPr>
            </w:pPr>
          </w:p>
        </w:tc>
        <w:tc>
          <w:tcPr>
            <w:tcW w:w="1222" w:type="dxa"/>
            <w:vAlign w:val="center"/>
          </w:tcPr>
          <w:p>
            <w:pPr>
              <w:rPr>
                <w:rFonts w:ascii="宋体" w:hAnsi="宋体" w:cs="宋体"/>
                <w:color w:val="000000"/>
                <w:sz w:val="28"/>
              </w:rPr>
            </w:pPr>
            <w:r>
              <w:rPr>
                <w:rFonts w:ascii="宋体" w:hAnsi="宋体" w:cs="宋体"/>
                <w:color w:val="000000"/>
                <w:spacing w:val="-7"/>
              </w:rPr>
              <w:t>技术职称</w:t>
            </w:r>
          </w:p>
        </w:tc>
        <w:tc>
          <w:tcPr>
            <w:tcW w:w="1276" w:type="dxa"/>
            <w:gridSpan w:val="2"/>
            <w:vAlign w:val="center"/>
          </w:tcPr>
          <w:p>
            <w:pPr>
              <w:rPr>
                <w:rFonts w:ascii="宋体" w:hAnsi="宋体" w:cs="宋体"/>
                <w:color w:val="000000"/>
                <w:sz w:val="28"/>
              </w:rPr>
            </w:pPr>
          </w:p>
        </w:tc>
        <w:tc>
          <w:tcPr>
            <w:tcW w:w="1134" w:type="dxa"/>
            <w:vAlign w:val="center"/>
          </w:tcPr>
          <w:p>
            <w:pPr>
              <w:rPr>
                <w:rFonts w:ascii="宋体" w:hAnsi="宋体" w:cs="宋体"/>
                <w:color w:val="000000"/>
                <w:sz w:val="28"/>
              </w:rPr>
            </w:pPr>
            <w:r>
              <w:rPr>
                <w:rFonts w:ascii="宋体" w:hAnsi="宋体" w:cs="宋体"/>
                <w:color w:val="000000"/>
                <w:spacing w:val="-2"/>
              </w:rPr>
              <w:t>电话</w:t>
            </w:r>
          </w:p>
        </w:tc>
        <w:tc>
          <w:tcPr>
            <w:tcW w:w="1632" w:type="dxa"/>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6" w:type="dxa"/>
            <w:vAlign w:val="center"/>
          </w:tcPr>
          <w:p>
            <w:pPr>
              <w:rPr>
                <w:rFonts w:ascii="宋体" w:hAnsi="宋体" w:cs="宋体"/>
                <w:color w:val="000000"/>
                <w:sz w:val="28"/>
              </w:rPr>
            </w:pPr>
            <w:r>
              <w:rPr>
                <w:rFonts w:ascii="宋体" w:hAnsi="宋体" w:cs="宋体"/>
                <w:color w:val="000000"/>
                <w:spacing w:val="-7"/>
              </w:rPr>
              <w:t>企业资质证书</w:t>
            </w:r>
          </w:p>
        </w:tc>
        <w:tc>
          <w:tcPr>
            <w:tcW w:w="7199" w:type="dxa"/>
            <w:gridSpan w:val="7"/>
            <w:vAlign w:val="center"/>
          </w:tcPr>
          <w:p>
            <w:pPr>
              <w:rPr>
                <w:rFonts w:ascii="宋体" w:hAnsi="宋体" w:cs="宋体"/>
                <w:color w:val="000000"/>
                <w:sz w:val="28"/>
              </w:rPr>
            </w:pPr>
            <w:r>
              <w:rPr>
                <w:rFonts w:ascii="宋体" w:hAnsi="宋体" w:cs="宋体"/>
                <w:color w:val="000000"/>
                <w:spacing w:val="-2"/>
              </w:rPr>
              <w:t>类型：</w:t>
            </w:r>
            <w:r>
              <w:rPr>
                <w:rFonts w:cs="Calibri"/>
                <w:color w:val="000000"/>
              </w:rPr>
              <w:t>                                     </w:t>
            </w:r>
            <w:r>
              <w:rPr>
                <w:rFonts w:ascii="宋体" w:hAnsi="宋体" w:cs="Calibri"/>
                <w:color w:val="000000"/>
              </w:rPr>
              <w:t> </w:t>
            </w:r>
            <w:r>
              <w:rPr>
                <w:rFonts w:ascii="宋体" w:hAnsi="宋体" w:cs="宋体"/>
                <w:color w:val="000000"/>
                <w:spacing w:val="-7"/>
              </w:rPr>
              <w:t>等级：</w:t>
            </w:r>
            <w:r>
              <w:rPr>
                <w:rFonts w:cs="Calibri"/>
                <w:color w:val="000000"/>
              </w:rPr>
              <w:t>             </w:t>
            </w:r>
            <w:r>
              <w:rPr>
                <w:rFonts w:ascii="宋体" w:hAnsi="宋体" w:cs="Calibri"/>
                <w:color w:val="000000"/>
              </w:rPr>
              <w:t>  </w:t>
            </w:r>
            <w:r>
              <w:rPr>
                <w:rFonts w:ascii="宋体" w:hAnsi="宋体" w:cs="宋体"/>
                <w:color w:val="000000"/>
                <w:spacing w:val="-7"/>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6" w:type="dxa"/>
            <w:vAlign w:val="center"/>
          </w:tcPr>
          <w:p>
            <w:pPr>
              <w:rPr>
                <w:rFonts w:ascii="宋体" w:hAnsi="宋体" w:cs="宋体"/>
                <w:color w:val="000000"/>
                <w:spacing w:val="-7"/>
              </w:rPr>
            </w:pPr>
            <w:r>
              <w:rPr>
                <w:rFonts w:ascii="宋体" w:hAnsi="宋体" w:cs="宋体"/>
                <w:color w:val="000000"/>
                <w:spacing w:val="-7"/>
              </w:rPr>
              <w:t>营业执照号</w:t>
            </w:r>
          </w:p>
        </w:tc>
        <w:tc>
          <w:tcPr>
            <w:tcW w:w="3157" w:type="dxa"/>
            <w:gridSpan w:val="3"/>
            <w:vAlign w:val="center"/>
          </w:tcPr>
          <w:p>
            <w:pPr>
              <w:rPr>
                <w:rFonts w:ascii="宋体" w:hAnsi="宋体" w:cs="宋体"/>
                <w:color w:val="000000"/>
                <w:sz w:val="28"/>
              </w:rPr>
            </w:pPr>
          </w:p>
        </w:tc>
        <w:tc>
          <w:tcPr>
            <w:tcW w:w="4042" w:type="dxa"/>
            <w:gridSpan w:val="4"/>
            <w:vAlign w:val="center"/>
          </w:tcPr>
          <w:p>
            <w:pPr>
              <w:rPr>
                <w:rFonts w:ascii="宋体" w:hAnsi="宋体" w:cs="宋体"/>
                <w:color w:val="000000"/>
                <w:sz w:val="28"/>
              </w:rPr>
            </w:pPr>
            <w:r>
              <w:rPr>
                <w:rFonts w:ascii="宋体" w:hAnsi="宋体" w:cs="宋体"/>
                <w:color w:val="000000"/>
                <w:spacing w:val="-7"/>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6" w:type="dxa"/>
            <w:vAlign w:val="center"/>
          </w:tcPr>
          <w:p>
            <w:pPr>
              <w:rPr>
                <w:rFonts w:ascii="宋体" w:hAnsi="宋体" w:cs="宋体"/>
                <w:color w:val="000000"/>
                <w:spacing w:val="-7"/>
              </w:rPr>
            </w:pPr>
            <w:r>
              <w:rPr>
                <w:rFonts w:ascii="宋体" w:hAnsi="宋体" w:cs="宋体"/>
                <w:color w:val="000000"/>
                <w:spacing w:val="-7"/>
              </w:rPr>
              <w:t>注册资本</w:t>
            </w:r>
          </w:p>
        </w:tc>
        <w:tc>
          <w:tcPr>
            <w:tcW w:w="3157" w:type="dxa"/>
            <w:gridSpan w:val="3"/>
            <w:vAlign w:val="center"/>
          </w:tcPr>
          <w:p>
            <w:pPr>
              <w:rPr>
                <w:rFonts w:ascii="宋体" w:hAnsi="宋体" w:cs="宋体"/>
                <w:color w:val="000000"/>
                <w:sz w:val="28"/>
              </w:rPr>
            </w:pPr>
          </w:p>
        </w:tc>
        <w:tc>
          <w:tcPr>
            <w:tcW w:w="645" w:type="dxa"/>
            <w:vMerge w:val="restart"/>
            <w:vAlign w:val="center"/>
          </w:tcPr>
          <w:p>
            <w:pPr>
              <w:rPr>
                <w:rFonts w:ascii="宋体" w:hAnsi="宋体"/>
                <w:color w:val="000000"/>
              </w:rPr>
            </w:pPr>
            <w:r>
              <w:rPr>
                <w:rFonts w:ascii="宋体" w:hAnsi="宋体" w:cs="宋体"/>
                <w:color w:val="000000"/>
                <w:spacing w:val="-2"/>
              </w:rPr>
              <w:t>其</w:t>
            </w:r>
          </w:p>
          <w:p>
            <w:pPr>
              <w:rPr>
                <w:rFonts w:ascii="宋体" w:hAnsi="宋体" w:cs="宋体"/>
                <w:color w:val="000000"/>
                <w:sz w:val="28"/>
              </w:rPr>
            </w:pPr>
            <w:r>
              <w:rPr>
                <w:rFonts w:ascii="宋体" w:hAnsi="宋体" w:cs="宋体"/>
                <w:color w:val="000000"/>
                <w:spacing w:val="-2"/>
              </w:rPr>
              <w:t>中</w:t>
            </w:r>
          </w:p>
        </w:tc>
        <w:tc>
          <w:tcPr>
            <w:tcW w:w="1765" w:type="dxa"/>
            <w:gridSpan w:val="2"/>
            <w:vAlign w:val="center"/>
          </w:tcPr>
          <w:p>
            <w:pPr>
              <w:rPr>
                <w:rFonts w:ascii="宋体" w:hAnsi="宋体" w:cs="宋体"/>
                <w:color w:val="000000"/>
                <w:sz w:val="28"/>
              </w:rPr>
            </w:pPr>
            <w:r>
              <w:rPr>
                <w:rFonts w:ascii="宋体" w:hAnsi="宋体" w:cs="宋体"/>
                <w:color w:val="000000"/>
                <w:spacing w:val="-7"/>
              </w:rPr>
              <w:t>高级职称人员</w:t>
            </w:r>
          </w:p>
        </w:tc>
        <w:tc>
          <w:tcPr>
            <w:tcW w:w="1632" w:type="dxa"/>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pPr>
              <w:rPr>
                <w:rFonts w:ascii="宋体" w:hAnsi="宋体" w:cs="宋体"/>
                <w:color w:val="000000"/>
                <w:spacing w:val="-7"/>
              </w:rPr>
            </w:pPr>
            <w:r>
              <w:rPr>
                <w:rFonts w:ascii="宋体" w:hAnsi="宋体" w:cs="宋体"/>
                <w:color w:val="000000"/>
                <w:spacing w:val="-7"/>
              </w:rPr>
              <w:t>成立日期</w:t>
            </w:r>
          </w:p>
        </w:tc>
        <w:tc>
          <w:tcPr>
            <w:tcW w:w="3157" w:type="dxa"/>
            <w:gridSpan w:val="3"/>
            <w:vAlign w:val="center"/>
          </w:tcPr>
          <w:p>
            <w:pPr>
              <w:rPr>
                <w:rFonts w:ascii="宋体" w:hAnsi="宋体" w:cs="宋体"/>
                <w:color w:val="000000"/>
                <w:sz w:val="28"/>
              </w:rPr>
            </w:pPr>
          </w:p>
        </w:tc>
        <w:tc>
          <w:tcPr>
            <w:tcW w:w="645" w:type="dxa"/>
            <w:vMerge w:val="continue"/>
            <w:vAlign w:val="center"/>
          </w:tcPr>
          <w:p>
            <w:pPr>
              <w:rPr>
                <w:rFonts w:ascii="宋体" w:hAnsi="宋体" w:cs="宋体"/>
                <w:color w:val="000000"/>
                <w:sz w:val="28"/>
              </w:rPr>
            </w:pPr>
          </w:p>
        </w:tc>
        <w:tc>
          <w:tcPr>
            <w:tcW w:w="1765" w:type="dxa"/>
            <w:gridSpan w:val="2"/>
            <w:vAlign w:val="center"/>
          </w:tcPr>
          <w:p>
            <w:pPr>
              <w:rPr>
                <w:rFonts w:ascii="宋体" w:hAnsi="宋体" w:cs="宋体"/>
                <w:color w:val="000000"/>
                <w:sz w:val="28"/>
              </w:rPr>
            </w:pPr>
            <w:r>
              <w:rPr>
                <w:rFonts w:ascii="宋体" w:hAnsi="宋体" w:cs="宋体"/>
                <w:color w:val="000000"/>
                <w:spacing w:val="-7"/>
              </w:rPr>
              <w:t>中级职称人员</w:t>
            </w:r>
          </w:p>
        </w:tc>
        <w:tc>
          <w:tcPr>
            <w:tcW w:w="1632" w:type="dxa"/>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26" w:type="dxa"/>
            <w:vAlign w:val="center"/>
          </w:tcPr>
          <w:p>
            <w:pPr>
              <w:rPr>
                <w:rFonts w:ascii="宋体" w:hAnsi="宋体" w:cs="宋体"/>
                <w:color w:val="000000"/>
                <w:spacing w:val="-7"/>
              </w:rPr>
            </w:pPr>
            <w:r>
              <w:rPr>
                <w:rFonts w:ascii="宋体" w:hAnsi="宋体" w:cs="宋体"/>
                <w:color w:val="000000"/>
                <w:spacing w:val="-7"/>
              </w:rPr>
              <w:t>基本账户开户银行</w:t>
            </w:r>
          </w:p>
        </w:tc>
        <w:tc>
          <w:tcPr>
            <w:tcW w:w="3157" w:type="dxa"/>
            <w:gridSpan w:val="3"/>
            <w:vAlign w:val="center"/>
          </w:tcPr>
          <w:p>
            <w:pPr>
              <w:rPr>
                <w:rFonts w:ascii="宋体" w:hAnsi="宋体" w:cs="宋体"/>
                <w:color w:val="000000"/>
                <w:sz w:val="28"/>
              </w:rPr>
            </w:pPr>
          </w:p>
        </w:tc>
        <w:tc>
          <w:tcPr>
            <w:tcW w:w="645" w:type="dxa"/>
            <w:vMerge w:val="continue"/>
            <w:vAlign w:val="center"/>
          </w:tcPr>
          <w:p>
            <w:pPr>
              <w:rPr>
                <w:rFonts w:ascii="宋体" w:hAnsi="宋体" w:cs="宋体"/>
                <w:color w:val="000000"/>
                <w:sz w:val="28"/>
              </w:rPr>
            </w:pPr>
          </w:p>
        </w:tc>
        <w:tc>
          <w:tcPr>
            <w:tcW w:w="1765" w:type="dxa"/>
            <w:gridSpan w:val="2"/>
            <w:vAlign w:val="center"/>
          </w:tcPr>
          <w:p>
            <w:pPr>
              <w:rPr>
                <w:rFonts w:ascii="宋体" w:hAnsi="宋体" w:cs="宋体"/>
                <w:color w:val="000000"/>
                <w:sz w:val="28"/>
              </w:rPr>
            </w:pPr>
            <w:r>
              <w:rPr>
                <w:rFonts w:ascii="宋体" w:hAnsi="宋体" w:cs="宋体"/>
                <w:color w:val="000000"/>
                <w:spacing w:val="-7"/>
              </w:rPr>
              <w:t>技术人员数量</w:t>
            </w:r>
          </w:p>
        </w:tc>
        <w:tc>
          <w:tcPr>
            <w:tcW w:w="1632" w:type="dxa"/>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26" w:type="dxa"/>
            <w:vAlign w:val="center"/>
          </w:tcPr>
          <w:p>
            <w:pPr>
              <w:rPr>
                <w:rFonts w:ascii="宋体" w:hAnsi="宋体" w:cs="宋体"/>
                <w:color w:val="000000"/>
                <w:spacing w:val="-7"/>
              </w:rPr>
            </w:pPr>
            <w:r>
              <w:rPr>
                <w:rFonts w:ascii="宋体" w:hAnsi="宋体" w:cs="宋体"/>
                <w:color w:val="000000"/>
                <w:spacing w:val="-7"/>
              </w:rPr>
              <w:t>基本账户银行账号</w:t>
            </w:r>
          </w:p>
        </w:tc>
        <w:tc>
          <w:tcPr>
            <w:tcW w:w="3157" w:type="dxa"/>
            <w:gridSpan w:val="3"/>
            <w:vAlign w:val="center"/>
          </w:tcPr>
          <w:p>
            <w:pPr>
              <w:rPr>
                <w:rFonts w:ascii="宋体" w:hAnsi="宋体" w:cs="宋体"/>
                <w:color w:val="000000"/>
                <w:sz w:val="28"/>
              </w:rPr>
            </w:pPr>
          </w:p>
        </w:tc>
        <w:tc>
          <w:tcPr>
            <w:tcW w:w="645" w:type="dxa"/>
            <w:vMerge w:val="continue"/>
            <w:vAlign w:val="center"/>
          </w:tcPr>
          <w:p>
            <w:pPr>
              <w:rPr>
                <w:rFonts w:ascii="宋体" w:hAnsi="宋体" w:cs="宋体"/>
                <w:color w:val="000000"/>
                <w:sz w:val="28"/>
              </w:rPr>
            </w:pPr>
          </w:p>
        </w:tc>
        <w:tc>
          <w:tcPr>
            <w:tcW w:w="1765" w:type="dxa"/>
            <w:gridSpan w:val="2"/>
            <w:vAlign w:val="center"/>
          </w:tcPr>
          <w:p>
            <w:pPr>
              <w:rPr>
                <w:rFonts w:ascii="宋体" w:hAnsi="宋体" w:cs="宋体"/>
                <w:color w:val="000000"/>
                <w:sz w:val="28"/>
              </w:rPr>
            </w:pPr>
            <w:r>
              <w:rPr>
                <w:rFonts w:ascii="宋体" w:hAnsi="宋体" w:cs="宋体"/>
                <w:color w:val="000000"/>
                <w:spacing w:val="-7"/>
              </w:rPr>
              <w:t>各类注册人员</w:t>
            </w:r>
          </w:p>
        </w:tc>
        <w:tc>
          <w:tcPr>
            <w:tcW w:w="1632" w:type="dxa"/>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26" w:type="dxa"/>
            <w:vAlign w:val="center"/>
          </w:tcPr>
          <w:p>
            <w:pPr>
              <w:rPr>
                <w:rFonts w:ascii="宋体" w:hAnsi="宋体" w:cs="宋体"/>
                <w:color w:val="000000"/>
                <w:spacing w:val="-7"/>
              </w:rPr>
            </w:pPr>
            <w:r>
              <w:rPr>
                <w:rFonts w:ascii="宋体" w:hAnsi="宋体" w:cs="宋体"/>
                <w:color w:val="000000"/>
                <w:spacing w:val="-7"/>
              </w:rPr>
              <w:t>经营范围</w:t>
            </w:r>
          </w:p>
        </w:tc>
        <w:tc>
          <w:tcPr>
            <w:tcW w:w="7199" w:type="dxa"/>
            <w:gridSpan w:val="7"/>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2126" w:type="dxa"/>
            <w:vAlign w:val="center"/>
          </w:tcPr>
          <w:p>
            <w:pPr>
              <w:rPr>
                <w:rFonts w:ascii="宋体" w:hAnsi="宋体"/>
                <w:color w:val="000000"/>
              </w:rPr>
            </w:pPr>
            <w:r>
              <w:rPr>
                <w:rFonts w:ascii="宋体" w:hAnsi="宋体" w:cs="宋体"/>
                <w:color w:val="000000"/>
                <w:spacing w:val="-7"/>
              </w:rPr>
              <w:t>投标人关联企业情</w:t>
            </w:r>
          </w:p>
          <w:p>
            <w:pPr>
              <w:rPr>
                <w:rFonts w:ascii="宋体" w:hAnsi="宋体" w:cs="宋体"/>
                <w:color w:val="000000"/>
                <w:spacing w:val="-7"/>
              </w:rPr>
            </w:pPr>
            <w:r>
              <w:rPr>
                <w:rFonts w:ascii="宋体" w:hAnsi="宋体" w:cs="宋体"/>
                <w:color w:val="000000"/>
                <w:spacing w:val="-7"/>
              </w:rPr>
              <w:t>况（包括但不限于与投标人法定代表人为同一人或者存在</w:t>
            </w:r>
            <w:r>
              <w:rPr>
                <w:rFonts w:ascii="宋体" w:hAnsi="宋体" w:cs="MS Shell Dlg"/>
                <w:color w:val="000000"/>
                <w:spacing w:val="-12"/>
              </w:rPr>
              <w:t>控股、管理关系的不</w:t>
            </w:r>
            <w:r>
              <w:rPr>
                <w:rFonts w:ascii="宋体" w:hAnsi="宋体" w:cs="宋体"/>
                <w:color w:val="000000"/>
                <w:spacing w:val="-7"/>
              </w:rPr>
              <w:t>同单位）</w:t>
            </w:r>
          </w:p>
        </w:tc>
        <w:tc>
          <w:tcPr>
            <w:tcW w:w="7199" w:type="dxa"/>
            <w:gridSpan w:val="7"/>
            <w:vAlign w:val="center"/>
          </w:tcPr>
          <w:p>
            <w:pPr>
              <w:rPr>
                <w:rFonts w:ascii="宋体" w:hAnsi="宋体"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26" w:type="dxa"/>
            <w:vAlign w:val="center"/>
          </w:tcPr>
          <w:p>
            <w:pPr>
              <w:spacing w:line="387" w:lineRule="exact"/>
              <w:ind w:left="182"/>
              <w:rPr>
                <w:rFonts w:ascii="宋体" w:hAnsi="宋体" w:cs="宋体"/>
                <w:color w:val="000000"/>
                <w:spacing w:val="-7"/>
              </w:rPr>
            </w:pPr>
            <w:r>
              <w:rPr>
                <w:rFonts w:ascii="宋体" w:hAnsi="宋体" w:cs="宋体"/>
                <w:color w:val="000000"/>
                <w:spacing w:val="-2"/>
              </w:rPr>
              <w:t>备注</w:t>
            </w:r>
          </w:p>
        </w:tc>
        <w:tc>
          <w:tcPr>
            <w:tcW w:w="7199" w:type="dxa"/>
            <w:gridSpan w:val="7"/>
            <w:vAlign w:val="center"/>
          </w:tcPr>
          <w:p>
            <w:pPr>
              <w:rPr>
                <w:rFonts w:ascii="宋体" w:hAnsi="宋体" w:cs="宋体"/>
                <w:color w:val="000000"/>
                <w:sz w:val="28"/>
              </w:rPr>
            </w:pPr>
          </w:p>
        </w:tc>
      </w:tr>
    </w:tbl>
    <w:p>
      <w:pPr>
        <w:spacing w:line="437" w:lineRule="exact"/>
        <w:ind w:left="284"/>
        <w:rPr>
          <w:rFonts w:ascii="宋体" w:hAnsi="宋体"/>
          <w:color w:val="000000"/>
        </w:rPr>
      </w:pPr>
      <w:r>
        <w:rPr>
          <w:rFonts w:ascii="宋体" w:hAnsi="宋体"/>
          <w:color w:val="000000"/>
        </w:rPr>
        <w:t>注</w:t>
      </w:r>
      <w:r>
        <w:rPr>
          <w:rFonts w:hint="eastAsia" w:ascii="宋体" w:hAnsi="宋体"/>
          <w:color w:val="000000"/>
        </w:rPr>
        <w:t>：附营业执照复印件、企业资质证书。</w:t>
      </w:r>
    </w:p>
    <w:p>
      <w:pPr>
        <w:spacing w:line="240" w:lineRule="exact"/>
        <w:ind w:left="1800"/>
        <w:rPr>
          <w:rFonts w:ascii="宋体" w:hAnsi="宋体"/>
          <w:color w:val="000000"/>
        </w:rPr>
      </w:pPr>
    </w:p>
    <w:bookmarkEnd w:id="145"/>
    <w:p>
      <w:pPr>
        <w:spacing w:line="240" w:lineRule="exact"/>
        <w:ind w:left="1800"/>
        <w:rPr>
          <w:rFonts w:ascii="宋体" w:hAnsi="宋体" w:cs="宋体"/>
          <w:b/>
          <w:bCs/>
          <w:color w:val="000000"/>
          <w:sz w:val="30"/>
          <w:szCs w:val="30"/>
        </w:rPr>
        <w:sectPr>
          <w:pgSz w:w="11907" w:h="16840"/>
          <w:pgMar w:top="1134" w:right="1134" w:bottom="1134" w:left="1134" w:header="720" w:footer="720" w:gutter="0"/>
          <w:cols w:space="720" w:num="1"/>
          <w:docGrid w:linePitch="312" w:charSpace="0"/>
        </w:sectPr>
      </w:pPr>
    </w:p>
    <w:p>
      <w:pPr>
        <w:pStyle w:val="5"/>
        <w:jc w:val="center"/>
        <w:rPr>
          <w:rFonts w:ascii="宋体" w:hAnsi="宋体"/>
          <w:color w:val="000000"/>
          <w:kern w:val="2"/>
          <w:sz w:val="30"/>
          <w:szCs w:val="30"/>
        </w:rPr>
      </w:pPr>
      <w:bookmarkStart w:id="146" w:name="_Toc8313"/>
      <w:bookmarkEnd w:id="146"/>
      <w:bookmarkStart w:id="147" w:name="_Toc11380"/>
      <w:bookmarkEnd w:id="147"/>
      <w:bookmarkStart w:id="148" w:name="_Toc24784"/>
      <w:bookmarkEnd w:id="148"/>
      <w:bookmarkStart w:id="149" w:name="_Toc29960"/>
      <w:bookmarkStart w:id="150" w:name="_Toc43989746"/>
      <w:bookmarkStart w:id="151" w:name="_Toc43990393"/>
      <w:bookmarkStart w:id="152" w:name="_Toc43989944"/>
      <w:r>
        <w:rPr>
          <w:rFonts w:hint="eastAsia" w:ascii="宋体" w:hAnsi="宋体"/>
          <w:color w:val="000000"/>
          <w:kern w:val="2"/>
          <w:sz w:val="30"/>
          <w:szCs w:val="30"/>
        </w:rPr>
        <w:t>四、资信业绩部分</w:t>
      </w:r>
    </w:p>
    <w:p/>
    <w:p/>
    <w:p>
      <w:pPr>
        <w:spacing w:line="360" w:lineRule="auto"/>
        <w:jc w:val="center"/>
        <w:rPr>
          <w:rFonts w:ascii="黑体" w:hAnsi="黑体" w:eastAsia="黑体"/>
          <w:b/>
          <w:bCs/>
          <w:sz w:val="32"/>
          <w:szCs w:val="32"/>
        </w:rPr>
      </w:pPr>
      <w:r>
        <w:rPr>
          <w:rFonts w:hint="eastAsia" w:ascii="宋体" w:hAnsi="宋体" w:cs="宋体"/>
          <w:b/>
          <w:bCs/>
          <w:sz w:val="32"/>
          <w:szCs w:val="32"/>
        </w:rPr>
        <w:t>投标人至今承接的类似业绩汇总表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126"/>
        <w:gridCol w:w="2280"/>
        <w:gridCol w:w="2682"/>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8" w:type="dxa"/>
            <w:vAlign w:val="center"/>
          </w:tcPr>
          <w:p>
            <w:pPr>
              <w:spacing w:line="360" w:lineRule="auto"/>
              <w:jc w:val="center"/>
              <w:rPr>
                <w:rFonts w:ascii="宋体"/>
                <w:sz w:val="24"/>
                <w:szCs w:val="24"/>
              </w:rPr>
            </w:pPr>
            <w:r>
              <w:rPr>
                <w:rFonts w:hint="eastAsia" w:ascii="宋体" w:hAnsi="宋体" w:cs="宋体"/>
                <w:sz w:val="24"/>
                <w:szCs w:val="24"/>
              </w:rPr>
              <w:t>序号</w:t>
            </w:r>
          </w:p>
        </w:tc>
        <w:tc>
          <w:tcPr>
            <w:tcW w:w="2126" w:type="dxa"/>
            <w:vAlign w:val="center"/>
          </w:tcPr>
          <w:p>
            <w:pPr>
              <w:spacing w:line="360" w:lineRule="auto"/>
              <w:jc w:val="center"/>
              <w:rPr>
                <w:rFonts w:ascii="宋体"/>
                <w:sz w:val="24"/>
                <w:szCs w:val="24"/>
              </w:rPr>
            </w:pPr>
            <w:r>
              <w:rPr>
                <w:rFonts w:hint="eastAsia" w:ascii="宋体" w:hAnsi="宋体" w:cs="宋体"/>
                <w:sz w:val="24"/>
                <w:szCs w:val="24"/>
              </w:rPr>
              <w:t>项目名称</w:t>
            </w:r>
          </w:p>
        </w:tc>
        <w:tc>
          <w:tcPr>
            <w:tcW w:w="2280" w:type="dxa"/>
            <w:vAlign w:val="center"/>
          </w:tcPr>
          <w:p>
            <w:pPr>
              <w:spacing w:line="360" w:lineRule="auto"/>
              <w:jc w:val="center"/>
              <w:rPr>
                <w:rFonts w:ascii="宋体"/>
                <w:sz w:val="24"/>
                <w:szCs w:val="24"/>
              </w:rPr>
            </w:pPr>
            <w:r>
              <w:rPr>
                <w:rFonts w:hint="eastAsia" w:ascii="宋体" w:hAnsi="宋体" w:cs="宋体"/>
                <w:sz w:val="24"/>
                <w:szCs w:val="24"/>
              </w:rPr>
              <w:t>项目规模概况</w:t>
            </w:r>
          </w:p>
        </w:tc>
        <w:tc>
          <w:tcPr>
            <w:tcW w:w="2682" w:type="dxa"/>
            <w:vAlign w:val="center"/>
          </w:tcPr>
          <w:p>
            <w:pPr>
              <w:spacing w:line="360" w:lineRule="auto"/>
              <w:jc w:val="center"/>
              <w:rPr>
                <w:rFonts w:ascii="宋体"/>
                <w:sz w:val="24"/>
                <w:szCs w:val="24"/>
              </w:rPr>
            </w:pPr>
            <w:r>
              <w:rPr>
                <w:rFonts w:hint="eastAsia" w:ascii="宋体" w:hAnsi="宋体" w:cs="宋体"/>
                <w:sz w:val="24"/>
                <w:szCs w:val="24"/>
              </w:rPr>
              <w:t>建设单位</w:t>
            </w:r>
          </w:p>
        </w:tc>
        <w:tc>
          <w:tcPr>
            <w:tcW w:w="817" w:type="dxa"/>
            <w:vAlign w:val="center"/>
          </w:tcPr>
          <w:p>
            <w:pPr>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8" w:type="dxa"/>
            <w:vAlign w:val="center"/>
          </w:tcPr>
          <w:p>
            <w:pPr>
              <w:spacing w:line="360" w:lineRule="auto"/>
              <w:jc w:val="center"/>
              <w:rPr>
                <w:rFonts w:ascii="宋体"/>
                <w:sz w:val="24"/>
                <w:szCs w:val="24"/>
              </w:rPr>
            </w:pPr>
            <w:r>
              <w:rPr>
                <w:rFonts w:ascii="宋体" w:hAnsi="宋体" w:cs="宋体"/>
                <w:sz w:val="24"/>
                <w:szCs w:val="24"/>
              </w:rPr>
              <w:t>1</w:t>
            </w:r>
          </w:p>
        </w:tc>
        <w:tc>
          <w:tcPr>
            <w:tcW w:w="2126" w:type="dxa"/>
            <w:vAlign w:val="center"/>
          </w:tcPr>
          <w:p>
            <w:pPr>
              <w:spacing w:line="360" w:lineRule="auto"/>
              <w:jc w:val="center"/>
              <w:rPr>
                <w:rFonts w:ascii="宋体"/>
                <w:sz w:val="24"/>
                <w:szCs w:val="24"/>
              </w:rPr>
            </w:pPr>
          </w:p>
        </w:tc>
        <w:tc>
          <w:tcPr>
            <w:tcW w:w="2280" w:type="dxa"/>
            <w:vAlign w:val="center"/>
          </w:tcPr>
          <w:p>
            <w:pPr>
              <w:spacing w:line="360" w:lineRule="auto"/>
              <w:jc w:val="center"/>
              <w:rPr>
                <w:rFonts w:ascii="宋体"/>
                <w:sz w:val="24"/>
                <w:szCs w:val="24"/>
              </w:rPr>
            </w:pPr>
          </w:p>
        </w:tc>
        <w:tc>
          <w:tcPr>
            <w:tcW w:w="2682" w:type="dxa"/>
            <w:vAlign w:val="center"/>
          </w:tcPr>
          <w:p>
            <w:pPr>
              <w:spacing w:line="360" w:lineRule="auto"/>
              <w:jc w:val="center"/>
              <w:rPr>
                <w:rFonts w:ascii="宋体"/>
                <w:sz w:val="24"/>
                <w:szCs w:val="24"/>
              </w:rPr>
            </w:pPr>
          </w:p>
        </w:tc>
        <w:tc>
          <w:tcPr>
            <w:tcW w:w="817" w:type="dxa"/>
            <w:vAlign w:val="center"/>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8" w:type="dxa"/>
            <w:vAlign w:val="center"/>
          </w:tcPr>
          <w:p>
            <w:pPr>
              <w:spacing w:line="360" w:lineRule="auto"/>
              <w:jc w:val="center"/>
              <w:rPr>
                <w:rFonts w:ascii="宋体"/>
                <w:sz w:val="24"/>
                <w:szCs w:val="24"/>
              </w:rPr>
            </w:pPr>
            <w:r>
              <w:rPr>
                <w:rFonts w:ascii="宋体" w:hAnsi="宋体" w:cs="宋体"/>
                <w:sz w:val="24"/>
                <w:szCs w:val="24"/>
              </w:rPr>
              <w:t>2</w:t>
            </w:r>
          </w:p>
        </w:tc>
        <w:tc>
          <w:tcPr>
            <w:tcW w:w="2126" w:type="dxa"/>
            <w:vAlign w:val="center"/>
          </w:tcPr>
          <w:p>
            <w:pPr>
              <w:spacing w:line="360" w:lineRule="auto"/>
              <w:jc w:val="center"/>
              <w:rPr>
                <w:rFonts w:ascii="宋体"/>
                <w:sz w:val="24"/>
                <w:szCs w:val="24"/>
              </w:rPr>
            </w:pPr>
          </w:p>
        </w:tc>
        <w:tc>
          <w:tcPr>
            <w:tcW w:w="2280" w:type="dxa"/>
            <w:vAlign w:val="center"/>
          </w:tcPr>
          <w:p>
            <w:pPr>
              <w:spacing w:line="360" w:lineRule="auto"/>
              <w:jc w:val="center"/>
              <w:rPr>
                <w:rFonts w:ascii="宋体"/>
                <w:sz w:val="24"/>
                <w:szCs w:val="24"/>
              </w:rPr>
            </w:pPr>
          </w:p>
        </w:tc>
        <w:tc>
          <w:tcPr>
            <w:tcW w:w="2682" w:type="dxa"/>
            <w:vAlign w:val="center"/>
          </w:tcPr>
          <w:p>
            <w:pPr>
              <w:spacing w:line="360" w:lineRule="auto"/>
              <w:jc w:val="center"/>
              <w:rPr>
                <w:rFonts w:ascii="宋体"/>
                <w:sz w:val="24"/>
                <w:szCs w:val="24"/>
              </w:rPr>
            </w:pPr>
          </w:p>
        </w:tc>
        <w:tc>
          <w:tcPr>
            <w:tcW w:w="817" w:type="dxa"/>
            <w:vAlign w:val="center"/>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8" w:type="dxa"/>
            <w:vAlign w:val="center"/>
          </w:tcPr>
          <w:p>
            <w:pPr>
              <w:spacing w:line="360" w:lineRule="auto"/>
              <w:jc w:val="center"/>
              <w:rPr>
                <w:rFonts w:ascii="宋体"/>
                <w:sz w:val="24"/>
                <w:szCs w:val="24"/>
              </w:rPr>
            </w:pPr>
            <w:r>
              <w:rPr>
                <w:rFonts w:hint="eastAsia" w:ascii="宋体" w:hAnsi="宋体" w:cs="宋体"/>
                <w:sz w:val="24"/>
                <w:szCs w:val="24"/>
              </w:rPr>
              <w:t>…</w:t>
            </w:r>
          </w:p>
        </w:tc>
        <w:tc>
          <w:tcPr>
            <w:tcW w:w="2126" w:type="dxa"/>
            <w:vAlign w:val="center"/>
          </w:tcPr>
          <w:p>
            <w:pPr>
              <w:spacing w:line="360" w:lineRule="auto"/>
              <w:jc w:val="center"/>
              <w:rPr>
                <w:rFonts w:ascii="宋体"/>
                <w:sz w:val="24"/>
                <w:szCs w:val="24"/>
              </w:rPr>
            </w:pPr>
          </w:p>
        </w:tc>
        <w:tc>
          <w:tcPr>
            <w:tcW w:w="2280" w:type="dxa"/>
            <w:vAlign w:val="center"/>
          </w:tcPr>
          <w:p>
            <w:pPr>
              <w:spacing w:line="360" w:lineRule="auto"/>
              <w:jc w:val="center"/>
              <w:rPr>
                <w:rFonts w:ascii="宋体"/>
                <w:sz w:val="24"/>
                <w:szCs w:val="24"/>
              </w:rPr>
            </w:pPr>
          </w:p>
        </w:tc>
        <w:tc>
          <w:tcPr>
            <w:tcW w:w="2682" w:type="dxa"/>
            <w:vAlign w:val="center"/>
          </w:tcPr>
          <w:p>
            <w:pPr>
              <w:spacing w:line="360" w:lineRule="auto"/>
              <w:jc w:val="center"/>
              <w:rPr>
                <w:rFonts w:ascii="宋体"/>
                <w:sz w:val="24"/>
                <w:szCs w:val="24"/>
              </w:rPr>
            </w:pPr>
          </w:p>
        </w:tc>
        <w:tc>
          <w:tcPr>
            <w:tcW w:w="817" w:type="dxa"/>
            <w:vAlign w:val="center"/>
          </w:tcPr>
          <w:p>
            <w:pPr>
              <w:spacing w:line="360" w:lineRule="auto"/>
              <w:jc w:val="center"/>
              <w:rPr>
                <w:rFonts w:ascii="宋体"/>
                <w:sz w:val="24"/>
                <w:szCs w:val="24"/>
              </w:rPr>
            </w:pPr>
          </w:p>
        </w:tc>
      </w:tr>
    </w:tbl>
    <w:p>
      <w:pPr>
        <w:tabs>
          <w:tab w:val="left" w:pos="13320"/>
        </w:tabs>
        <w:snapToGrid w:val="0"/>
        <w:spacing w:line="360" w:lineRule="auto"/>
        <w:ind w:left="720" w:hanging="720" w:hangingChars="300"/>
        <w:rPr>
          <w:rFonts w:ascii="宋体"/>
          <w:sz w:val="24"/>
          <w:szCs w:val="24"/>
        </w:rPr>
      </w:pPr>
      <w:r>
        <w:rPr>
          <w:rFonts w:ascii="宋体" w:hAnsi="宋体" w:cs="宋体"/>
          <w:sz w:val="24"/>
          <w:szCs w:val="24"/>
        </w:rPr>
        <w:t xml:space="preserve">  </w:t>
      </w:r>
      <w:r>
        <w:rPr>
          <w:rFonts w:hint="eastAsia" w:ascii="宋体" w:hAnsi="宋体" w:cs="宋体"/>
          <w:sz w:val="24"/>
          <w:szCs w:val="24"/>
        </w:rPr>
        <w:t>注：</w:t>
      </w:r>
      <w:r>
        <w:rPr>
          <w:rFonts w:hint="eastAsia" w:ascii="宋体" w:hAnsi="宋体"/>
          <w:sz w:val="24"/>
          <w:szCs w:val="24"/>
        </w:rPr>
        <w:t>需提供合同协议书复印件证明材料</w:t>
      </w:r>
      <w:r>
        <w:rPr>
          <w:rFonts w:hint="eastAsia" w:ascii="宋体" w:hAnsi="宋体" w:cs="宋体"/>
          <w:sz w:val="24"/>
          <w:szCs w:val="24"/>
        </w:rPr>
        <w:t>。以上证明文件需提供复印件、并加盖公章。</w:t>
      </w:r>
    </w:p>
    <w:p>
      <w:pPr>
        <w:tabs>
          <w:tab w:val="left" w:pos="13320"/>
        </w:tabs>
        <w:snapToGrid w:val="0"/>
        <w:spacing w:line="360" w:lineRule="auto"/>
        <w:ind w:left="720" w:hanging="720" w:hangingChars="300"/>
        <w:rPr>
          <w:rFonts w:ascii="宋体"/>
          <w:sz w:val="24"/>
          <w:szCs w:val="24"/>
        </w:rPr>
      </w:pPr>
    </w:p>
    <w:p>
      <w:pPr>
        <w:tabs>
          <w:tab w:val="left" w:pos="13320"/>
        </w:tabs>
        <w:snapToGrid w:val="0"/>
        <w:spacing w:line="360" w:lineRule="auto"/>
        <w:ind w:left="720" w:hanging="720" w:hangingChars="300"/>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投标人（盖章）：</w:t>
      </w:r>
    </w:p>
    <w:p>
      <w:pPr>
        <w:tabs>
          <w:tab w:val="left" w:pos="13320"/>
        </w:tabs>
        <w:snapToGrid w:val="0"/>
        <w:spacing w:line="360" w:lineRule="auto"/>
        <w:rPr>
          <w:rFonts w:ascii="宋体"/>
          <w:sz w:val="24"/>
          <w:szCs w:val="24"/>
        </w:rPr>
      </w:pPr>
      <w:r>
        <w:rPr>
          <w:rFonts w:ascii="宋体" w:hAnsi="宋体" w:cs="宋体"/>
          <w:sz w:val="24"/>
          <w:szCs w:val="24"/>
        </w:rPr>
        <w:t xml:space="preserve">                                 </w:t>
      </w:r>
      <w:r>
        <w:rPr>
          <w:rFonts w:hint="eastAsia" w:ascii="宋体" w:hAnsi="宋体" w:cs="宋体"/>
          <w:sz w:val="24"/>
          <w:szCs w:val="24"/>
        </w:rPr>
        <w:t>法定代表人或授权代表（签字或盖章）：</w:t>
      </w:r>
    </w:p>
    <w:p>
      <w:pPr>
        <w:tabs>
          <w:tab w:val="left" w:pos="13320"/>
        </w:tabs>
        <w:snapToGrid w:val="0"/>
        <w:spacing w:line="360" w:lineRule="auto"/>
        <w:sectPr>
          <w:headerReference r:id="rId10" w:type="default"/>
          <w:footerReference r:id="rId11" w:type="default"/>
          <w:pgSz w:w="11907" w:h="16840"/>
          <w:pgMar w:top="1134" w:right="1134" w:bottom="1134" w:left="1134" w:header="720" w:footer="720" w:gutter="0"/>
          <w:cols w:space="720" w:num="1"/>
          <w:docGrid w:linePitch="312" w:charSpace="0"/>
        </w:sectPr>
      </w:pPr>
      <w:r>
        <w:rPr>
          <w:rFonts w:hAnsi="宋体"/>
          <w:sz w:val="24"/>
          <w:szCs w:val="24"/>
        </w:rPr>
        <w:t xml:space="preserve">                               </w:t>
      </w:r>
      <w:r>
        <w:rPr>
          <w:rFonts w:ascii="宋体" w:hAnsi="宋体" w:cs="宋体"/>
          <w:sz w:val="24"/>
          <w:szCs w:val="24"/>
        </w:rPr>
        <w:t xml:space="preserve">  </w:t>
      </w:r>
      <w:r>
        <w:rPr>
          <w:rFonts w:hint="eastAsia" w:ascii="宋体" w:hAnsi="宋体" w:cs="宋体"/>
          <w:sz w:val="24"/>
          <w:szCs w:val="24"/>
        </w:rPr>
        <w:t>日期：</w:t>
      </w:r>
      <w:r>
        <w:rPr>
          <w:rFonts w:ascii="宋体" w:hAnsi="宋体" w:cs="宋体"/>
          <w:sz w:val="24"/>
          <w:szCs w:val="24"/>
        </w:rPr>
        <w:t>_____</w:t>
      </w:r>
      <w:r>
        <w:rPr>
          <w:rFonts w:hint="eastAsia" w:ascii="宋体" w:hAnsi="宋体" w:cs="宋体"/>
          <w:sz w:val="24"/>
          <w:szCs w:val="24"/>
        </w:rPr>
        <w:t>年</w:t>
      </w:r>
      <w:r>
        <w:rPr>
          <w:rFonts w:ascii="宋体" w:hAnsi="宋体" w:cs="宋体"/>
          <w:sz w:val="24"/>
          <w:szCs w:val="24"/>
        </w:rPr>
        <w:t>___</w:t>
      </w:r>
      <w:r>
        <w:rPr>
          <w:rFonts w:hint="eastAsia" w:ascii="宋体" w:hAnsi="宋体" w:cs="宋体"/>
          <w:sz w:val="24"/>
          <w:szCs w:val="24"/>
        </w:rPr>
        <w:t>月</w:t>
      </w:r>
      <w:r>
        <w:rPr>
          <w:rFonts w:ascii="宋体" w:hAnsi="宋体" w:cs="宋体"/>
          <w:sz w:val="24"/>
          <w:szCs w:val="24"/>
        </w:rPr>
        <w:t>___</w:t>
      </w:r>
      <w:r>
        <w:rPr>
          <w:rFonts w:hint="eastAsia" w:ascii="宋体" w:hAnsi="宋体" w:cs="宋体"/>
          <w:sz w:val="24"/>
          <w:szCs w:val="24"/>
        </w:rPr>
        <w:t>日</w:t>
      </w:r>
    </w:p>
    <w:p>
      <w:pPr>
        <w:pStyle w:val="5"/>
        <w:jc w:val="center"/>
        <w:rPr>
          <w:rFonts w:ascii="宋体" w:hAnsi="宋体"/>
          <w:color w:val="000000"/>
          <w:kern w:val="2"/>
          <w:sz w:val="30"/>
          <w:szCs w:val="30"/>
        </w:rPr>
      </w:pPr>
      <w:r>
        <w:rPr>
          <w:rFonts w:hint="eastAsia" w:ascii="宋体" w:hAnsi="宋体"/>
          <w:color w:val="000000"/>
          <w:kern w:val="2"/>
          <w:sz w:val="30"/>
          <w:szCs w:val="30"/>
        </w:rPr>
        <w:t>五、技术部分</w:t>
      </w:r>
      <w:bookmarkEnd w:id="149"/>
      <w:bookmarkEnd w:id="150"/>
      <w:bookmarkEnd w:id="151"/>
      <w:bookmarkEnd w:id="152"/>
    </w:p>
    <w:p>
      <w:pPr>
        <w:spacing w:line="360" w:lineRule="auto"/>
        <w:jc w:val="center"/>
        <w:rPr>
          <w:rFonts w:ascii="黑体" w:hAnsi="黑体" w:eastAsia="黑体" w:cs="黑体"/>
          <w:b/>
          <w:bCs/>
          <w:sz w:val="32"/>
          <w:szCs w:val="32"/>
        </w:rPr>
      </w:pPr>
    </w:p>
    <w:p>
      <w:pPr>
        <w:spacing w:line="360" w:lineRule="auto"/>
        <w:jc w:val="center"/>
        <w:rPr>
          <w:rFonts w:ascii="宋体" w:hAnsi="宋体" w:cs="宋体"/>
          <w:sz w:val="24"/>
          <w:szCs w:val="24"/>
        </w:rPr>
      </w:pPr>
      <w:r>
        <w:rPr>
          <w:rFonts w:hint="eastAsia" w:ascii="宋体" w:hAnsi="宋体" w:cs="宋体"/>
          <w:b/>
          <w:bCs/>
          <w:sz w:val="32"/>
          <w:szCs w:val="32"/>
        </w:rPr>
        <w:t>拟派人员一览表</w:t>
      </w:r>
    </w:p>
    <w:tbl>
      <w:tblPr>
        <w:tblStyle w:val="2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992"/>
        <w:gridCol w:w="993"/>
        <w:gridCol w:w="990"/>
        <w:gridCol w:w="1020"/>
        <w:gridCol w:w="1215"/>
        <w:gridCol w:w="173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ascii="宋体" w:hAnsi="宋体" w:cs="宋体"/>
                <w:sz w:val="24"/>
                <w:szCs w:val="24"/>
              </w:rPr>
            </w:pPr>
            <w:r>
              <w:rPr>
                <w:rFonts w:hint="eastAsia" w:ascii="宋体" w:hAnsi="宋体" w:cs="宋体"/>
                <w:sz w:val="24"/>
                <w:szCs w:val="24"/>
              </w:rPr>
              <w:t>序号</w:t>
            </w:r>
          </w:p>
        </w:tc>
        <w:tc>
          <w:tcPr>
            <w:tcW w:w="1417" w:type="dxa"/>
            <w:vAlign w:val="center"/>
          </w:tcPr>
          <w:p>
            <w:pPr>
              <w:jc w:val="center"/>
              <w:rPr>
                <w:rFonts w:ascii="宋体" w:hAnsi="宋体" w:cs="宋体"/>
                <w:sz w:val="24"/>
                <w:szCs w:val="24"/>
              </w:rPr>
            </w:pPr>
            <w:r>
              <w:rPr>
                <w:rFonts w:hint="eastAsia" w:ascii="宋体" w:hAnsi="宋体" w:cs="宋体"/>
                <w:sz w:val="24"/>
                <w:szCs w:val="24"/>
              </w:rPr>
              <w:t>姓名</w:t>
            </w:r>
          </w:p>
        </w:tc>
        <w:tc>
          <w:tcPr>
            <w:tcW w:w="992" w:type="dxa"/>
            <w:vAlign w:val="center"/>
          </w:tcPr>
          <w:p>
            <w:pPr>
              <w:jc w:val="center"/>
              <w:rPr>
                <w:rFonts w:ascii="宋体" w:hAnsi="宋体" w:cs="宋体"/>
                <w:sz w:val="24"/>
                <w:szCs w:val="24"/>
              </w:rPr>
            </w:pPr>
            <w:r>
              <w:rPr>
                <w:rFonts w:hint="eastAsia" w:ascii="宋体" w:hAnsi="宋体" w:cs="宋体"/>
                <w:sz w:val="24"/>
                <w:szCs w:val="24"/>
              </w:rPr>
              <w:t>年龄</w:t>
            </w:r>
          </w:p>
        </w:tc>
        <w:tc>
          <w:tcPr>
            <w:tcW w:w="993" w:type="dxa"/>
            <w:vAlign w:val="center"/>
          </w:tcPr>
          <w:p>
            <w:pPr>
              <w:jc w:val="center"/>
              <w:rPr>
                <w:rFonts w:ascii="宋体" w:hAnsi="宋体" w:cs="宋体"/>
                <w:sz w:val="24"/>
                <w:szCs w:val="24"/>
              </w:rPr>
            </w:pPr>
            <w:r>
              <w:rPr>
                <w:rFonts w:hint="eastAsia" w:ascii="宋体" w:hAnsi="宋体" w:cs="宋体"/>
                <w:sz w:val="24"/>
                <w:szCs w:val="24"/>
              </w:rPr>
              <w:t>专业</w:t>
            </w:r>
          </w:p>
        </w:tc>
        <w:tc>
          <w:tcPr>
            <w:tcW w:w="990" w:type="dxa"/>
            <w:vAlign w:val="center"/>
          </w:tcPr>
          <w:p>
            <w:pPr>
              <w:jc w:val="center"/>
              <w:rPr>
                <w:rFonts w:ascii="宋体" w:hAnsi="宋体" w:cs="宋体"/>
                <w:sz w:val="24"/>
                <w:szCs w:val="24"/>
              </w:rPr>
            </w:pPr>
            <w:r>
              <w:rPr>
                <w:rFonts w:hint="eastAsia" w:ascii="宋体" w:hAnsi="宋体" w:cs="宋体"/>
                <w:sz w:val="24"/>
                <w:szCs w:val="24"/>
              </w:rPr>
              <w:t>学历</w:t>
            </w:r>
          </w:p>
        </w:tc>
        <w:tc>
          <w:tcPr>
            <w:tcW w:w="1020" w:type="dxa"/>
            <w:vAlign w:val="center"/>
          </w:tcPr>
          <w:p>
            <w:pPr>
              <w:jc w:val="center"/>
              <w:rPr>
                <w:rFonts w:ascii="宋体" w:hAnsi="宋体" w:cs="宋体"/>
                <w:sz w:val="24"/>
                <w:szCs w:val="24"/>
              </w:rPr>
            </w:pPr>
            <w:r>
              <w:rPr>
                <w:rFonts w:hint="eastAsia" w:ascii="宋体" w:hAnsi="宋体" w:cs="宋体"/>
                <w:sz w:val="24"/>
                <w:szCs w:val="24"/>
              </w:rPr>
              <w:t>职称</w:t>
            </w:r>
          </w:p>
        </w:tc>
        <w:tc>
          <w:tcPr>
            <w:tcW w:w="1215" w:type="dxa"/>
            <w:vAlign w:val="center"/>
          </w:tcPr>
          <w:p>
            <w:pPr>
              <w:jc w:val="center"/>
              <w:rPr>
                <w:rFonts w:ascii="宋体" w:hAnsi="宋体" w:cs="宋体"/>
                <w:sz w:val="24"/>
                <w:szCs w:val="24"/>
              </w:rPr>
            </w:pPr>
            <w:r>
              <w:rPr>
                <w:rFonts w:hint="eastAsia" w:ascii="宋体" w:hAnsi="宋体" w:cs="宋体"/>
                <w:sz w:val="24"/>
                <w:szCs w:val="24"/>
              </w:rPr>
              <w:t>资格证书</w:t>
            </w:r>
          </w:p>
        </w:tc>
        <w:tc>
          <w:tcPr>
            <w:tcW w:w="1736" w:type="dxa"/>
            <w:vAlign w:val="center"/>
          </w:tcPr>
          <w:p>
            <w:pPr>
              <w:ind w:right="-107" w:rightChars="-51"/>
              <w:jc w:val="center"/>
              <w:rPr>
                <w:rFonts w:ascii="宋体" w:hAnsi="宋体" w:cs="宋体"/>
                <w:sz w:val="24"/>
                <w:szCs w:val="24"/>
              </w:rPr>
            </w:pPr>
            <w:r>
              <w:rPr>
                <w:rFonts w:hint="eastAsia" w:ascii="宋体" w:hAnsi="宋体" w:cs="宋体"/>
                <w:sz w:val="24"/>
                <w:szCs w:val="24"/>
              </w:rPr>
              <w:t>在本项目中拟担任工作</w:t>
            </w:r>
          </w:p>
        </w:tc>
        <w:tc>
          <w:tcPr>
            <w:tcW w:w="850" w:type="dxa"/>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vAlign w:val="center"/>
          </w:tcPr>
          <w:p>
            <w:pPr>
              <w:jc w:val="center"/>
              <w:rPr>
                <w:rFonts w:ascii="宋体" w:hAnsi="宋体" w:cs="宋体"/>
                <w:sz w:val="24"/>
                <w:szCs w:val="24"/>
              </w:rPr>
            </w:pPr>
            <w:r>
              <w:rPr>
                <w:rFonts w:hint="eastAsia" w:ascii="宋体" w:hAnsi="宋体" w:cs="宋体"/>
                <w:sz w:val="24"/>
                <w:szCs w:val="24"/>
              </w:rPr>
              <w:t>1</w:t>
            </w:r>
          </w:p>
        </w:tc>
        <w:tc>
          <w:tcPr>
            <w:tcW w:w="1417" w:type="dxa"/>
            <w:vAlign w:val="center"/>
          </w:tcPr>
          <w:p>
            <w:pPr>
              <w:jc w:val="center"/>
              <w:rPr>
                <w:rFonts w:ascii="宋体" w:hAnsi="宋体" w:cs="宋体"/>
                <w:sz w:val="24"/>
                <w:szCs w:val="24"/>
              </w:rPr>
            </w:pPr>
          </w:p>
        </w:tc>
        <w:tc>
          <w:tcPr>
            <w:tcW w:w="992" w:type="dxa"/>
            <w:vAlign w:val="center"/>
          </w:tcPr>
          <w:p>
            <w:pPr>
              <w:jc w:val="center"/>
              <w:rPr>
                <w:rFonts w:ascii="宋体" w:hAnsi="宋体" w:cs="宋体"/>
                <w:sz w:val="24"/>
                <w:szCs w:val="24"/>
              </w:rPr>
            </w:pPr>
          </w:p>
        </w:tc>
        <w:tc>
          <w:tcPr>
            <w:tcW w:w="993" w:type="dxa"/>
            <w:vAlign w:val="center"/>
          </w:tcPr>
          <w:p>
            <w:pPr>
              <w:jc w:val="center"/>
              <w:rPr>
                <w:rFonts w:ascii="宋体" w:hAnsi="宋体" w:cs="宋体"/>
                <w:sz w:val="24"/>
                <w:szCs w:val="24"/>
              </w:rPr>
            </w:pPr>
          </w:p>
        </w:tc>
        <w:tc>
          <w:tcPr>
            <w:tcW w:w="990" w:type="dxa"/>
            <w:vAlign w:val="center"/>
          </w:tcPr>
          <w:p>
            <w:pPr>
              <w:jc w:val="center"/>
              <w:rPr>
                <w:rFonts w:ascii="宋体" w:hAnsi="宋体" w:cs="宋体"/>
                <w:sz w:val="24"/>
                <w:szCs w:val="24"/>
              </w:rPr>
            </w:pPr>
          </w:p>
        </w:tc>
        <w:tc>
          <w:tcPr>
            <w:tcW w:w="1020" w:type="dxa"/>
            <w:vAlign w:val="center"/>
          </w:tcPr>
          <w:p>
            <w:pPr>
              <w:jc w:val="center"/>
              <w:rPr>
                <w:rFonts w:ascii="宋体" w:hAnsi="宋体" w:cs="宋体"/>
                <w:sz w:val="24"/>
                <w:szCs w:val="24"/>
              </w:rPr>
            </w:pPr>
          </w:p>
        </w:tc>
        <w:tc>
          <w:tcPr>
            <w:tcW w:w="1215" w:type="dxa"/>
            <w:vAlign w:val="center"/>
          </w:tcPr>
          <w:p>
            <w:pPr>
              <w:jc w:val="center"/>
              <w:rPr>
                <w:rFonts w:ascii="宋体" w:hAnsi="宋体" w:cs="宋体"/>
                <w:sz w:val="24"/>
                <w:szCs w:val="24"/>
              </w:rPr>
            </w:pPr>
          </w:p>
        </w:tc>
        <w:tc>
          <w:tcPr>
            <w:tcW w:w="1736" w:type="dxa"/>
            <w:vAlign w:val="center"/>
          </w:tcPr>
          <w:p>
            <w:pPr>
              <w:jc w:val="center"/>
              <w:rPr>
                <w:rFonts w:ascii="宋体" w:hAnsi="宋体" w:cs="宋体"/>
                <w:sz w:val="24"/>
                <w:szCs w:val="24"/>
              </w:rPr>
            </w:pPr>
          </w:p>
        </w:tc>
        <w:tc>
          <w:tcPr>
            <w:tcW w:w="85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vAlign w:val="center"/>
          </w:tcPr>
          <w:p>
            <w:pPr>
              <w:jc w:val="center"/>
              <w:rPr>
                <w:rFonts w:ascii="宋体" w:hAnsi="宋体" w:cs="宋体"/>
                <w:sz w:val="24"/>
                <w:szCs w:val="24"/>
              </w:rPr>
            </w:pPr>
            <w:r>
              <w:rPr>
                <w:rFonts w:hint="eastAsia" w:ascii="宋体" w:hAnsi="宋体" w:cs="宋体"/>
                <w:sz w:val="24"/>
                <w:szCs w:val="24"/>
              </w:rPr>
              <w:t>2</w:t>
            </w:r>
          </w:p>
        </w:tc>
        <w:tc>
          <w:tcPr>
            <w:tcW w:w="1417" w:type="dxa"/>
            <w:vAlign w:val="center"/>
          </w:tcPr>
          <w:p>
            <w:pPr>
              <w:jc w:val="center"/>
              <w:rPr>
                <w:rFonts w:ascii="宋体" w:hAnsi="宋体" w:cs="宋体"/>
                <w:sz w:val="24"/>
                <w:szCs w:val="24"/>
              </w:rPr>
            </w:pPr>
          </w:p>
        </w:tc>
        <w:tc>
          <w:tcPr>
            <w:tcW w:w="992" w:type="dxa"/>
            <w:vAlign w:val="center"/>
          </w:tcPr>
          <w:p>
            <w:pPr>
              <w:jc w:val="center"/>
              <w:rPr>
                <w:rFonts w:ascii="宋体" w:hAnsi="宋体" w:cs="宋体"/>
                <w:sz w:val="24"/>
                <w:szCs w:val="24"/>
              </w:rPr>
            </w:pPr>
          </w:p>
        </w:tc>
        <w:tc>
          <w:tcPr>
            <w:tcW w:w="993" w:type="dxa"/>
            <w:vAlign w:val="center"/>
          </w:tcPr>
          <w:p>
            <w:pPr>
              <w:jc w:val="center"/>
              <w:rPr>
                <w:rFonts w:ascii="宋体" w:hAnsi="宋体" w:cs="宋体"/>
                <w:sz w:val="24"/>
                <w:szCs w:val="24"/>
              </w:rPr>
            </w:pPr>
          </w:p>
        </w:tc>
        <w:tc>
          <w:tcPr>
            <w:tcW w:w="990" w:type="dxa"/>
            <w:vAlign w:val="center"/>
          </w:tcPr>
          <w:p>
            <w:pPr>
              <w:jc w:val="center"/>
              <w:rPr>
                <w:rFonts w:ascii="宋体" w:hAnsi="宋体" w:cs="宋体"/>
                <w:sz w:val="24"/>
                <w:szCs w:val="24"/>
              </w:rPr>
            </w:pPr>
          </w:p>
        </w:tc>
        <w:tc>
          <w:tcPr>
            <w:tcW w:w="1020" w:type="dxa"/>
            <w:vAlign w:val="center"/>
          </w:tcPr>
          <w:p>
            <w:pPr>
              <w:jc w:val="center"/>
              <w:rPr>
                <w:rFonts w:ascii="宋体" w:hAnsi="宋体" w:cs="宋体"/>
                <w:sz w:val="24"/>
                <w:szCs w:val="24"/>
              </w:rPr>
            </w:pPr>
          </w:p>
        </w:tc>
        <w:tc>
          <w:tcPr>
            <w:tcW w:w="1215" w:type="dxa"/>
            <w:vAlign w:val="center"/>
          </w:tcPr>
          <w:p>
            <w:pPr>
              <w:jc w:val="center"/>
              <w:rPr>
                <w:rFonts w:ascii="宋体" w:hAnsi="宋体" w:cs="宋体"/>
                <w:sz w:val="24"/>
                <w:szCs w:val="24"/>
              </w:rPr>
            </w:pPr>
          </w:p>
        </w:tc>
        <w:tc>
          <w:tcPr>
            <w:tcW w:w="1736" w:type="dxa"/>
            <w:vAlign w:val="center"/>
          </w:tcPr>
          <w:p>
            <w:pPr>
              <w:jc w:val="center"/>
              <w:rPr>
                <w:rFonts w:ascii="宋体" w:hAnsi="宋体" w:cs="宋体"/>
                <w:sz w:val="24"/>
                <w:szCs w:val="24"/>
              </w:rPr>
            </w:pPr>
          </w:p>
        </w:tc>
        <w:tc>
          <w:tcPr>
            <w:tcW w:w="85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vAlign w:val="center"/>
          </w:tcPr>
          <w:p>
            <w:pPr>
              <w:jc w:val="center"/>
              <w:rPr>
                <w:rFonts w:ascii="宋体" w:hAnsi="宋体" w:cs="宋体"/>
                <w:sz w:val="24"/>
                <w:szCs w:val="24"/>
              </w:rPr>
            </w:pPr>
            <w:r>
              <w:rPr>
                <w:rFonts w:hint="eastAsia" w:ascii="宋体" w:hAnsi="宋体" w:cs="宋体"/>
                <w:sz w:val="24"/>
                <w:szCs w:val="24"/>
              </w:rPr>
              <w:t>3</w:t>
            </w:r>
          </w:p>
        </w:tc>
        <w:tc>
          <w:tcPr>
            <w:tcW w:w="1417" w:type="dxa"/>
            <w:vAlign w:val="center"/>
          </w:tcPr>
          <w:p>
            <w:pPr>
              <w:jc w:val="center"/>
              <w:rPr>
                <w:rFonts w:ascii="宋体" w:hAnsi="宋体" w:cs="宋体"/>
                <w:sz w:val="24"/>
                <w:szCs w:val="24"/>
              </w:rPr>
            </w:pPr>
          </w:p>
        </w:tc>
        <w:tc>
          <w:tcPr>
            <w:tcW w:w="992" w:type="dxa"/>
            <w:vAlign w:val="center"/>
          </w:tcPr>
          <w:p>
            <w:pPr>
              <w:jc w:val="center"/>
              <w:rPr>
                <w:rFonts w:ascii="宋体" w:hAnsi="宋体" w:cs="宋体"/>
                <w:sz w:val="24"/>
                <w:szCs w:val="24"/>
              </w:rPr>
            </w:pPr>
          </w:p>
        </w:tc>
        <w:tc>
          <w:tcPr>
            <w:tcW w:w="993" w:type="dxa"/>
            <w:vAlign w:val="center"/>
          </w:tcPr>
          <w:p>
            <w:pPr>
              <w:jc w:val="center"/>
              <w:rPr>
                <w:rFonts w:ascii="宋体" w:hAnsi="宋体" w:cs="宋体"/>
                <w:sz w:val="24"/>
                <w:szCs w:val="24"/>
              </w:rPr>
            </w:pPr>
          </w:p>
        </w:tc>
        <w:tc>
          <w:tcPr>
            <w:tcW w:w="990" w:type="dxa"/>
            <w:vAlign w:val="center"/>
          </w:tcPr>
          <w:p>
            <w:pPr>
              <w:jc w:val="center"/>
              <w:rPr>
                <w:rFonts w:ascii="宋体" w:hAnsi="宋体" w:cs="宋体"/>
                <w:sz w:val="24"/>
                <w:szCs w:val="24"/>
              </w:rPr>
            </w:pPr>
          </w:p>
        </w:tc>
        <w:tc>
          <w:tcPr>
            <w:tcW w:w="1020" w:type="dxa"/>
            <w:vAlign w:val="center"/>
          </w:tcPr>
          <w:p>
            <w:pPr>
              <w:jc w:val="center"/>
              <w:rPr>
                <w:rFonts w:ascii="宋体" w:hAnsi="宋体" w:cs="宋体"/>
                <w:sz w:val="24"/>
                <w:szCs w:val="24"/>
              </w:rPr>
            </w:pPr>
          </w:p>
        </w:tc>
        <w:tc>
          <w:tcPr>
            <w:tcW w:w="1215" w:type="dxa"/>
            <w:vAlign w:val="center"/>
          </w:tcPr>
          <w:p>
            <w:pPr>
              <w:jc w:val="center"/>
              <w:rPr>
                <w:rFonts w:ascii="宋体" w:hAnsi="宋体" w:cs="宋体"/>
                <w:sz w:val="24"/>
                <w:szCs w:val="24"/>
              </w:rPr>
            </w:pPr>
          </w:p>
        </w:tc>
        <w:tc>
          <w:tcPr>
            <w:tcW w:w="1736" w:type="dxa"/>
            <w:vAlign w:val="center"/>
          </w:tcPr>
          <w:p>
            <w:pPr>
              <w:jc w:val="center"/>
              <w:rPr>
                <w:rFonts w:ascii="宋体" w:hAnsi="宋体" w:cs="宋体"/>
                <w:sz w:val="24"/>
                <w:szCs w:val="24"/>
              </w:rPr>
            </w:pPr>
          </w:p>
        </w:tc>
        <w:tc>
          <w:tcPr>
            <w:tcW w:w="85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vAlign w:val="center"/>
          </w:tcPr>
          <w:p>
            <w:pPr>
              <w:jc w:val="center"/>
              <w:rPr>
                <w:rFonts w:ascii="宋体" w:hAnsi="宋体" w:cs="宋体"/>
                <w:sz w:val="24"/>
                <w:szCs w:val="24"/>
              </w:rPr>
            </w:pPr>
            <w:r>
              <w:rPr>
                <w:rFonts w:hint="eastAsia" w:ascii="宋体" w:hAnsi="宋体" w:cs="宋体"/>
                <w:sz w:val="24"/>
                <w:szCs w:val="24"/>
              </w:rPr>
              <w:t>…</w:t>
            </w:r>
          </w:p>
        </w:tc>
        <w:tc>
          <w:tcPr>
            <w:tcW w:w="1417" w:type="dxa"/>
            <w:vAlign w:val="center"/>
          </w:tcPr>
          <w:p>
            <w:pPr>
              <w:jc w:val="center"/>
              <w:rPr>
                <w:rFonts w:ascii="宋体" w:hAnsi="宋体" w:cs="宋体"/>
                <w:sz w:val="24"/>
                <w:szCs w:val="24"/>
              </w:rPr>
            </w:pPr>
          </w:p>
        </w:tc>
        <w:tc>
          <w:tcPr>
            <w:tcW w:w="992" w:type="dxa"/>
            <w:vAlign w:val="center"/>
          </w:tcPr>
          <w:p>
            <w:pPr>
              <w:jc w:val="center"/>
              <w:rPr>
                <w:rFonts w:ascii="宋体" w:hAnsi="宋体" w:cs="宋体"/>
                <w:sz w:val="24"/>
                <w:szCs w:val="24"/>
              </w:rPr>
            </w:pPr>
          </w:p>
        </w:tc>
        <w:tc>
          <w:tcPr>
            <w:tcW w:w="993" w:type="dxa"/>
            <w:vAlign w:val="center"/>
          </w:tcPr>
          <w:p>
            <w:pPr>
              <w:jc w:val="center"/>
              <w:rPr>
                <w:rFonts w:ascii="宋体" w:hAnsi="宋体" w:cs="宋体"/>
                <w:sz w:val="24"/>
                <w:szCs w:val="24"/>
              </w:rPr>
            </w:pPr>
          </w:p>
        </w:tc>
        <w:tc>
          <w:tcPr>
            <w:tcW w:w="990" w:type="dxa"/>
            <w:vAlign w:val="center"/>
          </w:tcPr>
          <w:p>
            <w:pPr>
              <w:jc w:val="center"/>
              <w:rPr>
                <w:rFonts w:ascii="宋体" w:hAnsi="宋体" w:cs="宋体"/>
                <w:sz w:val="24"/>
                <w:szCs w:val="24"/>
              </w:rPr>
            </w:pPr>
          </w:p>
        </w:tc>
        <w:tc>
          <w:tcPr>
            <w:tcW w:w="1020" w:type="dxa"/>
            <w:vAlign w:val="center"/>
          </w:tcPr>
          <w:p>
            <w:pPr>
              <w:jc w:val="center"/>
              <w:rPr>
                <w:rFonts w:ascii="宋体" w:hAnsi="宋体" w:cs="宋体"/>
                <w:sz w:val="24"/>
                <w:szCs w:val="24"/>
              </w:rPr>
            </w:pPr>
          </w:p>
        </w:tc>
        <w:tc>
          <w:tcPr>
            <w:tcW w:w="1215" w:type="dxa"/>
            <w:vAlign w:val="center"/>
          </w:tcPr>
          <w:p>
            <w:pPr>
              <w:jc w:val="center"/>
              <w:rPr>
                <w:rFonts w:ascii="宋体" w:hAnsi="宋体" w:cs="宋体"/>
                <w:sz w:val="24"/>
                <w:szCs w:val="24"/>
              </w:rPr>
            </w:pPr>
          </w:p>
        </w:tc>
        <w:tc>
          <w:tcPr>
            <w:tcW w:w="1736" w:type="dxa"/>
            <w:vAlign w:val="center"/>
          </w:tcPr>
          <w:p>
            <w:pPr>
              <w:jc w:val="center"/>
              <w:rPr>
                <w:rFonts w:ascii="宋体" w:hAnsi="宋体" w:cs="宋体"/>
                <w:sz w:val="24"/>
                <w:szCs w:val="24"/>
              </w:rPr>
            </w:pPr>
          </w:p>
        </w:tc>
        <w:tc>
          <w:tcPr>
            <w:tcW w:w="85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vAlign w:val="center"/>
          </w:tcPr>
          <w:p>
            <w:pPr>
              <w:jc w:val="center"/>
              <w:rPr>
                <w:rFonts w:ascii="宋体" w:hAnsi="宋体" w:cs="宋体"/>
                <w:sz w:val="24"/>
                <w:szCs w:val="24"/>
              </w:rPr>
            </w:pPr>
          </w:p>
        </w:tc>
        <w:tc>
          <w:tcPr>
            <w:tcW w:w="1417" w:type="dxa"/>
            <w:vAlign w:val="center"/>
          </w:tcPr>
          <w:p>
            <w:pPr>
              <w:jc w:val="center"/>
              <w:rPr>
                <w:rFonts w:ascii="宋体" w:hAnsi="宋体" w:cs="宋体"/>
                <w:sz w:val="24"/>
                <w:szCs w:val="24"/>
              </w:rPr>
            </w:pPr>
          </w:p>
        </w:tc>
        <w:tc>
          <w:tcPr>
            <w:tcW w:w="992" w:type="dxa"/>
            <w:vAlign w:val="center"/>
          </w:tcPr>
          <w:p>
            <w:pPr>
              <w:jc w:val="center"/>
              <w:rPr>
                <w:rFonts w:ascii="宋体" w:hAnsi="宋体" w:cs="宋体"/>
                <w:sz w:val="24"/>
                <w:szCs w:val="24"/>
              </w:rPr>
            </w:pPr>
          </w:p>
        </w:tc>
        <w:tc>
          <w:tcPr>
            <w:tcW w:w="993" w:type="dxa"/>
            <w:vAlign w:val="center"/>
          </w:tcPr>
          <w:p>
            <w:pPr>
              <w:jc w:val="center"/>
              <w:rPr>
                <w:rFonts w:ascii="宋体" w:hAnsi="宋体" w:cs="宋体"/>
                <w:sz w:val="24"/>
                <w:szCs w:val="24"/>
              </w:rPr>
            </w:pPr>
          </w:p>
        </w:tc>
        <w:tc>
          <w:tcPr>
            <w:tcW w:w="990" w:type="dxa"/>
            <w:vAlign w:val="center"/>
          </w:tcPr>
          <w:p>
            <w:pPr>
              <w:jc w:val="center"/>
              <w:rPr>
                <w:rFonts w:ascii="宋体" w:hAnsi="宋体" w:cs="宋体"/>
                <w:sz w:val="24"/>
                <w:szCs w:val="24"/>
              </w:rPr>
            </w:pPr>
          </w:p>
        </w:tc>
        <w:tc>
          <w:tcPr>
            <w:tcW w:w="1020" w:type="dxa"/>
            <w:vAlign w:val="center"/>
          </w:tcPr>
          <w:p>
            <w:pPr>
              <w:jc w:val="center"/>
              <w:rPr>
                <w:rFonts w:ascii="宋体" w:hAnsi="宋体" w:cs="宋体"/>
                <w:sz w:val="24"/>
                <w:szCs w:val="24"/>
              </w:rPr>
            </w:pPr>
          </w:p>
        </w:tc>
        <w:tc>
          <w:tcPr>
            <w:tcW w:w="1215" w:type="dxa"/>
            <w:vAlign w:val="center"/>
          </w:tcPr>
          <w:p>
            <w:pPr>
              <w:jc w:val="center"/>
              <w:rPr>
                <w:rFonts w:ascii="宋体" w:hAnsi="宋体" w:cs="宋体"/>
                <w:sz w:val="24"/>
                <w:szCs w:val="24"/>
              </w:rPr>
            </w:pPr>
          </w:p>
        </w:tc>
        <w:tc>
          <w:tcPr>
            <w:tcW w:w="1736" w:type="dxa"/>
            <w:vAlign w:val="center"/>
          </w:tcPr>
          <w:p>
            <w:pPr>
              <w:jc w:val="center"/>
              <w:rPr>
                <w:rFonts w:ascii="宋体" w:hAnsi="宋体" w:cs="宋体"/>
                <w:sz w:val="24"/>
                <w:szCs w:val="24"/>
              </w:rPr>
            </w:pPr>
          </w:p>
        </w:tc>
        <w:tc>
          <w:tcPr>
            <w:tcW w:w="85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vAlign w:val="center"/>
          </w:tcPr>
          <w:p>
            <w:pPr>
              <w:jc w:val="center"/>
              <w:rPr>
                <w:rFonts w:ascii="宋体" w:hAnsi="宋体" w:cs="宋体"/>
                <w:sz w:val="24"/>
                <w:szCs w:val="24"/>
              </w:rPr>
            </w:pPr>
          </w:p>
        </w:tc>
        <w:tc>
          <w:tcPr>
            <w:tcW w:w="1417" w:type="dxa"/>
            <w:vAlign w:val="center"/>
          </w:tcPr>
          <w:p>
            <w:pPr>
              <w:jc w:val="center"/>
              <w:rPr>
                <w:rFonts w:ascii="宋体" w:hAnsi="宋体" w:cs="宋体"/>
                <w:sz w:val="24"/>
                <w:szCs w:val="24"/>
              </w:rPr>
            </w:pPr>
          </w:p>
        </w:tc>
        <w:tc>
          <w:tcPr>
            <w:tcW w:w="992" w:type="dxa"/>
            <w:vAlign w:val="center"/>
          </w:tcPr>
          <w:p>
            <w:pPr>
              <w:jc w:val="center"/>
              <w:rPr>
                <w:rFonts w:ascii="宋体" w:hAnsi="宋体" w:cs="宋体"/>
                <w:sz w:val="24"/>
                <w:szCs w:val="24"/>
              </w:rPr>
            </w:pPr>
          </w:p>
        </w:tc>
        <w:tc>
          <w:tcPr>
            <w:tcW w:w="993" w:type="dxa"/>
            <w:vAlign w:val="center"/>
          </w:tcPr>
          <w:p>
            <w:pPr>
              <w:jc w:val="center"/>
              <w:rPr>
                <w:rFonts w:ascii="宋体" w:hAnsi="宋体" w:cs="宋体"/>
                <w:sz w:val="24"/>
                <w:szCs w:val="24"/>
              </w:rPr>
            </w:pPr>
          </w:p>
        </w:tc>
        <w:tc>
          <w:tcPr>
            <w:tcW w:w="990" w:type="dxa"/>
            <w:vAlign w:val="center"/>
          </w:tcPr>
          <w:p>
            <w:pPr>
              <w:jc w:val="center"/>
              <w:rPr>
                <w:rFonts w:ascii="宋体" w:hAnsi="宋体" w:cs="宋体"/>
                <w:sz w:val="24"/>
                <w:szCs w:val="24"/>
              </w:rPr>
            </w:pPr>
          </w:p>
        </w:tc>
        <w:tc>
          <w:tcPr>
            <w:tcW w:w="1020" w:type="dxa"/>
            <w:vAlign w:val="center"/>
          </w:tcPr>
          <w:p>
            <w:pPr>
              <w:jc w:val="center"/>
              <w:rPr>
                <w:rFonts w:ascii="宋体" w:hAnsi="宋体" w:cs="宋体"/>
                <w:sz w:val="24"/>
                <w:szCs w:val="24"/>
              </w:rPr>
            </w:pPr>
          </w:p>
        </w:tc>
        <w:tc>
          <w:tcPr>
            <w:tcW w:w="1215" w:type="dxa"/>
            <w:vAlign w:val="center"/>
          </w:tcPr>
          <w:p>
            <w:pPr>
              <w:jc w:val="center"/>
              <w:rPr>
                <w:rFonts w:ascii="宋体" w:hAnsi="宋体" w:cs="宋体"/>
                <w:sz w:val="24"/>
                <w:szCs w:val="24"/>
              </w:rPr>
            </w:pPr>
          </w:p>
        </w:tc>
        <w:tc>
          <w:tcPr>
            <w:tcW w:w="1736" w:type="dxa"/>
            <w:vAlign w:val="center"/>
          </w:tcPr>
          <w:p>
            <w:pPr>
              <w:jc w:val="center"/>
              <w:rPr>
                <w:rFonts w:ascii="宋体" w:hAnsi="宋体" w:cs="宋体"/>
                <w:sz w:val="24"/>
                <w:szCs w:val="24"/>
              </w:rPr>
            </w:pPr>
          </w:p>
        </w:tc>
        <w:tc>
          <w:tcPr>
            <w:tcW w:w="85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vAlign w:val="center"/>
          </w:tcPr>
          <w:p>
            <w:pPr>
              <w:jc w:val="center"/>
              <w:rPr>
                <w:rFonts w:ascii="宋体" w:hAnsi="宋体" w:cs="宋体"/>
                <w:sz w:val="24"/>
                <w:szCs w:val="24"/>
              </w:rPr>
            </w:pPr>
          </w:p>
        </w:tc>
        <w:tc>
          <w:tcPr>
            <w:tcW w:w="1417" w:type="dxa"/>
            <w:vAlign w:val="center"/>
          </w:tcPr>
          <w:p>
            <w:pPr>
              <w:jc w:val="center"/>
              <w:rPr>
                <w:rFonts w:ascii="宋体" w:hAnsi="宋体" w:cs="宋体"/>
                <w:sz w:val="24"/>
                <w:szCs w:val="24"/>
              </w:rPr>
            </w:pPr>
          </w:p>
        </w:tc>
        <w:tc>
          <w:tcPr>
            <w:tcW w:w="992" w:type="dxa"/>
            <w:vAlign w:val="center"/>
          </w:tcPr>
          <w:p>
            <w:pPr>
              <w:jc w:val="center"/>
              <w:rPr>
                <w:rFonts w:ascii="宋体" w:hAnsi="宋体" w:cs="宋体"/>
                <w:sz w:val="24"/>
                <w:szCs w:val="24"/>
              </w:rPr>
            </w:pPr>
          </w:p>
        </w:tc>
        <w:tc>
          <w:tcPr>
            <w:tcW w:w="993" w:type="dxa"/>
            <w:vAlign w:val="center"/>
          </w:tcPr>
          <w:p>
            <w:pPr>
              <w:jc w:val="center"/>
              <w:rPr>
                <w:rFonts w:ascii="宋体" w:hAnsi="宋体" w:cs="宋体"/>
                <w:sz w:val="24"/>
                <w:szCs w:val="24"/>
              </w:rPr>
            </w:pPr>
          </w:p>
        </w:tc>
        <w:tc>
          <w:tcPr>
            <w:tcW w:w="990" w:type="dxa"/>
            <w:vAlign w:val="center"/>
          </w:tcPr>
          <w:p>
            <w:pPr>
              <w:jc w:val="center"/>
              <w:rPr>
                <w:rFonts w:ascii="宋体" w:hAnsi="宋体" w:cs="宋体"/>
                <w:sz w:val="24"/>
                <w:szCs w:val="24"/>
              </w:rPr>
            </w:pPr>
          </w:p>
        </w:tc>
        <w:tc>
          <w:tcPr>
            <w:tcW w:w="1020" w:type="dxa"/>
            <w:vAlign w:val="center"/>
          </w:tcPr>
          <w:p>
            <w:pPr>
              <w:jc w:val="center"/>
              <w:rPr>
                <w:rFonts w:ascii="宋体" w:hAnsi="宋体" w:cs="宋体"/>
                <w:sz w:val="24"/>
                <w:szCs w:val="24"/>
              </w:rPr>
            </w:pPr>
          </w:p>
        </w:tc>
        <w:tc>
          <w:tcPr>
            <w:tcW w:w="1215" w:type="dxa"/>
            <w:vAlign w:val="center"/>
          </w:tcPr>
          <w:p>
            <w:pPr>
              <w:jc w:val="center"/>
              <w:rPr>
                <w:rFonts w:ascii="宋体" w:hAnsi="宋体" w:cs="宋体"/>
                <w:sz w:val="24"/>
                <w:szCs w:val="24"/>
              </w:rPr>
            </w:pPr>
          </w:p>
        </w:tc>
        <w:tc>
          <w:tcPr>
            <w:tcW w:w="1736" w:type="dxa"/>
            <w:vAlign w:val="center"/>
          </w:tcPr>
          <w:p>
            <w:pPr>
              <w:jc w:val="center"/>
              <w:rPr>
                <w:rFonts w:ascii="宋体" w:hAnsi="宋体" w:cs="宋体"/>
                <w:sz w:val="24"/>
                <w:szCs w:val="24"/>
              </w:rPr>
            </w:pPr>
          </w:p>
        </w:tc>
        <w:tc>
          <w:tcPr>
            <w:tcW w:w="85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vAlign w:val="center"/>
          </w:tcPr>
          <w:p>
            <w:pPr>
              <w:jc w:val="center"/>
              <w:rPr>
                <w:rFonts w:ascii="宋体" w:hAnsi="宋体" w:cs="宋体"/>
                <w:sz w:val="24"/>
                <w:szCs w:val="24"/>
              </w:rPr>
            </w:pPr>
          </w:p>
        </w:tc>
        <w:tc>
          <w:tcPr>
            <w:tcW w:w="1417" w:type="dxa"/>
            <w:vAlign w:val="center"/>
          </w:tcPr>
          <w:p>
            <w:pPr>
              <w:jc w:val="center"/>
              <w:rPr>
                <w:rFonts w:ascii="宋体" w:hAnsi="宋体" w:cs="宋体"/>
                <w:sz w:val="24"/>
                <w:szCs w:val="24"/>
              </w:rPr>
            </w:pPr>
          </w:p>
        </w:tc>
        <w:tc>
          <w:tcPr>
            <w:tcW w:w="992" w:type="dxa"/>
            <w:vAlign w:val="center"/>
          </w:tcPr>
          <w:p>
            <w:pPr>
              <w:jc w:val="center"/>
              <w:rPr>
                <w:rFonts w:ascii="宋体" w:hAnsi="宋体" w:cs="宋体"/>
                <w:sz w:val="24"/>
                <w:szCs w:val="24"/>
              </w:rPr>
            </w:pPr>
          </w:p>
        </w:tc>
        <w:tc>
          <w:tcPr>
            <w:tcW w:w="993" w:type="dxa"/>
            <w:vAlign w:val="center"/>
          </w:tcPr>
          <w:p>
            <w:pPr>
              <w:jc w:val="center"/>
              <w:rPr>
                <w:rFonts w:ascii="宋体" w:hAnsi="宋体" w:cs="宋体"/>
                <w:sz w:val="24"/>
                <w:szCs w:val="24"/>
              </w:rPr>
            </w:pPr>
          </w:p>
        </w:tc>
        <w:tc>
          <w:tcPr>
            <w:tcW w:w="990" w:type="dxa"/>
            <w:vAlign w:val="center"/>
          </w:tcPr>
          <w:p>
            <w:pPr>
              <w:jc w:val="center"/>
              <w:rPr>
                <w:rFonts w:ascii="宋体" w:hAnsi="宋体" w:cs="宋体"/>
                <w:sz w:val="24"/>
                <w:szCs w:val="24"/>
              </w:rPr>
            </w:pPr>
          </w:p>
        </w:tc>
        <w:tc>
          <w:tcPr>
            <w:tcW w:w="1020" w:type="dxa"/>
            <w:vAlign w:val="center"/>
          </w:tcPr>
          <w:p>
            <w:pPr>
              <w:jc w:val="center"/>
              <w:rPr>
                <w:rFonts w:ascii="宋体" w:hAnsi="宋体" w:cs="宋体"/>
                <w:sz w:val="24"/>
                <w:szCs w:val="24"/>
              </w:rPr>
            </w:pPr>
          </w:p>
        </w:tc>
        <w:tc>
          <w:tcPr>
            <w:tcW w:w="1215" w:type="dxa"/>
            <w:vAlign w:val="center"/>
          </w:tcPr>
          <w:p>
            <w:pPr>
              <w:jc w:val="center"/>
              <w:rPr>
                <w:rFonts w:ascii="宋体" w:hAnsi="宋体" w:cs="宋体"/>
                <w:sz w:val="24"/>
                <w:szCs w:val="24"/>
              </w:rPr>
            </w:pPr>
          </w:p>
        </w:tc>
        <w:tc>
          <w:tcPr>
            <w:tcW w:w="1736" w:type="dxa"/>
            <w:vAlign w:val="center"/>
          </w:tcPr>
          <w:p>
            <w:pPr>
              <w:jc w:val="center"/>
              <w:rPr>
                <w:rFonts w:ascii="宋体" w:hAnsi="宋体" w:cs="宋体"/>
                <w:sz w:val="24"/>
                <w:szCs w:val="24"/>
              </w:rPr>
            </w:pPr>
          </w:p>
        </w:tc>
        <w:tc>
          <w:tcPr>
            <w:tcW w:w="85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vAlign w:val="center"/>
          </w:tcPr>
          <w:p>
            <w:pPr>
              <w:jc w:val="center"/>
              <w:rPr>
                <w:rFonts w:ascii="宋体" w:hAnsi="宋体" w:cs="宋体"/>
                <w:sz w:val="24"/>
                <w:szCs w:val="24"/>
              </w:rPr>
            </w:pPr>
          </w:p>
        </w:tc>
        <w:tc>
          <w:tcPr>
            <w:tcW w:w="1417" w:type="dxa"/>
            <w:vAlign w:val="center"/>
          </w:tcPr>
          <w:p>
            <w:pPr>
              <w:jc w:val="center"/>
              <w:rPr>
                <w:rFonts w:ascii="宋体" w:hAnsi="宋体" w:cs="宋体"/>
                <w:sz w:val="24"/>
                <w:szCs w:val="24"/>
              </w:rPr>
            </w:pPr>
          </w:p>
        </w:tc>
        <w:tc>
          <w:tcPr>
            <w:tcW w:w="992" w:type="dxa"/>
            <w:vAlign w:val="center"/>
          </w:tcPr>
          <w:p>
            <w:pPr>
              <w:jc w:val="center"/>
              <w:rPr>
                <w:rFonts w:ascii="宋体" w:hAnsi="宋体" w:cs="宋体"/>
                <w:sz w:val="24"/>
                <w:szCs w:val="24"/>
              </w:rPr>
            </w:pPr>
          </w:p>
        </w:tc>
        <w:tc>
          <w:tcPr>
            <w:tcW w:w="993" w:type="dxa"/>
            <w:vAlign w:val="center"/>
          </w:tcPr>
          <w:p>
            <w:pPr>
              <w:jc w:val="center"/>
              <w:rPr>
                <w:rFonts w:ascii="宋体" w:hAnsi="宋体" w:cs="宋体"/>
                <w:sz w:val="24"/>
                <w:szCs w:val="24"/>
              </w:rPr>
            </w:pPr>
          </w:p>
        </w:tc>
        <w:tc>
          <w:tcPr>
            <w:tcW w:w="990" w:type="dxa"/>
            <w:vAlign w:val="center"/>
          </w:tcPr>
          <w:p>
            <w:pPr>
              <w:jc w:val="center"/>
              <w:rPr>
                <w:rFonts w:ascii="宋体" w:hAnsi="宋体" w:cs="宋体"/>
                <w:sz w:val="24"/>
                <w:szCs w:val="24"/>
              </w:rPr>
            </w:pPr>
          </w:p>
        </w:tc>
        <w:tc>
          <w:tcPr>
            <w:tcW w:w="1020" w:type="dxa"/>
            <w:vAlign w:val="center"/>
          </w:tcPr>
          <w:p>
            <w:pPr>
              <w:jc w:val="center"/>
              <w:rPr>
                <w:rFonts w:ascii="宋体" w:hAnsi="宋体" w:cs="宋体"/>
                <w:sz w:val="24"/>
                <w:szCs w:val="24"/>
              </w:rPr>
            </w:pPr>
          </w:p>
        </w:tc>
        <w:tc>
          <w:tcPr>
            <w:tcW w:w="1215" w:type="dxa"/>
            <w:vAlign w:val="center"/>
          </w:tcPr>
          <w:p>
            <w:pPr>
              <w:jc w:val="center"/>
              <w:rPr>
                <w:rFonts w:ascii="宋体" w:hAnsi="宋体" w:cs="宋体"/>
                <w:sz w:val="24"/>
                <w:szCs w:val="24"/>
              </w:rPr>
            </w:pPr>
          </w:p>
        </w:tc>
        <w:tc>
          <w:tcPr>
            <w:tcW w:w="1736" w:type="dxa"/>
            <w:vAlign w:val="center"/>
          </w:tcPr>
          <w:p>
            <w:pPr>
              <w:jc w:val="center"/>
              <w:rPr>
                <w:rFonts w:ascii="宋体" w:hAnsi="宋体" w:cs="宋体"/>
                <w:sz w:val="24"/>
                <w:szCs w:val="24"/>
              </w:rPr>
            </w:pPr>
          </w:p>
        </w:tc>
        <w:tc>
          <w:tcPr>
            <w:tcW w:w="85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34" w:type="dxa"/>
            <w:vAlign w:val="center"/>
          </w:tcPr>
          <w:p>
            <w:pPr>
              <w:jc w:val="center"/>
              <w:rPr>
                <w:rFonts w:ascii="宋体" w:hAnsi="宋体" w:cs="宋体"/>
                <w:sz w:val="24"/>
                <w:szCs w:val="24"/>
              </w:rPr>
            </w:pPr>
          </w:p>
        </w:tc>
        <w:tc>
          <w:tcPr>
            <w:tcW w:w="1417" w:type="dxa"/>
            <w:vAlign w:val="center"/>
          </w:tcPr>
          <w:p>
            <w:pPr>
              <w:jc w:val="center"/>
              <w:rPr>
                <w:rFonts w:ascii="宋体" w:hAnsi="宋体" w:cs="宋体"/>
                <w:sz w:val="24"/>
                <w:szCs w:val="24"/>
              </w:rPr>
            </w:pPr>
          </w:p>
        </w:tc>
        <w:tc>
          <w:tcPr>
            <w:tcW w:w="992" w:type="dxa"/>
            <w:vAlign w:val="center"/>
          </w:tcPr>
          <w:p>
            <w:pPr>
              <w:jc w:val="center"/>
              <w:rPr>
                <w:rFonts w:ascii="宋体" w:hAnsi="宋体" w:cs="宋体"/>
                <w:sz w:val="24"/>
                <w:szCs w:val="24"/>
              </w:rPr>
            </w:pPr>
          </w:p>
        </w:tc>
        <w:tc>
          <w:tcPr>
            <w:tcW w:w="993" w:type="dxa"/>
            <w:vAlign w:val="center"/>
          </w:tcPr>
          <w:p>
            <w:pPr>
              <w:jc w:val="center"/>
              <w:rPr>
                <w:rFonts w:ascii="宋体" w:hAnsi="宋体" w:cs="宋体"/>
                <w:sz w:val="24"/>
                <w:szCs w:val="24"/>
              </w:rPr>
            </w:pPr>
          </w:p>
        </w:tc>
        <w:tc>
          <w:tcPr>
            <w:tcW w:w="990" w:type="dxa"/>
            <w:vAlign w:val="center"/>
          </w:tcPr>
          <w:p>
            <w:pPr>
              <w:jc w:val="center"/>
              <w:rPr>
                <w:rFonts w:ascii="宋体" w:hAnsi="宋体" w:cs="宋体"/>
                <w:sz w:val="24"/>
                <w:szCs w:val="24"/>
              </w:rPr>
            </w:pPr>
          </w:p>
        </w:tc>
        <w:tc>
          <w:tcPr>
            <w:tcW w:w="1020" w:type="dxa"/>
            <w:vAlign w:val="center"/>
          </w:tcPr>
          <w:p>
            <w:pPr>
              <w:jc w:val="center"/>
              <w:rPr>
                <w:rFonts w:ascii="宋体" w:hAnsi="宋体" w:cs="宋体"/>
                <w:sz w:val="24"/>
                <w:szCs w:val="24"/>
              </w:rPr>
            </w:pPr>
          </w:p>
        </w:tc>
        <w:tc>
          <w:tcPr>
            <w:tcW w:w="1215" w:type="dxa"/>
            <w:vAlign w:val="center"/>
          </w:tcPr>
          <w:p>
            <w:pPr>
              <w:jc w:val="center"/>
              <w:rPr>
                <w:rFonts w:ascii="宋体" w:hAnsi="宋体" w:cs="宋体"/>
                <w:sz w:val="24"/>
                <w:szCs w:val="24"/>
              </w:rPr>
            </w:pPr>
          </w:p>
        </w:tc>
        <w:tc>
          <w:tcPr>
            <w:tcW w:w="1736" w:type="dxa"/>
            <w:vAlign w:val="center"/>
          </w:tcPr>
          <w:p>
            <w:pPr>
              <w:jc w:val="center"/>
              <w:rPr>
                <w:rFonts w:ascii="宋体" w:hAnsi="宋体" w:cs="宋体"/>
                <w:sz w:val="24"/>
                <w:szCs w:val="24"/>
              </w:rPr>
            </w:pPr>
          </w:p>
        </w:tc>
        <w:tc>
          <w:tcPr>
            <w:tcW w:w="850" w:type="dxa"/>
            <w:vAlign w:val="center"/>
          </w:tcPr>
          <w:p>
            <w:pPr>
              <w:jc w:val="center"/>
              <w:rPr>
                <w:rFonts w:ascii="宋体" w:hAnsi="宋体" w:cs="宋体"/>
                <w:sz w:val="24"/>
                <w:szCs w:val="24"/>
              </w:rPr>
            </w:pPr>
          </w:p>
        </w:tc>
      </w:tr>
    </w:tbl>
    <w:p>
      <w:pPr>
        <w:pStyle w:val="2"/>
        <w:adjustRightInd w:val="0"/>
        <w:snapToGrid w:val="0"/>
        <w:spacing w:line="360" w:lineRule="auto"/>
        <w:ind w:right="-30" w:firstLine="0" w:firstLineChars="0"/>
        <w:rPr>
          <w:rFonts w:ascii="宋体" w:hAnsi="宋体" w:eastAsia="宋体" w:cs="宋体"/>
          <w:bCs/>
          <w:sz w:val="24"/>
          <w:szCs w:val="24"/>
        </w:rPr>
      </w:pPr>
      <w:r>
        <w:rPr>
          <w:rFonts w:hint="eastAsia" w:ascii="宋体" w:hAnsi="宋体" w:eastAsia="宋体" w:cs="宋体"/>
          <w:bCs/>
          <w:sz w:val="24"/>
          <w:szCs w:val="24"/>
        </w:rPr>
        <w:t>注：所有人员为投标人的正式员工，需提供相关资格证件和自投标截止日前在公司连续缴纳满半年或以上的社保证明(社保证明需能反映参保人在该投标单位缴纳社保，退休人员提供退休证明及该投标单位的返聘证明)，否则视为非投入人员，且不计算得分。</w:t>
      </w:r>
    </w:p>
    <w:p>
      <w:pPr>
        <w:pStyle w:val="2"/>
        <w:adjustRightInd w:val="0"/>
        <w:snapToGrid w:val="0"/>
        <w:spacing w:line="360" w:lineRule="auto"/>
        <w:ind w:firstLine="0" w:firstLineChars="0"/>
        <w:rPr>
          <w:rFonts w:hAnsi="宋体"/>
          <w:b/>
          <w:bCs/>
        </w:rPr>
      </w:pPr>
    </w:p>
    <w:p>
      <w:pPr>
        <w:tabs>
          <w:tab w:val="left" w:pos="13320"/>
        </w:tabs>
        <w:snapToGrid w:val="0"/>
        <w:spacing w:line="360" w:lineRule="auto"/>
        <w:ind w:left="720" w:hanging="720" w:hangingChars="300"/>
        <w:rPr>
          <w:rFonts w:ascii="宋体"/>
          <w:sz w:val="24"/>
          <w:szCs w:val="24"/>
        </w:rPr>
      </w:pPr>
    </w:p>
    <w:p>
      <w:pPr>
        <w:tabs>
          <w:tab w:val="left" w:pos="13320"/>
        </w:tabs>
        <w:snapToGrid w:val="0"/>
        <w:spacing w:line="360" w:lineRule="auto"/>
        <w:ind w:left="720" w:hanging="720" w:hangingChars="300"/>
        <w:rPr>
          <w:rFonts w:ascii="宋体"/>
          <w:sz w:val="24"/>
          <w:szCs w:val="24"/>
        </w:rPr>
      </w:pPr>
    </w:p>
    <w:p>
      <w:pPr>
        <w:tabs>
          <w:tab w:val="left" w:pos="13320"/>
        </w:tabs>
        <w:snapToGrid w:val="0"/>
        <w:spacing w:line="360" w:lineRule="auto"/>
        <w:ind w:left="720" w:hanging="720" w:hangingChars="300"/>
        <w:rPr>
          <w:rFonts w:ascii="宋体"/>
          <w:sz w:val="24"/>
          <w:szCs w:val="24"/>
        </w:rPr>
      </w:pPr>
      <w:r>
        <w:rPr>
          <w:rFonts w:ascii="宋体" w:hAnsi="宋体" w:cs="宋体"/>
          <w:sz w:val="24"/>
          <w:szCs w:val="24"/>
        </w:rPr>
        <w:t xml:space="preserve">                                 </w:t>
      </w:r>
      <w:r>
        <w:rPr>
          <w:rFonts w:hint="eastAsia" w:ascii="宋体" w:hAnsi="宋体" w:cs="宋体"/>
          <w:sz w:val="24"/>
          <w:szCs w:val="24"/>
        </w:rPr>
        <w:t>投标人（盖章）：</w:t>
      </w:r>
    </w:p>
    <w:p>
      <w:pPr>
        <w:tabs>
          <w:tab w:val="left" w:pos="13320"/>
        </w:tabs>
        <w:snapToGrid w:val="0"/>
        <w:spacing w:line="360" w:lineRule="auto"/>
        <w:rPr>
          <w:rFonts w:ascii="宋体"/>
          <w:sz w:val="24"/>
          <w:szCs w:val="24"/>
        </w:rPr>
      </w:pPr>
      <w:r>
        <w:rPr>
          <w:rFonts w:ascii="宋体" w:hAnsi="宋体" w:cs="宋体"/>
          <w:sz w:val="24"/>
          <w:szCs w:val="24"/>
        </w:rPr>
        <w:t xml:space="preserve">                                 </w:t>
      </w:r>
      <w:r>
        <w:rPr>
          <w:rFonts w:hint="eastAsia" w:ascii="宋体" w:hAnsi="宋体" w:cs="宋体"/>
          <w:sz w:val="24"/>
          <w:szCs w:val="24"/>
        </w:rPr>
        <w:t>法定代表人或授权代表（签字或盖章）：</w:t>
      </w:r>
    </w:p>
    <w:p>
      <w:pPr>
        <w:tabs>
          <w:tab w:val="left" w:pos="13320"/>
        </w:tabs>
        <w:snapToGrid w:val="0"/>
        <w:spacing w:line="360" w:lineRule="auto"/>
        <w:rPr>
          <w:rFonts w:ascii="宋体" w:hAnsi="宋体" w:cs="宋体"/>
          <w:sz w:val="24"/>
          <w:szCs w:val="24"/>
        </w:rPr>
      </w:pPr>
      <w:r>
        <w:rPr>
          <w:rFonts w:hAnsi="宋体"/>
          <w:sz w:val="24"/>
          <w:szCs w:val="24"/>
        </w:rPr>
        <w:t xml:space="preserve">                                </w:t>
      </w:r>
      <w:r>
        <w:rPr>
          <w:rFonts w:hAnsi="宋体" w:cs="宋体"/>
          <w:sz w:val="24"/>
          <w:szCs w:val="24"/>
        </w:rPr>
        <w:t xml:space="preserve"> </w:t>
      </w:r>
      <w:r>
        <w:rPr>
          <w:rFonts w:hint="eastAsia" w:ascii="宋体" w:hAnsi="宋体" w:cs="宋体"/>
          <w:sz w:val="24"/>
          <w:szCs w:val="24"/>
        </w:rPr>
        <w:t>日期：</w:t>
      </w:r>
      <w:r>
        <w:rPr>
          <w:rFonts w:ascii="宋体" w:hAnsi="宋体" w:cs="宋体"/>
          <w:sz w:val="24"/>
          <w:szCs w:val="24"/>
        </w:rPr>
        <w:t>_____</w:t>
      </w:r>
      <w:r>
        <w:rPr>
          <w:rFonts w:hint="eastAsia" w:ascii="宋体" w:hAnsi="宋体" w:cs="宋体"/>
          <w:sz w:val="24"/>
          <w:szCs w:val="24"/>
        </w:rPr>
        <w:t>年</w:t>
      </w:r>
      <w:r>
        <w:rPr>
          <w:rFonts w:ascii="宋体" w:hAnsi="宋体" w:cs="宋体"/>
          <w:sz w:val="24"/>
          <w:szCs w:val="24"/>
        </w:rPr>
        <w:t>___</w:t>
      </w:r>
      <w:r>
        <w:rPr>
          <w:rFonts w:hint="eastAsia" w:ascii="宋体" w:hAnsi="宋体" w:cs="宋体"/>
          <w:sz w:val="24"/>
          <w:szCs w:val="24"/>
        </w:rPr>
        <w:t>月</w:t>
      </w:r>
      <w:r>
        <w:rPr>
          <w:rFonts w:ascii="宋体" w:hAnsi="宋体" w:cs="宋体"/>
          <w:sz w:val="24"/>
          <w:szCs w:val="24"/>
        </w:rPr>
        <w:t>___</w:t>
      </w:r>
      <w:r>
        <w:rPr>
          <w:rFonts w:hint="eastAsia" w:ascii="宋体" w:hAnsi="宋体" w:cs="宋体"/>
          <w:sz w:val="24"/>
          <w:szCs w:val="24"/>
        </w:rPr>
        <w:t>日</w:t>
      </w:r>
    </w:p>
    <w:p>
      <w:pPr>
        <w:ind w:left="612" w:leftChars="200" w:right="672" w:rightChars="320" w:hanging="192" w:hangingChars="64"/>
        <w:jc w:val="center"/>
        <w:rPr>
          <w:rFonts w:ascii="宋体" w:hAnsi="宋体"/>
          <w:color w:val="000000"/>
          <w:sz w:val="30"/>
          <w:szCs w:val="30"/>
        </w:rPr>
      </w:pPr>
    </w:p>
    <w:p>
      <w:pPr>
        <w:ind w:left="612" w:leftChars="200" w:right="672" w:rightChars="320" w:hanging="192" w:hangingChars="64"/>
        <w:jc w:val="center"/>
        <w:rPr>
          <w:rFonts w:ascii="宋体" w:hAnsi="宋体"/>
          <w:color w:val="000000"/>
          <w:sz w:val="30"/>
          <w:szCs w:val="30"/>
        </w:rPr>
      </w:pPr>
    </w:p>
    <w:p>
      <w:pPr>
        <w:ind w:left="612" w:leftChars="200" w:hanging="192" w:hangingChars="64"/>
        <w:jc w:val="center"/>
        <w:rPr>
          <w:rFonts w:ascii="宋体" w:hAnsi="宋体"/>
          <w:color w:val="000000"/>
          <w:sz w:val="30"/>
          <w:szCs w:val="30"/>
        </w:rPr>
      </w:pPr>
    </w:p>
    <w:p>
      <w:pPr>
        <w:pStyle w:val="5"/>
        <w:jc w:val="center"/>
        <w:rPr>
          <w:rFonts w:ascii="宋体" w:hAnsi="宋体"/>
          <w:color w:val="000000"/>
          <w:sz w:val="30"/>
          <w:szCs w:val="30"/>
        </w:rPr>
      </w:pPr>
      <w:r>
        <w:rPr>
          <w:rFonts w:hint="eastAsia" w:ascii="宋体" w:hAnsi="宋体"/>
          <w:color w:val="000000"/>
          <w:sz w:val="30"/>
          <w:szCs w:val="30"/>
        </w:rPr>
        <w:br w:type="page"/>
      </w:r>
      <w:bookmarkStart w:id="153" w:name="_Toc43990394"/>
      <w:bookmarkStart w:id="154" w:name="_Toc43989747"/>
      <w:bookmarkStart w:id="155" w:name="_Toc43989945"/>
      <w:bookmarkStart w:id="156" w:name="_Toc517685236"/>
      <w:r>
        <w:rPr>
          <w:rFonts w:hint="eastAsia" w:ascii="宋体" w:hAnsi="宋体"/>
          <w:color w:val="000000"/>
          <w:kern w:val="2"/>
          <w:sz w:val="30"/>
          <w:szCs w:val="30"/>
        </w:rPr>
        <w:t>六、其他资料</w:t>
      </w:r>
      <w:bookmarkEnd w:id="153"/>
      <w:bookmarkEnd w:id="154"/>
      <w:bookmarkEnd w:id="155"/>
    </w:p>
    <w:p>
      <w:pPr>
        <w:rPr>
          <w:color w:val="000000"/>
        </w:rPr>
      </w:pPr>
      <w:r>
        <w:rPr>
          <w:rFonts w:hint="eastAsia" w:ascii="宋体" w:hAnsi="宋体"/>
          <w:color w:val="000000"/>
        </w:rPr>
        <w:t>其它投标认为需递交的资料。</w:t>
      </w:r>
      <w:bookmarkEnd w:id="156"/>
    </w:p>
    <w:sectPr>
      <w:pgSz w:w="11907" w:h="16840"/>
      <w:pgMar w:top="1134" w:right="1134" w:bottom="1134" w:left="1134"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42</w:t>
    </w:r>
    <w:r>
      <w:rPr>
        <w:lang w:val="zh-CN"/>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45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eastAsia="仿宋_GB2312"/>
        <w:b/>
        <w:bCs/>
        <w:sz w:val="32"/>
        <w:szCs w:val="3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3D404"/>
    <w:multiLevelType w:val="singleLevel"/>
    <w:tmpl w:val="9513D404"/>
    <w:lvl w:ilvl="0" w:tentative="0">
      <w:start w:val="1"/>
      <w:numFmt w:val="decimal"/>
      <w:suff w:val="nothing"/>
      <w:lvlText w:val="（%1）"/>
      <w:lvlJc w:val="left"/>
      <w:pPr>
        <w:ind w:left="-42"/>
      </w:pPr>
    </w:lvl>
  </w:abstractNum>
  <w:abstractNum w:abstractNumId="1">
    <w:nsid w:val="9A630B7A"/>
    <w:multiLevelType w:val="singleLevel"/>
    <w:tmpl w:val="9A630B7A"/>
    <w:lvl w:ilvl="0" w:tentative="0">
      <w:start w:val="1"/>
      <w:numFmt w:val="decimal"/>
      <w:suff w:val="nothing"/>
      <w:lvlText w:val="（%1）"/>
      <w:lvlJc w:val="left"/>
      <w:pPr>
        <w:ind w:left="-42"/>
      </w:pPr>
    </w:lvl>
  </w:abstractNum>
  <w:abstractNum w:abstractNumId="2">
    <w:nsid w:val="04A93991"/>
    <w:multiLevelType w:val="singleLevel"/>
    <w:tmpl w:val="04A93991"/>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MGJkODRkNjI4ZWIyNGM2Nzk2MjAyNjNiMjk0OTQifQ=="/>
  </w:docVars>
  <w:rsids>
    <w:rsidRoot w:val="00423383"/>
    <w:rsid w:val="00001FE3"/>
    <w:rsid w:val="000051AD"/>
    <w:rsid w:val="00005FB7"/>
    <w:rsid w:val="000116F2"/>
    <w:rsid w:val="00011BDF"/>
    <w:rsid w:val="00012591"/>
    <w:rsid w:val="00013F65"/>
    <w:rsid w:val="000146D8"/>
    <w:rsid w:val="000149A9"/>
    <w:rsid w:val="0001567B"/>
    <w:rsid w:val="00016294"/>
    <w:rsid w:val="00016967"/>
    <w:rsid w:val="00017EE9"/>
    <w:rsid w:val="00021B6F"/>
    <w:rsid w:val="000223D5"/>
    <w:rsid w:val="000248FC"/>
    <w:rsid w:val="00026952"/>
    <w:rsid w:val="0002766C"/>
    <w:rsid w:val="00027A57"/>
    <w:rsid w:val="00031029"/>
    <w:rsid w:val="00036E87"/>
    <w:rsid w:val="000376FE"/>
    <w:rsid w:val="000411B9"/>
    <w:rsid w:val="00044A37"/>
    <w:rsid w:val="000507D1"/>
    <w:rsid w:val="0005171B"/>
    <w:rsid w:val="000533C1"/>
    <w:rsid w:val="00055AA0"/>
    <w:rsid w:val="00061AA9"/>
    <w:rsid w:val="0006472A"/>
    <w:rsid w:val="00064ABC"/>
    <w:rsid w:val="00066AF0"/>
    <w:rsid w:val="00070C32"/>
    <w:rsid w:val="00072235"/>
    <w:rsid w:val="00077350"/>
    <w:rsid w:val="00080F70"/>
    <w:rsid w:val="00083156"/>
    <w:rsid w:val="00090002"/>
    <w:rsid w:val="00093FCB"/>
    <w:rsid w:val="000A2D97"/>
    <w:rsid w:val="000A3540"/>
    <w:rsid w:val="000A5913"/>
    <w:rsid w:val="000A70A4"/>
    <w:rsid w:val="000A7DA3"/>
    <w:rsid w:val="000B2736"/>
    <w:rsid w:val="000C0709"/>
    <w:rsid w:val="000C0C73"/>
    <w:rsid w:val="000C0F1E"/>
    <w:rsid w:val="000C221B"/>
    <w:rsid w:val="000C2359"/>
    <w:rsid w:val="000C65D9"/>
    <w:rsid w:val="000D0EB9"/>
    <w:rsid w:val="000D442E"/>
    <w:rsid w:val="000E651F"/>
    <w:rsid w:val="000F1F80"/>
    <w:rsid w:val="000F2C98"/>
    <w:rsid w:val="000F3A10"/>
    <w:rsid w:val="000F46A2"/>
    <w:rsid w:val="000F4BF5"/>
    <w:rsid w:val="00100268"/>
    <w:rsid w:val="001034EB"/>
    <w:rsid w:val="00111C3F"/>
    <w:rsid w:val="00116559"/>
    <w:rsid w:val="001167A7"/>
    <w:rsid w:val="0011796D"/>
    <w:rsid w:val="00121A56"/>
    <w:rsid w:val="00130E72"/>
    <w:rsid w:val="001422E3"/>
    <w:rsid w:val="00145110"/>
    <w:rsid w:val="00147C12"/>
    <w:rsid w:val="00153841"/>
    <w:rsid w:val="00154FBA"/>
    <w:rsid w:val="00155C00"/>
    <w:rsid w:val="001569AF"/>
    <w:rsid w:val="00160D50"/>
    <w:rsid w:val="001640FE"/>
    <w:rsid w:val="0016523A"/>
    <w:rsid w:val="00165628"/>
    <w:rsid w:val="0016715C"/>
    <w:rsid w:val="00172477"/>
    <w:rsid w:val="00173092"/>
    <w:rsid w:val="0017321F"/>
    <w:rsid w:val="00173539"/>
    <w:rsid w:val="00174987"/>
    <w:rsid w:val="00174B86"/>
    <w:rsid w:val="00181DC7"/>
    <w:rsid w:val="001828AC"/>
    <w:rsid w:val="00190C85"/>
    <w:rsid w:val="001921D7"/>
    <w:rsid w:val="0019571F"/>
    <w:rsid w:val="00195C88"/>
    <w:rsid w:val="00196BDE"/>
    <w:rsid w:val="001A0971"/>
    <w:rsid w:val="001A5F45"/>
    <w:rsid w:val="001B3D23"/>
    <w:rsid w:val="001B7A26"/>
    <w:rsid w:val="001C007A"/>
    <w:rsid w:val="001C00B9"/>
    <w:rsid w:val="001C5438"/>
    <w:rsid w:val="001C693E"/>
    <w:rsid w:val="001C6C59"/>
    <w:rsid w:val="001C7407"/>
    <w:rsid w:val="001D07C6"/>
    <w:rsid w:val="001D4DB6"/>
    <w:rsid w:val="001E7733"/>
    <w:rsid w:val="001E780B"/>
    <w:rsid w:val="001F0B5F"/>
    <w:rsid w:val="001F1689"/>
    <w:rsid w:val="001F2077"/>
    <w:rsid w:val="001F35CF"/>
    <w:rsid w:val="001F59B1"/>
    <w:rsid w:val="00214CFB"/>
    <w:rsid w:val="00214F84"/>
    <w:rsid w:val="00217EDC"/>
    <w:rsid w:val="0022030B"/>
    <w:rsid w:val="0022726E"/>
    <w:rsid w:val="00231D88"/>
    <w:rsid w:val="00233229"/>
    <w:rsid w:val="002332E1"/>
    <w:rsid w:val="0023430C"/>
    <w:rsid w:val="00236755"/>
    <w:rsid w:val="00237A8E"/>
    <w:rsid w:val="00240BE4"/>
    <w:rsid w:val="00241BF0"/>
    <w:rsid w:val="00244169"/>
    <w:rsid w:val="002520E2"/>
    <w:rsid w:val="00252630"/>
    <w:rsid w:val="00252653"/>
    <w:rsid w:val="00260D19"/>
    <w:rsid w:val="00262B10"/>
    <w:rsid w:val="00265744"/>
    <w:rsid w:val="00265858"/>
    <w:rsid w:val="00265F90"/>
    <w:rsid w:val="002708BF"/>
    <w:rsid w:val="002713D7"/>
    <w:rsid w:val="002718C9"/>
    <w:rsid w:val="00277101"/>
    <w:rsid w:val="0028453A"/>
    <w:rsid w:val="00297AE1"/>
    <w:rsid w:val="002A1CE4"/>
    <w:rsid w:val="002A52EE"/>
    <w:rsid w:val="002A542C"/>
    <w:rsid w:val="002A7762"/>
    <w:rsid w:val="002A7D18"/>
    <w:rsid w:val="002B3676"/>
    <w:rsid w:val="002C13EF"/>
    <w:rsid w:val="002D2AE6"/>
    <w:rsid w:val="002D2E6C"/>
    <w:rsid w:val="002E0F98"/>
    <w:rsid w:val="002E216C"/>
    <w:rsid w:val="002E497B"/>
    <w:rsid w:val="002E62C9"/>
    <w:rsid w:val="002E6364"/>
    <w:rsid w:val="002E6E8D"/>
    <w:rsid w:val="00305304"/>
    <w:rsid w:val="00311475"/>
    <w:rsid w:val="00313DCF"/>
    <w:rsid w:val="00322DE8"/>
    <w:rsid w:val="00325FF4"/>
    <w:rsid w:val="003349AE"/>
    <w:rsid w:val="003351F1"/>
    <w:rsid w:val="00336F03"/>
    <w:rsid w:val="0034105F"/>
    <w:rsid w:val="0034128C"/>
    <w:rsid w:val="003439E1"/>
    <w:rsid w:val="0034799E"/>
    <w:rsid w:val="00351951"/>
    <w:rsid w:val="00351A92"/>
    <w:rsid w:val="00351B61"/>
    <w:rsid w:val="00351BD5"/>
    <w:rsid w:val="00352856"/>
    <w:rsid w:val="00352B99"/>
    <w:rsid w:val="00353261"/>
    <w:rsid w:val="00354B17"/>
    <w:rsid w:val="00355062"/>
    <w:rsid w:val="0037015F"/>
    <w:rsid w:val="003731E2"/>
    <w:rsid w:val="003752F6"/>
    <w:rsid w:val="00377003"/>
    <w:rsid w:val="003807B6"/>
    <w:rsid w:val="00380BAC"/>
    <w:rsid w:val="00380C04"/>
    <w:rsid w:val="003819A5"/>
    <w:rsid w:val="003824EB"/>
    <w:rsid w:val="00382783"/>
    <w:rsid w:val="00397D57"/>
    <w:rsid w:val="003A01F6"/>
    <w:rsid w:val="003A442D"/>
    <w:rsid w:val="003A71F5"/>
    <w:rsid w:val="003A7321"/>
    <w:rsid w:val="003B2072"/>
    <w:rsid w:val="003B390A"/>
    <w:rsid w:val="003B59CB"/>
    <w:rsid w:val="003B6A11"/>
    <w:rsid w:val="003B7A94"/>
    <w:rsid w:val="003C34AA"/>
    <w:rsid w:val="003C384A"/>
    <w:rsid w:val="003C5784"/>
    <w:rsid w:val="003C67F7"/>
    <w:rsid w:val="003D332D"/>
    <w:rsid w:val="003D477F"/>
    <w:rsid w:val="003D4DE7"/>
    <w:rsid w:val="003D5AC3"/>
    <w:rsid w:val="003D69E5"/>
    <w:rsid w:val="003D759B"/>
    <w:rsid w:val="003E270B"/>
    <w:rsid w:val="003E34EC"/>
    <w:rsid w:val="003E4A26"/>
    <w:rsid w:val="003E5346"/>
    <w:rsid w:val="003E71A0"/>
    <w:rsid w:val="003F0E1F"/>
    <w:rsid w:val="003F16C1"/>
    <w:rsid w:val="003F5B46"/>
    <w:rsid w:val="003F70EC"/>
    <w:rsid w:val="00400983"/>
    <w:rsid w:val="00401157"/>
    <w:rsid w:val="00401794"/>
    <w:rsid w:val="00402F73"/>
    <w:rsid w:val="00412D22"/>
    <w:rsid w:val="0041361C"/>
    <w:rsid w:val="00415FED"/>
    <w:rsid w:val="00416238"/>
    <w:rsid w:val="00416409"/>
    <w:rsid w:val="00421C68"/>
    <w:rsid w:val="00421FE6"/>
    <w:rsid w:val="00422FDB"/>
    <w:rsid w:val="00423383"/>
    <w:rsid w:val="00424842"/>
    <w:rsid w:val="00432FE1"/>
    <w:rsid w:val="00433F61"/>
    <w:rsid w:val="0044118D"/>
    <w:rsid w:val="00441329"/>
    <w:rsid w:val="00442C8A"/>
    <w:rsid w:val="004452DA"/>
    <w:rsid w:val="00446BA6"/>
    <w:rsid w:val="0045167C"/>
    <w:rsid w:val="00451D57"/>
    <w:rsid w:val="0045673D"/>
    <w:rsid w:val="00457AF6"/>
    <w:rsid w:val="004604EE"/>
    <w:rsid w:val="00464217"/>
    <w:rsid w:val="00466E0D"/>
    <w:rsid w:val="0046753A"/>
    <w:rsid w:val="00472F47"/>
    <w:rsid w:val="004756C6"/>
    <w:rsid w:val="00477BF2"/>
    <w:rsid w:val="00481994"/>
    <w:rsid w:val="0048380C"/>
    <w:rsid w:val="0048605E"/>
    <w:rsid w:val="00486170"/>
    <w:rsid w:val="00490441"/>
    <w:rsid w:val="004939AA"/>
    <w:rsid w:val="00496A09"/>
    <w:rsid w:val="004A15E5"/>
    <w:rsid w:val="004A418A"/>
    <w:rsid w:val="004A61CC"/>
    <w:rsid w:val="004A7C90"/>
    <w:rsid w:val="004B049B"/>
    <w:rsid w:val="004B31CC"/>
    <w:rsid w:val="004B5D97"/>
    <w:rsid w:val="004C08D7"/>
    <w:rsid w:val="004C15FC"/>
    <w:rsid w:val="004C2693"/>
    <w:rsid w:val="004C6448"/>
    <w:rsid w:val="004D3E36"/>
    <w:rsid w:val="004D6401"/>
    <w:rsid w:val="004E0502"/>
    <w:rsid w:val="004E1872"/>
    <w:rsid w:val="004E7169"/>
    <w:rsid w:val="004F0885"/>
    <w:rsid w:val="004F7767"/>
    <w:rsid w:val="00501276"/>
    <w:rsid w:val="00502B27"/>
    <w:rsid w:val="005052BC"/>
    <w:rsid w:val="00507946"/>
    <w:rsid w:val="00511CE9"/>
    <w:rsid w:val="00514D56"/>
    <w:rsid w:val="00517D18"/>
    <w:rsid w:val="005204FB"/>
    <w:rsid w:val="00533495"/>
    <w:rsid w:val="005378C0"/>
    <w:rsid w:val="00547482"/>
    <w:rsid w:val="00560D95"/>
    <w:rsid w:val="00564E34"/>
    <w:rsid w:val="00565B3B"/>
    <w:rsid w:val="00586B00"/>
    <w:rsid w:val="00590373"/>
    <w:rsid w:val="00592794"/>
    <w:rsid w:val="00593C91"/>
    <w:rsid w:val="005944E5"/>
    <w:rsid w:val="0059654A"/>
    <w:rsid w:val="005A1231"/>
    <w:rsid w:val="005A14C6"/>
    <w:rsid w:val="005A5224"/>
    <w:rsid w:val="005A73D4"/>
    <w:rsid w:val="005B5C5F"/>
    <w:rsid w:val="005C11BF"/>
    <w:rsid w:val="005D2E32"/>
    <w:rsid w:val="005D7AE0"/>
    <w:rsid w:val="005D7B90"/>
    <w:rsid w:val="005E1554"/>
    <w:rsid w:val="005E2652"/>
    <w:rsid w:val="005E3114"/>
    <w:rsid w:val="005E3730"/>
    <w:rsid w:val="005E4052"/>
    <w:rsid w:val="005F3A50"/>
    <w:rsid w:val="005F4264"/>
    <w:rsid w:val="0060440E"/>
    <w:rsid w:val="00604D1A"/>
    <w:rsid w:val="00607F49"/>
    <w:rsid w:val="00611387"/>
    <w:rsid w:val="006140DD"/>
    <w:rsid w:val="00614E22"/>
    <w:rsid w:val="00624306"/>
    <w:rsid w:val="00625174"/>
    <w:rsid w:val="006264F3"/>
    <w:rsid w:val="00631288"/>
    <w:rsid w:val="00634AF3"/>
    <w:rsid w:val="00635CAB"/>
    <w:rsid w:val="00641481"/>
    <w:rsid w:val="0064198B"/>
    <w:rsid w:val="0064315F"/>
    <w:rsid w:val="00643334"/>
    <w:rsid w:val="0064471E"/>
    <w:rsid w:val="00645972"/>
    <w:rsid w:val="00646C20"/>
    <w:rsid w:val="0064783F"/>
    <w:rsid w:val="00653D73"/>
    <w:rsid w:val="00653DC0"/>
    <w:rsid w:val="00657A7C"/>
    <w:rsid w:val="006603E1"/>
    <w:rsid w:val="00663449"/>
    <w:rsid w:val="00665B43"/>
    <w:rsid w:val="00666242"/>
    <w:rsid w:val="00667338"/>
    <w:rsid w:val="0066772C"/>
    <w:rsid w:val="006702E2"/>
    <w:rsid w:val="00672492"/>
    <w:rsid w:val="006727A6"/>
    <w:rsid w:val="00672D1F"/>
    <w:rsid w:val="00674F72"/>
    <w:rsid w:val="00675888"/>
    <w:rsid w:val="0067651D"/>
    <w:rsid w:val="00685800"/>
    <w:rsid w:val="0068765F"/>
    <w:rsid w:val="006960F1"/>
    <w:rsid w:val="00696BFA"/>
    <w:rsid w:val="006A03EF"/>
    <w:rsid w:val="006A6525"/>
    <w:rsid w:val="006B0A10"/>
    <w:rsid w:val="006B6976"/>
    <w:rsid w:val="006C0715"/>
    <w:rsid w:val="006C36BE"/>
    <w:rsid w:val="006D0421"/>
    <w:rsid w:val="006D0A48"/>
    <w:rsid w:val="006D20AA"/>
    <w:rsid w:val="006D4BD0"/>
    <w:rsid w:val="006D55F4"/>
    <w:rsid w:val="006D7017"/>
    <w:rsid w:val="006D7323"/>
    <w:rsid w:val="006E08F7"/>
    <w:rsid w:val="006E159D"/>
    <w:rsid w:val="006E3145"/>
    <w:rsid w:val="006F738C"/>
    <w:rsid w:val="00700B25"/>
    <w:rsid w:val="007155C6"/>
    <w:rsid w:val="007262A6"/>
    <w:rsid w:val="007279D1"/>
    <w:rsid w:val="00730BAC"/>
    <w:rsid w:val="0073583F"/>
    <w:rsid w:val="007366A2"/>
    <w:rsid w:val="00737049"/>
    <w:rsid w:val="00742CC3"/>
    <w:rsid w:val="00742F27"/>
    <w:rsid w:val="0074473C"/>
    <w:rsid w:val="00746299"/>
    <w:rsid w:val="007527CB"/>
    <w:rsid w:val="007537B0"/>
    <w:rsid w:val="00753F3C"/>
    <w:rsid w:val="0075597F"/>
    <w:rsid w:val="00755C95"/>
    <w:rsid w:val="00757289"/>
    <w:rsid w:val="00761210"/>
    <w:rsid w:val="007616B0"/>
    <w:rsid w:val="00761BA9"/>
    <w:rsid w:val="0076258E"/>
    <w:rsid w:val="0076271F"/>
    <w:rsid w:val="00765B7A"/>
    <w:rsid w:val="00766212"/>
    <w:rsid w:val="007677A6"/>
    <w:rsid w:val="00767B9F"/>
    <w:rsid w:val="00767F7E"/>
    <w:rsid w:val="00770847"/>
    <w:rsid w:val="0077479B"/>
    <w:rsid w:val="00777F5A"/>
    <w:rsid w:val="00783C44"/>
    <w:rsid w:val="0078487E"/>
    <w:rsid w:val="007875EF"/>
    <w:rsid w:val="00790AC8"/>
    <w:rsid w:val="00791385"/>
    <w:rsid w:val="0079212F"/>
    <w:rsid w:val="007924C2"/>
    <w:rsid w:val="007976D9"/>
    <w:rsid w:val="007977F5"/>
    <w:rsid w:val="00797B8A"/>
    <w:rsid w:val="007A0419"/>
    <w:rsid w:val="007A3558"/>
    <w:rsid w:val="007B38C9"/>
    <w:rsid w:val="007B60B4"/>
    <w:rsid w:val="007C149A"/>
    <w:rsid w:val="007C4F82"/>
    <w:rsid w:val="007C70AF"/>
    <w:rsid w:val="007D35E7"/>
    <w:rsid w:val="007D4475"/>
    <w:rsid w:val="007D7964"/>
    <w:rsid w:val="007E4243"/>
    <w:rsid w:val="007E6C67"/>
    <w:rsid w:val="007F0646"/>
    <w:rsid w:val="007F1BC8"/>
    <w:rsid w:val="007F2758"/>
    <w:rsid w:val="007F5B78"/>
    <w:rsid w:val="007F5C39"/>
    <w:rsid w:val="007F76FC"/>
    <w:rsid w:val="008007D6"/>
    <w:rsid w:val="008013AD"/>
    <w:rsid w:val="00801440"/>
    <w:rsid w:val="00802613"/>
    <w:rsid w:val="00804C28"/>
    <w:rsid w:val="00805067"/>
    <w:rsid w:val="0082442C"/>
    <w:rsid w:val="00827690"/>
    <w:rsid w:val="00832BA1"/>
    <w:rsid w:val="00832C50"/>
    <w:rsid w:val="00836146"/>
    <w:rsid w:val="00837432"/>
    <w:rsid w:val="00847E53"/>
    <w:rsid w:val="00850245"/>
    <w:rsid w:val="00850A25"/>
    <w:rsid w:val="00850D34"/>
    <w:rsid w:val="0085160D"/>
    <w:rsid w:val="00856D09"/>
    <w:rsid w:val="00860B74"/>
    <w:rsid w:val="00861B58"/>
    <w:rsid w:val="008632D7"/>
    <w:rsid w:val="00864126"/>
    <w:rsid w:val="00864B75"/>
    <w:rsid w:val="00872200"/>
    <w:rsid w:val="00875048"/>
    <w:rsid w:val="008758A9"/>
    <w:rsid w:val="00875E06"/>
    <w:rsid w:val="00877BA2"/>
    <w:rsid w:val="00880415"/>
    <w:rsid w:val="0088179E"/>
    <w:rsid w:val="0088705B"/>
    <w:rsid w:val="0089045D"/>
    <w:rsid w:val="00890B91"/>
    <w:rsid w:val="0089174E"/>
    <w:rsid w:val="00892ABC"/>
    <w:rsid w:val="00893A76"/>
    <w:rsid w:val="00894584"/>
    <w:rsid w:val="008973FC"/>
    <w:rsid w:val="008A0966"/>
    <w:rsid w:val="008A1C2E"/>
    <w:rsid w:val="008A25F8"/>
    <w:rsid w:val="008A6B7F"/>
    <w:rsid w:val="008B2FFE"/>
    <w:rsid w:val="008C0E63"/>
    <w:rsid w:val="008C66AB"/>
    <w:rsid w:val="008D13A9"/>
    <w:rsid w:val="008D3B99"/>
    <w:rsid w:val="008E1E4F"/>
    <w:rsid w:val="008E258C"/>
    <w:rsid w:val="008E36FE"/>
    <w:rsid w:val="008E6074"/>
    <w:rsid w:val="008E7A5F"/>
    <w:rsid w:val="008F11E4"/>
    <w:rsid w:val="008F3AA2"/>
    <w:rsid w:val="008F7CD9"/>
    <w:rsid w:val="00901714"/>
    <w:rsid w:val="00902B25"/>
    <w:rsid w:val="00903CB2"/>
    <w:rsid w:val="00905AEB"/>
    <w:rsid w:val="009073D1"/>
    <w:rsid w:val="00907B63"/>
    <w:rsid w:val="00907D5E"/>
    <w:rsid w:val="009107CA"/>
    <w:rsid w:val="009132BB"/>
    <w:rsid w:val="0091476A"/>
    <w:rsid w:val="00915796"/>
    <w:rsid w:val="00915C16"/>
    <w:rsid w:val="009163DC"/>
    <w:rsid w:val="009171B0"/>
    <w:rsid w:val="009237AF"/>
    <w:rsid w:val="009331AF"/>
    <w:rsid w:val="0093325F"/>
    <w:rsid w:val="00934050"/>
    <w:rsid w:val="0093690B"/>
    <w:rsid w:val="009446B8"/>
    <w:rsid w:val="00951A78"/>
    <w:rsid w:val="00954DF0"/>
    <w:rsid w:val="0095649A"/>
    <w:rsid w:val="00962532"/>
    <w:rsid w:val="00962D43"/>
    <w:rsid w:val="009649A1"/>
    <w:rsid w:val="00965F0B"/>
    <w:rsid w:val="00972491"/>
    <w:rsid w:val="00972B82"/>
    <w:rsid w:val="00982E44"/>
    <w:rsid w:val="0099245F"/>
    <w:rsid w:val="00997E99"/>
    <w:rsid w:val="009A475C"/>
    <w:rsid w:val="009A5AA8"/>
    <w:rsid w:val="009A7B0E"/>
    <w:rsid w:val="009B2F5A"/>
    <w:rsid w:val="009B70AA"/>
    <w:rsid w:val="009C0CB9"/>
    <w:rsid w:val="009C50D4"/>
    <w:rsid w:val="009C6470"/>
    <w:rsid w:val="009C64C7"/>
    <w:rsid w:val="009C652E"/>
    <w:rsid w:val="009C7809"/>
    <w:rsid w:val="009C7B01"/>
    <w:rsid w:val="009D0165"/>
    <w:rsid w:val="009D0A85"/>
    <w:rsid w:val="009D1F67"/>
    <w:rsid w:val="009D3168"/>
    <w:rsid w:val="009D3207"/>
    <w:rsid w:val="009D47CA"/>
    <w:rsid w:val="009D4A12"/>
    <w:rsid w:val="009E0BC9"/>
    <w:rsid w:val="009E3D3D"/>
    <w:rsid w:val="009E4CE8"/>
    <w:rsid w:val="009F7001"/>
    <w:rsid w:val="00A01035"/>
    <w:rsid w:val="00A014A0"/>
    <w:rsid w:val="00A03655"/>
    <w:rsid w:val="00A073B8"/>
    <w:rsid w:val="00A074D0"/>
    <w:rsid w:val="00A108A2"/>
    <w:rsid w:val="00A11035"/>
    <w:rsid w:val="00A11392"/>
    <w:rsid w:val="00A11DA2"/>
    <w:rsid w:val="00A162C1"/>
    <w:rsid w:val="00A22EE3"/>
    <w:rsid w:val="00A25014"/>
    <w:rsid w:val="00A2664D"/>
    <w:rsid w:val="00A26D3B"/>
    <w:rsid w:val="00A3393C"/>
    <w:rsid w:val="00A40E15"/>
    <w:rsid w:val="00A443A3"/>
    <w:rsid w:val="00A4785D"/>
    <w:rsid w:val="00A47DBA"/>
    <w:rsid w:val="00A5118F"/>
    <w:rsid w:val="00A51258"/>
    <w:rsid w:val="00A52826"/>
    <w:rsid w:val="00A62612"/>
    <w:rsid w:val="00A72EF6"/>
    <w:rsid w:val="00A73F24"/>
    <w:rsid w:val="00A74331"/>
    <w:rsid w:val="00A758DD"/>
    <w:rsid w:val="00A87B9F"/>
    <w:rsid w:val="00A944D4"/>
    <w:rsid w:val="00A94818"/>
    <w:rsid w:val="00A94EC9"/>
    <w:rsid w:val="00A95603"/>
    <w:rsid w:val="00A9687F"/>
    <w:rsid w:val="00AA219D"/>
    <w:rsid w:val="00AA2EB8"/>
    <w:rsid w:val="00AA3CFB"/>
    <w:rsid w:val="00AA5166"/>
    <w:rsid w:val="00AA6A25"/>
    <w:rsid w:val="00AC44AD"/>
    <w:rsid w:val="00AC7118"/>
    <w:rsid w:val="00AC7BAD"/>
    <w:rsid w:val="00AD22E8"/>
    <w:rsid w:val="00AD3425"/>
    <w:rsid w:val="00AD4CA7"/>
    <w:rsid w:val="00AD5062"/>
    <w:rsid w:val="00AE1092"/>
    <w:rsid w:val="00AE48B0"/>
    <w:rsid w:val="00AF2A2B"/>
    <w:rsid w:val="00AF53CA"/>
    <w:rsid w:val="00B01CB2"/>
    <w:rsid w:val="00B02514"/>
    <w:rsid w:val="00B04CAC"/>
    <w:rsid w:val="00B0658F"/>
    <w:rsid w:val="00B067A0"/>
    <w:rsid w:val="00B113B4"/>
    <w:rsid w:val="00B117A5"/>
    <w:rsid w:val="00B13D81"/>
    <w:rsid w:val="00B147D3"/>
    <w:rsid w:val="00B20509"/>
    <w:rsid w:val="00B21D20"/>
    <w:rsid w:val="00B233F0"/>
    <w:rsid w:val="00B25EBA"/>
    <w:rsid w:val="00B25EE5"/>
    <w:rsid w:val="00B26253"/>
    <w:rsid w:val="00B2735C"/>
    <w:rsid w:val="00B31552"/>
    <w:rsid w:val="00B3399E"/>
    <w:rsid w:val="00B34111"/>
    <w:rsid w:val="00B36BA0"/>
    <w:rsid w:val="00B410C1"/>
    <w:rsid w:val="00B45028"/>
    <w:rsid w:val="00B513CE"/>
    <w:rsid w:val="00B62922"/>
    <w:rsid w:val="00B63FA2"/>
    <w:rsid w:val="00B643C7"/>
    <w:rsid w:val="00B65D26"/>
    <w:rsid w:val="00B66613"/>
    <w:rsid w:val="00B714B5"/>
    <w:rsid w:val="00B71DC5"/>
    <w:rsid w:val="00B73B14"/>
    <w:rsid w:val="00B74660"/>
    <w:rsid w:val="00B752A1"/>
    <w:rsid w:val="00B764B4"/>
    <w:rsid w:val="00B808DC"/>
    <w:rsid w:val="00B828F2"/>
    <w:rsid w:val="00B85F75"/>
    <w:rsid w:val="00B86926"/>
    <w:rsid w:val="00B90160"/>
    <w:rsid w:val="00B964E0"/>
    <w:rsid w:val="00B971EA"/>
    <w:rsid w:val="00BA06D9"/>
    <w:rsid w:val="00BA0967"/>
    <w:rsid w:val="00BA166C"/>
    <w:rsid w:val="00BA2A17"/>
    <w:rsid w:val="00BA3054"/>
    <w:rsid w:val="00BA41CE"/>
    <w:rsid w:val="00BA622C"/>
    <w:rsid w:val="00BA721B"/>
    <w:rsid w:val="00BB0656"/>
    <w:rsid w:val="00BB0B53"/>
    <w:rsid w:val="00BB2C2E"/>
    <w:rsid w:val="00BB304B"/>
    <w:rsid w:val="00BB5099"/>
    <w:rsid w:val="00BB759A"/>
    <w:rsid w:val="00BC1E9C"/>
    <w:rsid w:val="00BC470C"/>
    <w:rsid w:val="00BC7264"/>
    <w:rsid w:val="00BD12ED"/>
    <w:rsid w:val="00BD2983"/>
    <w:rsid w:val="00BD354D"/>
    <w:rsid w:val="00BD46CA"/>
    <w:rsid w:val="00BD5CC6"/>
    <w:rsid w:val="00BD6CF3"/>
    <w:rsid w:val="00BD7550"/>
    <w:rsid w:val="00BE2E73"/>
    <w:rsid w:val="00BE674C"/>
    <w:rsid w:val="00BE677C"/>
    <w:rsid w:val="00BF5882"/>
    <w:rsid w:val="00BF7381"/>
    <w:rsid w:val="00C017D9"/>
    <w:rsid w:val="00C022D0"/>
    <w:rsid w:val="00C06328"/>
    <w:rsid w:val="00C111B7"/>
    <w:rsid w:val="00C209EB"/>
    <w:rsid w:val="00C2168D"/>
    <w:rsid w:val="00C25CDB"/>
    <w:rsid w:val="00C27B20"/>
    <w:rsid w:val="00C27BBD"/>
    <w:rsid w:val="00C32431"/>
    <w:rsid w:val="00C33A27"/>
    <w:rsid w:val="00C33DB0"/>
    <w:rsid w:val="00C34F6E"/>
    <w:rsid w:val="00C35FF7"/>
    <w:rsid w:val="00C3621E"/>
    <w:rsid w:val="00C41EA7"/>
    <w:rsid w:val="00C51B96"/>
    <w:rsid w:val="00C64D61"/>
    <w:rsid w:val="00C66B09"/>
    <w:rsid w:val="00C67703"/>
    <w:rsid w:val="00C755D7"/>
    <w:rsid w:val="00C75D4F"/>
    <w:rsid w:val="00C82BD7"/>
    <w:rsid w:val="00C84315"/>
    <w:rsid w:val="00C85EEC"/>
    <w:rsid w:val="00C92AB7"/>
    <w:rsid w:val="00CA1940"/>
    <w:rsid w:val="00CA798C"/>
    <w:rsid w:val="00CB291B"/>
    <w:rsid w:val="00CB342A"/>
    <w:rsid w:val="00CB421C"/>
    <w:rsid w:val="00CB4D31"/>
    <w:rsid w:val="00CB5E5F"/>
    <w:rsid w:val="00CC1DED"/>
    <w:rsid w:val="00CC29EC"/>
    <w:rsid w:val="00CC2FF3"/>
    <w:rsid w:val="00CC4C8D"/>
    <w:rsid w:val="00CC5BAF"/>
    <w:rsid w:val="00CC6EB5"/>
    <w:rsid w:val="00CD29C8"/>
    <w:rsid w:val="00CD5F32"/>
    <w:rsid w:val="00CE155E"/>
    <w:rsid w:val="00CE1B1D"/>
    <w:rsid w:val="00CE39F5"/>
    <w:rsid w:val="00CE617C"/>
    <w:rsid w:val="00CE68CF"/>
    <w:rsid w:val="00CF159A"/>
    <w:rsid w:val="00CF2DFA"/>
    <w:rsid w:val="00CF7DC2"/>
    <w:rsid w:val="00D007FA"/>
    <w:rsid w:val="00D02D5D"/>
    <w:rsid w:val="00D04623"/>
    <w:rsid w:val="00D06AC7"/>
    <w:rsid w:val="00D06C48"/>
    <w:rsid w:val="00D130AF"/>
    <w:rsid w:val="00D14675"/>
    <w:rsid w:val="00D159E5"/>
    <w:rsid w:val="00D212A6"/>
    <w:rsid w:val="00D22A17"/>
    <w:rsid w:val="00D27AF5"/>
    <w:rsid w:val="00D27DBD"/>
    <w:rsid w:val="00D34447"/>
    <w:rsid w:val="00D34827"/>
    <w:rsid w:val="00D36B38"/>
    <w:rsid w:val="00D36D9B"/>
    <w:rsid w:val="00D44B4E"/>
    <w:rsid w:val="00D4521A"/>
    <w:rsid w:val="00D469AA"/>
    <w:rsid w:val="00D47599"/>
    <w:rsid w:val="00D508FB"/>
    <w:rsid w:val="00D538FB"/>
    <w:rsid w:val="00D55EA9"/>
    <w:rsid w:val="00D57BA5"/>
    <w:rsid w:val="00D600CD"/>
    <w:rsid w:val="00D60343"/>
    <w:rsid w:val="00D6251B"/>
    <w:rsid w:val="00D6597A"/>
    <w:rsid w:val="00D67E77"/>
    <w:rsid w:val="00D80C72"/>
    <w:rsid w:val="00D81FB1"/>
    <w:rsid w:val="00D90CE1"/>
    <w:rsid w:val="00D90E79"/>
    <w:rsid w:val="00D93D4F"/>
    <w:rsid w:val="00D95088"/>
    <w:rsid w:val="00D9510D"/>
    <w:rsid w:val="00D97306"/>
    <w:rsid w:val="00DA0378"/>
    <w:rsid w:val="00DA0857"/>
    <w:rsid w:val="00DA13CF"/>
    <w:rsid w:val="00DA2738"/>
    <w:rsid w:val="00DA4874"/>
    <w:rsid w:val="00DA4D24"/>
    <w:rsid w:val="00DA6413"/>
    <w:rsid w:val="00DA6F85"/>
    <w:rsid w:val="00DB3891"/>
    <w:rsid w:val="00DB4BD2"/>
    <w:rsid w:val="00DB577B"/>
    <w:rsid w:val="00DB6C6E"/>
    <w:rsid w:val="00DB7766"/>
    <w:rsid w:val="00DB77EB"/>
    <w:rsid w:val="00DC01E4"/>
    <w:rsid w:val="00DC1F43"/>
    <w:rsid w:val="00DC420C"/>
    <w:rsid w:val="00DC4D46"/>
    <w:rsid w:val="00DD0B36"/>
    <w:rsid w:val="00DD0B88"/>
    <w:rsid w:val="00DD4D21"/>
    <w:rsid w:val="00DE0EF6"/>
    <w:rsid w:val="00DE14EC"/>
    <w:rsid w:val="00DE3D4C"/>
    <w:rsid w:val="00DE60A1"/>
    <w:rsid w:val="00DE63FC"/>
    <w:rsid w:val="00DE7E37"/>
    <w:rsid w:val="00DF003B"/>
    <w:rsid w:val="00DF0641"/>
    <w:rsid w:val="00DF6748"/>
    <w:rsid w:val="00E01386"/>
    <w:rsid w:val="00E04727"/>
    <w:rsid w:val="00E04916"/>
    <w:rsid w:val="00E05B80"/>
    <w:rsid w:val="00E10B6F"/>
    <w:rsid w:val="00E14C17"/>
    <w:rsid w:val="00E165A4"/>
    <w:rsid w:val="00E2613A"/>
    <w:rsid w:val="00E2755C"/>
    <w:rsid w:val="00E32D56"/>
    <w:rsid w:val="00E34305"/>
    <w:rsid w:val="00E4161E"/>
    <w:rsid w:val="00E422AF"/>
    <w:rsid w:val="00E438D4"/>
    <w:rsid w:val="00E5232D"/>
    <w:rsid w:val="00E545ED"/>
    <w:rsid w:val="00E57071"/>
    <w:rsid w:val="00E61257"/>
    <w:rsid w:val="00E651E6"/>
    <w:rsid w:val="00E65D71"/>
    <w:rsid w:val="00E70460"/>
    <w:rsid w:val="00E72178"/>
    <w:rsid w:val="00E7232C"/>
    <w:rsid w:val="00E75850"/>
    <w:rsid w:val="00E76A9A"/>
    <w:rsid w:val="00E8068E"/>
    <w:rsid w:val="00E81775"/>
    <w:rsid w:val="00E82D8F"/>
    <w:rsid w:val="00E85A1B"/>
    <w:rsid w:val="00E906B6"/>
    <w:rsid w:val="00E95D9C"/>
    <w:rsid w:val="00EA71E9"/>
    <w:rsid w:val="00EB2075"/>
    <w:rsid w:val="00EB6A60"/>
    <w:rsid w:val="00EB7086"/>
    <w:rsid w:val="00EB781E"/>
    <w:rsid w:val="00EC2B77"/>
    <w:rsid w:val="00EC2F57"/>
    <w:rsid w:val="00EC4F3B"/>
    <w:rsid w:val="00ED1E7D"/>
    <w:rsid w:val="00ED34A6"/>
    <w:rsid w:val="00ED6521"/>
    <w:rsid w:val="00ED7EBC"/>
    <w:rsid w:val="00EE1434"/>
    <w:rsid w:val="00EE16CD"/>
    <w:rsid w:val="00EE17D7"/>
    <w:rsid w:val="00EE236C"/>
    <w:rsid w:val="00EE2729"/>
    <w:rsid w:val="00EE3924"/>
    <w:rsid w:val="00EE7935"/>
    <w:rsid w:val="00EE7B08"/>
    <w:rsid w:val="00EF228E"/>
    <w:rsid w:val="00EF7994"/>
    <w:rsid w:val="00F06200"/>
    <w:rsid w:val="00F069C8"/>
    <w:rsid w:val="00F1104A"/>
    <w:rsid w:val="00F11EBE"/>
    <w:rsid w:val="00F12927"/>
    <w:rsid w:val="00F15364"/>
    <w:rsid w:val="00F26F28"/>
    <w:rsid w:val="00F318F1"/>
    <w:rsid w:val="00F359BC"/>
    <w:rsid w:val="00F366C7"/>
    <w:rsid w:val="00F42D32"/>
    <w:rsid w:val="00F44D78"/>
    <w:rsid w:val="00F478E4"/>
    <w:rsid w:val="00F47C08"/>
    <w:rsid w:val="00F543FD"/>
    <w:rsid w:val="00F545F3"/>
    <w:rsid w:val="00F55328"/>
    <w:rsid w:val="00F57F3A"/>
    <w:rsid w:val="00F610BA"/>
    <w:rsid w:val="00F626EF"/>
    <w:rsid w:val="00F64128"/>
    <w:rsid w:val="00F65AE7"/>
    <w:rsid w:val="00F65CEF"/>
    <w:rsid w:val="00F74AFB"/>
    <w:rsid w:val="00F77FDB"/>
    <w:rsid w:val="00F827E5"/>
    <w:rsid w:val="00F83B95"/>
    <w:rsid w:val="00F8562F"/>
    <w:rsid w:val="00F920F3"/>
    <w:rsid w:val="00F9527B"/>
    <w:rsid w:val="00F96730"/>
    <w:rsid w:val="00F96FC8"/>
    <w:rsid w:val="00F97CFA"/>
    <w:rsid w:val="00FA63EA"/>
    <w:rsid w:val="00FA7230"/>
    <w:rsid w:val="00FA76FA"/>
    <w:rsid w:val="00FA7EC9"/>
    <w:rsid w:val="00FB2D81"/>
    <w:rsid w:val="00FB35E7"/>
    <w:rsid w:val="00FB52BB"/>
    <w:rsid w:val="00FB6854"/>
    <w:rsid w:val="00FC16D9"/>
    <w:rsid w:val="00FD317E"/>
    <w:rsid w:val="00FE083C"/>
    <w:rsid w:val="00FE1311"/>
    <w:rsid w:val="00FE4E8A"/>
    <w:rsid w:val="00FF16A3"/>
    <w:rsid w:val="00FF1D15"/>
    <w:rsid w:val="00FF5E3C"/>
    <w:rsid w:val="00FF624B"/>
    <w:rsid w:val="00FF73D1"/>
    <w:rsid w:val="038B48C3"/>
    <w:rsid w:val="049065BC"/>
    <w:rsid w:val="070761D5"/>
    <w:rsid w:val="07873723"/>
    <w:rsid w:val="07A216CC"/>
    <w:rsid w:val="08525B6D"/>
    <w:rsid w:val="09FE4CE8"/>
    <w:rsid w:val="0A76216F"/>
    <w:rsid w:val="0CF81339"/>
    <w:rsid w:val="0D444069"/>
    <w:rsid w:val="0E7D3350"/>
    <w:rsid w:val="0F244DC3"/>
    <w:rsid w:val="0F3C4E34"/>
    <w:rsid w:val="10D93E8A"/>
    <w:rsid w:val="12103D02"/>
    <w:rsid w:val="12FA7273"/>
    <w:rsid w:val="15902B4C"/>
    <w:rsid w:val="162676BE"/>
    <w:rsid w:val="18461E47"/>
    <w:rsid w:val="18821C23"/>
    <w:rsid w:val="1A5353BC"/>
    <w:rsid w:val="1B520CA3"/>
    <w:rsid w:val="1B9B3D0E"/>
    <w:rsid w:val="1C087BE3"/>
    <w:rsid w:val="1C156156"/>
    <w:rsid w:val="1D94656D"/>
    <w:rsid w:val="1E106E36"/>
    <w:rsid w:val="1E4B0570"/>
    <w:rsid w:val="1F2D1638"/>
    <w:rsid w:val="1FAF6AB4"/>
    <w:rsid w:val="1FE8211C"/>
    <w:rsid w:val="218524DD"/>
    <w:rsid w:val="21B86EED"/>
    <w:rsid w:val="232C2050"/>
    <w:rsid w:val="263070E0"/>
    <w:rsid w:val="27881F28"/>
    <w:rsid w:val="2A30111F"/>
    <w:rsid w:val="2A872967"/>
    <w:rsid w:val="2AA57E7A"/>
    <w:rsid w:val="2B6A0C54"/>
    <w:rsid w:val="2BCA0F78"/>
    <w:rsid w:val="2D3A4019"/>
    <w:rsid w:val="2D437680"/>
    <w:rsid w:val="2DDF1D79"/>
    <w:rsid w:val="30B97BAD"/>
    <w:rsid w:val="30EC6B64"/>
    <w:rsid w:val="357E0A5C"/>
    <w:rsid w:val="37275F63"/>
    <w:rsid w:val="378B1AAC"/>
    <w:rsid w:val="38DD45A6"/>
    <w:rsid w:val="3D3658B4"/>
    <w:rsid w:val="3FDD6579"/>
    <w:rsid w:val="42233935"/>
    <w:rsid w:val="43AE3783"/>
    <w:rsid w:val="43F91BC0"/>
    <w:rsid w:val="43FB23F6"/>
    <w:rsid w:val="44A24F64"/>
    <w:rsid w:val="46615F6F"/>
    <w:rsid w:val="46C24167"/>
    <w:rsid w:val="47241185"/>
    <w:rsid w:val="4FA2711E"/>
    <w:rsid w:val="50CC75C0"/>
    <w:rsid w:val="51AB1BF6"/>
    <w:rsid w:val="52145B39"/>
    <w:rsid w:val="532C13BD"/>
    <w:rsid w:val="533E351C"/>
    <w:rsid w:val="538531A0"/>
    <w:rsid w:val="53E866DF"/>
    <w:rsid w:val="543371E0"/>
    <w:rsid w:val="57B06B64"/>
    <w:rsid w:val="58480A0C"/>
    <w:rsid w:val="588D29C9"/>
    <w:rsid w:val="59C50E0B"/>
    <w:rsid w:val="5AE03D06"/>
    <w:rsid w:val="5B2E590C"/>
    <w:rsid w:val="5C2678A0"/>
    <w:rsid w:val="5C7A12FA"/>
    <w:rsid w:val="642B76F7"/>
    <w:rsid w:val="64732340"/>
    <w:rsid w:val="65425312"/>
    <w:rsid w:val="657C2D01"/>
    <w:rsid w:val="66703BDD"/>
    <w:rsid w:val="667A47FA"/>
    <w:rsid w:val="67D80396"/>
    <w:rsid w:val="694E1904"/>
    <w:rsid w:val="6B125E7D"/>
    <w:rsid w:val="6E1B47F0"/>
    <w:rsid w:val="6FF14C50"/>
    <w:rsid w:val="71DB7088"/>
    <w:rsid w:val="71FC019B"/>
    <w:rsid w:val="72373118"/>
    <w:rsid w:val="72617B08"/>
    <w:rsid w:val="745A5A83"/>
    <w:rsid w:val="75576CB3"/>
    <w:rsid w:val="7710731E"/>
    <w:rsid w:val="77596C2D"/>
    <w:rsid w:val="782F1BC4"/>
    <w:rsid w:val="78837A42"/>
    <w:rsid w:val="78CF1C26"/>
    <w:rsid w:val="7AB332A1"/>
    <w:rsid w:val="7ABA308B"/>
    <w:rsid w:val="7B3C4BCD"/>
    <w:rsid w:val="7CF01853"/>
    <w:rsid w:val="7CF518F4"/>
    <w:rsid w:val="7E64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99"/>
    <w:pPr>
      <w:keepNext/>
      <w:keepLines/>
      <w:spacing w:line="408" w:lineRule="auto"/>
      <w:outlineLvl w:val="1"/>
    </w:pPr>
    <w:rPr>
      <w:rFonts w:ascii="Arial" w:hAnsi="Arial" w:eastAsia="黑体"/>
      <w:b/>
      <w:bCs/>
      <w:kern w:val="0"/>
      <w:sz w:val="32"/>
      <w:szCs w:val="32"/>
    </w:rPr>
  </w:style>
  <w:style w:type="paragraph" w:styleId="5">
    <w:name w:val="heading 3"/>
    <w:basedOn w:val="1"/>
    <w:next w:val="1"/>
    <w:link w:val="34"/>
    <w:qFormat/>
    <w:uiPriority w:val="0"/>
    <w:pPr>
      <w:keepNext/>
      <w:keepLines/>
      <w:spacing w:line="360" w:lineRule="auto"/>
      <w:outlineLvl w:val="2"/>
    </w:pPr>
    <w:rPr>
      <w:b/>
      <w:bCs/>
      <w:kern w:val="0"/>
      <w:sz w:val="24"/>
      <w:szCs w:val="24"/>
    </w:rPr>
  </w:style>
  <w:style w:type="paragraph" w:styleId="6">
    <w:name w:val="heading 4"/>
    <w:basedOn w:val="1"/>
    <w:next w:val="1"/>
    <w:link w:val="35"/>
    <w:qFormat/>
    <w:uiPriority w:val="99"/>
    <w:pPr>
      <w:keepNext/>
      <w:keepLines/>
      <w:spacing w:line="360" w:lineRule="auto"/>
      <w:outlineLvl w:val="3"/>
    </w:pPr>
    <w:rPr>
      <w:rFonts w:ascii="Arial" w:hAnsi="Arial"/>
      <w:b/>
      <w:bCs/>
      <w:kern w:val="0"/>
      <w:sz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31"/>
    <w:qFormat/>
    <w:uiPriority w:val="99"/>
    <w:pPr>
      <w:spacing w:line="580" w:lineRule="exact"/>
      <w:ind w:right="-197" w:firstLine="560" w:firstLineChars="200"/>
    </w:pPr>
    <w:rPr>
      <w:rFonts w:ascii="黑体" w:hAnsi="Courier New" w:eastAsia="黑体"/>
      <w:sz w:val="28"/>
    </w:rPr>
  </w:style>
  <w:style w:type="paragraph" w:styleId="7">
    <w:name w:val="Normal Indent"/>
    <w:basedOn w:val="1"/>
    <w:qFormat/>
    <w:uiPriority w:val="0"/>
    <w:pPr>
      <w:ind w:firstLine="420"/>
    </w:pPr>
    <w:rPr>
      <w:rFonts w:ascii="Calibri" w:hAnsi="Calibri"/>
      <w:szCs w:val="22"/>
    </w:rPr>
  </w:style>
  <w:style w:type="paragraph" w:styleId="8">
    <w:name w:val="annotation text"/>
    <w:basedOn w:val="1"/>
    <w:link w:val="36"/>
    <w:unhideWhenUsed/>
    <w:qFormat/>
    <w:uiPriority w:val="0"/>
    <w:pPr>
      <w:jc w:val="left"/>
    </w:pPr>
  </w:style>
  <w:style w:type="paragraph" w:styleId="9">
    <w:name w:val="Body Text 3"/>
    <w:basedOn w:val="1"/>
    <w:link w:val="37"/>
    <w:qFormat/>
    <w:uiPriority w:val="0"/>
    <w:rPr>
      <w:rFonts w:ascii="宋体"/>
      <w:kern w:val="0"/>
      <w:sz w:val="24"/>
      <w:szCs w:val="20"/>
    </w:rPr>
  </w:style>
  <w:style w:type="paragraph" w:styleId="10">
    <w:name w:val="Body Text"/>
    <w:basedOn w:val="1"/>
    <w:link w:val="38"/>
    <w:unhideWhenUsed/>
    <w:qFormat/>
    <w:uiPriority w:val="0"/>
    <w:pPr>
      <w:spacing w:before="100" w:beforeAutospacing="1"/>
    </w:pPr>
    <w:rPr>
      <w:rFonts w:ascii="宋体" w:hAnsi="宋体"/>
      <w:kern w:val="0"/>
      <w:szCs w:val="20"/>
    </w:rPr>
  </w:style>
  <w:style w:type="paragraph" w:styleId="11">
    <w:name w:val="Body Text Indent"/>
    <w:basedOn w:val="1"/>
    <w:link w:val="39"/>
    <w:unhideWhenUsed/>
    <w:qFormat/>
    <w:uiPriority w:val="99"/>
    <w:pPr>
      <w:autoSpaceDE w:val="0"/>
      <w:autoSpaceDN w:val="0"/>
      <w:adjustRightInd w:val="0"/>
      <w:spacing w:line="0" w:lineRule="atLeast"/>
      <w:ind w:firstLine="525"/>
      <w:textAlignment w:val="top"/>
    </w:pPr>
    <w:rPr>
      <w:rFonts w:ascii="宋体" w:hAnsi="宋体"/>
      <w:color w:val="000000"/>
      <w:kern w:val="0"/>
      <w:sz w:val="20"/>
    </w:rPr>
  </w:style>
  <w:style w:type="paragraph" w:styleId="12">
    <w:name w:val="Block Text"/>
    <w:basedOn w:val="1"/>
    <w:unhideWhenUsed/>
    <w:qFormat/>
    <w:uiPriority w:val="99"/>
    <w:pPr>
      <w:adjustRightInd w:val="0"/>
      <w:spacing w:before="100" w:beforeAutospacing="1" w:after="100" w:afterAutospacing="1"/>
      <w:ind w:left="420" w:right="33"/>
      <w:jc w:val="left"/>
      <w:textAlignment w:val="baseline"/>
    </w:pPr>
    <w:rPr>
      <w:kern w:val="0"/>
      <w:sz w:val="24"/>
      <w:szCs w:val="24"/>
    </w:rPr>
  </w:style>
  <w:style w:type="paragraph" w:styleId="13">
    <w:name w:val="toc 3"/>
    <w:basedOn w:val="1"/>
    <w:next w:val="1"/>
    <w:unhideWhenUsed/>
    <w:qFormat/>
    <w:uiPriority w:val="39"/>
    <w:pPr>
      <w:ind w:left="840" w:leftChars="400"/>
    </w:pPr>
  </w:style>
  <w:style w:type="paragraph" w:styleId="14">
    <w:name w:val="Date"/>
    <w:basedOn w:val="1"/>
    <w:next w:val="1"/>
    <w:link w:val="40"/>
    <w:qFormat/>
    <w:uiPriority w:val="0"/>
    <w:rPr>
      <w:szCs w:val="20"/>
    </w:rPr>
  </w:style>
  <w:style w:type="paragraph" w:styleId="15">
    <w:name w:val="Balloon Text"/>
    <w:basedOn w:val="1"/>
    <w:link w:val="41"/>
    <w:unhideWhenUsed/>
    <w:qFormat/>
    <w:uiPriority w:val="99"/>
    <w:rPr>
      <w:sz w:val="18"/>
      <w:szCs w:val="18"/>
    </w:rPr>
  </w:style>
  <w:style w:type="paragraph" w:styleId="16">
    <w:name w:val="footer"/>
    <w:basedOn w:val="1"/>
    <w:link w:val="42"/>
    <w:unhideWhenUsed/>
    <w:qFormat/>
    <w:uiPriority w:val="99"/>
    <w:pPr>
      <w:snapToGrid w:val="0"/>
      <w:jc w:val="left"/>
    </w:pPr>
    <w:rPr>
      <w:kern w:val="0"/>
      <w:sz w:val="18"/>
      <w:szCs w:val="18"/>
    </w:rPr>
  </w:style>
  <w:style w:type="paragraph" w:styleId="17">
    <w:name w:val="header"/>
    <w:basedOn w:val="1"/>
    <w:link w:val="43"/>
    <w:unhideWhenUsed/>
    <w:qFormat/>
    <w:uiPriority w:val="0"/>
    <w:pPr>
      <w:snapToGrid w:val="0"/>
    </w:pPr>
    <w:rPr>
      <w:kern w:val="0"/>
      <w:sz w:val="18"/>
      <w:szCs w:val="18"/>
    </w:rPr>
  </w:style>
  <w:style w:type="paragraph" w:styleId="18">
    <w:name w:val="toc 1"/>
    <w:basedOn w:val="1"/>
    <w:next w:val="1"/>
    <w:unhideWhenUsed/>
    <w:qFormat/>
    <w:uiPriority w:val="39"/>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unhideWhenUsed/>
    <w:qFormat/>
    <w:uiPriority w:val="39"/>
    <w:pPr>
      <w:ind w:left="420" w:leftChars="200"/>
    </w:pPr>
  </w:style>
  <w:style w:type="paragraph" w:styleId="21">
    <w:name w:val="Body Text 2"/>
    <w:basedOn w:val="1"/>
    <w:link w:val="44"/>
    <w:unhideWhenUsed/>
    <w:qFormat/>
    <w:uiPriority w:val="99"/>
    <w:rPr>
      <w:kern w:val="0"/>
      <w:sz w:val="44"/>
      <w:szCs w:val="44"/>
    </w:rPr>
  </w:style>
  <w:style w:type="paragraph" w:styleId="22">
    <w:name w:val="annotation subject"/>
    <w:basedOn w:val="8"/>
    <w:next w:val="8"/>
    <w:link w:val="45"/>
    <w:unhideWhenUsed/>
    <w:qFormat/>
    <w:uiPriority w:val="99"/>
    <w:rPr>
      <w:b/>
      <w:bCs/>
    </w:rPr>
  </w:style>
  <w:style w:type="paragraph" w:styleId="23">
    <w:name w:val="Body Text First Indent"/>
    <w:basedOn w:val="10"/>
    <w:link w:val="46"/>
    <w:unhideWhenUsed/>
    <w:qFormat/>
    <w:uiPriority w:val="99"/>
    <w:pPr>
      <w:spacing w:before="0" w:beforeAutospacing="0" w:after="120"/>
      <w:ind w:firstLine="420" w:firstLineChars="100"/>
    </w:pPr>
    <w:rPr>
      <w:kern w:val="2"/>
      <w:szCs w:val="21"/>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FollowedHyperlink"/>
    <w:unhideWhenUsed/>
    <w:qFormat/>
    <w:uiPriority w:val="99"/>
    <w:rPr>
      <w:color w:val="800080"/>
      <w:u w:val="single"/>
    </w:rPr>
  </w:style>
  <w:style w:type="character" w:styleId="29">
    <w:name w:val="Hyperlink"/>
    <w:unhideWhenUsed/>
    <w:qFormat/>
    <w:uiPriority w:val="99"/>
    <w:rPr>
      <w:color w:val="0000FF"/>
      <w:u w:val="single"/>
    </w:rPr>
  </w:style>
  <w:style w:type="character" w:styleId="30">
    <w:name w:val="annotation reference"/>
    <w:unhideWhenUsed/>
    <w:qFormat/>
    <w:uiPriority w:val="99"/>
    <w:rPr>
      <w:sz w:val="21"/>
      <w:szCs w:val="21"/>
    </w:rPr>
  </w:style>
  <w:style w:type="character" w:customStyle="1" w:styleId="31">
    <w:name w:val="纯文本 Char"/>
    <w:link w:val="2"/>
    <w:qFormat/>
    <w:locked/>
    <w:uiPriority w:val="99"/>
    <w:rPr>
      <w:rFonts w:ascii="黑体" w:hAnsi="Courier New" w:eastAsia="黑体"/>
      <w:kern w:val="2"/>
      <w:sz w:val="28"/>
      <w:szCs w:val="21"/>
    </w:rPr>
  </w:style>
  <w:style w:type="character" w:customStyle="1" w:styleId="32">
    <w:name w:val="标题 1 Char"/>
    <w:link w:val="3"/>
    <w:qFormat/>
    <w:uiPriority w:val="9"/>
    <w:rPr>
      <w:b/>
      <w:bCs/>
      <w:kern w:val="44"/>
      <w:sz w:val="44"/>
      <w:szCs w:val="44"/>
    </w:rPr>
  </w:style>
  <w:style w:type="character" w:customStyle="1" w:styleId="33">
    <w:name w:val="标题 2 Char"/>
    <w:link w:val="4"/>
    <w:qFormat/>
    <w:uiPriority w:val="99"/>
    <w:rPr>
      <w:rFonts w:ascii="Arial" w:hAnsi="Arial" w:eastAsia="黑体" w:cs="Arial"/>
      <w:b/>
      <w:bCs/>
      <w:sz w:val="32"/>
      <w:szCs w:val="32"/>
    </w:rPr>
  </w:style>
  <w:style w:type="character" w:customStyle="1" w:styleId="34">
    <w:name w:val="标题 3 Char"/>
    <w:link w:val="5"/>
    <w:qFormat/>
    <w:uiPriority w:val="0"/>
    <w:rPr>
      <w:rFonts w:ascii="Times New Roman" w:hAnsi="Times New Roman" w:eastAsia="宋体" w:cs="Times New Roman"/>
      <w:b/>
      <w:bCs/>
      <w:sz w:val="24"/>
      <w:szCs w:val="24"/>
    </w:rPr>
  </w:style>
  <w:style w:type="character" w:customStyle="1" w:styleId="35">
    <w:name w:val="标题 4 Char"/>
    <w:link w:val="6"/>
    <w:qFormat/>
    <w:uiPriority w:val="99"/>
    <w:rPr>
      <w:rFonts w:ascii="Arial" w:hAnsi="Arial" w:eastAsia="宋体" w:cs="Arial"/>
      <w:b/>
      <w:bCs/>
      <w:szCs w:val="21"/>
    </w:rPr>
  </w:style>
  <w:style w:type="character" w:customStyle="1" w:styleId="36">
    <w:name w:val="批注文字 Char1"/>
    <w:link w:val="8"/>
    <w:qFormat/>
    <w:uiPriority w:val="0"/>
    <w:rPr>
      <w:kern w:val="2"/>
      <w:sz w:val="21"/>
      <w:szCs w:val="21"/>
    </w:rPr>
  </w:style>
  <w:style w:type="character" w:customStyle="1" w:styleId="37">
    <w:name w:val="正文文本 3 Char"/>
    <w:link w:val="9"/>
    <w:qFormat/>
    <w:uiPriority w:val="0"/>
    <w:rPr>
      <w:rFonts w:ascii="宋体"/>
      <w:sz w:val="24"/>
    </w:rPr>
  </w:style>
  <w:style w:type="character" w:customStyle="1" w:styleId="38">
    <w:name w:val="正文文本 Char1"/>
    <w:link w:val="10"/>
    <w:qFormat/>
    <w:uiPriority w:val="0"/>
    <w:rPr>
      <w:rFonts w:ascii="宋体" w:hAnsi="宋体" w:eastAsia="宋体"/>
      <w:sz w:val="21"/>
      <w:lang w:bidi="ar-SA"/>
    </w:rPr>
  </w:style>
  <w:style w:type="character" w:customStyle="1" w:styleId="39">
    <w:name w:val="正文文本缩进 Char"/>
    <w:link w:val="11"/>
    <w:qFormat/>
    <w:uiPriority w:val="99"/>
    <w:rPr>
      <w:rFonts w:ascii="宋体" w:hAnsi="宋体" w:eastAsia="宋体" w:cs="宋体"/>
      <w:color w:val="000000"/>
      <w:szCs w:val="21"/>
    </w:rPr>
  </w:style>
  <w:style w:type="character" w:customStyle="1" w:styleId="40">
    <w:name w:val="日期 Char"/>
    <w:link w:val="14"/>
    <w:qFormat/>
    <w:uiPriority w:val="0"/>
    <w:rPr>
      <w:rFonts w:ascii="Times New Roman" w:hAnsi="Times New Roman"/>
      <w:kern w:val="2"/>
      <w:sz w:val="21"/>
    </w:rPr>
  </w:style>
  <w:style w:type="character" w:customStyle="1" w:styleId="41">
    <w:name w:val="批注框文本 Char"/>
    <w:link w:val="15"/>
    <w:semiHidden/>
    <w:qFormat/>
    <w:uiPriority w:val="99"/>
    <w:rPr>
      <w:rFonts w:ascii="Times New Roman" w:hAnsi="Times New Roman"/>
      <w:kern w:val="2"/>
      <w:sz w:val="18"/>
      <w:szCs w:val="18"/>
    </w:rPr>
  </w:style>
  <w:style w:type="character" w:customStyle="1" w:styleId="42">
    <w:name w:val="页脚 Char"/>
    <w:link w:val="16"/>
    <w:qFormat/>
    <w:uiPriority w:val="99"/>
    <w:rPr>
      <w:rFonts w:ascii="Times New Roman" w:hAnsi="Times New Roman" w:eastAsia="宋体" w:cs="Times New Roman"/>
      <w:sz w:val="18"/>
      <w:szCs w:val="18"/>
    </w:rPr>
  </w:style>
  <w:style w:type="character" w:customStyle="1" w:styleId="43">
    <w:name w:val="页眉 Char"/>
    <w:link w:val="17"/>
    <w:qFormat/>
    <w:uiPriority w:val="0"/>
    <w:rPr>
      <w:rFonts w:ascii="Times New Roman" w:hAnsi="Times New Roman" w:eastAsia="宋体" w:cs="Times New Roman"/>
      <w:sz w:val="18"/>
      <w:szCs w:val="18"/>
    </w:rPr>
  </w:style>
  <w:style w:type="character" w:customStyle="1" w:styleId="44">
    <w:name w:val="正文文本 2 Char"/>
    <w:link w:val="21"/>
    <w:qFormat/>
    <w:uiPriority w:val="99"/>
    <w:rPr>
      <w:rFonts w:ascii="Times New Roman" w:hAnsi="Times New Roman" w:eastAsia="宋体" w:cs="Times New Roman"/>
      <w:sz w:val="44"/>
      <w:szCs w:val="44"/>
    </w:rPr>
  </w:style>
  <w:style w:type="character" w:customStyle="1" w:styleId="45">
    <w:name w:val="批注主题 Char"/>
    <w:link w:val="22"/>
    <w:semiHidden/>
    <w:qFormat/>
    <w:uiPriority w:val="99"/>
    <w:rPr>
      <w:b/>
      <w:bCs/>
      <w:kern w:val="2"/>
      <w:sz w:val="21"/>
      <w:szCs w:val="21"/>
    </w:rPr>
  </w:style>
  <w:style w:type="character" w:customStyle="1" w:styleId="46">
    <w:name w:val="正文首行缩进 Char1"/>
    <w:link w:val="23"/>
    <w:qFormat/>
    <w:uiPriority w:val="99"/>
    <w:rPr>
      <w:rFonts w:ascii="宋体" w:hAnsi="宋体" w:eastAsia="宋体"/>
      <w:kern w:val="2"/>
      <w:sz w:val="21"/>
      <w:szCs w:val="21"/>
      <w:lang w:bidi="ar-SA"/>
    </w:rPr>
  </w:style>
  <w:style w:type="character" w:customStyle="1" w:styleId="47">
    <w:name w:val="正文文本 Char"/>
    <w:qFormat/>
    <w:uiPriority w:val="99"/>
    <w:rPr>
      <w:rFonts w:ascii="Times New Roman" w:hAnsi="Times New Roman" w:eastAsia="宋体" w:cs="Times New Roman"/>
      <w:szCs w:val="21"/>
    </w:rPr>
  </w:style>
  <w:style w:type="character" w:customStyle="1" w:styleId="48">
    <w:name w:val="15"/>
    <w:qFormat/>
    <w:uiPriority w:val="0"/>
    <w:rPr>
      <w:rFonts w:hint="default" w:ascii="Times New Roman" w:hAnsi="Times New Roman" w:cs="Times New Roman"/>
      <w:color w:val="12477D"/>
      <w:sz w:val="21"/>
      <w:szCs w:val="21"/>
    </w:rPr>
  </w:style>
  <w:style w:type="character" w:customStyle="1" w:styleId="49">
    <w:name w:val="批注文字 Char"/>
    <w:qFormat/>
    <w:uiPriority w:val="0"/>
    <w:rPr>
      <w:kern w:val="2"/>
      <w:sz w:val="21"/>
      <w:szCs w:val="21"/>
    </w:rPr>
  </w:style>
  <w:style w:type="character" w:customStyle="1" w:styleId="50">
    <w:name w:val="样式 正文文本 + Times New Roman Char"/>
    <w:link w:val="51"/>
    <w:qFormat/>
    <w:uiPriority w:val="0"/>
    <w:rPr>
      <w:rFonts w:ascii="宋体" w:hAnsi="宋体" w:eastAsia="宋体"/>
      <w:sz w:val="21"/>
      <w:lang w:bidi="ar-SA"/>
    </w:rPr>
  </w:style>
  <w:style w:type="paragraph" w:customStyle="1" w:styleId="51">
    <w:name w:val="样式 正文文本 + Times New Roman"/>
    <w:basedOn w:val="10"/>
    <w:link w:val="50"/>
    <w:qFormat/>
    <w:uiPriority w:val="0"/>
    <w:pPr>
      <w:autoSpaceDE w:val="0"/>
      <w:autoSpaceDN w:val="0"/>
      <w:spacing w:before="0" w:beforeAutospacing="0" w:line="360" w:lineRule="auto"/>
      <w:ind w:firstLine="200" w:firstLineChars="200"/>
    </w:pPr>
  </w:style>
  <w:style w:type="character" w:customStyle="1" w:styleId="52">
    <w:name w:val="16"/>
    <w:qFormat/>
    <w:uiPriority w:val="0"/>
    <w:rPr>
      <w:rFonts w:hint="default" w:ascii="Times New Roman" w:hAnsi="Times New Roman" w:cs="Times New Roman"/>
      <w:i/>
      <w:iCs/>
    </w:rPr>
  </w:style>
  <w:style w:type="character" w:customStyle="1" w:styleId="53">
    <w:name w:val="正文首行缩进 Char"/>
    <w:link w:val="54"/>
    <w:qFormat/>
    <w:uiPriority w:val="99"/>
    <w:rPr>
      <w:rFonts w:ascii="Times New Roman" w:hAnsi="Times New Roman" w:eastAsia="宋体" w:cs="Times New Roman"/>
      <w:szCs w:val="21"/>
    </w:rPr>
  </w:style>
  <w:style w:type="paragraph" w:customStyle="1" w:styleId="54">
    <w:name w:val="正文首行缩进1"/>
    <w:basedOn w:val="10"/>
    <w:link w:val="53"/>
    <w:unhideWhenUsed/>
    <w:qFormat/>
    <w:uiPriority w:val="99"/>
    <w:pPr>
      <w:ind w:firstLine="420" w:firstLineChars="100"/>
    </w:pPr>
    <w:rPr>
      <w:rFonts w:ascii="Times New Roman" w:hAnsi="Times New Roman"/>
      <w:sz w:val="20"/>
      <w:szCs w:val="21"/>
    </w:rPr>
  </w:style>
  <w:style w:type="character" w:customStyle="1" w:styleId="55">
    <w:name w:val="文一 Char"/>
    <w:link w:val="56"/>
    <w:qFormat/>
    <w:uiPriority w:val="0"/>
    <w:rPr>
      <w:snapToGrid w:val="0"/>
      <w:spacing w:val="4"/>
      <w:sz w:val="24"/>
      <w:szCs w:val="24"/>
    </w:rPr>
  </w:style>
  <w:style w:type="paragraph" w:customStyle="1" w:styleId="56">
    <w:name w:val="文一"/>
    <w:basedOn w:val="1"/>
    <w:link w:val="55"/>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57">
    <w:name w:val="Heading 3 Char"/>
    <w:link w:val="58"/>
    <w:qFormat/>
    <w:uiPriority w:val="0"/>
    <w:rPr>
      <w:rFonts w:ascii="宋体" w:hAnsi="宋体" w:eastAsia="宋体"/>
      <w:sz w:val="28"/>
      <w:lang w:bidi="ar-SA"/>
    </w:rPr>
  </w:style>
  <w:style w:type="paragraph" w:customStyle="1" w:styleId="58">
    <w:name w:val="标题 31"/>
    <w:basedOn w:val="1"/>
    <w:link w:val="57"/>
    <w:unhideWhenUsed/>
    <w:qFormat/>
    <w:uiPriority w:val="0"/>
    <w:pPr>
      <w:autoSpaceDE w:val="0"/>
      <w:autoSpaceDN w:val="0"/>
      <w:jc w:val="left"/>
      <w:outlineLvl w:val="2"/>
    </w:pPr>
    <w:rPr>
      <w:rFonts w:ascii="宋体" w:hAnsi="宋体"/>
      <w:kern w:val="0"/>
      <w:sz w:val="28"/>
      <w:szCs w:val="20"/>
    </w:rPr>
  </w:style>
  <w:style w:type="character" w:customStyle="1" w:styleId="59">
    <w:name w:val="10"/>
    <w:qFormat/>
    <w:uiPriority w:val="0"/>
    <w:rPr>
      <w:rFonts w:hint="default" w:ascii="Times New Roman" w:hAnsi="Times New Roman" w:cs="Times New Roman"/>
    </w:rPr>
  </w:style>
  <w:style w:type="paragraph" w:customStyle="1" w:styleId="60">
    <w:name w:val="_Style 59"/>
    <w:basedOn w:val="3"/>
    <w:next w:val="1"/>
    <w:qFormat/>
    <w:uiPriority w:val="39"/>
    <w:pPr>
      <w:widowControl/>
      <w:spacing w:before="480" w:after="0" w:line="276" w:lineRule="auto"/>
      <w:jc w:val="left"/>
      <w:outlineLvl w:val="9"/>
    </w:pPr>
    <w:rPr>
      <w:rFonts w:ascii="等线 Light" w:hAnsi="等线 Light" w:eastAsia="等线 Light"/>
      <w:color w:val="2F5496"/>
      <w:kern w:val="0"/>
      <w:sz w:val="28"/>
      <w:szCs w:val="28"/>
    </w:rPr>
  </w:style>
  <w:style w:type="paragraph" w:customStyle="1" w:styleId="61">
    <w:name w:val="标题4"/>
    <w:basedOn w:val="6"/>
    <w:qFormat/>
    <w:uiPriority w:val="0"/>
    <w:pPr>
      <w:jc w:val="center"/>
    </w:pPr>
    <w:rPr>
      <w:rFonts w:ascii="宋体" w:hAnsi="宋体"/>
      <w:bCs w:val="0"/>
      <w:kern w:val="2"/>
    </w:rPr>
  </w:style>
  <w:style w:type="paragraph" w:customStyle="1" w:styleId="62">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63">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64">
    <w:name w:val="样式 正文文本 + 两端对齐 左侧:  0.18 厘米 首行缩进:  0.74 厘米 右侧:  0.34 厘米 段前: ..."/>
    <w:basedOn w:val="10"/>
    <w:qFormat/>
    <w:uiPriority w:val="0"/>
    <w:rPr>
      <w:rFonts w:cs="宋体"/>
    </w:rPr>
  </w:style>
  <w:style w:type="paragraph" w:customStyle="1" w:styleId="65">
    <w:name w:val="Table Paragraph"/>
    <w:basedOn w:val="1"/>
    <w:unhideWhenUsed/>
    <w:qFormat/>
    <w:uiPriority w:val="99"/>
    <w:pPr>
      <w:autoSpaceDE w:val="0"/>
      <w:autoSpaceDN w:val="0"/>
      <w:jc w:val="left"/>
    </w:pPr>
    <w:rPr>
      <w:kern w:val="0"/>
      <w:sz w:val="20"/>
      <w:szCs w:val="20"/>
    </w:rPr>
  </w:style>
  <w:style w:type="paragraph" w:styleId="66">
    <w:name w:val="List Paragraph"/>
    <w:basedOn w:val="1"/>
    <w:qFormat/>
    <w:uiPriority w:val="99"/>
    <w:pPr>
      <w:ind w:firstLine="420" w:firstLineChars="200"/>
    </w:pPr>
  </w:style>
  <w:style w:type="paragraph" w:customStyle="1" w:styleId="67">
    <w:name w:val="_Style 66"/>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二"/>
    <w:basedOn w:val="1"/>
    <w:qFormat/>
    <w:uiPriority w:val="99"/>
    <w:pPr>
      <w:jc w:val="left"/>
    </w:pPr>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3814</Words>
  <Characters>21744</Characters>
  <Lines>181</Lines>
  <Paragraphs>51</Paragraphs>
  <TotalTime>123</TotalTime>
  <ScaleCrop>false</ScaleCrop>
  <LinksUpToDate>false</LinksUpToDate>
  <CharactersWithSpaces>25507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2020-09-18T08:12:00Z</dcterms:created>
  <dcterms:modified xsi:type="dcterms:W3CDTF">2023-05-26T07:35:24Z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C12B80B8A4584E09B0D4D2FC8BA8E687</vt:lpwstr>
  </property>
</Properties>
</file>